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5B9BD5" w:themeColor="accent1"/>
        </w:rPr>
        <w:id w:val="-148211638"/>
        <w:docPartObj>
          <w:docPartGallery w:val="Cover Pages"/>
          <w:docPartUnique/>
        </w:docPartObj>
      </w:sdtPr>
      <w:sdtEndPr>
        <w:rPr>
          <w:b/>
          <w:color w:val="auto"/>
          <w:highlight w:val="lightGray"/>
        </w:rPr>
      </w:sdtEndPr>
      <w:sdtContent>
        <w:p w14:paraId="7655865A" w14:textId="77777777" w:rsidR="009540A6" w:rsidRDefault="009540A6">
          <w:pPr>
            <w:pStyle w:val="NoSpacing"/>
            <w:spacing w:before="1540" w:after="240"/>
            <w:jc w:val="center"/>
            <w:rPr>
              <w:color w:val="5B9BD5" w:themeColor="accent1"/>
            </w:rPr>
          </w:pPr>
        </w:p>
        <w:sdt>
          <w:sdtPr>
            <w:rPr>
              <w:rFonts w:ascii="Garamond" w:hAnsi="Garamond"/>
              <w:caps/>
              <w:color w:val="5B9BD5" w:themeColor="accent1"/>
              <w:sz w:val="56"/>
              <w:szCs w:val="56"/>
            </w:rPr>
            <w:alias w:val="Title"/>
            <w:tag w:val=""/>
            <w:id w:val="1735040861"/>
            <w:dataBinding w:prefixMappings="xmlns:ns0='http://purl.org/dc/elements/1.1/' xmlns:ns1='http://schemas.openxmlformats.org/package/2006/metadata/core-properties' " w:xpath="/ns1:coreProperties[1]/ns0:title[1]" w:storeItemID="{6C3C8BC8-F283-45AE-878A-BAB7291924A1}"/>
            <w:text/>
          </w:sdtPr>
          <w:sdtContent>
            <w:p w14:paraId="4A10189D" w14:textId="00E9573E" w:rsidR="009540A6" w:rsidRPr="0000437E" w:rsidRDefault="001B111F">
              <w:pPr>
                <w:pStyle w:val="NoSpacing"/>
                <w:pBdr>
                  <w:top w:val="single" w:sz="6" w:space="6" w:color="5B9BD5" w:themeColor="accent1"/>
                  <w:bottom w:val="single" w:sz="6" w:space="6" w:color="5B9BD5" w:themeColor="accent1"/>
                </w:pBdr>
                <w:spacing w:after="240"/>
                <w:jc w:val="center"/>
                <w:rPr>
                  <w:caps/>
                  <w:color w:val="5B9BD5" w:themeColor="accent1"/>
                  <w:sz w:val="56"/>
                  <w:szCs w:val="56"/>
                </w:rPr>
              </w:pPr>
              <w:r>
                <w:rPr>
                  <w:rFonts w:ascii="Garamond" w:hAnsi="Garamond"/>
                  <w:caps/>
                  <w:color w:val="5B9BD5" w:themeColor="accent1"/>
                  <w:sz w:val="56"/>
                  <w:szCs w:val="56"/>
                </w:rPr>
                <w:t>fiscal consolidation to accelerate growth and support inclusive development</w:t>
              </w:r>
            </w:p>
          </w:sdtContent>
        </w:sdt>
        <w:p w14:paraId="668D2ADB" w14:textId="12C49136" w:rsidR="009540A6" w:rsidRPr="00E2381A" w:rsidRDefault="00A75A08" w:rsidP="00187EA3">
          <w:pPr>
            <w:pStyle w:val="NoSpacing"/>
            <w:jc w:val="center"/>
            <w:rPr>
              <w:b/>
              <w:smallCaps/>
              <w:color w:val="5B9BD5" w:themeColor="accent1"/>
              <w:sz w:val="28"/>
              <w:szCs w:val="28"/>
            </w:rPr>
          </w:pPr>
          <w:sdt>
            <w:sdtPr>
              <w:rPr>
                <w:rFonts w:ascii="Garamond" w:hAnsi="Garamond"/>
                <w:b/>
                <w:smallCaps/>
                <w:color w:val="5B9BD5" w:themeColor="accent1"/>
                <w:sz w:val="28"/>
                <w:szCs w:val="28"/>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Content>
              <w:r w:rsidR="001B111F">
                <w:rPr>
                  <w:rFonts w:ascii="Garamond" w:hAnsi="Garamond"/>
                  <w:b/>
                  <w:smallCaps/>
                  <w:color w:val="5B9BD5" w:themeColor="accent1"/>
                  <w:sz w:val="28"/>
                  <w:szCs w:val="28"/>
                </w:rPr>
                <w:t>GHANA PUBLIC EXPENDITURE REVIEW</w:t>
              </w:r>
            </w:sdtContent>
          </w:sdt>
        </w:p>
        <w:p w14:paraId="50B1FC02" w14:textId="77777777" w:rsidR="00DE4C5E" w:rsidRDefault="00F13539">
          <w:pPr>
            <w:rPr>
              <w:color w:val="5B9BD5" w:themeColor="accent1"/>
            </w:rPr>
          </w:pPr>
          <w:r w:rsidRPr="00C3418C">
            <w:rPr>
              <w:rFonts w:ascii="Calibri" w:eastAsia="Calibri" w:hAnsi="Calibri" w:cs="Times New Roman"/>
              <w:noProof/>
              <w:sz w:val="28"/>
            </w:rPr>
            <w:drawing>
              <wp:anchor distT="0" distB="0" distL="114300" distR="114300" simplePos="0" relativeHeight="251674624" behindDoc="1" locked="0" layoutInCell="1" allowOverlap="1" wp14:anchorId="3F776082" wp14:editId="61BE3D3B">
                <wp:simplePos x="0" y="0"/>
                <wp:positionH relativeFrom="column">
                  <wp:posOffset>-259080</wp:posOffset>
                </wp:positionH>
                <wp:positionV relativeFrom="paragraph">
                  <wp:posOffset>1817370</wp:posOffset>
                </wp:positionV>
                <wp:extent cx="2510155" cy="2510155"/>
                <wp:effectExtent l="0" t="0" r="0" b="4445"/>
                <wp:wrapTight wrapText="bothSides">
                  <wp:wrapPolygon edited="0">
                    <wp:start x="0" y="0"/>
                    <wp:lineTo x="0" y="21474"/>
                    <wp:lineTo x="328" y="21474"/>
                    <wp:lineTo x="328" y="15737"/>
                    <wp:lineTo x="19015" y="14753"/>
                    <wp:lineTo x="19015" y="13114"/>
                    <wp:lineTo x="4754" y="13114"/>
                    <wp:lineTo x="8360" y="11967"/>
                    <wp:lineTo x="8524" y="7049"/>
                    <wp:lineTo x="7705" y="6721"/>
                    <wp:lineTo x="328" y="5246"/>
                    <wp:lineTo x="328" y="0"/>
                    <wp:lineTo x="0" y="0"/>
                  </wp:wrapPolygon>
                </wp:wrapTight>
                <wp:docPr id="21" name="Picture 21" descr="world-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ban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0155" cy="2510155"/>
                        </a:xfrm>
                        <a:prstGeom prst="rect">
                          <a:avLst/>
                        </a:prstGeom>
                        <a:noFill/>
                        <a:ln>
                          <a:noFill/>
                        </a:ln>
                      </pic:spPr>
                    </pic:pic>
                  </a:graphicData>
                </a:graphic>
              </wp:anchor>
            </w:drawing>
          </w:r>
          <w:r w:rsidR="00DE4C5E">
            <w:rPr>
              <w:noProof/>
              <w:color w:val="5B9BD5" w:themeColor="accent1"/>
            </w:rPr>
            <mc:AlternateContent>
              <mc:Choice Requires="wps">
                <w:drawing>
                  <wp:anchor distT="0" distB="0" distL="114300" distR="114300" simplePos="0" relativeHeight="251673600" behindDoc="0" locked="0" layoutInCell="1" allowOverlap="1" wp14:anchorId="5A3FF0C0" wp14:editId="6203DA4D">
                    <wp:simplePos x="0" y="0"/>
                    <wp:positionH relativeFrom="margin">
                      <wp:posOffset>-61172</wp:posOffset>
                    </wp:positionH>
                    <wp:positionV relativeFrom="page">
                      <wp:posOffset>8693150</wp:posOffset>
                    </wp:positionV>
                    <wp:extent cx="5943600" cy="389255"/>
                    <wp:effectExtent l="0" t="0" r="0" b="12700"/>
                    <wp:wrapNone/>
                    <wp:docPr id="13" name="Text Box 13"/>
                    <wp:cNvGraphicFramePr/>
                    <a:graphic xmlns:a="http://schemas.openxmlformats.org/drawingml/2006/main">
                      <a:graphicData uri="http://schemas.microsoft.com/office/word/2010/wordprocessingShape">
                        <wps:wsp>
                          <wps:cNvSpPr txBox="1"/>
                          <wps:spPr>
                            <a:xfrm>
                              <a:off x="0" y="0"/>
                              <a:ext cx="5943600" cy="389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Garamond" w:hAnsi="Garamond"/>
                                    <w:caps/>
                                    <w:color w:val="5B9BD5" w:themeColor="accent1"/>
                                    <w:sz w:val="28"/>
                                    <w:szCs w:val="28"/>
                                  </w:rPr>
                                  <w:alias w:val="Date"/>
                                  <w:tag w:val=""/>
                                  <w:id w:val="1768583940"/>
                                  <w:dataBinding w:prefixMappings="xmlns:ns0='http://schemas.microsoft.com/office/2006/coverPageProps' " w:xpath="/ns0:CoverPageProperties[1]/ns0:PublishDate[1]" w:storeItemID="{55AF091B-3C7A-41E3-B477-F2FDAA23CFDA}"/>
                                  <w:date w:fullDate="2017-05-08T00:00:00Z">
                                    <w:dateFormat w:val="MMMM d, yyyy"/>
                                    <w:lid w:val="en-US"/>
                                    <w:storeMappedDataAs w:val="dateTime"/>
                                    <w:calendar w:val="gregorian"/>
                                  </w:date>
                                </w:sdtPr>
                                <w:sdtContent>
                                  <w:p w14:paraId="49D02864" w14:textId="77777777" w:rsidR="00A75A08" w:rsidRPr="00E2381A" w:rsidRDefault="00A75A08" w:rsidP="00DE4C5E">
                                    <w:pPr>
                                      <w:pStyle w:val="NoSpacing"/>
                                      <w:spacing w:after="40"/>
                                      <w:jc w:val="center"/>
                                      <w:rPr>
                                        <w:rFonts w:ascii="Garamond" w:hAnsi="Garamond"/>
                                        <w:caps/>
                                        <w:color w:val="5B9BD5" w:themeColor="accent1"/>
                                        <w:sz w:val="28"/>
                                        <w:szCs w:val="28"/>
                                      </w:rPr>
                                    </w:pPr>
                                    <w:r>
                                      <w:rPr>
                                        <w:rFonts w:ascii="Garamond" w:hAnsi="Garamond"/>
                                        <w:caps/>
                                        <w:color w:val="5B9BD5" w:themeColor="accent1"/>
                                        <w:sz w:val="28"/>
                                        <w:szCs w:val="28"/>
                                      </w:rPr>
                                      <w:t>May 8, 2017</w:t>
                                    </w:r>
                                  </w:p>
                                </w:sdtContent>
                              </w:sdt>
                              <w:p w14:paraId="51AA6775" w14:textId="77777777" w:rsidR="00A75A08" w:rsidRPr="00E2381A" w:rsidRDefault="00A75A08" w:rsidP="00DE4C5E">
                                <w:pPr>
                                  <w:pStyle w:val="NoSpacing"/>
                                  <w:jc w:val="center"/>
                                  <w:rPr>
                                    <w:rFonts w:ascii="Garamond" w:hAnsi="Garamond"/>
                                    <w:color w:val="5B9BD5" w:themeColor="accent1"/>
                                  </w:rPr>
                                </w:pPr>
                                <w:sdt>
                                  <w:sdtPr>
                                    <w:rPr>
                                      <w:rFonts w:ascii="Garamond" w:hAnsi="Garamond"/>
                                      <w:caps/>
                                      <w:color w:val="5B9BD5" w:themeColor="accent1"/>
                                    </w:rPr>
                                    <w:alias w:val="Company"/>
                                    <w:tag w:val=""/>
                                    <w:id w:val="-1439209651"/>
                                    <w:dataBinding w:prefixMappings="xmlns:ns0='http://schemas.openxmlformats.org/officeDocument/2006/extended-properties' " w:xpath="/ns0:Properties[1]/ns0:Company[1]" w:storeItemID="{6668398D-A668-4E3E-A5EB-62B293D839F1}"/>
                                    <w:text/>
                                  </w:sdtPr>
                                  <w:sdtContent>
                                    <w:r>
                                      <w:rPr>
                                        <w:rFonts w:ascii="Garamond" w:hAnsi="Garamond"/>
                                        <w:caps/>
                                        <w:color w:val="5B9BD5" w:themeColor="accent1"/>
                                      </w:rPr>
                                      <w:t>World bank Group</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5A3FF0C0" id="_x0000_t202" coordsize="21600,21600" o:spt="202" path="m,l,21600r21600,l21600,xe">
                    <v:stroke joinstyle="miter"/>
                    <v:path gradientshapeok="t" o:connecttype="rect"/>
                  </v:shapetype>
                  <v:shape id="Text Box 13" o:spid="_x0000_s1026" type="#_x0000_t202" style="position:absolute;margin-left:-4.8pt;margin-top:684.5pt;width:468pt;height:30.65pt;z-index:251673600;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" filled="f" stroked="f" strokeweight=".5pt">
                    <v:textbox style="mso-fit-shape-to-text:t" inset="0,0,0,0">
                      <w:txbxContent>
                        <w:sdt>
                          <w:sdtPr>
                            <w:rPr>
                              <w:rFonts w:ascii="Garamond" w:hAnsi="Garamond"/>
                              <w:caps/>
                              <w:color w:val="5B9BD5" w:themeColor="accent1"/>
                              <w:sz w:val="28"/>
                              <w:szCs w:val="28"/>
                            </w:rPr>
                            <w:alias w:val="Date"/>
                            <w:tag w:val=""/>
                            <w:id w:val="1768583940"/>
                            <w:dataBinding w:prefixMappings="xmlns:ns0='http://schemas.microsoft.com/office/2006/coverPageProps' " w:xpath="/ns0:CoverPageProperties[1]/ns0:PublishDate[1]" w:storeItemID="{55AF091B-3C7A-41E3-B477-F2FDAA23CFDA}"/>
                            <w:date w:fullDate="2017-05-08T00:00:00Z">
                              <w:dateFormat w:val="MMMM d, yyyy"/>
                              <w:lid w:val="en-US"/>
                              <w:storeMappedDataAs w:val="dateTime"/>
                              <w:calendar w:val="gregorian"/>
                            </w:date>
                          </w:sdtPr>
                          <w:sdtContent>
                            <w:p w14:paraId="49D02864" w14:textId="77777777" w:rsidR="00A75A08" w:rsidRPr="00E2381A" w:rsidRDefault="00A75A08" w:rsidP="00DE4C5E">
                              <w:pPr>
                                <w:pStyle w:val="NoSpacing"/>
                                <w:spacing w:after="40"/>
                                <w:jc w:val="center"/>
                                <w:rPr>
                                  <w:rFonts w:ascii="Garamond" w:hAnsi="Garamond"/>
                                  <w:caps/>
                                  <w:color w:val="5B9BD5" w:themeColor="accent1"/>
                                  <w:sz w:val="28"/>
                                  <w:szCs w:val="28"/>
                                </w:rPr>
                              </w:pPr>
                              <w:r>
                                <w:rPr>
                                  <w:rFonts w:ascii="Garamond" w:hAnsi="Garamond"/>
                                  <w:caps/>
                                  <w:color w:val="5B9BD5" w:themeColor="accent1"/>
                                  <w:sz w:val="28"/>
                                  <w:szCs w:val="28"/>
                                </w:rPr>
                                <w:t>May 8, 2017</w:t>
                              </w:r>
                            </w:p>
                          </w:sdtContent>
                        </w:sdt>
                        <w:p w14:paraId="51AA6775" w14:textId="77777777" w:rsidR="00A75A08" w:rsidRPr="00E2381A" w:rsidRDefault="00A75A08" w:rsidP="00DE4C5E">
                          <w:pPr>
                            <w:pStyle w:val="NoSpacing"/>
                            <w:jc w:val="center"/>
                            <w:rPr>
                              <w:rFonts w:ascii="Garamond" w:hAnsi="Garamond"/>
                              <w:color w:val="5B9BD5" w:themeColor="accent1"/>
                            </w:rPr>
                          </w:pPr>
                          <w:sdt>
                            <w:sdtPr>
                              <w:rPr>
                                <w:rFonts w:ascii="Garamond" w:hAnsi="Garamond"/>
                                <w:caps/>
                                <w:color w:val="5B9BD5" w:themeColor="accent1"/>
                              </w:rPr>
                              <w:alias w:val="Company"/>
                              <w:tag w:val=""/>
                              <w:id w:val="-1439209651"/>
                              <w:dataBinding w:prefixMappings="xmlns:ns0='http://schemas.openxmlformats.org/officeDocument/2006/extended-properties' " w:xpath="/ns0:Properties[1]/ns0:Company[1]" w:storeItemID="{6668398D-A668-4E3E-A5EB-62B293D839F1}"/>
                              <w:text/>
                            </w:sdtPr>
                            <w:sdtContent>
                              <w:r>
                                <w:rPr>
                                  <w:rFonts w:ascii="Garamond" w:hAnsi="Garamond"/>
                                  <w:caps/>
                                  <w:color w:val="5B9BD5" w:themeColor="accent1"/>
                                </w:rPr>
                                <w:t>World bank Group</w:t>
                              </w:r>
                            </w:sdtContent>
                          </w:sdt>
                        </w:p>
                      </w:txbxContent>
                    </v:textbox>
                    <w10:wrap anchorx="margin" anchory="page"/>
                  </v:shape>
                </w:pict>
              </mc:Fallback>
            </mc:AlternateContent>
          </w:r>
          <w:r w:rsidR="00DE4C5E">
            <w:rPr>
              <w:color w:val="5B9BD5" w:themeColor="accent1"/>
            </w:rPr>
            <w:br w:type="page"/>
          </w:r>
        </w:p>
        <w:p w14:paraId="571DBA82" w14:textId="77777777" w:rsidR="00235626" w:rsidRPr="00D32B4A" w:rsidRDefault="00DE4C5E" w:rsidP="00F1147B">
          <w:pPr>
            <w:pStyle w:val="TOCHeading"/>
            <w:numPr>
              <w:ilvl w:val="0"/>
              <w:numId w:val="0"/>
            </w:numPr>
            <w:spacing w:before="0" w:after="0"/>
          </w:pPr>
          <w:r>
            <w:lastRenderedPageBreak/>
            <w:t xml:space="preserve">abbreviations and acronyms </w:t>
          </w:r>
        </w:p>
        <w:tbl>
          <w:tblPr>
            <w:tblW w:w="8160" w:type="dxa"/>
            <w:tblInd w:w="729" w:type="dxa"/>
            <w:tblLook w:val="04A0" w:firstRow="1" w:lastRow="0" w:firstColumn="1" w:lastColumn="0" w:noHBand="0" w:noVBand="1"/>
          </w:tblPr>
          <w:tblGrid>
            <w:gridCol w:w="1980"/>
            <w:gridCol w:w="6180"/>
          </w:tblGrid>
          <w:tr w:rsidR="00F8504A" w:rsidRPr="00D32B4A" w14:paraId="145F35EE" w14:textId="77777777" w:rsidTr="00F1147B">
            <w:trPr>
              <w:trHeight w:val="320"/>
            </w:trPr>
            <w:tc>
              <w:tcPr>
                <w:tcW w:w="1980" w:type="dxa"/>
                <w:shd w:val="clear" w:color="auto" w:fill="auto"/>
                <w:noWrap/>
                <w:vAlign w:val="bottom"/>
                <w:hideMark/>
              </w:tcPr>
              <w:p w14:paraId="30CCAD1A" w14:textId="77777777" w:rsidR="00590FDD" w:rsidRDefault="00590FDD" w:rsidP="00F1147B">
                <w:pPr>
                  <w:spacing w:after="0" w:line="240" w:lineRule="auto"/>
                  <w:rPr>
                    <w:rFonts w:ascii="Garamond" w:eastAsia="Times New Roman" w:hAnsi="Garamond" w:cs="Times New Roman"/>
                    <w:color w:val="000000"/>
                  </w:rPr>
                </w:pPr>
              </w:p>
              <w:p w14:paraId="675F2EF4" w14:textId="77777777" w:rsidR="00590FDD" w:rsidRDefault="00590FDD" w:rsidP="00F1147B">
                <w:pPr>
                  <w:spacing w:after="0" w:line="240" w:lineRule="auto"/>
                  <w:rPr>
                    <w:rFonts w:ascii="Garamond" w:eastAsia="Times New Roman" w:hAnsi="Garamond" w:cs="Times New Roman"/>
                    <w:color w:val="000000"/>
                  </w:rPr>
                </w:pPr>
              </w:p>
              <w:p w14:paraId="17316A4D" w14:textId="77777777" w:rsidR="00590FDD" w:rsidRDefault="00590FDD" w:rsidP="00F1147B">
                <w:pPr>
                  <w:spacing w:after="0" w:line="240" w:lineRule="auto"/>
                  <w:rPr>
                    <w:rFonts w:ascii="Garamond" w:eastAsia="Times New Roman" w:hAnsi="Garamond" w:cs="Times New Roman"/>
                    <w:color w:val="000000"/>
                  </w:rPr>
                </w:pPr>
              </w:p>
              <w:p w14:paraId="2A88E8A4" w14:textId="77777777" w:rsidR="00F8504A" w:rsidRPr="00D32B4A" w:rsidRDefault="00F8504A" w:rsidP="00F1147B">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CAGD</w:t>
                </w:r>
              </w:p>
            </w:tc>
            <w:tc>
              <w:tcPr>
                <w:tcW w:w="6180" w:type="dxa"/>
                <w:shd w:val="clear" w:color="auto" w:fill="auto"/>
                <w:noWrap/>
                <w:vAlign w:val="center"/>
                <w:hideMark/>
              </w:tcPr>
              <w:p w14:paraId="371979B7" w14:textId="77777777" w:rsidR="00590FDD" w:rsidRDefault="00590FDD" w:rsidP="00F1147B">
                <w:pPr>
                  <w:spacing w:after="0" w:line="240" w:lineRule="auto"/>
                  <w:rPr>
                    <w:rFonts w:ascii="Garamond" w:eastAsia="Times New Roman" w:hAnsi="Garamond" w:cs="Times New Roman"/>
                    <w:color w:val="000000"/>
                  </w:rPr>
                </w:pPr>
              </w:p>
              <w:p w14:paraId="49993FCD" w14:textId="77777777" w:rsidR="00590FDD" w:rsidRDefault="00590FDD" w:rsidP="00F1147B">
                <w:pPr>
                  <w:spacing w:after="0" w:line="240" w:lineRule="auto"/>
                  <w:rPr>
                    <w:rFonts w:ascii="Garamond" w:eastAsia="Times New Roman" w:hAnsi="Garamond" w:cs="Times New Roman"/>
                    <w:color w:val="000000"/>
                  </w:rPr>
                </w:pPr>
              </w:p>
              <w:p w14:paraId="5DC7C2BE" w14:textId="77777777" w:rsidR="00590FDD" w:rsidRDefault="00590FDD" w:rsidP="00F1147B">
                <w:pPr>
                  <w:spacing w:after="0" w:line="240" w:lineRule="auto"/>
                  <w:rPr>
                    <w:rFonts w:ascii="Garamond" w:eastAsia="Times New Roman" w:hAnsi="Garamond" w:cs="Times New Roman"/>
                    <w:color w:val="000000"/>
                  </w:rPr>
                </w:pPr>
              </w:p>
              <w:p w14:paraId="6151A621" w14:textId="77777777" w:rsidR="00F8504A" w:rsidRPr="00D32B4A" w:rsidRDefault="00F8504A" w:rsidP="00F1147B">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Controller and Accountant-General’s Department</w:t>
                </w:r>
              </w:p>
            </w:tc>
          </w:tr>
          <w:tr w:rsidR="00F8504A" w:rsidRPr="00D32B4A" w14:paraId="16BBD8C8" w14:textId="77777777" w:rsidTr="00F1147B">
            <w:trPr>
              <w:trHeight w:val="320"/>
            </w:trPr>
            <w:tc>
              <w:tcPr>
                <w:tcW w:w="1980" w:type="dxa"/>
                <w:shd w:val="clear" w:color="auto" w:fill="auto"/>
                <w:noWrap/>
                <w:vAlign w:val="bottom"/>
                <w:hideMark/>
              </w:tcPr>
              <w:p w14:paraId="23A49B31"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CHAG</w:t>
                </w:r>
              </w:p>
            </w:tc>
            <w:tc>
              <w:tcPr>
                <w:tcW w:w="6180" w:type="dxa"/>
                <w:shd w:val="clear" w:color="auto" w:fill="auto"/>
                <w:noWrap/>
                <w:vAlign w:val="center"/>
                <w:hideMark/>
              </w:tcPr>
              <w:p w14:paraId="7CE27552"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Christian Health Association of Ghana</w:t>
                </w:r>
              </w:p>
            </w:tc>
          </w:tr>
          <w:tr w:rsidR="00F8504A" w:rsidRPr="00D32B4A" w14:paraId="02E8B1C4" w14:textId="77777777" w:rsidTr="00F1147B">
            <w:trPr>
              <w:trHeight w:val="320"/>
            </w:trPr>
            <w:tc>
              <w:tcPr>
                <w:tcW w:w="1980" w:type="dxa"/>
                <w:shd w:val="clear" w:color="auto" w:fill="auto"/>
                <w:noWrap/>
                <w:vAlign w:val="bottom"/>
                <w:hideMark/>
              </w:tcPr>
              <w:p w14:paraId="3F782C39"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COCOBOD</w:t>
                </w:r>
              </w:p>
            </w:tc>
            <w:tc>
              <w:tcPr>
                <w:tcW w:w="6180" w:type="dxa"/>
                <w:shd w:val="clear" w:color="auto" w:fill="auto"/>
                <w:noWrap/>
                <w:vAlign w:val="center"/>
                <w:hideMark/>
              </w:tcPr>
              <w:p w14:paraId="0045700F"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Ghana Cocoa Board</w:t>
                </w:r>
              </w:p>
            </w:tc>
          </w:tr>
          <w:tr w:rsidR="00F8504A" w:rsidRPr="00D32B4A" w14:paraId="18860E92" w14:textId="77777777" w:rsidTr="00F1147B">
            <w:trPr>
              <w:trHeight w:val="320"/>
            </w:trPr>
            <w:tc>
              <w:tcPr>
                <w:tcW w:w="1980" w:type="dxa"/>
                <w:shd w:val="clear" w:color="auto" w:fill="auto"/>
                <w:noWrap/>
                <w:vAlign w:val="bottom"/>
                <w:hideMark/>
              </w:tcPr>
              <w:p w14:paraId="33F8562A"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CSIR</w:t>
                </w:r>
              </w:p>
            </w:tc>
            <w:tc>
              <w:tcPr>
                <w:tcW w:w="6180" w:type="dxa"/>
                <w:shd w:val="clear" w:color="auto" w:fill="auto"/>
                <w:noWrap/>
                <w:vAlign w:val="center"/>
                <w:hideMark/>
              </w:tcPr>
              <w:p w14:paraId="590E66AE" w14:textId="77777777" w:rsidR="00F8504A" w:rsidRPr="00D32B4A" w:rsidRDefault="00F8504A" w:rsidP="00586D41">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 xml:space="preserve">Council for Scientific and </w:t>
                </w:r>
                <w:r w:rsidR="00586D41">
                  <w:rPr>
                    <w:rFonts w:ascii="Garamond" w:eastAsia="Times New Roman" w:hAnsi="Garamond" w:cs="Times New Roman"/>
                    <w:color w:val="000000"/>
                  </w:rPr>
                  <w:t>Industrial</w:t>
                </w:r>
                <w:r w:rsidRPr="00D32B4A">
                  <w:rPr>
                    <w:rFonts w:ascii="Garamond" w:eastAsia="Times New Roman" w:hAnsi="Garamond" w:cs="Times New Roman"/>
                    <w:color w:val="000000"/>
                  </w:rPr>
                  <w:t xml:space="preserve"> Research</w:t>
                </w:r>
              </w:p>
            </w:tc>
          </w:tr>
          <w:tr w:rsidR="00F8504A" w:rsidRPr="00D32B4A" w14:paraId="68A8B2BA" w14:textId="77777777" w:rsidTr="00F1147B">
            <w:trPr>
              <w:trHeight w:val="320"/>
            </w:trPr>
            <w:tc>
              <w:tcPr>
                <w:tcW w:w="1980" w:type="dxa"/>
                <w:shd w:val="clear" w:color="auto" w:fill="auto"/>
                <w:noWrap/>
                <w:vAlign w:val="bottom"/>
                <w:hideMark/>
              </w:tcPr>
              <w:p w14:paraId="69E9C1AA"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ECOWAS</w:t>
                </w:r>
              </w:p>
            </w:tc>
            <w:tc>
              <w:tcPr>
                <w:tcW w:w="6180" w:type="dxa"/>
                <w:shd w:val="clear" w:color="auto" w:fill="auto"/>
                <w:noWrap/>
                <w:vAlign w:val="center"/>
                <w:hideMark/>
              </w:tcPr>
              <w:p w14:paraId="47B793AA"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Economic Community of West African States</w:t>
                </w:r>
              </w:p>
            </w:tc>
          </w:tr>
          <w:tr w:rsidR="00F8504A" w:rsidRPr="00D32B4A" w14:paraId="510E834C" w14:textId="77777777" w:rsidTr="00F1147B">
            <w:trPr>
              <w:trHeight w:val="320"/>
            </w:trPr>
            <w:tc>
              <w:tcPr>
                <w:tcW w:w="1980" w:type="dxa"/>
                <w:shd w:val="clear" w:color="auto" w:fill="auto"/>
                <w:noWrap/>
                <w:vAlign w:val="bottom"/>
                <w:hideMark/>
              </w:tcPr>
              <w:p w14:paraId="2ADD7ED6"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EGMA</w:t>
                </w:r>
              </w:p>
            </w:tc>
            <w:tc>
              <w:tcPr>
                <w:tcW w:w="6180" w:type="dxa"/>
                <w:shd w:val="clear" w:color="auto" w:fill="auto"/>
                <w:noWrap/>
                <w:vAlign w:val="center"/>
                <w:hideMark/>
              </w:tcPr>
              <w:p w14:paraId="0E57957D"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Early Grade Mathematics Assessment</w:t>
                </w:r>
              </w:p>
            </w:tc>
          </w:tr>
          <w:tr w:rsidR="00F8504A" w:rsidRPr="00D32B4A" w14:paraId="5DE3C0F8" w14:textId="77777777" w:rsidTr="00F1147B">
            <w:trPr>
              <w:trHeight w:val="320"/>
            </w:trPr>
            <w:tc>
              <w:tcPr>
                <w:tcW w:w="1980" w:type="dxa"/>
                <w:shd w:val="clear" w:color="auto" w:fill="auto"/>
                <w:noWrap/>
                <w:vAlign w:val="bottom"/>
                <w:hideMark/>
              </w:tcPr>
              <w:p w14:paraId="34CFDEDD"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EGRA</w:t>
                </w:r>
              </w:p>
            </w:tc>
            <w:tc>
              <w:tcPr>
                <w:tcW w:w="6180" w:type="dxa"/>
                <w:shd w:val="clear" w:color="auto" w:fill="auto"/>
                <w:noWrap/>
                <w:vAlign w:val="center"/>
                <w:hideMark/>
              </w:tcPr>
              <w:p w14:paraId="25A59F7A"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Early Grade Reading Assessment</w:t>
                </w:r>
              </w:p>
            </w:tc>
          </w:tr>
          <w:tr w:rsidR="00F8504A" w:rsidRPr="00D32B4A" w14:paraId="4A786B77" w14:textId="77777777" w:rsidTr="00F1147B">
            <w:trPr>
              <w:trHeight w:val="320"/>
            </w:trPr>
            <w:tc>
              <w:tcPr>
                <w:tcW w:w="1980" w:type="dxa"/>
                <w:shd w:val="clear" w:color="auto" w:fill="auto"/>
                <w:noWrap/>
                <w:vAlign w:val="bottom"/>
                <w:hideMark/>
              </w:tcPr>
              <w:p w14:paraId="056EC609"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FDI</w:t>
                </w:r>
              </w:p>
            </w:tc>
            <w:tc>
              <w:tcPr>
                <w:tcW w:w="6180" w:type="dxa"/>
                <w:shd w:val="clear" w:color="auto" w:fill="auto"/>
                <w:noWrap/>
                <w:vAlign w:val="center"/>
                <w:hideMark/>
              </w:tcPr>
              <w:p w14:paraId="05AFF5E1"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Foreign direct investment</w:t>
                </w:r>
              </w:p>
            </w:tc>
          </w:tr>
          <w:tr w:rsidR="00F8504A" w:rsidRPr="00D32B4A" w14:paraId="036C2EA7" w14:textId="77777777" w:rsidTr="00F1147B">
            <w:trPr>
              <w:trHeight w:val="320"/>
            </w:trPr>
            <w:tc>
              <w:tcPr>
                <w:tcW w:w="1980" w:type="dxa"/>
                <w:shd w:val="clear" w:color="auto" w:fill="auto"/>
                <w:noWrap/>
                <w:vAlign w:val="bottom"/>
                <w:hideMark/>
              </w:tcPr>
              <w:p w14:paraId="08BF8CF3"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FOB</w:t>
                </w:r>
              </w:p>
            </w:tc>
            <w:tc>
              <w:tcPr>
                <w:tcW w:w="6180" w:type="dxa"/>
                <w:shd w:val="clear" w:color="auto" w:fill="auto"/>
                <w:noWrap/>
                <w:vAlign w:val="center"/>
                <w:hideMark/>
              </w:tcPr>
              <w:p w14:paraId="378EFC27"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Free-on-board</w:t>
                </w:r>
              </w:p>
            </w:tc>
          </w:tr>
          <w:tr w:rsidR="00F8504A" w:rsidRPr="00D32B4A" w14:paraId="0745C813" w14:textId="77777777" w:rsidTr="00F1147B">
            <w:trPr>
              <w:trHeight w:val="320"/>
            </w:trPr>
            <w:tc>
              <w:tcPr>
                <w:tcW w:w="1980" w:type="dxa"/>
                <w:shd w:val="clear" w:color="auto" w:fill="auto"/>
                <w:noWrap/>
                <w:vAlign w:val="bottom"/>
                <w:hideMark/>
              </w:tcPr>
              <w:p w14:paraId="68465EE8"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FWSC</w:t>
                </w:r>
              </w:p>
            </w:tc>
            <w:tc>
              <w:tcPr>
                <w:tcW w:w="6180" w:type="dxa"/>
                <w:shd w:val="clear" w:color="auto" w:fill="auto"/>
                <w:noWrap/>
                <w:vAlign w:val="center"/>
                <w:hideMark/>
              </w:tcPr>
              <w:p w14:paraId="6EB3EADB"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Fair Wages and Salaries Commission</w:t>
                </w:r>
              </w:p>
            </w:tc>
          </w:tr>
          <w:tr w:rsidR="00F8504A" w:rsidRPr="00D32B4A" w14:paraId="217940AC" w14:textId="77777777" w:rsidTr="00F1147B">
            <w:trPr>
              <w:trHeight w:val="320"/>
            </w:trPr>
            <w:tc>
              <w:tcPr>
                <w:tcW w:w="1980" w:type="dxa"/>
                <w:shd w:val="clear" w:color="auto" w:fill="auto"/>
                <w:noWrap/>
                <w:vAlign w:val="bottom"/>
                <w:hideMark/>
              </w:tcPr>
              <w:p w14:paraId="1B1945C4"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GCAP</w:t>
                </w:r>
              </w:p>
            </w:tc>
            <w:tc>
              <w:tcPr>
                <w:tcW w:w="6180" w:type="dxa"/>
                <w:shd w:val="clear" w:color="auto" w:fill="auto"/>
                <w:noWrap/>
                <w:vAlign w:val="center"/>
                <w:hideMark/>
              </w:tcPr>
              <w:p w14:paraId="339620E8"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Ghana Commercial Agriculture Project</w:t>
                </w:r>
              </w:p>
            </w:tc>
          </w:tr>
          <w:tr w:rsidR="00F8504A" w:rsidRPr="00D32B4A" w14:paraId="4DC35119" w14:textId="77777777" w:rsidTr="00F1147B">
            <w:trPr>
              <w:trHeight w:val="320"/>
            </w:trPr>
            <w:tc>
              <w:tcPr>
                <w:tcW w:w="1980" w:type="dxa"/>
                <w:shd w:val="clear" w:color="auto" w:fill="auto"/>
                <w:noWrap/>
                <w:vAlign w:val="bottom"/>
                <w:hideMark/>
              </w:tcPr>
              <w:p w14:paraId="43B2B889"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GET Fund</w:t>
                </w:r>
              </w:p>
            </w:tc>
            <w:tc>
              <w:tcPr>
                <w:tcW w:w="6180" w:type="dxa"/>
                <w:shd w:val="clear" w:color="auto" w:fill="auto"/>
                <w:noWrap/>
                <w:vAlign w:val="center"/>
                <w:hideMark/>
              </w:tcPr>
              <w:p w14:paraId="3A5E467F"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Ghana Education Trust Fund</w:t>
                </w:r>
              </w:p>
            </w:tc>
          </w:tr>
          <w:tr w:rsidR="00F8504A" w:rsidRPr="00D32B4A" w14:paraId="45FFCE86" w14:textId="77777777" w:rsidTr="00F1147B">
            <w:trPr>
              <w:trHeight w:val="320"/>
            </w:trPr>
            <w:tc>
              <w:tcPr>
                <w:tcW w:w="1980" w:type="dxa"/>
                <w:shd w:val="clear" w:color="auto" w:fill="auto"/>
                <w:noWrap/>
                <w:vAlign w:val="bottom"/>
                <w:hideMark/>
              </w:tcPr>
              <w:p w14:paraId="590B198D"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GHS</w:t>
                </w:r>
              </w:p>
            </w:tc>
            <w:tc>
              <w:tcPr>
                <w:tcW w:w="6180" w:type="dxa"/>
                <w:shd w:val="clear" w:color="auto" w:fill="auto"/>
                <w:noWrap/>
                <w:vAlign w:val="center"/>
                <w:hideMark/>
              </w:tcPr>
              <w:p w14:paraId="19E01E87"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Ghana Health Services</w:t>
                </w:r>
              </w:p>
            </w:tc>
          </w:tr>
          <w:tr w:rsidR="00F8504A" w:rsidRPr="00D32B4A" w14:paraId="6FFA39FA" w14:textId="77777777" w:rsidTr="00F1147B">
            <w:trPr>
              <w:trHeight w:val="320"/>
            </w:trPr>
            <w:tc>
              <w:tcPr>
                <w:tcW w:w="1980" w:type="dxa"/>
                <w:shd w:val="clear" w:color="auto" w:fill="auto"/>
                <w:noWrap/>
                <w:vAlign w:val="bottom"/>
                <w:hideMark/>
              </w:tcPr>
              <w:p w14:paraId="01A2CE57"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GIFMIS</w:t>
                </w:r>
              </w:p>
            </w:tc>
            <w:tc>
              <w:tcPr>
                <w:tcW w:w="6180" w:type="dxa"/>
                <w:shd w:val="clear" w:color="auto" w:fill="auto"/>
                <w:noWrap/>
                <w:vAlign w:val="center"/>
                <w:hideMark/>
              </w:tcPr>
              <w:p w14:paraId="5DD2830C"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Ghana Integrated Financial Management System</w:t>
                </w:r>
              </w:p>
            </w:tc>
          </w:tr>
          <w:tr w:rsidR="00F8504A" w:rsidRPr="00D32B4A" w14:paraId="352D163A" w14:textId="77777777" w:rsidTr="00F1147B">
            <w:trPr>
              <w:trHeight w:val="320"/>
            </w:trPr>
            <w:tc>
              <w:tcPr>
                <w:tcW w:w="1980" w:type="dxa"/>
                <w:shd w:val="clear" w:color="auto" w:fill="auto"/>
                <w:noWrap/>
                <w:vAlign w:val="bottom"/>
                <w:hideMark/>
              </w:tcPr>
              <w:p w14:paraId="6D8F1039"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GLSS</w:t>
                </w:r>
              </w:p>
            </w:tc>
            <w:tc>
              <w:tcPr>
                <w:tcW w:w="6180" w:type="dxa"/>
                <w:shd w:val="clear" w:color="auto" w:fill="auto"/>
                <w:noWrap/>
                <w:vAlign w:val="center"/>
                <w:hideMark/>
              </w:tcPr>
              <w:p w14:paraId="246E43D5"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Ghana Living Standards Survey</w:t>
                </w:r>
              </w:p>
            </w:tc>
          </w:tr>
          <w:tr w:rsidR="00F8504A" w:rsidRPr="00D32B4A" w14:paraId="78697878" w14:textId="77777777" w:rsidTr="00F1147B">
            <w:trPr>
              <w:trHeight w:val="320"/>
            </w:trPr>
            <w:tc>
              <w:tcPr>
                <w:tcW w:w="1980" w:type="dxa"/>
                <w:shd w:val="clear" w:color="auto" w:fill="auto"/>
                <w:noWrap/>
                <w:vAlign w:val="bottom"/>
                <w:hideMark/>
              </w:tcPr>
              <w:p w14:paraId="1DBA6C5D"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GNI</w:t>
                </w:r>
              </w:p>
            </w:tc>
            <w:tc>
              <w:tcPr>
                <w:tcW w:w="6180" w:type="dxa"/>
                <w:shd w:val="clear" w:color="auto" w:fill="auto"/>
                <w:noWrap/>
                <w:vAlign w:val="center"/>
                <w:hideMark/>
              </w:tcPr>
              <w:p w14:paraId="13DBF598" w14:textId="77777777" w:rsidR="00F8504A" w:rsidRPr="00D32B4A" w:rsidRDefault="00F8504A" w:rsidP="00EA222E">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 xml:space="preserve">Gross </w:t>
                </w:r>
                <w:r w:rsidR="00EA222E">
                  <w:rPr>
                    <w:rFonts w:ascii="Garamond" w:eastAsia="Times New Roman" w:hAnsi="Garamond" w:cs="Times New Roman"/>
                    <w:color w:val="000000"/>
                  </w:rPr>
                  <w:t>N</w:t>
                </w:r>
                <w:r w:rsidRPr="00D32B4A">
                  <w:rPr>
                    <w:rFonts w:ascii="Garamond" w:eastAsia="Times New Roman" w:hAnsi="Garamond" w:cs="Times New Roman"/>
                    <w:color w:val="000000"/>
                  </w:rPr>
                  <w:t xml:space="preserve">ational </w:t>
                </w:r>
                <w:r w:rsidR="00EA222E">
                  <w:rPr>
                    <w:rFonts w:ascii="Garamond" w:eastAsia="Times New Roman" w:hAnsi="Garamond" w:cs="Times New Roman"/>
                    <w:color w:val="000000"/>
                  </w:rPr>
                  <w:t>I</w:t>
                </w:r>
                <w:r w:rsidRPr="00D32B4A">
                  <w:rPr>
                    <w:rFonts w:ascii="Garamond" w:eastAsia="Times New Roman" w:hAnsi="Garamond" w:cs="Times New Roman"/>
                    <w:color w:val="000000"/>
                  </w:rPr>
                  <w:t>ncome</w:t>
                </w:r>
              </w:p>
            </w:tc>
          </w:tr>
          <w:tr w:rsidR="00F8504A" w:rsidRPr="00D32B4A" w14:paraId="56C71D3B" w14:textId="77777777" w:rsidTr="00F1147B">
            <w:trPr>
              <w:trHeight w:val="320"/>
            </w:trPr>
            <w:tc>
              <w:tcPr>
                <w:tcW w:w="1980" w:type="dxa"/>
                <w:shd w:val="clear" w:color="auto" w:fill="auto"/>
                <w:noWrap/>
                <w:vAlign w:val="bottom"/>
                <w:hideMark/>
              </w:tcPr>
              <w:p w14:paraId="013F92E7"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GRA</w:t>
                </w:r>
              </w:p>
            </w:tc>
            <w:tc>
              <w:tcPr>
                <w:tcW w:w="6180" w:type="dxa"/>
                <w:shd w:val="clear" w:color="auto" w:fill="auto"/>
                <w:noWrap/>
                <w:vAlign w:val="center"/>
                <w:hideMark/>
              </w:tcPr>
              <w:p w14:paraId="7EF34C68"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Ghana Revenue Authority</w:t>
                </w:r>
              </w:p>
            </w:tc>
          </w:tr>
          <w:tr w:rsidR="00F8504A" w:rsidRPr="00D32B4A" w14:paraId="6E9B0084" w14:textId="77777777" w:rsidTr="00F1147B">
            <w:trPr>
              <w:trHeight w:val="320"/>
            </w:trPr>
            <w:tc>
              <w:tcPr>
                <w:tcW w:w="1980" w:type="dxa"/>
                <w:shd w:val="clear" w:color="auto" w:fill="auto"/>
                <w:noWrap/>
                <w:vAlign w:val="bottom"/>
                <w:hideMark/>
              </w:tcPr>
              <w:p w14:paraId="2FB93195"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IGF</w:t>
                </w:r>
              </w:p>
            </w:tc>
            <w:tc>
              <w:tcPr>
                <w:tcW w:w="6180" w:type="dxa"/>
                <w:shd w:val="clear" w:color="auto" w:fill="auto"/>
                <w:noWrap/>
                <w:vAlign w:val="center"/>
                <w:hideMark/>
              </w:tcPr>
              <w:p w14:paraId="6EAFF01A" w14:textId="77777777" w:rsidR="00F8504A" w:rsidRPr="00D32B4A" w:rsidRDefault="00F8504A" w:rsidP="00EA222E">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 xml:space="preserve">Internally </w:t>
                </w:r>
                <w:r w:rsidR="00EA222E">
                  <w:rPr>
                    <w:rFonts w:ascii="Garamond" w:eastAsia="Times New Roman" w:hAnsi="Garamond" w:cs="Times New Roman"/>
                    <w:color w:val="000000"/>
                  </w:rPr>
                  <w:t>G</w:t>
                </w:r>
                <w:r w:rsidRPr="00D32B4A">
                  <w:rPr>
                    <w:rFonts w:ascii="Garamond" w:eastAsia="Times New Roman" w:hAnsi="Garamond" w:cs="Times New Roman"/>
                    <w:color w:val="000000"/>
                  </w:rPr>
                  <w:t xml:space="preserve">enerated </w:t>
                </w:r>
                <w:r w:rsidR="00EA222E">
                  <w:rPr>
                    <w:rFonts w:ascii="Garamond" w:eastAsia="Times New Roman" w:hAnsi="Garamond" w:cs="Times New Roman"/>
                    <w:color w:val="000000"/>
                  </w:rPr>
                  <w:t>Fund</w:t>
                </w:r>
                <w:r w:rsidR="00AC5101">
                  <w:rPr>
                    <w:rFonts w:ascii="Garamond" w:eastAsia="Times New Roman" w:hAnsi="Garamond" w:cs="Times New Roman"/>
                    <w:color w:val="000000"/>
                  </w:rPr>
                  <w:t>s</w:t>
                </w:r>
              </w:p>
            </w:tc>
          </w:tr>
          <w:tr w:rsidR="00F8504A" w:rsidRPr="00D32B4A" w14:paraId="1429486D" w14:textId="77777777" w:rsidTr="00F1147B">
            <w:trPr>
              <w:trHeight w:val="320"/>
            </w:trPr>
            <w:tc>
              <w:tcPr>
                <w:tcW w:w="1980" w:type="dxa"/>
                <w:shd w:val="clear" w:color="auto" w:fill="auto"/>
                <w:noWrap/>
                <w:vAlign w:val="bottom"/>
                <w:hideMark/>
              </w:tcPr>
              <w:p w14:paraId="4B6FB785"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IMF</w:t>
                </w:r>
              </w:p>
            </w:tc>
            <w:tc>
              <w:tcPr>
                <w:tcW w:w="6180" w:type="dxa"/>
                <w:shd w:val="clear" w:color="auto" w:fill="auto"/>
                <w:noWrap/>
                <w:vAlign w:val="center"/>
                <w:hideMark/>
              </w:tcPr>
              <w:p w14:paraId="17E054FE"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International Monetary Fund</w:t>
                </w:r>
              </w:p>
            </w:tc>
          </w:tr>
          <w:tr w:rsidR="00F8504A" w:rsidRPr="00D32B4A" w14:paraId="3BF8742D" w14:textId="77777777" w:rsidTr="00F1147B">
            <w:trPr>
              <w:trHeight w:val="320"/>
            </w:trPr>
            <w:tc>
              <w:tcPr>
                <w:tcW w:w="1980" w:type="dxa"/>
                <w:shd w:val="clear" w:color="auto" w:fill="auto"/>
                <w:noWrap/>
                <w:vAlign w:val="bottom"/>
                <w:hideMark/>
              </w:tcPr>
              <w:p w14:paraId="0ECC4143"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JHS</w:t>
                </w:r>
              </w:p>
            </w:tc>
            <w:tc>
              <w:tcPr>
                <w:tcW w:w="6180" w:type="dxa"/>
                <w:shd w:val="clear" w:color="auto" w:fill="auto"/>
                <w:noWrap/>
                <w:vAlign w:val="center"/>
                <w:hideMark/>
              </w:tcPr>
              <w:p w14:paraId="4CF05BA4" w14:textId="77777777" w:rsidR="00F8504A" w:rsidRPr="00D32B4A" w:rsidRDefault="00F8504A" w:rsidP="00EA222E">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 xml:space="preserve">Junior </w:t>
                </w:r>
                <w:r w:rsidR="00EA222E">
                  <w:rPr>
                    <w:rFonts w:ascii="Garamond" w:eastAsia="Times New Roman" w:hAnsi="Garamond" w:cs="Times New Roman"/>
                    <w:color w:val="000000"/>
                  </w:rPr>
                  <w:t>H</w:t>
                </w:r>
                <w:r w:rsidRPr="00D32B4A">
                  <w:rPr>
                    <w:rFonts w:ascii="Garamond" w:eastAsia="Times New Roman" w:hAnsi="Garamond" w:cs="Times New Roman"/>
                    <w:color w:val="000000"/>
                  </w:rPr>
                  <w:t xml:space="preserve">igh </w:t>
                </w:r>
                <w:r w:rsidR="00EA222E">
                  <w:rPr>
                    <w:rFonts w:ascii="Garamond" w:eastAsia="Times New Roman" w:hAnsi="Garamond" w:cs="Times New Roman"/>
                    <w:color w:val="000000"/>
                  </w:rPr>
                  <w:t>S</w:t>
                </w:r>
                <w:r w:rsidRPr="00D32B4A">
                  <w:rPr>
                    <w:rFonts w:ascii="Garamond" w:eastAsia="Times New Roman" w:hAnsi="Garamond" w:cs="Times New Roman"/>
                    <w:color w:val="000000"/>
                  </w:rPr>
                  <w:t>chool</w:t>
                </w:r>
              </w:p>
            </w:tc>
          </w:tr>
          <w:tr w:rsidR="00F8504A" w:rsidRPr="00D32B4A" w14:paraId="48A1CB63" w14:textId="77777777" w:rsidTr="00F1147B">
            <w:trPr>
              <w:trHeight w:val="320"/>
            </w:trPr>
            <w:tc>
              <w:tcPr>
                <w:tcW w:w="1980" w:type="dxa"/>
                <w:shd w:val="clear" w:color="auto" w:fill="auto"/>
                <w:noWrap/>
                <w:vAlign w:val="bottom"/>
                <w:hideMark/>
              </w:tcPr>
              <w:p w14:paraId="458DB4C5"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MMDAs</w:t>
                </w:r>
              </w:p>
            </w:tc>
            <w:tc>
              <w:tcPr>
                <w:tcW w:w="6180" w:type="dxa"/>
                <w:shd w:val="clear" w:color="auto" w:fill="auto"/>
                <w:noWrap/>
                <w:vAlign w:val="center"/>
                <w:hideMark/>
              </w:tcPr>
              <w:p w14:paraId="685CBBE9" w14:textId="77777777" w:rsidR="00F8504A" w:rsidRPr="00D32B4A" w:rsidRDefault="00F8504A" w:rsidP="00FE5B91">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 xml:space="preserve">Metropolitan, </w:t>
                </w:r>
                <w:r w:rsidR="00FE5B91">
                  <w:rPr>
                    <w:rFonts w:ascii="Garamond" w:eastAsia="Times New Roman" w:hAnsi="Garamond" w:cs="Times New Roman"/>
                    <w:color w:val="000000"/>
                  </w:rPr>
                  <w:t>M</w:t>
                </w:r>
                <w:r w:rsidRPr="00D32B4A">
                  <w:rPr>
                    <w:rFonts w:ascii="Garamond" w:eastAsia="Times New Roman" w:hAnsi="Garamond" w:cs="Times New Roman"/>
                    <w:color w:val="000000"/>
                  </w:rPr>
                  <w:t xml:space="preserve">unicipal, and </w:t>
                </w:r>
                <w:r w:rsidR="00FE5B91">
                  <w:rPr>
                    <w:rFonts w:ascii="Garamond" w:eastAsia="Times New Roman" w:hAnsi="Garamond" w:cs="Times New Roman"/>
                    <w:color w:val="000000"/>
                  </w:rPr>
                  <w:t>D</w:t>
                </w:r>
                <w:r w:rsidRPr="00D32B4A">
                  <w:rPr>
                    <w:rFonts w:ascii="Garamond" w:eastAsia="Times New Roman" w:hAnsi="Garamond" w:cs="Times New Roman"/>
                    <w:color w:val="000000"/>
                  </w:rPr>
                  <w:t xml:space="preserve">istrict </w:t>
                </w:r>
                <w:r w:rsidR="00FE5B91">
                  <w:rPr>
                    <w:rFonts w:ascii="Garamond" w:eastAsia="Times New Roman" w:hAnsi="Garamond" w:cs="Times New Roman"/>
                    <w:color w:val="000000"/>
                  </w:rPr>
                  <w:t>A</w:t>
                </w:r>
                <w:r w:rsidRPr="00D32B4A">
                  <w:rPr>
                    <w:rFonts w:ascii="Garamond" w:eastAsia="Times New Roman" w:hAnsi="Garamond" w:cs="Times New Roman"/>
                    <w:color w:val="000000"/>
                  </w:rPr>
                  <w:t>ssemblies</w:t>
                </w:r>
              </w:p>
            </w:tc>
          </w:tr>
          <w:tr w:rsidR="00F8504A" w:rsidRPr="00D32B4A" w14:paraId="70DA8DB4" w14:textId="77777777" w:rsidTr="00F1147B">
            <w:trPr>
              <w:trHeight w:val="320"/>
            </w:trPr>
            <w:tc>
              <w:tcPr>
                <w:tcW w:w="1980" w:type="dxa"/>
                <w:shd w:val="clear" w:color="auto" w:fill="auto"/>
                <w:noWrap/>
                <w:vAlign w:val="bottom"/>
                <w:hideMark/>
              </w:tcPr>
              <w:p w14:paraId="02046478"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MoE</w:t>
                </w:r>
              </w:p>
            </w:tc>
            <w:tc>
              <w:tcPr>
                <w:tcW w:w="6180" w:type="dxa"/>
                <w:shd w:val="clear" w:color="auto" w:fill="auto"/>
                <w:noWrap/>
                <w:vAlign w:val="center"/>
                <w:hideMark/>
              </w:tcPr>
              <w:p w14:paraId="7D8EF85A"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Ministry of Education</w:t>
                </w:r>
              </w:p>
            </w:tc>
          </w:tr>
          <w:tr w:rsidR="00F8504A" w:rsidRPr="00D32B4A" w14:paraId="522D9CEE" w14:textId="77777777" w:rsidTr="00F1147B">
            <w:trPr>
              <w:trHeight w:val="320"/>
            </w:trPr>
            <w:tc>
              <w:tcPr>
                <w:tcW w:w="1980" w:type="dxa"/>
                <w:shd w:val="clear" w:color="000000" w:fill="FFFFFF"/>
                <w:noWrap/>
                <w:vAlign w:val="bottom"/>
                <w:hideMark/>
              </w:tcPr>
              <w:p w14:paraId="0B7B30A6"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MoF</w:t>
                </w:r>
              </w:p>
            </w:tc>
            <w:tc>
              <w:tcPr>
                <w:tcW w:w="6180" w:type="dxa"/>
                <w:shd w:val="clear" w:color="auto" w:fill="auto"/>
                <w:noWrap/>
                <w:vAlign w:val="center"/>
                <w:hideMark/>
              </w:tcPr>
              <w:p w14:paraId="10060655"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Ministry of Finance</w:t>
                </w:r>
              </w:p>
            </w:tc>
          </w:tr>
          <w:tr w:rsidR="00F8504A" w:rsidRPr="00D32B4A" w14:paraId="1F1F7787" w14:textId="77777777" w:rsidTr="00F1147B">
            <w:trPr>
              <w:trHeight w:val="320"/>
            </w:trPr>
            <w:tc>
              <w:tcPr>
                <w:tcW w:w="1980" w:type="dxa"/>
                <w:shd w:val="clear" w:color="auto" w:fill="auto"/>
                <w:noWrap/>
                <w:vAlign w:val="bottom"/>
                <w:hideMark/>
              </w:tcPr>
              <w:p w14:paraId="3AEA3D30"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MoFA</w:t>
                </w:r>
              </w:p>
            </w:tc>
            <w:tc>
              <w:tcPr>
                <w:tcW w:w="6180" w:type="dxa"/>
                <w:shd w:val="clear" w:color="auto" w:fill="auto"/>
                <w:noWrap/>
                <w:vAlign w:val="center"/>
                <w:hideMark/>
              </w:tcPr>
              <w:p w14:paraId="473A3566"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Ministry of Food and Agriculture</w:t>
                </w:r>
              </w:p>
            </w:tc>
          </w:tr>
          <w:tr w:rsidR="00F8504A" w:rsidRPr="00D32B4A" w14:paraId="69AE2C32" w14:textId="77777777" w:rsidTr="00F1147B">
            <w:trPr>
              <w:trHeight w:val="320"/>
            </w:trPr>
            <w:tc>
              <w:tcPr>
                <w:tcW w:w="1980" w:type="dxa"/>
                <w:shd w:val="clear" w:color="auto" w:fill="auto"/>
                <w:noWrap/>
                <w:vAlign w:val="bottom"/>
                <w:hideMark/>
              </w:tcPr>
              <w:p w14:paraId="153937FC"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MoH</w:t>
                </w:r>
              </w:p>
            </w:tc>
            <w:tc>
              <w:tcPr>
                <w:tcW w:w="6180" w:type="dxa"/>
                <w:shd w:val="clear" w:color="auto" w:fill="auto"/>
                <w:noWrap/>
                <w:vAlign w:val="center"/>
                <w:hideMark/>
              </w:tcPr>
              <w:p w14:paraId="4F256C07"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Ministry of Health</w:t>
                </w:r>
              </w:p>
            </w:tc>
          </w:tr>
          <w:tr w:rsidR="00F1147B" w:rsidRPr="00D32B4A" w14:paraId="10438214" w14:textId="77777777" w:rsidTr="00F1147B">
            <w:trPr>
              <w:trHeight w:val="320"/>
            </w:trPr>
            <w:tc>
              <w:tcPr>
                <w:tcW w:w="1980" w:type="dxa"/>
                <w:shd w:val="clear" w:color="auto" w:fill="auto"/>
                <w:noWrap/>
                <w:vAlign w:val="bottom"/>
              </w:tcPr>
              <w:p w14:paraId="59E26A55" w14:textId="77777777" w:rsidR="00F1147B" w:rsidRPr="00F1147B" w:rsidRDefault="00F1147B" w:rsidP="00F1147B">
                <w:pPr>
                  <w:spacing w:after="0" w:line="240" w:lineRule="auto"/>
                  <w:rPr>
                    <w:rFonts w:ascii="Garamond" w:eastAsia="Times New Roman" w:hAnsi="Garamond" w:cs="Times New Roman"/>
                  </w:rPr>
                </w:pPr>
                <w:r w:rsidRPr="00F1147B">
                  <w:rPr>
                    <w:rFonts w:ascii="Garamond" w:eastAsia="Times New Roman" w:hAnsi="Garamond" w:cs="Times New Roman"/>
                  </w:rPr>
                  <w:t>MLGRD</w:t>
                </w:r>
              </w:p>
            </w:tc>
            <w:tc>
              <w:tcPr>
                <w:tcW w:w="6180" w:type="dxa"/>
                <w:shd w:val="clear" w:color="auto" w:fill="auto"/>
                <w:noWrap/>
                <w:vAlign w:val="center"/>
              </w:tcPr>
              <w:p w14:paraId="5E16157F" w14:textId="605ECFD4" w:rsidR="00F1147B" w:rsidRPr="00F1147B" w:rsidRDefault="00F1147B" w:rsidP="00F1147B">
                <w:pPr>
                  <w:spacing w:after="0" w:line="240" w:lineRule="auto"/>
                  <w:rPr>
                    <w:rFonts w:ascii="Garamond" w:eastAsia="Times New Roman" w:hAnsi="Garamond" w:cs="Times New Roman"/>
                  </w:rPr>
                </w:pPr>
                <w:r w:rsidRPr="00F1147B">
                  <w:rPr>
                    <w:rFonts w:ascii="Garamond" w:eastAsia="Times New Roman" w:hAnsi="Garamond" w:cs="Times New Roman"/>
                  </w:rPr>
                  <w:t>Ministry of Local Government and Rural Development</w:t>
                </w:r>
              </w:p>
            </w:tc>
          </w:tr>
          <w:tr w:rsidR="00F8504A" w:rsidRPr="00D32B4A" w14:paraId="6A4C580C" w14:textId="77777777" w:rsidTr="00F1147B">
            <w:trPr>
              <w:trHeight w:val="320"/>
            </w:trPr>
            <w:tc>
              <w:tcPr>
                <w:tcW w:w="1980" w:type="dxa"/>
                <w:shd w:val="clear" w:color="auto" w:fill="auto"/>
                <w:noWrap/>
                <w:vAlign w:val="bottom"/>
                <w:hideMark/>
              </w:tcPr>
              <w:p w14:paraId="3C0F645C" w14:textId="053C40EB" w:rsidR="00590FDD" w:rsidRDefault="00590FDD" w:rsidP="00F8504A">
                <w:pPr>
                  <w:spacing w:after="0" w:line="240" w:lineRule="auto"/>
                  <w:rPr>
                    <w:rFonts w:ascii="Garamond" w:eastAsia="Times New Roman" w:hAnsi="Garamond" w:cs="Times New Roman"/>
                    <w:color w:val="000000"/>
                  </w:rPr>
                </w:pPr>
                <w:r>
                  <w:rPr>
                    <w:rFonts w:ascii="Garamond" w:eastAsia="Times New Roman" w:hAnsi="Garamond" w:cs="Times New Roman"/>
                    <w:color w:val="000000"/>
                  </w:rPr>
                  <w:t>NACCA</w:t>
                </w:r>
              </w:p>
              <w:p w14:paraId="08E2040C"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NHIS</w:t>
                </w:r>
              </w:p>
            </w:tc>
            <w:tc>
              <w:tcPr>
                <w:tcW w:w="6180" w:type="dxa"/>
                <w:shd w:val="clear" w:color="auto" w:fill="auto"/>
                <w:noWrap/>
                <w:vAlign w:val="center"/>
                <w:hideMark/>
              </w:tcPr>
              <w:p w14:paraId="739322E7" w14:textId="6B902E64" w:rsidR="00590FDD" w:rsidRDefault="00590FDD" w:rsidP="00F8504A">
                <w:pPr>
                  <w:spacing w:after="0" w:line="240" w:lineRule="auto"/>
                  <w:rPr>
                    <w:rFonts w:ascii="Garamond" w:eastAsia="Times New Roman" w:hAnsi="Garamond" w:cs="Times New Roman"/>
                    <w:color w:val="000000"/>
                  </w:rPr>
                </w:pPr>
                <w:r w:rsidRPr="00590FDD">
                  <w:rPr>
                    <w:rFonts w:ascii="Garamond" w:eastAsia="Times New Roman" w:hAnsi="Garamond" w:cs="Times New Roman"/>
                    <w:color w:val="000000"/>
                  </w:rPr>
                  <w:t>National Council for Curriculum and Assessment</w:t>
                </w:r>
              </w:p>
              <w:p w14:paraId="61C1FE79"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National Health Insurance Scheme</w:t>
                </w:r>
              </w:p>
            </w:tc>
          </w:tr>
          <w:tr w:rsidR="00F8504A" w:rsidRPr="00D32B4A" w14:paraId="1BBEF0CF" w14:textId="77777777" w:rsidTr="00F1147B">
            <w:trPr>
              <w:trHeight w:val="320"/>
            </w:trPr>
            <w:tc>
              <w:tcPr>
                <w:tcW w:w="1980" w:type="dxa"/>
                <w:shd w:val="clear" w:color="auto" w:fill="auto"/>
                <w:noWrap/>
                <w:vAlign w:val="bottom"/>
                <w:hideMark/>
              </w:tcPr>
              <w:p w14:paraId="0DDABA60"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OECD</w:t>
                </w:r>
              </w:p>
            </w:tc>
            <w:tc>
              <w:tcPr>
                <w:tcW w:w="6180" w:type="dxa"/>
                <w:shd w:val="clear" w:color="auto" w:fill="auto"/>
                <w:noWrap/>
                <w:vAlign w:val="center"/>
                <w:hideMark/>
              </w:tcPr>
              <w:p w14:paraId="1B2CAB93" w14:textId="77777777" w:rsidR="00F8504A" w:rsidRPr="00D32B4A" w:rsidRDefault="00205F8C"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Organization</w:t>
                </w:r>
                <w:r w:rsidR="00F8504A" w:rsidRPr="00D32B4A">
                  <w:rPr>
                    <w:rFonts w:ascii="Garamond" w:eastAsia="Times New Roman" w:hAnsi="Garamond" w:cs="Times New Roman"/>
                    <w:color w:val="000000"/>
                  </w:rPr>
                  <w:t xml:space="preserve"> for Economic Co-operation and Development</w:t>
                </w:r>
              </w:p>
            </w:tc>
          </w:tr>
          <w:tr w:rsidR="00F8504A" w:rsidRPr="00D32B4A" w14:paraId="0CCA230B" w14:textId="77777777" w:rsidTr="00F1147B">
            <w:trPr>
              <w:trHeight w:val="320"/>
            </w:trPr>
            <w:tc>
              <w:tcPr>
                <w:tcW w:w="1980" w:type="dxa"/>
                <w:shd w:val="clear" w:color="000000" w:fill="FFFFFF"/>
                <w:noWrap/>
                <w:vAlign w:val="bottom"/>
                <w:hideMark/>
              </w:tcPr>
              <w:p w14:paraId="0728F6D7"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PFM</w:t>
                </w:r>
              </w:p>
            </w:tc>
            <w:tc>
              <w:tcPr>
                <w:tcW w:w="6180" w:type="dxa"/>
                <w:shd w:val="clear" w:color="auto" w:fill="auto"/>
                <w:noWrap/>
                <w:vAlign w:val="center"/>
                <w:hideMark/>
              </w:tcPr>
              <w:p w14:paraId="49924E14" w14:textId="77777777" w:rsidR="00F8504A" w:rsidRPr="00D32B4A" w:rsidRDefault="00F8504A" w:rsidP="00FE5B91">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 xml:space="preserve">Public </w:t>
                </w:r>
                <w:r w:rsidR="00FE5B91">
                  <w:rPr>
                    <w:rFonts w:ascii="Garamond" w:eastAsia="Times New Roman" w:hAnsi="Garamond" w:cs="Times New Roman"/>
                    <w:color w:val="000000"/>
                  </w:rPr>
                  <w:t>F</w:t>
                </w:r>
                <w:r w:rsidRPr="00D32B4A">
                  <w:rPr>
                    <w:rFonts w:ascii="Garamond" w:eastAsia="Times New Roman" w:hAnsi="Garamond" w:cs="Times New Roman"/>
                    <w:color w:val="000000"/>
                  </w:rPr>
                  <w:t xml:space="preserve">inancial </w:t>
                </w:r>
                <w:r w:rsidR="00FE5B91">
                  <w:rPr>
                    <w:rFonts w:ascii="Garamond" w:eastAsia="Times New Roman" w:hAnsi="Garamond" w:cs="Times New Roman"/>
                    <w:color w:val="000000"/>
                  </w:rPr>
                  <w:t>M</w:t>
                </w:r>
                <w:r w:rsidRPr="00D32B4A">
                  <w:rPr>
                    <w:rFonts w:ascii="Garamond" w:eastAsia="Times New Roman" w:hAnsi="Garamond" w:cs="Times New Roman"/>
                    <w:color w:val="000000"/>
                  </w:rPr>
                  <w:t>anagement</w:t>
                </w:r>
              </w:p>
            </w:tc>
          </w:tr>
          <w:tr w:rsidR="00F8504A" w:rsidRPr="00D32B4A" w14:paraId="0F2FCE7C" w14:textId="77777777" w:rsidTr="00F1147B">
            <w:trPr>
              <w:trHeight w:val="320"/>
            </w:trPr>
            <w:tc>
              <w:tcPr>
                <w:tcW w:w="1980" w:type="dxa"/>
                <w:shd w:val="clear" w:color="auto" w:fill="auto"/>
                <w:noWrap/>
                <w:vAlign w:val="bottom"/>
                <w:hideMark/>
              </w:tcPr>
              <w:p w14:paraId="41AF254D"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PPPs</w:t>
                </w:r>
              </w:p>
            </w:tc>
            <w:tc>
              <w:tcPr>
                <w:tcW w:w="6180" w:type="dxa"/>
                <w:shd w:val="clear" w:color="auto" w:fill="auto"/>
                <w:noWrap/>
                <w:vAlign w:val="center"/>
                <w:hideMark/>
              </w:tcPr>
              <w:p w14:paraId="7736DFAC" w14:textId="77777777" w:rsidR="00F8504A" w:rsidRPr="00D32B4A" w:rsidRDefault="00F8504A" w:rsidP="00FE5B91">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Public-</w:t>
                </w:r>
                <w:r w:rsidR="00FE5B91">
                  <w:rPr>
                    <w:rFonts w:ascii="Garamond" w:eastAsia="Times New Roman" w:hAnsi="Garamond" w:cs="Times New Roman"/>
                    <w:color w:val="000000"/>
                  </w:rPr>
                  <w:t>P</w:t>
                </w:r>
                <w:r w:rsidRPr="00D32B4A">
                  <w:rPr>
                    <w:rFonts w:ascii="Garamond" w:eastAsia="Times New Roman" w:hAnsi="Garamond" w:cs="Times New Roman"/>
                    <w:color w:val="000000"/>
                  </w:rPr>
                  <w:t xml:space="preserve">rivate </w:t>
                </w:r>
                <w:r w:rsidR="00FE5B91">
                  <w:rPr>
                    <w:rFonts w:ascii="Garamond" w:eastAsia="Times New Roman" w:hAnsi="Garamond" w:cs="Times New Roman"/>
                    <w:color w:val="000000"/>
                  </w:rPr>
                  <w:t>P</w:t>
                </w:r>
                <w:r w:rsidRPr="00D32B4A">
                  <w:rPr>
                    <w:rFonts w:ascii="Garamond" w:eastAsia="Times New Roman" w:hAnsi="Garamond" w:cs="Times New Roman"/>
                    <w:color w:val="000000"/>
                  </w:rPr>
                  <w:t>artnerships</w:t>
                </w:r>
              </w:p>
            </w:tc>
          </w:tr>
          <w:tr w:rsidR="00F8504A" w:rsidRPr="00D32B4A" w14:paraId="351822E8" w14:textId="77777777" w:rsidTr="00F1147B">
            <w:trPr>
              <w:trHeight w:val="320"/>
            </w:trPr>
            <w:tc>
              <w:tcPr>
                <w:tcW w:w="1980" w:type="dxa"/>
                <w:shd w:val="clear" w:color="auto" w:fill="auto"/>
                <w:noWrap/>
                <w:vAlign w:val="bottom"/>
                <w:hideMark/>
              </w:tcPr>
              <w:p w14:paraId="38112E69"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SADA</w:t>
                </w:r>
              </w:p>
            </w:tc>
            <w:tc>
              <w:tcPr>
                <w:tcW w:w="6180" w:type="dxa"/>
                <w:shd w:val="clear" w:color="auto" w:fill="auto"/>
                <w:noWrap/>
                <w:vAlign w:val="center"/>
                <w:hideMark/>
              </w:tcPr>
              <w:p w14:paraId="062E30F0"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 xml:space="preserve">Savannah Accelerated Development Authority </w:t>
                </w:r>
              </w:p>
            </w:tc>
          </w:tr>
          <w:tr w:rsidR="00F8504A" w:rsidRPr="00D32B4A" w14:paraId="1163074E" w14:textId="77777777" w:rsidTr="00F1147B">
            <w:trPr>
              <w:trHeight w:val="320"/>
            </w:trPr>
            <w:tc>
              <w:tcPr>
                <w:tcW w:w="1980" w:type="dxa"/>
                <w:shd w:val="clear" w:color="auto" w:fill="auto"/>
                <w:noWrap/>
                <w:vAlign w:val="bottom"/>
                <w:hideMark/>
              </w:tcPr>
              <w:p w14:paraId="79FFEF33"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SHS</w:t>
                </w:r>
              </w:p>
            </w:tc>
            <w:tc>
              <w:tcPr>
                <w:tcW w:w="6180" w:type="dxa"/>
                <w:shd w:val="clear" w:color="auto" w:fill="auto"/>
                <w:noWrap/>
                <w:vAlign w:val="center"/>
                <w:hideMark/>
              </w:tcPr>
              <w:p w14:paraId="6A887E52" w14:textId="77777777" w:rsidR="00F8504A" w:rsidRPr="00D32B4A" w:rsidRDefault="00F8504A" w:rsidP="00FE5B91">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 xml:space="preserve">Senior </w:t>
                </w:r>
                <w:r w:rsidR="00FE5B91">
                  <w:rPr>
                    <w:rFonts w:ascii="Garamond" w:eastAsia="Times New Roman" w:hAnsi="Garamond" w:cs="Times New Roman"/>
                    <w:color w:val="000000"/>
                  </w:rPr>
                  <w:t>H</w:t>
                </w:r>
                <w:r w:rsidRPr="00D32B4A">
                  <w:rPr>
                    <w:rFonts w:ascii="Garamond" w:eastAsia="Times New Roman" w:hAnsi="Garamond" w:cs="Times New Roman"/>
                    <w:color w:val="000000"/>
                  </w:rPr>
                  <w:t xml:space="preserve">igh </w:t>
                </w:r>
                <w:r w:rsidR="00FE5B91">
                  <w:rPr>
                    <w:rFonts w:ascii="Garamond" w:eastAsia="Times New Roman" w:hAnsi="Garamond" w:cs="Times New Roman"/>
                    <w:color w:val="000000"/>
                  </w:rPr>
                  <w:t>S</w:t>
                </w:r>
                <w:r w:rsidRPr="00D32B4A">
                  <w:rPr>
                    <w:rFonts w:ascii="Garamond" w:eastAsia="Times New Roman" w:hAnsi="Garamond" w:cs="Times New Roman"/>
                    <w:color w:val="000000"/>
                  </w:rPr>
                  <w:t>chool</w:t>
                </w:r>
              </w:p>
            </w:tc>
          </w:tr>
          <w:tr w:rsidR="00F8504A" w:rsidRPr="00D32B4A" w14:paraId="2960A40B" w14:textId="77777777" w:rsidTr="00F1147B">
            <w:trPr>
              <w:trHeight w:val="320"/>
            </w:trPr>
            <w:tc>
              <w:tcPr>
                <w:tcW w:w="1980" w:type="dxa"/>
                <w:shd w:val="clear" w:color="auto" w:fill="auto"/>
                <w:noWrap/>
                <w:vAlign w:val="bottom"/>
                <w:hideMark/>
              </w:tcPr>
              <w:p w14:paraId="1F1BE3F3"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SOEs</w:t>
                </w:r>
              </w:p>
            </w:tc>
            <w:tc>
              <w:tcPr>
                <w:tcW w:w="6180" w:type="dxa"/>
                <w:shd w:val="clear" w:color="auto" w:fill="auto"/>
                <w:noWrap/>
                <w:vAlign w:val="center"/>
                <w:hideMark/>
              </w:tcPr>
              <w:p w14:paraId="0C04A5FD" w14:textId="77777777" w:rsidR="00F8504A" w:rsidRPr="00D32B4A" w:rsidRDefault="00F8504A" w:rsidP="00FE5B91">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 xml:space="preserve">State-owned </w:t>
                </w:r>
                <w:r w:rsidR="00FE5B91">
                  <w:rPr>
                    <w:rFonts w:ascii="Garamond" w:eastAsia="Times New Roman" w:hAnsi="Garamond" w:cs="Times New Roman"/>
                    <w:color w:val="000000"/>
                  </w:rPr>
                  <w:t>E</w:t>
                </w:r>
                <w:r w:rsidRPr="00D32B4A">
                  <w:rPr>
                    <w:rFonts w:ascii="Garamond" w:eastAsia="Times New Roman" w:hAnsi="Garamond" w:cs="Times New Roman"/>
                    <w:color w:val="000000"/>
                  </w:rPr>
                  <w:t>nterprises</w:t>
                </w:r>
              </w:p>
            </w:tc>
          </w:tr>
          <w:tr w:rsidR="00F8504A" w:rsidRPr="00D32B4A" w14:paraId="4D0CE648" w14:textId="77777777" w:rsidTr="00F1147B">
            <w:trPr>
              <w:trHeight w:val="320"/>
            </w:trPr>
            <w:tc>
              <w:tcPr>
                <w:tcW w:w="1980" w:type="dxa"/>
                <w:shd w:val="clear" w:color="auto" w:fill="auto"/>
                <w:noWrap/>
                <w:vAlign w:val="bottom"/>
                <w:hideMark/>
              </w:tcPr>
              <w:p w14:paraId="7B81F842"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SSA</w:t>
                </w:r>
              </w:p>
            </w:tc>
            <w:tc>
              <w:tcPr>
                <w:tcW w:w="6180" w:type="dxa"/>
                <w:shd w:val="clear" w:color="auto" w:fill="auto"/>
                <w:noWrap/>
                <w:vAlign w:val="center"/>
                <w:hideMark/>
              </w:tcPr>
              <w:p w14:paraId="441DFA02"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Sub-Saharan African</w:t>
                </w:r>
              </w:p>
            </w:tc>
          </w:tr>
          <w:tr w:rsidR="00F8504A" w:rsidRPr="00D32B4A" w14:paraId="0065ECF7" w14:textId="77777777" w:rsidTr="00F1147B">
            <w:trPr>
              <w:trHeight w:val="320"/>
            </w:trPr>
            <w:tc>
              <w:tcPr>
                <w:tcW w:w="1980" w:type="dxa"/>
                <w:shd w:val="clear" w:color="auto" w:fill="auto"/>
                <w:noWrap/>
                <w:vAlign w:val="bottom"/>
                <w:hideMark/>
              </w:tcPr>
              <w:p w14:paraId="02EB43E8"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SSNIT</w:t>
                </w:r>
              </w:p>
            </w:tc>
            <w:tc>
              <w:tcPr>
                <w:tcW w:w="6180" w:type="dxa"/>
                <w:shd w:val="clear" w:color="auto" w:fill="auto"/>
                <w:noWrap/>
                <w:vAlign w:val="center"/>
                <w:hideMark/>
              </w:tcPr>
              <w:p w14:paraId="1698D667"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Social Security and National Insurance Trust</w:t>
                </w:r>
              </w:p>
            </w:tc>
          </w:tr>
          <w:tr w:rsidR="00F8504A" w:rsidRPr="00D32B4A" w14:paraId="5A0C0389" w14:textId="77777777" w:rsidTr="00F1147B">
            <w:trPr>
              <w:trHeight w:val="320"/>
            </w:trPr>
            <w:tc>
              <w:tcPr>
                <w:tcW w:w="1980" w:type="dxa"/>
                <w:shd w:val="clear" w:color="000000" w:fill="FFFFFF"/>
                <w:noWrap/>
                <w:vAlign w:val="bottom"/>
                <w:hideMark/>
              </w:tcPr>
              <w:p w14:paraId="6140650B"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SSSS</w:t>
                </w:r>
              </w:p>
            </w:tc>
            <w:tc>
              <w:tcPr>
                <w:tcW w:w="6180" w:type="dxa"/>
                <w:shd w:val="clear" w:color="auto" w:fill="auto"/>
                <w:noWrap/>
                <w:vAlign w:val="center"/>
                <w:hideMark/>
              </w:tcPr>
              <w:p w14:paraId="7E71425E" w14:textId="77777777" w:rsidR="00F8504A" w:rsidRPr="00D32B4A" w:rsidRDefault="00F8504A" w:rsidP="00FE5B91">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Single-</w:t>
                </w:r>
                <w:r w:rsidR="00FE5B91">
                  <w:rPr>
                    <w:rFonts w:ascii="Garamond" w:eastAsia="Times New Roman" w:hAnsi="Garamond" w:cs="Times New Roman"/>
                    <w:color w:val="000000"/>
                  </w:rPr>
                  <w:t>S</w:t>
                </w:r>
                <w:r w:rsidRPr="00D32B4A">
                  <w:rPr>
                    <w:rFonts w:ascii="Garamond" w:eastAsia="Times New Roman" w:hAnsi="Garamond" w:cs="Times New Roman"/>
                    <w:color w:val="000000"/>
                  </w:rPr>
                  <w:t xml:space="preserve">pine </w:t>
                </w:r>
                <w:r w:rsidR="00FE5B91">
                  <w:rPr>
                    <w:rFonts w:ascii="Garamond" w:eastAsia="Times New Roman" w:hAnsi="Garamond" w:cs="Times New Roman"/>
                    <w:color w:val="000000"/>
                  </w:rPr>
                  <w:t>S</w:t>
                </w:r>
                <w:r w:rsidRPr="00D32B4A">
                  <w:rPr>
                    <w:rFonts w:ascii="Garamond" w:eastAsia="Times New Roman" w:hAnsi="Garamond" w:cs="Times New Roman"/>
                    <w:color w:val="000000"/>
                  </w:rPr>
                  <w:t xml:space="preserve">alary </w:t>
                </w:r>
                <w:r w:rsidR="00FE5B91">
                  <w:rPr>
                    <w:rFonts w:ascii="Garamond" w:eastAsia="Times New Roman" w:hAnsi="Garamond" w:cs="Times New Roman"/>
                    <w:color w:val="000000"/>
                  </w:rPr>
                  <w:t>S</w:t>
                </w:r>
                <w:r w:rsidRPr="00D32B4A">
                  <w:rPr>
                    <w:rFonts w:ascii="Garamond" w:eastAsia="Times New Roman" w:hAnsi="Garamond" w:cs="Times New Roman"/>
                    <w:color w:val="000000"/>
                  </w:rPr>
                  <w:t>tructure</w:t>
                </w:r>
              </w:p>
            </w:tc>
          </w:tr>
          <w:tr w:rsidR="00F8504A" w:rsidRPr="00D32B4A" w14:paraId="03644AB0" w14:textId="77777777" w:rsidTr="00F1147B">
            <w:trPr>
              <w:trHeight w:val="320"/>
            </w:trPr>
            <w:tc>
              <w:tcPr>
                <w:tcW w:w="1980" w:type="dxa"/>
                <w:shd w:val="clear" w:color="auto" w:fill="auto"/>
                <w:noWrap/>
                <w:vAlign w:val="bottom"/>
                <w:hideMark/>
              </w:tcPr>
              <w:p w14:paraId="19F0947C"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lastRenderedPageBreak/>
                  <w:t>STEM</w:t>
                </w:r>
              </w:p>
            </w:tc>
            <w:tc>
              <w:tcPr>
                <w:tcW w:w="6180" w:type="dxa"/>
                <w:shd w:val="clear" w:color="auto" w:fill="auto"/>
                <w:noWrap/>
                <w:vAlign w:val="center"/>
                <w:hideMark/>
              </w:tcPr>
              <w:p w14:paraId="3D7D1A3C" w14:textId="77777777" w:rsidR="00F8504A" w:rsidRPr="00D32B4A" w:rsidRDefault="00F8504A" w:rsidP="00FE5B91">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 xml:space="preserve">Science, </w:t>
                </w:r>
                <w:r w:rsidR="00FE5B91">
                  <w:rPr>
                    <w:rFonts w:ascii="Garamond" w:eastAsia="Times New Roman" w:hAnsi="Garamond" w:cs="Times New Roman"/>
                    <w:color w:val="000000"/>
                  </w:rPr>
                  <w:t>T</w:t>
                </w:r>
                <w:r w:rsidRPr="00D32B4A">
                  <w:rPr>
                    <w:rFonts w:ascii="Garamond" w:eastAsia="Times New Roman" w:hAnsi="Garamond" w:cs="Times New Roman"/>
                    <w:color w:val="000000"/>
                  </w:rPr>
                  <w:t xml:space="preserve">echnology, </w:t>
                </w:r>
                <w:r w:rsidR="00FE5B91">
                  <w:rPr>
                    <w:rFonts w:ascii="Garamond" w:eastAsia="Times New Roman" w:hAnsi="Garamond" w:cs="Times New Roman"/>
                    <w:color w:val="000000"/>
                  </w:rPr>
                  <w:t>E</w:t>
                </w:r>
                <w:r w:rsidRPr="00D32B4A">
                  <w:rPr>
                    <w:rFonts w:ascii="Garamond" w:eastAsia="Times New Roman" w:hAnsi="Garamond" w:cs="Times New Roman"/>
                    <w:color w:val="000000"/>
                  </w:rPr>
                  <w:t xml:space="preserve">ngineering and </w:t>
                </w:r>
                <w:r w:rsidR="00FE5B91">
                  <w:rPr>
                    <w:rFonts w:ascii="Garamond" w:eastAsia="Times New Roman" w:hAnsi="Garamond" w:cs="Times New Roman"/>
                    <w:color w:val="000000"/>
                  </w:rPr>
                  <w:t>M</w:t>
                </w:r>
                <w:r w:rsidRPr="00D32B4A">
                  <w:rPr>
                    <w:rFonts w:ascii="Garamond" w:eastAsia="Times New Roman" w:hAnsi="Garamond" w:cs="Times New Roman"/>
                    <w:color w:val="000000"/>
                  </w:rPr>
                  <w:t>athematics</w:t>
                </w:r>
              </w:p>
            </w:tc>
          </w:tr>
          <w:tr w:rsidR="00F8504A" w:rsidRPr="00D32B4A" w14:paraId="442F669F" w14:textId="77777777" w:rsidTr="00F1147B">
            <w:trPr>
              <w:trHeight w:val="320"/>
            </w:trPr>
            <w:tc>
              <w:tcPr>
                <w:tcW w:w="1980" w:type="dxa"/>
                <w:shd w:val="clear" w:color="auto" w:fill="auto"/>
                <w:noWrap/>
                <w:vAlign w:val="bottom"/>
                <w:hideMark/>
              </w:tcPr>
              <w:p w14:paraId="39920214"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TVET</w:t>
                </w:r>
              </w:p>
            </w:tc>
            <w:tc>
              <w:tcPr>
                <w:tcW w:w="6180" w:type="dxa"/>
                <w:shd w:val="clear" w:color="auto" w:fill="auto"/>
                <w:noWrap/>
                <w:vAlign w:val="center"/>
                <w:hideMark/>
              </w:tcPr>
              <w:p w14:paraId="31667F53" w14:textId="77777777" w:rsidR="00F8504A" w:rsidRPr="00D32B4A" w:rsidRDefault="00F8504A" w:rsidP="00FE5B91">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 xml:space="preserve">Technical and </w:t>
                </w:r>
                <w:r w:rsidR="00FE5B91">
                  <w:rPr>
                    <w:rFonts w:ascii="Garamond" w:eastAsia="Times New Roman" w:hAnsi="Garamond" w:cs="Times New Roman"/>
                    <w:color w:val="000000"/>
                  </w:rPr>
                  <w:t>V</w:t>
                </w:r>
                <w:r w:rsidRPr="00D32B4A">
                  <w:rPr>
                    <w:rFonts w:ascii="Garamond" w:eastAsia="Times New Roman" w:hAnsi="Garamond" w:cs="Times New Roman"/>
                    <w:color w:val="000000"/>
                  </w:rPr>
                  <w:t xml:space="preserve">ocational </w:t>
                </w:r>
                <w:r w:rsidR="00FE5B91">
                  <w:rPr>
                    <w:rFonts w:ascii="Garamond" w:eastAsia="Times New Roman" w:hAnsi="Garamond" w:cs="Times New Roman"/>
                    <w:color w:val="000000"/>
                  </w:rPr>
                  <w:t>E</w:t>
                </w:r>
                <w:r w:rsidRPr="00D32B4A">
                  <w:rPr>
                    <w:rFonts w:ascii="Garamond" w:eastAsia="Times New Roman" w:hAnsi="Garamond" w:cs="Times New Roman"/>
                    <w:color w:val="000000"/>
                  </w:rPr>
                  <w:t xml:space="preserve">ducation and </w:t>
                </w:r>
                <w:r w:rsidR="00FE5B91">
                  <w:rPr>
                    <w:rFonts w:ascii="Garamond" w:eastAsia="Times New Roman" w:hAnsi="Garamond" w:cs="Times New Roman"/>
                    <w:color w:val="000000"/>
                  </w:rPr>
                  <w:t>T</w:t>
                </w:r>
                <w:r w:rsidRPr="00D32B4A">
                  <w:rPr>
                    <w:rFonts w:ascii="Garamond" w:eastAsia="Times New Roman" w:hAnsi="Garamond" w:cs="Times New Roman"/>
                    <w:color w:val="000000"/>
                  </w:rPr>
                  <w:t>raining</w:t>
                </w:r>
              </w:p>
            </w:tc>
          </w:tr>
          <w:tr w:rsidR="00F8504A" w:rsidRPr="00D32B4A" w14:paraId="5D442B53" w14:textId="77777777" w:rsidTr="00F1147B">
            <w:trPr>
              <w:trHeight w:val="320"/>
            </w:trPr>
            <w:tc>
              <w:tcPr>
                <w:tcW w:w="1980" w:type="dxa"/>
                <w:shd w:val="clear" w:color="auto" w:fill="auto"/>
                <w:noWrap/>
                <w:vAlign w:val="bottom"/>
                <w:hideMark/>
              </w:tcPr>
              <w:p w14:paraId="6980C8F0" w14:textId="77777777" w:rsidR="00F8504A" w:rsidRPr="00D32B4A" w:rsidRDefault="00F8504A" w:rsidP="00F8504A">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VAT</w:t>
                </w:r>
              </w:p>
            </w:tc>
            <w:tc>
              <w:tcPr>
                <w:tcW w:w="6180" w:type="dxa"/>
                <w:shd w:val="clear" w:color="auto" w:fill="auto"/>
                <w:noWrap/>
                <w:vAlign w:val="center"/>
                <w:hideMark/>
              </w:tcPr>
              <w:p w14:paraId="0CA97D9A" w14:textId="249E266E" w:rsidR="00F8504A" w:rsidRPr="00D32B4A" w:rsidRDefault="00F8504A" w:rsidP="00FE5B91">
                <w:pPr>
                  <w:spacing w:after="0" w:line="240" w:lineRule="auto"/>
                  <w:rPr>
                    <w:rFonts w:ascii="Garamond" w:eastAsia="Times New Roman" w:hAnsi="Garamond" w:cs="Times New Roman"/>
                    <w:color w:val="000000"/>
                  </w:rPr>
                </w:pPr>
                <w:r w:rsidRPr="00D32B4A">
                  <w:rPr>
                    <w:rFonts w:ascii="Garamond" w:eastAsia="Times New Roman" w:hAnsi="Garamond" w:cs="Times New Roman"/>
                    <w:color w:val="000000"/>
                  </w:rPr>
                  <w:t xml:space="preserve">Value-added </w:t>
                </w:r>
                <w:r w:rsidR="00FE5B91">
                  <w:rPr>
                    <w:rFonts w:ascii="Garamond" w:eastAsia="Times New Roman" w:hAnsi="Garamond" w:cs="Times New Roman"/>
                    <w:color w:val="000000"/>
                  </w:rPr>
                  <w:t>T</w:t>
                </w:r>
                <w:r w:rsidRPr="00D32B4A">
                  <w:rPr>
                    <w:rFonts w:ascii="Garamond" w:eastAsia="Times New Roman" w:hAnsi="Garamond" w:cs="Times New Roman"/>
                    <w:color w:val="000000"/>
                  </w:rPr>
                  <w:t>ax</w:t>
                </w:r>
              </w:p>
            </w:tc>
          </w:tr>
        </w:tbl>
        <w:p w14:paraId="3586F700" w14:textId="77777777" w:rsidR="00590FDD" w:rsidRDefault="00590FDD" w:rsidP="00B84488"/>
        <w:p w14:paraId="7CFBC2AD" w14:textId="065E34F4" w:rsidR="00590FDD" w:rsidRPr="00590FDD" w:rsidRDefault="00590FDD" w:rsidP="00B84488">
          <w:r>
            <w:rPr>
              <w:lang w:bidi="en-US"/>
            </w:rPr>
            <w:br w:type="page"/>
          </w:r>
        </w:p>
        <w:p w14:paraId="1B3EF9B4" w14:textId="77777777" w:rsidR="00CD128E" w:rsidRDefault="00CD128E" w:rsidP="00CD128E">
          <w:pPr>
            <w:pStyle w:val="TOCHeading"/>
            <w:numPr>
              <w:ilvl w:val="0"/>
              <w:numId w:val="0"/>
            </w:numPr>
          </w:pPr>
          <w:r w:rsidRPr="00A6051C">
            <w:lastRenderedPageBreak/>
            <w:t>Acknowledgements</w:t>
          </w:r>
        </w:p>
        <w:p w14:paraId="59FE2D1B" w14:textId="77777777" w:rsidR="00CD128E" w:rsidRDefault="00CD128E" w:rsidP="00CD128E">
          <w:pPr>
            <w:keepNext/>
            <w:keepLines/>
            <w:spacing w:before="200" w:after="120"/>
            <w:jc w:val="both"/>
            <w:outlineLvl w:val="1"/>
          </w:pPr>
          <w:r>
            <w:t xml:space="preserve">This report was prepared by a World Bank team led by Dilek Aykut (Senior Economist, TTL) which included </w:t>
          </w:r>
          <w:r w:rsidRPr="00841669">
            <w:t>Kwabena Gyan Kwakye</w:t>
          </w:r>
          <w:r>
            <w:t xml:space="preserve"> (Macro Management and Fiscal Policy); Sebastian James and Felix Oppong (Tax Expenditure); Deryck Brown (Wage Bill);</w:t>
          </w:r>
          <w:r w:rsidRPr="008C159A">
            <w:t xml:space="preserve"> </w:t>
          </w:r>
          <w:r>
            <w:t xml:space="preserve">Peter Darvas and </w:t>
          </w:r>
          <w:r w:rsidRPr="00841669">
            <w:t xml:space="preserve">Yijun Shen </w:t>
          </w:r>
          <w:r>
            <w:t xml:space="preserve">(Education); Huihui Wang (Health); and Johannes Georges Pius Jansen (Agriculture). </w:t>
          </w:r>
          <w:r w:rsidRPr="00AA470C">
            <w:t>Sean Lothrop edited the report.</w:t>
          </w:r>
        </w:p>
        <w:p w14:paraId="07153FED" w14:textId="77777777" w:rsidR="00CD128E" w:rsidRDefault="00CD128E" w:rsidP="00CD128E">
          <w:pPr>
            <w:keepNext/>
            <w:keepLines/>
            <w:spacing w:before="200" w:after="120"/>
            <w:jc w:val="both"/>
            <w:outlineLvl w:val="1"/>
          </w:pPr>
          <w:r w:rsidRPr="00A47E51">
            <w:t>Errol George Graham</w:t>
          </w:r>
          <w:r>
            <w:t xml:space="preserve"> (Program Leader) supervised the preparation of the report and </w:t>
          </w:r>
          <w:r w:rsidR="001F675F">
            <w:t xml:space="preserve">Sona Varma (Lead Economist) </w:t>
          </w:r>
          <w:r>
            <w:t xml:space="preserve">provided useful comments and feedback during its development. </w:t>
          </w:r>
        </w:p>
        <w:p w14:paraId="554215C7" w14:textId="77777777" w:rsidR="00CD128E" w:rsidRDefault="00CD128E" w:rsidP="00CD128E">
          <w:pPr>
            <w:keepNext/>
            <w:keepLines/>
            <w:spacing w:before="200" w:after="120"/>
            <w:jc w:val="both"/>
            <w:outlineLvl w:val="1"/>
          </w:pPr>
          <w:r>
            <w:t xml:space="preserve">Overall guidance was provided by Seynabou Sakho (Practice Manager, GMFDR), </w:t>
          </w:r>
          <w:r w:rsidR="003B268D" w:rsidRPr="003B268D">
            <w:t xml:space="preserve">Paloma Anos Casero </w:t>
          </w:r>
          <w:r>
            <w:t>(Director, GMFDR), and Henry Ke</w:t>
          </w:r>
          <w:r w:rsidR="00FE5B91">
            <w:t>r</w:t>
          </w:r>
          <w:r>
            <w:t>a</w:t>
          </w:r>
          <w:r w:rsidR="00FE5B91">
            <w:t>l</w:t>
          </w:r>
          <w:r>
            <w:t>i (World Bank Country Director for Ghana).</w:t>
          </w:r>
        </w:p>
        <w:p w14:paraId="634A5359" w14:textId="77777777" w:rsidR="00CD128E" w:rsidRDefault="00CD128E" w:rsidP="00CD128E">
          <w:pPr>
            <w:keepNext/>
            <w:keepLines/>
            <w:spacing w:before="200" w:after="120"/>
            <w:jc w:val="both"/>
            <w:outlineLvl w:val="1"/>
          </w:pPr>
          <w:r>
            <w:t>The team benefitted from the collaboration of many colleagues. Kirk Schmidt</w:t>
          </w:r>
          <w:r w:rsidR="00162E54">
            <w:t xml:space="preserve"> analyzed </w:t>
          </w:r>
          <w:r>
            <w:t xml:space="preserve">the </w:t>
          </w:r>
          <w:r w:rsidR="00AD0F9F">
            <w:t xml:space="preserve">public financial management </w:t>
          </w:r>
          <w:r w:rsidR="00470585">
            <w:t xml:space="preserve">issues </w:t>
          </w:r>
          <w:r w:rsidR="00AD0F9F">
            <w:t xml:space="preserve">and expenditure data </w:t>
          </w:r>
          <w:r w:rsidR="00470585">
            <w:t>in Ghana</w:t>
          </w:r>
          <w:r w:rsidR="008D2E09">
            <w:t>.</w:t>
          </w:r>
          <w:r>
            <w:t xml:space="preserve"> </w:t>
          </w:r>
          <w:r w:rsidR="008D2E09">
            <w:t>T</w:t>
          </w:r>
          <w:r>
            <w:t>he chapter</w:t>
          </w:r>
          <w:r w:rsidR="003E05EF">
            <w:t>s</w:t>
          </w:r>
          <w:r>
            <w:t xml:space="preserve"> benefited from important contributions by Sona Varma</w:t>
          </w:r>
          <w:r w:rsidR="003E05EF">
            <w:t xml:space="preserve"> (Human Capital)</w:t>
          </w:r>
          <w:r>
            <w:t xml:space="preserve">; </w:t>
          </w:r>
          <w:r w:rsidRPr="00841669">
            <w:t>Kathleen G. Beegle</w:t>
          </w:r>
          <w:r>
            <w:t>,</w:t>
          </w:r>
          <w:r w:rsidRPr="00841669">
            <w:t xml:space="preserve"> Deborah Newitter Mikesell</w:t>
          </w:r>
          <w:r>
            <w:t xml:space="preserve"> and </w:t>
          </w:r>
          <w:r w:rsidRPr="00841669">
            <w:t>Eunice Yaa Brimfah Ackwerh</w:t>
          </w:r>
          <w:r>
            <w:t xml:space="preserve"> (Education)</w:t>
          </w:r>
          <w:r w:rsidR="001572B9">
            <w:t xml:space="preserve">; </w:t>
          </w:r>
          <w:r w:rsidR="003E05EF" w:rsidRPr="003E05EF">
            <w:t xml:space="preserve">Oscar Parlback </w:t>
          </w:r>
          <w:r w:rsidR="008D2E09">
            <w:t>(</w:t>
          </w:r>
          <w:r w:rsidR="003E05EF">
            <w:t>Tax Expenditure and editing of the report</w:t>
          </w:r>
          <w:r w:rsidR="008D2E09">
            <w:t>)</w:t>
          </w:r>
          <w:r w:rsidR="001572B9">
            <w:t xml:space="preserve"> and </w:t>
          </w:r>
          <w:r w:rsidR="001572B9" w:rsidRPr="001572B9">
            <w:t>Janine Walz</w:t>
          </w:r>
          <w:r w:rsidR="001572B9">
            <w:t xml:space="preserve"> (overall design of the report)</w:t>
          </w:r>
          <w:r w:rsidR="003E05EF">
            <w:t>.</w:t>
          </w:r>
        </w:p>
        <w:p w14:paraId="356C784A" w14:textId="77777777" w:rsidR="00CD128E" w:rsidRDefault="00CD128E" w:rsidP="00CD128E">
          <w:pPr>
            <w:keepNext/>
            <w:keepLines/>
            <w:spacing w:before="200" w:after="120"/>
            <w:jc w:val="both"/>
            <w:outlineLvl w:val="1"/>
          </w:pPr>
          <w:r>
            <w:t>Excellent comments were received from peer reviewers</w:t>
          </w:r>
          <w:r w:rsidR="002A0371">
            <w:t>:</w:t>
          </w:r>
          <w:r>
            <w:t xml:space="preserve"> </w:t>
          </w:r>
          <w:r w:rsidR="002A0371" w:rsidRPr="002A0371">
            <w:t>Madhur Gautam; Michael Geiger; Victor Christopher Kitange; Zahid Hasnain</w:t>
          </w:r>
          <w:r w:rsidR="0048415D">
            <w:t>;</w:t>
          </w:r>
          <w:r w:rsidR="001501CE">
            <w:t xml:space="preserve"> </w:t>
          </w:r>
          <w:r w:rsidR="001501CE" w:rsidRPr="002A0371">
            <w:t>Leif Jensen</w:t>
          </w:r>
          <w:r w:rsidR="002A0371" w:rsidRPr="002A0371">
            <w:t xml:space="preserve"> and Waly Wane.</w:t>
          </w:r>
          <w:r>
            <w:t xml:space="preserve"> </w:t>
          </w:r>
        </w:p>
        <w:p w14:paraId="1D4F8B7F" w14:textId="77777777" w:rsidR="009540A6" w:rsidRPr="00CD128E" w:rsidRDefault="00CD128E" w:rsidP="00CD128E">
          <w:pPr>
            <w:keepNext/>
            <w:keepLines/>
            <w:spacing w:before="200" w:after="120"/>
            <w:jc w:val="both"/>
            <w:outlineLvl w:val="1"/>
          </w:pPr>
          <w:r>
            <w:br w:type="page"/>
          </w:r>
        </w:p>
      </w:sdtContent>
    </w:sdt>
    <w:sdt>
      <w:sdtPr>
        <w:rPr>
          <w:rFonts w:asciiTheme="majorHAnsi" w:hAnsiTheme="majorHAnsi"/>
          <w:caps w:val="0"/>
          <w:color w:val="auto"/>
          <w:spacing w:val="0"/>
          <w:sz w:val="22"/>
          <w:szCs w:val="22"/>
          <w:lang w:bidi="ar-SA"/>
        </w:rPr>
        <w:id w:val="-1249565619"/>
        <w:docPartObj>
          <w:docPartGallery w:val="Table of Contents"/>
          <w:docPartUnique/>
        </w:docPartObj>
      </w:sdtPr>
      <w:sdtEndPr>
        <w:rPr>
          <w:b/>
          <w:bCs/>
          <w:noProof/>
        </w:rPr>
      </w:sdtEndPr>
      <w:sdtContent>
        <w:p w14:paraId="0FA74E19" w14:textId="77777777" w:rsidR="009024EC" w:rsidRPr="001A1162" w:rsidRDefault="00F74A74" w:rsidP="00B33493">
          <w:pPr>
            <w:pStyle w:val="TOCHeading"/>
            <w:numPr>
              <w:ilvl w:val="0"/>
              <w:numId w:val="0"/>
            </w:numPr>
          </w:pPr>
          <w:r w:rsidRPr="001A1162">
            <w:t>TABLE OF C</w:t>
          </w:r>
          <w:r w:rsidR="009024EC" w:rsidRPr="001A1162">
            <w:t>ontents</w:t>
          </w:r>
        </w:p>
        <w:p w14:paraId="206BC916" w14:textId="77777777" w:rsidR="001A1162" w:rsidRPr="00205F8C" w:rsidRDefault="00F371B6">
          <w:pPr>
            <w:pStyle w:val="TOC1"/>
            <w:tabs>
              <w:tab w:val="right" w:leader="dot" w:pos="9350"/>
            </w:tabs>
            <w:rPr>
              <w:rFonts w:ascii="Garamond" w:eastAsiaTheme="minorEastAsia" w:hAnsi="Garamond" w:cstheme="minorBidi"/>
              <w:noProof/>
              <w:sz w:val="24"/>
              <w:szCs w:val="24"/>
            </w:rPr>
          </w:pPr>
          <w:r w:rsidRPr="00A35B0A">
            <w:rPr>
              <w:rFonts w:ascii="Garamond" w:hAnsi="Garamond"/>
            </w:rPr>
            <w:fldChar w:fldCharType="begin"/>
          </w:r>
          <w:r w:rsidRPr="001A1162">
            <w:rPr>
              <w:rFonts w:ascii="Garamond" w:hAnsi="Garamond"/>
            </w:rPr>
            <w:instrText xml:space="preserve"> TOC \o "1-2" \h \z \u </w:instrText>
          </w:r>
          <w:r w:rsidRPr="00A35B0A">
            <w:rPr>
              <w:rFonts w:ascii="Garamond" w:hAnsi="Garamond"/>
            </w:rPr>
            <w:fldChar w:fldCharType="separate"/>
          </w:r>
          <w:hyperlink w:anchor="_Toc479624859" w:history="1">
            <w:r w:rsidR="001A1162" w:rsidRPr="00205F8C">
              <w:rPr>
                <w:rStyle w:val="Hyperlink"/>
                <w:rFonts w:ascii="Garamond" w:hAnsi="Garamond"/>
                <w:noProof/>
              </w:rPr>
              <w:t>Executive Summary</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_Toc479624859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9</w:t>
            </w:r>
            <w:r w:rsidR="001A1162" w:rsidRPr="00205F8C">
              <w:rPr>
                <w:rFonts w:ascii="Garamond" w:hAnsi="Garamond"/>
                <w:noProof/>
                <w:webHidden/>
              </w:rPr>
              <w:fldChar w:fldCharType="end"/>
            </w:r>
          </w:hyperlink>
        </w:p>
        <w:p w14:paraId="620E06B7"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60" w:history="1">
            <w:r w:rsidR="001A1162" w:rsidRPr="00205F8C">
              <w:rPr>
                <w:rStyle w:val="Hyperlink"/>
                <w:rFonts w:ascii="Garamond" w:hAnsi="Garamond"/>
                <w:noProof/>
              </w:rPr>
              <w:t>Macroeconomic Management and Fiscal Policy</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_Toc479624860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10</w:t>
            </w:r>
            <w:r w:rsidR="001A1162" w:rsidRPr="00205F8C">
              <w:rPr>
                <w:rFonts w:ascii="Garamond" w:hAnsi="Garamond"/>
                <w:noProof/>
                <w:webHidden/>
              </w:rPr>
              <w:fldChar w:fldCharType="end"/>
            </w:r>
          </w:hyperlink>
        </w:p>
        <w:p w14:paraId="4F247D63"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61" w:history="1">
            <w:r w:rsidR="001A1162" w:rsidRPr="00205F8C">
              <w:rPr>
                <w:rStyle w:val="Hyperlink"/>
                <w:rFonts w:ascii="Garamond" w:hAnsi="Garamond"/>
                <w:noProof/>
              </w:rPr>
              <w:t>Tax Expenditures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_Toc479624861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13</w:t>
            </w:r>
            <w:r w:rsidR="001A1162" w:rsidRPr="00205F8C">
              <w:rPr>
                <w:rFonts w:ascii="Garamond" w:hAnsi="Garamond"/>
                <w:noProof/>
                <w:webHidden/>
              </w:rPr>
              <w:fldChar w:fldCharType="end"/>
            </w:r>
          </w:hyperlink>
        </w:p>
        <w:p w14:paraId="45EB0FD0"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62" w:history="1">
            <w:r w:rsidR="001A1162" w:rsidRPr="00205F8C">
              <w:rPr>
                <w:rStyle w:val="Hyperlink"/>
                <w:rFonts w:ascii="Garamond" w:hAnsi="Garamond"/>
                <w:noProof/>
              </w:rPr>
              <w:t>The Wage Bill</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_Toc479624862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14</w:t>
            </w:r>
            <w:r w:rsidR="001A1162" w:rsidRPr="00205F8C">
              <w:rPr>
                <w:rFonts w:ascii="Garamond" w:hAnsi="Garamond"/>
                <w:noProof/>
                <w:webHidden/>
              </w:rPr>
              <w:fldChar w:fldCharType="end"/>
            </w:r>
          </w:hyperlink>
        </w:p>
        <w:p w14:paraId="65CA7806"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63" w:history="1">
            <w:r w:rsidR="001A1162" w:rsidRPr="00205F8C">
              <w:rPr>
                <w:rStyle w:val="Hyperlink"/>
                <w:rFonts w:ascii="Garamond" w:hAnsi="Garamond"/>
                <w:noProof/>
              </w:rPr>
              <w:t>Human Capital</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_Toc479624863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14</w:t>
            </w:r>
            <w:r w:rsidR="001A1162" w:rsidRPr="00205F8C">
              <w:rPr>
                <w:rFonts w:ascii="Garamond" w:hAnsi="Garamond"/>
                <w:noProof/>
                <w:webHidden/>
              </w:rPr>
              <w:fldChar w:fldCharType="end"/>
            </w:r>
          </w:hyperlink>
        </w:p>
        <w:p w14:paraId="236B79BD"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64" w:history="1">
            <w:r w:rsidR="001A1162" w:rsidRPr="00205F8C">
              <w:rPr>
                <w:rStyle w:val="Hyperlink"/>
                <w:rFonts w:ascii="Garamond" w:hAnsi="Garamond"/>
                <w:noProof/>
              </w:rPr>
              <w:t>The Agricultural Sector</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_Toc479624864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15</w:t>
            </w:r>
            <w:r w:rsidR="001A1162" w:rsidRPr="00205F8C">
              <w:rPr>
                <w:rFonts w:ascii="Garamond" w:hAnsi="Garamond"/>
                <w:noProof/>
                <w:webHidden/>
              </w:rPr>
              <w:fldChar w:fldCharType="end"/>
            </w:r>
          </w:hyperlink>
        </w:p>
        <w:p w14:paraId="6D2A0F4A"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65" w:history="1">
            <w:r w:rsidR="001A1162" w:rsidRPr="00205F8C">
              <w:rPr>
                <w:rStyle w:val="Hyperlink"/>
                <w:rFonts w:ascii="Garamond" w:hAnsi="Garamond"/>
                <w:noProof/>
              </w:rPr>
              <w:t>References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_Toc479624865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17</w:t>
            </w:r>
            <w:r w:rsidR="001A1162" w:rsidRPr="00205F8C">
              <w:rPr>
                <w:rFonts w:ascii="Garamond" w:hAnsi="Garamond"/>
                <w:noProof/>
                <w:webHidden/>
              </w:rPr>
              <w:fldChar w:fldCharType="end"/>
            </w:r>
          </w:hyperlink>
        </w:p>
        <w:p w14:paraId="01997C9A" w14:textId="77777777" w:rsidR="001A1162" w:rsidRPr="00205F8C" w:rsidRDefault="00A75A08">
          <w:pPr>
            <w:pStyle w:val="TOC1"/>
            <w:tabs>
              <w:tab w:val="right" w:leader="dot" w:pos="9350"/>
            </w:tabs>
            <w:rPr>
              <w:rFonts w:ascii="Garamond" w:eastAsiaTheme="minorEastAsia" w:hAnsi="Garamond" w:cstheme="minorBidi"/>
              <w:noProof/>
              <w:sz w:val="24"/>
              <w:szCs w:val="24"/>
            </w:rPr>
          </w:pPr>
          <w:hyperlink w:anchor="_Toc479624866" w:history="1">
            <w:r w:rsidR="001A1162" w:rsidRPr="00205F8C">
              <w:rPr>
                <w:rStyle w:val="Hyperlink"/>
                <w:rFonts w:ascii="Garamond" w:hAnsi="Garamond"/>
                <w:noProof/>
                <w14:scene3d>
                  <w14:camera w14:prst="orthographicFront"/>
                  <w14:lightRig w14:rig="threePt" w14:dir="t">
                    <w14:rot w14:lat="0" w14:lon="0" w14:rev="0"/>
                  </w14:lightRig>
                </w14:scene3d>
              </w:rPr>
              <w:t>Chapter 1</w:t>
            </w:r>
            <w:r w:rsidR="001A1162" w:rsidRPr="00205F8C">
              <w:rPr>
                <w:rStyle w:val="Hyperlink"/>
                <w:rFonts w:ascii="Garamond" w:hAnsi="Garamond"/>
                <w:noProof/>
              </w:rPr>
              <w:t xml:space="preserve"> Strengthening Fiscal Policy and Improving Macroeconomic Management</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_Toc479624866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18</w:t>
            </w:r>
            <w:r w:rsidR="001A1162" w:rsidRPr="00205F8C">
              <w:rPr>
                <w:rFonts w:ascii="Garamond" w:hAnsi="Garamond"/>
                <w:noProof/>
                <w:webHidden/>
              </w:rPr>
              <w:fldChar w:fldCharType="end"/>
            </w:r>
          </w:hyperlink>
        </w:p>
        <w:p w14:paraId="784DD704"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67" w:history="1">
            <w:r w:rsidR="001A1162" w:rsidRPr="00205F8C">
              <w:rPr>
                <w:rStyle w:val="Hyperlink"/>
                <w:rFonts w:ascii="Garamond" w:hAnsi="Garamond"/>
                <w:noProof/>
              </w:rPr>
              <w:t>Background</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_Toc479624867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19</w:t>
            </w:r>
            <w:r w:rsidR="001A1162" w:rsidRPr="00205F8C">
              <w:rPr>
                <w:rFonts w:ascii="Garamond" w:hAnsi="Garamond"/>
                <w:noProof/>
                <w:webHidden/>
              </w:rPr>
              <w:fldChar w:fldCharType="end"/>
            </w:r>
          </w:hyperlink>
        </w:p>
        <w:p w14:paraId="5D3EA1B3"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68" w:history="1">
            <w:r w:rsidR="001A1162" w:rsidRPr="00205F8C">
              <w:rPr>
                <w:rStyle w:val="Hyperlink"/>
                <w:rFonts w:ascii="Garamond" w:hAnsi="Garamond"/>
                <w:noProof/>
              </w:rPr>
              <w:t>Recent Macroeconomic Trends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_Toc479624868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20</w:t>
            </w:r>
            <w:r w:rsidR="001A1162" w:rsidRPr="00205F8C">
              <w:rPr>
                <w:rFonts w:ascii="Garamond" w:hAnsi="Garamond"/>
                <w:noProof/>
                <w:webHidden/>
              </w:rPr>
              <w:fldChar w:fldCharType="end"/>
            </w:r>
          </w:hyperlink>
        </w:p>
        <w:p w14:paraId="46CE2EF6"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69" w:history="1">
            <w:r w:rsidR="001A1162" w:rsidRPr="00205F8C">
              <w:rPr>
                <w:rStyle w:val="Hyperlink"/>
                <w:rFonts w:ascii="Garamond" w:hAnsi="Garamond"/>
                <w:noProof/>
              </w:rPr>
              <w:t>Fiscal Policy and Public Financial Management</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_Toc479624869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22</w:t>
            </w:r>
            <w:r w:rsidR="001A1162" w:rsidRPr="00205F8C">
              <w:rPr>
                <w:rFonts w:ascii="Garamond" w:hAnsi="Garamond"/>
                <w:noProof/>
                <w:webHidden/>
              </w:rPr>
              <w:fldChar w:fldCharType="end"/>
            </w:r>
          </w:hyperlink>
        </w:p>
        <w:p w14:paraId="6EEC7286"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70" w:history="1">
            <w:r w:rsidR="001A1162" w:rsidRPr="00205F8C">
              <w:rPr>
                <w:rStyle w:val="Hyperlink"/>
                <w:rFonts w:ascii="Garamond" w:hAnsi="Garamond"/>
                <w:noProof/>
              </w:rPr>
              <w:t>Public Expenditures by Sector</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_Toc479624870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28</w:t>
            </w:r>
            <w:r w:rsidR="001A1162" w:rsidRPr="00205F8C">
              <w:rPr>
                <w:rFonts w:ascii="Garamond" w:hAnsi="Garamond"/>
                <w:noProof/>
                <w:webHidden/>
              </w:rPr>
              <w:fldChar w:fldCharType="end"/>
            </w:r>
          </w:hyperlink>
        </w:p>
        <w:p w14:paraId="7FF272BD"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71" w:history="1">
            <w:r w:rsidR="001A1162" w:rsidRPr="00205F8C">
              <w:rPr>
                <w:rStyle w:val="Hyperlink"/>
                <w:rFonts w:ascii="Garamond" w:hAnsi="Garamond"/>
                <w:noProof/>
              </w:rPr>
              <w:t>Revenue Management</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_Toc479624871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29</w:t>
            </w:r>
            <w:r w:rsidR="001A1162" w:rsidRPr="00205F8C">
              <w:rPr>
                <w:rFonts w:ascii="Garamond" w:hAnsi="Garamond"/>
                <w:noProof/>
                <w:webHidden/>
              </w:rPr>
              <w:fldChar w:fldCharType="end"/>
            </w:r>
          </w:hyperlink>
        </w:p>
        <w:p w14:paraId="1328CACD"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72" w:history="1">
            <w:r w:rsidR="001A1162" w:rsidRPr="00205F8C">
              <w:rPr>
                <w:rStyle w:val="Hyperlink"/>
                <w:rFonts w:ascii="Garamond" w:hAnsi="Garamond"/>
                <w:noProof/>
              </w:rPr>
              <w:t>Budget Management And Execution</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_Toc479624872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32</w:t>
            </w:r>
            <w:r w:rsidR="001A1162" w:rsidRPr="00205F8C">
              <w:rPr>
                <w:rFonts w:ascii="Garamond" w:hAnsi="Garamond"/>
                <w:noProof/>
                <w:webHidden/>
              </w:rPr>
              <w:fldChar w:fldCharType="end"/>
            </w:r>
          </w:hyperlink>
        </w:p>
        <w:p w14:paraId="1EF8E3FB"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73" w:history="1">
            <w:r w:rsidR="001A1162" w:rsidRPr="00205F8C">
              <w:rPr>
                <w:rStyle w:val="Hyperlink"/>
                <w:rFonts w:ascii="Garamond" w:hAnsi="Garamond"/>
                <w:noProof/>
              </w:rPr>
              <w:t>Conclusions and Recommendations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_Toc479624873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36</w:t>
            </w:r>
            <w:r w:rsidR="001A1162" w:rsidRPr="00205F8C">
              <w:rPr>
                <w:rFonts w:ascii="Garamond" w:hAnsi="Garamond"/>
                <w:noProof/>
                <w:webHidden/>
              </w:rPr>
              <w:fldChar w:fldCharType="end"/>
            </w:r>
          </w:hyperlink>
        </w:p>
        <w:p w14:paraId="4D4ECEED"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74" w:history="1">
            <w:r w:rsidR="001A1162" w:rsidRPr="00205F8C">
              <w:rPr>
                <w:rStyle w:val="Hyperlink"/>
                <w:rFonts w:ascii="Garamond" w:hAnsi="Garamond"/>
                <w:noProof/>
              </w:rPr>
              <w:t>References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_Toc479624874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39</w:t>
            </w:r>
            <w:r w:rsidR="001A1162" w:rsidRPr="00205F8C">
              <w:rPr>
                <w:rFonts w:ascii="Garamond" w:hAnsi="Garamond"/>
                <w:noProof/>
                <w:webHidden/>
              </w:rPr>
              <w:fldChar w:fldCharType="end"/>
            </w:r>
          </w:hyperlink>
        </w:p>
        <w:p w14:paraId="63654385" w14:textId="77777777" w:rsidR="001A1162" w:rsidRPr="00205F8C" w:rsidRDefault="00A75A08">
          <w:pPr>
            <w:pStyle w:val="TOC1"/>
            <w:tabs>
              <w:tab w:val="right" w:leader="dot" w:pos="9350"/>
            </w:tabs>
            <w:rPr>
              <w:rFonts w:ascii="Garamond" w:eastAsiaTheme="minorEastAsia" w:hAnsi="Garamond" w:cstheme="minorBidi"/>
              <w:noProof/>
              <w:sz w:val="24"/>
              <w:szCs w:val="24"/>
            </w:rPr>
          </w:pPr>
          <w:hyperlink w:anchor="_Toc479624875" w:history="1">
            <w:r w:rsidR="001A1162" w:rsidRPr="00205F8C">
              <w:rPr>
                <w:rStyle w:val="Hyperlink"/>
                <w:rFonts w:ascii="Garamond" w:hAnsi="Garamond" w:cs="Times New Roman"/>
                <w:noProof/>
                <w14:scene3d>
                  <w14:camera w14:prst="orthographicFront"/>
                  <w14:lightRig w14:rig="threePt" w14:dir="t">
                    <w14:rot w14:lat="0" w14:lon="0" w14:rev="0"/>
                  </w14:lightRig>
                </w14:scene3d>
              </w:rPr>
              <w:t>Chapter 2</w:t>
            </w:r>
            <w:r w:rsidR="001A1162" w:rsidRPr="00205F8C">
              <w:rPr>
                <w:rStyle w:val="Hyperlink"/>
                <w:rFonts w:ascii="Garamond" w:hAnsi="Garamond"/>
                <w:noProof/>
              </w:rPr>
              <w:t xml:space="preserve"> Reforming Tax Expenditures to Boost Domestic Revenue Mobilization</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_Toc479624875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40</w:t>
            </w:r>
            <w:r w:rsidR="001A1162" w:rsidRPr="00205F8C">
              <w:rPr>
                <w:rFonts w:ascii="Garamond" w:hAnsi="Garamond"/>
                <w:noProof/>
                <w:webHidden/>
              </w:rPr>
              <w:fldChar w:fldCharType="end"/>
            </w:r>
          </w:hyperlink>
        </w:p>
        <w:p w14:paraId="3EDC34F6"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76" w:history="1">
            <w:r w:rsidR="001A1162" w:rsidRPr="00205F8C">
              <w:rPr>
                <w:rStyle w:val="Hyperlink"/>
                <w:rFonts w:ascii="Garamond" w:hAnsi="Garamond"/>
                <w:noProof/>
              </w:rPr>
              <w:t>Introduction</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_Toc479624876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41</w:t>
            </w:r>
            <w:r w:rsidR="001A1162" w:rsidRPr="00205F8C">
              <w:rPr>
                <w:rFonts w:ascii="Garamond" w:hAnsi="Garamond"/>
                <w:noProof/>
                <w:webHidden/>
              </w:rPr>
              <w:fldChar w:fldCharType="end"/>
            </w:r>
          </w:hyperlink>
        </w:p>
        <w:p w14:paraId="20E88D92"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77" w:history="1">
            <w:r w:rsidR="001A1162" w:rsidRPr="00205F8C">
              <w:rPr>
                <w:rStyle w:val="Hyperlink"/>
                <w:rFonts w:ascii="Garamond" w:hAnsi="Garamond"/>
                <w:noProof/>
              </w:rPr>
              <w:t>Ghana’s Standard Tax Regime</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_Toc479624877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42</w:t>
            </w:r>
            <w:r w:rsidR="001A1162" w:rsidRPr="00205F8C">
              <w:rPr>
                <w:rFonts w:ascii="Garamond" w:hAnsi="Garamond"/>
                <w:noProof/>
                <w:webHidden/>
              </w:rPr>
              <w:fldChar w:fldCharType="end"/>
            </w:r>
          </w:hyperlink>
        </w:p>
        <w:p w14:paraId="148BE977"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78" w:history="1">
            <w:r w:rsidR="001A1162" w:rsidRPr="00205F8C">
              <w:rPr>
                <w:rStyle w:val="Hyperlink"/>
                <w:rFonts w:ascii="Garamond" w:hAnsi="Garamond"/>
                <w:noProof/>
              </w:rPr>
              <w:t>Estimating Tax Expenditures in Ghana</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_Toc479624878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44</w:t>
            </w:r>
            <w:r w:rsidR="001A1162" w:rsidRPr="00205F8C">
              <w:rPr>
                <w:rFonts w:ascii="Garamond" w:hAnsi="Garamond"/>
                <w:noProof/>
                <w:webHidden/>
              </w:rPr>
              <w:fldChar w:fldCharType="end"/>
            </w:r>
          </w:hyperlink>
        </w:p>
        <w:p w14:paraId="56884263"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79" w:history="1">
            <w:r w:rsidR="001A1162" w:rsidRPr="00205F8C">
              <w:rPr>
                <w:rStyle w:val="Hyperlink"/>
                <w:rFonts w:ascii="Garamond" w:hAnsi="Garamond"/>
                <w:noProof/>
              </w:rPr>
              <w:t>VAT Expenditures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_Toc479624879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45</w:t>
            </w:r>
            <w:r w:rsidR="001A1162" w:rsidRPr="00205F8C">
              <w:rPr>
                <w:rFonts w:ascii="Garamond" w:hAnsi="Garamond"/>
                <w:noProof/>
                <w:webHidden/>
              </w:rPr>
              <w:fldChar w:fldCharType="end"/>
            </w:r>
          </w:hyperlink>
        </w:p>
        <w:p w14:paraId="4467A6BB"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80" w:history="1">
            <w:r w:rsidR="001A1162" w:rsidRPr="00205F8C">
              <w:rPr>
                <w:rStyle w:val="Hyperlink"/>
                <w:rFonts w:ascii="Garamond" w:hAnsi="Garamond"/>
                <w:noProof/>
              </w:rPr>
              <w:t>Trade-Related Tax Expenditures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_Toc479624880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50</w:t>
            </w:r>
            <w:r w:rsidR="001A1162" w:rsidRPr="00205F8C">
              <w:rPr>
                <w:rFonts w:ascii="Garamond" w:hAnsi="Garamond"/>
                <w:noProof/>
                <w:webHidden/>
              </w:rPr>
              <w:fldChar w:fldCharType="end"/>
            </w:r>
          </w:hyperlink>
        </w:p>
        <w:p w14:paraId="57743ACF"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81" w:history="1">
            <w:r w:rsidR="001A1162" w:rsidRPr="00205F8C">
              <w:rPr>
                <w:rStyle w:val="Hyperlink"/>
                <w:rFonts w:ascii="Garamond" w:hAnsi="Garamond"/>
                <w:noProof/>
              </w:rPr>
              <w:t>Corporate Income Tax Expenditures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_Toc479624881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52</w:t>
            </w:r>
            <w:r w:rsidR="001A1162" w:rsidRPr="00205F8C">
              <w:rPr>
                <w:rFonts w:ascii="Garamond" w:hAnsi="Garamond"/>
                <w:noProof/>
                <w:webHidden/>
              </w:rPr>
              <w:fldChar w:fldCharType="end"/>
            </w:r>
          </w:hyperlink>
        </w:p>
        <w:p w14:paraId="2101001A"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82" w:history="1">
            <w:r w:rsidR="001A1162" w:rsidRPr="00205F8C">
              <w:rPr>
                <w:rStyle w:val="Hyperlink"/>
                <w:rFonts w:ascii="Garamond" w:hAnsi="Garamond"/>
                <w:noProof/>
              </w:rPr>
              <w:t>Recent Policy Developments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_Toc479624882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55</w:t>
            </w:r>
            <w:r w:rsidR="001A1162" w:rsidRPr="00205F8C">
              <w:rPr>
                <w:rFonts w:ascii="Garamond" w:hAnsi="Garamond"/>
                <w:noProof/>
                <w:webHidden/>
              </w:rPr>
              <w:fldChar w:fldCharType="end"/>
            </w:r>
          </w:hyperlink>
        </w:p>
        <w:p w14:paraId="3E6DA450"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83" w:history="1">
            <w:r w:rsidR="001A1162" w:rsidRPr="00205F8C">
              <w:rPr>
                <w:rStyle w:val="Hyperlink"/>
                <w:rFonts w:ascii="Garamond" w:hAnsi="Garamond"/>
                <w:noProof/>
              </w:rPr>
              <w:t>Conclusions and Recommendations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_Toc479624883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56</w:t>
            </w:r>
            <w:r w:rsidR="001A1162" w:rsidRPr="00205F8C">
              <w:rPr>
                <w:rFonts w:ascii="Garamond" w:hAnsi="Garamond"/>
                <w:noProof/>
                <w:webHidden/>
              </w:rPr>
              <w:fldChar w:fldCharType="end"/>
            </w:r>
          </w:hyperlink>
        </w:p>
        <w:p w14:paraId="0F4553C1"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84" w:history="1">
            <w:r w:rsidR="001A1162" w:rsidRPr="00205F8C">
              <w:rPr>
                <w:rStyle w:val="Hyperlink"/>
                <w:rFonts w:ascii="Garamond" w:hAnsi="Garamond"/>
                <w:noProof/>
              </w:rPr>
              <w:t>References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_Toc479624884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59</w:t>
            </w:r>
            <w:r w:rsidR="001A1162" w:rsidRPr="00205F8C">
              <w:rPr>
                <w:rFonts w:ascii="Garamond" w:hAnsi="Garamond"/>
                <w:noProof/>
                <w:webHidden/>
              </w:rPr>
              <w:fldChar w:fldCharType="end"/>
            </w:r>
          </w:hyperlink>
        </w:p>
        <w:p w14:paraId="71AAB98C"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85" w:history="1">
            <w:r w:rsidR="001A1162" w:rsidRPr="00205F8C">
              <w:rPr>
                <w:rStyle w:val="Hyperlink"/>
                <w:rFonts w:ascii="Garamond" w:hAnsi="Garamond"/>
                <w:noProof/>
              </w:rPr>
              <w:t>Annex 2.1: Calculating Tax Expenditures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_Toc479624885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61</w:t>
            </w:r>
            <w:r w:rsidR="001A1162" w:rsidRPr="00205F8C">
              <w:rPr>
                <w:rFonts w:ascii="Garamond" w:hAnsi="Garamond"/>
                <w:noProof/>
                <w:webHidden/>
              </w:rPr>
              <w:fldChar w:fldCharType="end"/>
            </w:r>
          </w:hyperlink>
        </w:p>
        <w:p w14:paraId="3D9D3708"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86" w:history="1">
            <w:r w:rsidR="001A1162" w:rsidRPr="00205F8C">
              <w:rPr>
                <w:rStyle w:val="Hyperlink"/>
                <w:rFonts w:ascii="Garamond" w:hAnsi="Garamond"/>
                <w:noProof/>
              </w:rPr>
              <w:t>Annex 2.2: Tax Expenditure Estimates in the OECD 2013 Report</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_Toc479624886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61</w:t>
            </w:r>
            <w:r w:rsidR="001A1162" w:rsidRPr="00205F8C">
              <w:rPr>
                <w:rFonts w:ascii="Garamond" w:hAnsi="Garamond"/>
                <w:noProof/>
                <w:webHidden/>
              </w:rPr>
              <w:fldChar w:fldCharType="end"/>
            </w:r>
          </w:hyperlink>
        </w:p>
        <w:p w14:paraId="5354FB75"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87" w:history="1">
            <w:r w:rsidR="001A1162" w:rsidRPr="00205F8C">
              <w:rPr>
                <w:rStyle w:val="Hyperlink"/>
                <w:rFonts w:ascii="Garamond" w:hAnsi="Garamond"/>
                <w:noProof/>
              </w:rPr>
              <w:t>Annex 2.3: Customs Exemptions (2014 and 2015)</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_Toc479624887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62</w:t>
            </w:r>
            <w:r w:rsidR="001A1162" w:rsidRPr="00205F8C">
              <w:rPr>
                <w:rFonts w:ascii="Garamond" w:hAnsi="Garamond"/>
                <w:noProof/>
                <w:webHidden/>
              </w:rPr>
              <w:fldChar w:fldCharType="end"/>
            </w:r>
          </w:hyperlink>
        </w:p>
        <w:p w14:paraId="7E3F9144"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88" w:history="1">
            <w:r w:rsidR="001A1162" w:rsidRPr="00205F8C">
              <w:rPr>
                <w:rStyle w:val="Hyperlink"/>
                <w:rFonts w:ascii="Garamond" w:hAnsi="Garamond"/>
                <w:noProof/>
              </w:rPr>
              <w:t>Annex 2.4: Summary of the Principal Taxes in Ghana</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_Toc479624888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63</w:t>
            </w:r>
            <w:r w:rsidR="001A1162" w:rsidRPr="00205F8C">
              <w:rPr>
                <w:rFonts w:ascii="Garamond" w:hAnsi="Garamond"/>
                <w:noProof/>
                <w:webHidden/>
              </w:rPr>
              <w:fldChar w:fldCharType="end"/>
            </w:r>
          </w:hyperlink>
        </w:p>
        <w:p w14:paraId="67B4CEC5"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89" w:history="1">
            <w:r w:rsidR="001A1162" w:rsidRPr="00205F8C">
              <w:rPr>
                <w:rStyle w:val="Hyperlink"/>
                <w:rFonts w:ascii="Garamond" w:hAnsi="Garamond"/>
                <w:noProof/>
              </w:rPr>
              <w:t>Annex 2.5: Tax Expenditures in 2013 under the Income Tax Act</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_Toc479624889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65</w:t>
            </w:r>
            <w:r w:rsidR="001A1162" w:rsidRPr="00205F8C">
              <w:rPr>
                <w:rFonts w:ascii="Garamond" w:hAnsi="Garamond"/>
                <w:noProof/>
                <w:webHidden/>
              </w:rPr>
              <w:fldChar w:fldCharType="end"/>
            </w:r>
          </w:hyperlink>
        </w:p>
        <w:p w14:paraId="1E6D3927"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90" w:history="1">
            <w:r w:rsidR="001A1162" w:rsidRPr="00205F8C">
              <w:rPr>
                <w:rStyle w:val="Hyperlink"/>
                <w:rFonts w:ascii="Garamond" w:hAnsi="Garamond"/>
                <w:noProof/>
              </w:rPr>
              <w:t>Annex 2.6: Tax Expenditures on VAT on Domestic Value Addition</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_Toc479624890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66</w:t>
            </w:r>
            <w:r w:rsidR="001A1162" w:rsidRPr="00205F8C">
              <w:rPr>
                <w:rFonts w:ascii="Garamond" w:hAnsi="Garamond"/>
                <w:noProof/>
                <w:webHidden/>
              </w:rPr>
              <w:fldChar w:fldCharType="end"/>
            </w:r>
          </w:hyperlink>
        </w:p>
        <w:p w14:paraId="5F3661FC" w14:textId="77777777" w:rsidR="001A1162" w:rsidRPr="00205F8C" w:rsidRDefault="00A75A08">
          <w:pPr>
            <w:pStyle w:val="TOC1"/>
            <w:tabs>
              <w:tab w:val="right" w:leader="dot" w:pos="9350"/>
            </w:tabs>
            <w:rPr>
              <w:rFonts w:ascii="Garamond" w:eastAsiaTheme="minorEastAsia" w:hAnsi="Garamond" w:cstheme="minorBidi"/>
              <w:noProof/>
              <w:sz w:val="24"/>
              <w:szCs w:val="24"/>
            </w:rPr>
          </w:pPr>
          <w:hyperlink w:anchor="_Toc479624891" w:history="1">
            <w:r w:rsidR="001A1162" w:rsidRPr="00205F8C">
              <w:rPr>
                <w:rStyle w:val="Hyperlink"/>
                <w:rFonts w:ascii="Garamond" w:hAnsi="Garamond"/>
                <w:noProof/>
                <w14:scene3d>
                  <w14:camera w14:prst="orthographicFront"/>
                  <w14:lightRig w14:rig="threePt" w14:dir="t">
                    <w14:rot w14:lat="0" w14:lon="0" w14:rev="0"/>
                  </w14:lightRig>
                </w14:scene3d>
              </w:rPr>
              <w:t>Chapter 3</w:t>
            </w:r>
            <w:r w:rsidR="001A1162" w:rsidRPr="00205F8C">
              <w:rPr>
                <w:rStyle w:val="Hyperlink"/>
                <w:rFonts w:ascii="Garamond" w:hAnsi="Garamond"/>
                <w:noProof/>
              </w:rPr>
              <w:t xml:space="preserve"> Managing the Public Sector Wage Bill to Maintain Fiscal Stability</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_Toc479624891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67</w:t>
            </w:r>
            <w:r w:rsidR="001A1162" w:rsidRPr="00205F8C">
              <w:rPr>
                <w:rFonts w:ascii="Garamond" w:hAnsi="Garamond"/>
                <w:noProof/>
                <w:webHidden/>
              </w:rPr>
              <w:fldChar w:fldCharType="end"/>
            </w:r>
          </w:hyperlink>
        </w:p>
        <w:p w14:paraId="4459F210"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92" w:history="1">
            <w:r w:rsidR="001A1162" w:rsidRPr="00205F8C">
              <w:rPr>
                <w:rStyle w:val="Hyperlink"/>
                <w:rFonts w:ascii="Garamond" w:hAnsi="Garamond"/>
                <w:noProof/>
              </w:rPr>
              <w:t>Background</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_Toc479624892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67</w:t>
            </w:r>
            <w:r w:rsidR="001A1162" w:rsidRPr="00205F8C">
              <w:rPr>
                <w:rFonts w:ascii="Garamond" w:hAnsi="Garamond"/>
                <w:noProof/>
                <w:webHidden/>
              </w:rPr>
              <w:fldChar w:fldCharType="end"/>
            </w:r>
          </w:hyperlink>
        </w:p>
        <w:p w14:paraId="49A830C5"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93" w:history="1">
            <w:r w:rsidR="001A1162" w:rsidRPr="00205F8C">
              <w:rPr>
                <w:rStyle w:val="Hyperlink"/>
                <w:rFonts w:ascii="Garamond" w:hAnsi="Garamond"/>
                <w:noProof/>
              </w:rPr>
              <w:t>The Implementation of the SSSS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_Toc479624893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69</w:t>
            </w:r>
            <w:r w:rsidR="001A1162" w:rsidRPr="00205F8C">
              <w:rPr>
                <w:rFonts w:ascii="Garamond" w:hAnsi="Garamond"/>
                <w:noProof/>
                <w:webHidden/>
              </w:rPr>
              <w:fldChar w:fldCharType="end"/>
            </w:r>
          </w:hyperlink>
        </w:p>
        <w:p w14:paraId="5463D10E"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94" w:history="1">
            <w:r w:rsidR="001A1162" w:rsidRPr="00205F8C">
              <w:rPr>
                <w:rStyle w:val="Hyperlink"/>
                <w:rFonts w:ascii="Garamond" w:hAnsi="Garamond"/>
                <w:noProof/>
              </w:rPr>
              <w:t>The Coverage of the SSSS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_Toc479624894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76</w:t>
            </w:r>
            <w:r w:rsidR="001A1162" w:rsidRPr="00205F8C">
              <w:rPr>
                <w:rFonts w:ascii="Garamond" w:hAnsi="Garamond"/>
                <w:noProof/>
                <w:webHidden/>
              </w:rPr>
              <w:fldChar w:fldCharType="end"/>
            </w:r>
          </w:hyperlink>
        </w:p>
        <w:p w14:paraId="1457D79C"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95" w:history="1">
            <w:r w:rsidR="001A1162" w:rsidRPr="00205F8C">
              <w:rPr>
                <w:rStyle w:val="Hyperlink"/>
                <w:rFonts w:ascii="Garamond" w:hAnsi="Garamond"/>
                <w:noProof/>
              </w:rPr>
              <w:t>The Growth of the Wage Bill</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_Toc479624895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77</w:t>
            </w:r>
            <w:r w:rsidR="001A1162" w:rsidRPr="00205F8C">
              <w:rPr>
                <w:rFonts w:ascii="Garamond" w:hAnsi="Garamond"/>
                <w:noProof/>
                <w:webHidden/>
              </w:rPr>
              <w:fldChar w:fldCharType="end"/>
            </w:r>
          </w:hyperlink>
        </w:p>
        <w:p w14:paraId="08F74721"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96" w:history="1">
            <w:r w:rsidR="001A1162" w:rsidRPr="00205F8C">
              <w:rPr>
                <w:rStyle w:val="Hyperlink"/>
                <w:rFonts w:ascii="Garamond" w:hAnsi="Garamond"/>
                <w:noProof/>
              </w:rPr>
              <w:t>Reforms Undertaken Since 2014</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_Toc479624896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81</w:t>
            </w:r>
            <w:r w:rsidR="001A1162" w:rsidRPr="00205F8C">
              <w:rPr>
                <w:rFonts w:ascii="Garamond" w:hAnsi="Garamond"/>
                <w:noProof/>
                <w:webHidden/>
              </w:rPr>
              <w:fldChar w:fldCharType="end"/>
            </w:r>
          </w:hyperlink>
        </w:p>
        <w:p w14:paraId="11706D18"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97" w:history="1">
            <w:r w:rsidR="001A1162" w:rsidRPr="00205F8C">
              <w:rPr>
                <w:rStyle w:val="Hyperlink"/>
                <w:rFonts w:ascii="Garamond" w:hAnsi="Garamond"/>
                <w:noProof/>
              </w:rPr>
              <w:t>The Political Economy of Public Sector Pay Reform</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_Toc479624897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83</w:t>
            </w:r>
            <w:r w:rsidR="001A1162" w:rsidRPr="00205F8C">
              <w:rPr>
                <w:rFonts w:ascii="Garamond" w:hAnsi="Garamond"/>
                <w:noProof/>
                <w:webHidden/>
              </w:rPr>
              <w:fldChar w:fldCharType="end"/>
            </w:r>
          </w:hyperlink>
        </w:p>
        <w:p w14:paraId="2115FCB9"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98" w:history="1">
            <w:r w:rsidR="001A1162" w:rsidRPr="00205F8C">
              <w:rPr>
                <w:rStyle w:val="Hyperlink"/>
                <w:rFonts w:ascii="Garamond" w:hAnsi="Garamond"/>
                <w:noProof/>
              </w:rPr>
              <w:t>Conclusion and Recommendations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_Toc479624898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84</w:t>
            </w:r>
            <w:r w:rsidR="001A1162" w:rsidRPr="00205F8C">
              <w:rPr>
                <w:rFonts w:ascii="Garamond" w:hAnsi="Garamond"/>
                <w:noProof/>
                <w:webHidden/>
              </w:rPr>
              <w:fldChar w:fldCharType="end"/>
            </w:r>
          </w:hyperlink>
        </w:p>
        <w:p w14:paraId="638D183A"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899" w:history="1">
            <w:r w:rsidR="001A1162" w:rsidRPr="00205F8C">
              <w:rPr>
                <w:rStyle w:val="Hyperlink"/>
                <w:rFonts w:ascii="Garamond" w:hAnsi="Garamond"/>
                <w:noProof/>
              </w:rPr>
              <w:t>References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_Toc479624899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87</w:t>
            </w:r>
            <w:r w:rsidR="001A1162" w:rsidRPr="00205F8C">
              <w:rPr>
                <w:rFonts w:ascii="Garamond" w:hAnsi="Garamond"/>
                <w:noProof/>
                <w:webHidden/>
              </w:rPr>
              <w:fldChar w:fldCharType="end"/>
            </w:r>
          </w:hyperlink>
        </w:p>
        <w:p w14:paraId="36E74CCD"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900" w:history="1">
            <w:r w:rsidR="001A1162" w:rsidRPr="00205F8C">
              <w:rPr>
                <w:rStyle w:val="Hyperlink"/>
                <w:rFonts w:ascii="Garamond" w:hAnsi="Garamond"/>
                <w:noProof/>
              </w:rPr>
              <w:t>Annex 3.1: short-to-medium term measures to address the Sustainability of the pai policy in the 2014 budget statement and economic policy</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_Toc479624900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89</w:t>
            </w:r>
            <w:r w:rsidR="001A1162" w:rsidRPr="00205F8C">
              <w:rPr>
                <w:rFonts w:ascii="Garamond" w:hAnsi="Garamond"/>
                <w:noProof/>
                <w:webHidden/>
              </w:rPr>
              <w:fldChar w:fldCharType="end"/>
            </w:r>
          </w:hyperlink>
        </w:p>
        <w:p w14:paraId="627A253E"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901" w:history="1">
            <w:r w:rsidR="001A1162" w:rsidRPr="00205F8C">
              <w:rPr>
                <w:rStyle w:val="Hyperlink"/>
                <w:rFonts w:ascii="Garamond" w:hAnsi="Garamond"/>
                <w:noProof/>
              </w:rPr>
              <w:t>Annex 3.2</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_Toc479624901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91</w:t>
            </w:r>
            <w:r w:rsidR="001A1162" w:rsidRPr="00205F8C">
              <w:rPr>
                <w:rFonts w:ascii="Garamond" w:hAnsi="Garamond"/>
                <w:noProof/>
                <w:webHidden/>
              </w:rPr>
              <w:fldChar w:fldCharType="end"/>
            </w:r>
          </w:hyperlink>
        </w:p>
        <w:p w14:paraId="02F3B463" w14:textId="77777777" w:rsidR="001A1162" w:rsidRPr="00205F8C" w:rsidRDefault="00A75A08">
          <w:pPr>
            <w:pStyle w:val="TOC1"/>
            <w:tabs>
              <w:tab w:val="right" w:leader="dot" w:pos="9350"/>
            </w:tabs>
            <w:rPr>
              <w:rFonts w:ascii="Garamond" w:eastAsiaTheme="minorEastAsia" w:hAnsi="Garamond" w:cstheme="minorBidi"/>
              <w:noProof/>
              <w:sz w:val="24"/>
              <w:szCs w:val="24"/>
            </w:rPr>
          </w:pPr>
          <w:hyperlink w:anchor="_Toc479624902" w:history="1">
            <w:r w:rsidR="001A1162" w:rsidRPr="00205F8C">
              <w:rPr>
                <w:rStyle w:val="Hyperlink"/>
                <w:rFonts w:ascii="Garamond" w:hAnsi="Garamond"/>
                <w:noProof/>
                <w14:scene3d>
                  <w14:camera w14:prst="orthographicFront"/>
                  <w14:lightRig w14:rig="threePt" w14:dir="t">
                    <w14:rot w14:lat="0" w14:lon="0" w14:rev="0"/>
                  </w14:lightRig>
                </w14:scene3d>
              </w:rPr>
              <w:t>Chapter 4</w:t>
            </w:r>
            <w:r w:rsidR="001A1162" w:rsidRPr="00205F8C">
              <w:rPr>
                <w:rStyle w:val="Hyperlink"/>
                <w:rFonts w:ascii="Garamond" w:hAnsi="Garamond"/>
                <w:noProof/>
              </w:rPr>
              <w:t xml:space="preserve"> BuIlding Human Capital through Investment in the Public Education and Health Sectors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_Toc479624902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93</w:t>
            </w:r>
            <w:r w:rsidR="001A1162" w:rsidRPr="00205F8C">
              <w:rPr>
                <w:rFonts w:ascii="Garamond" w:hAnsi="Garamond"/>
                <w:noProof/>
                <w:webHidden/>
              </w:rPr>
              <w:fldChar w:fldCharType="end"/>
            </w:r>
          </w:hyperlink>
        </w:p>
        <w:p w14:paraId="5A5BECEA"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903" w:history="1">
            <w:r w:rsidR="001A1162" w:rsidRPr="00205F8C">
              <w:rPr>
                <w:rStyle w:val="Hyperlink"/>
                <w:rFonts w:ascii="Garamond" w:hAnsi="Garamond"/>
                <w:noProof/>
              </w:rPr>
              <w:t>Introduction</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_Toc479624903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94</w:t>
            </w:r>
            <w:r w:rsidR="001A1162" w:rsidRPr="00205F8C">
              <w:rPr>
                <w:rFonts w:ascii="Garamond" w:hAnsi="Garamond"/>
                <w:noProof/>
                <w:webHidden/>
              </w:rPr>
              <w:fldChar w:fldCharType="end"/>
            </w:r>
          </w:hyperlink>
        </w:p>
        <w:p w14:paraId="139CBAA2"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904" w:history="1">
            <w:r w:rsidR="001A1162" w:rsidRPr="00205F8C">
              <w:rPr>
                <w:rStyle w:val="Hyperlink"/>
                <w:rFonts w:ascii="Garamond" w:hAnsi="Garamond"/>
                <w:noProof/>
              </w:rPr>
              <w:t>The education sector</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_Toc479624904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95</w:t>
            </w:r>
            <w:r w:rsidR="001A1162" w:rsidRPr="00205F8C">
              <w:rPr>
                <w:rFonts w:ascii="Garamond" w:hAnsi="Garamond"/>
                <w:noProof/>
                <w:webHidden/>
              </w:rPr>
              <w:fldChar w:fldCharType="end"/>
            </w:r>
          </w:hyperlink>
        </w:p>
        <w:p w14:paraId="7EB0995C"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905" w:history="1">
            <w:r w:rsidR="001A1162" w:rsidRPr="00205F8C">
              <w:rPr>
                <w:rStyle w:val="Hyperlink"/>
                <w:rFonts w:ascii="Garamond" w:hAnsi="Garamond"/>
                <w:noProof/>
              </w:rPr>
              <w:t>The health sector</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_Toc479624905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109</w:t>
            </w:r>
            <w:r w:rsidR="001A1162" w:rsidRPr="00205F8C">
              <w:rPr>
                <w:rFonts w:ascii="Garamond" w:hAnsi="Garamond"/>
                <w:noProof/>
                <w:webHidden/>
              </w:rPr>
              <w:fldChar w:fldCharType="end"/>
            </w:r>
          </w:hyperlink>
        </w:p>
        <w:p w14:paraId="57F86DAF"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906" w:history="1">
            <w:r w:rsidR="001A1162" w:rsidRPr="00205F8C">
              <w:rPr>
                <w:rStyle w:val="Hyperlink"/>
                <w:rFonts w:ascii="Garamond" w:hAnsi="Garamond"/>
                <w:noProof/>
              </w:rPr>
              <w:t>References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_Toc479624906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123</w:t>
            </w:r>
            <w:r w:rsidR="001A1162" w:rsidRPr="00205F8C">
              <w:rPr>
                <w:rFonts w:ascii="Garamond" w:hAnsi="Garamond"/>
                <w:noProof/>
                <w:webHidden/>
              </w:rPr>
              <w:fldChar w:fldCharType="end"/>
            </w:r>
          </w:hyperlink>
        </w:p>
        <w:p w14:paraId="7094B7CD"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907" w:history="1">
            <w:r w:rsidR="001A1162" w:rsidRPr="00205F8C">
              <w:rPr>
                <w:rStyle w:val="Hyperlink"/>
                <w:rFonts w:ascii="Garamond" w:hAnsi="Garamond"/>
                <w:noProof/>
              </w:rPr>
              <w:t>Annex 4.1</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_Toc479624907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124</w:t>
            </w:r>
            <w:r w:rsidR="001A1162" w:rsidRPr="00205F8C">
              <w:rPr>
                <w:rFonts w:ascii="Garamond" w:hAnsi="Garamond"/>
                <w:noProof/>
                <w:webHidden/>
              </w:rPr>
              <w:fldChar w:fldCharType="end"/>
            </w:r>
          </w:hyperlink>
        </w:p>
        <w:p w14:paraId="145C1C86" w14:textId="77777777" w:rsidR="001A1162" w:rsidRPr="00205F8C" w:rsidRDefault="00A75A08">
          <w:pPr>
            <w:pStyle w:val="TOC1"/>
            <w:tabs>
              <w:tab w:val="right" w:leader="dot" w:pos="9350"/>
            </w:tabs>
            <w:rPr>
              <w:rFonts w:ascii="Garamond" w:eastAsiaTheme="minorEastAsia" w:hAnsi="Garamond" w:cstheme="minorBidi"/>
              <w:noProof/>
              <w:sz w:val="24"/>
              <w:szCs w:val="24"/>
            </w:rPr>
          </w:pPr>
          <w:hyperlink w:anchor="_Toc479624908" w:history="1">
            <w:r w:rsidR="001A1162" w:rsidRPr="00205F8C">
              <w:rPr>
                <w:rStyle w:val="Hyperlink"/>
                <w:rFonts w:ascii="Garamond" w:hAnsi="Garamond"/>
                <w:noProof/>
                <w14:scene3d>
                  <w14:camera w14:prst="orthographicFront"/>
                  <w14:lightRig w14:rig="threePt" w14:dir="t">
                    <w14:rot w14:lat="0" w14:lon="0" w14:rev="0"/>
                  </w14:lightRig>
                </w14:scene3d>
              </w:rPr>
              <w:t>Chapter 5</w:t>
            </w:r>
            <w:r w:rsidR="001A1162" w:rsidRPr="00205F8C">
              <w:rPr>
                <w:rStyle w:val="Hyperlink"/>
                <w:rFonts w:ascii="Garamond" w:hAnsi="Garamond"/>
                <w:noProof/>
              </w:rPr>
              <w:t xml:space="preserve"> Revitalizing Agricultural Growth through Enhanced Expenditure Targeting</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_Toc479624908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125</w:t>
            </w:r>
            <w:r w:rsidR="001A1162" w:rsidRPr="00205F8C">
              <w:rPr>
                <w:rFonts w:ascii="Garamond" w:hAnsi="Garamond"/>
                <w:noProof/>
                <w:webHidden/>
              </w:rPr>
              <w:fldChar w:fldCharType="end"/>
            </w:r>
          </w:hyperlink>
        </w:p>
        <w:p w14:paraId="2CBF0DA2"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909" w:history="1">
            <w:r w:rsidR="001A1162" w:rsidRPr="00205F8C">
              <w:rPr>
                <w:rStyle w:val="Hyperlink"/>
                <w:rFonts w:ascii="Garamond" w:hAnsi="Garamond"/>
                <w:noProof/>
              </w:rPr>
              <w:t>Background</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_Toc479624909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125</w:t>
            </w:r>
            <w:r w:rsidR="001A1162" w:rsidRPr="00205F8C">
              <w:rPr>
                <w:rFonts w:ascii="Garamond" w:hAnsi="Garamond"/>
                <w:noProof/>
                <w:webHidden/>
              </w:rPr>
              <w:fldChar w:fldCharType="end"/>
            </w:r>
          </w:hyperlink>
        </w:p>
        <w:p w14:paraId="387AC83C"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910" w:history="1">
            <w:r w:rsidR="001A1162" w:rsidRPr="00205F8C">
              <w:rPr>
                <w:rStyle w:val="Hyperlink"/>
                <w:rFonts w:ascii="Garamond" w:hAnsi="Garamond"/>
                <w:noProof/>
              </w:rPr>
              <w:t>Public Spending in the Agricultural Sector</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_Toc479624910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129</w:t>
            </w:r>
            <w:r w:rsidR="001A1162" w:rsidRPr="00205F8C">
              <w:rPr>
                <w:rFonts w:ascii="Garamond" w:hAnsi="Garamond"/>
                <w:noProof/>
                <w:webHidden/>
              </w:rPr>
              <w:fldChar w:fldCharType="end"/>
            </w:r>
          </w:hyperlink>
        </w:p>
        <w:p w14:paraId="59606B1B"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911" w:history="1">
            <w:r w:rsidR="001A1162" w:rsidRPr="00205F8C">
              <w:rPr>
                <w:rStyle w:val="Hyperlink"/>
                <w:rFonts w:ascii="Garamond" w:hAnsi="Garamond"/>
                <w:noProof/>
              </w:rPr>
              <w:t>Achieving The Sector’s Growth Potential</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_Toc479624911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133</w:t>
            </w:r>
            <w:r w:rsidR="001A1162" w:rsidRPr="00205F8C">
              <w:rPr>
                <w:rFonts w:ascii="Garamond" w:hAnsi="Garamond"/>
                <w:noProof/>
                <w:webHidden/>
              </w:rPr>
              <w:fldChar w:fldCharType="end"/>
            </w:r>
          </w:hyperlink>
        </w:p>
        <w:p w14:paraId="62F9C552"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912" w:history="1">
            <w:r w:rsidR="001A1162" w:rsidRPr="00205F8C">
              <w:rPr>
                <w:rStyle w:val="Hyperlink"/>
                <w:rFonts w:ascii="Garamond" w:hAnsi="Garamond"/>
                <w:noProof/>
              </w:rPr>
              <w:t>Cocoa Production and The Ghana Cocoa Board</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_Toc479624912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137</w:t>
            </w:r>
            <w:r w:rsidR="001A1162" w:rsidRPr="00205F8C">
              <w:rPr>
                <w:rFonts w:ascii="Garamond" w:hAnsi="Garamond"/>
                <w:noProof/>
                <w:webHidden/>
              </w:rPr>
              <w:fldChar w:fldCharType="end"/>
            </w:r>
          </w:hyperlink>
        </w:p>
        <w:p w14:paraId="2313C4D1"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913" w:history="1">
            <w:r w:rsidR="001A1162" w:rsidRPr="00205F8C">
              <w:rPr>
                <w:rStyle w:val="Hyperlink"/>
                <w:rFonts w:ascii="Garamond" w:hAnsi="Garamond"/>
                <w:noProof/>
              </w:rPr>
              <w:t>Conclusions and Recommendations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_Toc479624913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140</w:t>
            </w:r>
            <w:r w:rsidR="001A1162" w:rsidRPr="00205F8C">
              <w:rPr>
                <w:rFonts w:ascii="Garamond" w:hAnsi="Garamond"/>
                <w:noProof/>
                <w:webHidden/>
              </w:rPr>
              <w:fldChar w:fldCharType="end"/>
            </w:r>
          </w:hyperlink>
        </w:p>
        <w:p w14:paraId="48723A3A" w14:textId="77777777" w:rsidR="001A1162" w:rsidRPr="00205F8C" w:rsidRDefault="00A75A08">
          <w:pPr>
            <w:pStyle w:val="TOC2"/>
            <w:tabs>
              <w:tab w:val="right" w:leader="dot" w:pos="9350"/>
            </w:tabs>
            <w:rPr>
              <w:rFonts w:ascii="Garamond" w:eastAsiaTheme="minorEastAsia" w:hAnsi="Garamond" w:cstheme="minorBidi"/>
              <w:noProof/>
              <w:sz w:val="24"/>
              <w:szCs w:val="24"/>
            </w:rPr>
          </w:pPr>
          <w:hyperlink w:anchor="_Toc479624914" w:history="1">
            <w:r w:rsidR="001A1162" w:rsidRPr="00205F8C">
              <w:rPr>
                <w:rStyle w:val="Hyperlink"/>
                <w:rFonts w:ascii="Garamond" w:hAnsi="Garamond"/>
                <w:noProof/>
              </w:rPr>
              <w:t>References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_Toc479624914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143</w:t>
            </w:r>
            <w:r w:rsidR="001A1162" w:rsidRPr="00205F8C">
              <w:rPr>
                <w:rFonts w:ascii="Garamond" w:hAnsi="Garamond"/>
                <w:noProof/>
                <w:webHidden/>
              </w:rPr>
              <w:fldChar w:fldCharType="end"/>
            </w:r>
          </w:hyperlink>
        </w:p>
        <w:p w14:paraId="613094AA" w14:textId="77777777" w:rsidR="009024EC" w:rsidRPr="001A1162" w:rsidRDefault="00F371B6">
          <w:pPr>
            <w:rPr>
              <w:rFonts w:ascii="Garamond" w:hAnsi="Garamond"/>
            </w:rPr>
          </w:pPr>
          <w:r w:rsidRPr="00A35B0A">
            <w:rPr>
              <w:rFonts w:ascii="Garamond" w:hAnsi="Garamond"/>
            </w:rPr>
            <w:fldChar w:fldCharType="end"/>
          </w:r>
        </w:p>
      </w:sdtContent>
    </w:sdt>
    <w:p w14:paraId="1FC4368B" w14:textId="77777777" w:rsidR="002C36C3" w:rsidRPr="001A1162" w:rsidRDefault="002C36C3">
      <w:pPr>
        <w:rPr>
          <w:rFonts w:ascii="Garamond" w:hAnsi="Garamond"/>
          <w:b/>
          <w:highlight w:val="lightGray"/>
        </w:rPr>
      </w:pPr>
      <w:r w:rsidRPr="001A1162">
        <w:rPr>
          <w:rFonts w:ascii="Garamond" w:hAnsi="Garamond"/>
          <w:b/>
          <w:highlight w:val="lightGray"/>
        </w:rPr>
        <w:br w:type="page"/>
      </w:r>
    </w:p>
    <w:p w14:paraId="456D44D8" w14:textId="77777777" w:rsidR="00F74A74" w:rsidRPr="00E124F6" w:rsidRDefault="00F74A74" w:rsidP="00205F8C">
      <w:pPr>
        <w:pStyle w:val="TOCHeading"/>
        <w:keepNext/>
        <w:numPr>
          <w:ilvl w:val="0"/>
          <w:numId w:val="0"/>
        </w:numPr>
      </w:pPr>
      <w:r>
        <w:lastRenderedPageBreak/>
        <w:t>TABLE OF FIGURES</w:t>
      </w:r>
    </w:p>
    <w:p w14:paraId="0BF6DDDA" w14:textId="77777777" w:rsidR="001A1162" w:rsidRPr="00205F8C" w:rsidRDefault="002C36C3">
      <w:pPr>
        <w:pStyle w:val="TableofFigures"/>
        <w:tabs>
          <w:tab w:val="right" w:leader="dot" w:pos="9350"/>
        </w:tabs>
        <w:rPr>
          <w:rFonts w:ascii="Garamond" w:eastAsiaTheme="minorEastAsia" w:hAnsi="Garamond" w:cstheme="minorBidi"/>
          <w:noProof/>
          <w:sz w:val="24"/>
          <w:szCs w:val="24"/>
        </w:rPr>
      </w:pPr>
      <w:r w:rsidRPr="00A35B0A">
        <w:rPr>
          <w:rFonts w:ascii="Garamond" w:hAnsi="Garamond"/>
          <w:b/>
          <w:highlight w:val="lightGray"/>
        </w:rPr>
        <w:fldChar w:fldCharType="begin"/>
      </w:r>
      <w:r w:rsidRPr="001A1162">
        <w:rPr>
          <w:rFonts w:ascii="Garamond" w:hAnsi="Garamond"/>
          <w:b/>
          <w:highlight w:val="lightGray"/>
        </w:rPr>
        <w:instrText xml:space="preserve"> TOC \h \z \c "Figure" </w:instrText>
      </w:r>
      <w:r w:rsidRPr="00A35B0A">
        <w:rPr>
          <w:rFonts w:ascii="Garamond" w:hAnsi="Garamond"/>
          <w:b/>
          <w:highlight w:val="lightGray"/>
        </w:rPr>
        <w:fldChar w:fldCharType="separate"/>
      </w:r>
      <w:hyperlink w:anchor="_Toc479624915" w:history="1">
        <w:r w:rsidR="001A1162" w:rsidRPr="00205F8C">
          <w:rPr>
            <w:rStyle w:val="Hyperlink"/>
            <w:rFonts w:ascii="Garamond" w:hAnsi="Garamond"/>
            <w:noProof/>
          </w:rPr>
          <w:t>Figure 1.1: Long-Run Growth Trends, Ghana and Sub-Saharan Africa, 1990-2014</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_Toc479624915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20</w:t>
        </w:r>
        <w:r w:rsidR="001A1162" w:rsidRPr="00205F8C">
          <w:rPr>
            <w:rFonts w:ascii="Garamond" w:hAnsi="Garamond"/>
            <w:noProof/>
            <w:webHidden/>
          </w:rPr>
          <w:fldChar w:fldCharType="end"/>
        </w:r>
      </w:hyperlink>
    </w:p>
    <w:p w14:paraId="18A99D55"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16" w:history="1">
        <w:r w:rsidR="001A1162" w:rsidRPr="00205F8C">
          <w:rPr>
            <w:rStyle w:val="Hyperlink"/>
            <w:rFonts w:ascii="Garamond" w:hAnsi="Garamond"/>
            <w:noProof/>
          </w:rPr>
          <w:t>Figure 1.2: Gold and Cocoa Prices, 5-Year Moving Average, 1990-2014, Normalized (%)</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_Toc479624916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20</w:t>
        </w:r>
        <w:r w:rsidR="001A1162" w:rsidRPr="00205F8C">
          <w:rPr>
            <w:rFonts w:ascii="Garamond" w:hAnsi="Garamond"/>
            <w:noProof/>
            <w:webHidden/>
          </w:rPr>
          <w:fldChar w:fldCharType="end"/>
        </w:r>
      </w:hyperlink>
    </w:p>
    <w:p w14:paraId="3E059501"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17" w:history="1">
        <w:r w:rsidR="001A1162" w:rsidRPr="00205F8C">
          <w:rPr>
            <w:rStyle w:val="Hyperlink"/>
            <w:rFonts w:ascii="Garamond" w:hAnsi="Garamond"/>
            <w:noProof/>
          </w:rPr>
          <w:t>Figure 1.3: The GDP Growth Rate and Growth in the Nonoil Economy, 2010-15</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_Toc479624917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22</w:t>
        </w:r>
        <w:r w:rsidR="001A1162" w:rsidRPr="00205F8C">
          <w:rPr>
            <w:rFonts w:ascii="Garamond" w:hAnsi="Garamond"/>
            <w:noProof/>
            <w:webHidden/>
          </w:rPr>
          <w:fldChar w:fldCharType="end"/>
        </w:r>
      </w:hyperlink>
    </w:p>
    <w:p w14:paraId="77321A02"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18" w:history="1">
        <w:r w:rsidR="001A1162" w:rsidRPr="00205F8C">
          <w:rPr>
            <w:rStyle w:val="Hyperlink"/>
            <w:rFonts w:ascii="Garamond" w:hAnsi="Garamond"/>
            <w:noProof/>
          </w:rPr>
          <w:t>Figure 1.4: GDP Growth by Economic Sector, 2011-15</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_Toc479624918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22</w:t>
        </w:r>
        <w:r w:rsidR="001A1162" w:rsidRPr="00205F8C">
          <w:rPr>
            <w:rFonts w:ascii="Garamond" w:hAnsi="Garamond"/>
            <w:noProof/>
            <w:webHidden/>
          </w:rPr>
          <w:fldChar w:fldCharType="end"/>
        </w:r>
      </w:hyperlink>
    </w:p>
    <w:p w14:paraId="581CA5FA"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19" w:history="1">
        <w:r w:rsidR="001A1162" w:rsidRPr="00205F8C">
          <w:rPr>
            <w:rStyle w:val="Hyperlink"/>
            <w:rFonts w:ascii="Garamond" w:hAnsi="Garamond"/>
            <w:noProof/>
          </w:rPr>
          <w:t>Figure 1.5: Fiscal Revenues and Expenditures, 2008-2015</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_Toc479624919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23</w:t>
        </w:r>
        <w:r w:rsidR="001A1162" w:rsidRPr="00205F8C">
          <w:rPr>
            <w:rFonts w:ascii="Garamond" w:hAnsi="Garamond"/>
            <w:noProof/>
            <w:webHidden/>
          </w:rPr>
          <w:fldChar w:fldCharType="end"/>
        </w:r>
      </w:hyperlink>
    </w:p>
    <w:p w14:paraId="5E184D59"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20" w:history="1">
        <w:r w:rsidR="001A1162" w:rsidRPr="00205F8C">
          <w:rPr>
            <w:rStyle w:val="Hyperlink"/>
            <w:rFonts w:ascii="Garamond" w:hAnsi="Garamond"/>
            <w:noProof/>
          </w:rPr>
          <w:t>Figure 1.6: The Composition of Public Spending, 2008-2016</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_Toc479624920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23</w:t>
        </w:r>
        <w:r w:rsidR="001A1162" w:rsidRPr="00205F8C">
          <w:rPr>
            <w:rFonts w:ascii="Garamond" w:hAnsi="Garamond"/>
            <w:noProof/>
            <w:webHidden/>
          </w:rPr>
          <w:fldChar w:fldCharType="end"/>
        </w:r>
      </w:hyperlink>
    </w:p>
    <w:p w14:paraId="655C2DE4"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21" w:history="1">
        <w:r w:rsidR="001A1162" w:rsidRPr="00205F8C">
          <w:rPr>
            <w:rStyle w:val="Hyperlink"/>
            <w:rFonts w:ascii="Garamond" w:hAnsi="Garamond"/>
            <w:noProof/>
          </w:rPr>
          <w:t>Figure 1.8: The Public Debt Stock and Debt-Service Payments, 2015 (% of GDP)</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_Toc479624921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25</w:t>
        </w:r>
        <w:r w:rsidR="001A1162" w:rsidRPr="00205F8C">
          <w:rPr>
            <w:rFonts w:ascii="Garamond" w:hAnsi="Garamond"/>
            <w:noProof/>
            <w:webHidden/>
          </w:rPr>
          <w:fldChar w:fldCharType="end"/>
        </w:r>
      </w:hyperlink>
    </w:p>
    <w:p w14:paraId="1C596683"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22" w:history="1">
        <w:r w:rsidR="001A1162" w:rsidRPr="00205F8C">
          <w:rPr>
            <w:rStyle w:val="Hyperlink"/>
            <w:rFonts w:ascii="Garamond" w:hAnsi="Garamond"/>
            <w:noProof/>
          </w:rPr>
          <w:t>Figure 1.9: Capital Investment among Developing Countries, 2000-2014 (% of GDP)</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_Toc479624922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27</w:t>
        </w:r>
        <w:r w:rsidR="001A1162" w:rsidRPr="00205F8C">
          <w:rPr>
            <w:rFonts w:ascii="Garamond" w:hAnsi="Garamond"/>
            <w:noProof/>
            <w:webHidden/>
          </w:rPr>
          <w:fldChar w:fldCharType="end"/>
        </w:r>
      </w:hyperlink>
    </w:p>
    <w:p w14:paraId="2CBE6B89"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23" w:history="1">
        <w:r w:rsidR="001A1162" w:rsidRPr="00205F8C">
          <w:rPr>
            <w:rStyle w:val="Hyperlink"/>
            <w:rFonts w:ascii="Garamond" w:hAnsi="Garamond"/>
            <w:noProof/>
          </w:rPr>
          <w:t>Figure 1.11: Share of the Wage Bill by Category, 2013 (%)</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_Toc479624923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29</w:t>
        </w:r>
        <w:r w:rsidR="001A1162" w:rsidRPr="00205F8C">
          <w:rPr>
            <w:rFonts w:ascii="Garamond" w:hAnsi="Garamond"/>
            <w:noProof/>
            <w:webHidden/>
          </w:rPr>
          <w:fldChar w:fldCharType="end"/>
        </w:r>
      </w:hyperlink>
    </w:p>
    <w:p w14:paraId="2030263C"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24" w:history="1">
        <w:r w:rsidR="001A1162" w:rsidRPr="00205F8C">
          <w:rPr>
            <w:rStyle w:val="Hyperlink"/>
            <w:rFonts w:ascii="Garamond" w:hAnsi="Garamond"/>
            <w:noProof/>
          </w:rPr>
          <w:t>Figure 1.12: Public Revenue by Category, 2008-2015 (% of GDP)</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_Toc479624924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30</w:t>
        </w:r>
        <w:r w:rsidR="001A1162" w:rsidRPr="00205F8C">
          <w:rPr>
            <w:rFonts w:ascii="Garamond" w:hAnsi="Garamond"/>
            <w:noProof/>
            <w:webHidden/>
          </w:rPr>
          <w:fldChar w:fldCharType="end"/>
        </w:r>
      </w:hyperlink>
    </w:p>
    <w:p w14:paraId="72379FDD"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25" w:history="1">
        <w:r w:rsidR="001A1162" w:rsidRPr="00205F8C">
          <w:rPr>
            <w:rStyle w:val="Hyperlink"/>
            <w:rFonts w:ascii="Garamond" w:hAnsi="Garamond"/>
            <w:noProof/>
          </w:rPr>
          <w:t>Figure 1.13: Actual and Potential Tax Revenue, Ghana and Comparators, 2014 (% of GDP)</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_Toc479624925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30</w:t>
        </w:r>
        <w:r w:rsidR="001A1162" w:rsidRPr="00205F8C">
          <w:rPr>
            <w:rFonts w:ascii="Garamond" w:hAnsi="Garamond"/>
            <w:noProof/>
            <w:webHidden/>
          </w:rPr>
          <w:fldChar w:fldCharType="end"/>
        </w:r>
      </w:hyperlink>
    </w:p>
    <w:p w14:paraId="5AFCD9D8"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26" w:history="1">
        <w:r w:rsidR="001A1162" w:rsidRPr="00205F8C">
          <w:rPr>
            <w:rStyle w:val="Hyperlink"/>
            <w:rFonts w:ascii="Garamond" w:hAnsi="Garamond"/>
            <w:noProof/>
          </w:rPr>
          <w:t>Figure 1.14: Projected Decomposition of Oil Revenues, 2015-2035 (US$ Millions)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_Toc479624926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32</w:t>
        </w:r>
        <w:r w:rsidR="001A1162" w:rsidRPr="00205F8C">
          <w:rPr>
            <w:rFonts w:ascii="Garamond" w:hAnsi="Garamond"/>
            <w:noProof/>
            <w:webHidden/>
          </w:rPr>
          <w:fldChar w:fldCharType="end"/>
        </w:r>
      </w:hyperlink>
    </w:p>
    <w:p w14:paraId="313E1759"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27" w:history="1">
        <w:r w:rsidR="001A1162" w:rsidRPr="00205F8C">
          <w:rPr>
            <w:rStyle w:val="Hyperlink"/>
            <w:rFonts w:ascii="Garamond" w:hAnsi="Garamond"/>
            <w:noProof/>
          </w:rPr>
          <w:t>Figure 1.15: Oil-Revenue Projections, Baseline and Lower-Bound Scenarios, 2012-2033 (US$ Millions)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_Toc479624927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32</w:t>
        </w:r>
        <w:r w:rsidR="001A1162" w:rsidRPr="00205F8C">
          <w:rPr>
            <w:rFonts w:ascii="Garamond" w:hAnsi="Garamond"/>
            <w:noProof/>
            <w:webHidden/>
          </w:rPr>
          <w:fldChar w:fldCharType="end"/>
        </w:r>
      </w:hyperlink>
    </w:p>
    <w:p w14:paraId="3612900B"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28" w:history="1">
        <w:r w:rsidR="001A1162" w:rsidRPr="00205F8C">
          <w:rPr>
            <w:rStyle w:val="Hyperlink"/>
            <w:rFonts w:ascii="Garamond" w:hAnsi="Garamond"/>
            <w:noProof/>
          </w:rPr>
          <w:t>Figure 1.16: Revenues and Expenditures, Budgeted v. Actual, 2008-2016</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_Toc479624928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33</w:t>
        </w:r>
        <w:r w:rsidR="001A1162" w:rsidRPr="00205F8C">
          <w:rPr>
            <w:rFonts w:ascii="Garamond" w:hAnsi="Garamond"/>
            <w:noProof/>
            <w:webHidden/>
          </w:rPr>
          <w:fldChar w:fldCharType="end"/>
        </w:r>
      </w:hyperlink>
    </w:p>
    <w:p w14:paraId="012CC041"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29" w:history="1">
        <w:r w:rsidR="001A1162" w:rsidRPr="00205F8C">
          <w:rPr>
            <w:rStyle w:val="Hyperlink"/>
            <w:rFonts w:ascii="Garamond" w:hAnsi="Garamond"/>
            <w:noProof/>
          </w:rPr>
          <w:t>Figure 1.17: Expenditures by Category, Budgeted v. Actual, 2011-2016</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_Toc479624929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33</w:t>
        </w:r>
        <w:r w:rsidR="001A1162" w:rsidRPr="00205F8C">
          <w:rPr>
            <w:rFonts w:ascii="Garamond" w:hAnsi="Garamond"/>
            <w:noProof/>
            <w:webHidden/>
          </w:rPr>
          <w:fldChar w:fldCharType="end"/>
        </w:r>
      </w:hyperlink>
    </w:p>
    <w:p w14:paraId="2CD83151"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30" w:history="1">
        <w:r w:rsidR="001A1162" w:rsidRPr="00205F8C">
          <w:rPr>
            <w:rStyle w:val="Hyperlink"/>
            <w:rFonts w:ascii="Garamond" w:hAnsi="Garamond"/>
            <w:noProof/>
          </w:rPr>
          <w:t>Figure 2.1: Tax Expenditures by Country (% of GDP)</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_Toc479624930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45</w:t>
        </w:r>
        <w:r w:rsidR="001A1162" w:rsidRPr="00205F8C">
          <w:rPr>
            <w:rFonts w:ascii="Garamond" w:hAnsi="Garamond"/>
            <w:noProof/>
            <w:webHidden/>
          </w:rPr>
          <w:fldChar w:fldCharType="end"/>
        </w:r>
      </w:hyperlink>
    </w:p>
    <w:p w14:paraId="7CE8B0A3"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31" w:history="1">
        <w:r w:rsidR="001A1162" w:rsidRPr="00205F8C">
          <w:rPr>
            <w:rStyle w:val="Hyperlink"/>
            <w:rFonts w:ascii="Garamond" w:hAnsi="Garamond"/>
            <w:noProof/>
          </w:rPr>
          <w:t>Figure 3.1: Diagram of a Model SSSS System</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_Toc479624931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72</w:t>
        </w:r>
        <w:r w:rsidR="001A1162" w:rsidRPr="00205F8C">
          <w:rPr>
            <w:rFonts w:ascii="Garamond" w:hAnsi="Garamond"/>
            <w:noProof/>
            <w:webHidden/>
          </w:rPr>
          <w:fldChar w:fldCharType="end"/>
        </w:r>
      </w:hyperlink>
    </w:p>
    <w:p w14:paraId="05CD5C1C"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32" w:history="1">
        <w:r w:rsidR="001A1162" w:rsidRPr="00205F8C">
          <w:rPr>
            <w:rStyle w:val="Hyperlink"/>
            <w:rFonts w:ascii="Garamond" w:hAnsi="Garamond"/>
            <w:noProof/>
          </w:rPr>
          <w:t>Figure 3.2: The Wage Bill as a Share of GDP, 2004-2016</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_Toc479624932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78</w:t>
        </w:r>
        <w:r w:rsidR="001A1162" w:rsidRPr="00205F8C">
          <w:rPr>
            <w:rFonts w:ascii="Garamond" w:hAnsi="Garamond"/>
            <w:noProof/>
            <w:webHidden/>
          </w:rPr>
          <w:fldChar w:fldCharType="end"/>
        </w:r>
      </w:hyperlink>
    </w:p>
    <w:p w14:paraId="325355D8"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33" w:history="1">
        <w:r w:rsidR="001A1162" w:rsidRPr="00205F8C">
          <w:rPr>
            <w:rStyle w:val="Hyperlink"/>
            <w:rFonts w:ascii="Garamond" w:hAnsi="Garamond"/>
            <w:noProof/>
          </w:rPr>
          <w:t>Figure 3.3: The Wage Bill as a Share of Tax Revenue, 2004-2017 (%.)</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_Toc479624933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78</w:t>
        </w:r>
        <w:r w:rsidR="001A1162" w:rsidRPr="00205F8C">
          <w:rPr>
            <w:rFonts w:ascii="Garamond" w:hAnsi="Garamond"/>
            <w:noProof/>
            <w:webHidden/>
          </w:rPr>
          <w:fldChar w:fldCharType="end"/>
        </w:r>
      </w:hyperlink>
    </w:p>
    <w:p w14:paraId="421117BC"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34" w:history="1">
        <w:r w:rsidR="001A1162" w:rsidRPr="00205F8C">
          <w:rPr>
            <w:rStyle w:val="Hyperlink"/>
            <w:rFonts w:ascii="Garamond" w:hAnsi="Garamond"/>
            <w:noProof/>
          </w:rPr>
          <w:t>Figure 3.4: The Wage Bill as a Share of GDP, Revenues and Expenditures Worldwide</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_Toc479624934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79</w:t>
        </w:r>
        <w:r w:rsidR="001A1162" w:rsidRPr="00205F8C">
          <w:rPr>
            <w:rFonts w:ascii="Garamond" w:hAnsi="Garamond"/>
            <w:noProof/>
            <w:webHidden/>
          </w:rPr>
          <w:fldChar w:fldCharType="end"/>
        </w:r>
      </w:hyperlink>
    </w:p>
    <w:p w14:paraId="24C86017"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35" w:history="1">
        <w:r w:rsidR="001A1162" w:rsidRPr="00205F8C">
          <w:rPr>
            <w:rStyle w:val="Hyperlink"/>
            <w:rFonts w:ascii="Garamond" w:hAnsi="Garamond"/>
            <w:noProof/>
          </w:rPr>
          <w:t>Figure 4.2: Education Expenditures by Source and Type, 2015 (GH¢ millions)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_Toc479624935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96</w:t>
        </w:r>
        <w:r w:rsidR="001A1162" w:rsidRPr="00205F8C">
          <w:rPr>
            <w:rFonts w:ascii="Garamond" w:hAnsi="Garamond"/>
            <w:noProof/>
            <w:webHidden/>
          </w:rPr>
          <w:fldChar w:fldCharType="end"/>
        </w:r>
      </w:hyperlink>
    </w:p>
    <w:p w14:paraId="361B0F33"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36" w:history="1">
        <w:r w:rsidR="001A1162" w:rsidRPr="00205F8C">
          <w:rPr>
            <w:rStyle w:val="Hyperlink"/>
            <w:rFonts w:ascii="Garamond" w:hAnsi="Garamond"/>
            <w:noProof/>
          </w:rPr>
          <w:t>Figure 4.3: The Wage Bill as a Share of Total Education Spending, 2015 or Latest Available Year</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_Toc479624936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97</w:t>
        </w:r>
        <w:r w:rsidR="001A1162" w:rsidRPr="00205F8C">
          <w:rPr>
            <w:rFonts w:ascii="Garamond" w:hAnsi="Garamond"/>
            <w:noProof/>
            <w:webHidden/>
          </w:rPr>
          <w:fldChar w:fldCharType="end"/>
        </w:r>
      </w:hyperlink>
    </w:p>
    <w:p w14:paraId="4722DDE3"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37" w:history="1">
        <w:r w:rsidR="001A1162" w:rsidRPr="00205F8C">
          <w:rPr>
            <w:rStyle w:val="Hyperlink"/>
            <w:rFonts w:ascii="Garamond" w:hAnsi="Garamond"/>
            <w:noProof/>
          </w:rPr>
          <w:t>Figure 4.4: Education Budget Execution Rates by Category, 2015 (in GH¢)</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_Toc479624937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97</w:t>
        </w:r>
        <w:r w:rsidR="001A1162" w:rsidRPr="00205F8C">
          <w:rPr>
            <w:rFonts w:ascii="Garamond" w:hAnsi="Garamond"/>
            <w:noProof/>
            <w:webHidden/>
          </w:rPr>
          <w:fldChar w:fldCharType="end"/>
        </w:r>
      </w:hyperlink>
    </w:p>
    <w:p w14:paraId="1FA71673"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38" w:history="1">
        <w:r w:rsidR="001A1162" w:rsidRPr="00205F8C">
          <w:rPr>
            <w:rStyle w:val="Hyperlink"/>
            <w:rFonts w:ascii="Garamond" w:hAnsi="Garamond"/>
            <w:noProof/>
          </w:rPr>
          <w:t>Figure 4.9: Share of Students with Above-Average Grades in Core Basic Education Certificate Examination Subjects by Region, 2014</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_Toc479624938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104</w:t>
        </w:r>
        <w:r w:rsidR="001A1162" w:rsidRPr="00205F8C">
          <w:rPr>
            <w:rFonts w:ascii="Garamond" w:hAnsi="Garamond"/>
            <w:noProof/>
            <w:webHidden/>
          </w:rPr>
          <w:fldChar w:fldCharType="end"/>
        </w:r>
      </w:hyperlink>
    </w:p>
    <w:p w14:paraId="6814EA1B"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39" w:history="1">
        <w:r w:rsidR="001A1162" w:rsidRPr="00205F8C">
          <w:rPr>
            <w:rStyle w:val="Hyperlink"/>
            <w:rFonts w:ascii="Garamond" w:hAnsi="Garamond"/>
            <w:noProof/>
          </w:rPr>
          <w:t>Figure 4.12. Total Health Expenditures, 2005-2012</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_Toc479624939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110</w:t>
        </w:r>
        <w:r w:rsidR="001A1162" w:rsidRPr="00205F8C">
          <w:rPr>
            <w:rFonts w:ascii="Garamond" w:hAnsi="Garamond"/>
            <w:noProof/>
            <w:webHidden/>
          </w:rPr>
          <w:fldChar w:fldCharType="end"/>
        </w:r>
      </w:hyperlink>
    </w:p>
    <w:p w14:paraId="0565EDB9"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40" w:history="1">
        <w:r w:rsidR="001A1162" w:rsidRPr="00205F8C">
          <w:rPr>
            <w:rStyle w:val="Hyperlink"/>
            <w:rFonts w:ascii="Garamond" w:eastAsia="Calibri" w:hAnsi="Garamond"/>
            <w:noProof/>
          </w:rPr>
          <w:t>Figure 4.13: Nominal Health Spending per Capita, Ghana and Comparators, 2014</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_Toc479624940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110</w:t>
        </w:r>
        <w:r w:rsidR="001A1162" w:rsidRPr="00205F8C">
          <w:rPr>
            <w:rFonts w:ascii="Garamond" w:hAnsi="Garamond"/>
            <w:noProof/>
            <w:webHidden/>
          </w:rPr>
          <w:fldChar w:fldCharType="end"/>
        </w:r>
      </w:hyperlink>
    </w:p>
    <w:p w14:paraId="325D7281"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41" w:history="1">
        <w:r w:rsidR="001A1162" w:rsidRPr="00205F8C">
          <w:rPr>
            <w:rStyle w:val="Hyperlink"/>
            <w:rFonts w:ascii="Garamond" w:eastAsia="Calibri" w:hAnsi="Garamond"/>
            <w:noProof/>
          </w:rPr>
          <w:t>Figure 4.14: Health Spending as a Share of GDP, Ghana and Comparators, 2014</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_Toc479624941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111</w:t>
        </w:r>
        <w:r w:rsidR="001A1162" w:rsidRPr="00205F8C">
          <w:rPr>
            <w:rFonts w:ascii="Garamond" w:hAnsi="Garamond"/>
            <w:noProof/>
            <w:webHidden/>
          </w:rPr>
          <w:fldChar w:fldCharType="end"/>
        </w:r>
      </w:hyperlink>
    </w:p>
    <w:p w14:paraId="45FE7D5A"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42" w:history="1">
        <w:r w:rsidR="001A1162" w:rsidRPr="00205F8C">
          <w:rPr>
            <w:rStyle w:val="Hyperlink"/>
            <w:rFonts w:ascii="Garamond" w:eastAsia="Calibri" w:hAnsi="Garamond"/>
            <w:noProof/>
          </w:rPr>
          <w:t>Figure 4.15: Public Health Spending by the MoH and NHIS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_Toc479624942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112</w:t>
        </w:r>
        <w:r w:rsidR="001A1162" w:rsidRPr="00205F8C">
          <w:rPr>
            <w:rFonts w:ascii="Garamond" w:hAnsi="Garamond"/>
            <w:noProof/>
            <w:webHidden/>
          </w:rPr>
          <w:fldChar w:fldCharType="end"/>
        </w:r>
      </w:hyperlink>
    </w:p>
    <w:p w14:paraId="4F1BD244"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43" w:history="1">
        <w:r w:rsidR="001A1162" w:rsidRPr="00205F8C">
          <w:rPr>
            <w:rStyle w:val="Hyperlink"/>
            <w:rFonts w:ascii="Garamond" w:hAnsi="Garamond"/>
            <w:noProof/>
          </w:rPr>
          <w:t>Figure 4.18. Number of Public Health Workers per 1,000 People by Region, 2016</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_Toc479624943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115</w:t>
        </w:r>
        <w:r w:rsidR="001A1162" w:rsidRPr="00205F8C">
          <w:rPr>
            <w:rFonts w:ascii="Garamond" w:hAnsi="Garamond"/>
            <w:noProof/>
            <w:webHidden/>
          </w:rPr>
          <w:fldChar w:fldCharType="end"/>
        </w:r>
      </w:hyperlink>
    </w:p>
    <w:p w14:paraId="795E5C1B"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44" w:history="1">
        <w:r w:rsidR="001A1162" w:rsidRPr="00205F8C">
          <w:rPr>
            <w:rStyle w:val="Hyperlink"/>
            <w:rFonts w:ascii="Garamond" w:hAnsi="Garamond"/>
            <w:noProof/>
          </w:rPr>
          <w:t>Figure 4.19. NHIS Income and Expenditures, 2005-2014</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_Toc479624944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117</w:t>
        </w:r>
        <w:r w:rsidR="001A1162" w:rsidRPr="00205F8C">
          <w:rPr>
            <w:rFonts w:ascii="Garamond" w:hAnsi="Garamond"/>
            <w:noProof/>
            <w:webHidden/>
          </w:rPr>
          <w:fldChar w:fldCharType="end"/>
        </w:r>
      </w:hyperlink>
    </w:p>
    <w:p w14:paraId="34007D1B"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45" w:history="1">
        <w:r w:rsidR="001A1162" w:rsidRPr="00205F8C">
          <w:rPr>
            <w:rStyle w:val="Hyperlink"/>
            <w:rFonts w:ascii="Garamond" w:hAnsi="Garamond"/>
            <w:noProof/>
          </w:rPr>
          <w:t>Figure 4.20. Ghana’s Global Ranking on Economic and Health Outcome Indicators, 1990-2013</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_Toc479624945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117</w:t>
        </w:r>
        <w:r w:rsidR="001A1162" w:rsidRPr="00205F8C">
          <w:rPr>
            <w:rFonts w:ascii="Garamond" w:hAnsi="Garamond"/>
            <w:noProof/>
            <w:webHidden/>
          </w:rPr>
          <w:fldChar w:fldCharType="end"/>
        </w:r>
      </w:hyperlink>
    </w:p>
    <w:p w14:paraId="11CC540C"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46" w:history="1">
        <w:r w:rsidR="001A1162" w:rsidRPr="00205F8C">
          <w:rPr>
            <w:rStyle w:val="Hyperlink"/>
            <w:rFonts w:ascii="Garamond" w:hAnsi="Garamond"/>
            <w:noProof/>
          </w:rPr>
          <w:t>Figure 4.21: Health Outcome Indicators in Ghana and Countries with Similar Income Levels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_Toc479624946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118</w:t>
        </w:r>
        <w:r w:rsidR="001A1162" w:rsidRPr="00205F8C">
          <w:rPr>
            <w:rFonts w:ascii="Garamond" w:hAnsi="Garamond"/>
            <w:noProof/>
            <w:webHidden/>
          </w:rPr>
          <w:fldChar w:fldCharType="end"/>
        </w:r>
      </w:hyperlink>
    </w:p>
    <w:p w14:paraId="66C0FEAA"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47" w:history="1">
        <w:r w:rsidR="001A1162" w:rsidRPr="00205F8C">
          <w:rPr>
            <w:rStyle w:val="Hyperlink"/>
            <w:rFonts w:ascii="Garamond" w:hAnsi="Garamond"/>
            <w:noProof/>
          </w:rPr>
          <w:t>Figure 4.22: Equity in Health Outcomes, 2003-2014</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_Toc479624947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119</w:t>
        </w:r>
        <w:r w:rsidR="001A1162" w:rsidRPr="00205F8C">
          <w:rPr>
            <w:rFonts w:ascii="Garamond" w:hAnsi="Garamond"/>
            <w:noProof/>
            <w:webHidden/>
          </w:rPr>
          <w:fldChar w:fldCharType="end"/>
        </w:r>
      </w:hyperlink>
    </w:p>
    <w:p w14:paraId="14F6A357"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48" w:history="1">
        <w:r w:rsidR="001A1162" w:rsidRPr="00205F8C">
          <w:rPr>
            <w:rStyle w:val="Hyperlink"/>
            <w:rFonts w:ascii="Garamond" w:hAnsi="Garamond"/>
            <w:noProof/>
          </w:rPr>
          <w:t>Figure 4.23: Coverage of Essential Services by Wealth Quintiles, 2003-2014</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_Toc479624948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119</w:t>
        </w:r>
        <w:r w:rsidR="001A1162" w:rsidRPr="00205F8C">
          <w:rPr>
            <w:rFonts w:ascii="Garamond" w:hAnsi="Garamond"/>
            <w:noProof/>
            <w:webHidden/>
          </w:rPr>
          <w:fldChar w:fldCharType="end"/>
        </w:r>
      </w:hyperlink>
    </w:p>
    <w:p w14:paraId="54E50371"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49" w:history="1">
        <w:r w:rsidR="001A1162" w:rsidRPr="00205F8C">
          <w:rPr>
            <w:rStyle w:val="Hyperlink"/>
            <w:rFonts w:ascii="Garamond" w:hAnsi="Garamond"/>
            <w:noProof/>
          </w:rPr>
          <w:t>Figure 4.24 Proportion of Private Facilities by Region, 2016 (%)</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_Toc479624949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124</w:t>
        </w:r>
        <w:r w:rsidR="001A1162" w:rsidRPr="00205F8C">
          <w:rPr>
            <w:rFonts w:ascii="Garamond" w:hAnsi="Garamond"/>
            <w:noProof/>
            <w:webHidden/>
          </w:rPr>
          <w:fldChar w:fldCharType="end"/>
        </w:r>
      </w:hyperlink>
    </w:p>
    <w:p w14:paraId="70C1E0C9"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50" w:history="1">
        <w:r w:rsidR="001A1162" w:rsidRPr="00205F8C">
          <w:rPr>
            <w:rStyle w:val="Hyperlink"/>
            <w:rFonts w:ascii="Garamond" w:hAnsi="Garamond"/>
            <w:noProof/>
          </w:rPr>
          <w:t>Figure 4.25 Per Capita GHS Outpatient Visits by Region, 2014</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_Toc479624950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124</w:t>
        </w:r>
        <w:r w:rsidR="001A1162" w:rsidRPr="00205F8C">
          <w:rPr>
            <w:rFonts w:ascii="Garamond" w:hAnsi="Garamond"/>
            <w:noProof/>
            <w:webHidden/>
          </w:rPr>
          <w:fldChar w:fldCharType="end"/>
        </w:r>
      </w:hyperlink>
    </w:p>
    <w:p w14:paraId="58D97DF2"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51" w:history="1">
        <w:r w:rsidR="001A1162" w:rsidRPr="00205F8C">
          <w:rPr>
            <w:rStyle w:val="Hyperlink"/>
            <w:rFonts w:ascii="Garamond" w:hAnsi="Garamond"/>
            <w:noProof/>
          </w:rPr>
          <w:t>Figure 5.2: Agricultural Growth vs. Growth in All Other sectors, 2008-2014</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_Toc479624951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127</w:t>
        </w:r>
        <w:r w:rsidR="001A1162" w:rsidRPr="00205F8C">
          <w:rPr>
            <w:rFonts w:ascii="Garamond" w:hAnsi="Garamond"/>
            <w:noProof/>
            <w:webHidden/>
          </w:rPr>
          <w:fldChar w:fldCharType="end"/>
        </w:r>
      </w:hyperlink>
    </w:p>
    <w:p w14:paraId="2AC1A1BB"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52" w:history="1">
        <w:r w:rsidR="001A1162" w:rsidRPr="00205F8C">
          <w:rPr>
            <w:rStyle w:val="Hyperlink"/>
            <w:rFonts w:ascii="Garamond" w:hAnsi="Garamond"/>
            <w:noProof/>
          </w:rPr>
          <w:t>Figure 5.3:Annual Agricultural Sector Growth Rates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_Toc479624952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128</w:t>
        </w:r>
        <w:r w:rsidR="001A1162" w:rsidRPr="00205F8C">
          <w:rPr>
            <w:rFonts w:ascii="Garamond" w:hAnsi="Garamond"/>
            <w:noProof/>
            <w:webHidden/>
          </w:rPr>
          <w:fldChar w:fldCharType="end"/>
        </w:r>
      </w:hyperlink>
    </w:p>
    <w:p w14:paraId="61663D3A"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53" w:history="1">
        <w:r w:rsidR="001A1162" w:rsidRPr="00205F8C">
          <w:rPr>
            <w:rStyle w:val="Hyperlink"/>
            <w:rFonts w:ascii="Garamond" w:hAnsi="Garamond"/>
            <w:noProof/>
          </w:rPr>
          <w:t>Figure 5.4: Agricultural Terms of Trade, Expressed as the Ratio of the Food to Nonfood Price Indices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_Toc479624953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129</w:t>
        </w:r>
        <w:r w:rsidR="001A1162" w:rsidRPr="00205F8C">
          <w:rPr>
            <w:rFonts w:ascii="Garamond" w:hAnsi="Garamond"/>
            <w:noProof/>
            <w:webHidden/>
          </w:rPr>
          <w:fldChar w:fldCharType="end"/>
        </w:r>
      </w:hyperlink>
    </w:p>
    <w:p w14:paraId="2A47C00D"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54" w:history="1">
        <w:r w:rsidR="001A1162" w:rsidRPr="00205F8C">
          <w:rPr>
            <w:rStyle w:val="Hyperlink"/>
            <w:rFonts w:ascii="Garamond" w:hAnsi="Garamond"/>
            <w:noProof/>
          </w:rPr>
          <w:t>Figure 5.5:Public Spending in the Agricultural Sector</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_Toc479624954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129</w:t>
        </w:r>
        <w:r w:rsidR="001A1162" w:rsidRPr="00205F8C">
          <w:rPr>
            <w:rFonts w:ascii="Garamond" w:hAnsi="Garamond"/>
            <w:noProof/>
            <w:webHidden/>
          </w:rPr>
          <w:fldChar w:fldCharType="end"/>
        </w:r>
      </w:hyperlink>
    </w:p>
    <w:p w14:paraId="1D9F6E5E"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55" w:history="1">
        <w:r w:rsidR="001A1162" w:rsidRPr="00205F8C">
          <w:rPr>
            <w:rStyle w:val="Hyperlink"/>
            <w:rFonts w:ascii="Garamond" w:hAnsi="Garamond"/>
            <w:noProof/>
          </w:rPr>
          <w:t>Figure 5.8: Cocoa Prices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_Toc479624955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139</w:t>
        </w:r>
        <w:r w:rsidR="001A1162" w:rsidRPr="00205F8C">
          <w:rPr>
            <w:rFonts w:ascii="Garamond" w:hAnsi="Garamond"/>
            <w:noProof/>
            <w:webHidden/>
          </w:rPr>
          <w:fldChar w:fldCharType="end"/>
        </w:r>
      </w:hyperlink>
    </w:p>
    <w:p w14:paraId="0859D61B" w14:textId="77777777" w:rsidR="001A1162" w:rsidRPr="00205F8C" w:rsidRDefault="00A75A08">
      <w:pPr>
        <w:pStyle w:val="TableofFigures"/>
        <w:tabs>
          <w:tab w:val="right" w:leader="dot" w:pos="9350"/>
        </w:tabs>
        <w:rPr>
          <w:rFonts w:ascii="Garamond" w:eastAsiaTheme="minorEastAsia" w:hAnsi="Garamond" w:cstheme="minorBidi"/>
          <w:noProof/>
          <w:sz w:val="24"/>
          <w:szCs w:val="24"/>
        </w:rPr>
      </w:pPr>
      <w:hyperlink w:anchor="_Toc479624956" w:history="1">
        <w:r w:rsidR="001A1162" w:rsidRPr="00205F8C">
          <w:rPr>
            <w:rStyle w:val="Hyperlink"/>
            <w:rFonts w:ascii="Garamond" w:hAnsi="Garamond"/>
            <w:noProof/>
          </w:rPr>
          <w:t>Figure 5.9 : Producer Prices</w:t>
        </w:r>
        <w:r w:rsidR="001A1162" w:rsidRPr="00205F8C">
          <w:rPr>
            <w:rFonts w:ascii="Garamond" w:hAnsi="Garamond"/>
            <w:noProof/>
            <w:webHidden/>
          </w:rPr>
          <w:tab/>
        </w:r>
        <w:r w:rsidR="001A1162" w:rsidRPr="00205F8C">
          <w:rPr>
            <w:rFonts w:ascii="Garamond" w:hAnsi="Garamond"/>
            <w:noProof/>
            <w:webHidden/>
          </w:rPr>
          <w:fldChar w:fldCharType="begin"/>
        </w:r>
        <w:r w:rsidR="001A1162" w:rsidRPr="00205F8C">
          <w:rPr>
            <w:rFonts w:ascii="Garamond" w:hAnsi="Garamond"/>
            <w:noProof/>
            <w:webHidden/>
          </w:rPr>
          <w:instrText xml:space="preserve"> PAGEREF _Toc479624956 \h </w:instrText>
        </w:r>
        <w:r w:rsidR="001A1162" w:rsidRPr="00205F8C">
          <w:rPr>
            <w:rFonts w:ascii="Garamond" w:hAnsi="Garamond"/>
            <w:noProof/>
            <w:webHidden/>
          </w:rPr>
        </w:r>
        <w:r w:rsidR="001A1162" w:rsidRPr="00205F8C">
          <w:rPr>
            <w:rFonts w:ascii="Garamond" w:hAnsi="Garamond"/>
            <w:noProof/>
            <w:webHidden/>
          </w:rPr>
          <w:fldChar w:fldCharType="separate"/>
        </w:r>
        <w:r w:rsidR="007B1CE6">
          <w:rPr>
            <w:rFonts w:ascii="Garamond" w:hAnsi="Garamond"/>
            <w:noProof/>
            <w:webHidden/>
          </w:rPr>
          <w:t>139</w:t>
        </w:r>
        <w:r w:rsidR="001A1162" w:rsidRPr="00205F8C">
          <w:rPr>
            <w:rFonts w:ascii="Garamond" w:hAnsi="Garamond"/>
            <w:noProof/>
            <w:webHidden/>
          </w:rPr>
          <w:fldChar w:fldCharType="end"/>
        </w:r>
      </w:hyperlink>
    </w:p>
    <w:p w14:paraId="797787FF" w14:textId="77777777" w:rsidR="003059EB" w:rsidRPr="00E345F6" w:rsidRDefault="002C36C3">
      <w:pPr>
        <w:rPr>
          <w:rFonts w:ascii="Garamond" w:hAnsi="Garamond"/>
          <w:b/>
          <w:highlight w:val="lightGray"/>
        </w:rPr>
      </w:pPr>
      <w:r w:rsidRPr="00A35B0A">
        <w:rPr>
          <w:rFonts w:ascii="Garamond" w:hAnsi="Garamond"/>
          <w:b/>
          <w:highlight w:val="lightGray"/>
        </w:rPr>
        <w:fldChar w:fldCharType="end"/>
      </w:r>
    </w:p>
    <w:p w14:paraId="79A938B2" w14:textId="77777777" w:rsidR="00F74A74" w:rsidRPr="00E124F6" w:rsidRDefault="00F74A74" w:rsidP="00205F8C">
      <w:pPr>
        <w:pStyle w:val="TOCHeading"/>
        <w:keepNext/>
        <w:numPr>
          <w:ilvl w:val="0"/>
          <w:numId w:val="0"/>
        </w:numPr>
      </w:pPr>
      <w:r>
        <w:lastRenderedPageBreak/>
        <w:t>TABLE OF TABLES</w:t>
      </w:r>
    </w:p>
    <w:p w14:paraId="6BF0F6A1" w14:textId="77777777" w:rsidR="00500291" w:rsidRPr="00205F8C" w:rsidRDefault="003059EB">
      <w:pPr>
        <w:pStyle w:val="TableofFigures"/>
        <w:tabs>
          <w:tab w:val="right" w:leader="dot" w:pos="9350"/>
        </w:tabs>
        <w:rPr>
          <w:rFonts w:ascii="Garamond" w:eastAsiaTheme="minorEastAsia" w:hAnsi="Garamond" w:cstheme="minorBidi"/>
          <w:noProof/>
          <w:sz w:val="24"/>
          <w:szCs w:val="24"/>
        </w:rPr>
      </w:pPr>
      <w:r w:rsidRPr="00A35B0A">
        <w:rPr>
          <w:rFonts w:ascii="Garamond" w:hAnsi="Garamond"/>
          <w:b/>
          <w:highlight w:val="lightGray"/>
        </w:rPr>
        <w:fldChar w:fldCharType="begin"/>
      </w:r>
      <w:r w:rsidRPr="001A1162">
        <w:rPr>
          <w:rFonts w:ascii="Garamond" w:hAnsi="Garamond"/>
          <w:b/>
          <w:highlight w:val="lightGray"/>
        </w:rPr>
        <w:instrText xml:space="preserve"> TOC \h \z \c "Table" </w:instrText>
      </w:r>
      <w:r w:rsidRPr="00A35B0A">
        <w:rPr>
          <w:rFonts w:ascii="Garamond" w:hAnsi="Garamond"/>
          <w:b/>
          <w:highlight w:val="lightGray"/>
        </w:rPr>
        <w:fldChar w:fldCharType="separate"/>
      </w:r>
      <w:hyperlink w:anchor="_Toc478837620" w:history="1">
        <w:r w:rsidR="00500291" w:rsidRPr="00205F8C">
          <w:rPr>
            <w:rStyle w:val="Hyperlink"/>
            <w:rFonts w:ascii="Garamond" w:hAnsi="Garamond"/>
            <w:noProof/>
          </w:rPr>
          <w:t>Table 1.1: Central Government Accounts, Cash Basis, 2008-2016 (% of GDP)</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_Toc478837620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24</w:t>
        </w:r>
        <w:r w:rsidR="00500291" w:rsidRPr="00205F8C">
          <w:rPr>
            <w:rFonts w:ascii="Garamond" w:hAnsi="Garamond"/>
            <w:noProof/>
            <w:webHidden/>
          </w:rPr>
          <w:fldChar w:fldCharType="end"/>
        </w:r>
      </w:hyperlink>
    </w:p>
    <w:p w14:paraId="163262F8"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21" w:history="1">
        <w:r w:rsidR="00500291" w:rsidRPr="00205F8C">
          <w:rPr>
            <w:rStyle w:val="Hyperlink"/>
            <w:rFonts w:ascii="Garamond" w:hAnsi="Garamond"/>
            <w:noProof/>
          </w:rPr>
          <w:t>Table 1.2: Public Spending by Sector, 2011-15 (% of GDP)</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_Toc478837621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28</w:t>
        </w:r>
        <w:r w:rsidR="00500291" w:rsidRPr="00205F8C">
          <w:rPr>
            <w:rFonts w:ascii="Garamond" w:hAnsi="Garamond"/>
            <w:noProof/>
            <w:webHidden/>
          </w:rPr>
          <w:fldChar w:fldCharType="end"/>
        </w:r>
      </w:hyperlink>
    </w:p>
    <w:p w14:paraId="260B8DE6"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22" w:history="1">
        <w:r w:rsidR="00500291" w:rsidRPr="00205F8C">
          <w:rPr>
            <w:rStyle w:val="Hyperlink"/>
            <w:rFonts w:ascii="Garamond" w:hAnsi="Garamond"/>
            <w:noProof/>
          </w:rPr>
          <w:t>Table 2.1: Tax Incentives Provided to Firms under the Income Tax Act</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_Toc478837622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42</w:t>
        </w:r>
        <w:r w:rsidR="00500291" w:rsidRPr="00205F8C">
          <w:rPr>
            <w:rFonts w:ascii="Garamond" w:hAnsi="Garamond"/>
            <w:noProof/>
            <w:webHidden/>
          </w:rPr>
          <w:fldChar w:fldCharType="end"/>
        </w:r>
      </w:hyperlink>
    </w:p>
    <w:p w14:paraId="244F872C"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23" w:history="1">
        <w:r w:rsidR="00500291" w:rsidRPr="00205F8C">
          <w:rPr>
            <w:rStyle w:val="Hyperlink"/>
            <w:rFonts w:ascii="Garamond" w:hAnsi="Garamond"/>
            <w:noProof/>
          </w:rPr>
          <w:t>Table 2.2: VAT Exemptions on Imports and Exports</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_Toc478837623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43</w:t>
        </w:r>
        <w:r w:rsidR="00500291" w:rsidRPr="00205F8C">
          <w:rPr>
            <w:rFonts w:ascii="Garamond" w:hAnsi="Garamond"/>
            <w:noProof/>
            <w:webHidden/>
          </w:rPr>
          <w:fldChar w:fldCharType="end"/>
        </w:r>
      </w:hyperlink>
    </w:p>
    <w:p w14:paraId="1A017BED"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24" w:history="1">
        <w:r w:rsidR="00500291" w:rsidRPr="00205F8C">
          <w:rPr>
            <w:rStyle w:val="Hyperlink"/>
            <w:rFonts w:ascii="Garamond" w:hAnsi="Garamond"/>
            <w:noProof/>
          </w:rPr>
          <w:t>Table 2.3: Estimated Tax Expenditures in Ghana, 2013</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_Toc478837624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45</w:t>
        </w:r>
        <w:r w:rsidR="00500291" w:rsidRPr="00205F8C">
          <w:rPr>
            <w:rFonts w:ascii="Garamond" w:hAnsi="Garamond"/>
            <w:noProof/>
            <w:webHidden/>
          </w:rPr>
          <w:fldChar w:fldCharType="end"/>
        </w:r>
      </w:hyperlink>
    </w:p>
    <w:p w14:paraId="45FBFDE0"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25" w:history="1">
        <w:r w:rsidR="00500291" w:rsidRPr="00205F8C">
          <w:rPr>
            <w:rStyle w:val="Hyperlink"/>
            <w:rFonts w:ascii="Garamond" w:hAnsi="Garamond"/>
            <w:noProof/>
          </w:rPr>
          <w:t>Table 2.4: VAT Exemptions and Zero-Rating in Ghana, Africa &amp; the OECD</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_Toc478837625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46</w:t>
        </w:r>
        <w:r w:rsidR="00500291" w:rsidRPr="00205F8C">
          <w:rPr>
            <w:rFonts w:ascii="Garamond" w:hAnsi="Garamond"/>
            <w:noProof/>
            <w:webHidden/>
          </w:rPr>
          <w:fldChar w:fldCharType="end"/>
        </w:r>
      </w:hyperlink>
    </w:p>
    <w:p w14:paraId="6F475EDA"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26" w:history="1">
        <w:r w:rsidR="00500291" w:rsidRPr="00205F8C">
          <w:rPr>
            <w:rStyle w:val="Hyperlink"/>
            <w:rFonts w:ascii="Garamond" w:hAnsi="Garamond"/>
            <w:noProof/>
          </w:rPr>
          <w:t>Table 2.5: Tax-Expenditure Treatment for Import VAT Exemptions (GH¢ millions)</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_Toc478837626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48</w:t>
        </w:r>
        <w:r w:rsidR="00500291" w:rsidRPr="00205F8C">
          <w:rPr>
            <w:rFonts w:ascii="Garamond" w:hAnsi="Garamond"/>
            <w:noProof/>
            <w:webHidden/>
          </w:rPr>
          <w:fldChar w:fldCharType="end"/>
        </w:r>
      </w:hyperlink>
    </w:p>
    <w:p w14:paraId="200EC14A"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27" w:history="1">
        <w:r w:rsidR="00500291" w:rsidRPr="00205F8C">
          <w:rPr>
            <w:rStyle w:val="Hyperlink"/>
            <w:rFonts w:ascii="Garamond" w:hAnsi="Garamond"/>
            <w:noProof/>
          </w:rPr>
          <w:t>Table 2.6: Tax Expenditures on Domestic VAT (GH¢ millions)</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_Toc478837627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49</w:t>
        </w:r>
        <w:r w:rsidR="00500291" w:rsidRPr="00205F8C">
          <w:rPr>
            <w:rFonts w:ascii="Garamond" w:hAnsi="Garamond"/>
            <w:noProof/>
            <w:webHidden/>
          </w:rPr>
          <w:fldChar w:fldCharType="end"/>
        </w:r>
      </w:hyperlink>
    </w:p>
    <w:p w14:paraId="711A0387"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28" w:history="1">
        <w:r w:rsidR="00500291" w:rsidRPr="00205F8C">
          <w:rPr>
            <w:rStyle w:val="Hyperlink"/>
            <w:rFonts w:ascii="Garamond" w:hAnsi="Garamond"/>
            <w:noProof/>
          </w:rPr>
          <w:t>Table 2.7: Customs Exemptions, 2013 (GH¢ millions)</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_Toc478837628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50</w:t>
        </w:r>
        <w:r w:rsidR="00500291" w:rsidRPr="00205F8C">
          <w:rPr>
            <w:rFonts w:ascii="Garamond" w:hAnsi="Garamond"/>
            <w:noProof/>
            <w:webHidden/>
          </w:rPr>
          <w:fldChar w:fldCharType="end"/>
        </w:r>
      </w:hyperlink>
    </w:p>
    <w:p w14:paraId="0E065578"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29" w:history="1">
        <w:r w:rsidR="00500291" w:rsidRPr="00205F8C">
          <w:rPr>
            <w:rStyle w:val="Hyperlink"/>
            <w:rFonts w:ascii="Garamond" w:hAnsi="Garamond"/>
            <w:noProof/>
          </w:rPr>
          <w:t>Table 2.8: Import Duty Exemptions, 2010-2013 (GH¢ millions)</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_Toc478837629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51</w:t>
        </w:r>
        <w:r w:rsidR="00500291" w:rsidRPr="00205F8C">
          <w:rPr>
            <w:rFonts w:ascii="Garamond" w:hAnsi="Garamond"/>
            <w:noProof/>
            <w:webHidden/>
          </w:rPr>
          <w:fldChar w:fldCharType="end"/>
        </w:r>
      </w:hyperlink>
    </w:p>
    <w:p w14:paraId="2409A726"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30" w:history="1">
        <w:r w:rsidR="00500291" w:rsidRPr="00205F8C">
          <w:rPr>
            <w:rStyle w:val="Hyperlink"/>
            <w:rFonts w:ascii="Garamond" w:hAnsi="Garamond"/>
            <w:noProof/>
          </w:rPr>
          <w:t>Table 2.9: Income Tax Expenditures in Ghana, 2008-2013 (GH¢)</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_Toc478837630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52</w:t>
        </w:r>
        <w:r w:rsidR="00500291" w:rsidRPr="00205F8C">
          <w:rPr>
            <w:rFonts w:ascii="Garamond" w:hAnsi="Garamond"/>
            <w:noProof/>
            <w:webHidden/>
          </w:rPr>
          <w:fldChar w:fldCharType="end"/>
        </w:r>
      </w:hyperlink>
    </w:p>
    <w:p w14:paraId="215E2C61"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31" w:history="1">
        <w:r w:rsidR="00500291" w:rsidRPr="00205F8C">
          <w:rPr>
            <w:rStyle w:val="Hyperlink"/>
            <w:rFonts w:ascii="Garamond" w:hAnsi="Garamond"/>
            <w:noProof/>
          </w:rPr>
          <w:t>Table 2.10: Tax Expenditures and Investment Incentives</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_Toc478837631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56</w:t>
        </w:r>
        <w:r w:rsidR="00500291" w:rsidRPr="00205F8C">
          <w:rPr>
            <w:rFonts w:ascii="Garamond" w:hAnsi="Garamond"/>
            <w:noProof/>
            <w:webHidden/>
          </w:rPr>
          <w:fldChar w:fldCharType="end"/>
        </w:r>
      </w:hyperlink>
    </w:p>
    <w:p w14:paraId="34D95B55"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32" w:history="1">
        <w:r w:rsidR="00500291" w:rsidRPr="00205F8C">
          <w:rPr>
            <w:rStyle w:val="Hyperlink"/>
            <w:rFonts w:ascii="Garamond" w:hAnsi="Garamond"/>
            <w:noProof/>
          </w:rPr>
          <w:t>Table 2.11: Steps for Calculating Tax Expenditures</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_Toc478837632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61</w:t>
        </w:r>
        <w:r w:rsidR="00500291" w:rsidRPr="00205F8C">
          <w:rPr>
            <w:rFonts w:ascii="Garamond" w:hAnsi="Garamond"/>
            <w:noProof/>
            <w:webHidden/>
          </w:rPr>
          <w:fldChar w:fldCharType="end"/>
        </w:r>
      </w:hyperlink>
    </w:p>
    <w:p w14:paraId="11919A68"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33" w:history="1">
        <w:r w:rsidR="00500291" w:rsidRPr="00205F8C">
          <w:rPr>
            <w:rStyle w:val="Hyperlink"/>
            <w:rFonts w:ascii="Garamond" w:hAnsi="Garamond"/>
            <w:noProof/>
          </w:rPr>
          <w:t>Table 2.12: Comparison of Reported Tax Expenditures by Source</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_Toc478837633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61</w:t>
        </w:r>
        <w:r w:rsidR="00500291" w:rsidRPr="00205F8C">
          <w:rPr>
            <w:rFonts w:ascii="Garamond" w:hAnsi="Garamond"/>
            <w:noProof/>
            <w:webHidden/>
          </w:rPr>
          <w:fldChar w:fldCharType="end"/>
        </w:r>
      </w:hyperlink>
    </w:p>
    <w:p w14:paraId="19DD490C"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34" w:history="1">
        <w:r w:rsidR="00500291" w:rsidRPr="00205F8C">
          <w:rPr>
            <w:rStyle w:val="Hyperlink"/>
            <w:rFonts w:ascii="Garamond" w:hAnsi="Garamond"/>
            <w:noProof/>
          </w:rPr>
          <w:t>Table 2.13: Customs: Exemptions (including recovered VAT), 2014-August 2015</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_Toc478837634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63</w:t>
        </w:r>
        <w:r w:rsidR="00500291" w:rsidRPr="00205F8C">
          <w:rPr>
            <w:rFonts w:ascii="Garamond" w:hAnsi="Garamond"/>
            <w:noProof/>
            <w:webHidden/>
          </w:rPr>
          <w:fldChar w:fldCharType="end"/>
        </w:r>
      </w:hyperlink>
    </w:p>
    <w:p w14:paraId="59480CDA"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35" w:history="1">
        <w:r w:rsidR="00500291" w:rsidRPr="00205F8C">
          <w:rPr>
            <w:rStyle w:val="Hyperlink"/>
            <w:rFonts w:ascii="Garamond" w:hAnsi="Garamond"/>
            <w:noProof/>
          </w:rPr>
          <w:t>Table 2.14: Summary of the Principal Taxes in Ghana</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_Toc478837635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63</w:t>
        </w:r>
        <w:r w:rsidR="00500291" w:rsidRPr="00205F8C">
          <w:rPr>
            <w:rFonts w:ascii="Garamond" w:hAnsi="Garamond"/>
            <w:noProof/>
            <w:webHidden/>
          </w:rPr>
          <w:fldChar w:fldCharType="end"/>
        </w:r>
      </w:hyperlink>
    </w:p>
    <w:p w14:paraId="3C21E994"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36" w:history="1">
        <w:r w:rsidR="00500291" w:rsidRPr="00205F8C">
          <w:rPr>
            <w:rStyle w:val="Hyperlink"/>
            <w:rFonts w:ascii="Garamond" w:hAnsi="Garamond"/>
            <w:noProof/>
          </w:rPr>
          <w:t>Table 2.15: Tax Expenditures in 2013 under the Income Tax Act</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_Toc478837636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65</w:t>
        </w:r>
        <w:r w:rsidR="00500291" w:rsidRPr="00205F8C">
          <w:rPr>
            <w:rFonts w:ascii="Garamond" w:hAnsi="Garamond"/>
            <w:noProof/>
            <w:webHidden/>
          </w:rPr>
          <w:fldChar w:fldCharType="end"/>
        </w:r>
      </w:hyperlink>
    </w:p>
    <w:p w14:paraId="7C0A9932"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37" w:history="1">
        <w:r w:rsidR="00500291" w:rsidRPr="00205F8C">
          <w:rPr>
            <w:rStyle w:val="Hyperlink"/>
            <w:rFonts w:ascii="Garamond" w:hAnsi="Garamond"/>
            <w:noProof/>
          </w:rPr>
          <w:t>Table 2.16: Tax Expenditures on VAT on Domestic Value Addition</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_Toc478837637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66</w:t>
        </w:r>
        <w:r w:rsidR="00500291" w:rsidRPr="00205F8C">
          <w:rPr>
            <w:rFonts w:ascii="Garamond" w:hAnsi="Garamond"/>
            <w:noProof/>
            <w:webHidden/>
          </w:rPr>
          <w:fldChar w:fldCharType="end"/>
        </w:r>
      </w:hyperlink>
    </w:p>
    <w:p w14:paraId="3DA4097A"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38" w:history="1">
        <w:r w:rsidR="00500291" w:rsidRPr="00205F8C">
          <w:rPr>
            <w:rStyle w:val="Hyperlink"/>
            <w:rFonts w:ascii="Garamond" w:hAnsi="Garamond"/>
            <w:noProof/>
          </w:rPr>
          <w:t>Table 3.1: The Public Sector Wage Bill and Workforce, 2008-2016</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_Toc478837638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68</w:t>
        </w:r>
        <w:r w:rsidR="00500291" w:rsidRPr="00205F8C">
          <w:rPr>
            <w:rFonts w:ascii="Garamond" w:hAnsi="Garamond"/>
            <w:noProof/>
            <w:webHidden/>
          </w:rPr>
          <w:fldChar w:fldCharType="end"/>
        </w:r>
      </w:hyperlink>
    </w:p>
    <w:p w14:paraId="590C5FF7"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39" w:history="1">
        <w:r w:rsidR="00500291" w:rsidRPr="00205F8C">
          <w:rPr>
            <w:rStyle w:val="Hyperlink"/>
            <w:rFonts w:ascii="Garamond" w:hAnsi="Garamond"/>
            <w:noProof/>
          </w:rPr>
          <w:t>Table 3.2: Differences in Hourly Wages by Sector (GH¢)</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_Toc478837639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68</w:t>
        </w:r>
        <w:r w:rsidR="00500291" w:rsidRPr="00205F8C">
          <w:rPr>
            <w:rFonts w:ascii="Garamond" w:hAnsi="Garamond"/>
            <w:noProof/>
            <w:webHidden/>
          </w:rPr>
          <w:fldChar w:fldCharType="end"/>
        </w:r>
      </w:hyperlink>
    </w:p>
    <w:p w14:paraId="4ACA6DFB"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40" w:history="1">
        <w:r w:rsidR="00500291" w:rsidRPr="00205F8C">
          <w:rPr>
            <w:rStyle w:val="Hyperlink"/>
            <w:rFonts w:ascii="Garamond" w:hAnsi="Garamond"/>
            <w:noProof/>
          </w:rPr>
          <w:t>Table 3.3: Hourly Wages across Different Branches of the Public Sector (GH¢)</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_Toc478837640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69</w:t>
        </w:r>
        <w:r w:rsidR="00500291" w:rsidRPr="00205F8C">
          <w:rPr>
            <w:rFonts w:ascii="Garamond" w:hAnsi="Garamond"/>
            <w:noProof/>
            <w:webHidden/>
          </w:rPr>
          <w:fldChar w:fldCharType="end"/>
        </w:r>
      </w:hyperlink>
    </w:p>
    <w:p w14:paraId="52EA1B90"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41" w:history="1">
        <w:r w:rsidR="00500291" w:rsidRPr="00205F8C">
          <w:rPr>
            <w:rStyle w:val="Hyperlink"/>
            <w:rFonts w:ascii="Garamond" w:hAnsi="Garamond"/>
            <w:noProof/>
          </w:rPr>
          <w:t>Table 3.4: Wage Dispersion within Different Branches of the Public Sector (GH¢)</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_Toc478837641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69</w:t>
        </w:r>
        <w:r w:rsidR="00500291" w:rsidRPr="00205F8C">
          <w:rPr>
            <w:rFonts w:ascii="Garamond" w:hAnsi="Garamond"/>
            <w:noProof/>
            <w:webHidden/>
          </w:rPr>
          <w:fldChar w:fldCharType="end"/>
        </w:r>
      </w:hyperlink>
    </w:p>
    <w:p w14:paraId="7A3033EF"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42" w:history="1">
        <w:r w:rsidR="00500291" w:rsidRPr="00205F8C">
          <w:rPr>
            <w:rStyle w:val="Hyperlink"/>
            <w:rFonts w:ascii="Garamond" w:hAnsi="Garamond"/>
            <w:noProof/>
          </w:rPr>
          <w:t>Table 3.5: Wage Dynamics under the SSSS, 2010-14</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_Toc478837642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71</w:t>
        </w:r>
        <w:r w:rsidR="00500291" w:rsidRPr="00205F8C">
          <w:rPr>
            <w:rFonts w:ascii="Garamond" w:hAnsi="Garamond"/>
            <w:noProof/>
            <w:webHidden/>
          </w:rPr>
          <w:fldChar w:fldCharType="end"/>
        </w:r>
      </w:hyperlink>
    </w:p>
    <w:p w14:paraId="264542C0"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43" w:history="1">
        <w:r w:rsidR="00500291" w:rsidRPr="00205F8C">
          <w:rPr>
            <w:rStyle w:val="Hyperlink"/>
            <w:rFonts w:ascii="Garamond" w:hAnsi="Garamond"/>
            <w:noProof/>
          </w:rPr>
          <w:t>Table 3.6 Ghana’s Single-Spine Salary Structure (GH¢ per year)</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_Toc478837643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74</w:t>
        </w:r>
        <w:r w:rsidR="00500291" w:rsidRPr="00205F8C">
          <w:rPr>
            <w:rFonts w:ascii="Garamond" w:hAnsi="Garamond"/>
            <w:noProof/>
            <w:webHidden/>
          </w:rPr>
          <w:fldChar w:fldCharType="end"/>
        </w:r>
      </w:hyperlink>
    </w:p>
    <w:p w14:paraId="4A1E7B05"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44" w:history="1">
        <w:r w:rsidR="00500291" w:rsidRPr="00205F8C">
          <w:rPr>
            <w:rStyle w:val="Hyperlink"/>
            <w:rFonts w:ascii="Garamond" w:hAnsi="Garamond"/>
            <w:noProof/>
          </w:rPr>
          <w:t>Table 3.7: Public and Private Sector Wage Rates in Ghana</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_Toc478837644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75</w:t>
        </w:r>
        <w:r w:rsidR="00500291" w:rsidRPr="00205F8C">
          <w:rPr>
            <w:rFonts w:ascii="Garamond" w:hAnsi="Garamond"/>
            <w:noProof/>
            <w:webHidden/>
          </w:rPr>
          <w:fldChar w:fldCharType="end"/>
        </w:r>
      </w:hyperlink>
    </w:p>
    <w:p w14:paraId="0E623C4C"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45" w:history="1">
        <w:r w:rsidR="00500291" w:rsidRPr="00205F8C">
          <w:rPr>
            <w:rStyle w:val="Hyperlink"/>
            <w:rFonts w:ascii="Garamond" w:hAnsi="Garamond"/>
            <w:noProof/>
          </w:rPr>
          <w:t>Table 3.8: The Wage Bill, Public Sector Employment and the Total Population, Relative Sizes and Growth Rates, 2009 and 2015</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_Toc478837645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79</w:t>
        </w:r>
        <w:r w:rsidR="00500291" w:rsidRPr="00205F8C">
          <w:rPr>
            <w:rFonts w:ascii="Garamond" w:hAnsi="Garamond"/>
            <w:noProof/>
            <w:webHidden/>
          </w:rPr>
          <w:fldChar w:fldCharType="end"/>
        </w:r>
      </w:hyperlink>
    </w:p>
    <w:p w14:paraId="69AFDC0A"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46" w:history="1">
        <w:r w:rsidR="00500291" w:rsidRPr="00205F8C">
          <w:rPr>
            <w:rStyle w:val="Hyperlink"/>
            <w:rFonts w:ascii="Garamond" w:hAnsi="Garamond"/>
            <w:noProof/>
          </w:rPr>
          <w:t>Table 3.9: Public Sector Compensation, 2009-2014 (GH¢)</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_Toc478837646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80</w:t>
        </w:r>
        <w:r w:rsidR="00500291" w:rsidRPr="00205F8C">
          <w:rPr>
            <w:rFonts w:ascii="Garamond" w:hAnsi="Garamond"/>
            <w:noProof/>
            <w:webHidden/>
          </w:rPr>
          <w:fldChar w:fldCharType="end"/>
        </w:r>
      </w:hyperlink>
    </w:p>
    <w:p w14:paraId="1A9960D3"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47" w:history="1">
        <w:r w:rsidR="00500291" w:rsidRPr="00205F8C">
          <w:rPr>
            <w:rStyle w:val="Hyperlink"/>
            <w:rFonts w:ascii="Garamond" w:hAnsi="Garamond"/>
            <w:noProof/>
          </w:rPr>
          <w:t>Table 3.10: Payroll Irregularities, 2012</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_Toc478837647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81</w:t>
        </w:r>
        <w:r w:rsidR="00500291" w:rsidRPr="00205F8C">
          <w:rPr>
            <w:rFonts w:ascii="Garamond" w:hAnsi="Garamond"/>
            <w:noProof/>
            <w:webHidden/>
          </w:rPr>
          <w:fldChar w:fldCharType="end"/>
        </w:r>
      </w:hyperlink>
    </w:p>
    <w:p w14:paraId="0924356E"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48" w:history="1">
        <w:r w:rsidR="00500291" w:rsidRPr="00205F8C">
          <w:rPr>
            <w:rStyle w:val="Hyperlink"/>
            <w:rFonts w:ascii="Garamond" w:hAnsi="Garamond"/>
            <w:noProof/>
          </w:rPr>
          <w:t>Table 3.11: Enrolment in tertiary institutions (ESPR 2016)</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_Toc478837648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91</w:t>
        </w:r>
        <w:r w:rsidR="00500291" w:rsidRPr="00205F8C">
          <w:rPr>
            <w:rFonts w:ascii="Garamond" w:hAnsi="Garamond"/>
            <w:noProof/>
            <w:webHidden/>
          </w:rPr>
          <w:fldChar w:fldCharType="end"/>
        </w:r>
      </w:hyperlink>
    </w:p>
    <w:p w14:paraId="4D2267F8"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49" w:history="1">
        <w:r w:rsidR="00500291" w:rsidRPr="00205F8C">
          <w:rPr>
            <w:rStyle w:val="Hyperlink"/>
            <w:rFonts w:ascii="Garamond" w:hAnsi="Garamond"/>
            <w:noProof/>
          </w:rPr>
          <w:t>Table 4.1: Public Education and Health Spending as a Share of GDP, 2014</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_Toc478837649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94</w:t>
        </w:r>
        <w:r w:rsidR="00500291" w:rsidRPr="00205F8C">
          <w:rPr>
            <w:rFonts w:ascii="Garamond" w:hAnsi="Garamond"/>
            <w:noProof/>
            <w:webHidden/>
          </w:rPr>
          <w:fldChar w:fldCharType="end"/>
        </w:r>
      </w:hyperlink>
    </w:p>
    <w:p w14:paraId="3BFB78F9"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50" w:history="1">
        <w:r w:rsidR="00500291" w:rsidRPr="00205F8C">
          <w:rPr>
            <w:rStyle w:val="Hyperlink"/>
            <w:rFonts w:ascii="Garamond" w:hAnsi="Garamond"/>
            <w:noProof/>
          </w:rPr>
          <w:t>Table 4.2: Education Funding by Source, 2011-2015 (in GH</w:t>
        </w:r>
        <w:r w:rsidR="00500291" w:rsidRPr="00205F8C">
          <w:rPr>
            <w:rStyle w:val="Hyperlink"/>
            <w:rFonts w:ascii="Garamond" w:hAnsi="Garamond" w:cs="Calibri"/>
            <w:noProof/>
          </w:rPr>
          <w:t>¢</w:t>
        </w:r>
        <w:r w:rsidR="00500291" w:rsidRPr="00205F8C">
          <w:rPr>
            <w:rStyle w:val="Hyperlink"/>
            <w:rFonts w:ascii="Garamond" w:hAnsi="Garamond"/>
            <w:noProof/>
          </w:rPr>
          <w:t xml:space="preserve"> millions unless otherwise specified)</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_Toc478837650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95</w:t>
        </w:r>
        <w:r w:rsidR="00500291" w:rsidRPr="00205F8C">
          <w:rPr>
            <w:rFonts w:ascii="Garamond" w:hAnsi="Garamond"/>
            <w:noProof/>
            <w:webHidden/>
          </w:rPr>
          <w:fldChar w:fldCharType="end"/>
        </w:r>
      </w:hyperlink>
    </w:p>
    <w:p w14:paraId="395CC72B"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51" w:history="1">
        <w:r w:rsidR="00500291" w:rsidRPr="00205F8C">
          <w:rPr>
            <w:rStyle w:val="Hyperlink"/>
            <w:rFonts w:ascii="Garamond" w:hAnsi="Garamond"/>
            <w:noProof/>
          </w:rPr>
          <w:t>Table 4.3: Public Education Spending per Student (GH¢)</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_Toc478837651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98</w:t>
        </w:r>
        <w:r w:rsidR="00500291" w:rsidRPr="00205F8C">
          <w:rPr>
            <w:rFonts w:ascii="Garamond" w:hAnsi="Garamond"/>
            <w:noProof/>
            <w:webHidden/>
          </w:rPr>
          <w:fldChar w:fldCharType="end"/>
        </w:r>
      </w:hyperlink>
    </w:p>
    <w:p w14:paraId="375186E0"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52" w:history="1">
        <w:r w:rsidR="00500291" w:rsidRPr="00205F8C">
          <w:rPr>
            <w:rStyle w:val="Hyperlink"/>
            <w:rFonts w:ascii="Garamond" w:hAnsi="Garamond"/>
            <w:noProof/>
          </w:rPr>
          <w:t>Table 4.4: Gross and Net Enrollment Rates, 2016</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_Toc478837652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99</w:t>
        </w:r>
        <w:r w:rsidR="00500291" w:rsidRPr="00205F8C">
          <w:rPr>
            <w:rFonts w:ascii="Garamond" w:hAnsi="Garamond"/>
            <w:noProof/>
            <w:webHidden/>
          </w:rPr>
          <w:fldChar w:fldCharType="end"/>
        </w:r>
      </w:hyperlink>
    </w:p>
    <w:p w14:paraId="4DB01970"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53" w:history="1">
        <w:r w:rsidR="00500291" w:rsidRPr="00205F8C">
          <w:rPr>
            <w:rStyle w:val="Hyperlink"/>
            <w:rFonts w:ascii="Garamond" w:hAnsi="Garamond"/>
            <w:noProof/>
          </w:rPr>
          <w:t>Table 4.5: GER and NER, National and Deprived-District Averages, 2015 (%)</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_Toc478837653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101</w:t>
        </w:r>
        <w:r w:rsidR="00500291" w:rsidRPr="00205F8C">
          <w:rPr>
            <w:rFonts w:ascii="Garamond" w:hAnsi="Garamond"/>
            <w:noProof/>
            <w:webHidden/>
          </w:rPr>
          <w:fldChar w:fldCharType="end"/>
        </w:r>
      </w:hyperlink>
    </w:p>
    <w:p w14:paraId="77CCC443"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54" w:history="1">
        <w:r w:rsidR="00500291" w:rsidRPr="00205F8C">
          <w:rPr>
            <w:rStyle w:val="Hyperlink"/>
            <w:rFonts w:ascii="Garamond" w:hAnsi="Garamond"/>
            <w:noProof/>
          </w:rPr>
          <w:t>Table 4.6: STEM Enrollment and Total Tertiary Enrollment (%)</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_Toc478837654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102</w:t>
        </w:r>
        <w:r w:rsidR="00500291" w:rsidRPr="00205F8C">
          <w:rPr>
            <w:rFonts w:ascii="Garamond" w:hAnsi="Garamond"/>
            <w:noProof/>
            <w:webHidden/>
          </w:rPr>
          <w:fldChar w:fldCharType="end"/>
        </w:r>
      </w:hyperlink>
    </w:p>
    <w:p w14:paraId="059231BC"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55" w:history="1">
        <w:r w:rsidR="00500291" w:rsidRPr="00205F8C">
          <w:rPr>
            <w:rStyle w:val="Hyperlink"/>
            <w:rFonts w:ascii="Garamond" w:hAnsi="Garamond"/>
            <w:noProof/>
          </w:rPr>
          <w:t>Table 4.7: Number of Trained and Untrained Teachers by Education Level</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_Toc478837655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104</w:t>
        </w:r>
        <w:r w:rsidR="00500291" w:rsidRPr="00205F8C">
          <w:rPr>
            <w:rFonts w:ascii="Garamond" w:hAnsi="Garamond"/>
            <w:noProof/>
            <w:webHidden/>
          </w:rPr>
          <w:fldChar w:fldCharType="end"/>
        </w:r>
      </w:hyperlink>
    </w:p>
    <w:p w14:paraId="548AA248"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56" w:history="1">
        <w:r w:rsidR="00500291" w:rsidRPr="00205F8C">
          <w:rPr>
            <w:rStyle w:val="Hyperlink"/>
            <w:rFonts w:ascii="Garamond" w:hAnsi="Garamond"/>
            <w:noProof/>
          </w:rPr>
          <w:t>Table 4.8: Textbooks per Student, National and Deprived District Averages,2010/11-2015/16</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_Toc478837656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105</w:t>
        </w:r>
        <w:r w:rsidR="00500291" w:rsidRPr="00205F8C">
          <w:rPr>
            <w:rFonts w:ascii="Garamond" w:hAnsi="Garamond"/>
            <w:noProof/>
            <w:webHidden/>
          </w:rPr>
          <w:fldChar w:fldCharType="end"/>
        </w:r>
      </w:hyperlink>
    </w:p>
    <w:p w14:paraId="65808BB5"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57" w:history="1">
        <w:r w:rsidR="00500291" w:rsidRPr="00205F8C">
          <w:rPr>
            <w:rStyle w:val="Hyperlink"/>
            <w:rFonts w:ascii="Garamond" w:hAnsi="Garamond"/>
            <w:noProof/>
          </w:rPr>
          <w:t>Table 4.9: The Coverage of Essential Services, 2003-2014 (%)</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_Toc478837657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114</w:t>
        </w:r>
        <w:r w:rsidR="00500291" w:rsidRPr="00205F8C">
          <w:rPr>
            <w:rFonts w:ascii="Garamond" w:hAnsi="Garamond"/>
            <w:noProof/>
            <w:webHidden/>
          </w:rPr>
          <w:fldChar w:fldCharType="end"/>
        </w:r>
      </w:hyperlink>
    </w:p>
    <w:p w14:paraId="0F7C79A5"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58" w:history="1">
        <w:r w:rsidR="00500291" w:rsidRPr="00205F8C">
          <w:rPr>
            <w:rStyle w:val="Hyperlink"/>
            <w:rFonts w:ascii="Garamond" w:hAnsi="Garamond"/>
            <w:noProof/>
          </w:rPr>
          <w:t>Table 4.10: Number of Facilities by Type</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_Toc478837658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115</w:t>
        </w:r>
        <w:r w:rsidR="00500291" w:rsidRPr="00205F8C">
          <w:rPr>
            <w:rFonts w:ascii="Garamond" w:hAnsi="Garamond"/>
            <w:noProof/>
            <w:webHidden/>
          </w:rPr>
          <w:fldChar w:fldCharType="end"/>
        </w:r>
      </w:hyperlink>
    </w:p>
    <w:p w14:paraId="35536F15"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59" w:history="1">
        <w:r w:rsidR="00500291" w:rsidRPr="00205F8C">
          <w:rPr>
            <w:rStyle w:val="Hyperlink"/>
            <w:rFonts w:ascii="Garamond" w:hAnsi="Garamond"/>
            <w:noProof/>
          </w:rPr>
          <w:t>Table 5.1: Productivity Growth Rates by Sector (%)</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_Toc478837659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126</w:t>
        </w:r>
        <w:r w:rsidR="00500291" w:rsidRPr="00205F8C">
          <w:rPr>
            <w:rFonts w:ascii="Garamond" w:hAnsi="Garamond"/>
            <w:noProof/>
            <w:webHidden/>
          </w:rPr>
          <w:fldChar w:fldCharType="end"/>
        </w:r>
      </w:hyperlink>
    </w:p>
    <w:p w14:paraId="5CD93EAF"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60" w:history="1">
        <w:r w:rsidR="00500291" w:rsidRPr="00205F8C">
          <w:rPr>
            <w:rStyle w:val="Hyperlink"/>
            <w:rFonts w:ascii="Garamond" w:hAnsi="Garamond"/>
            <w:noProof/>
          </w:rPr>
          <w:t>Table 5.2: Public Spending on Agriculture, 2001-2015</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_Toc478837660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130</w:t>
        </w:r>
        <w:r w:rsidR="00500291" w:rsidRPr="00205F8C">
          <w:rPr>
            <w:rFonts w:ascii="Garamond" w:hAnsi="Garamond"/>
            <w:noProof/>
            <w:webHidden/>
          </w:rPr>
          <w:fldChar w:fldCharType="end"/>
        </w:r>
      </w:hyperlink>
    </w:p>
    <w:p w14:paraId="1546B969"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61" w:history="1">
        <w:r w:rsidR="00500291" w:rsidRPr="00205F8C">
          <w:rPr>
            <w:rStyle w:val="Hyperlink"/>
            <w:rFonts w:ascii="Garamond" w:hAnsi="Garamond"/>
            <w:noProof/>
          </w:rPr>
          <w:t>Table 5.3: Ministry of Food and Agriculture,</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_Toc478837661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132</w:t>
        </w:r>
        <w:r w:rsidR="00500291" w:rsidRPr="00205F8C">
          <w:rPr>
            <w:rFonts w:ascii="Garamond" w:hAnsi="Garamond"/>
            <w:noProof/>
            <w:webHidden/>
          </w:rPr>
          <w:fldChar w:fldCharType="end"/>
        </w:r>
      </w:hyperlink>
    </w:p>
    <w:p w14:paraId="5543B1F5"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62" w:history="1">
        <w:r w:rsidR="00500291" w:rsidRPr="00205F8C">
          <w:rPr>
            <w:rStyle w:val="Hyperlink"/>
            <w:rFonts w:ascii="Garamond" w:hAnsi="Garamond"/>
            <w:noProof/>
          </w:rPr>
          <w:t>Table 5.4: Actual and Potential Crop Yields in Ghana (mt/ha)</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_Toc478837662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134</w:t>
        </w:r>
        <w:r w:rsidR="00500291" w:rsidRPr="00205F8C">
          <w:rPr>
            <w:rFonts w:ascii="Garamond" w:hAnsi="Garamond"/>
            <w:noProof/>
            <w:webHidden/>
          </w:rPr>
          <w:fldChar w:fldCharType="end"/>
        </w:r>
      </w:hyperlink>
    </w:p>
    <w:p w14:paraId="210EE26A" w14:textId="77777777" w:rsidR="00500291" w:rsidRPr="00205F8C" w:rsidRDefault="00A75A08">
      <w:pPr>
        <w:pStyle w:val="TableofFigures"/>
        <w:tabs>
          <w:tab w:val="right" w:leader="dot" w:pos="9350"/>
        </w:tabs>
        <w:rPr>
          <w:rFonts w:ascii="Garamond" w:eastAsiaTheme="minorEastAsia" w:hAnsi="Garamond" w:cstheme="minorBidi"/>
          <w:noProof/>
          <w:sz w:val="24"/>
          <w:szCs w:val="24"/>
        </w:rPr>
      </w:pPr>
      <w:hyperlink w:anchor="_Toc478837663" w:history="1">
        <w:r w:rsidR="00500291" w:rsidRPr="00205F8C">
          <w:rPr>
            <w:rStyle w:val="Hyperlink"/>
            <w:rFonts w:ascii="Garamond" w:hAnsi="Garamond"/>
            <w:noProof/>
          </w:rPr>
          <w:t>Table 5.5: Drivers of Agricultural Productivity Growth in Sub-Saharan Africa</w:t>
        </w:r>
        <w:r w:rsidR="00500291" w:rsidRPr="00205F8C">
          <w:rPr>
            <w:rFonts w:ascii="Garamond" w:hAnsi="Garamond"/>
            <w:noProof/>
            <w:webHidden/>
          </w:rPr>
          <w:tab/>
        </w:r>
        <w:r w:rsidR="00500291" w:rsidRPr="00205F8C">
          <w:rPr>
            <w:rFonts w:ascii="Garamond" w:hAnsi="Garamond"/>
            <w:noProof/>
            <w:webHidden/>
          </w:rPr>
          <w:fldChar w:fldCharType="begin"/>
        </w:r>
        <w:r w:rsidR="00500291" w:rsidRPr="00205F8C">
          <w:rPr>
            <w:rFonts w:ascii="Garamond" w:hAnsi="Garamond"/>
            <w:noProof/>
            <w:webHidden/>
          </w:rPr>
          <w:instrText xml:space="preserve"> PAGEREF _Toc478837663 \h </w:instrText>
        </w:r>
        <w:r w:rsidR="00500291" w:rsidRPr="00205F8C">
          <w:rPr>
            <w:rFonts w:ascii="Garamond" w:hAnsi="Garamond"/>
            <w:noProof/>
            <w:webHidden/>
          </w:rPr>
        </w:r>
        <w:r w:rsidR="00500291" w:rsidRPr="00205F8C">
          <w:rPr>
            <w:rFonts w:ascii="Garamond" w:hAnsi="Garamond"/>
            <w:noProof/>
            <w:webHidden/>
          </w:rPr>
          <w:fldChar w:fldCharType="separate"/>
        </w:r>
        <w:r w:rsidR="007B1CE6">
          <w:rPr>
            <w:rFonts w:ascii="Garamond" w:hAnsi="Garamond"/>
            <w:noProof/>
            <w:webHidden/>
          </w:rPr>
          <w:t>134</w:t>
        </w:r>
        <w:r w:rsidR="00500291" w:rsidRPr="00205F8C">
          <w:rPr>
            <w:rFonts w:ascii="Garamond" w:hAnsi="Garamond"/>
            <w:noProof/>
            <w:webHidden/>
          </w:rPr>
          <w:fldChar w:fldCharType="end"/>
        </w:r>
      </w:hyperlink>
    </w:p>
    <w:p w14:paraId="5310D140" w14:textId="77777777" w:rsidR="00C36F7F" w:rsidRPr="00E124F6" w:rsidRDefault="003059EB">
      <w:pPr>
        <w:rPr>
          <w:rFonts w:ascii="Garamond" w:hAnsi="Garamond"/>
          <w:b/>
          <w:highlight w:val="lightGray"/>
        </w:rPr>
      </w:pPr>
      <w:r w:rsidRPr="00A35B0A">
        <w:rPr>
          <w:rFonts w:ascii="Garamond" w:hAnsi="Garamond"/>
          <w:b/>
          <w:highlight w:val="lightGray"/>
        </w:rPr>
        <w:fldChar w:fldCharType="end"/>
      </w:r>
    </w:p>
    <w:p w14:paraId="47386ECC" w14:textId="77777777" w:rsidR="00F74A74" w:rsidRPr="00E124F6" w:rsidRDefault="00F74A74" w:rsidP="00205F8C">
      <w:pPr>
        <w:pStyle w:val="TOCHeading"/>
        <w:keepNext/>
        <w:numPr>
          <w:ilvl w:val="0"/>
          <w:numId w:val="0"/>
        </w:numPr>
      </w:pPr>
      <w:r>
        <w:lastRenderedPageBreak/>
        <w:t>TABLE OF BOXES</w:t>
      </w:r>
    </w:p>
    <w:p w14:paraId="5AFF6D30" w14:textId="77777777" w:rsidR="000558E4" w:rsidRPr="00205F8C" w:rsidRDefault="000A3F47">
      <w:pPr>
        <w:pStyle w:val="TableofFigures"/>
        <w:tabs>
          <w:tab w:val="right" w:leader="dot" w:pos="9350"/>
        </w:tabs>
        <w:rPr>
          <w:rFonts w:ascii="Garamond" w:eastAsiaTheme="minorEastAsia" w:hAnsi="Garamond" w:cstheme="minorBidi"/>
          <w:noProof/>
          <w:sz w:val="24"/>
          <w:szCs w:val="24"/>
        </w:rPr>
      </w:pPr>
      <w:r w:rsidRPr="003259FF">
        <w:rPr>
          <w:rFonts w:ascii="Garamond" w:hAnsi="Garamond"/>
          <w:b/>
          <w:highlight w:val="lightGray"/>
        </w:rPr>
        <w:fldChar w:fldCharType="begin"/>
      </w:r>
      <w:r w:rsidRPr="001A1162">
        <w:rPr>
          <w:rFonts w:ascii="Garamond" w:hAnsi="Garamond"/>
          <w:b/>
          <w:highlight w:val="lightGray"/>
        </w:rPr>
        <w:instrText xml:space="preserve"> TOC \h \z \c "Box" </w:instrText>
      </w:r>
      <w:r w:rsidRPr="003259FF">
        <w:rPr>
          <w:rFonts w:ascii="Garamond" w:hAnsi="Garamond"/>
          <w:b/>
          <w:highlight w:val="lightGray"/>
        </w:rPr>
        <w:fldChar w:fldCharType="separate"/>
      </w:r>
      <w:hyperlink w:anchor="_Toc479615071" w:history="1">
        <w:r w:rsidR="000558E4" w:rsidRPr="00205F8C">
          <w:rPr>
            <w:rStyle w:val="Hyperlink"/>
            <w:rFonts w:ascii="Garamond" w:hAnsi="Garamond"/>
            <w:noProof/>
          </w:rPr>
          <w:t>Box 1.1: The BOOST Budget Tool</w:t>
        </w:r>
        <w:r w:rsidR="000558E4" w:rsidRPr="00205F8C">
          <w:rPr>
            <w:rFonts w:ascii="Garamond" w:hAnsi="Garamond"/>
            <w:noProof/>
            <w:webHidden/>
          </w:rPr>
          <w:tab/>
        </w:r>
        <w:r w:rsidR="000558E4" w:rsidRPr="00205F8C">
          <w:rPr>
            <w:rFonts w:ascii="Garamond" w:hAnsi="Garamond"/>
            <w:noProof/>
            <w:webHidden/>
          </w:rPr>
          <w:fldChar w:fldCharType="begin"/>
        </w:r>
        <w:r w:rsidR="000558E4" w:rsidRPr="00205F8C">
          <w:rPr>
            <w:rFonts w:ascii="Garamond" w:hAnsi="Garamond"/>
            <w:noProof/>
            <w:webHidden/>
          </w:rPr>
          <w:instrText xml:space="preserve"> PAGEREF _Toc479615071 \h </w:instrText>
        </w:r>
        <w:r w:rsidR="000558E4" w:rsidRPr="00205F8C">
          <w:rPr>
            <w:rFonts w:ascii="Garamond" w:hAnsi="Garamond"/>
            <w:noProof/>
            <w:webHidden/>
          </w:rPr>
        </w:r>
        <w:r w:rsidR="000558E4" w:rsidRPr="00205F8C">
          <w:rPr>
            <w:rFonts w:ascii="Garamond" w:hAnsi="Garamond"/>
            <w:noProof/>
            <w:webHidden/>
          </w:rPr>
          <w:fldChar w:fldCharType="separate"/>
        </w:r>
        <w:r w:rsidR="007B1CE6">
          <w:rPr>
            <w:rFonts w:ascii="Garamond" w:hAnsi="Garamond"/>
            <w:noProof/>
            <w:webHidden/>
          </w:rPr>
          <w:t>35</w:t>
        </w:r>
        <w:r w:rsidR="000558E4" w:rsidRPr="00205F8C">
          <w:rPr>
            <w:rFonts w:ascii="Garamond" w:hAnsi="Garamond"/>
            <w:noProof/>
            <w:webHidden/>
          </w:rPr>
          <w:fldChar w:fldCharType="end"/>
        </w:r>
      </w:hyperlink>
    </w:p>
    <w:p w14:paraId="140CA58E" w14:textId="77777777" w:rsidR="000558E4" w:rsidRPr="00205F8C" w:rsidRDefault="00A75A08">
      <w:pPr>
        <w:pStyle w:val="TableofFigures"/>
        <w:tabs>
          <w:tab w:val="right" w:leader="dot" w:pos="9350"/>
        </w:tabs>
        <w:rPr>
          <w:rFonts w:ascii="Garamond" w:eastAsiaTheme="minorEastAsia" w:hAnsi="Garamond" w:cstheme="minorBidi"/>
          <w:noProof/>
          <w:sz w:val="24"/>
          <w:szCs w:val="24"/>
        </w:rPr>
      </w:pPr>
      <w:hyperlink w:anchor="_Toc479615072" w:history="1">
        <w:r w:rsidR="000558E4" w:rsidRPr="00205F8C">
          <w:rPr>
            <w:rStyle w:val="Hyperlink"/>
            <w:rFonts w:ascii="Garamond" w:hAnsi="Garamond"/>
            <w:noProof/>
          </w:rPr>
          <w:t>Box 3.1: Categories of Allowances before the SSSS</w:t>
        </w:r>
        <w:r w:rsidR="000558E4" w:rsidRPr="00205F8C">
          <w:rPr>
            <w:rFonts w:ascii="Garamond" w:hAnsi="Garamond"/>
            <w:noProof/>
            <w:webHidden/>
          </w:rPr>
          <w:tab/>
        </w:r>
        <w:r w:rsidR="000558E4" w:rsidRPr="00205F8C">
          <w:rPr>
            <w:rFonts w:ascii="Garamond" w:hAnsi="Garamond"/>
            <w:noProof/>
            <w:webHidden/>
          </w:rPr>
          <w:fldChar w:fldCharType="begin"/>
        </w:r>
        <w:r w:rsidR="000558E4" w:rsidRPr="00205F8C">
          <w:rPr>
            <w:rFonts w:ascii="Garamond" w:hAnsi="Garamond"/>
            <w:noProof/>
            <w:webHidden/>
          </w:rPr>
          <w:instrText xml:space="preserve"> PAGEREF _Toc479615072 \h </w:instrText>
        </w:r>
        <w:r w:rsidR="000558E4" w:rsidRPr="00205F8C">
          <w:rPr>
            <w:rFonts w:ascii="Garamond" w:hAnsi="Garamond"/>
            <w:noProof/>
            <w:webHidden/>
          </w:rPr>
        </w:r>
        <w:r w:rsidR="000558E4" w:rsidRPr="00205F8C">
          <w:rPr>
            <w:rFonts w:ascii="Garamond" w:hAnsi="Garamond"/>
            <w:noProof/>
            <w:webHidden/>
          </w:rPr>
          <w:fldChar w:fldCharType="separate"/>
        </w:r>
        <w:r w:rsidR="007B1CE6">
          <w:rPr>
            <w:rFonts w:ascii="Garamond" w:hAnsi="Garamond"/>
            <w:noProof/>
            <w:webHidden/>
          </w:rPr>
          <w:t>70</w:t>
        </w:r>
        <w:r w:rsidR="000558E4" w:rsidRPr="00205F8C">
          <w:rPr>
            <w:rFonts w:ascii="Garamond" w:hAnsi="Garamond"/>
            <w:noProof/>
            <w:webHidden/>
          </w:rPr>
          <w:fldChar w:fldCharType="end"/>
        </w:r>
      </w:hyperlink>
    </w:p>
    <w:p w14:paraId="4437E744" w14:textId="77777777" w:rsidR="000558E4" w:rsidRPr="00205F8C" w:rsidRDefault="00A75A08">
      <w:pPr>
        <w:pStyle w:val="TableofFigures"/>
        <w:tabs>
          <w:tab w:val="right" w:leader="dot" w:pos="9350"/>
        </w:tabs>
        <w:rPr>
          <w:rFonts w:ascii="Garamond" w:eastAsiaTheme="minorEastAsia" w:hAnsi="Garamond" w:cstheme="minorBidi"/>
          <w:noProof/>
          <w:sz w:val="24"/>
          <w:szCs w:val="24"/>
        </w:rPr>
      </w:pPr>
      <w:hyperlink w:anchor="_Toc479615073" w:history="1">
        <w:r w:rsidR="000558E4" w:rsidRPr="00205F8C">
          <w:rPr>
            <w:rStyle w:val="Hyperlink"/>
            <w:rFonts w:ascii="Garamond" w:hAnsi="Garamond"/>
            <w:noProof/>
          </w:rPr>
          <w:t>Box 4.1: The New Policy on Universal Access to Upper Secondary Education</w:t>
        </w:r>
        <w:r w:rsidR="000558E4" w:rsidRPr="00205F8C">
          <w:rPr>
            <w:rFonts w:ascii="Garamond" w:hAnsi="Garamond"/>
            <w:noProof/>
            <w:webHidden/>
          </w:rPr>
          <w:tab/>
        </w:r>
        <w:r w:rsidR="000558E4" w:rsidRPr="00205F8C">
          <w:rPr>
            <w:rFonts w:ascii="Garamond" w:hAnsi="Garamond"/>
            <w:noProof/>
            <w:webHidden/>
          </w:rPr>
          <w:fldChar w:fldCharType="begin"/>
        </w:r>
        <w:r w:rsidR="000558E4" w:rsidRPr="00205F8C">
          <w:rPr>
            <w:rFonts w:ascii="Garamond" w:hAnsi="Garamond"/>
            <w:noProof/>
            <w:webHidden/>
          </w:rPr>
          <w:instrText xml:space="preserve"> PAGEREF _Toc479615073 \h </w:instrText>
        </w:r>
        <w:r w:rsidR="000558E4" w:rsidRPr="00205F8C">
          <w:rPr>
            <w:rFonts w:ascii="Garamond" w:hAnsi="Garamond"/>
            <w:noProof/>
            <w:webHidden/>
          </w:rPr>
        </w:r>
        <w:r w:rsidR="000558E4" w:rsidRPr="00205F8C">
          <w:rPr>
            <w:rFonts w:ascii="Garamond" w:hAnsi="Garamond"/>
            <w:noProof/>
            <w:webHidden/>
          </w:rPr>
          <w:fldChar w:fldCharType="separate"/>
        </w:r>
        <w:r w:rsidR="007B1CE6">
          <w:rPr>
            <w:rFonts w:ascii="Garamond" w:hAnsi="Garamond"/>
            <w:noProof/>
            <w:webHidden/>
          </w:rPr>
          <w:t>107</w:t>
        </w:r>
        <w:r w:rsidR="000558E4" w:rsidRPr="00205F8C">
          <w:rPr>
            <w:rFonts w:ascii="Garamond" w:hAnsi="Garamond"/>
            <w:noProof/>
            <w:webHidden/>
          </w:rPr>
          <w:fldChar w:fldCharType="end"/>
        </w:r>
      </w:hyperlink>
    </w:p>
    <w:p w14:paraId="2FAFFBC3" w14:textId="77777777" w:rsidR="00C11BE8" w:rsidRPr="00E124F6" w:rsidRDefault="000A3F47">
      <w:pPr>
        <w:rPr>
          <w:rFonts w:ascii="Garamond" w:hAnsi="Garamond"/>
          <w:b/>
          <w:highlight w:val="lightGray"/>
        </w:rPr>
      </w:pPr>
      <w:r w:rsidRPr="003259FF">
        <w:rPr>
          <w:rFonts w:ascii="Garamond" w:hAnsi="Garamond"/>
          <w:b/>
          <w:highlight w:val="lightGray"/>
        </w:rPr>
        <w:fldChar w:fldCharType="end"/>
      </w:r>
    </w:p>
    <w:p w14:paraId="0D5A3C70" w14:textId="77777777" w:rsidR="003B5411" w:rsidRPr="00E124F6" w:rsidRDefault="003B5411">
      <w:pPr>
        <w:rPr>
          <w:rFonts w:ascii="Garamond" w:hAnsi="Garamond"/>
          <w:b/>
          <w:highlight w:val="lightGray"/>
        </w:rPr>
      </w:pPr>
      <w:r w:rsidRPr="00E124F6">
        <w:rPr>
          <w:rFonts w:ascii="Garamond" w:hAnsi="Garamond"/>
          <w:b/>
          <w:highlight w:val="lightGray"/>
        </w:rPr>
        <w:br w:type="page"/>
      </w:r>
    </w:p>
    <w:p w14:paraId="59CD4AEF" w14:textId="77777777" w:rsidR="00C36F7F" w:rsidRPr="00C36F7F" w:rsidRDefault="00C36F7F" w:rsidP="00B33493">
      <w:pPr>
        <w:pStyle w:val="Heading1"/>
        <w:numPr>
          <w:ilvl w:val="0"/>
          <w:numId w:val="0"/>
        </w:numPr>
      </w:pPr>
      <w:bookmarkStart w:id="0" w:name="_Toc479624859"/>
      <w:r>
        <w:lastRenderedPageBreak/>
        <w:t>Executive Summary</w:t>
      </w:r>
      <w:bookmarkEnd w:id="0"/>
    </w:p>
    <w:p w14:paraId="33C0A025" w14:textId="77777777" w:rsidR="00C36F7F" w:rsidRPr="00986DB6" w:rsidRDefault="00C36F7F" w:rsidP="00724BAB">
      <w:pPr>
        <w:pStyle w:val="ListParagraph"/>
        <w:numPr>
          <w:ilvl w:val="0"/>
          <w:numId w:val="5"/>
        </w:numPr>
      </w:pPr>
      <w:r>
        <w:rPr>
          <w:b/>
        </w:rPr>
        <w:t>G</w:t>
      </w:r>
      <w:r w:rsidRPr="00F95ED9">
        <w:rPr>
          <w:b/>
        </w:rPr>
        <w:t xml:space="preserve">hana has experienced an extended period of robust growth since the early 2000s, supported by a favorable external environment and </w:t>
      </w:r>
      <w:r w:rsidR="00814E5E">
        <w:rPr>
          <w:b/>
        </w:rPr>
        <w:t>large</w:t>
      </w:r>
      <w:r w:rsidR="00814E5E" w:rsidRPr="00F95ED9">
        <w:rPr>
          <w:b/>
        </w:rPr>
        <w:t xml:space="preserve"> </w:t>
      </w:r>
      <w:r w:rsidRPr="00F95ED9">
        <w:rPr>
          <w:b/>
        </w:rPr>
        <w:t>investment inflows, particularly in the extractive industries.</w:t>
      </w:r>
      <w:r w:rsidRPr="00986DB6">
        <w:t xml:space="preserve"> In 2011, as the start of oil production drove a surge in per capita income, Ghana </w:t>
      </w:r>
      <w:r w:rsidR="00B41218">
        <w:t>graduated</w:t>
      </w:r>
      <w:r w:rsidRPr="00986DB6">
        <w:t xml:space="preserve"> from low-income to lower-middle</w:t>
      </w:r>
      <w:r>
        <w:t>-</w:t>
      </w:r>
      <w:r w:rsidRPr="00986DB6">
        <w:t>income status. Despite the key role of the extractive industrie</w:t>
      </w:r>
      <w:r w:rsidR="00814E5E">
        <w:t>s,</w:t>
      </w:r>
      <w:r w:rsidRPr="00986DB6">
        <w:t xml:space="preserve"> recent growth</w:t>
      </w:r>
      <w:r w:rsidR="00814E5E">
        <w:t xml:space="preserve"> </w:t>
      </w:r>
      <w:r w:rsidRPr="00986DB6">
        <w:t xml:space="preserve">has been </w:t>
      </w:r>
      <w:r w:rsidR="00814E5E">
        <w:t>relatively</w:t>
      </w:r>
      <w:r w:rsidR="00814E5E" w:rsidRPr="00986DB6">
        <w:t xml:space="preserve"> </w:t>
      </w:r>
      <w:r w:rsidRPr="00BA467B">
        <w:t>inclusive</w:t>
      </w:r>
      <w:r>
        <w:t>,</w:t>
      </w:r>
      <w:r w:rsidRPr="00986DB6">
        <w:t xml:space="preserve"> and </w:t>
      </w:r>
      <w:r w:rsidR="00814E5E">
        <w:t>Ghana</w:t>
      </w:r>
      <w:r>
        <w:t xml:space="preserve"> achieved its</w:t>
      </w:r>
      <w:r w:rsidRPr="00986DB6">
        <w:t xml:space="preserve"> Millennium Development </w:t>
      </w:r>
      <w:r w:rsidR="00814E5E">
        <w:t>G</w:t>
      </w:r>
      <w:r w:rsidRPr="00986DB6">
        <w:t xml:space="preserve">oal of halving the poverty rate by 2015. </w:t>
      </w:r>
    </w:p>
    <w:p w14:paraId="7FCC85CD" w14:textId="77777777" w:rsidR="00C36F7F" w:rsidRPr="000E58CC" w:rsidRDefault="00C36F7F" w:rsidP="00724BAB">
      <w:pPr>
        <w:pStyle w:val="ListParagraph"/>
        <w:numPr>
          <w:ilvl w:val="0"/>
          <w:numId w:val="5"/>
        </w:numPr>
      </w:pPr>
      <w:r w:rsidRPr="00F95ED9">
        <w:rPr>
          <w:b/>
        </w:rPr>
        <w:t>However, macroeconomic conditions have deteriorated since 2012, giving rise to substantial domestic and external imbalances.</w:t>
      </w:r>
      <w:r w:rsidRPr="00BA467B">
        <w:t xml:space="preserve"> Although external shocks have </w:t>
      </w:r>
      <w:r w:rsidRPr="000E58CC">
        <w:t xml:space="preserve">underscored Ghana’s vulnerability to global commodity </w:t>
      </w:r>
      <w:r w:rsidR="007F2282">
        <w:t xml:space="preserve">and financial </w:t>
      </w:r>
      <w:r w:rsidRPr="000E58CC">
        <w:t xml:space="preserve">markets, the recurring nature of its imbalances reflects deeper structural deficiencies in its macroeconomic </w:t>
      </w:r>
      <w:r w:rsidR="00814E5E">
        <w:t xml:space="preserve">policies </w:t>
      </w:r>
      <w:r w:rsidRPr="000E58CC">
        <w:t>and public financial management</w:t>
      </w:r>
      <w:r w:rsidR="006E38A0">
        <w:t xml:space="preserve"> (PFM)</w:t>
      </w:r>
      <w:r w:rsidR="00814E5E">
        <w:t xml:space="preserve"> framework</w:t>
      </w:r>
      <w:r w:rsidRPr="000E58CC">
        <w:t xml:space="preserve">. A heavy focus on commodity exports has accelerated Ghana’s recent growth, but </w:t>
      </w:r>
      <w:r w:rsidR="00814E5E">
        <w:t>the country’s</w:t>
      </w:r>
      <w:r w:rsidR="00814E5E" w:rsidRPr="000E58CC">
        <w:t xml:space="preserve"> </w:t>
      </w:r>
      <w:r w:rsidRPr="000E58CC">
        <w:t xml:space="preserve">economic outlook increasingly hinges on a narrow range of volatile commodity prices. </w:t>
      </w:r>
      <w:r w:rsidR="00814E5E">
        <w:t>S</w:t>
      </w:r>
      <w:r w:rsidRPr="000E58CC">
        <w:t xml:space="preserve">ustained increases in education and health spending have </w:t>
      </w:r>
      <w:r w:rsidR="00814E5E">
        <w:t>enabled the government to make important</w:t>
      </w:r>
      <w:r w:rsidRPr="000E58CC">
        <w:t xml:space="preserve"> progress </w:t>
      </w:r>
      <w:r w:rsidR="00814E5E">
        <w:t>in improving</w:t>
      </w:r>
      <w:r w:rsidR="00814E5E" w:rsidRPr="000E58CC">
        <w:t xml:space="preserve"> </w:t>
      </w:r>
      <w:r w:rsidRPr="000E58CC">
        <w:t>key social development indicators, but steadily rising public expenditures in a context of persistently weak revenue performance has undermined the stability of the fiscal accounts. Intensifying global headwinds</w:t>
      </w:r>
      <w:r>
        <w:t xml:space="preserve"> have</w:t>
      </w:r>
      <w:r w:rsidRPr="000E58CC">
        <w:t xml:space="preserve"> revealed the extent to which </w:t>
      </w:r>
      <w:r w:rsidR="00814E5E">
        <w:t>recent macroeconomic and public expenditure</w:t>
      </w:r>
      <w:r w:rsidR="00814E5E" w:rsidRPr="000E58CC">
        <w:t xml:space="preserve"> </w:t>
      </w:r>
      <w:r w:rsidRPr="000E58CC">
        <w:t xml:space="preserve">trends have exposed the country to unsustainable fiscal and current-account deficits. </w:t>
      </w:r>
    </w:p>
    <w:p w14:paraId="64360BEC" w14:textId="77777777" w:rsidR="00583360" w:rsidRPr="000E58CC" w:rsidRDefault="00583360" w:rsidP="00453A2D">
      <w:pPr>
        <w:pStyle w:val="ListParagraph"/>
        <w:numPr>
          <w:ilvl w:val="0"/>
          <w:numId w:val="5"/>
        </w:numPr>
      </w:pPr>
      <w:r w:rsidRPr="002B2C4A">
        <w:rPr>
          <w:b/>
        </w:rPr>
        <w:t>In an effort to stabilize the economy and shore up the public finances, the government adopted a multiyear fiscal stabilization plan</w:t>
      </w:r>
      <w:r w:rsidRPr="00334C52">
        <w:rPr>
          <w:b/>
        </w:rPr>
        <w:t xml:space="preserve"> in mid-2015, with support from the I</w:t>
      </w:r>
      <w:r w:rsidR="00540114">
        <w:rPr>
          <w:b/>
        </w:rPr>
        <w:t xml:space="preserve">nternational </w:t>
      </w:r>
      <w:r w:rsidRPr="00334C52">
        <w:rPr>
          <w:b/>
        </w:rPr>
        <w:t>M</w:t>
      </w:r>
      <w:r w:rsidR="00E01FE5">
        <w:rPr>
          <w:b/>
        </w:rPr>
        <w:t>onetary</w:t>
      </w:r>
      <w:r w:rsidR="00540114">
        <w:rPr>
          <w:b/>
        </w:rPr>
        <w:t xml:space="preserve"> </w:t>
      </w:r>
      <w:r w:rsidRPr="00334C52">
        <w:rPr>
          <w:b/>
        </w:rPr>
        <w:t>F</w:t>
      </w:r>
      <w:r w:rsidR="00540114">
        <w:rPr>
          <w:b/>
        </w:rPr>
        <w:t>und</w:t>
      </w:r>
      <w:r w:rsidR="00E01FE5">
        <w:rPr>
          <w:b/>
        </w:rPr>
        <w:t xml:space="preserve"> (IMF)</w:t>
      </w:r>
      <w:r w:rsidRPr="00334C52">
        <w:rPr>
          <w:b/>
        </w:rPr>
        <w:t>, the World Bank</w:t>
      </w:r>
      <w:r w:rsidR="00E01FE5">
        <w:rPr>
          <w:b/>
        </w:rPr>
        <w:t>,</w:t>
      </w:r>
      <w:r w:rsidRPr="00334C52">
        <w:rPr>
          <w:b/>
        </w:rPr>
        <w:t xml:space="preserve"> and Ghana’s other development partners.</w:t>
      </w:r>
      <w:r w:rsidRPr="00BA467B">
        <w:t xml:space="preserve"> </w:t>
      </w:r>
      <w:r>
        <w:t xml:space="preserve">After achieving a substantial degree of fiscal consolidation in 2015, Ghana missed its 2016 fiscal target by a large margin. </w:t>
      </w:r>
      <w:r w:rsidR="00453A2D" w:rsidRPr="00453A2D">
        <w:t>The budget numbers indicate that the fiscal slippage was due to the public revenue shortfall and rising expenditure pressures in the run-up to the December 2016 elections, which also caused the government to accumulate large amount of new arrears.</w:t>
      </w:r>
      <w:r w:rsidRPr="00C71B68">
        <w:t xml:space="preserve"> </w:t>
      </w:r>
      <w:r>
        <w:t>T</w:t>
      </w:r>
      <w:r w:rsidRPr="008A0FDA">
        <w:t xml:space="preserve">he </w:t>
      </w:r>
      <w:r>
        <w:t>consolidation</w:t>
      </w:r>
      <w:r w:rsidRPr="008A0FDA">
        <w:t xml:space="preserve"> program is expected to</w:t>
      </w:r>
      <w:r>
        <w:t xml:space="preserve"> get back on track in 2017 and</w:t>
      </w:r>
      <w:r w:rsidRPr="008A0FDA">
        <w:t xml:space="preserve"> continue through 201</w:t>
      </w:r>
      <w:r w:rsidR="00205F8C">
        <w:t>8</w:t>
      </w:r>
      <w:r w:rsidRPr="008A0FDA">
        <w:t xml:space="preserve">, with further fiscal adjustments focused on </w:t>
      </w:r>
      <w:r>
        <w:t>both public revenue and</w:t>
      </w:r>
      <w:r w:rsidRPr="008A0FDA">
        <w:t xml:space="preserve"> expenditure</w:t>
      </w:r>
      <w:r>
        <w:t>s</w:t>
      </w:r>
      <w:r w:rsidRPr="000E58CC">
        <w:t>.</w:t>
      </w:r>
      <w:r>
        <w:t xml:space="preserve"> P</w:t>
      </w:r>
      <w:r w:rsidRPr="00FB28F4">
        <w:t>rogress</w:t>
      </w:r>
      <w:r>
        <w:t xml:space="preserve"> on</w:t>
      </w:r>
      <w:r w:rsidRPr="00FB28F4">
        <w:t xml:space="preserve"> </w:t>
      </w:r>
      <w:r>
        <w:t xml:space="preserve">the structural reform agenda </w:t>
      </w:r>
      <w:r w:rsidRPr="00FB28F4">
        <w:t>has been uneven</w:t>
      </w:r>
      <w:r>
        <w:t xml:space="preserve">, and in order to achieve its objectives the government will need to refocus its attention on measures to improve </w:t>
      </w:r>
      <w:r w:rsidR="006E38A0">
        <w:t>PFM</w:t>
      </w:r>
      <w:r w:rsidR="001775DF">
        <w:t>.</w:t>
      </w:r>
      <w:r w:rsidRPr="00FB28F4">
        <w:t xml:space="preserve"> </w:t>
      </w:r>
      <w:r>
        <w:t>Lessons learned from previous reform efforts underscore the critical importance of a credible and enduring</w:t>
      </w:r>
      <w:r w:rsidRPr="00FB28F4">
        <w:t xml:space="preserve"> </w:t>
      </w:r>
      <w:r>
        <w:t xml:space="preserve">political </w:t>
      </w:r>
      <w:r w:rsidRPr="00FB28F4">
        <w:t xml:space="preserve">commitment to </w:t>
      </w:r>
      <w:r>
        <w:t xml:space="preserve">the </w:t>
      </w:r>
      <w:r w:rsidRPr="00FB28F4">
        <w:t xml:space="preserve">full implementation </w:t>
      </w:r>
      <w:r>
        <w:t>of the reform agenda.</w:t>
      </w:r>
    </w:p>
    <w:p w14:paraId="08743FB8" w14:textId="77777777" w:rsidR="00C36F7F" w:rsidRDefault="00C36F7F" w:rsidP="00724BAB">
      <w:pPr>
        <w:pStyle w:val="ListParagraph"/>
        <w:numPr>
          <w:ilvl w:val="0"/>
          <w:numId w:val="5"/>
        </w:numPr>
      </w:pPr>
      <w:r w:rsidRPr="00F95ED9">
        <w:rPr>
          <w:b/>
        </w:rPr>
        <w:t xml:space="preserve">Ghana’s recent transition to </w:t>
      </w:r>
      <w:r w:rsidR="00814E5E">
        <w:rPr>
          <w:b/>
        </w:rPr>
        <w:t>lower-</w:t>
      </w:r>
      <w:r w:rsidRPr="00F95ED9">
        <w:rPr>
          <w:b/>
        </w:rPr>
        <w:t>middle-income status complicates its fiscal consolidation efforts, a</w:t>
      </w:r>
      <w:r>
        <w:rPr>
          <w:b/>
        </w:rPr>
        <w:t>s</w:t>
      </w:r>
      <w:r w:rsidRPr="00F95ED9">
        <w:rPr>
          <w:b/>
        </w:rPr>
        <w:t xml:space="preserve"> the county </w:t>
      </w:r>
      <w:r w:rsidR="00814E5E">
        <w:rPr>
          <w:b/>
        </w:rPr>
        <w:t xml:space="preserve">now </w:t>
      </w:r>
      <w:r w:rsidRPr="00F95ED9">
        <w:rPr>
          <w:b/>
        </w:rPr>
        <w:t>faces diminished inflows of external assistance and limited access to concessional borrowing.</w:t>
      </w:r>
      <w:r w:rsidRPr="00BA467B">
        <w:t xml:space="preserve"> </w:t>
      </w:r>
      <w:r w:rsidR="00814E5E">
        <w:t>Meanwhile, the</w:t>
      </w:r>
      <w:r w:rsidRPr="00944730">
        <w:t xml:space="preserve"> emerging oil sector </w:t>
      </w:r>
      <w:r>
        <w:t xml:space="preserve">presents both opportunities and challenges, as it is projected to provide a </w:t>
      </w:r>
      <w:r w:rsidRPr="00256A90">
        <w:t>strong</w:t>
      </w:r>
      <w:r>
        <w:t xml:space="preserve"> but temporary boost to economic growth and fiscal revenue</w:t>
      </w:r>
      <w:r w:rsidRPr="00944730">
        <w:t xml:space="preserve">. These factors </w:t>
      </w:r>
      <w:r>
        <w:t>highlight</w:t>
      </w:r>
      <w:r w:rsidRPr="00944730">
        <w:t xml:space="preserve"> the critical importance of </w:t>
      </w:r>
      <w:r>
        <w:t>macroeconomic management and structural fiscal reform</w:t>
      </w:r>
      <w:r w:rsidRPr="00944730">
        <w:t xml:space="preserve">. Addressing </w:t>
      </w:r>
      <w:r>
        <w:t xml:space="preserve">Ghana’s </w:t>
      </w:r>
      <w:r w:rsidRPr="00944730">
        <w:t xml:space="preserve">macroeconomic vulnerabilities </w:t>
      </w:r>
      <w:r>
        <w:t>while</w:t>
      </w:r>
      <w:r w:rsidRPr="00944730">
        <w:t xml:space="preserve"> sustainably expanding the available fiscal space for capital investment </w:t>
      </w:r>
      <w:r>
        <w:t xml:space="preserve">and social spending </w:t>
      </w:r>
      <w:r w:rsidRPr="00944730">
        <w:t xml:space="preserve">will </w:t>
      </w:r>
      <w:r>
        <w:t>be pivotal to broad-based</w:t>
      </w:r>
      <w:r w:rsidRPr="00944730">
        <w:t xml:space="preserve"> growth</w:t>
      </w:r>
      <w:r>
        <w:t>, job creation</w:t>
      </w:r>
      <w:r w:rsidR="00147B35">
        <w:t>,</w:t>
      </w:r>
      <w:r w:rsidRPr="00944730">
        <w:t xml:space="preserve"> and </w:t>
      </w:r>
      <w:r>
        <w:t>the achievement of the government’s development objectives.</w:t>
      </w:r>
    </w:p>
    <w:p w14:paraId="6EBD274B" w14:textId="77777777" w:rsidR="00BE2B39" w:rsidRDefault="00C36F7F" w:rsidP="00BE2B39">
      <w:pPr>
        <w:pStyle w:val="ListParagraph"/>
        <w:numPr>
          <w:ilvl w:val="0"/>
          <w:numId w:val="5"/>
        </w:numPr>
      </w:pPr>
      <w:r w:rsidRPr="00F95ED9">
        <w:rPr>
          <w:b/>
        </w:rPr>
        <w:t>This Public Expenditure Review (PER</w:t>
      </w:r>
      <w:r w:rsidR="00814E5E">
        <w:rPr>
          <w:b/>
        </w:rPr>
        <w:t>)</w:t>
      </w:r>
      <w:r w:rsidRPr="00F95ED9">
        <w:rPr>
          <w:b/>
        </w:rPr>
        <w:t xml:space="preserve"> focuses on the policy areas most relevant to Ghana’s ongoing fiscal consolidation and medium-term macroeconomic outlook.</w:t>
      </w:r>
      <w:r w:rsidRPr="00990A7E">
        <w:t xml:space="preserve"> </w:t>
      </w:r>
      <w:r w:rsidR="00814E5E">
        <w:t xml:space="preserve"> </w:t>
      </w:r>
      <w:r w:rsidR="001775DF">
        <w:t>I</w:t>
      </w:r>
      <w:r w:rsidR="00814E5E">
        <w:t xml:space="preserve">ts </w:t>
      </w:r>
      <w:r w:rsidR="0096549A">
        <w:t xml:space="preserve">subject </w:t>
      </w:r>
      <w:r w:rsidR="0096549A">
        <w:lastRenderedPageBreak/>
        <w:t>areas</w:t>
      </w:r>
      <w:r w:rsidR="00814E5E">
        <w:t xml:space="preserve"> </w:t>
      </w:r>
      <w:r w:rsidR="0096549A">
        <w:t>are designed to reflect and complement</w:t>
      </w:r>
      <w:r w:rsidR="00814E5E">
        <w:t xml:space="preserve"> the </w:t>
      </w:r>
      <w:r w:rsidR="00217B19">
        <w:t xml:space="preserve">government’s commitment to </w:t>
      </w:r>
      <w:r w:rsidR="0096549A">
        <w:t>strengthen</w:t>
      </w:r>
      <w:r w:rsidR="00217B19">
        <w:t xml:space="preserve"> </w:t>
      </w:r>
      <w:r w:rsidR="006E38A0">
        <w:t>PFM</w:t>
      </w:r>
      <w:r w:rsidR="00217B19">
        <w:t xml:space="preserve"> </w:t>
      </w:r>
      <w:r w:rsidR="0096549A">
        <w:t>in preparation for</w:t>
      </w:r>
      <w:r w:rsidR="00217B19">
        <w:t xml:space="preserve"> the anticipated surge in oil revenues.</w:t>
      </w:r>
      <w:r w:rsidR="00814E5E">
        <w:t xml:space="preserve"> </w:t>
      </w:r>
      <w:r w:rsidRPr="00990A7E">
        <w:t>Chapter 1</w:t>
      </w:r>
      <w:r>
        <w:t xml:space="preserve"> assesses options for</w:t>
      </w:r>
      <w:r w:rsidRPr="00990A7E">
        <w:t xml:space="preserve"> </w:t>
      </w:r>
      <w:r>
        <w:t xml:space="preserve">sustainably </w:t>
      </w:r>
      <w:r w:rsidRPr="00990A7E">
        <w:t>reduc</w:t>
      </w:r>
      <w:r>
        <w:t>ing</w:t>
      </w:r>
      <w:r w:rsidRPr="00990A7E">
        <w:t xml:space="preserve"> nondiscretionary expenditures</w:t>
      </w:r>
      <w:r w:rsidR="0096549A">
        <w:t xml:space="preserve"> and</w:t>
      </w:r>
      <w:r>
        <w:t xml:space="preserve"> </w:t>
      </w:r>
      <w:r w:rsidR="0096549A">
        <w:t xml:space="preserve">enhancing the efficiency of public </w:t>
      </w:r>
      <w:r>
        <w:t>investment</w:t>
      </w:r>
      <w:r w:rsidRPr="00990A7E">
        <w:t xml:space="preserve">. </w:t>
      </w:r>
      <w:r>
        <w:t>Chapter 2</w:t>
      </w:r>
      <w:r w:rsidRPr="00990A7E">
        <w:t xml:space="preserve"> explores </w:t>
      </w:r>
      <w:r>
        <w:t>strategies for</w:t>
      </w:r>
      <w:r w:rsidRPr="00990A7E">
        <w:t xml:space="preserve"> </w:t>
      </w:r>
      <w:r>
        <w:t>improving</w:t>
      </w:r>
      <w:r w:rsidRPr="00990A7E">
        <w:t xml:space="preserve"> domestic revenue </w:t>
      </w:r>
      <w:r>
        <w:t xml:space="preserve">mobilization </w:t>
      </w:r>
      <w:r w:rsidRPr="00990A7E">
        <w:t>by streamlining tax exemptions</w:t>
      </w:r>
      <w:r>
        <w:t xml:space="preserve"> and other fiscal incentives</w:t>
      </w:r>
      <w:r w:rsidRPr="00990A7E">
        <w:t xml:space="preserve">. </w:t>
      </w:r>
      <w:r>
        <w:t>Chapter 3</w:t>
      </w:r>
      <w:r w:rsidRPr="00990A7E">
        <w:t xml:space="preserve"> analyzes the </w:t>
      </w:r>
      <w:r>
        <w:t>government’s</w:t>
      </w:r>
      <w:r w:rsidRPr="00990A7E">
        <w:t xml:space="preserve"> wage bill, </w:t>
      </w:r>
      <w:r>
        <w:t>its</w:t>
      </w:r>
      <w:r w:rsidRPr="00990A7E">
        <w:t xml:space="preserve"> largest recurrent budget item</w:t>
      </w:r>
      <w:r>
        <w:t>,</w:t>
      </w:r>
      <w:r w:rsidRPr="00990A7E">
        <w:t xml:space="preserve"> and </w:t>
      </w:r>
      <w:r>
        <w:t>considers</w:t>
      </w:r>
      <w:r w:rsidRPr="00990A7E">
        <w:t xml:space="preserve"> </w:t>
      </w:r>
      <w:r>
        <w:t xml:space="preserve">measures to </w:t>
      </w:r>
      <w:r w:rsidR="0096549A">
        <w:t xml:space="preserve">better manage </w:t>
      </w:r>
      <w:r>
        <w:t>the size and compensation structure of the public sector workforce. Chapters 4 and 5 focus on policies that will enable</w:t>
      </w:r>
      <w:r w:rsidRPr="00990A7E">
        <w:t xml:space="preserve"> </w:t>
      </w:r>
      <w:r>
        <w:t>Ghana to leverage its positive medium-term economic prospects</w:t>
      </w:r>
      <w:r w:rsidR="0096549A">
        <w:t>—including rising oil revenues—</w:t>
      </w:r>
      <w:r>
        <w:t xml:space="preserve">to achieve a more </w:t>
      </w:r>
      <w:r w:rsidRPr="00990A7E">
        <w:t xml:space="preserve">sustainable and inclusive </w:t>
      </w:r>
      <w:r>
        <w:t xml:space="preserve">development pattern. </w:t>
      </w:r>
      <w:r w:rsidR="0096549A">
        <w:t>As</w:t>
      </w:r>
      <w:r w:rsidR="0096549A" w:rsidRPr="00990A7E">
        <w:t xml:space="preserve"> a healthy, educated labor force </w:t>
      </w:r>
      <w:r w:rsidR="0096549A">
        <w:t xml:space="preserve">is crucial </w:t>
      </w:r>
      <w:r w:rsidR="0096549A" w:rsidRPr="00990A7E">
        <w:t>to meet the evolving demands of a dynamic economy</w:t>
      </w:r>
      <w:r w:rsidR="0096549A">
        <w:t xml:space="preserve">, </w:t>
      </w:r>
      <w:r>
        <w:t>Chapter 4</w:t>
      </w:r>
      <w:r w:rsidRPr="00990A7E">
        <w:t xml:space="preserve"> </w:t>
      </w:r>
      <w:r w:rsidR="0096549A">
        <w:t>evaluates</w:t>
      </w:r>
      <w:r w:rsidR="0096549A" w:rsidRPr="00990A7E">
        <w:t xml:space="preserve"> </w:t>
      </w:r>
      <w:r>
        <w:t xml:space="preserve">public spending in the </w:t>
      </w:r>
      <w:r w:rsidRPr="00990A7E">
        <w:t>education and health sectors</w:t>
      </w:r>
      <w:r>
        <w:t xml:space="preserve"> and its impact on human capital formation</w:t>
      </w:r>
      <w:r w:rsidRPr="00990A7E">
        <w:t xml:space="preserve">. </w:t>
      </w:r>
      <w:r>
        <w:t>Finally, Chapter 5 examines public spending in the agriculture sector, which despite its diminishing economic size will remain</w:t>
      </w:r>
      <w:r w:rsidRPr="00141BF9">
        <w:t xml:space="preserve"> crucial to </w:t>
      </w:r>
      <w:r>
        <w:t xml:space="preserve">employment and poverty reduction over the long term, particularly after the anticipated boom in oil production runs its course. </w:t>
      </w:r>
    </w:p>
    <w:p w14:paraId="699963F3" w14:textId="77777777" w:rsidR="00C36F7F" w:rsidRPr="00E45355" w:rsidRDefault="00C36F7F" w:rsidP="00894F2B">
      <w:pPr>
        <w:pStyle w:val="Heading2"/>
      </w:pPr>
      <w:bookmarkStart w:id="1" w:name="_Toc479624860"/>
      <w:r w:rsidRPr="00E45355">
        <w:t>Macroeconomic Management and Fiscal Policy</w:t>
      </w:r>
      <w:bookmarkEnd w:id="1"/>
    </w:p>
    <w:p w14:paraId="3C9C5D49" w14:textId="77777777" w:rsidR="00BA3D0C" w:rsidRDefault="00BA3D0C" w:rsidP="00BA3D0C">
      <w:pPr>
        <w:pStyle w:val="ListParagraph"/>
        <w:numPr>
          <w:ilvl w:val="0"/>
          <w:numId w:val="5"/>
        </w:numPr>
      </w:pPr>
      <w:r w:rsidRPr="00B4113D">
        <w:rPr>
          <w:b/>
        </w:rPr>
        <w:t xml:space="preserve">The government </w:t>
      </w:r>
      <w:r w:rsidRPr="005A4399">
        <w:rPr>
          <w:b/>
        </w:rPr>
        <w:t>seeks</w:t>
      </w:r>
      <w:r w:rsidR="005360C4">
        <w:rPr>
          <w:b/>
        </w:rPr>
        <w:t xml:space="preserve"> to</w:t>
      </w:r>
      <w:r w:rsidRPr="005A4399">
        <w:rPr>
          <w:b/>
        </w:rPr>
        <w:t xml:space="preserve"> </w:t>
      </w:r>
      <w:r w:rsidR="005360C4">
        <w:rPr>
          <w:b/>
        </w:rPr>
        <w:t>resume</w:t>
      </w:r>
      <w:r w:rsidRPr="005A4399">
        <w:rPr>
          <w:b/>
        </w:rPr>
        <w:t xml:space="preserve"> fiscal consolidation </w:t>
      </w:r>
      <w:r w:rsidRPr="00815DC9">
        <w:rPr>
          <w:b/>
        </w:rPr>
        <w:t>a</w:t>
      </w:r>
      <w:r w:rsidRPr="00A076DA">
        <w:rPr>
          <w:b/>
        </w:rPr>
        <w:t xml:space="preserve">fter </w:t>
      </w:r>
      <w:r w:rsidR="005360C4">
        <w:rPr>
          <w:b/>
        </w:rPr>
        <w:t>a</w:t>
      </w:r>
      <w:r w:rsidR="005360C4" w:rsidRPr="00A076DA">
        <w:rPr>
          <w:b/>
        </w:rPr>
        <w:t xml:space="preserve"> </w:t>
      </w:r>
      <w:r w:rsidRPr="00A076DA">
        <w:rPr>
          <w:b/>
        </w:rPr>
        <w:t>large slippage in 2016</w:t>
      </w:r>
      <w:r w:rsidRPr="00B4113D">
        <w:rPr>
          <w:b/>
        </w:rPr>
        <w:t xml:space="preserve">, and deeper structural reforms will be necessary to achieve and sustain the fiscal targets over the medium term. </w:t>
      </w:r>
      <w:r w:rsidRPr="005360C4">
        <w:t>After successfully cutting the fiscal deficit from 10.1 percent of GDP in 2014 to 6.3 percent in 2015, t</w:t>
      </w:r>
      <w:r w:rsidRPr="00B917FB">
        <w:t xml:space="preserve">he fiscal deficit rose to </w:t>
      </w:r>
      <w:r w:rsidRPr="005360C4">
        <w:t>8.7 percent</w:t>
      </w:r>
      <w:r w:rsidRPr="00B917FB">
        <w:t xml:space="preserve"> in</w:t>
      </w:r>
      <w:r w:rsidRPr="00546378">
        <w:t xml:space="preserve"> 2016</w:t>
      </w:r>
      <w:bookmarkStart w:id="2" w:name="OLE_LINK1"/>
      <w:bookmarkStart w:id="3" w:name="OLE_LINK2"/>
      <w:r>
        <w:t xml:space="preserve">. Nevertheless, </w:t>
      </w:r>
      <w:r w:rsidRPr="006D2BD5">
        <w:t>fiscal consolidation effort</w:t>
      </w:r>
      <w:r>
        <w:t xml:space="preserve">s are ongoing, and </w:t>
      </w:r>
      <w:r w:rsidR="00770E30">
        <w:t xml:space="preserve">in 2017 budget, </w:t>
      </w:r>
      <w:r>
        <w:t xml:space="preserve">the </w:t>
      </w:r>
      <w:r w:rsidR="00770E30">
        <w:t xml:space="preserve">new </w:t>
      </w:r>
      <w:r>
        <w:t>government has set a fiscal deficit target</w:t>
      </w:r>
      <w:r w:rsidRPr="006D2BD5">
        <w:t xml:space="preserve"> of 3 percent of GDP </w:t>
      </w:r>
      <w:r>
        <w:t>by 201</w:t>
      </w:r>
      <w:r w:rsidR="0057634F">
        <w:t>8</w:t>
      </w:r>
      <w:r w:rsidR="00216B81">
        <w:t xml:space="preserve"> and plans </w:t>
      </w:r>
      <w:r w:rsidR="00096E4C">
        <w:t xml:space="preserve">to adjust </w:t>
      </w:r>
      <w:r w:rsidRPr="006D2BD5">
        <w:t>expenditure</w:t>
      </w:r>
      <w:r w:rsidR="00096E4C">
        <w:t>s</w:t>
      </w:r>
      <w:r w:rsidRPr="006D2BD5">
        <w:t xml:space="preserve"> </w:t>
      </w:r>
      <w:r>
        <w:t xml:space="preserve">and </w:t>
      </w:r>
      <w:r w:rsidR="00096E4C">
        <w:t xml:space="preserve">raise </w:t>
      </w:r>
      <w:r>
        <w:t>revenue</w:t>
      </w:r>
      <w:r w:rsidR="00096E4C">
        <w:t>s</w:t>
      </w:r>
      <w:r w:rsidRPr="006D2BD5">
        <w:t>.</w:t>
      </w:r>
      <w:bookmarkEnd w:id="2"/>
      <w:bookmarkEnd w:id="3"/>
      <w:r>
        <w:t xml:space="preserve"> The limited scope to further reduce the investment budget underscores the importance of controlling current expenditures, especially spending on the wage bill and debt service, which are the government’s two largest expenditure items. </w:t>
      </w:r>
    </w:p>
    <w:p w14:paraId="55B38499" w14:textId="77777777" w:rsidR="00C36F7F" w:rsidRDefault="00BA3D0C" w:rsidP="00BA3D0C">
      <w:pPr>
        <w:pStyle w:val="ListParagraph"/>
        <w:numPr>
          <w:ilvl w:val="0"/>
          <w:numId w:val="5"/>
        </w:numPr>
      </w:pPr>
      <w:r w:rsidRPr="00F95ED9">
        <w:rPr>
          <w:b/>
        </w:rPr>
        <w:t>As the external environment deteriorated, the government accumulated substantial debt to finance its large fiscal deficits.</w:t>
      </w:r>
      <w:r w:rsidRPr="00431774">
        <w:t xml:space="preserve"> </w:t>
      </w:r>
      <w:r>
        <w:t>Not only has the debt stock risen</w:t>
      </w:r>
      <w:r w:rsidRPr="00431774">
        <w:t>,</w:t>
      </w:r>
      <w:r>
        <w:t xml:space="preserve"> but both external and domestic borrowing costs</w:t>
      </w:r>
      <w:r w:rsidRPr="00431774">
        <w:t xml:space="preserve"> </w:t>
      </w:r>
      <w:r>
        <w:t xml:space="preserve">rapidly increased. </w:t>
      </w:r>
      <w:r w:rsidRPr="00286A24">
        <w:t xml:space="preserve">Ghana’s most recent debt sustainability analysis </w:t>
      </w:r>
      <w:r>
        <w:t>found</w:t>
      </w:r>
      <w:r w:rsidRPr="00286A24">
        <w:t xml:space="preserve"> the country </w:t>
      </w:r>
      <w:r>
        <w:t xml:space="preserve">to be </w:t>
      </w:r>
      <w:r w:rsidRPr="00286A24">
        <w:t xml:space="preserve">at high risk of external debt distress and highlighted important vulnerabilities related to </w:t>
      </w:r>
      <w:r>
        <w:t xml:space="preserve">both its </w:t>
      </w:r>
      <w:r w:rsidRPr="00286A24">
        <w:t xml:space="preserve">domestic </w:t>
      </w:r>
      <w:r>
        <w:t xml:space="preserve">and external </w:t>
      </w:r>
      <w:r w:rsidRPr="00286A24">
        <w:t>debt</w:t>
      </w:r>
      <w:r>
        <w:t xml:space="preserve"> stocks</w:t>
      </w:r>
      <w:r w:rsidRPr="00286A24">
        <w:t>.</w:t>
      </w:r>
      <w:r>
        <w:t xml:space="preserve"> To curb</w:t>
      </w:r>
      <w:r w:rsidRPr="001C7CA9">
        <w:t xml:space="preserve"> the accumulation of new debt</w:t>
      </w:r>
      <w:r>
        <w:t xml:space="preserve"> the government will need to achieve </w:t>
      </w:r>
      <w:r w:rsidRPr="001C7CA9">
        <w:t xml:space="preserve">the </w:t>
      </w:r>
      <w:r>
        <w:t xml:space="preserve">primary </w:t>
      </w:r>
      <w:r w:rsidRPr="009B05AA">
        <w:t xml:space="preserve">fiscal surplus </w:t>
      </w:r>
      <w:r w:rsidR="00BD7130" w:rsidRPr="009B05AA">
        <w:t xml:space="preserve">of 0.4 percent </w:t>
      </w:r>
      <w:r w:rsidRPr="009B05AA">
        <w:t>as planned</w:t>
      </w:r>
      <w:r>
        <w:t xml:space="preserve">, while </w:t>
      </w:r>
      <w:r w:rsidRPr="001C7CA9">
        <w:t>improv</w:t>
      </w:r>
      <w:r>
        <w:t>ing</w:t>
      </w:r>
      <w:r w:rsidRPr="001C7CA9">
        <w:t xml:space="preserve"> macroeconomic conditions should reduce financing costs</w:t>
      </w:r>
      <w:r>
        <w:t xml:space="preserve"> over the medium term</w:t>
      </w:r>
      <w:r w:rsidR="00C36F7F" w:rsidRPr="001C7CA9">
        <w:t xml:space="preserve"> </w:t>
      </w:r>
    </w:p>
    <w:p w14:paraId="62F2BB92" w14:textId="77777777" w:rsidR="00C36F7F" w:rsidRDefault="00C36F7F" w:rsidP="00724BAB">
      <w:pPr>
        <w:pStyle w:val="ListParagraph"/>
        <w:numPr>
          <w:ilvl w:val="0"/>
          <w:numId w:val="5"/>
        </w:numPr>
      </w:pPr>
      <w:r w:rsidRPr="00F95ED9">
        <w:rPr>
          <w:b/>
        </w:rPr>
        <w:t xml:space="preserve">Proactive debt management will be </w:t>
      </w:r>
      <w:r w:rsidR="00E545F7">
        <w:rPr>
          <w:b/>
        </w:rPr>
        <w:t>necessary</w:t>
      </w:r>
      <w:r w:rsidR="00E545F7" w:rsidRPr="00F95ED9">
        <w:rPr>
          <w:b/>
        </w:rPr>
        <w:t xml:space="preserve"> </w:t>
      </w:r>
      <w:r w:rsidRPr="00F95ED9">
        <w:rPr>
          <w:b/>
        </w:rPr>
        <w:t xml:space="preserve">to </w:t>
      </w:r>
      <w:r w:rsidRPr="00237C9C">
        <w:rPr>
          <w:b/>
        </w:rPr>
        <w:t>reduce</w:t>
      </w:r>
      <w:r w:rsidRPr="00F95ED9">
        <w:rPr>
          <w:b/>
        </w:rPr>
        <w:t xml:space="preserve"> interest payments and mitigate risks to the </w:t>
      </w:r>
      <w:r w:rsidRPr="00237C9C">
        <w:rPr>
          <w:b/>
        </w:rPr>
        <w:t>public</w:t>
      </w:r>
      <w:r>
        <w:rPr>
          <w:b/>
        </w:rPr>
        <w:t xml:space="preserve"> </w:t>
      </w:r>
      <w:r w:rsidRPr="00F95ED9">
        <w:rPr>
          <w:b/>
        </w:rPr>
        <w:t>debt profile.</w:t>
      </w:r>
      <w:r w:rsidRPr="001C7CA9">
        <w:t xml:space="preserve"> While </w:t>
      </w:r>
      <w:r>
        <w:t xml:space="preserve">the government has </w:t>
      </w:r>
      <w:r w:rsidRPr="001C7CA9">
        <w:t>establish</w:t>
      </w:r>
      <w:r w:rsidR="00F036D9">
        <w:t>ed</w:t>
      </w:r>
      <w:r w:rsidRPr="001C7CA9">
        <w:t xml:space="preserve"> buffers for </w:t>
      </w:r>
      <w:r>
        <w:t>certain</w:t>
      </w:r>
      <w:r w:rsidRPr="001C7CA9">
        <w:t xml:space="preserve"> debt obligations, </w:t>
      </w:r>
      <w:r>
        <w:t>it has yet</w:t>
      </w:r>
      <w:r w:rsidRPr="001C7CA9">
        <w:t xml:space="preserve"> to </w:t>
      </w:r>
      <w:r w:rsidR="00F036D9">
        <w:t xml:space="preserve">fully </w:t>
      </w:r>
      <w:r>
        <w:t xml:space="preserve">implement </w:t>
      </w:r>
      <w:r w:rsidRPr="00237C9C">
        <w:t>its medium-term debt management strategy</w:t>
      </w:r>
      <w:r w:rsidRPr="001C7CA9">
        <w:t xml:space="preserve">. </w:t>
      </w:r>
      <w:r w:rsidR="00F036D9">
        <w:t>A</w:t>
      </w:r>
      <w:r w:rsidR="00F036D9" w:rsidRPr="00237C9C">
        <w:t xml:space="preserve"> </w:t>
      </w:r>
      <w:r w:rsidR="00F036D9">
        <w:t>macro</w:t>
      </w:r>
      <w:r w:rsidRPr="00237C9C">
        <w:t>economic management capacity</w:t>
      </w:r>
      <w:r w:rsidR="00F036D9">
        <w:t>-</w:t>
      </w:r>
      <w:r w:rsidRPr="00237C9C">
        <w:t>building project</w:t>
      </w:r>
      <w:r w:rsidR="00F036D9" w:rsidRPr="00237C9C">
        <w:t xml:space="preserve"> currently being implemented with</w:t>
      </w:r>
      <w:r w:rsidRPr="00237C9C">
        <w:t xml:space="preserve"> support</w:t>
      </w:r>
      <w:r w:rsidR="00F036D9" w:rsidRPr="00237C9C">
        <w:t xml:space="preserve"> from</w:t>
      </w:r>
      <w:r w:rsidRPr="00237C9C">
        <w:t xml:space="preserve"> the World Bank </w:t>
      </w:r>
      <w:r w:rsidR="00F036D9">
        <w:t>should</w:t>
      </w:r>
      <w:r w:rsidRPr="00237C9C">
        <w:t xml:space="preserve"> enable the </w:t>
      </w:r>
      <w:r w:rsidR="00F036D9">
        <w:t>authorities</w:t>
      </w:r>
      <w:r w:rsidRPr="00237C9C">
        <w:t xml:space="preserve"> to prepare </w:t>
      </w:r>
      <w:r w:rsidR="00F036D9">
        <w:t xml:space="preserve">a </w:t>
      </w:r>
      <w:r w:rsidRPr="00237C9C">
        <w:t xml:space="preserve">medium-term debt strategy, </w:t>
      </w:r>
      <w:r>
        <w:t>formulate an</w:t>
      </w:r>
      <w:r w:rsidRPr="001C7CA9">
        <w:t xml:space="preserve"> </w:t>
      </w:r>
      <w:r>
        <w:t>annual borrowing plan</w:t>
      </w:r>
      <w:r w:rsidRPr="001C7CA9">
        <w:t xml:space="preserve">, </w:t>
      </w:r>
      <w:r>
        <w:t xml:space="preserve">improve </w:t>
      </w:r>
      <w:r w:rsidRPr="001C7CA9">
        <w:t xml:space="preserve">treasury management and forecasting, </w:t>
      </w:r>
      <w:r>
        <w:t xml:space="preserve">enhance </w:t>
      </w:r>
      <w:r w:rsidRPr="001C7CA9">
        <w:t>debt reporting</w:t>
      </w:r>
      <w:r w:rsidR="00077BAA">
        <w:t>,</w:t>
      </w:r>
      <w:r w:rsidRPr="001C7CA9">
        <w:t xml:space="preserve"> and </w:t>
      </w:r>
      <w:r>
        <w:t xml:space="preserve">strengthen </w:t>
      </w:r>
      <w:r w:rsidRPr="001C7CA9">
        <w:t>operational risk management.</w:t>
      </w:r>
      <w:r>
        <w:rPr>
          <w:rStyle w:val="FootnoteReference"/>
        </w:rPr>
        <w:footnoteReference w:id="1"/>
      </w:r>
      <w:r>
        <w:t xml:space="preserve"> </w:t>
      </w:r>
      <w:r w:rsidR="00F036D9">
        <w:t>To</w:t>
      </w:r>
      <w:r>
        <w:t xml:space="preserve"> attenuate the risk of contingent liabilities t</w:t>
      </w:r>
      <w:r w:rsidRPr="001C7CA9">
        <w:t xml:space="preserve">he </w:t>
      </w:r>
      <w:r>
        <w:t>g</w:t>
      </w:r>
      <w:r w:rsidRPr="001C7CA9">
        <w:t xml:space="preserve">overnment </w:t>
      </w:r>
      <w:r w:rsidR="00F036D9">
        <w:t>must</w:t>
      </w:r>
      <w:r w:rsidRPr="001C7CA9">
        <w:t xml:space="preserve"> </w:t>
      </w:r>
      <w:r>
        <w:t>closely monitor all</w:t>
      </w:r>
      <w:r w:rsidRPr="001C7CA9">
        <w:t xml:space="preserve"> debt issued by </w:t>
      </w:r>
      <w:r w:rsidR="00F036D9">
        <w:t xml:space="preserve">central </w:t>
      </w:r>
      <w:r w:rsidRPr="001C7CA9">
        <w:t xml:space="preserve">government </w:t>
      </w:r>
      <w:r>
        <w:t>agencies</w:t>
      </w:r>
      <w:r w:rsidR="00F036D9">
        <w:t>, subnational authorities</w:t>
      </w:r>
      <w:r w:rsidR="00077BAA">
        <w:t>,</w:t>
      </w:r>
      <w:r>
        <w:t xml:space="preserve"> </w:t>
      </w:r>
      <w:r w:rsidR="00F036D9">
        <w:t>and</w:t>
      </w:r>
      <w:r>
        <w:t xml:space="preserve"> state-owned enterprises</w:t>
      </w:r>
      <w:r w:rsidR="00E25E19">
        <w:t xml:space="preserve"> (SOEs)</w:t>
      </w:r>
      <w:r w:rsidRPr="001C7CA9">
        <w:t>.</w:t>
      </w:r>
    </w:p>
    <w:p w14:paraId="1512AFA7" w14:textId="77777777" w:rsidR="00C36F7F" w:rsidRDefault="00C36F7F" w:rsidP="00724BAB">
      <w:pPr>
        <w:pStyle w:val="ListParagraph"/>
        <w:numPr>
          <w:ilvl w:val="0"/>
          <w:numId w:val="5"/>
        </w:numPr>
      </w:pPr>
      <w:r>
        <w:rPr>
          <w:b/>
        </w:rPr>
        <w:t>Though</w:t>
      </w:r>
      <w:r w:rsidR="00533FEE">
        <w:rPr>
          <w:b/>
        </w:rPr>
        <w:t xml:space="preserve"> </w:t>
      </w:r>
      <w:r w:rsidR="00533FEE" w:rsidRPr="00D450DD">
        <w:rPr>
          <w:b/>
        </w:rPr>
        <w:t xml:space="preserve">fiscal consolidation </w:t>
      </w:r>
      <w:r w:rsidR="00533FEE">
        <w:rPr>
          <w:b/>
        </w:rPr>
        <w:t xml:space="preserve">is </w:t>
      </w:r>
      <w:r>
        <w:rPr>
          <w:b/>
        </w:rPr>
        <w:t xml:space="preserve">essential to the stability of the public finances, </w:t>
      </w:r>
      <w:r w:rsidRPr="00D450DD">
        <w:rPr>
          <w:b/>
        </w:rPr>
        <w:t xml:space="preserve">public investment </w:t>
      </w:r>
      <w:r w:rsidR="00533FEE">
        <w:rPr>
          <w:b/>
        </w:rPr>
        <w:t>has fallen</w:t>
      </w:r>
      <w:r w:rsidRPr="00D450DD">
        <w:rPr>
          <w:b/>
        </w:rPr>
        <w:t xml:space="preserve"> well below the levels of comparable countries, both in Sub-Saharan </w:t>
      </w:r>
      <w:r w:rsidRPr="00D450DD">
        <w:rPr>
          <w:b/>
        </w:rPr>
        <w:lastRenderedPageBreak/>
        <w:t>Africa and worldwide.</w:t>
      </w:r>
      <w:r>
        <w:t xml:space="preserve"> L</w:t>
      </w:r>
      <w:r w:rsidRPr="00A621BD">
        <w:t xml:space="preserve">ow </w:t>
      </w:r>
      <w:r w:rsidR="00533FEE">
        <w:t xml:space="preserve">rates of </w:t>
      </w:r>
      <w:r w:rsidRPr="00A621BD">
        <w:t>public investment have negative implications for growth, job creation</w:t>
      </w:r>
      <w:r w:rsidR="00077BAA">
        <w:t>,</w:t>
      </w:r>
      <w:r w:rsidRPr="00A621BD">
        <w:t xml:space="preserve"> and public service delivery. </w:t>
      </w:r>
      <w:r>
        <w:t xml:space="preserve">Closing the infrastructure gap with other middle-income countries will require rebalancing expenditures </w:t>
      </w:r>
      <w:r w:rsidR="00533FEE">
        <w:t xml:space="preserve">in favor of </w:t>
      </w:r>
      <w:r>
        <w:t xml:space="preserve">public investment, </w:t>
      </w:r>
      <w:r w:rsidR="00533FEE">
        <w:t xml:space="preserve">which </w:t>
      </w:r>
      <w:r>
        <w:t>further underscor</w:t>
      </w:r>
      <w:r w:rsidR="00533FEE">
        <w:t>es</w:t>
      </w:r>
      <w:r>
        <w:t xml:space="preserve"> the importance of </w:t>
      </w:r>
      <w:r w:rsidR="00533FEE">
        <w:t xml:space="preserve">maintaining control over </w:t>
      </w:r>
      <w:r>
        <w:t xml:space="preserve">current expenditures, particularly the wage bill and </w:t>
      </w:r>
      <w:r w:rsidR="00533FEE">
        <w:t>debt service</w:t>
      </w:r>
      <w:r>
        <w:t xml:space="preserve">. </w:t>
      </w:r>
    </w:p>
    <w:p w14:paraId="08E94475" w14:textId="77777777" w:rsidR="00C36F7F" w:rsidRDefault="00533FEE" w:rsidP="00724BAB">
      <w:pPr>
        <w:pStyle w:val="ListParagraph"/>
        <w:numPr>
          <w:ilvl w:val="0"/>
          <w:numId w:val="5"/>
        </w:numPr>
        <w:rPr>
          <w:lang w:eastAsia="zh-CN"/>
        </w:rPr>
      </w:pPr>
      <w:r>
        <w:rPr>
          <w:b/>
          <w:lang w:eastAsia="zh-CN"/>
        </w:rPr>
        <w:t>I</w:t>
      </w:r>
      <w:r w:rsidR="00C36F7F" w:rsidRPr="00D450DD">
        <w:rPr>
          <w:b/>
          <w:lang w:eastAsia="zh-CN"/>
        </w:rPr>
        <w:t>mproving value</w:t>
      </w:r>
      <w:r w:rsidR="00DC0ABF">
        <w:rPr>
          <w:b/>
          <w:lang w:eastAsia="zh-CN"/>
        </w:rPr>
        <w:t xml:space="preserve"> </w:t>
      </w:r>
      <w:r w:rsidR="00C36F7F" w:rsidRPr="00D450DD">
        <w:rPr>
          <w:b/>
          <w:lang w:eastAsia="zh-CN"/>
        </w:rPr>
        <w:t>for</w:t>
      </w:r>
      <w:r w:rsidR="00DC0ABF">
        <w:rPr>
          <w:b/>
          <w:lang w:eastAsia="zh-CN"/>
        </w:rPr>
        <w:t xml:space="preserve"> </w:t>
      </w:r>
      <w:r w:rsidR="00C36F7F" w:rsidRPr="00D450DD">
        <w:rPr>
          <w:b/>
          <w:lang w:eastAsia="zh-CN"/>
        </w:rPr>
        <w:t xml:space="preserve">money in public investment would </w:t>
      </w:r>
      <w:r w:rsidR="00BA7C27">
        <w:rPr>
          <w:b/>
          <w:lang w:eastAsia="zh-CN"/>
        </w:rPr>
        <w:t>enhance the</w:t>
      </w:r>
      <w:r w:rsidR="00C36F7F" w:rsidRPr="00D450DD">
        <w:rPr>
          <w:b/>
          <w:lang w:eastAsia="zh-CN"/>
        </w:rPr>
        <w:t xml:space="preserve"> </w:t>
      </w:r>
      <w:r w:rsidR="00BA7C27">
        <w:rPr>
          <w:b/>
          <w:lang w:eastAsia="zh-CN"/>
        </w:rPr>
        <w:t xml:space="preserve">economic </w:t>
      </w:r>
      <w:r w:rsidR="00C36F7F" w:rsidRPr="00D450DD">
        <w:rPr>
          <w:b/>
          <w:lang w:eastAsia="zh-CN"/>
        </w:rPr>
        <w:t xml:space="preserve">returns </w:t>
      </w:r>
      <w:r w:rsidR="00BA7C27">
        <w:rPr>
          <w:b/>
          <w:lang w:eastAsia="zh-CN"/>
        </w:rPr>
        <w:t xml:space="preserve">to capital spending even </w:t>
      </w:r>
      <w:r w:rsidR="00C36F7F" w:rsidRPr="00D450DD">
        <w:rPr>
          <w:b/>
          <w:lang w:eastAsia="zh-CN"/>
        </w:rPr>
        <w:t xml:space="preserve">within </w:t>
      </w:r>
      <w:r w:rsidR="00BA7C27">
        <w:rPr>
          <w:b/>
          <w:lang w:eastAsia="zh-CN"/>
        </w:rPr>
        <w:t>its</w:t>
      </w:r>
      <w:r w:rsidR="00C36F7F" w:rsidRPr="00D450DD">
        <w:rPr>
          <w:b/>
          <w:lang w:eastAsia="zh-CN"/>
        </w:rPr>
        <w:t xml:space="preserve"> </w:t>
      </w:r>
      <w:r w:rsidR="00BA7C27">
        <w:rPr>
          <w:b/>
          <w:lang w:eastAsia="zh-CN"/>
        </w:rPr>
        <w:t xml:space="preserve">narrow </w:t>
      </w:r>
      <w:r w:rsidR="00C36F7F" w:rsidRPr="00D450DD">
        <w:rPr>
          <w:b/>
          <w:lang w:eastAsia="zh-CN"/>
        </w:rPr>
        <w:t>fiscal envelope.</w:t>
      </w:r>
      <w:r w:rsidR="00C36F7F" w:rsidRPr="00A74983">
        <w:rPr>
          <w:rStyle w:val="FootnoteReference"/>
          <w:rFonts w:cs="Times New Roman"/>
          <w:lang w:eastAsia="zh-CN"/>
        </w:rPr>
        <w:footnoteReference w:id="2"/>
      </w:r>
      <w:r w:rsidR="00C36F7F" w:rsidRPr="00A74983">
        <w:rPr>
          <w:lang w:eastAsia="zh-CN"/>
        </w:rPr>
        <w:t xml:space="preserve"> </w:t>
      </w:r>
      <w:r w:rsidR="00C36F7F">
        <w:rPr>
          <w:lang w:eastAsia="zh-CN"/>
        </w:rPr>
        <w:t xml:space="preserve">A recent </w:t>
      </w:r>
      <w:r w:rsidR="00BA7C27">
        <w:rPr>
          <w:lang w:eastAsia="zh-CN"/>
        </w:rPr>
        <w:t xml:space="preserve">joint IMF-World Bank </w:t>
      </w:r>
      <w:r w:rsidR="00C36F7F">
        <w:rPr>
          <w:lang w:eastAsia="zh-CN"/>
        </w:rPr>
        <w:t>assessment found weaknesses at</w:t>
      </w:r>
      <w:r w:rsidR="00C36F7F" w:rsidRPr="00A74983">
        <w:rPr>
          <w:lang w:eastAsia="zh-CN"/>
        </w:rPr>
        <w:t xml:space="preserve"> all stages of </w:t>
      </w:r>
      <w:r w:rsidR="00C36F7F">
        <w:rPr>
          <w:lang w:eastAsia="zh-CN"/>
        </w:rPr>
        <w:t>Ghana’s</w:t>
      </w:r>
      <w:r w:rsidR="00C36F7F" w:rsidRPr="00A74983">
        <w:rPr>
          <w:lang w:eastAsia="zh-CN"/>
        </w:rPr>
        <w:t xml:space="preserve"> investment cycle</w:t>
      </w:r>
      <w:r w:rsidR="00C36F7F">
        <w:rPr>
          <w:lang w:eastAsia="zh-CN"/>
        </w:rPr>
        <w:t>,</w:t>
      </w:r>
      <w:r w:rsidR="00C36F7F" w:rsidRPr="00A74983">
        <w:rPr>
          <w:lang w:eastAsia="zh-CN"/>
        </w:rPr>
        <w:t xml:space="preserve"> </w:t>
      </w:r>
      <w:r w:rsidR="00C36F7F">
        <w:rPr>
          <w:lang w:eastAsia="zh-CN"/>
        </w:rPr>
        <w:t xml:space="preserve">and </w:t>
      </w:r>
      <w:r w:rsidR="00C36F7F" w:rsidRPr="00A74983">
        <w:rPr>
          <w:lang w:eastAsia="zh-CN"/>
        </w:rPr>
        <w:t xml:space="preserve">in November 2016 </w:t>
      </w:r>
      <w:r w:rsidR="00C36F7F">
        <w:rPr>
          <w:lang w:eastAsia="zh-CN"/>
        </w:rPr>
        <w:t>the government launched a public investment</w:t>
      </w:r>
      <w:r w:rsidR="00C36F7F" w:rsidRPr="00A74983">
        <w:rPr>
          <w:lang w:eastAsia="zh-CN"/>
        </w:rPr>
        <w:t xml:space="preserve"> reform </w:t>
      </w:r>
      <w:r w:rsidR="00C36F7F">
        <w:rPr>
          <w:lang w:eastAsia="zh-CN"/>
        </w:rPr>
        <w:t>program</w:t>
      </w:r>
      <w:r w:rsidR="00C36F7F" w:rsidRPr="00A74983">
        <w:rPr>
          <w:lang w:eastAsia="zh-CN"/>
        </w:rPr>
        <w:t xml:space="preserve"> with </w:t>
      </w:r>
      <w:r w:rsidR="00C36F7F">
        <w:rPr>
          <w:lang w:eastAsia="zh-CN"/>
        </w:rPr>
        <w:t>technical assistance</w:t>
      </w:r>
      <w:r w:rsidR="00C36F7F" w:rsidRPr="00A74983">
        <w:rPr>
          <w:lang w:eastAsia="zh-CN"/>
        </w:rPr>
        <w:t xml:space="preserve"> from the World Bank.</w:t>
      </w:r>
      <w:r w:rsidR="00C36F7F" w:rsidRPr="00A74983">
        <w:rPr>
          <w:rStyle w:val="FootnoteReference"/>
          <w:rFonts w:cs="Times New Roman"/>
          <w:lang w:eastAsia="zh-CN"/>
        </w:rPr>
        <w:footnoteReference w:id="3"/>
      </w:r>
      <w:r w:rsidR="00C36F7F" w:rsidRPr="00A74983">
        <w:rPr>
          <w:lang w:eastAsia="zh-CN"/>
        </w:rPr>
        <w:t xml:space="preserve"> </w:t>
      </w:r>
      <w:r w:rsidR="00C36F7F">
        <w:rPr>
          <w:lang w:eastAsia="zh-CN"/>
        </w:rPr>
        <w:t xml:space="preserve">However, high levels of country risk continue to discourage private investment, and </w:t>
      </w:r>
      <w:r w:rsidR="00BA7C27">
        <w:rPr>
          <w:lang w:eastAsia="zh-CN"/>
        </w:rPr>
        <w:t xml:space="preserve">facilitating </w:t>
      </w:r>
      <w:r w:rsidR="00C36F7F">
        <w:rPr>
          <w:lang w:eastAsia="zh-CN"/>
        </w:rPr>
        <w:t xml:space="preserve">greater private sector participation in infrastructure projects could augment the government’s limited resources. </w:t>
      </w:r>
      <w:r w:rsidR="00C36F7F">
        <w:t>Over</w:t>
      </w:r>
      <w:r w:rsidR="00C36F7F" w:rsidRPr="00A621BD">
        <w:t xml:space="preserve"> the medium</w:t>
      </w:r>
      <w:r w:rsidR="00BA7C27">
        <w:t xml:space="preserve"> </w:t>
      </w:r>
      <w:r w:rsidR="00C36F7F" w:rsidRPr="00A621BD">
        <w:t xml:space="preserve">term, enhancing public investment </w:t>
      </w:r>
      <w:r w:rsidR="00C36F7F">
        <w:t>efficiency</w:t>
      </w:r>
      <w:r w:rsidR="00C36F7F" w:rsidRPr="00A621BD">
        <w:t xml:space="preserve"> will </w:t>
      </w:r>
      <w:r w:rsidR="00C36F7F">
        <w:t>enable the authorities to leverage</w:t>
      </w:r>
      <w:r w:rsidR="00C36F7F" w:rsidRPr="00A621BD">
        <w:t xml:space="preserve"> </w:t>
      </w:r>
      <w:r w:rsidR="00C36F7F">
        <w:t xml:space="preserve">rising </w:t>
      </w:r>
      <w:r w:rsidR="00C36F7F" w:rsidRPr="00A621BD">
        <w:t>oil revenue</w:t>
      </w:r>
      <w:r w:rsidR="00C36F7F">
        <w:t>s</w:t>
      </w:r>
      <w:r w:rsidR="00C36F7F" w:rsidRPr="00A621BD">
        <w:t xml:space="preserve"> to accelerate growth and support sustainable poverty reduction. </w:t>
      </w:r>
    </w:p>
    <w:p w14:paraId="77F3E51D" w14:textId="77777777" w:rsidR="00C36F7F" w:rsidRDefault="00C36F7F" w:rsidP="00724BAB">
      <w:pPr>
        <w:pStyle w:val="ListParagraph"/>
        <w:numPr>
          <w:ilvl w:val="0"/>
          <w:numId w:val="5"/>
        </w:numPr>
        <w:rPr>
          <w:lang w:eastAsia="zh-CN"/>
        </w:rPr>
      </w:pPr>
      <w:r w:rsidRPr="00F73494">
        <w:rPr>
          <w:b/>
        </w:rPr>
        <w:t xml:space="preserve">The recurring nature of </w:t>
      </w:r>
      <w:r w:rsidR="00BA7C27">
        <w:rPr>
          <w:b/>
        </w:rPr>
        <w:t xml:space="preserve">Ghana’s </w:t>
      </w:r>
      <w:r w:rsidRPr="00F73494">
        <w:rPr>
          <w:b/>
        </w:rPr>
        <w:t xml:space="preserve">large fiscal imbalances reflects important structural problems in </w:t>
      </w:r>
      <w:r w:rsidR="006E38A0">
        <w:rPr>
          <w:b/>
        </w:rPr>
        <w:t>PFM</w:t>
      </w:r>
      <w:r w:rsidRPr="00F73494">
        <w:rPr>
          <w:b/>
        </w:rPr>
        <w:t>.</w:t>
      </w:r>
      <w:r w:rsidRPr="000C3486">
        <w:t xml:space="preserve"> </w:t>
      </w:r>
      <w:r>
        <w:t>Budgetary rigidity has narrowed</w:t>
      </w:r>
      <w:r w:rsidRPr="000C3486">
        <w:t xml:space="preserve"> </w:t>
      </w:r>
      <w:r>
        <w:t xml:space="preserve">the scope for </w:t>
      </w:r>
      <w:r w:rsidRPr="000C3486">
        <w:t xml:space="preserve">discretionary spending, </w:t>
      </w:r>
      <w:r>
        <w:t>while</w:t>
      </w:r>
      <w:r w:rsidRPr="000C3486">
        <w:t xml:space="preserve"> </w:t>
      </w:r>
      <w:r>
        <w:t>unpredictable expenditure execution has undermined</w:t>
      </w:r>
      <w:r w:rsidRPr="000C3486">
        <w:t xml:space="preserve"> </w:t>
      </w:r>
      <w:r>
        <w:t>the</w:t>
      </w:r>
      <w:r w:rsidRPr="000C3486">
        <w:t xml:space="preserve"> credibility</w:t>
      </w:r>
      <w:r>
        <w:t xml:space="preserve"> of fiscal policy </w:t>
      </w:r>
      <w:r w:rsidRPr="000C3486">
        <w:t xml:space="preserve">and </w:t>
      </w:r>
      <w:r>
        <w:t xml:space="preserve">driven </w:t>
      </w:r>
      <w:r w:rsidRPr="000C3486">
        <w:t xml:space="preserve">the accumulation of arrears. </w:t>
      </w:r>
      <w:r w:rsidR="00BA7C27">
        <w:t>The government</w:t>
      </w:r>
      <w:r w:rsidR="00BA7C27" w:rsidRPr="000C3486">
        <w:t xml:space="preserve"> </w:t>
      </w:r>
      <w:r w:rsidRPr="000C3486">
        <w:t>implemente</w:t>
      </w:r>
      <w:r>
        <w:t>d</w:t>
      </w:r>
      <w:r w:rsidRPr="000C3486">
        <w:t xml:space="preserve"> the </w:t>
      </w:r>
      <w:r w:rsidR="00BA7C27">
        <w:t>Ghana</w:t>
      </w:r>
      <w:r w:rsidR="00BA7C27" w:rsidRPr="000C3486">
        <w:t xml:space="preserve"> </w:t>
      </w:r>
      <w:r w:rsidRPr="000C3486">
        <w:t>Integrated Financial Management System (GIFMIS) in 2013</w:t>
      </w:r>
      <w:r>
        <w:t>,</w:t>
      </w:r>
      <w:r w:rsidRPr="000C3486">
        <w:t xml:space="preserve"> but </w:t>
      </w:r>
      <w:r>
        <w:t>it</w:t>
      </w:r>
      <w:r w:rsidRPr="000C3486">
        <w:t xml:space="preserve"> has yet to achieve its full potential. </w:t>
      </w:r>
    </w:p>
    <w:p w14:paraId="62A9749B" w14:textId="77777777" w:rsidR="00C36F7F" w:rsidRPr="0008189D" w:rsidRDefault="00C36F7F" w:rsidP="00724BAB">
      <w:pPr>
        <w:pStyle w:val="ListParagraph"/>
        <w:numPr>
          <w:ilvl w:val="0"/>
          <w:numId w:val="5"/>
        </w:numPr>
      </w:pPr>
      <w:r w:rsidRPr="00F73494">
        <w:rPr>
          <w:b/>
          <w:lang w:eastAsia="zh-CN"/>
        </w:rPr>
        <w:t xml:space="preserve">Integrating all sources of budgetary </w:t>
      </w:r>
      <w:r>
        <w:rPr>
          <w:b/>
          <w:lang w:eastAsia="zh-CN"/>
        </w:rPr>
        <w:t>financing</w:t>
      </w:r>
      <w:r w:rsidRPr="00F73494">
        <w:rPr>
          <w:b/>
          <w:lang w:eastAsia="zh-CN"/>
        </w:rPr>
        <w:t xml:space="preserve"> and </w:t>
      </w:r>
      <w:r>
        <w:rPr>
          <w:b/>
          <w:lang w:eastAsia="zh-CN"/>
        </w:rPr>
        <w:t>consolidating</w:t>
      </w:r>
      <w:r w:rsidRPr="00F73494">
        <w:rPr>
          <w:b/>
          <w:lang w:eastAsia="zh-CN"/>
        </w:rPr>
        <w:t xml:space="preserve"> expenditure</w:t>
      </w:r>
      <w:r>
        <w:rPr>
          <w:b/>
          <w:lang w:eastAsia="zh-CN"/>
        </w:rPr>
        <w:t xml:space="preserve"> recording</w:t>
      </w:r>
      <w:r w:rsidRPr="00F73494">
        <w:rPr>
          <w:b/>
          <w:lang w:eastAsia="zh-CN"/>
        </w:rPr>
        <w:t xml:space="preserve"> </w:t>
      </w:r>
      <w:r>
        <w:rPr>
          <w:b/>
          <w:lang w:eastAsia="zh-CN"/>
        </w:rPr>
        <w:t xml:space="preserve">in a single database would further strengthen </w:t>
      </w:r>
      <w:r w:rsidR="006E38A0">
        <w:rPr>
          <w:b/>
          <w:lang w:eastAsia="zh-CN"/>
        </w:rPr>
        <w:t>PFM</w:t>
      </w:r>
      <w:r w:rsidRPr="00F73494">
        <w:rPr>
          <w:b/>
          <w:lang w:eastAsia="zh-CN"/>
        </w:rPr>
        <w:t>.</w:t>
      </w:r>
      <w:r w:rsidRPr="00CA6744">
        <w:rPr>
          <w:lang w:eastAsia="zh-CN"/>
        </w:rPr>
        <w:t xml:space="preserve"> Once all funding sources have been incorporated into </w:t>
      </w:r>
      <w:r w:rsidR="00346024">
        <w:rPr>
          <w:lang w:eastAsia="zh-CN"/>
        </w:rPr>
        <w:t xml:space="preserve">the </w:t>
      </w:r>
      <w:r w:rsidRPr="007A3287">
        <w:rPr>
          <w:lang w:eastAsia="zh-CN"/>
        </w:rPr>
        <w:t>GIFMIS, the government should consider adopting the BOOST budget and expenditure tool.</w:t>
      </w:r>
      <w:r w:rsidRPr="007A3287">
        <w:rPr>
          <w:rStyle w:val="FootnoteReference"/>
          <w:rFonts w:cs="Times New Roman"/>
          <w:lang w:eastAsia="zh-CN"/>
        </w:rPr>
        <w:footnoteReference w:id="4"/>
      </w:r>
      <w:r>
        <w:rPr>
          <w:lang w:eastAsia="zh-CN"/>
        </w:rPr>
        <w:t xml:space="preserve"> BOOST is designed to </w:t>
      </w:r>
      <w:r w:rsidRPr="00CF2AD0">
        <w:rPr>
          <w:lang w:eastAsia="zh-CN"/>
        </w:rPr>
        <w:t xml:space="preserve">improve budgetary decision-making, facilitate </w:t>
      </w:r>
      <w:r>
        <w:rPr>
          <w:lang w:eastAsia="zh-CN"/>
        </w:rPr>
        <w:t>fiscal</w:t>
      </w:r>
      <w:r w:rsidR="0022342B">
        <w:rPr>
          <w:lang w:eastAsia="zh-CN"/>
        </w:rPr>
        <w:t xml:space="preserve"> </w:t>
      </w:r>
      <w:r>
        <w:rPr>
          <w:lang w:eastAsia="zh-CN"/>
        </w:rPr>
        <w:t xml:space="preserve">policy </w:t>
      </w:r>
      <w:r w:rsidRPr="00CF2AD0">
        <w:rPr>
          <w:lang w:eastAsia="zh-CN"/>
        </w:rPr>
        <w:t>analysis, enhance transparency</w:t>
      </w:r>
      <w:r w:rsidR="00346024">
        <w:rPr>
          <w:lang w:eastAsia="zh-CN"/>
        </w:rPr>
        <w:t>,</w:t>
      </w:r>
      <w:r w:rsidRPr="00CF2AD0">
        <w:rPr>
          <w:lang w:eastAsia="zh-CN"/>
        </w:rPr>
        <w:t xml:space="preserve"> and promote </w:t>
      </w:r>
      <w:r>
        <w:rPr>
          <w:lang w:eastAsia="zh-CN"/>
        </w:rPr>
        <w:t xml:space="preserve">public </w:t>
      </w:r>
      <w:r w:rsidRPr="00CF2AD0">
        <w:rPr>
          <w:lang w:eastAsia="zh-CN"/>
        </w:rPr>
        <w:t xml:space="preserve">accountability </w:t>
      </w:r>
      <w:r>
        <w:rPr>
          <w:lang w:eastAsia="zh-CN"/>
        </w:rPr>
        <w:t>by compiling all revenues and expenditures according to a consistent format and methodology</w:t>
      </w:r>
      <w:r w:rsidRPr="00CF2AD0">
        <w:rPr>
          <w:lang w:eastAsia="zh-CN"/>
        </w:rPr>
        <w:t>.</w:t>
      </w:r>
    </w:p>
    <w:p w14:paraId="19EB4DE1" w14:textId="77777777" w:rsidR="00C36F7F" w:rsidRPr="0008189D" w:rsidRDefault="00C36F7F" w:rsidP="00724BAB">
      <w:pPr>
        <w:pStyle w:val="ListParagraph"/>
        <w:numPr>
          <w:ilvl w:val="0"/>
          <w:numId w:val="5"/>
        </w:numPr>
      </w:pPr>
      <w:r>
        <w:t xml:space="preserve"> </w:t>
      </w:r>
      <w:r w:rsidRPr="00F73494">
        <w:rPr>
          <w:b/>
        </w:rPr>
        <w:t xml:space="preserve">The authorities are attempting to limit the accumulation of arrears by implementing a commitment-control mechanism and a pay-to-procure system across the public </w:t>
      </w:r>
      <w:r>
        <w:rPr>
          <w:b/>
        </w:rPr>
        <w:t>sector</w:t>
      </w:r>
      <w:r w:rsidRPr="00F73494">
        <w:rPr>
          <w:b/>
        </w:rPr>
        <w:t xml:space="preserve">. </w:t>
      </w:r>
      <w:r w:rsidRPr="000E58CC">
        <w:t>The</w:t>
      </w:r>
      <w:r w:rsidRPr="00B064B3">
        <w:t xml:space="preserve"> pay-to-procure system was established in June 2015 with support </w:t>
      </w:r>
      <w:r>
        <w:t>from</w:t>
      </w:r>
      <w:r w:rsidRPr="00B064B3">
        <w:t xml:space="preserve"> the World Bank</w:t>
      </w:r>
      <w:r>
        <w:t>. It</w:t>
      </w:r>
      <w:r w:rsidRPr="00B064B3">
        <w:t xml:space="preserve"> is expected to </w:t>
      </w:r>
      <w:r w:rsidR="00DC0ABF">
        <w:t>encompass</w:t>
      </w:r>
      <w:r w:rsidR="00DC0ABF" w:rsidRPr="00B064B3">
        <w:t xml:space="preserve"> </w:t>
      </w:r>
      <w:r w:rsidRPr="00B064B3">
        <w:t xml:space="preserve">payments from all ministries and public agencies, statutory funds, </w:t>
      </w:r>
      <w:r>
        <w:t xml:space="preserve">internally generated </w:t>
      </w:r>
      <w:r w:rsidR="0022342B">
        <w:t>financing</w:t>
      </w:r>
      <w:r w:rsidR="00346024">
        <w:t>,</w:t>
      </w:r>
      <w:r w:rsidR="0022342B">
        <w:t xml:space="preserve"> </w:t>
      </w:r>
      <w:r w:rsidRPr="00B064B3">
        <w:t xml:space="preserve">and donor-funded projects. </w:t>
      </w:r>
    </w:p>
    <w:p w14:paraId="731775F8" w14:textId="77777777" w:rsidR="00C36F7F" w:rsidRDefault="00C36F7F" w:rsidP="00724BAB">
      <w:pPr>
        <w:pStyle w:val="ListParagraph"/>
        <w:numPr>
          <w:ilvl w:val="0"/>
          <w:numId w:val="5"/>
        </w:numPr>
      </w:pPr>
      <w:r>
        <w:rPr>
          <w:b/>
        </w:rPr>
        <w:t>Recent</w:t>
      </w:r>
      <w:r w:rsidRPr="00F73494">
        <w:rPr>
          <w:b/>
        </w:rPr>
        <w:t xml:space="preserve"> legislati</w:t>
      </w:r>
      <w:r>
        <w:rPr>
          <w:b/>
        </w:rPr>
        <w:t>ve reforms</w:t>
      </w:r>
      <w:r w:rsidRPr="00F73494">
        <w:rPr>
          <w:b/>
        </w:rPr>
        <w:t xml:space="preserve"> </w:t>
      </w:r>
      <w:r w:rsidRPr="00551D51">
        <w:rPr>
          <w:b/>
        </w:rPr>
        <w:t>have</w:t>
      </w:r>
      <w:r w:rsidRPr="00F73494">
        <w:rPr>
          <w:b/>
        </w:rPr>
        <w:t xml:space="preserve"> significantly improved the legal framework for </w:t>
      </w:r>
      <w:r w:rsidR="006E38A0">
        <w:rPr>
          <w:b/>
        </w:rPr>
        <w:t xml:space="preserve">PFM </w:t>
      </w:r>
      <w:r w:rsidRPr="00F73494">
        <w:rPr>
          <w:b/>
        </w:rPr>
        <w:t xml:space="preserve">but important </w:t>
      </w:r>
      <w:r w:rsidR="00DC0ABF">
        <w:rPr>
          <w:b/>
        </w:rPr>
        <w:t>systemic weaknesses</w:t>
      </w:r>
      <w:r w:rsidR="00DC0ABF" w:rsidRPr="00F73494">
        <w:rPr>
          <w:b/>
        </w:rPr>
        <w:t xml:space="preserve"> </w:t>
      </w:r>
      <w:r w:rsidRPr="00F73494">
        <w:rPr>
          <w:b/>
        </w:rPr>
        <w:t>remain.</w:t>
      </w:r>
      <w:r>
        <w:t xml:space="preserve"> W</w:t>
      </w:r>
      <w:r w:rsidRPr="00B064B3">
        <w:t xml:space="preserve">hile the new </w:t>
      </w:r>
      <w:r w:rsidR="00346024">
        <w:t>p</w:t>
      </w:r>
      <w:r w:rsidR="00E46DA2" w:rsidRPr="00966C82">
        <w:t xml:space="preserve">ublic </w:t>
      </w:r>
      <w:r w:rsidR="00346024">
        <w:t>f</w:t>
      </w:r>
      <w:r w:rsidR="00E46DA2" w:rsidRPr="00966C82">
        <w:t xml:space="preserve">inancial </w:t>
      </w:r>
      <w:r w:rsidR="00346024">
        <w:t>m</w:t>
      </w:r>
      <w:r w:rsidR="00E46DA2" w:rsidRPr="00966C82">
        <w:t>anagement</w:t>
      </w:r>
      <w:r w:rsidR="00E46DA2">
        <w:t xml:space="preserve"> </w:t>
      </w:r>
      <w:r w:rsidRPr="00B064B3">
        <w:t xml:space="preserve">law introduces </w:t>
      </w:r>
      <w:r w:rsidR="00DC0ABF">
        <w:t xml:space="preserve">key principles of </w:t>
      </w:r>
      <w:r w:rsidRPr="00B064B3">
        <w:t>fiscal responsibility, it does not mandate that Parliament approve</w:t>
      </w:r>
      <w:r w:rsidR="00346024">
        <w:t>s</w:t>
      </w:r>
      <w:r w:rsidRPr="00B064B3">
        <w:t xml:space="preserve"> the</w:t>
      </w:r>
      <w:r>
        <w:t xml:space="preserve"> government’s</w:t>
      </w:r>
      <w:r w:rsidRPr="00B064B3">
        <w:t xml:space="preserve"> fiscal strategy and rules</w:t>
      </w:r>
      <w:r w:rsidR="00DC0ABF">
        <w:t xml:space="preserve"> or require that the strategy and rules be made public. T</w:t>
      </w:r>
      <w:r w:rsidRPr="00B064B3">
        <w:t xml:space="preserve">he </w:t>
      </w:r>
      <w:r w:rsidR="00DC0ABF">
        <w:t>absence</w:t>
      </w:r>
      <w:r w:rsidR="00DC0ABF" w:rsidRPr="00B064B3">
        <w:t xml:space="preserve"> </w:t>
      </w:r>
      <w:r w:rsidRPr="00B064B3">
        <w:t xml:space="preserve">of </w:t>
      </w:r>
      <w:r w:rsidR="00DC0ABF">
        <w:t xml:space="preserve">both </w:t>
      </w:r>
      <w:r w:rsidR="00346024">
        <w:t>p</w:t>
      </w:r>
      <w:r w:rsidR="00DC0ABF">
        <w:t>arliamentary approval and</w:t>
      </w:r>
      <w:r w:rsidRPr="00B064B3">
        <w:t xml:space="preserve"> publication requirement</w:t>
      </w:r>
      <w:r w:rsidR="00DC0ABF">
        <w:t>s</w:t>
      </w:r>
      <w:r w:rsidRPr="00B064B3">
        <w:t xml:space="preserve"> reduces </w:t>
      </w:r>
      <w:r w:rsidR="00DC0ABF">
        <w:t>the law’s</w:t>
      </w:r>
      <w:r w:rsidR="00DC0ABF" w:rsidRPr="00B064B3">
        <w:t xml:space="preserve"> </w:t>
      </w:r>
      <w:r w:rsidRPr="00B064B3">
        <w:t>impact on transparency and accountability.</w:t>
      </w:r>
    </w:p>
    <w:p w14:paraId="6615A500" w14:textId="77777777" w:rsidR="00C36F7F" w:rsidRPr="005711CE" w:rsidRDefault="00C36F7F" w:rsidP="00724BAB">
      <w:pPr>
        <w:pStyle w:val="ListParagraph"/>
        <w:numPr>
          <w:ilvl w:val="0"/>
          <w:numId w:val="5"/>
        </w:numPr>
      </w:pPr>
      <w:r w:rsidRPr="00F73494">
        <w:rPr>
          <w:b/>
          <w:lang w:eastAsia="zh-CN"/>
        </w:rPr>
        <w:t>While expenditures have grown rapidly over the last four years, public revenues have remained essentially unchanged as a share of GDP.</w:t>
      </w:r>
      <w:r>
        <w:rPr>
          <w:lang w:eastAsia="zh-CN"/>
        </w:rPr>
        <w:t xml:space="preserve"> </w:t>
      </w:r>
      <w:r w:rsidRPr="00F73494">
        <w:rPr>
          <w:lang w:eastAsia="zh-CN"/>
        </w:rPr>
        <w:t xml:space="preserve">Ghana’s tax revenues remain far below the </w:t>
      </w:r>
      <w:r w:rsidRPr="00F73494">
        <w:rPr>
          <w:lang w:eastAsia="zh-CN"/>
        </w:rPr>
        <w:lastRenderedPageBreak/>
        <w:t>levels of regional comparators</w:t>
      </w:r>
      <w:r w:rsidR="00346024">
        <w:rPr>
          <w:lang w:eastAsia="zh-CN"/>
        </w:rPr>
        <w:t>,</w:t>
      </w:r>
      <w:r w:rsidRPr="00F73494">
        <w:rPr>
          <w:lang w:eastAsia="zh-CN"/>
        </w:rPr>
        <w:t xml:space="preserve"> such as South Africa, Mozambique, Malawi</w:t>
      </w:r>
      <w:r w:rsidR="00346024">
        <w:rPr>
          <w:lang w:eastAsia="zh-CN"/>
        </w:rPr>
        <w:t>,</w:t>
      </w:r>
      <w:r w:rsidRPr="00F73494">
        <w:rPr>
          <w:lang w:eastAsia="zh-CN"/>
        </w:rPr>
        <w:t xml:space="preserve"> and Senegal.</w:t>
      </w:r>
      <w:r w:rsidRPr="00A53087">
        <w:rPr>
          <w:lang w:eastAsia="zh-CN"/>
        </w:rPr>
        <w:t xml:space="preserve"> Moreover, actual tax revenue collection is far short of what Ghana’s level of economic and institutional development would </w:t>
      </w:r>
      <w:r>
        <w:rPr>
          <w:lang w:eastAsia="zh-CN"/>
        </w:rPr>
        <w:t>predict</w:t>
      </w:r>
      <w:r w:rsidR="00DC0ABF">
        <w:rPr>
          <w:lang w:eastAsia="zh-CN"/>
        </w:rPr>
        <w:t>, and t</w:t>
      </w:r>
      <w:r w:rsidRPr="00A53087">
        <w:rPr>
          <w:lang w:eastAsia="zh-CN"/>
        </w:rPr>
        <w:t>he country’s unexploited tax potential was estimated at about 5 percent of GDP in 2014.</w:t>
      </w:r>
      <w:r>
        <w:t xml:space="preserve"> </w:t>
      </w:r>
      <w:r w:rsidR="00DC0ABF">
        <w:t>Broadening the tax base and improving tax compliance</w:t>
      </w:r>
      <w:r>
        <w:t xml:space="preserve"> </w:t>
      </w:r>
      <w:r w:rsidRPr="00081B40">
        <w:t xml:space="preserve">will be crucial to </w:t>
      </w:r>
      <w:r w:rsidR="00DC0ABF">
        <w:t>control</w:t>
      </w:r>
      <w:r w:rsidR="00DC0ABF" w:rsidRPr="00081B40">
        <w:t xml:space="preserve"> </w:t>
      </w:r>
      <w:r w:rsidRPr="00081B40">
        <w:t xml:space="preserve">borrowing </w:t>
      </w:r>
      <w:r>
        <w:t xml:space="preserve">costs </w:t>
      </w:r>
      <w:r w:rsidRPr="00081B40">
        <w:t>and manage the growth of the debt stock.</w:t>
      </w:r>
      <w:r>
        <w:t xml:space="preserve"> </w:t>
      </w:r>
      <w:r w:rsidR="000751D9">
        <w:t>The</w:t>
      </w:r>
      <w:r w:rsidR="00DC0ABF" w:rsidRPr="00374645">
        <w:t xml:space="preserve"> </w:t>
      </w:r>
      <w:r w:rsidRPr="00374645">
        <w:t xml:space="preserve">new Income Tax Act </w:t>
      </w:r>
      <w:r w:rsidR="000751D9">
        <w:t xml:space="preserve">that </w:t>
      </w:r>
      <w:r w:rsidR="00DC0ABF">
        <w:t>took</w:t>
      </w:r>
      <w:r w:rsidRPr="00374645">
        <w:t xml:space="preserve"> effect in 2016</w:t>
      </w:r>
      <w:r w:rsidR="00DC0ABF">
        <w:t xml:space="preserve"> </w:t>
      </w:r>
      <w:r w:rsidRPr="00374645">
        <w:t>represent</w:t>
      </w:r>
      <w:r>
        <w:t>s</w:t>
      </w:r>
      <w:r w:rsidRPr="00374645">
        <w:t xml:space="preserve"> a significant improvement over the previous legislation</w:t>
      </w:r>
      <w:r w:rsidR="000751D9">
        <w:t>, and t</w:t>
      </w:r>
      <w:r w:rsidR="00DC0ABF">
        <w:t xml:space="preserve">he </w:t>
      </w:r>
      <w:r w:rsidR="000751D9">
        <w:t>government is currently developing a</w:t>
      </w:r>
      <w:r w:rsidRPr="00374645">
        <w:t xml:space="preserve"> business</w:t>
      </w:r>
      <w:r w:rsidR="000751D9">
        <w:t>-</w:t>
      </w:r>
      <w:r w:rsidRPr="00374645">
        <w:t>intelligence system</w:t>
      </w:r>
      <w:r w:rsidR="000751D9">
        <w:t xml:space="preserve"> with support from the World Bank. The system</w:t>
      </w:r>
      <w:r w:rsidRPr="00374645">
        <w:t xml:space="preserve"> will enable the tax authorities to extract data from multiple sources to compile analytical reports, </w:t>
      </w:r>
      <w:r w:rsidRPr="005711CE">
        <w:t>improve tax compliance</w:t>
      </w:r>
      <w:r w:rsidR="000751D9" w:rsidRPr="005711CE">
        <w:t xml:space="preserve">, </w:t>
      </w:r>
      <w:r w:rsidRPr="005711CE">
        <w:t xml:space="preserve">broaden the tax base, </w:t>
      </w:r>
      <w:r w:rsidR="000751D9" w:rsidRPr="005711CE">
        <w:t xml:space="preserve">and strengthen </w:t>
      </w:r>
      <w:r w:rsidRPr="005711CE">
        <w:t xml:space="preserve">auditing and enforcement. </w:t>
      </w:r>
    </w:p>
    <w:p w14:paraId="6767DF38" w14:textId="77777777" w:rsidR="00C36F7F" w:rsidRPr="00D8289D" w:rsidRDefault="00C36F7F" w:rsidP="00724BAB">
      <w:pPr>
        <w:pStyle w:val="ListParagraph"/>
        <w:numPr>
          <w:ilvl w:val="0"/>
          <w:numId w:val="5"/>
        </w:numPr>
      </w:pPr>
      <w:r w:rsidRPr="00D8289D">
        <w:rPr>
          <w:b/>
          <w:lang w:eastAsia="zh-CN"/>
        </w:rPr>
        <w:t xml:space="preserve">The rise of the oil sector will deliver a </w:t>
      </w:r>
      <w:r w:rsidR="00E52E50" w:rsidRPr="00D8289D">
        <w:rPr>
          <w:b/>
          <w:lang w:eastAsia="zh-CN"/>
        </w:rPr>
        <w:t xml:space="preserve">large </w:t>
      </w:r>
      <w:r w:rsidRPr="00D8289D">
        <w:rPr>
          <w:b/>
          <w:lang w:eastAsia="zh-CN"/>
        </w:rPr>
        <w:t>but temporary increase in public revenue.</w:t>
      </w:r>
      <w:r w:rsidRPr="00D8289D">
        <w:rPr>
          <w:lang w:eastAsia="zh-CN"/>
        </w:rPr>
        <w:t xml:space="preserve"> </w:t>
      </w:r>
      <w:r w:rsidRPr="00D8289D">
        <w:t xml:space="preserve">The oil sector is expected to generate an additional US$23 billion in public revenue between 2016 and 2036. Oil revenues are projected to peak in 2023 and decline thereafter, with production ceasing entirely by 2036. However, these revenue projections are highly sensitive to trends in international commodity markets, and if oil prices fail to recover, Ghana’s total public oil revenue could fall by more than half. </w:t>
      </w:r>
      <w:r w:rsidRPr="00D8289D">
        <w:rPr>
          <w:lang w:eastAsia="zh-CN"/>
        </w:rPr>
        <w:t xml:space="preserve">Leveraging this short-term revenue surge to promote sustainable development—while also hedging against the adverse economic and public administrative effects associated with </w:t>
      </w:r>
      <w:r w:rsidR="002E4995" w:rsidRPr="00D8289D">
        <w:rPr>
          <w:lang w:eastAsia="zh-CN"/>
        </w:rPr>
        <w:t xml:space="preserve">natural </w:t>
      </w:r>
      <w:r w:rsidRPr="00D8289D">
        <w:rPr>
          <w:lang w:eastAsia="zh-CN"/>
        </w:rPr>
        <w:t xml:space="preserve">resource booms—poses a considerable challenge. While Ghana has developed a </w:t>
      </w:r>
      <w:r w:rsidR="002E4995" w:rsidRPr="00D8289D">
        <w:rPr>
          <w:lang w:eastAsia="zh-CN"/>
        </w:rPr>
        <w:t xml:space="preserve">sound </w:t>
      </w:r>
      <w:r w:rsidRPr="00D8289D">
        <w:rPr>
          <w:lang w:eastAsia="zh-CN"/>
        </w:rPr>
        <w:t>revenue-management strategy, the oil</w:t>
      </w:r>
      <w:r w:rsidR="002E4995" w:rsidRPr="00D8289D">
        <w:rPr>
          <w:lang w:eastAsia="zh-CN"/>
        </w:rPr>
        <w:t>-</w:t>
      </w:r>
      <w:r w:rsidRPr="00D8289D">
        <w:rPr>
          <w:lang w:eastAsia="zh-CN"/>
        </w:rPr>
        <w:t xml:space="preserve">revenue projections </w:t>
      </w:r>
      <w:r w:rsidR="002E4995" w:rsidRPr="00D8289D">
        <w:rPr>
          <w:lang w:eastAsia="zh-CN"/>
        </w:rPr>
        <w:t xml:space="preserve">that underpin it </w:t>
      </w:r>
      <w:r w:rsidRPr="00D8289D">
        <w:rPr>
          <w:lang w:eastAsia="zh-CN"/>
        </w:rPr>
        <w:t xml:space="preserve">have </w:t>
      </w:r>
      <w:r w:rsidR="002E4995" w:rsidRPr="00D8289D">
        <w:rPr>
          <w:lang w:eastAsia="zh-CN"/>
        </w:rPr>
        <w:t>repeatedly proven</w:t>
      </w:r>
      <w:r w:rsidRPr="00D8289D">
        <w:rPr>
          <w:lang w:eastAsia="zh-CN"/>
        </w:rPr>
        <w:t xml:space="preserve"> inaccurate, often </w:t>
      </w:r>
      <w:r w:rsidR="002E4995" w:rsidRPr="00D8289D">
        <w:rPr>
          <w:lang w:eastAsia="zh-CN"/>
        </w:rPr>
        <w:t>substantially so</w:t>
      </w:r>
      <w:r w:rsidRPr="00D8289D">
        <w:rPr>
          <w:lang w:eastAsia="zh-CN"/>
        </w:rPr>
        <w:t xml:space="preserve">. As the </w:t>
      </w:r>
      <w:r w:rsidR="002E4995" w:rsidRPr="00D8289D">
        <w:rPr>
          <w:lang w:eastAsia="zh-CN"/>
        </w:rPr>
        <w:t>sector’s fiscal importance</w:t>
      </w:r>
      <w:r w:rsidRPr="00D8289D">
        <w:rPr>
          <w:lang w:eastAsia="zh-CN"/>
        </w:rPr>
        <w:t xml:space="preserve"> increases </w:t>
      </w:r>
      <w:r w:rsidR="002E4995" w:rsidRPr="00D8289D">
        <w:rPr>
          <w:lang w:eastAsia="zh-CN"/>
        </w:rPr>
        <w:t xml:space="preserve">over </w:t>
      </w:r>
      <w:r w:rsidRPr="00D8289D">
        <w:rPr>
          <w:lang w:eastAsia="zh-CN"/>
        </w:rPr>
        <w:t>the medium</w:t>
      </w:r>
      <w:r w:rsidR="002E4995" w:rsidRPr="00D8289D">
        <w:rPr>
          <w:lang w:eastAsia="zh-CN"/>
        </w:rPr>
        <w:t xml:space="preserve"> </w:t>
      </w:r>
      <w:r w:rsidRPr="00D8289D">
        <w:rPr>
          <w:lang w:eastAsia="zh-CN"/>
        </w:rPr>
        <w:t xml:space="preserve">term, </w:t>
      </w:r>
      <w:r w:rsidR="002E4995" w:rsidRPr="00D8289D">
        <w:rPr>
          <w:lang w:eastAsia="zh-CN"/>
        </w:rPr>
        <w:t xml:space="preserve">the risk that an </w:t>
      </w:r>
      <w:r w:rsidRPr="00D8289D">
        <w:rPr>
          <w:lang w:eastAsia="zh-CN"/>
        </w:rPr>
        <w:t>oil</w:t>
      </w:r>
      <w:r w:rsidR="002E4995" w:rsidRPr="00D8289D">
        <w:rPr>
          <w:lang w:eastAsia="zh-CN"/>
        </w:rPr>
        <w:t>-</w:t>
      </w:r>
      <w:r w:rsidRPr="00D8289D">
        <w:rPr>
          <w:lang w:eastAsia="zh-CN"/>
        </w:rPr>
        <w:t xml:space="preserve">revenue shortfall </w:t>
      </w:r>
      <w:r w:rsidR="002E4995" w:rsidRPr="00D8289D">
        <w:rPr>
          <w:lang w:eastAsia="zh-CN"/>
        </w:rPr>
        <w:t>could destabilize the</w:t>
      </w:r>
      <w:r w:rsidRPr="00D8289D">
        <w:rPr>
          <w:lang w:eastAsia="zh-CN"/>
        </w:rPr>
        <w:t xml:space="preserve"> budget</w:t>
      </w:r>
      <w:r w:rsidR="002E4995" w:rsidRPr="00D8289D">
        <w:rPr>
          <w:lang w:eastAsia="zh-CN"/>
        </w:rPr>
        <w:t xml:space="preserve"> will rise with it</w:t>
      </w:r>
      <w:r w:rsidRPr="00D8289D">
        <w:rPr>
          <w:lang w:eastAsia="zh-CN"/>
        </w:rPr>
        <w:t xml:space="preserve">. </w:t>
      </w:r>
    </w:p>
    <w:p w14:paraId="16EB489A" w14:textId="77777777" w:rsidR="002E4995" w:rsidRPr="005711CE" w:rsidRDefault="00C36F7F" w:rsidP="00724BAB">
      <w:pPr>
        <w:pStyle w:val="ListParagraph"/>
        <w:numPr>
          <w:ilvl w:val="0"/>
          <w:numId w:val="5"/>
        </w:numPr>
      </w:pPr>
      <w:r w:rsidRPr="005711CE">
        <w:rPr>
          <w:b/>
        </w:rPr>
        <w:t>The government will need to incorporate the transient nature of oil revenues into its medium-term budget strategy.</w:t>
      </w:r>
      <w:r w:rsidRPr="005711CE">
        <w:t xml:space="preserve"> By law, a minimum of 70 percent of budgetary oil revenue must finance public investment in priority sectors, including infrastructure development, institutional capacity-building</w:t>
      </w:r>
      <w:r w:rsidR="004C161F">
        <w:t>,</w:t>
      </w:r>
      <w:r w:rsidRPr="005711CE">
        <w:t xml:space="preserve"> and environmental protection. However, it is unclear what provisions, if any, have been </w:t>
      </w:r>
      <w:r w:rsidR="00102458">
        <w:t>made</w:t>
      </w:r>
      <w:r w:rsidRPr="005711CE">
        <w:t xml:space="preserve"> to manage the medium-term capital </w:t>
      </w:r>
      <w:r w:rsidR="002E4995" w:rsidRPr="005711CE">
        <w:t xml:space="preserve">outlays </w:t>
      </w:r>
      <w:r w:rsidRPr="005711CE">
        <w:t>and recurr</w:t>
      </w:r>
      <w:r w:rsidR="002E4995" w:rsidRPr="005711CE">
        <w:t>ent</w:t>
      </w:r>
      <w:r w:rsidRPr="005711CE">
        <w:t xml:space="preserve"> </w:t>
      </w:r>
      <w:r w:rsidR="002E4995" w:rsidRPr="005711CE">
        <w:t xml:space="preserve">spending obligations </w:t>
      </w:r>
      <w:r w:rsidRPr="005711CE">
        <w:t xml:space="preserve">associated with new infrastructure assets and expanded </w:t>
      </w:r>
      <w:r w:rsidR="002E4995" w:rsidRPr="005711CE">
        <w:t xml:space="preserve">public </w:t>
      </w:r>
      <w:r w:rsidRPr="005711CE">
        <w:t xml:space="preserve">service provision. </w:t>
      </w:r>
    </w:p>
    <w:p w14:paraId="5B4D0CF1" w14:textId="77777777" w:rsidR="00C36F7F" w:rsidRPr="00D8289D" w:rsidRDefault="002E4995">
      <w:pPr>
        <w:pStyle w:val="ListParagraph"/>
        <w:numPr>
          <w:ilvl w:val="0"/>
          <w:numId w:val="5"/>
        </w:numPr>
      </w:pPr>
      <w:r w:rsidRPr="00D8289D">
        <w:rPr>
          <w:b/>
        </w:rPr>
        <w:t xml:space="preserve">Effectively transforming resource revenues into </w:t>
      </w:r>
      <w:r w:rsidR="004C32C2" w:rsidRPr="00D8289D">
        <w:rPr>
          <w:b/>
        </w:rPr>
        <w:t>productive</w:t>
      </w:r>
      <w:r w:rsidRPr="00D8289D">
        <w:rPr>
          <w:b/>
        </w:rPr>
        <w:t xml:space="preserve"> infrastructure and improved human capital will require a well-designed investment strategy</w:t>
      </w:r>
      <w:r w:rsidR="00E8626C" w:rsidRPr="00D8289D">
        <w:rPr>
          <w:b/>
        </w:rPr>
        <w:t xml:space="preserve"> </w:t>
      </w:r>
      <w:r w:rsidR="004C32C2" w:rsidRPr="00D8289D">
        <w:rPr>
          <w:b/>
        </w:rPr>
        <w:t>combined with</w:t>
      </w:r>
      <w:r w:rsidR="00E8626C" w:rsidRPr="00D8289D">
        <w:rPr>
          <w:b/>
        </w:rPr>
        <w:t xml:space="preserve"> structural improvements in expenditure efficiency</w:t>
      </w:r>
      <w:r w:rsidR="00C36F7F" w:rsidRPr="00D8289D">
        <w:rPr>
          <w:b/>
          <w:lang w:eastAsia="zh-CN"/>
        </w:rPr>
        <w:t>.</w:t>
      </w:r>
      <w:r w:rsidR="00C36F7F" w:rsidRPr="00D8289D">
        <w:rPr>
          <w:lang w:eastAsia="zh-CN"/>
        </w:rPr>
        <w:t xml:space="preserve"> </w:t>
      </w:r>
      <w:r w:rsidR="00C36F7F" w:rsidRPr="00D8289D">
        <w:t>While a long-term expenditure strategy will be vital to maintain fiscal stability in the wake of the oil boom, sustaining economic growth as oil output declines will require structural reforms designed to increase</w:t>
      </w:r>
      <w:r w:rsidR="004C32C2" w:rsidRPr="00D8289D">
        <w:t xml:space="preserve"> economic</w:t>
      </w:r>
      <w:r w:rsidR="00C36F7F" w:rsidRPr="00D8289D">
        <w:t xml:space="preserve"> competitiveness and promote diversification in the non-resource sectors.</w:t>
      </w:r>
      <w:r w:rsidR="004C32C2" w:rsidRPr="00D8289D">
        <w:t xml:space="preserve"> Reducing tax expenditures will enable the government to broaden its tax base</w:t>
      </w:r>
      <w:r w:rsidR="0032642E" w:rsidRPr="00D8289D">
        <w:t xml:space="preserve"> and</w:t>
      </w:r>
      <w:r w:rsidR="00AD0648" w:rsidRPr="00D8289D">
        <w:t xml:space="preserve"> mitigate </w:t>
      </w:r>
      <w:r w:rsidR="004C32C2" w:rsidRPr="00D8289D">
        <w:t xml:space="preserve">its reliance on </w:t>
      </w:r>
      <w:r w:rsidR="00E65505" w:rsidRPr="00D8289D">
        <w:t>unsustainable</w:t>
      </w:r>
      <w:r w:rsidR="004C32C2" w:rsidRPr="00D8289D">
        <w:t xml:space="preserve"> </w:t>
      </w:r>
      <w:r w:rsidR="00E65505" w:rsidRPr="00D8289D">
        <w:t xml:space="preserve">resource </w:t>
      </w:r>
      <w:r w:rsidR="004C32C2" w:rsidRPr="00D8289D">
        <w:t>revenue</w:t>
      </w:r>
      <w:r w:rsidR="00E65505" w:rsidRPr="00D8289D">
        <w:t>s</w:t>
      </w:r>
      <w:r w:rsidR="004C32C2" w:rsidRPr="00D8289D">
        <w:t xml:space="preserve">. </w:t>
      </w:r>
      <w:r w:rsidR="00AD0648" w:rsidRPr="00D8289D">
        <w:t>Proactive wage-bill management will expand the fiscal space available for capital investment and public service provision</w:t>
      </w:r>
      <w:r w:rsidR="00E65505" w:rsidRPr="00D8289D">
        <w:t xml:space="preserve">, broadening the </w:t>
      </w:r>
      <w:r w:rsidR="00C94ACF" w:rsidRPr="00D8289D">
        <w:t xml:space="preserve">distribution of </w:t>
      </w:r>
      <w:r w:rsidR="00E65505" w:rsidRPr="00D8289D">
        <w:t>returns to resource-driven growth</w:t>
      </w:r>
      <w:r w:rsidR="00AD0648" w:rsidRPr="00D8289D">
        <w:t xml:space="preserve">. A sustained focus on health and education will build the capacity of the national workforce, bolstering economy-wide competitiveness and facilitating </w:t>
      </w:r>
      <w:r w:rsidR="00E65505" w:rsidRPr="00D8289D">
        <w:t>economic diversification beyond the extractive industries</w:t>
      </w:r>
      <w:r w:rsidR="00AD0648" w:rsidRPr="00D8289D">
        <w:t xml:space="preserve">. </w:t>
      </w:r>
      <w:r w:rsidR="00E65505" w:rsidRPr="00D8289D">
        <w:t xml:space="preserve">Finally, continued attention to the agricultural sector will be vital as the rising oil industry and the growing non-tradable service sector temporarily draw labor and capital away from agricultural production. Continued investment in both the food and cash-crop subsectors will </w:t>
      </w:r>
      <w:r w:rsidR="005E5CFC" w:rsidRPr="00D8289D">
        <w:t xml:space="preserve">not only have a positive impact on poverty reduction, but a thriving rural economy will be better equipped to absorb </w:t>
      </w:r>
      <w:r w:rsidR="00BA61E8" w:rsidRPr="00D8289D">
        <w:t>excess</w:t>
      </w:r>
      <w:r w:rsidR="005E5CFC" w:rsidRPr="00D8289D">
        <w:t xml:space="preserve"> labor and capital </w:t>
      </w:r>
      <w:r w:rsidR="001C7170" w:rsidRPr="00D8289D">
        <w:t>after</w:t>
      </w:r>
      <w:r w:rsidR="005E5CFC" w:rsidRPr="00D8289D">
        <w:t xml:space="preserve"> the country’s oil reserves are depleted. </w:t>
      </w:r>
    </w:p>
    <w:p w14:paraId="35F660F4" w14:textId="77777777" w:rsidR="00C36F7F" w:rsidRPr="00E45355" w:rsidRDefault="00C36F7F" w:rsidP="00894F2B">
      <w:pPr>
        <w:pStyle w:val="Heading2"/>
      </w:pPr>
      <w:bookmarkStart w:id="4" w:name="_Toc479624861"/>
      <w:r w:rsidRPr="00E45355">
        <w:lastRenderedPageBreak/>
        <w:t xml:space="preserve">Tax </w:t>
      </w:r>
      <w:r w:rsidRPr="00894F2B">
        <w:t>Expenditures</w:t>
      </w:r>
      <w:bookmarkEnd w:id="4"/>
    </w:p>
    <w:p w14:paraId="47F23D98" w14:textId="77777777" w:rsidR="00C36F7F" w:rsidRPr="00516C0E" w:rsidRDefault="00C36F7F" w:rsidP="00724BAB">
      <w:pPr>
        <w:pStyle w:val="ListParagraph"/>
        <w:numPr>
          <w:ilvl w:val="0"/>
          <w:numId w:val="5"/>
        </w:numPr>
      </w:pPr>
      <w:r w:rsidRPr="00792847">
        <w:rPr>
          <w:b/>
        </w:rPr>
        <w:t>Ghana provides a wide range of tax exemptions and incentives designed to reduce the tax burden on certain economic sectors and income groups.</w:t>
      </w:r>
      <w:r w:rsidRPr="00E25D44">
        <w:t xml:space="preserve"> </w:t>
      </w:r>
      <w:r>
        <w:t>These “tax expenditures”</w:t>
      </w:r>
      <w:r w:rsidRPr="00E25D44">
        <w:t xml:space="preserve"> are not </w:t>
      </w:r>
      <w:r w:rsidRPr="003166EF">
        <w:t>fully</w:t>
      </w:r>
      <w:r>
        <w:t xml:space="preserve"> </w:t>
      </w:r>
      <w:r w:rsidRPr="00E25D44">
        <w:t xml:space="preserve">recorded in the budget and are far less visible than more traditional forms of public spending, </w:t>
      </w:r>
      <w:r>
        <w:t>yet they</w:t>
      </w:r>
      <w:r w:rsidRPr="00E25D44">
        <w:t xml:space="preserve"> impose a steep </w:t>
      </w:r>
      <w:r>
        <w:t xml:space="preserve">fiscal </w:t>
      </w:r>
      <w:r w:rsidRPr="00E25D44">
        <w:t xml:space="preserve">cost. </w:t>
      </w:r>
      <w:r>
        <w:t>The foregone revenue from Ghana’s t</w:t>
      </w:r>
      <w:r w:rsidRPr="000913A4">
        <w:t xml:space="preserve">ax expenditures </w:t>
      </w:r>
      <w:r>
        <w:t>amounted to an estimated</w:t>
      </w:r>
      <w:r w:rsidRPr="000913A4">
        <w:t xml:space="preserve"> 5.2 percent of GDP in 2013. Value-added tax (VAT) exemptions and preferential VAT treatment alone </w:t>
      </w:r>
      <w:r w:rsidR="00553947">
        <w:t>reached</w:t>
      </w:r>
      <w:r w:rsidRPr="000913A4">
        <w:t xml:space="preserve"> 4.2 percent of GDP, </w:t>
      </w:r>
      <w:r>
        <w:t xml:space="preserve">while customs exemptions </w:t>
      </w:r>
      <w:r w:rsidR="00553947">
        <w:t>represented</w:t>
      </w:r>
      <w:r w:rsidRPr="000913A4">
        <w:t xml:space="preserve"> another 0.9 percent. While statistical issues complicate comparisons between years, similar data for 2014 suggest that the foregone revenue from tax expenditures has remained broadly stable at about 5 percent of GDP. </w:t>
      </w:r>
      <w:r>
        <w:t>Moreover, a</w:t>
      </w:r>
      <w:r w:rsidRPr="00E25D44">
        <w:t xml:space="preserve">s their purpose is to realign incentives in favor of </w:t>
      </w:r>
      <w:r w:rsidR="00553947">
        <w:t>certain</w:t>
      </w:r>
      <w:r w:rsidR="00553947" w:rsidRPr="00E25D44">
        <w:t xml:space="preserve"> </w:t>
      </w:r>
      <w:r w:rsidR="00553947">
        <w:t>types</w:t>
      </w:r>
      <w:r w:rsidR="00553947" w:rsidRPr="00E25D44">
        <w:t xml:space="preserve"> </w:t>
      </w:r>
      <w:r w:rsidRPr="00E25D44">
        <w:t xml:space="preserve">of firms and taxpayers, tax expenditures </w:t>
      </w:r>
      <w:r>
        <w:t>inevitably</w:t>
      </w:r>
      <w:r w:rsidRPr="00E25D44">
        <w:t xml:space="preserve"> create economic distortions</w:t>
      </w:r>
      <w:r w:rsidRPr="000913A4">
        <w:t xml:space="preserve"> </w:t>
      </w:r>
      <w:r>
        <w:t>and</w:t>
      </w:r>
      <w:r w:rsidRPr="00E25D44">
        <w:t xml:space="preserve"> give rise to vested interests</w:t>
      </w:r>
      <w:r>
        <w:t>. Once established, tax expenditures often prove difficult to eliminate, as the</w:t>
      </w:r>
      <w:r w:rsidR="00553947">
        <w:t>ir</w:t>
      </w:r>
      <w:r>
        <w:t xml:space="preserve"> beneficiaries will strive </w:t>
      </w:r>
      <w:r w:rsidRPr="00516C0E">
        <w:t xml:space="preserve">to defend and expand them regardless of their social or economic value. </w:t>
      </w:r>
    </w:p>
    <w:p w14:paraId="3331B89A" w14:textId="77777777" w:rsidR="007259EE" w:rsidRPr="00516C0E" w:rsidRDefault="007259EE" w:rsidP="007259EE">
      <w:pPr>
        <w:pStyle w:val="ListParagraph"/>
        <w:numPr>
          <w:ilvl w:val="0"/>
          <w:numId w:val="5"/>
        </w:numPr>
        <w:spacing w:before="240"/>
      </w:pPr>
      <w:r w:rsidRPr="00516C0E">
        <w:rPr>
          <w:b/>
        </w:rPr>
        <w:t xml:space="preserve">Accurate cost estimates are essential </w:t>
      </w:r>
      <w:r w:rsidR="003563E8">
        <w:rPr>
          <w:b/>
        </w:rPr>
        <w:t>for</w:t>
      </w:r>
      <w:r w:rsidRPr="00516C0E">
        <w:rPr>
          <w:b/>
        </w:rPr>
        <w:t xml:space="preserve"> effective oversight and the analytical basis for reforming tax expenditures. </w:t>
      </w:r>
      <w:r w:rsidRPr="00516C0E">
        <w:t>The government needs to build its capacity to estimate regularly all foregone revenues arising from tax exemptions and incentives</w:t>
      </w:r>
      <w:r w:rsidR="00DE381B" w:rsidRPr="00516C0E">
        <w:t xml:space="preserve"> by i</w:t>
      </w:r>
      <w:r w:rsidRPr="00516C0E">
        <w:t xml:space="preserve">mproving the data collection in all areas of tax administration and closing significant gaps in the data on income-tax expenditures for mining firms and free-zone </w:t>
      </w:r>
      <w:r w:rsidR="003563E8">
        <w:t>enterprises</w:t>
      </w:r>
      <w:r w:rsidR="00DE381B" w:rsidRPr="00516C0E">
        <w:t>. Accurate cost estimates</w:t>
      </w:r>
      <w:r w:rsidR="00B567EF" w:rsidRPr="00516C0E">
        <w:t xml:space="preserve"> </w:t>
      </w:r>
      <w:r w:rsidR="00516C0E">
        <w:t>are</w:t>
      </w:r>
      <w:r w:rsidR="00B567EF" w:rsidRPr="00516C0E">
        <w:t xml:space="preserve"> essential to assess the cost effectiveness of the tax exemptions and to form the analytical basis </w:t>
      </w:r>
      <w:r w:rsidR="00516C0E" w:rsidRPr="00516C0E">
        <w:t>to improve the tax-expenditure policies</w:t>
      </w:r>
      <w:r w:rsidRPr="00516C0E">
        <w:t>.</w:t>
      </w:r>
    </w:p>
    <w:p w14:paraId="1583B142" w14:textId="77777777" w:rsidR="00EE3BAA" w:rsidRDefault="00C36F7F" w:rsidP="00D715CC">
      <w:pPr>
        <w:pStyle w:val="ListParagraph"/>
        <w:numPr>
          <w:ilvl w:val="0"/>
          <w:numId w:val="5"/>
        </w:numPr>
        <w:spacing w:before="240"/>
      </w:pPr>
      <w:r w:rsidRPr="00EE3BAA">
        <w:rPr>
          <w:b/>
        </w:rPr>
        <w:t>Ghana’s tightening fiscal envelope presents a critical opportunity to assess the cost-effectiveness of its tax expenditures and evaluate potential policy alternatives.</w:t>
      </w:r>
      <w:r w:rsidRPr="00E25D44">
        <w:t xml:space="preserve"> </w:t>
      </w:r>
      <w:r>
        <w:t>R</w:t>
      </w:r>
      <w:r w:rsidRPr="00E25D44">
        <w:t xml:space="preserve">eforming tax expenditures could enable the </w:t>
      </w:r>
      <w:r>
        <w:t>government</w:t>
      </w:r>
      <w:r w:rsidRPr="00E25D44">
        <w:t xml:space="preserve"> to boost domestic revenue generation and enhance the efficiency of fiscal policy without compromising </w:t>
      </w:r>
      <w:r>
        <w:t>its</w:t>
      </w:r>
      <w:r w:rsidRPr="00E25D44">
        <w:t xml:space="preserve"> expenditure priorities.</w:t>
      </w:r>
      <w:r>
        <w:t xml:space="preserve"> </w:t>
      </w:r>
      <w:r w:rsidRPr="00E25D44">
        <w:t>Tax</w:t>
      </w:r>
      <w:r>
        <w:t>-</w:t>
      </w:r>
      <w:r w:rsidRPr="00E25D44">
        <w:t>expenditure</w:t>
      </w:r>
      <w:r>
        <w:t xml:space="preserve"> policies</w:t>
      </w:r>
      <w:r w:rsidRPr="00E25D44">
        <w:t xml:space="preserve"> that advance </w:t>
      </w:r>
      <w:r>
        <w:t>worthwhile</w:t>
      </w:r>
      <w:r w:rsidRPr="00E25D44">
        <w:t xml:space="preserve"> social </w:t>
      </w:r>
      <w:r>
        <w:t>or</w:t>
      </w:r>
      <w:r w:rsidRPr="00E25D44">
        <w:t xml:space="preserve"> economic objectives should be reformed to enhance their </w:t>
      </w:r>
      <w:r w:rsidRPr="00EE3BAA">
        <w:t xml:space="preserve">effectiveness, while those that serve no clear policy purpose should be eliminated. </w:t>
      </w:r>
    </w:p>
    <w:p w14:paraId="7833E520" w14:textId="77777777" w:rsidR="00BC6F1A" w:rsidRPr="00E25D44" w:rsidRDefault="00BC6F1A" w:rsidP="00BC6F1A">
      <w:pPr>
        <w:pStyle w:val="ListParagraph"/>
        <w:numPr>
          <w:ilvl w:val="0"/>
          <w:numId w:val="5"/>
        </w:numPr>
      </w:pPr>
      <w:r w:rsidRPr="00BC6F1A">
        <w:rPr>
          <w:b/>
        </w:rPr>
        <w:t>Some tax expenditures are designed to alleviate the tax burden on lower-income households, while others attempt to incentivize the consumption of goods and services that generate positive externalities.</w:t>
      </w:r>
      <w:r w:rsidRPr="00BC6F1A">
        <w:t xml:space="preserve"> When reviewing tax expenditures targeted to low-income households, policymakers should evaluate the impact of VAT exemptions and zero-rating, as some of these tax benefits also go to middle and high income consumers who could afford to pay the VAT. A socially optimal option would be to collect the VAT on all consumption and use the revenue to directly</w:t>
      </w:r>
      <w:r>
        <w:t xml:space="preserve"> </w:t>
      </w:r>
      <w:r w:rsidRPr="00BC6F1A">
        <w:t xml:space="preserve">subsidize consumption of the poor through cash transfers. However, such consumption that results in significant externalities such as preventive health care </w:t>
      </w:r>
      <w:r w:rsidR="00C4609F">
        <w:t xml:space="preserve">like </w:t>
      </w:r>
      <w:r w:rsidRPr="00BC6F1A">
        <w:t>bed nets</w:t>
      </w:r>
      <w:r w:rsidR="00C4609F">
        <w:t xml:space="preserve"> and</w:t>
      </w:r>
      <w:r w:rsidRPr="00BC6F1A">
        <w:t xml:space="preserve"> vaccines and primary education may be relieved of any VAT burden ideally through zero-rating. Tax expenditures on consumer goods that produce no significant positive social or economic spillovers should be identified and eliminated.</w:t>
      </w:r>
    </w:p>
    <w:p w14:paraId="79E9E6A5" w14:textId="77777777" w:rsidR="00C36F7F" w:rsidRDefault="00C36F7F" w:rsidP="00724BAB">
      <w:pPr>
        <w:pStyle w:val="ListParagraph"/>
        <w:numPr>
          <w:ilvl w:val="0"/>
          <w:numId w:val="5"/>
        </w:numPr>
      </w:pPr>
      <w:r w:rsidRPr="00792847">
        <w:rPr>
          <w:b/>
        </w:rPr>
        <w:t>Trade-related tax expenditures should be consolidated into a holistic export-promotion strategy</w:t>
      </w:r>
      <w:r>
        <w:rPr>
          <w:b/>
        </w:rPr>
        <w:t xml:space="preserve">. </w:t>
      </w:r>
      <w:r w:rsidRPr="00792847">
        <w:t xml:space="preserve">While this strategy may </w:t>
      </w:r>
      <w:r w:rsidRPr="00F476C1">
        <w:t xml:space="preserve">include a narrow range of tax incentives, </w:t>
      </w:r>
      <w:r w:rsidRPr="00792847">
        <w:t>it should</w:t>
      </w:r>
      <w:r w:rsidRPr="00F476C1">
        <w:t xml:space="preserve"> focus on measures to promote domestic competition and foster regional integration. </w:t>
      </w:r>
      <w:r w:rsidRPr="00E25D44">
        <w:t xml:space="preserve">Tax expenditures can </w:t>
      </w:r>
      <w:r>
        <w:t>bolster the export</w:t>
      </w:r>
      <w:r w:rsidR="000B4285">
        <w:t xml:space="preserve"> </w:t>
      </w:r>
      <w:r>
        <w:t>competitiveness of targeted sectors, but t</w:t>
      </w:r>
      <w:r w:rsidRPr="00E25D44">
        <w:t xml:space="preserve">hey can also </w:t>
      </w:r>
      <w:r w:rsidR="000B4285">
        <w:t>prop up</w:t>
      </w:r>
      <w:r w:rsidRPr="00E25D44">
        <w:t xml:space="preserve"> industries that are structurally uncompetitive. Moreover, tax expenditures frequently accrue to </w:t>
      </w:r>
      <w:r w:rsidR="0032642E">
        <w:t xml:space="preserve">industries and </w:t>
      </w:r>
      <w:r w:rsidRPr="00E25D44">
        <w:t xml:space="preserve">sectors that would be viable without them. Customs exemptions on manufacturing inputs and capital goods may </w:t>
      </w:r>
      <w:r w:rsidRPr="00E25D44">
        <w:lastRenderedPageBreak/>
        <w:t xml:space="preserve">be retained if they contribute to a clear sectoral development strategy, but exemptions on most consumer goods should be phased out. The special </w:t>
      </w:r>
      <w:r w:rsidR="0032642E">
        <w:t xml:space="preserve">exemption </w:t>
      </w:r>
      <w:r w:rsidRPr="00E25D44">
        <w:t xml:space="preserve">permits approved by Parliament should also be eliminated, and exemptions should </w:t>
      </w:r>
      <w:r>
        <w:t xml:space="preserve">not </w:t>
      </w:r>
      <w:r w:rsidRPr="00E25D44">
        <w:t xml:space="preserve">be applied to </w:t>
      </w:r>
      <w:r w:rsidR="0032642E">
        <w:t xml:space="preserve">individual </w:t>
      </w:r>
      <w:r w:rsidRPr="00E25D44">
        <w:t xml:space="preserve">firms, but only to classes of goods and services. </w:t>
      </w:r>
    </w:p>
    <w:p w14:paraId="1D42490C" w14:textId="77777777" w:rsidR="00C36F7F" w:rsidRDefault="00C36F7F" w:rsidP="00724BAB">
      <w:pPr>
        <w:pStyle w:val="ListParagraph"/>
        <w:numPr>
          <w:ilvl w:val="0"/>
          <w:numId w:val="5"/>
        </w:numPr>
      </w:pPr>
      <w:r w:rsidRPr="00792847">
        <w:rPr>
          <w:b/>
        </w:rPr>
        <w:t>Policymakers should evaluate the impact of tax holidays and location-based incentives such as “free zones,” as both policy types are inherently inefficient and prone to abuse.</w:t>
      </w:r>
      <w:r w:rsidRPr="00E25D44">
        <w:t xml:space="preserve"> The government should investigate the behavior of businesses that </w:t>
      </w:r>
      <w:r>
        <w:t>benefit from these policies and develop a strategy</w:t>
      </w:r>
      <w:r w:rsidRPr="00E25D44">
        <w:t xml:space="preserve"> to reduce </w:t>
      </w:r>
      <w:r>
        <w:t xml:space="preserve">economic </w:t>
      </w:r>
      <w:r w:rsidRPr="00E25D44">
        <w:t xml:space="preserve">distortions and </w:t>
      </w:r>
      <w:r>
        <w:t>curb</w:t>
      </w:r>
      <w:r w:rsidRPr="00E25D44">
        <w:t xml:space="preserve"> tax avoidance. </w:t>
      </w:r>
      <w:r>
        <w:t xml:space="preserve">All commercial and industrial </w:t>
      </w:r>
      <w:r w:rsidRPr="00E25D44">
        <w:t>tax expenditures should be routinely evaluated to determine which firms and sectors are benefitting from preferential tax treatment and to assess the extent to which supporting these industries is consistent with Ghana’s strategic development goals.</w:t>
      </w:r>
    </w:p>
    <w:p w14:paraId="12F903A4" w14:textId="77777777" w:rsidR="004C32C2" w:rsidRPr="00E45355" w:rsidRDefault="004C32C2" w:rsidP="00894F2B">
      <w:pPr>
        <w:pStyle w:val="Heading2"/>
      </w:pPr>
      <w:bookmarkStart w:id="5" w:name="_Toc479624862"/>
      <w:r w:rsidRPr="00E45355">
        <w:t>The Wage Bill</w:t>
      </w:r>
      <w:bookmarkEnd w:id="5"/>
    </w:p>
    <w:p w14:paraId="760D597B" w14:textId="77777777" w:rsidR="004C32C2" w:rsidRDefault="004C32C2" w:rsidP="004C32C2">
      <w:pPr>
        <w:pStyle w:val="ListParagraph"/>
        <w:numPr>
          <w:ilvl w:val="0"/>
          <w:numId w:val="5"/>
        </w:numPr>
      </w:pPr>
      <w:r w:rsidRPr="008D7B88">
        <w:rPr>
          <w:b/>
        </w:rPr>
        <w:t>The success of the fiscal adjustment will hinge on the government’s ability to control the growth of the wage bill.</w:t>
      </w:r>
      <w:r w:rsidRPr="00BA467B">
        <w:t xml:space="preserve"> </w:t>
      </w:r>
      <w:r w:rsidRPr="008D7B88">
        <w:t>The shift to a single-spine salary structure</w:t>
      </w:r>
      <w:r w:rsidR="0066468F">
        <w:t xml:space="preserve"> (SSSS)</w:t>
      </w:r>
      <w:r w:rsidRPr="008D7B88">
        <w:t xml:space="preserve"> </w:t>
      </w:r>
      <w:r>
        <w:t xml:space="preserve">in 2011 </w:t>
      </w:r>
      <w:r w:rsidRPr="008D7B88">
        <w:t>caused a substantial one-off increas</w:t>
      </w:r>
      <w:r w:rsidRPr="00BA467B">
        <w:t>e in public sector wages. While</w:t>
      </w:r>
      <w:r>
        <w:t xml:space="preserve"> the </w:t>
      </w:r>
      <w:r w:rsidR="0032642E">
        <w:t xml:space="preserve">new </w:t>
      </w:r>
      <w:r>
        <w:t xml:space="preserve">consolidated bargaining regime and the standardization of wages and benefits should, in principle, enable the government to more effectively manage the growth of the wage bill, to date the reform effort has yielded mixed results. Structural weaknesses in the </w:t>
      </w:r>
      <w:r w:rsidR="0032642E">
        <w:t>organization of the salary structure</w:t>
      </w:r>
      <w:r>
        <w:t xml:space="preserve">, the large share of allowances in total compensation, and inherent conflicts of interest in the process for determining the </w:t>
      </w:r>
      <w:r w:rsidR="0032642E">
        <w:t xml:space="preserve">compensation </w:t>
      </w:r>
      <w:r>
        <w:t xml:space="preserve">of high-level officials continue to pose significant challenges. </w:t>
      </w:r>
    </w:p>
    <w:p w14:paraId="792EB8A5" w14:textId="77777777" w:rsidR="004C32C2" w:rsidRDefault="004C32C2" w:rsidP="004C32C2">
      <w:pPr>
        <w:pStyle w:val="ListParagraph"/>
        <w:numPr>
          <w:ilvl w:val="0"/>
          <w:numId w:val="5"/>
        </w:numPr>
      </w:pPr>
      <w:r w:rsidRPr="00D8289D">
        <w:rPr>
          <w:b/>
        </w:rPr>
        <w:t xml:space="preserve">A selective public sector hiring freeze implemented in 2015 successfully </w:t>
      </w:r>
      <w:r w:rsidR="00F73380">
        <w:rPr>
          <w:b/>
        </w:rPr>
        <w:t>reduced</w:t>
      </w:r>
      <w:r w:rsidR="0032642E" w:rsidRPr="00D8289D">
        <w:rPr>
          <w:b/>
        </w:rPr>
        <w:t xml:space="preserve"> </w:t>
      </w:r>
      <w:r w:rsidRPr="00D8289D">
        <w:rPr>
          <w:b/>
        </w:rPr>
        <w:t xml:space="preserve">the size of the wage bill as a share of GDP, and </w:t>
      </w:r>
      <w:r w:rsidR="00A74FC3" w:rsidRPr="00D8289D">
        <w:rPr>
          <w:b/>
        </w:rPr>
        <w:t>it</w:t>
      </w:r>
      <w:r w:rsidRPr="00D8289D">
        <w:rPr>
          <w:b/>
        </w:rPr>
        <w:t xml:space="preserve"> is expected to continue declining in relative terms through 2018.</w:t>
      </w:r>
      <w:r w:rsidRPr="00D8289D">
        <w:rPr>
          <w:rStyle w:val="FootnoteReference"/>
        </w:rPr>
        <w:footnoteReference w:id="5"/>
      </w:r>
      <w:r w:rsidRPr="00D8289D">
        <w:t xml:space="preserve"> To further reduce the wage bill, the authorities will need to maintain</w:t>
      </w:r>
      <w:r w:rsidR="00A74FC3" w:rsidRPr="00D8289D">
        <w:t xml:space="preserve"> </w:t>
      </w:r>
      <w:r w:rsidRPr="00D8289D">
        <w:t xml:space="preserve">the hiring freeze and allow attrition to reduce the size of the public sector workforce. The government has also taken important steps to </w:t>
      </w:r>
      <w:r w:rsidR="00A74FC3" w:rsidRPr="00D8289D">
        <w:t xml:space="preserve">identify and eliminate </w:t>
      </w:r>
      <w:r w:rsidRPr="00D8289D">
        <w:t>payroll irregularities, rationalize allowances, curtail the use of cash payments</w:t>
      </w:r>
      <w:r w:rsidR="0066468F">
        <w:t>,</w:t>
      </w:r>
      <w:r w:rsidRPr="00D8289D">
        <w:t xml:space="preserve"> and increase the overall transparency and accountability of the payroll system. </w:t>
      </w:r>
      <w:r w:rsidR="000C5427" w:rsidRPr="00D8289D">
        <w:t>In</w:t>
      </w:r>
      <w:r w:rsidRPr="00D8289D">
        <w:t xml:space="preserve"> 201</w:t>
      </w:r>
      <w:r w:rsidR="00B872FB" w:rsidRPr="00D8289D">
        <w:t>5</w:t>
      </w:r>
      <w:r w:rsidR="0066468F">
        <w:t>,</w:t>
      </w:r>
      <w:r w:rsidRPr="00D8289D">
        <w:t xml:space="preserve"> a consolidated bargaining process allowed an annual wage increase to be negotiated for the majority of the public sector workforce prior to </w:t>
      </w:r>
      <w:r w:rsidR="00B872FB" w:rsidRPr="00D8289D">
        <w:t xml:space="preserve">the 2016 </w:t>
      </w:r>
      <w:r w:rsidRPr="00D8289D">
        <w:t xml:space="preserve">budget preparation, a significant improvement over the </w:t>
      </w:r>
      <w:r w:rsidR="000C5427" w:rsidRPr="00D8289D">
        <w:t xml:space="preserve">previous </w:t>
      </w:r>
      <w:r w:rsidRPr="00D8289D">
        <w:t>system. Going forward, annual wage increase</w:t>
      </w:r>
      <w:r w:rsidR="0066468F">
        <w:t>s</w:t>
      </w:r>
      <w:r w:rsidRPr="00D8289D">
        <w:t xml:space="preserve"> should be limited to accommodate </w:t>
      </w:r>
      <w:r w:rsidR="00A74FC3" w:rsidRPr="00D8289D">
        <w:t>a growing</w:t>
      </w:r>
      <w:r w:rsidR="000C5427" w:rsidRPr="00D8289D">
        <w:t xml:space="preserve"> number of education and health staff</w:t>
      </w:r>
      <w:r w:rsidRPr="00D8289D">
        <w:t xml:space="preserve">. </w:t>
      </w:r>
      <w:r w:rsidR="000C5427" w:rsidRPr="00D8289D">
        <w:t>T</w:t>
      </w:r>
      <w:r w:rsidRPr="00D8289D">
        <w:t xml:space="preserve">he development of a new wage model backed by a functional review of service-delivery arrangements could enhance the efficiency of personnel spending and </w:t>
      </w:r>
      <w:r w:rsidR="000C5427" w:rsidRPr="00D8289D">
        <w:t>improve</w:t>
      </w:r>
      <w:r w:rsidRPr="00D8289D">
        <w:t xml:space="preserve"> wage parity with the private sector.  </w:t>
      </w:r>
    </w:p>
    <w:p w14:paraId="106E809D" w14:textId="77777777" w:rsidR="00DB57F4" w:rsidRPr="00D8289D" w:rsidRDefault="00DB57F4" w:rsidP="004C32C2">
      <w:pPr>
        <w:pStyle w:val="ListParagraph"/>
        <w:numPr>
          <w:ilvl w:val="0"/>
          <w:numId w:val="5"/>
        </w:numPr>
      </w:pPr>
      <w:r w:rsidRPr="00DB57F4">
        <w:rPr>
          <w:b/>
        </w:rPr>
        <w:t>Additional efforts to stimulate private-employment growth and narrow the public-sector wage premium could ease public employment pressures over the medium-to-long term</w:t>
      </w:r>
      <w:r w:rsidRPr="008A4F6E">
        <w:t>. Expanding the range of employment opportunities outside the public sector will become increasingly crucial as the share of workers with tertiary education continues to rise.</w:t>
      </w:r>
    </w:p>
    <w:p w14:paraId="7A48C572" w14:textId="77777777" w:rsidR="00C36F7F" w:rsidRPr="00E45355" w:rsidRDefault="00C36F7F" w:rsidP="00894F2B">
      <w:pPr>
        <w:pStyle w:val="Heading2"/>
      </w:pPr>
      <w:bookmarkStart w:id="6" w:name="_Toc479624863"/>
      <w:r w:rsidRPr="00E45355">
        <w:lastRenderedPageBreak/>
        <w:t>Human Capital</w:t>
      </w:r>
      <w:bookmarkEnd w:id="6"/>
    </w:p>
    <w:p w14:paraId="54CBB261" w14:textId="77777777" w:rsidR="00C36F7F" w:rsidRDefault="00C36F7F" w:rsidP="00724BAB">
      <w:pPr>
        <w:pStyle w:val="ListParagraph"/>
        <w:numPr>
          <w:ilvl w:val="0"/>
          <w:numId w:val="5"/>
        </w:numPr>
      </w:pPr>
      <w:r w:rsidRPr="00F00EEE">
        <w:rPr>
          <w:b/>
        </w:rPr>
        <w:t xml:space="preserve">To achieve its development objectives and maintain its economic competitiveness as a middle-income country, Ghana must continue to build </w:t>
      </w:r>
      <w:r>
        <w:rPr>
          <w:b/>
        </w:rPr>
        <w:t>its</w:t>
      </w:r>
      <w:r w:rsidRPr="00F00EEE">
        <w:rPr>
          <w:b/>
        </w:rPr>
        <w:t xml:space="preserve"> human capital stock.</w:t>
      </w:r>
      <w:r>
        <w:t xml:space="preserve"> S</w:t>
      </w:r>
      <w:r w:rsidRPr="006C5FBD">
        <w:t>ustainable and inclusive growth requires a healthy, educated labor force with the skills and flexibility necessary to meet the evolving demands of a dynamic economy</w:t>
      </w:r>
      <w:r w:rsidRPr="00C66EA7">
        <w:t xml:space="preserve">. Robust investment in </w:t>
      </w:r>
      <w:r>
        <w:t>public health and education</w:t>
      </w:r>
      <w:r w:rsidRPr="00C66EA7">
        <w:t xml:space="preserve">, complemented by high-quality physical infrastructure and an efficient, sophisticated public administration, </w:t>
      </w:r>
      <w:r>
        <w:t>will be</w:t>
      </w:r>
      <w:r w:rsidRPr="00C66EA7">
        <w:t xml:space="preserve"> </w:t>
      </w:r>
      <w:r>
        <w:t>vital</w:t>
      </w:r>
      <w:r w:rsidRPr="00C66EA7">
        <w:t xml:space="preserve"> to </w:t>
      </w:r>
      <w:r>
        <w:t>build</w:t>
      </w:r>
      <w:r w:rsidRPr="00C66EA7">
        <w:t xml:space="preserve"> </w:t>
      </w:r>
      <w:r>
        <w:t xml:space="preserve">Ghana’s </w:t>
      </w:r>
      <w:r w:rsidRPr="00C66EA7">
        <w:t>labor productivity</w:t>
      </w:r>
      <w:r>
        <w:t xml:space="preserve"> and attract increased investment in </w:t>
      </w:r>
      <w:r w:rsidR="00A74FC3">
        <w:t>the non-resource economy</w:t>
      </w:r>
      <w:r w:rsidRPr="00C66EA7">
        <w:t>.</w:t>
      </w:r>
      <w:r>
        <w:t xml:space="preserve"> </w:t>
      </w:r>
    </w:p>
    <w:p w14:paraId="258718C5" w14:textId="77777777" w:rsidR="00A74FC3" w:rsidRDefault="00C36F7F" w:rsidP="00724BAB">
      <w:pPr>
        <w:pStyle w:val="ListParagraph"/>
        <w:numPr>
          <w:ilvl w:val="0"/>
          <w:numId w:val="5"/>
        </w:numPr>
      </w:pPr>
      <w:r w:rsidRPr="00F00EEE">
        <w:rPr>
          <w:b/>
        </w:rPr>
        <w:t>While the supply of education services has increased rapidly over the last decade, access to essential health services</w:t>
      </w:r>
      <w:r w:rsidR="00A74FC3">
        <w:rPr>
          <w:b/>
        </w:rPr>
        <w:t xml:space="preserve"> remains limited</w:t>
      </w:r>
      <w:r w:rsidRPr="00F00EEE">
        <w:rPr>
          <w:b/>
        </w:rPr>
        <w:t>.</w:t>
      </w:r>
      <w:r>
        <w:t xml:space="preserve"> Moreover,</w:t>
      </w:r>
      <w:r w:rsidRPr="00083962">
        <w:t xml:space="preserve"> </w:t>
      </w:r>
      <w:r w:rsidR="00A74FC3">
        <w:t xml:space="preserve">rising expenditure levels </w:t>
      </w:r>
      <w:r>
        <w:t>ha</w:t>
      </w:r>
      <w:r w:rsidR="00A74FC3">
        <w:t>ve</w:t>
      </w:r>
      <w:r w:rsidRPr="00A557E3">
        <w:t xml:space="preserve"> not generated </w:t>
      </w:r>
      <w:r>
        <w:t xml:space="preserve">a </w:t>
      </w:r>
      <w:r w:rsidRPr="00A557E3">
        <w:t>commensurate improvement in education and health outcomes</w:t>
      </w:r>
      <w:r>
        <w:t>, as both sectors suffer from serious deficiencies in service quality</w:t>
      </w:r>
      <w:r w:rsidR="00A74FC3">
        <w:t>. Moreover,</w:t>
      </w:r>
      <w:r>
        <w:t xml:space="preserve"> vast </w:t>
      </w:r>
      <w:r w:rsidRPr="00534FDC">
        <w:t>disparities between rural and urban areas</w:t>
      </w:r>
      <w:r>
        <w:t xml:space="preserve"> and </w:t>
      </w:r>
      <w:r w:rsidRPr="00534FDC">
        <w:t xml:space="preserve">between </w:t>
      </w:r>
      <w:r>
        <w:t>low- and high-income</w:t>
      </w:r>
      <w:r w:rsidRPr="00534FDC">
        <w:t xml:space="preserve"> households</w:t>
      </w:r>
      <w:r>
        <w:t xml:space="preserve"> narrow the distribution of benefits</w:t>
      </w:r>
      <w:r w:rsidRPr="00534FDC">
        <w:t>.</w:t>
      </w:r>
      <w:r>
        <w:t xml:space="preserve"> </w:t>
      </w:r>
    </w:p>
    <w:p w14:paraId="4ACDF5C3" w14:textId="77777777" w:rsidR="00C36F7F" w:rsidRDefault="00C36F7F" w:rsidP="00724BAB">
      <w:pPr>
        <w:pStyle w:val="ListParagraph"/>
        <w:numPr>
          <w:ilvl w:val="0"/>
          <w:numId w:val="5"/>
        </w:numPr>
      </w:pPr>
      <w:r w:rsidRPr="00956684">
        <w:rPr>
          <w:b/>
        </w:rPr>
        <w:t>While each sector faces its own idiosyncratic challenges, both suffer from fragmented administrative structures and complex, partially opaque financial arrangements.</w:t>
      </w:r>
      <w:r>
        <w:t xml:space="preserve"> T</w:t>
      </w:r>
      <w:r w:rsidRPr="00534FDC">
        <w:t xml:space="preserve">he </w:t>
      </w:r>
      <w:r>
        <w:t xml:space="preserve">diffusion of </w:t>
      </w:r>
      <w:r w:rsidR="008233B0">
        <w:t>programmatic</w:t>
      </w:r>
      <w:r w:rsidR="008233B0" w:rsidRPr="00534FDC">
        <w:t xml:space="preserve"> </w:t>
      </w:r>
      <w:r w:rsidRPr="00534FDC">
        <w:t>responsibilities across a range of government agencies</w:t>
      </w:r>
      <w:r>
        <w:t xml:space="preserve"> </w:t>
      </w:r>
      <w:r w:rsidR="008233B0">
        <w:t>impedes efforts</w:t>
      </w:r>
      <w:r>
        <w:t xml:space="preserve"> </w:t>
      </w:r>
      <w:r w:rsidRPr="00534FDC">
        <w:t xml:space="preserve">to design appropriate </w:t>
      </w:r>
      <w:r w:rsidR="008233B0">
        <w:t xml:space="preserve">institutional and </w:t>
      </w:r>
      <w:r w:rsidRPr="00534FDC">
        <w:t xml:space="preserve">policy </w:t>
      </w:r>
      <w:r w:rsidR="008233B0">
        <w:t>reforms and complicates the</w:t>
      </w:r>
      <w:r>
        <w:t xml:space="preserve"> </w:t>
      </w:r>
      <w:r w:rsidRPr="00534FDC">
        <w:t>monitor</w:t>
      </w:r>
      <w:r w:rsidR="008233B0">
        <w:t>ing</w:t>
      </w:r>
      <w:r>
        <w:t xml:space="preserve"> and</w:t>
      </w:r>
      <w:r w:rsidRPr="00534FDC">
        <w:t xml:space="preserve"> evaluat</w:t>
      </w:r>
      <w:r w:rsidR="008233B0">
        <w:t>ion of</w:t>
      </w:r>
      <w:r>
        <w:t xml:space="preserve"> programs </w:t>
      </w:r>
      <w:r w:rsidRPr="00534FDC">
        <w:t>against strategic objectives</w:t>
      </w:r>
      <w:r w:rsidR="008233B0">
        <w:t>. These challenges are compounded by the prevalence of off-budget donor financing in both sectors</w:t>
      </w:r>
      <w:r w:rsidRPr="00534FDC">
        <w:t xml:space="preserve">. </w:t>
      </w:r>
      <w:r w:rsidR="008233B0">
        <w:t>In addition, t</w:t>
      </w:r>
      <w:r w:rsidRPr="00534FDC">
        <w:t xml:space="preserve">he bulk of the </w:t>
      </w:r>
      <w:r w:rsidR="008233B0">
        <w:t xml:space="preserve">recent </w:t>
      </w:r>
      <w:r w:rsidRPr="00534FDC">
        <w:t xml:space="preserve">increase in </w:t>
      </w:r>
      <w:r>
        <w:t xml:space="preserve">public </w:t>
      </w:r>
      <w:r w:rsidRPr="00534FDC">
        <w:t xml:space="preserve">health and education spending has gone to finance wages and benefits for a </w:t>
      </w:r>
      <w:r>
        <w:t>growing workforce</w:t>
      </w:r>
      <w:r w:rsidRPr="00534FDC">
        <w:t xml:space="preserve">, while the budgets for other </w:t>
      </w:r>
      <w:r w:rsidR="008233B0">
        <w:t>re</w:t>
      </w:r>
      <w:r w:rsidRPr="00534FDC">
        <w:t xml:space="preserve">current expenditures and capital investment have </w:t>
      </w:r>
      <w:r>
        <w:t>risen</w:t>
      </w:r>
      <w:r w:rsidRPr="00534FDC">
        <w:t xml:space="preserve"> marginally or not at all.</w:t>
      </w:r>
    </w:p>
    <w:p w14:paraId="5A5A1C85" w14:textId="77777777" w:rsidR="00C36F7F" w:rsidRPr="00315380" w:rsidRDefault="00C36F7F" w:rsidP="00724BAB">
      <w:pPr>
        <w:pStyle w:val="ListParagraph"/>
        <w:numPr>
          <w:ilvl w:val="0"/>
          <w:numId w:val="5"/>
        </w:numPr>
      </w:pPr>
      <w:r w:rsidRPr="00F00EEE">
        <w:rPr>
          <w:b/>
        </w:rPr>
        <w:t>To improve education quality, the government will need to expand the fiscal space for nonwage recurrent spending in the short term and capital investment in the medium term.</w:t>
      </w:r>
      <w:r w:rsidRPr="00315380">
        <w:t xml:space="preserve"> </w:t>
      </w:r>
      <w:r>
        <w:t>The introduction of</w:t>
      </w:r>
      <w:r w:rsidRPr="00315380">
        <w:t xml:space="preserve"> </w:t>
      </w:r>
      <w:r>
        <w:t>performance-based incentives</w:t>
      </w:r>
      <w:r w:rsidRPr="00315380">
        <w:t xml:space="preserve"> </w:t>
      </w:r>
      <w:r>
        <w:t xml:space="preserve">could improve overall educational quality, while </w:t>
      </w:r>
      <w:r w:rsidRPr="00315380">
        <w:t xml:space="preserve">stricter penalties for teachers who fail to report to their posts </w:t>
      </w:r>
      <w:r>
        <w:t>could help</w:t>
      </w:r>
      <w:r w:rsidRPr="00315380">
        <w:t xml:space="preserve"> address </w:t>
      </w:r>
      <w:r>
        <w:t>important</w:t>
      </w:r>
      <w:r w:rsidRPr="00315380">
        <w:t xml:space="preserve"> regional disparities. </w:t>
      </w:r>
      <w:r>
        <w:t>Further</w:t>
      </w:r>
      <w:r w:rsidRPr="00315380">
        <w:t xml:space="preserve"> fiscal decentralization could </w:t>
      </w:r>
      <w:r>
        <w:t>afford</w:t>
      </w:r>
      <w:r w:rsidRPr="00315380">
        <w:t xml:space="preserve"> district education officers the discretion to hire teachers locally, </w:t>
      </w:r>
      <w:r>
        <w:t xml:space="preserve">to </w:t>
      </w:r>
      <w:r w:rsidRPr="00315380">
        <w:t>terminate and replace ineffective teachers, and</w:t>
      </w:r>
      <w:r>
        <w:t xml:space="preserve"> to</w:t>
      </w:r>
      <w:r w:rsidRPr="00315380">
        <w:t xml:space="preserve"> allocate their budgets </w:t>
      </w:r>
      <w:r>
        <w:t>according to contextual priorities</w:t>
      </w:r>
      <w:r w:rsidRPr="00315380">
        <w:t xml:space="preserve">. At the district level, establishing better </w:t>
      </w:r>
      <w:r>
        <w:t xml:space="preserve">monitoring and oversight </w:t>
      </w:r>
      <w:r w:rsidRPr="00315380">
        <w:t>systems could greatly improve educational outcomes</w:t>
      </w:r>
      <w:r>
        <w:t>, especially in</w:t>
      </w:r>
      <w:r w:rsidRPr="00315380">
        <w:t xml:space="preserve"> poor and rural schools.</w:t>
      </w:r>
    </w:p>
    <w:p w14:paraId="4E04FC9F" w14:textId="77777777" w:rsidR="00C36F7F" w:rsidRDefault="00C36F7F" w:rsidP="00724BAB">
      <w:pPr>
        <w:pStyle w:val="ListParagraph"/>
        <w:numPr>
          <w:ilvl w:val="0"/>
          <w:numId w:val="5"/>
        </w:numPr>
      </w:pPr>
      <w:r w:rsidRPr="00F00EEE">
        <w:rPr>
          <w:b/>
        </w:rPr>
        <w:t>Ghana’s public health budget is modest by the standards of other lower-middle</w:t>
      </w:r>
      <w:r w:rsidR="00090523">
        <w:rPr>
          <w:b/>
        </w:rPr>
        <w:t>-</w:t>
      </w:r>
      <w:r w:rsidRPr="00F00EEE">
        <w:rPr>
          <w:b/>
        </w:rPr>
        <w:t>income countries, and its health indicators lag well behind those of most of its peers.</w:t>
      </w:r>
      <w:r w:rsidRPr="00315380">
        <w:t xml:space="preserve"> The inefficient allocation of resources between public and private facilities, between primary, secondary and tertiary facilities, and between different types of health services underscores the multidimensional challenge of health sector reform. </w:t>
      </w:r>
      <w:r>
        <w:t>More effective m</w:t>
      </w:r>
      <w:r w:rsidRPr="00315380">
        <w:t xml:space="preserve">ulti-stakeholder coordination and </w:t>
      </w:r>
      <w:r>
        <w:t>tighter</w:t>
      </w:r>
      <w:r w:rsidRPr="00315380">
        <w:t xml:space="preserve"> monitoring and accountability mechanisms </w:t>
      </w:r>
      <w:r>
        <w:t>could improve</w:t>
      </w:r>
      <w:r w:rsidRPr="00315380">
        <w:t xml:space="preserve"> the performance of the health sector in the short</w:t>
      </w:r>
      <w:r>
        <w:t xml:space="preserve"> </w:t>
      </w:r>
      <w:r w:rsidRPr="00315380">
        <w:t>term</w:t>
      </w:r>
      <w:r>
        <w:t>, while increas</w:t>
      </w:r>
      <w:r w:rsidR="00090523">
        <w:t>ed</w:t>
      </w:r>
      <w:r>
        <w:t xml:space="preserve"> public spending will be necessary to </w:t>
      </w:r>
      <w:r w:rsidR="00090523">
        <w:t xml:space="preserve">achieve </w:t>
      </w:r>
      <w:r>
        <w:t xml:space="preserve">the </w:t>
      </w:r>
      <w:r w:rsidR="00090523">
        <w:t xml:space="preserve">government’s sectoral </w:t>
      </w:r>
      <w:r>
        <w:t>development objectives over the medium term, especially given the anticipated</w:t>
      </w:r>
      <w:r w:rsidRPr="00315380">
        <w:t xml:space="preserve"> </w:t>
      </w:r>
      <w:r>
        <w:t>decline</w:t>
      </w:r>
      <w:r w:rsidRPr="00315380">
        <w:t xml:space="preserve"> in donor </w:t>
      </w:r>
      <w:r>
        <w:t>support</w:t>
      </w:r>
      <w:r w:rsidRPr="00315380">
        <w:t xml:space="preserve"> following Ghana’s transition to middle-income </w:t>
      </w:r>
      <w:r>
        <w:t>status</w:t>
      </w:r>
      <w:r w:rsidRPr="00315380">
        <w:t xml:space="preserve">. </w:t>
      </w:r>
      <w:r>
        <w:t xml:space="preserve">To enhance the efficiency of public health spending the </w:t>
      </w:r>
      <w:r w:rsidRPr="00315380">
        <w:t xml:space="preserve">investment </w:t>
      </w:r>
      <w:r>
        <w:t xml:space="preserve">budget </w:t>
      </w:r>
      <w:r w:rsidRPr="00315380">
        <w:t>should be rebalanced towards primary care</w:t>
      </w:r>
      <w:r>
        <w:t>, and policymakers should encourage the development of alternative treatment models in primary-care facilities</w:t>
      </w:r>
      <w:r w:rsidRPr="00315380">
        <w:t>.</w:t>
      </w:r>
    </w:p>
    <w:p w14:paraId="305C4597" w14:textId="77777777" w:rsidR="00B2685A" w:rsidRDefault="00B2685A" w:rsidP="00B2685A">
      <w:pPr>
        <w:pStyle w:val="ListParagraph"/>
        <w:numPr>
          <w:ilvl w:val="0"/>
          <w:numId w:val="5"/>
        </w:numPr>
      </w:pPr>
      <w:r w:rsidRPr="002C31D8">
        <w:rPr>
          <w:b/>
        </w:rPr>
        <w:t xml:space="preserve">Moreover, </w:t>
      </w:r>
      <w:r w:rsidRPr="00D50D1C">
        <w:rPr>
          <w:b/>
        </w:rPr>
        <w:t xml:space="preserve">the ineffective health financing system in Ghana </w:t>
      </w:r>
      <w:r w:rsidR="00652BE5">
        <w:rPr>
          <w:b/>
        </w:rPr>
        <w:t xml:space="preserve">has </w:t>
      </w:r>
      <w:r w:rsidRPr="00D50D1C">
        <w:rPr>
          <w:b/>
        </w:rPr>
        <w:t xml:space="preserve">led to increased </w:t>
      </w:r>
      <w:r w:rsidRPr="002C31D8">
        <w:rPr>
          <w:b/>
        </w:rPr>
        <w:t>liabilities in the sector.</w:t>
      </w:r>
      <w:r>
        <w:rPr>
          <w:b/>
        </w:rPr>
        <w:t xml:space="preserve"> </w:t>
      </w:r>
      <w:r w:rsidRPr="00D50D1C">
        <w:t xml:space="preserve">While the government needs to address existing liabilities, more needs to be </w:t>
      </w:r>
      <w:r w:rsidRPr="00D50D1C">
        <w:lastRenderedPageBreak/>
        <w:t xml:space="preserve">done to make </w:t>
      </w:r>
      <w:r>
        <w:t xml:space="preserve">the </w:t>
      </w:r>
      <w:r w:rsidRPr="00D50D1C">
        <w:t xml:space="preserve">financing system more effective. A </w:t>
      </w:r>
      <w:r w:rsidRPr="002C31D8">
        <w:t>mechanism needs to be</w:t>
      </w:r>
      <w:r w:rsidRPr="005C2BCD">
        <w:t xml:space="preserve"> establis</w:t>
      </w:r>
      <w:r w:rsidRPr="00AE2AD2">
        <w:t>h</w:t>
      </w:r>
      <w:r w:rsidRPr="002C31D8">
        <w:t>ed to allocate resources to essential preventive programs. There should be explicit incentives for providers to deliver preventive health services at good quality</w:t>
      </w:r>
      <w:r w:rsidR="00652BE5">
        <w:t>,</w:t>
      </w:r>
      <w:r w:rsidRPr="002C31D8">
        <w:t xml:space="preserve"> systematic interventions to address inefficiency in </w:t>
      </w:r>
      <w:r w:rsidR="00652BE5">
        <w:t xml:space="preserve">the </w:t>
      </w:r>
      <w:r w:rsidRPr="002C31D8">
        <w:t>overall health sector</w:t>
      </w:r>
      <w:r w:rsidR="00652BE5">
        <w:t>,</w:t>
      </w:r>
      <w:r w:rsidRPr="002C31D8">
        <w:t xml:space="preserve"> including </w:t>
      </w:r>
      <w:r w:rsidR="00652BE5">
        <w:t xml:space="preserve">the </w:t>
      </w:r>
      <w:r w:rsidR="006E38A0" w:rsidRPr="006E38A0">
        <w:t xml:space="preserve">National Health Insurance Scheme </w:t>
      </w:r>
      <w:r w:rsidR="006E38A0">
        <w:t>(</w:t>
      </w:r>
      <w:r w:rsidRPr="002C31D8">
        <w:t>NHIS</w:t>
      </w:r>
      <w:r w:rsidR="006E38A0">
        <w:t>)</w:t>
      </w:r>
      <w:r w:rsidR="00652BE5">
        <w:t>,</w:t>
      </w:r>
      <w:r w:rsidRPr="002C31D8">
        <w:t xml:space="preserve"> and strong accountability mechanisms to improv</w:t>
      </w:r>
      <w:r w:rsidR="00652BE5">
        <w:t>e</w:t>
      </w:r>
      <w:r w:rsidRPr="002C31D8">
        <w:t xml:space="preserve"> service coverage and health outcomes</w:t>
      </w:r>
    </w:p>
    <w:p w14:paraId="5EE685EC" w14:textId="77777777" w:rsidR="00C36F7F" w:rsidRPr="00E45355" w:rsidRDefault="00C36F7F" w:rsidP="00894F2B">
      <w:pPr>
        <w:pStyle w:val="Heading2"/>
      </w:pPr>
      <w:bookmarkStart w:id="7" w:name="_Toc479624864"/>
      <w:r w:rsidRPr="00E45355">
        <w:t>The Agricultural Sector</w:t>
      </w:r>
      <w:bookmarkEnd w:id="7"/>
    </w:p>
    <w:p w14:paraId="4CACA74B" w14:textId="77777777" w:rsidR="00684235" w:rsidRPr="008A0FDA" w:rsidRDefault="00684235" w:rsidP="00684235">
      <w:pPr>
        <w:pStyle w:val="ListParagraph"/>
        <w:numPr>
          <w:ilvl w:val="0"/>
          <w:numId w:val="5"/>
        </w:numPr>
      </w:pPr>
      <w:r w:rsidRPr="008A0FDA">
        <w:rPr>
          <w:b/>
        </w:rPr>
        <w:t>Though the rapid growth of the extractive industries has diminished its relative economic size, agriculture remains vital to employment, income generation</w:t>
      </w:r>
      <w:r w:rsidR="002B5532">
        <w:rPr>
          <w:b/>
        </w:rPr>
        <w:t>,</w:t>
      </w:r>
      <w:r w:rsidRPr="008A0FDA">
        <w:rPr>
          <w:b/>
        </w:rPr>
        <w:t xml:space="preserve"> and poverty reduction in Ghana.</w:t>
      </w:r>
      <w:r w:rsidRPr="008A0FDA">
        <w:t xml:space="preserve"> While agriculture accounts for just one-fifth of Ghana’s GDP, it employs nearly half of the national workforce and provides livelihoods for many of the country’s poorest households. Cocoa, the country’s major export crop, is responsible for a full 20-25 percent of total foreign-exchange earnings. Agriculture is especially critical in northern Ghana where poverty rates range from 50 to 70 percent and where </w:t>
      </w:r>
      <w:r w:rsidR="00195E2C">
        <w:t>the country’s</w:t>
      </w:r>
      <w:r w:rsidR="00195E2C" w:rsidRPr="008A0FDA">
        <w:t xml:space="preserve"> </w:t>
      </w:r>
      <w:r w:rsidRPr="008A0FDA">
        <w:t xml:space="preserve">ongoing </w:t>
      </w:r>
      <w:r w:rsidR="00D8289D" w:rsidRPr="008A0FDA">
        <w:t>transition to</w:t>
      </w:r>
      <w:r w:rsidRPr="008A0FDA">
        <w:t xml:space="preserve"> a</w:t>
      </w:r>
      <w:r w:rsidR="00D8289D">
        <w:t xml:space="preserve"> more </w:t>
      </w:r>
      <w:r w:rsidRPr="008A0FDA">
        <w:t>urbanized industrial and service-based economy has had only a limited impact on income and employment.</w:t>
      </w:r>
    </w:p>
    <w:p w14:paraId="169ACC0E" w14:textId="77777777" w:rsidR="00684235" w:rsidRPr="008A0FDA" w:rsidRDefault="00684235" w:rsidP="00684235">
      <w:pPr>
        <w:pStyle w:val="ListParagraph"/>
        <w:numPr>
          <w:ilvl w:val="0"/>
          <w:numId w:val="5"/>
        </w:numPr>
      </w:pPr>
      <w:r w:rsidRPr="008A0FDA">
        <w:rPr>
          <w:b/>
        </w:rPr>
        <w:t xml:space="preserve">Despite its economic </w:t>
      </w:r>
      <w:r w:rsidR="00E93F85">
        <w:rPr>
          <w:b/>
        </w:rPr>
        <w:t>potential</w:t>
      </w:r>
      <w:r w:rsidRPr="008A0FDA">
        <w:rPr>
          <w:b/>
        </w:rPr>
        <w:t xml:space="preserve">, Ghana’s agricultural sector remains severely underdeveloped. </w:t>
      </w:r>
      <w:r w:rsidRPr="008A0FDA">
        <w:t>Low yields for staple crops undermine food security, and rising food imports are weakening the impact of cocoa exports on the current account</w:t>
      </w:r>
      <w:r w:rsidR="00E93F85">
        <w:t xml:space="preserve"> of the balance of payments</w:t>
      </w:r>
      <w:r w:rsidRPr="008A0FDA">
        <w:t xml:space="preserve">. Ghana has substantial unexploited potential in both the cash crop and livestock subsectors, and the prevalence of poverty among rural households intensifies the pro-poor impact of agricultural investment. Due to its capacity to absorb excess labor from other economic sectors, a robust rural economy can play a key role in stabilizing employment dynamics, particularly in the wake of a resource-driven economic expansion. </w:t>
      </w:r>
    </w:p>
    <w:p w14:paraId="4B92E677" w14:textId="77777777" w:rsidR="00684235" w:rsidRPr="001F5A79" w:rsidRDefault="00684235" w:rsidP="00684235">
      <w:pPr>
        <w:pStyle w:val="ListParagraph"/>
        <w:numPr>
          <w:ilvl w:val="0"/>
          <w:numId w:val="5"/>
        </w:numPr>
      </w:pPr>
      <w:r w:rsidRPr="00F00EEE">
        <w:rPr>
          <w:b/>
        </w:rPr>
        <w:t>In recent years, the growth of the extractive industries and the domestic service sector has diverted investment and labor away from agriculture.</w:t>
      </w:r>
      <w:r w:rsidRPr="001F5A79">
        <w:t xml:space="preserve"> Annual production is erratic, and output growth has repeatedly failed to meet the government’s target of 6 percent per year.</w:t>
      </w:r>
      <w:r>
        <w:t xml:space="preserve"> Moreover, the increasing economic prominence of the extractive industries and the rapid expansion of the service-based urban economy threaten to distract the attention of policymakers away from the rural sector. </w:t>
      </w:r>
      <w:r w:rsidRPr="001F5A79">
        <w:t xml:space="preserve">Public spending on agricultural development is low and declining, and the Ministry of Agriculture’s budget barely covers its day-to-day operations. Sectoral public investment projects tend to be extremely modest, and structural </w:t>
      </w:r>
      <w:r>
        <w:t>deficiencies</w:t>
      </w:r>
      <w:r w:rsidRPr="001F5A79">
        <w:t xml:space="preserve"> in the project cycle diminish their </w:t>
      </w:r>
      <w:r>
        <w:t>effectiveness</w:t>
      </w:r>
      <w:r w:rsidRPr="001F5A79">
        <w:t xml:space="preserve">. </w:t>
      </w:r>
    </w:p>
    <w:p w14:paraId="5DA0319B" w14:textId="77777777" w:rsidR="00684235" w:rsidRDefault="00684235" w:rsidP="00684235">
      <w:pPr>
        <w:pStyle w:val="ListParagraph"/>
        <w:numPr>
          <w:ilvl w:val="0"/>
          <w:numId w:val="5"/>
        </w:numPr>
      </w:pPr>
      <w:r w:rsidRPr="00F00EEE">
        <w:rPr>
          <w:b/>
        </w:rPr>
        <w:t xml:space="preserve">In the context of Ghana’s ongoing fiscal consolidation, the development of the agricultural sector presents a major opportunity to boost growth through better expenditure targeting. </w:t>
      </w:r>
      <w:r w:rsidRPr="00267DA7">
        <w:t>Agricultural research is crucial to productivity and competitiveness, yet it remains chronically underfunded. Refocusing sectoral resources on the commercialization of smallholder farming and the integration of smallholder farmers into agricultural value chains could significantly boost production</w:t>
      </w:r>
      <w:r>
        <w:t>. E</w:t>
      </w:r>
      <w:r w:rsidRPr="00267DA7">
        <w:t xml:space="preserve">fforts to link smallholder farmers to markets or </w:t>
      </w:r>
      <w:r>
        <w:t xml:space="preserve">to aggregate production </w:t>
      </w:r>
      <w:r w:rsidRPr="00065FDF">
        <w:t>throughout</w:t>
      </w:r>
      <w:r w:rsidR="00E93F85">
        <w:t>-</w:t>
      </w:r>
      <w:r w:rsidRPr="00065FDF">
        <w:t>grower</w:t>
      </w:r>
      <w:r w:rsidRPr="00267DA7">
        <w:t xml:space="preserve"> schemes could accelerate rural income growth, and eliminating price distortions that discourage investment in the cocoa subsector could boost export earnings. A new strategy for agricultural investment and policy reform that effectively targets these bottlenecks could deliver major gains in poverty reduction, employment growth, social development and food security at a relatively low fiscal cost.</w:t>
      </w:r>
      <w:r>
        <w:t xml:space="preserve"> </w:t>
      </w:r>
    </w:p>
    <w:p w14:paraId="659BE0FF" w14:textId="77777777" w:rsidR="008D2695" w:rsidRPr="008D2695" w:rsidRDefault="005856D5" w:rsidP="00BE2B39">
      <w:pPr>
        <w:pStyle w:val="ListParagraph"/>
        <w:numPr>
          <w:ilvl w:val="0"/>
          <w:numId w:val="5"/>
        </w:numPr>
        <w:rPr>
          <w:b/>
        </w:rPr>
      </w:pPr>
      <w:r w:rsidRPr="005856D5">
        <w:rPr>
          <w:b/>
        </w:rPr>
        <w:lastRenderedPageBreak/>
        <w:t>The key policy measures with timeline and key actors involved are summarized in the policy matrix below.</w:t>
      </w:r>
    </w:p>
    <w:tbl>
      <w:tblPr>
        <w:tblStyle w:val="TableGrid"/>
        <w:tblpPr w:leftFromText="180" w:rightFromText="180" w:vertAnchor="text" w:horzAnchor="margin" w:tblpX="-730" w:tblpY="-824"/>
        <w:tblW w:w="10255" w:type="dxa"/>
        <w:tblLayout w:type="fixed"/>
        <w:tblLook w:val="04A0" w:firstRow="1" w:lastRow="0" w:firstColumn="1" w:lastColumn="0" w:noHBand="0" w:noVBand="1"/>
      </w:tblPr>
      <w:tblGrid>
        <w:gridCol w:w="1705"/>
        <w:gridCol w:w="3960"/>
        <w:gridCol w:w="1620"/>
        <w:gridCol w:w="2970"/>
      </w:tblGrid>
      <w:tr w:rsidR="008D2695" w:rsidRPr="008950E6" w14:paraId="050AC773" w14:textId="77777777" w:rsidTr="00586D41">
        <w:tc>
          <w:tcPr>
            <w:tcW w:w="1705" w:type="dxa"/>
            <w:tcBorders>
              <w:top w:val="single" w:sz="4" w:space="0" w:color="auto"/>
              <w:left w:val="single" w:sz="4" w:space="0" w:color="auto"/>
              <w:bottom w:val="single" w:sz="4" w:space="0" w:color="auto"/>
              <w:right w:val="single" w:sz="4" w:space="0" w:color="auto"/>
            </w:tcBorders>
          </w:tcPr>
          <w:p w14:paraId="281380BD" w14:textId="77777777" w:rsidR="008D2695" w:rsidRPr="008950E6" w:rsidRDefault="00237637" w:rsidP="00586D41">
            <w:pPr>
              <w:rPr>
                <w:rFonts w:ascii="Garamond" w:hAnsi="Garamond" w:cs="Times New Roman"/>
                <w:b/>
                <w:sz w:val="21"/>
                <w:szCs w:val="21"/>
              </w:rPr>
            </w:pPr>
            <w:r>
              <w:rPr>
                <w:rFonts w:ascii="Garamond" w:hAnsi="Garamond" w:cs="Times New Roman"/>
                <w:b/>
                <w:sz w:val="21"/>
                <w:szCs w:val="21"/>
              </w:rPr>
              <w:lastRenderedPageBreak/>
              <w:t>Objectives</w:t>
            </w:r>
          </w:p>
        </w:tc>
        <w:tc>
          <w:tcPr>
            <w:tcW w:w="3960" w:type="dxa"/>
            <w:tcBorders>
              <w:top w:val="single" w:sz="4" w:space="0" w:color="auto"/>
              <w:left w:val="single" w:sz="4" w:space="0" w:color="auto"/>
              <w:bottom w:val="single" w:sz="4" w:space="0" w:color="auto"/>
              <w:right w:val="single" w:sz="4" w:space="0" w:color="auto"/>
            </w:tcBorders>
            <w:hideMark/>
          </w:tcPr>
          <w:p w14:paraId="0F3E8DEF" w14:textId="77777777" w:rsidR="008D2695" w:rsidRPr="008950E6" w:rsidRDefault="008D2695" w:rsidP="00586D41">
            <w:pPr>
              <w:rPr>
                <w:rFonts w:ascii="Garamond" w:hAnsi="Garamond" w:cs="Times New Roman"/>
                <w:b/>
                <w:sz w:val="21"/>
                <w:szCs w:val="21"/>
              </w:rPr>
            </w:pPr>
            <w:r w:rsidRPr="008950E6">
              <w:rPr>
                <w:rFonts w:ascii="Garamond" w:hAnsi="Garamond" w:cs="Times New Roman"/>
                <w:b/>
                <w:sz w:val="21"/>
                <w:szCs w:val="21"/>
              </w:rPr>
              <w:t xml:space="preserve">Policy </w:t>
            </w:r>
            <w:r w:rsidR="009C3F8A">
              <w:rPr>
                <w:rFonts w:ascii="Garamond" w:hAnsi="Garamond" w:cs="Times New Roman"/>
                <w:b/>
                <w:sz w:val="21"/>
                <w:szCs w:val="21"/>
              </w:rPr>
              <w:t xml:space="preserve">and Institutional </w:t>
            </w:r>
            <w:r w:rsidRPr="008950E6">
              <w:rPr>
                <w:rFonts w:ascii="Garamond" w:hAnsi="Garamond" w:cs="Times New Roman"/>
                <w:b/>
                <w:sz w:val="21"/>
                <w:szCs w:val="21"/>
              </w:rPr>
              <w:t>Measures</w:t>
            </w:r>
          </w:p>
        </w:tc>
        <w:tc>
          <w:tcPr>
            <w:tcW w:w="1620" w:type="dxa"/>
            <w:tcBorders>
              <w:top w:val="single" w:sz="4" w:space="0" w:color="auto"/>
              <w:left w:val="single" w:sz="4" w:space="0" w:color="auto"/>
              <w:bottom w:val="single" w:sz="4" w:space="0" w:color="auto"/>
              <w:right w:val="single" w:sz="4" w:space="0" w:color="auto"/>
            </w:tcBorders>
            <w:hideMark/>
          </w:tcPr>
          <w:p w14:paraId="6DD7B0EF" w14:textId="77777777" w:rsidR="008D2695" w:rsidRPr="008950E6" w:rsidRDefault="008D2695" w:rsidP="00586D41">
            <w:pPr>
              <w:rPr>
                <w:rFonts w:ascii="Garamond" w:hAnsi="Garamond" w:cs="Times New Roman"/>
                <w:b/>
                <w:sz w:val="21"/>
                <w:szCs w:val="21"/>
              </w:rPr>
            </w:pPr>
            <w:r w:rsidRPr="008950E6">
              <w:rPr>
                <w:rFonts w:ascii="Garamond" w:hAnsi="Garamond" w:cs="Times New Roman"/>
                <w:b/>
                <w:sz w:val="21"/>
                <w:szCs w:val="21"/>
              </w:rPr>
              <w:t>Timeframe</w:t>
            </w:r>
          </w:p>
        </w:tc>
        <w:tc>
          <w:tcPr>
            <w:tcW w:w="2970" w:type="dxa"/>
            <w:tcBorders>
              <w:top w:val="single" w:sz="4" w:space="0" w:color="auto"/>
              <w:left w:val="single" w:sz="4" w:space="0" w:color="auto"/>
              <w:bottom w:val="single" w:sz="4" w:space="0" w:color="auto"/>
              <w:right w:val="single" w:sz="4" w:space="0" w:color="auto"/>
            </w:tcBorders>
            <w:hideMark/>
          </w:tcPr>
          <w:p w14:paraId="06ABB9FD" w14:textId="77777777" w:rsidR="008D2695" w:rsidRPr="008950E6" w:rsidRDefault="008D2695" w:rsidP="00586D41">
            <w:pPr>
              <w:rPr>
                <w:rFonts w:ascii="Garamond" w:hAnsi="Garamond" w:cs="Times New Roman"/>
                <w:b/>
                <w:sz w:val="21"/>
                <w:szCs w:val="21"/>
              </w:rPr>
            </w:pPr>
            <w:r w:rsidRPr="008950E6">
              <w:rPr>
                <w:rFonts w:ascii="Garamond" w:hAnsi="Garamond" w:cs="Times New Roman"/>
                <w:b/>
                <w:sz w:val="21"/>
                <w:szCs w:val="21"/>
              </w:rPr>
              <w:t>Key Actors</w:t>
            </w:r>
          </w:p>
        </w:tc>
      </w:tr>
      <w:tr w:rsidR="00C40D29" w:rsidRPr="008950E6" w14:paraId="52D94651" w14:textId="77777777" w:rsidTr="00586D41">
        <w:trPr>
          <w:trHeight w:val="296"/>
        </w:trPr>
        <w:tc>
          <w:tcPr>
            <w:tcW w:w="1705" w:type="dxa"/>
            <w:vMerge w:val="restart"/>
            <w:tcBorders>
              <w:top w:val="single" w:sz="4" w:space="0" w:color="auto"/>
              <w:left w:val="single" w:sz="4" w:space="0" w:color="auto"/>
              <w:right w:val="single" w:sz="4" w:space="0" w:color="auto"/>
            </w:tcBorders>
            <w:vAlign w:val="center"/>
          </w:tcPr>
          <w:p w14:paraId="09924486" w14:textId="77777777" w:rsidR="00C40D29" w:rsidRPr="008950E6" w:rsidRDefault="00C40D29" w:rsidP="00C40D29">
            <w:pPr>
              <w:rPr>
                <w:rFonts w:ascii="Garamond" w:hAnsi="Garamond" w:cs="Times New Roman"/>
                <w:b/>
                <w:color w:val="1F4E79" w:themeColor="accent1" w:themeShade="80"/>
                <w:sz w:val="21"/>
                <w:szCs w:val="21"/>
              </w:rPr>
            </w:pPr>
            <w:r w:rsidRPr="008950E6">
              <w:rPr>
                <w:rFonts w:ascii="Garamond" w:hAnsi="Garamond" w:cs="Times New Roman"/>
                <w:b/>
                <w:color w:val="1F4E79" w:themeColor="accent1" w:themeShade="80"/>
                <w:sz w:val="21"/>
                <w:szCs w:val="21"/>
              </w:rPr>
              <w:t>Contain</w:t>
            </w:r>
            <w:r>
              <w:rPr>
                <w:rFonts w:ascii="Garamond" w:hAnsi="Garamond" w:cs="Times New Roman"/>
                <w:b/>
                <w:color w:val="1F4E79" w:themeColor="accent1" w:themeShade="80"/>
                <w:sz w:val="21"/>
                <w:szCs w:val="21"/>
              </w:rPr>
              <w:t xml:space="preserve"> </w:t>
            </w:r>
            <w:r w:rsidRPr="008950E6">
              <w:rPr>
                <w:rFonts w:ascii="Garamond" w:hAnsi="Garamond" w:cs="Times New Roman"/>
                <w:b/>
                <w:color w:val="1F4E79" w:themeColor="accent1" w:themeShade="80"/>
                <w:sz w:val="21"/>
                <w:szCs w:val="21"/>
              </w:rPr>
              <w:t xml:space="preserve">wage bill growth </w:t>
            </w:r>
            <w:r>
              <w:rPr>
                <w:rFonts w:ascii="Garamond" w:hAnsi="Garamond" w:cs="Times New Roman"/>
                <w:b/>
                <w:color w:val="1F4E79" w:themeColor="accent1" w:themeShade="80"/>
                <w:sz w:val="21"/>
                <w:szCs w:val="21"/>
              </w:rPr>
              <w:t xml:space="preserve"> and managing public sector wage bill</w:t>
            </w:r>
          </w:p>
        </w:tc>
        <w:tc>
          <w:tcPr>
            <w:tcW w:w="3960" w:type="dxa"/>
            <w:tcBorders>
              <w:top w:val="single" w:sz="4" w:space="0" w:color="auto"/>
              <w:left w:val="single" w:sz="4" w:space="0" w:color="auto"/>
              <w:bottom w:val="single" w:sz="4" w:space="0" w:color="auto"/>
              <w:right w:val="single" w:sz="4" w:space="0" w:color="auto"/>
            </w:tcBorders>
          </w:tcPr>
          <w:p w14:paraId="4B5B6F91"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Limit annual wage increases to accommodate a growing number of education and health staff.</w:t>
            </w:r>
          </w:p>
        </w:tc>
        <w:tc>
          <w:tcPr>
            <w:tcW w:w="1620" w:type="dxa"/>
            <w:tcBorders>
              <w:top w:val="single" w:sz="4" w:space="0" w:color="auto"/>
              <w:left w:val="single" w:sz="4" w:space="0" w:color="auto"/>
              <w:bottom w:val="single" w:sz="4" w:space="0" w:color="auto"/>
              <w:right w:val="single" w:sz="4" w:space="0" w:color="auto"/>
            </w:tcBorders>
          </w:tcPr>
          <w:p w14:paraId="0DD3F1EF"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Short to Medium Term</w:t>
            </w:r>
          </w:p>
        </w:tc>
        <w:tc>
          <w:tcPr>
            <w:tcW w:w="2970" w:type="dxa"/>
            <w:tcBorders>
              <w:top w:val="single" w:sz="4" w:space="0" w:color="auto"/>
              <w:left w:val="single" w:sz="4" w:space="0" w:color="auto"/>
              <w:bottom w:val="single" w:sz="4" w:space="0" w:color="auto"/>
              <w:right w:val="single" w:sz="4" w:space="0" w:color="auto"/>
            </w:tcBorders>
          </w:tcPr>
          <w:p w14:paraId="16F512A7" w14:textId="77777777" w:rsidR="00C40D29" w:rsidRPr="008950E6" w:rsidRDefault="00C40D29" w:rsidP="00C40D29">
            <w:pPr>
              <w:rPr>
                <w:rFonts w:ascii="Garamond" w:hAnsi="Garamond" w:cs="Times New Roman"/>
                <w:sz w:val="21"/>
                <w:szCs w:val="21"/>
              </w:rPr>
            </w:pPr>
            <w:r w:rsidRPr="002F11BD">
              <w:rPr>
                <w:rFonts w:ascii="Garamond" w:hAnsi="Garamond" w:cs="Times New Roman"/>
                <w:sz w:val="21"/>
                <w:szCs w:val="21"/>
              </w:rPr>
              <w:t>MoF/</w:t>
            </w:r>
            <w:r w:rsidRPr="002F11BD">
              <w:t xml:space="preserve"> </w:t>
            </w:r>
            <w:r w:rsidRPr="002F11BD">
              <w:rPr>
                <w:rFonts w:ascii="Garamond" w:hAnsi="Garamond" w:cs="Times New Roman"/>
                <w:sz w:val="21"/>
                <w:szCs w:val="21"/>
              </w:rPr>
              <w:t>MoEL/ FWSC/PSC</w:t>
            </w:r>
          </w:p>
        </w:tc>
      </w:tr>
      <w:tr w:rsidR="00C40D29" w:rsidRPr="008950E6" w14:paraId="2599E490" w14:textId="77777777" w:rsidTr="00586D41">
        <w:trPr>
          <w:trHeight w:val="296"/>
        </w:trPr>
        <w:tc>
          <w:tcPr>
            <w:tcW w:w="1705" w:type="dxa"/>
            <w:vMerge/>
            <w:tcBorders>
              <w:left w:val="single" w:sz="4" w:space="0" w:color="auto"/>
              <w:right w:val="single" w:sz="4" w:space="0" w:color="auto"/>
            </w:tcBorders>
            <w:vAlign w:val="center"/>
          </w:tcPr>
          <w:p w14:paraId="746B6D5C" w14:textId="77777777" w:rsidR="00C40D29" w:rsidRPr="008950E6" w:rsidRDefault="00C40D29" w:rsidP="00C40D29">
            <w:pPr>
              <w:rPr>
                <w:rFonts w:ascii="Garamond" w:hAnsi="Garamond" w:cs="Times New Roman"/>
                <w:b/>
                <w:color w:val="1F4E79" w:themeColor="accent1" w:themeShade="80"/>
                <w:sz w:val="21"/>
                <w:szCs w:val="21"/>
              </w:rPr>
            </w:pPr>
          </w:p>
        </w:tc>
        <w:tc>
          <w:tcPr>
            <w:tcW w:w="3960" w:type="dxa"/>
            <w:tcBorders>
              <w:top w:val="single" w:sz="4" w:space="0" w:color="auto"/>
              <w:left w:val="single" w:sz="4" w:space="0" w:color="auto"/>
              <w:bottom w:val="single" w:sz="4" w:space="0" w:color="auto"/>
              <w:right w:val="single" w:sz="4" w:space="0" w:color="auto"/>
            </w:tcBorders>
          </w:tcPr>
          <w:p w14:paraId="584F5DC1"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Eliminate payroll irregularities while curbing the use of allowances, and eliminating cash payments</w:t>
            </w:r>
          </w:p>
        </w:tc>
        <w:tc>
          <w:tcPr>
            <w:tcW w:w="1620" w:type="dxa"/>
            <w:tcBorders>
              <w:top w:val="single" w:sz="4" w:space="0" w:color="auto"/>
              <w:left w:val="single" w:sz="4" w:space="0" w:color="auto"/>
              <w:bottom w:val="single" w:sz="4" w:space="0" w:color="auto"/>
              <w:right w:val="single" w:sz="4" w:space="0" w:color="auto"/>
            </w:tcBorders>
          </w:tcPr>
          <w:p w14:paraId="77CC8E5A"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Short Term</w:t>
            </w:r>
          </w:p>
        </w:tc>
        <w:tc>
          <w:tcPr>
            <w:tcW w:w="2970" w:type="dxa"/>
            <w:tcBorders>
              <w:top w:val="single" w:sz="4" w:space="0" w:color="auto"/>
              <w:left w:val="single" w:sz="4" w:space="0" w:color="auto"/>
              <w:bottom w:val="single" w:sz="4" w:space="0" w:color="auto"/>
              <w:right w:val="single" w:sz="4" w:space="0" w:color="auto"/>
            </w:tcBorders>
          </w:tcPr>
          <w:p w14:paraId="7D7DF958" w14:textId="77777777" w:rsidR="00C40D29" w:rsidRPr="002F11BD" w:rsidRDefault="00C40D29" w:rsidP="00C40D29">
            <w:pPr>
              <w:rPr>
                <w:rFonts w:ascii="Garamond" w:hAnsi="Garamond" w:cs="Times New Roman"/>
                <w:sz w:val="21"/>
                <w:szCs w:val="21"/>
              </w:rPr>
            </w:pPr>
            <w:r w:rsidRPr="002F11BD">
              <w:rPr>
                <w:rFonts w:ascii="Garamond" w:hAnsi="Garamond" w:cs="Times New Roman"/>
                <w:sz w:val="21"/>
                <w:szCs w:val="21"/>
              </w:rPr>
              <w:t>MoF/ CAGD/PSC</w:t>
            </w:r>
          </w:p>
          <w:p w14:paraId="64D39F79" w14:textId="77777777" w:rsidR="00C40D29" w:rsidRPr="008950E6" w:rsidRDefault="00C40D29" w:rsidP="00C40D29">
            <w:pPr>
              <w:rPr>
                <w:rFonts w:ascii="Garamond" w:hAnsi="Garamond" w:cs="Times New Roman"/>
                <w:sz w:val="21"/>
                <w:szCs w:val="21"/>
              </w:rPr>
            </w:pPr>
            <w:r w:rsidRPr="002F11BD">
              <w:rPr>
                <w:rFonts w:ascii="Garamond" w:hAnsi="Garamond" w:cs="Times New Roman"/>
                <w:sz w:val="21"/>
                <w:szCs w:val="21"/>
              </w:rPr>
              <w:t>Currently being supported by the  World Bank PFM project</w:t>
            </w:r>
          </w:p>
        </w:tc>
      </w:tr>
      <w:tr w:rsidR="00C40D29" w:rsidRPr="008950E6" w14:paraId="18CB20CA" w14:textId="77777777" w:rsidTr="00586D41">
        <w:trPr>
          <w:trHeight w:val="296"/>
        </w:trPr>
        <w:tc>
          <w:tcPr>
            <w:tcW w:w="1705" w:type="dxa"/>
            <w:vMerge/>
            <w:tcBorders>
              <w:left w:val="single" w:sz="4" w:space="0" w:color="auto"/>
              <w:right w:val="single" w:sz="4" w:space="0" w:color="auto"/>
            </w:tcBorders>
            <w:vAlign w:val="center"/>
          </w:tcPr>
          <w:p w14:paraId="1BE2289A" w14:textId="77777777" w:rsidR="00C40D29" w:rsidRPr="008950E6" w:rsidRDefault="00C40D29" w:rsidP="00C40D29">
            <w:pPr>
              <w:rPr>
                <w:rFonts w:ascii="Garamond" w:hAnsi="Garamond" w:cs="Times New Roman"/>
                <w:b/>
                <w:color w:val="1F4E79" w:themeColor="accent1" w:themeShade="80"/>
                <w:sz w:val="21"/>
                <w:szCs w:val="21"/>
              </w:rPr>
            </w:pPr>
          </w:p>
        </w:tc>
        <w:tc>
          <w:tcPr>
            <w:tcW w:w="3960" w:type="dxa"/>
            <w:tcBorders>
              <w:top w:val="single" w:sz="4" w:space="0" w:color="auto"/>
              <w:left w:val="single" w:sz="4" w:space="0" w:color="auto"/>
              <w:bottom w:val="single" w:sz="4" w:space="0" w:color="auto"/>
              <w:right w:val="single" w:sz="4" w:space="0" w:color="auto"/>
            </w:tcBorders>
          </w:tcPr>
          <w:p w14:paraId="4E3C6FF0"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Maintain the hiring freeze and allowing attrition to decrease the size of the public-sector workforce.</w:t>
            </w:r>
          </w:p>
        </w:tc>
        <w:tc>
          <w:tcPr>
            <w:tcW w:w="1620" w:type="dxa"/>
            <w:tcBorders>
              <w:top w:val="single" w:sz="4" w:space="0" w:color="auto"/>
              <w:left w:val="single" w:sz="4" w:space="0" w:color="auto"/>
              <w:bottom w:val="single" w:sz="4" w:space="0" w:color="auto"/>
              <w:right w:val="single" w:sz="4" w:space="0" w:color="auto"/>
            </w:tcBorders>
          </w:tcPr>
          <w:p w14:paraId="7F9F3BC6"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Short to Medium Term</w:t>
            </w:r>
          </w:p>
        </w:tc>
        <w:tc>
          <w:tcPr>
            <w:tcW w:w="2970" w:type="dxa"/>
            <w:tcBorders>
              <w:top w:val="single" w:sz="4" w:space="0" w:color="auto"/>
              <w:left w:val="single" w:sz="4" w:space="0" w:color="auto"/>
              <w:bottom w:val="single" w:sz="4" w:space="0" w:color="auto"/>
              <w:right w:val="single" w:sz="4" w:space="0" w:color="auto"/>
            </w:tcBorders>
          </w:tcPr>
          <w:p w14:paraId="1AC52939" w14:textId="77777777" w:rsidR="00C40D29" w:rsidRPr="008950E6" w:rsidRDefault="00C40D29" w:rsidP="00C40D29">
            <w:pPr>
              <w:rPr>
                <w:rFonts w:ascii="Garamond" w:hAnsi="Garamond" w:cs="Times New Roman"/>
                <w:sz w:val="21"/>
                <w:szCs w:val="21"/>
              </w:rPr>
            </w:pPr>
            <w:r w:rsidRPr="002F11BD">
              <w:rPr>
                <w:rFonts w:ascii="Garamond" w:hAnsi="Garamond" w:cs="Times New Roman"/>
                <w:sz w:val="21"/>
                <w:szCs w:val="21"/>
              </w:rPr>
              <w:t>MoF/OHCS/PSC</w:t>
            </w:r>
          </w:p>
        </w:tc>
      </w:tr>
      <w:tr w:rsidR="00C40D29" w:rsidRPr="008950E6" w14:paraId="4B6BAE83" w14:textId="77777777" w:rsidTr="00586D41">
        <w:tc>
          <w:tcPr>
            <w:tcW w:w="1705" w:type="dxa"/>
            <w:vMerge/>
            <w:tcBorders>
              <w:left w:val="single" w:sz="4" w:space="0" w:color="auto"/>
              <w:right w:val="single" w:sz="4" w:space="0" w:color="auto"/>
            </w:tcBorders>
            <w:vAlign w:val="center"/>
          </w:tcPr>
          <w:p w14:paraId="43B597E2" w14:textId="77777777" w:rsidR="00C40D29" w:rsidRPr="008950E6" w:rsidRDefault="00C40D29" w:rsidP="00C40D29">
            <w:pPr>
              <w:rPr>
                <w:rFonts w:ascii="Garamond" w:hAnsi="Garamond" w:cs="Times New Roman"/>
                <w:b/>
                <w:color w:val="1F4E79" w:themeColor="accent1" w:themeShade="80"/>
                <w:sz w:val="21"/>
                <w:szCs w:val="21"/>
              </w:rPr>
            </w:pPr>
          </w:p>
        </w:tc>
        <w:tc>
          <w:tcPr>
            <w:tcW w:w="3960" w:type="dxa"/>
            <w:tcBorders>
              <w:top w:val="single" w:sz="4" w:space="0" w:color="auto"/>
              <w:left w:val="single" w:sz="4" w:space="0" w:color="auto"/>
              <w:bottom w:val="single" w:sz="4" w:space="0" w:color="auto"/>
              <w:right w:val="single" w:sz="4" w:space="0" w:color="auto"/>
            </w:tcBorders>
          </w:tcPr>
          <w:p w14:paraId="2890A347"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Undertake a functional review of service-delivery arrangements and better wage modeling to identify further areas for fiscal savings.</w:t>
            </w:r>
          </w:p>
        </w:tc>
        <w:tc>
          <w:tcPr>
            <w:tcW w:w="1620" w:type="dxa"/>
            <w:tcBorders>
              <w:top w:val="single" w:sz="4" w:space="0" w:color="auto"/>
              <w:left w:val="single" w:sz="4" w:space="0" w:color="auto"/>
              <w:bottom w:val="single" w:sz="4" w:space="0" w:color="auto"/>
              <w:right w:val="single" w:sz="4" w:space="0" w:color="auto"/>
            </w:tcBorders>
          </w:tcPr>
          <w:p w14:paraId="4FD49D07"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Medium Term</w:t>
            </w:r>
          </w:p>
        </w:tc>
        <w:tc>
          <w:tcPr>
            <w:tcW w:w="2970" w:type="dxa"/>
            <w:tcBorders>
              <w:top w:val="single" w:sz="4" w:space="0" w:color="auto"/>
              <w:left w:val="single" w:sz="4" w:space="0" w:color="auto"/>
              <w:bottom w:val="single" w:sz="4" w:space="0" w:color="auto"/>
              <w:right w:val="single" w:sz="4" w:space="0" w:color="auto"/>
            </w:tcBorders>
          </w:tcPr>
          <w:p w14:paraId="2A990543" w14:textId="77777777" w:rsidR="00C40D29" w:rsidRPr="008950E6" w:rsidRDefault="00C40D29" w:rsidP="00C40D29">
            <w:pPr>
              <w:rPr>
                <w:rFonts w:ascii="Garamond" w:hAnsi="Garamond" w:cs="Times New Roman"/>
                <w:sz w:val="21"/>
                <w:szCs w:val="21"/>
              </w:rPr>
            </w:pPr>
            <w:r w:rsidRPr="002F11BD">
              <w:rPr>
                <w:rFonts w:ascii="Garamond" w:hAnsi="Garamond" w:cs="Times New Roman"/>
                <w:sz w:val="21"/>
                <w:szCs w:val="21"/>
              </w:rPr>
              <w:t>OHCS/ MoF/ FWSC</w:t>
            </w:r>
          </w:p>
        </w:tc>
      </w:tr>
      <w:tr w:rsidR="00C40D29" w:rsidRPr="008950E6" w14:paraId="70D735EA" w14:textId="77777777" w:rsidTr="00586D41">
        <w:tc>
          <w:tcPr>
            <w:tcW w:w="1705" w:type="dxa"/>
            <w:vMerge/>
            <w:tcBorders>
              <w:left w:val="single" w:sz="4" w:space="0" w:color="auto"/>
              <w:right w:val="single" w:sz="4" w:space="0" w:color="auto"/>
            </w:tcBorders>
            <w:vAlign w:val="center"/>
          </w:tcPr>
          <w:p w14:paraId="7D12A2E4" w14:textId="77777777" w:rsidR="00C40D29" w:rsidRPr="008950E6" w:rsidRDefault="00C40D29" w:rsidP="00C40D29">
            <w:pPr>
              <w:rPr>
                <w:rFonts w:ascii="Garamond" w:hAnsi="Garamond" w:cs="Times New Roman"/>
                <w:b/>
                <w:color w:val="1F4E79" w:themeColor="accent1" w:themeShade="80"/>
                <w:sz w:val="21"/>
                <w:szCs w:val="21"/>
              </w:rPr>
            </w:pPr>
          </w:p>
        </w:tc>
        <w:tc>
          <w:tcPr>
            <w:tcW w:w="3960" w:type="dxa"/>
            <w:tcBorders>
              <w:top w:val="single" w:sz="4" w:space="0" w:color="auto"/>
              <w:left w:val="single" w:sz="4" w:space="0" w:color="auto"/>
              <w:bottom w:val="single" w:sz="4" w:space="0" w:color="auto"/>
              <w:right w:val="single" w:sz="4" w:space="0" w:color="auto"/>
            </w:tcBorders>
          </w:tcPr>
          <w:p w14:paraId="4EFFF3B9"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 xml:space="preserve">Improve transparency through full disclosure of the compensation offered to Article 71 officeholders </w:t>
            </w:r>
            <w:r>
              <w:rPr>
                <w:rFonts w:ascii="Garamond" w:hAnsi="Garamond" w:cs="Times New Roman"/>
                <w:sz w:val="21"/>
                <w:szCs w:val="21"/>
              </w:rPr>
              <w:t>c</w:t>
            </w:r>
            <w:r w:rsidRPr="008950E6">
              <w:rPr>
                <w:rFonts w:ascii="Garamond" w:hAnsi="Garamond" w:cs="Times New Roman"/>
                <w:sz w:val="21"/>
                <w:szCs w:val="21"/>
              </w:rPr>
              <w:t xml:space="preserve">onsistent with international best practices. </w:t>
            </w:r>
          </w:p>
        </w:tc>
        <w:tc>
          <w:tcPr>
            <w:tcW w:w="1620" w:type="dxa"/>
            <w:tcBorders>
              <w:top w:val="single" w:sz="4" w:space="0" w:color="auto"/>
              <w:left w:val="single" w:sz="4" w:space="0" w:color="auto"/>
              <w:bottom w:val="single" w:sz="4" w:space="0" w:color="auto"/>
              <w:right w:val="single" w:sz="4" w:space="0" w:color="auto"/>
            </w:tcBorders>
          </w:tcPr>
          <w:p w14:paraId="4C35D374"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Medium Term</w:t>
            </w:r>
          </w:p>
        </w:tc>
        <w:tc>
          <w:tcPr>
            <w:tcW w:w="2970" w:type="dxa"/>
            <w:tcBorders>
              <w:top w:val="single" w:sz="4" w:space="0" w:color="auto"/>
              <w:left w:val="single" w:sz="4" w:space="0" w:color="auto"/>
              <w:bottom w:val="single" w:sz="4" w:space="0" w:color="auto"/>
              <w:right w:val="single" w:sz="4" w:space="0" w:color="auto"/>
            </w:tcBorders>
          </w:tcPr>
          <w:p w14:paraId="47FDDB69" w14:textId="77777777" w:rsidR="00C40D29" w:rsidRPr="008950E6" w:rsidRDefault="00C40D29" w:rsidP="00C40D29">
            <w:pPr>
              <w:rPr>
                <w:rFonts w:ascii="Garamond" w:hAnsi="Garamond" w:cs="Times New Roman"/>
                <w:sz w:val="21"/>
                <w:szCs w:val="21"/>
              </w:rPr>
            </w:pPr>
            <w:r w:rsidRPr="002F11BD">
              <w:rPr>
                <w:rFonts w:ascii="Garamond" w:hAnsi="Garamond" w:cs="Times New Roman"/>
                <w:sz w:val="21"/>
                <w:szCs w:val="21"/>
              </w:rPr>
              <w:t>Office of the President/ MoF</w:t>
            </w:r>
          </w:p>
        </w:tc>
      </w:tr>
      <w:tr w:rsidR="00C40D29" w:rsidRPr="008950E6" w14:paraId="5D415328" w14:textId="77777777" w:rsidTr="00586D41">
        <w:tc>
          <w:tcPr>
            <w:tcW w:w="1705" w:type="dxa"/>
            <w:vMerge/>
            <w:tcBorders>
              <w:left w:val="single" w:sz="4" w:space="0" w:color="auto"/>
              <w:right w:val="single" w:sz="4" w:space="0" w:color="auto"/>
            </w:tcBorders>
            <w:vAlign w:val="center"/>
          </w:tcPr>
          <w:p w14:paraId="0B3C4BFF" w14:textId="77777777" w:rsidR="00C40D29" w:rsidRPr="008950E6" w:rsidRDefault="00C40D29" w:rsidP="00C40D29">
            <w:pPr>
              <w:rPr>
                <w:rFonts w:ascii="Garamond" w:hAnsi="Garamond" w:cs="Times New Roman"/>
                <w:b/>
                <w:color w:val="1F4E79" w:themeColor="accent1" w:themeShade="80"/>
                <w:sz w:val="21"/>
                <w:szCs w:val="21"/>
              </w:rPr>
            </w:pPr>
          </w:p>
        </w:tc>
        <w:tc>
          <w:tcPr>
            <w:tcW w:w="3960" w:type="dxa"/>
            <w:tcBorders>
              <w:top w:val="single" w:sz="4" w:space="0" w:color="auto"/>
              <w:left w:val="single" w:sz="4" w:space="0" w:color="auto"/>
              <w:bottom w:val="single" w:sz="4" w:space="0" w:color="auto"/>
              <w:right w:val="single" w:sz="4" w:space="0" w:color="auto"/>
            </w:tcBorders>
          </w:tcPr>
          <w:p w14:paraId="233C1E06"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Expand the use of modern performance-evaluation techniques across the public sector as the basis for wage increases and promotions.</w:t>
            </w:r>
          </w:p>
        </w:tc>
        <w:tc>
          <w:tcPr>
            <w:tcW w:w="1620" w:type="dxa"/>
            <w:tcBorders>
              <w:top w:val="single" w:sz="4" w:space="0" w:color="auto"/>
              <w:left w:val="single" w:sz="4" w:space="0" w:color="auto"/>
              <w:bottom w:val="single" w:sz="4" w:space="0" w:color="auto"/>
              <w:right w:val="single" w:sz="4" w:space="0" w:color="auto"/>
            </w:tcBorders>
          </w:tcPr>
          <w:p w14:paraId="5458A259"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Medium Term</w:t>
            </w:r>
          </w:p>
        </w:tc>
        <w:tc>
          <w:tcPr>
            <w:tcW w:w="2970" w:type="dxa"/>
            <w:tcBorders>
              <w:top w:val="single" w:sz="4" w:space="0" w:color="auto"/>
              <w:left w:val="single" w:sz="4" w:space="0" w:color="auto"/>
              <w:bottom w:val="single" w:sz="4" w:space="0" w:color="auto"/>
              <w:right w:val="single" w:sz="4" w:space="0" w:color="auto"/>
            </w:tcBorders>
          </w:tcPr>
          <w:p w14:paraId="675905D3" w14:textId="77777777" w:rsidR="00C40D29" w:rsidRPr="008950E6" w:rsidRDefault="00C40D29" w:rsidP="00C40D29">
            <w:pPr>
              <w:rPr>
                <w:rFonts w:ascii="Garamond" w:hAnsi="Garamond" w:cs="Times New Roman"/>
                <w:sz w:val="21"/>
                <w:szCs w:val="21"/>
              </w:rPr>
            </w:pPr>
            <w:r w:rsidRPr="002F11BD">
              <w:rPr>
                <w:rFonts w:ascii="Garamond" w:hAnsi="Garamond" w:cs="Times New Roman"/>
                <w:sz w:val="21"/>
                <w:szCs w:val="21"/>
              </w:rPr>
              <w:t>OHCS/ FWSC</w:t>
            </w:r>
          </w:p>
        </w:tc>
      </w:tr>
      <w:tr w:rsidR="00C40D29" w:rsidRPr="008950E6" w14:paraId="11F13D96" w14:textId="77777777" w:rsidTr="00586D41">
        <w:tc>
          <w:tcPr>
            <w:tcW w:w="1705" w:type="dxa"/>
            <w:vMerge/>
            <w:tcBorders>
              <w:left w:val="single" w:sz="4" w:space="0" w:color="auto"/>
              <w:right w:val="single" w:sz="4" w:space="0" w:color="auto"/>
            </w:tcBorders>
            <w:vAlign w:val="center"/>
          </w:tcPr>
          <w:p w14:paraId="2E2007C3" w14:textId="77777777" w:rsidR="00C40D29" w:rsidRPr="008950E6" w:rsidRDefault="00C40D29" w:rsidP="00C40D29">
            <w:pPr>
              <w:rPr>
                <w:rFonts w:ascii="Garamond" w:hAnsi="Garamond" w:cs="Times New Roman"/>
                <w:b/>
                <w:color w:val="1F4E79" w:themeColor="accent1" w:themeShade="80"/>
                <w:sz w:val="21"/>
                <w:szCs w:val="21"/>
              </w:rPr>
            </w:pPr>
          </w:p>
        </w:tc>
        <w:tc>
          <w:tcPr>
            <w:tcW w:w="3960" w:type="dxa"/>
            <w:tcBorders>
              <w:top w:val="single" w:sz="4" w:space="0" w:color="auto"/>
              <w:left w:val="single" w:sz="4" w:space="0" w:color="auto"/>
              <w:bottom w:val="single" w:sz="4" w:space="0" w:color="auto"/>
              <w:right w:val="single" w:sz="4" w:space="0" w:color="auto"/>
            </w:tcBorders>
          </w:tcPr>
          <w:p w14:paraId="1DD6A2B4"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Take actions to stimulate private-employment growth and narrow the public-sector wage premium to ease public employment pressures over the medium-to-long term</w:t>
            </w:r>
          </w:p>
        </w:tc>
        <w:tc>
          <w:tcPr>
            <w:tcW w:w="1620" w:type="dxa"/>
            <w:tcBorders>
              <w:top w:val="single" w:sz="4" w:space="0" w:color="auto"/>
              <w:left w:val="single" w:sz="4" w:space="0" w:color="auto"/>
              <w:bottom w:val="single" w:sz="4" w:space="0" w:color="auto"/>
              <w:right w:val="single" w:sz="4" w:space="0" w:color="auto"/>
            </w:tcBorders>
          </w:tcPr>
          <w:p w14:paraId="4E2C8538" w14:textId="77777777" w:rsidR="00C40D29" w:rsidRPr="008950E6" w:rsidRDefault="00C40D29" w:rsidP="00C40D29">
            <w:pPr>
              <w:rPr>
                <w:rFonts w:ascii="Garamond" w:hAnsi="Garamond" w:cs="Times New Roman"/>
                <w:sz w:val="21"/>
                <w:szCs w:val="21"/>
              </w:rPr>
            </w:pPr>
            <w:r>
              <w:rPr>
                <w:rFonts w:ascii="Garamond" w:hAnsi="Garamond" w:cs="Times New Roman"/>
                <w:sz w:val="21"/>
                <w:szCs w:val="21"/>
              </w:rPr>
              <w:t xml:space="preserve">Short to </w:t>
            </w:r>
            <w:r w:rsidRPr="008950E6">
              <w:rPr>
                <w:rFonts w:ascii="Garamond" w:hAnsi="Garamond" w:cs="Times New Roman"/>
                <w:sz w:val="21"/>
                <w:szCs w:val="21"/>
              </w:rPr>
              <w:t>Medium Term</w:t>
            </w:r>
          </w:p>
        </w:tc>
        <w:tc>
          <w:tcPr>
            <w:tcW w:w="2970" w:type="dxa"/>
            <w:tcBorders>
              <w:top w:val="single" w:sz="4" w:space="0" w:color="auto"/>
              <w:left w:val="single" w:sz="4" w:space="0" w:color="auto"/>
              <w:bottom w:val="single" w:sz="4" w:space="0" w:color="auto"/>
              <w:right w:val="single" w:sz="4" w:space="0" w:color="auto"/>
            </w:tcBorders>
          </w:tcPr>
          <w:p w14:paraId="1CFF872B" w14:textId="77777777" w:rsidR="00C40D29" w:rsidRPr="008950E6" w:rsidRDefault="00C40D29" w:rsidP="00C40D29">
            <w:pPr>
              <w:rPr>
                <w:rFonts w:ascii="Garamond" w:hAnsi="Garamond" w:cs="Times New Roman"/>
                <w:sz w:val="21"/>
                <w:szCs w:val="21"/>
              </w:rPr>
            </w:pPr>
            <w:r w:rsidRPr="002F11BD">
              <w:rPr>
                <w:rFonts w:ascii="Garamond" w:hAnsi="Garamond" w:cs="Times New Roman"/>
                <w:sz w:val="21"/>
                <w:szCs w:val="21"/>
              </w:rPr>
              <w:t>MoF/ FWSC</w:t>
            </w:r>
          </w:p>
        </w:tc>
      </w:tr>
      <w:tr w:rsidR="00C40D29" w:rsidRPr="008950E6" w14:paraId="5A5576B1" w14:textId="77777777" w:rsidTr="00586D41">
        <w:tc>
          <w:tcPr>
            <w:tcW w:w="1705" w:type="dxa"/>
            <w:vMerge w:val="restart"/>
            <w:tcBorders>
              <w:top w:val="single" w:sz="4" w:space="0" w:color="auto"/>
              <w:left w:val="single" w:sz="4" w:space="0" w:color="auto"/>
              <w:right w:val="single" w:sz="4" w:space="0" w:color="auto"/>
            </w:tcBorders>
            <w:vAlign w:val="center"/>
          </w:tcPr>
          <w:p w14:paraId="6ED46979" w14:textId="77777777" w:rsidR="00C40D29" w:rsidRPr="008950E6" w:rsidRDefault="00C40D29" w:rsidP="00C40D29">
            <w:pPr>
              <w:rPr>
                <w:rFonts w:ascii="Garamond" w:hAnsi="Garamond"/>
                <w:b/>
                <w:color w:val="1F4E79" w:themeColor="accent1" w:themeShade="80"/>
                <w:sz w:val="21"/>
                <w:szCs w:val="21"/>
              </w:rPr>
            </w:pPr>
            <w:r w:rsidRPr="008950E6">
              <w:rPr>
                <w:rFonts w:ascii="Garamond" w:hAnsi="Garamond" w:cs="Times New Roman"/>
                <w:b/>
                <w:color w:val="1F4E79" w:themeColor="accent1" w:themeShade="80"/>
                <w:sz w:val="21"/>
                <w:szCs w:val="21"/>
              </w:rPr>
              <w:t>Reduc</w:t>
            </w:r>
            <w:r>
              <w:rPr>
                <w:rFonts w:ascii="Garamond" w:hAnsi="Garamond" w:cs="Times New Roman"/>
                <w:b/>
                <w:color w:val="1F4E79" w:themeColor="accent1" w:themeShade="80"/>
                <w:sz w:val="21"/>
                <w:szCs w:val="21"/>
              </w:rPr>
              <w:t>e</w:t>
            </w:r>
            <w:r w:rsidRPr="008950E6">
              <w:rPr>
                <w:rFonts w:ascii="Garamond" w:hAnsi="Garamond" w:cs="Times New Roman"/>
                <w:b/>
                <w:color w:val="1F4E79" w:themeColor="accent1" w:themeShade="80"/>
                <w:sz w:val="21"/>
                <w:szCs w:val="21"/>
              </w:rPr>
              <w:t xml:space="preserve"> interest payment through proactive debt management</w:t>
            </w:r>
          </w:p>
          <w:p w14:paraId="65DF39D2" w14:textId="77777777" w:rsidR="00C40D29" w:rsidRPr="008950E6" w:rsidRDefault="00C40D29" w:rsidP="00C40D29">
            <w:pPr>
              <w:adjustRightInd w:val="0"/>
              <w:rPr>
                <w:rFonts w:ascii="Garamond" w:hAnsi="Garamond" w:cs="Times New Roman"/>
                <w:b/>
                <w:color w:val="1F4E79" w:themeColor="accent1" w:themeShade="80"/>
                <w:sz w:val="21"/>
                <w:szCs w:val="21"/>
              </w:rPr>
            </w:pPr>
          </w:p>
        </w:tc>
        <w:tc>
          <w:tcPr>
            <w:tcW w:w="3960" w:type="dxa"/>
            <w:tcBorders>
              <w:top w:val="single" w:sz="4" w:space="0" w:color="auto"/>
              <w:left w:val="single" w:sz="4" w:space="0" w:color="auto"/>
              <w:bottom w:val="single" w:sz="4" w:space="0" w:color="auto"/>
              <w:right w:val="single" w:sz="4" w:space="0" w:color="auto"/>
            </w:tcBorders>
          </w:tcPr>
          <w:p w14:paraId="3FBA18A9"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Maintain a primary surplus to limit the accumulation of new debt</w:t>
            </w:r>
            <w:r>
              <w:rPr>
                <w:rFonts w:ascii="Garamond" w:hAnsi="Garamond" w:cs="Times New Roman"/>
                <w:sz w:val="21"/>
                <w:szCs w:val="21"/>
              </w:rPr>
              <w:t>.</w:t>
            </w:r>
          </w:p>
        </w:tc>
        <w:tc>
          <w:tcPr>
            <w:tcW w:w="1620" w:type="dxa"/>
            <w:tcBorders>
              <w:top w:val="single" w:sz="4" w:space="0" w:color="auto"/>
              <w:left w:val="single" w:sz="4" w:space="0" w:color="auto"/>
              <w:bottom w:val="single" w:sz="4" w:space="0" w:color="auto"/>
              <w:right w:val="single" w:sz="4" w:space="0" w:color="auto"/>
            </w:tcBorders>
          </w:tcPr>
          <w:p w14:paraId="6150F065"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Short Term</w:t>
            </w:r>
          </w:p>
        </w:tc>
        <w:tc>
          <w:tcPr>
            <w:tcW w:w="2970" w:type="dxa"/>
            <w:tcBorders>
              <w:top w:val="single" w:sz="4" w:space="0" w:color="auto"/>
              <w:left w:val="single" w:sz="4" w:space="0" w:color="auto"/>
              <w:bottom w:val="single" w:sz="4" w:space="0" w:color="auto"/>
              <w:right w:val="single" w:sz="4" w:space="0" w:color="auto"/>
            </w:tcBorders>
          </w:tcPr>
          <w:p w14:paraId="79234D32" w14:textId="77777777" w:rsidR="00C40D29" w:rsidRPr="008950E6" w:rsidRDefault="00C40D29" w:rsidP="00C40D29">
            <w:pPr>
              <w:rPr>
                <w:rFonts w:ascii="Garamond" w:hAnsi="Garamond" w:cs="Times New Roman"/>
                <w:sz w:val="21"/>
                <w:szCs w:val="21"/>
              </w:rPr>
            </w:pPr>
            <w:r w:rsidRPr="002F11BD">
              <w:rPr>
                <w:rFonts w:ascii="Garamond" w:hAnsi="Garamond" w:cs="Times New Roman"/>
                <w:sz w:val="21"/>
                <w:szCs w:val="21"/>
              </w:rPr>
              <w:t xml:space="preserve">MoF  </w:t>
            </w:r>
          </w:p>
        </w:tc>
      </w:tr>
      <w:tr w:rsidR="00C40D29" w:rsidRPr="008950E6" w14:paraId="326845FD" w14:textId="77777777" w:rsidTr="00586D41">
        <w:tc>
          <w:tcPr>
            <w:tcW w:w="1705" w:type="dxa"/>
            <w:vMerge/>
            <w:tcBorders>
              <w:left w:val="single" w:sz="4" w:space="0" w:color="auto"/>
              <w:right w:val="single" w:sz="4" w:space="0" w:color="auto"/>
            </w:tcBorders>
            <w:vAlign w:val="center"/>
          </w:tcPr>
          <w:p w14:paraId="1BB74423" w14:textId="77777777" w:rsidR="00C40D29" w:rsidRPr="008950E6" w:rsidRDefault="00C40D29" w:rsidP="00C40D29">
            <w:pPr>
              <w:adjustRightInd w:val="0"/>
              <w:rPr>
                <w:rFonts w:ascii="Garamond" w:hAnsi="Garamond" w:cs="Times New Roman"/>
                <w:bCs/>
                <w:color w:val="1F4E79" w:themeColor="accent1" w:themeShade="80"/>
                <w:sz w:val="21"/>
                <w:szCs w:val="21"/>
              </w:rPr>
            </w:pPr>
          </w:p>
        </w:tc>
        <w:tc>
          <w:tcPr>
            <w:tcW w:w="3960" w:type="dxa"/>
            <w:tcBorders>
              <w:top w:val="single" w:sz="4" w:space="0" w:color="auto"/>
              <w:left w:val="single" w:sz="4" w:space="0" w:color="auto"/>
              <w:bottom w:val="single" w:sz="4" w:space="0" w:color="auto"/>
              <w:right w:val="single" w:sz="4" w:space="0" w:color="auto"/>
            </w:tcBorders>
            <w:hideMark/>
          </w:tcPr>
          <w:p w14:paraId="60BDB267"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 xml:space="preserve">Prepare a medium-term debt strategy, formulate an annual borrowing plan, improve treasury management and forecasting, create treasury single account, enhance debt reporting, and strengthen operational risk management. </w:t>
            </w:r>
          </w:p>
        </w:tc>
        <w:tc>
          <w:tcPr>
            <w:tcW w:w="1620" w:type="dxa"/>
            <w:tcBorders>
              <w:top w:val="single" w:sz="4" w:space="0" w:color="auto"/>
              <w:left w:val="single" w:sz="4" w:space="0" w:color="auto"/>
              <w:bottom w:val="single" w:sz="4" w:space="0" w:color="auto"/>
              <w:right w:val="single" w:sz="4" w:space="0" w:color="auto"/>
            </w:tcBorders>
            <w:hideMark/>
          </w:tcPr>
          <w:p w14:paraId="68720264"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Short Term</w:t>
            </w:r>
          </w:p>
        </w:tc>
        <w:tc>
          <w:tcPr>
            <w:tcW w:w="2970" w:type="dxa"/>
            <w:tcBorders>
              <w:top w:val="single" w:sz="4" w:space="0" w:color="auto"/>
              <w:left w:val="single" w:sz="4" w:space="0" w:color="auto"/>
              <w:bottom w:val="single" w:sz="4" w:space="0" w:color="auto"/>
              <w:right w:val="single" w:sz="4" w:space="0" w:color="auto"/>
            </w:tcBorders>
            <w:hideMark/>
          </w:tcPr>
          <w:p w14:paraId="78D2A285" w14:textId="77777777" w:rsidR="00C40D29" w:rsidRPr="002F11BD" w:rsidRDefault="00C40D29" w:rsidP="00C40D29">
            <w:pPr>
              <w:rPr>
                <w:rFonts w:ascii="Garamond" w:hAnsi="Garamond" w:cs="Times New Roman"/>
                <w:sz w:val="21"/>
                <w:szCs w:val="21"/>
              </w:rPr>
            </w:pPr>
            <w:r w:rsidRPr="002F11BD">
              <w:rPr>
                <w:rFonts w:ascii="Garamond" w:hAnsi="Garamond" w:cs="Times New Roman"/>
                <w:sz w:val="21"/>
                <w:szCs w:val="21"/>
              </w:rPr>
              <w:t xml:space="preserve">MoF/CAGD/BoG </w:t>
            </w:r>
          </w:p>
          <w:p w14:paraId="43B1D39C" w14:textId="77777777" w:rsidR="00C40D29" w:rsidRPr="002F11BD" w:rsidRDefault="00C40D29" w:rsidP="00C40D29">
            <w:pPr>
              <w:rPr>
                <w:rFonts w:ascii="Garamond" w:hAnsi="Garamond" w:cs="Times New Roman"/>
                <w:sz w:val="21"/>
                <w:szCs w:val="21"/>
              </w:rPr>
            </w:pPr>
          </w:p>
          <w:p w14:paraId="180FD4ED" w14:textId="77777777" w:rsidR="00C40D29" w:rsidRPr="008950E6" w:rsidRDefault="00C40D29" w:rsidP="00C40D29">
            <w:pPr>
              <w:rPr>
                <w:rFonts w:ascii="Garamond" w:hAnsi="Garamond" w:cs="Times New Roman"/>
                <w:sz w:val="21"/>
                <w:szCs w:val="21"/>
              </w:rPr>
            </w:pPr>
            <w:r w:rsidRPr="002F11BD">
              <w:rPr>
                <w:rFonts w:ascii="Garamond" w:hAnsi="Garamond" w:cs="Times New Roman"/>
                <w:sz w:val="21"/>
                <w:szCs w:val="21"/>
              </w:rPr>
              <w:t xml:space="preserve">Currently being supported by the  World Bank PFM and GEMS TA projects </w:t>
            </w:r>
          </w:p>
        </w:tc>
      </w:tr>
      <w:tr w:rsidR="00C40D29" w:rsidRPr="008950E6" w14:paraId="3CE251C7" w14:textId="77777777" w:rsidTr="00586D41">
        <w:trPr>
          <w:trHeight w:val="318"/>
        </w:trPr>
        <w:tc>
          <w:tcPr>
            <w:tcW w:w="1705" w:type="dxa"/>
            <w:vMerge/>
            <w:tcBorders>
              <w:left w:val="single" w:sz="4" w:space="0" w:color="auto"/>
              <w:bottom w:val="single" w:sz="4" w:space="0" w:color="auto"/>
              <w:right w:val="single" w:sz="4" w:space="0" w:color="auto"/>
            </w:tcBorders>
            <w:vAlign w:val="center"/>
            <w:hideMark/>
          </w:tcPr>
          <w:p w14:paraId="6551D619" w14:textId="77777777" w:rsidR="00C40D29" w:rsidRPr="008950E6" w:rsidRDefault="00C40D29" w:rsidP="00C40D29">
            <w:pPr>
              <w:rPr>
                <w:rFonts w:ascii="Garamond" w:hAnsi="Garamond" w:cs="Times New Roman"/>
                <w:bCs/>
                <w:color w:val="1F4E79" w:themeColor="accent1" w:themeShade="80"/>
                <w:sz w:val="21"/>
                <w:szCs w:val="21"/>
              </w:rPr>
            </w:pPr>
          </w:p>
        </w:tc>
        <w:tc>
          <w:tcPr>
            <w:tcW w:w="3960" w:type="dxa"/>
            <w:tcBorders>
              <w:top w:val="single" w:sz="4" w:space="0" w:color="auto"/>
              <w:left w:val="single" w:sz="4" w:space="0" w:color="auto"/>
              <w:bottom w:val="single" w:sz="4" w:space="0" w:color="auto"/>
              <w:right w:val="single" w:sz="4" w:space="0" w:color="auto"/>
            </w:tcBorders>
            <w:hideMark/>
          </w:tcPr>
          <w:p w14:paraId="0F8F5919"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Closely monitor all debt issued by central government agencies, subnational authorities, and state-owned enterprises (SOEs).</w:t>
            </w:r>
          </w:p>
        </w:tc>
        <w:tc>
          <w:tcPr>
            <w:tcW w:w="1620" w:type="dxa"/>
            <w:tcBorders>
              <w:top w:val="single" w:sz="4" w:space="0" w:color="auto"/>
              <w:left w:val="single" w:sz="4" w:space="0" w:color="auto"/>
              <w:bottom w:val="single" w:sz="4" w:space="0" w:color="auto"/>
              <w:right w:val="single" w:sz="4" w:space="0" w:color="auto"/>
            </w:tcBorders>
            <w:hideMark/>
          </w:tcPr>
          <w:p w14:paraId="0959C9A9"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Short Term</w:t>
            </w:r>
          </w:p>
        </w:tc>
        <w:tc>
          <w:tcPr>
            <w:tcW w:w="2970" w:type="dxa"/>
            <w:tcBorders>
              <w:top w:val="single" w:sz="4" w:space="0" w:color="auto"/>
              <w:left w:val="single" w:sz="4" w:space="0" w:color="auto"/>
              <w:bottom w:val="single" w:sz="4" w:space="0" w:color="auto"/>
              <w:right w:val="single" w:sz="4" w:space="0" w:color="auto"/>
            </w:tcBorders>
            <w:hideMark/>
          </w:tcPr>
          <w:p w14:paraId="549A0700" w14:textId="77777777" w:rsidR="00C40D29" w:rsidRPr="002F11BD" w:rsidRDefault="00C40D29" w:rsidP="00C40D29">
            <w:pPr>
              <w:rPr>
                <w:rFonts w:ascii="Garamond" w:hAnsi="Garamond" w:cs="Times New Roman"/>
                <w:sz w:val="21"/>
                <w:szCs w:val="21"/>
              </w:rPr>
            </w:pPr>
            <w:r w:rsidRPr="002F11BD">
              <w:rPr>
                <w:rFonts w:ascii="Garamond" w:hAnsi="Garamond" w:cs="Times New Roman"/>
                <w:sz w:val="21"/>
                <w:szCs w:val="21"/>
              </w:rPr>
              <w:t>MoF/ MMDAs/</w:t>
            </w:r>
          </w:p>
          <w:p w14:paraId="340B6417" w14:textId="77777777" w:rsidR="00C40D29" w:rsidRPr="002F11BD" w:rsidRDefault="000F54F4" w:rsidP="00C40D29">
            <w:pPr>
              <w:rPr>
                <w:rFonts w:ascii="Garamond" w:hAnsi="Garamond" w:cs="Times New Roman"/>
                <w:sz w:val="21"/>
                <w:szCs w:val="21"/>
              </w:rPr>
            </w:pPr>
            <w:r>
              <w:rPr>
                <w:rFonts w:ascii="Garamond" w:hAnsi="Garamond" w:cs="Times New Roman"/>
                <w:sz w:val="21"/>
                <w:szCs w:val="21"/>
              </w:rPr>
              <w:t>SOEs /</w:t>
            </w:r>
            <w:r w:rsidR="00C40D29" w:rsidRPr="002F11BD">
              <w:rPr>
                <w:rFonts w:ascii="Garamond" w:hAnsi="Garamond" w:cs="Times New Roman"/>
                <w:sz w:val="21"/>
                <w:szCs w:val="21"/>
              </w:rPr>
              <w:t>MLGRD</w:t>
            </w:r>
          </w:p>
          <w:p w14:paraId="340B9F12" w14:textId="1A037420" w:rsidR="00C40D29" w:rsidRPr="008950E6" w:rsidRDefault="00C40D29" w:rsidP="00C40D29">
            <w:pPr>
              <w:rPr>
                <w:rFonts w:ascii="Garamond" w:hAnsi="Garamond" w:cs="Times New Roman"/>
                <w:sz w:val="21"/>
                <w:szCs w:val="21"/>
              </w:rPr>
            </w:pPr>
            <w:r w:rsidRPr="002F11BD">
              <w:rPr>
                <w:rFonts w:ascii="Garamond" w:hAnsi="Garamond" w:cs="Times New Roman"/>
                <w:sz w:val="21"/>
                <w:szCs w:val="21"/>
              </w:rPr>
              <w:t>Currently being supported by the WB  GEMS TA project</w:t>
            </w:r>
          </w:p>
        </w:tc>
      </w:tr>
      <w:tr w:rsidR="00C40D29" w:rsidRPr="008950E6" w14:paraId="4A7AFCA5" w14:textId="77777777" w:rsidTr="00586D41">
        <w:trPr>
          <w:trHeight w:val="504"/>
        </w:trPr>
        <w:tc>
          <w:tcPr>
            <w:tcW w:w="1705" w:type="dxa"/>
            <w:vMerge w:val="restart"/>
            <w:tcBorders>
              <w:top w:val="single" w:sz="4" w:space="0" w:color="auto"/>
              <w:left w:val="single" w:sz="4" w:space="0" w:color="auto"/>
              <w:bottom w:val="single" w:sz="4" w:space="0" w:color="auto"/>
              <w:right w:val="single" w:sz="4" w:space="0" w:color="auto"/>
            </w:tcBorders>
            <w:vAlign w:val="center"/>
            <w:hideMark/>
          </w:tcPr>
          <w:p w14:paraId="516809C5" w14:textId="77777777" w:rsidR="00C40D29" w:rsidRPr="008950E6" w:rsidRDefault="00C40D29" w:rsidP="00C40D29">
            <w:pPr>
              <w:adjustRightInd w:val="0"/>
              <w:rPr>
                <w:rFonts w:ascii="Garamond" w:hAnsi="Garamond" w:cs="Times New Roman"/>
                <w:b/>
                <w:bCs/>
                <w:color w:val="1F4E79" w:themeColor="accent1" w:themeShade="80"/>
                <w:sz w:val="21"/>
                <w:szCs w:val="21"/>
              </w:rPr>
            </w:pPr>
            <w:r w:rsidRPr="008950E6">
              <w:rPr>
                <w:rFonts w:ascii="Garamond" w:hAnsi="Garamond" w:cs="Times New Roman"/>
                <w:b/>
                <w:bCs/>
                <w:color w:val="1F4E79" w:themeColor="accent1" w:themeShade="80"/>
                <w:sz w:val="21"/>
                <w:szCs w:val="21"/>
              </w:rPr>
              <w:t>Improv</w:t>
            </w:r>
            <w:r>
              <w:rPr>
                <w:rFonts w:ascii="Garamond" w:hAnsi="Garamond" w:cs="Times New Roman"/>
                <w:b/>
                <w:bCs/>
                <w:color w:val="1F4E79" w:themeColor="accent1" w:themeShade="80"/>
                <w:sz w:val="21"/>
                <w:szCs w:val="21"/>
              </w:rPr>
              <w:t>e</w:t>
            </w:r>
            <w:r w:rsidRPr="008950E6">
              <w:rPr>
                <w:rFonts w:ascii="Garamond" w:hAnsi="Garamond" w:cs="Times New Roman"/>
                <w:b/>
                <w:bCs/>
                <w:color w:val="1F4E79" w:themeColor="accent1" w:themeShade="80"/>
                <w:sz w:val="21"/>
                <w:szCs w:val="21"/>
              </w:rPr>
              <w:t xml:space="preserve"> efficiency of public investment</w:t>
            </w:r>
          </w:p>
        </w:tc>
        <w:tc>
          <w:tcPr>
            <w:tcW w:w="3960" w:type="dxa"/>
            <w:tcBorders>
              <w:top w:val="single" w:sz="4" w:space="0" w:color="auto"/>
              <w:left w:val="single" w:sz="4" w:space="0" w:color="auto"/>
              <w:bottom w:val="single" w:sz="4" w:space="0" w:color="auto"/>
              <w:right w:val="single" w:sz="4" w:space="0" w:color="auto"/>
            </w:tcBorders>
            <w:hideMark/>
          </w:tcPr>
          <w:p w14:paraId="1F4BB98A" w14:textId="77777777" w:rsidR="00C40D29" w:rsidRPr="008950E6" w:rsidRDefault="00C40D29" w:rsidP="003B6FAB">
            <w:pPr>
              <w:rPr>
                <w:rFonts w:ascii="Garamond" w:hAnsi="Garamond" w:cs="Times New Roman"/>
                <w:sz w:val="21"/>
                <w:szCs w:val="21"/>
              </w:rPr>
            </w:pPr>
            <w:r w:rsidRPr="008950E6">
              <w:rPr>
                <w:rFonts w:ascii="Garamond" w:hAnsi="Garamond" w:cs="Times New Roman"/>
                <w:sz w:val="21"/>
                <w:szCs w:val="21"/>
              </w:rPr>
              <w:t>Improve public investment management capacity and reform the areas of the project cycle identified as problematic in the 201</w:t>
            </w:r>
            <w:r w:rsidR="003B6FAB">
              <w:rPr>
                <w:rFonts w:ascii="Garamond" w:hAnsi="Garamond" w:cs="Times New Roman"/>
                <w:sz w:val="21"/>
                <w:szCs w:val="21"/>
              </w:rPr>
              <w:t>6</w:t>
            </w:r>
            <w:r w:rsidRPr="008950E6">
              <w:rPr>
                <w:rFonts w:ascii="Garamond" w:hAnsi="Garamond" w:cs="Times New Roman"/>
                <w:sz w:val="21"/>
                <w:szCs w:val="21"/>
              </w:rPr>
              <w:t xml:space="preserve"> PIMA assessment.</w:t>
            </w:r>
          </w:p>
        </w:tc>
        <w:tc>
          <w:tcPr>
            <w:tcW w:w="1620" w:type="dxa"/>
            <w:tcBorders>
              <w:top w:val="single" w:sz="4" w:space="0" w:color="auto"/>
              <w:left w:val="single" w:sz="4" w:space="0" w:color="auto"/>
              <w:bottom w:val="single" w:sz="4" w:space="0" w:color="auto"/>
              <w:right w:val="single" w:sz="4" w:space="0" w:color="auto"/>
            </w:tcBorders>
            <w:hideMark/>
          </w:tcPr>
          <w:p w14:paraId="371996FC"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Medium-term</w:t>
            </w:r>
          </w:p>
        </w:tc>
        <w:tc>
          <w:tcPr>
            <w:tcW w:w="2970" w:type="dxa"/>
            <w:tcBorders>
              <w:top w:val="single" w:sz="4" w:space="0" w:color="auto"/>
              <w:left w:val="single" w:sz="4" w:space="0" w:color="auto"/>
              <w:bottom w:val="single" w:sz="4" w:space="0" w:color="auto"/>
              <w:right w:val="single" w:sz="4" w:space="0" w:color="auto"/>
            </w:tcBorders>
          </w:tcPr>
          <w:p w14:paraId="6BC20FB2" w14:textId="77777777" w:rsidR="00C40D29" w:rsidRPr="002F11BD" w:rsidRDefault="00C40D29" w:rsidP="00C40D29">
            <w:pPr>
              <w:rPr>
                <w:rFonts w:ascii="Garamond" w:hAnsi="Garamond" w:cs="Times New Roman"/>
                <w:sz w:val="21"/>
                <w:szCs w:val="21"/>
              </w:rPr>
            </w:pPr>
            <w:r w:rsidRPr="002F11BD">
              <w:rPr>
                <w:rFonts w:ascii="Garamond" w:hAnsi="Garamond" w:cs="Times New Roman"/>
                <w:sz w:val="21"/>
                <w:szCs w:val="21"/>
              </w:rPr>
              <w:t>MoF/NDPC/ MDAs/ SOEs</w:t>
            </w:r>
          </w:p>
          <w:p w14:paraId="0EE10AD1" w14:textId="77777777" w:rsidR="00C40D29" w:rsidRPr="002F11BD" w:rsidRDefault="00C40D29" w:rsidP="00C40D29">
            <w:pPr>
              <w:rPr>
                <w:rFonts w:ascii="Garamond" w:hAnsi="Garamond" w:cs="Times New Roman"/>
                <w:sz w:val="21"/>
                <w:szCs w:val="21"/>
              </w:rPr>
            </w:pPr>
          </w:p>
          <w:p w14:paraId="6A689DCF" w14:textId="77777777" w:rsidR="00C40D29" w:rsidRPr="008950E6" w:rsidRDefault="00C40D29" w:rsidP="00C40D29">
            <w:pPr>
              <w:rPr>
                <w:rFonts w:ascii="Garamond" w:hAnsi="Garamond" w:cs="Times New Roman"/>
                <w:sz w:val="21"/>
                <w:szCs w:val="21"/>
              </w:rPr>
            </w:pPr>
            <w:r w:rsidRPr="002F11BD">
              <w:rPr>
                <w:rFonts w:ascii="Garamond" w:hAnsi="Garamond" w:cs="Times New Roman"/>
                <w:sz w:val="21"/>
                <w:szCs w:val="21"/>
              </w:rPr>
              <w:t>Currently being supported by WB  GEMS TA project</w:t>
            </w:r>
          </w:p>
        </w:tc>
      </w:tr>
      <w:tr w:rsidR="00C40D29" w:rsidRPr="00BC4B7C" w14:paraId="1A31FD89" w14:textId="77777777" w:rsidTr="00586D41">
        <w:trPr>
          <w:trHeight w:val="504"/>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6B3B15BD" w14:textId="77777777" w:rsidR="00C40D29" w:rsidRPr="008950E6" w:rsidRDefault="00C40D29" w:rsidP="00C40D29">
            <w:pPr>
              <w:rPr>
                <w:rFonts w:ascii="Garamond" w:hAnsi="Garamond" w:cs="Times New Roman"/>
                <w:b/>
                <w:bCs/>
                <w:color w:val="1F4E79" w:themeColor="accent1" w:themeShade="80"/>
                <w:sz w:val="21"/>
                <w:szCs w:val="21"/>
              </w:rPr>
            </w:pPr>
          </w:p>
        </w:tc>
        <w:tc>
          <w:tcPr>
            <w:tcW w:w="3960" w:type="dxa"/>
            <w:tcBorders>
              <w:top w:val="single" w:sz="4" w:space="0" w:color="auto"/>
              <w:left w:val="single" w:sz="4" w:space="0" w:color="auto"/>
              <w:bottom w:val="single" w:sz="4" w:space="0" w:color="auto"/>
              <w:right w:val="single" w:sz="4" w:space="0" w:color="auto"/>
            </w:tcBorders>
          </w:tcPr>
          <w:p w14:paraId="54BDDEA8"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 xml:space="preserve">Streamline the fragmented strategic planning among the ministry, special statutory funds and other government agencies in sectors  </w:t>
            </w:r>
          </w:p>
        </w:tc>
        <w:tc>
          <w:tcPr>
            <w:tcW w:w="1620" w:type="dxa"/>
            <w:tcBorders>
              <w:top w:val="single" w:sz="4" w:space="0" w:color="auto"/>
              <w:left w:val="single" w:sz="4" w:space="0" w:color="auto"/>
              <w:bottom w:val="single" w:sz="4" w:space="0" w:color="auto"/>
              <w:right w:val="single" w:sz="4" w:space="0" w:color="auto"/>
            </w:tcBorders>
            <w:hideMark/>
          </w:tcPr>
          <w:p w14:paraId="1313BB8F"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Short to Medium Term</w:t>
            </w:r>
          </w:p>
        </w:tc>
        <w:tc>
          <w:tcPr>
            <w:tcW w:w="2970" w:type="dxa"/>
            <w:tcBorders>
              <w:top w:val="single" w:sz="4" w:space="0" w:color="auto"/>
              <w:left w:val="single" w:sz="4" w:space="0" w:color="auto"/>
              <w:bottom w:val="single" w:sz="4" w:space="0" w:color="auto"/>
              <w:right w:val="single" w:sz="4" w:space="0" w:color="auto"/>
            </w:tcBorders>
          </w:tcPr>
          <w:p w14:paraId="770F1F55"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MoF</w:t>
            </w:r>
            <w:r>
              <w:rPr>
                <w:rFonts w:ascii="Garamond" w:hAnsi="Garamond" w:cs="Times New Roman"/>
                <w:sz w:val="21"/>
                <w:szCs w:val="21"/>
              </w:rPr>
              <w:t>/</w:t>
            </w:r>
            <w:r w:rsidRPr="008950E6">
              <w:rPr>
                <w:rFonts w:ascii="Garamond" w:hAnsi="Garamond" w:cs="Times New Roman"/>
                <w:sz w:val="21"/>
                <w:szCs w:val="21"/>
              </w:rPr>
              <w:t xml:space="preserve"> NDPC</w:t>
            </w:r>
            <w:r>
              <w:rPr>
                <w:rFonts w:ascii="Garamond" w:hAnsi="Garamond" w:cs="Times New Roman"/>
                <w:sz w:val="21"/>
                <w:szCs w:val="21"/>
              </w:rPr>
              <w:t>/</w:t>
            </w:r>
            <w:r w:rsidRPr="008950E6">
              <w:rPr>
                <w:rFonts w:ascii="Garamond" w:hAnsi="Garamond" w:cs="Times New Roman"/>
                <w:sz w:val="21"/>
                <w:szCs w:val="21"/>
              </w:rPr>
              <w:t xml:space="preserve"> </w:t>
            </w:r>
            <w:r>
              <w:rPr>
                <w:rFonts w:ascii="Garamond" w:hAnsi="Garamond" w:cs="Times New Roman"/>
                <w:sz w:val="21"/>
                <w:szCs w:val="21"/>
              </w:rPr>
              <w:t>MDAs/</w:t>
            </w:r>
            <w:r w:rsidRPr="008950E6">
              <w:rPr>
                <w:rFonts w:ascii="Garamond" w:hAnsi="Garamond" w:cs="Times New Roman"/>
                <w:sz w:val="21"/>
                <w:szCs w:val="21"/>
              </w:rPr>
              <w:t>SFs</w:t>
            </w:r>
            <w:r>
              <w:rPr>
                <w:rFonts w:ascii="Garamond" w:hAnsi="Garamond" w:cs="Times New Roman"/>
                <w:sz w:val="21"/>
                <w:szCs w:val="21"/>
              </w:rPr>
              <w:t>/</w:t>
            </w:r>
            <w:r w:rsidRPr="008950E6">
              <w:rPr>
                <w:rFonts w:ascii="Garamond" w:hAnsi="Garamond" w:cs="Times New Roman"/>
                <w:sz w:val="21"/>
                <w:szCs w:val="21"/>
              </w:rPr>
              <w:t xml:space="preserve">SOEs; </w:t>
            </w:r>
          </w:p>
        </w:tc>
      </w:tr>
      <w:tr w:rsidR="00C40D29" w:rsidRPr="008950E6" w14:paraId="22076926" w14:textId="77777777" w:rsidTr="00586D41">
        <w:trPr>
          <w:trHeight w:val="504"/>
        </w:trPr>
        <w:tc>
          <w:tcPr>
            <w:tcW w:w="1705" w:type="dxa"/>
            <w:vMerge/>
            <w:tcBorders>
              <w:top w:val="single" w:sz="4" w:space="0" w:color="auto"/>
              <w:left w:val="single" w:sz="4" w:space="0" w:color="auto"/>
              <w:bottom w:val="single" w:sz="4" w:space="0" w:color="auto"/>
              <w:right w:val="single" w:sz="4" w:space="0" w:color="auto"/>
            </w:tcBorders>
            <w:vAlign w:val="center"/>
            <w:hideMark/>
          </w:tcPr>
          <w:p w14:paraId="0AD83BC7" w14:textId="77777777" w:rsidR="00C40D29" w:rsidRPr="008950E6" w:rsidRDefault="00C40D29" w:rsidP="00C40D29">
            <w:pPr>
              <w:rPr>
                <w:rFonts w:ascii="Garamond" w:hAnsi="Garamond" w:cs="Times New Roman"/>
                <w:b/>
                <w:bCs/>
                <w:color w:val="1F4E79" w:themeColor="accent1" w:themeShade="80"/>
                <w:sz w:val="21"/>
                <w:szCs w:val="21"/>
              </w:rPr>
            </w:pPr>
          </w:p>
        </w:tc>
        <w:tc>
          <w:tcPr>
            <w:tcW w:w="3960" w:type="dxa"/>
            <w:tcBorders>
              <w:top w:val="single" w:sz="4" w:space="0" w:color="auto"/>
              <w:left w:val="single" w:sz="4" w:space="0" w:color="auto"/>
              <w:bottom w:val="single" w:sz="4" w:space="0" w:color="auto"/>
              <w:right w:val="single" w:sz="4" w:space="0" w:color="auto"/>
            </w:tcBorders>
          </w:tcPr>
          <w:p w14:paraId="2479EDF4"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 xml:space="preserve">Include a consolidated detailed investment plans </w:t>
            </w:r>
            <w:r>
              <w:rPr>
                <w:rFonts w:ascii="Garamond" w:hAnsi="Garamond" w:cs="Times New Roman"/>
                <w:sz w:val="21"/>
                <w:szCs w:val="21"/>
              </w:rPr>
              <w:t>for</w:t>
            </w:r>
            <w:r w:rsidRPr="008950E6">
              <w:rPr>
                <w:rFonts w:ascii="Garamond" w:hAnsi="Garamond" w:cs="Times New Roman"/>
                <w:sz w:val="21"/>
                <w:szCs w:val="21"/>
              </w:rPr>
              <w:t xml:space="preserve"> each sector in the national budget</w:t>
            </w:r>
          </w:p>
        </w:tc>
        <w:tc>
          <w:tcPr>
            <w:tcW w:w="1620" w:type="dxa"/>
            <w:tcBorders>
              <w:top w:val="single" w:sz="4" w:space="0" w:color="auto"/>
              <w:left w:val="single" w:sz="4" w:space="0" w:color="auto"/>
              <w:bottom w:val="single" w:sz="4" w:space="0" w:color="auto"/>
              <w:right w:val="single" w:sz="4" w:space="0" w:color="auto"/>
            </w:tcBorders>
            <w:hideMark/>
          </w:tcPr>
          <w:p w14:paraId="74AA6701"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Short Term</w:t>
            </w:r>
          </w:p>
        </w:tc>
        <w:tc>
          <w:tcPr>
            <w:tcW w:w="2970" w:type="dxa"/>
            <w:tcBorders>
              <w:top w:val="single" w:sz="4" w:space="0" w:color="auto"/>
              <w:left w:val="single" w:sz="4" w:space="0" w:color="auto"/>
              <w:bottom w:val="single" w:sz="4" w:space="0" w:color="auto"/>
              <w:right w:val="single" w:sz="4" w:space="0" w:color="auto"/>
            </w:tcBorders>
          </w:tcPr>
          <w:p w14:paraId="483E8880"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MoF</w:t>
            </w:r>
          </w:p>
        </w:tc>
      </w:tr>
      <w:tr w:rsidR="00C40D29" w:rsidRPr="008950E6" w14:paraId="133EA1EB" w14:textId="77777777" w:rsidTr="00586D41">
        <w:tc>
          <w:tcPr>
            <w:tcW w:w="1705" w:type="dxa"/>
            <w:vMerge w:val="restart"/>
            <w:tcBorders>
              <w:top w:val="single" w:sz="4" w:space="0" w:color="auto"/>
              <w:left w:val="single" w:sz="4" w:space="0" w:color="auto"/>
              <w:right w:val="single" w:sz="4" w:space="0" w:color="auto"/>
            </w:tcBorders>
            <w:vAlign w:val="center"/>
          </w:tcPr>
          <w:p w14:paraId="115997B2" w14:textId="77777777" w:rsidR="00C40D29" w:rsidRPr="008950E6" w:rsidRDefault="00C40D29" w:rsidP="00C40D29">
            <w:pPr>
              <w:adjustRightInd w:val="0"/>
              <w:rPr>
                <w:rFonts w:ascii="Garamond" w:hAnsi="Garamond" w:cs="Times New Roman"/>
                <w:b/>
                <w:bCs/>
                <w:color w:val="1F4E79" w:themeColor="accent1" w:themeShade="80"/>
                <w:sz w:val="21"/>
                <w:szCs w:val="21"/>
              </w:rPr>
            </w:pPr>
            <w:r w:rsidRPr="008950E6">
              <w:rPr>
                <w:rFonts w:ascii="Garamond" w:hAnsi="Garamond" w:cs="Times New Roman"/>
                <w:b/>
                <w:bCs/>
                <w:color w:val="1F4E79" w:themeColor="accent1" w:themeShade="80"/>
                <w:sz w:val="21"/>
                <w:szCs w:val="21"/>
              </w:rPr>
              <w:t>Improv</w:t>
            </w:r>
            <w:r>
              <w:rPr>
                <w:rFonts w:ascii="Garamond" w:hAnsi="Garamond" w:cs="Times New Roman"/>
                <w:b/>
                <w:bCs/>
                <w:color w:val="1F4E79" w:themeColor="accent1" w:themeShade="80"/>
                <w:sz w:val="21"/>
                <w:szCs w:val="21"/>
              </w:rPr>
              <w:t>e</w:t>
            </w:r>
            <w:r w:rsidRPr="008950E6">
              <w:rPr>
                <w:rFonts w:ascii="Garamond" w:hAnsi="Garamond" w:cs="Times New Roman"/>
                <w:b/>
                <w:bCs/>
                <w:color w:val="1F4E79" w:themeColor="accent1" w:themeShade="80"/>
                <w:sz w:val="21"/>
                <w:szCs w:val="21"/>
              </w:rPr>
              <w:t xml:space="preserve"> budget management and execution</w:t>
            </w:r>
          </w:p>
        </w:tc>
        <w:tc>
          <w:tcPr>
            <w:tcW w:w="3960" w:type="dxa"/>
            <w:tcBorders>
              <w:top w:val="single" w:sz="4" w:space="0" w:color="auto"/>
              <w:left w:val="single" w:sz="4" w:space="0" w:color="auto"/>
              <w:bottom w:val="single" w:sz="4" w:space="0" w:color="auto"/>
              <w:right w:val="single" w:sz="4" w:space="0" w:color="auto"/>
            </w:tcBorders>
            <w:hideMark/>
          </w:tcPr>
          <w:p w14:paraId="351D46AE" w14:textId="77777777" w:rsidR="00C40D29" w:rsidRPr="008950E6" w:rsidRDefault="00C40D29" w:rsidP="00C40D29">
            <w:pPr>
              <w:jc w:val="both"/>
              <w:rPr>
                <w:rFonts w:ascii="Garamond" w:hAnsi="Garamond" w:cs="Times New Roman"/>
                <w:sz w:val="21"/>
                <w:szCs w:val="21"/>
              </w:rPr>
            </w:pPr>
            <w:r w:rsidRPr="008950E6">
              <w:rPr>
                <w:rFonts w:ascii="Garamond" w:hAnsi="Garamond" w:cs="Times New Roman"/>
                <w:sz w:val="21"/>
                <w:szCs w:val="21"/>
              </w:rPr>
              <w:t>Integrate all sources of budgetary financing and consolidating expenditure recording in GIFMIS</w:t>
            </w:r>
          </w:p>
        </w:tc>
        <w:tc>
          <w:tcPr>
            <w:tcW w:w="1620" w:type="dxa"/>
            <w:tcBorders>
              <w:top w:val="single" w:sz="4" w:space="0" w:color="auto"/>
              <w:left w:val="single" w:sz="4" w:space="0" w:color="auto"/>
              <w:bottom w:val="single" w:sz="4" w:space="0" w:color="auto"/>
              <w:right w:val="single" w:sz="4" w:space="0" w:color="auto"/>
            </w:tcBorders>
            <w:hideMark/>
          </w:tcPr>
          <w:p w14:paraId="3F2D51D6"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Short Term</w:t>
            </w:r>
          </w:p>
        </w:tc>
        <w:tc>
          <w:tcPr>
            <w:tcW w:w="2970" w:type="dxa"/>
            <w:tcBorders>
              <w:top w:val="single" w:sz="4" w:space="0" w:color="auto"/>
              <w:left w:val="single" w:sz="4" w:space="0" w:color="auto"/>
              <w:bottom w:val="single" w:sz="4" w:space="0" w:color="auto"/>
              <w:right w:val="single" w:sz="4" w:space="0" w:color="auto"/>
            </w:tcBorders>
          </w:tcPr>
          <w:p w14:paraId="48A9434D"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MoF</w:t>
            </w:r>
            <w:r>
              <w:rPr>
                <w:rFonts w:ascii="Garamond" w:hAnsi="Garamond" w:cs="Times New Roman"/>
                <w:sz w:val="21"/>
                <w:szCs w:val="21"/>
              </w:rPr>
              <w:t>/</w:t>
            </w:r>
            <w:r w:rsidRPr="008950E6">
              <w:rPr>
                <w:rFonts w:ascii="Garamond" w:hAnsi="Garamond" w:cs="Times New Roman"/>
                <w:sz w:val="21"/>
                <w:szCs w:val="21"/>
              </w:rPr>
              <w:t>CAGD</w:t>
            </w:r>
            <w:r>
              <w:rPr>
                <w:rFonts w:ascii="Garamond" w:hAnsi="Garamond" w:cs="Times New Roman"/>
                <w:sz w:val="21"/>
                <w:szCs w:val="21"/>
              </w:rPr>
              <w:t>/</w:t>
            </w:r>
            <w:r w:rsidRPr="008950E6">
              <w:rPr>
                <w:rFonts w:ascii="Garamond" w:hAnsi="Garamond" w:cs="Times New Roman"/>
                <w:sz w:val="21"/>
                <w:szCs w:val="21"/>
              </w:rPr>
              <w:t xml:space="preserve">MDAs; MMDAs; SFs.  </w:t>
            </w:r>
          </w:p>
          <w:p w14:paraId="2087C288"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Currently being supported by the  World Bank PFM project</w:t>
            </w:r>
          </w:p>
        </w:tc>
      </w:tr>
      <w:tr w:rsidR="00C40D29" w:rsidRPr="008950E6" w14:paraId="74469677" w14:textId="77777777" w:rsidTr="00586D41">
        <w:trPr>
          <w:trHeight w:val="459"/>
        </w:trPr>
        <w:tc>
          <w:tcPr>
            <w:tcW w:w="1705" w:type="dxa"/>
            <w:vMerge/>
            <w:tcBorders>
              <w:left w:val="single" w:sz="4" w:space="0" w:color="auto"/>
              <w:right w:val="single" w:sz="4" w:space="0" w:color="auto"/>
            </w:tcBorders>
            <w:vAlign w:val="center"/>
          </w:tcPr>
          <w:p w14:paraId="64D664EC" w14:textId="77777777" w:rsidR="00C40D29" w:rsidRPr="008950E6" w:rsidRDefault="00C40D29" w:rsidP="00C40D29">
            <w:pPr>
              <w:rPr>
                <w:rFonts w:ascii="Garamond" w:hAnsi="Garamond" w:cs="Times New Roman"/>
                <w:b/>
                <w:color w:val="1F4E79" w:themeColor="accent1" w:themeShade="80"/>
                <w:sz w:val="21"/>
                <w:szCs w:val="21"/>
              </w:rPr>
            </w:pPr>
          </w:p>
        </w:tc>
        <w:tc>
          <w:tcPr>
            <w:tcW w:w="3960" w:type="dxa"/>
            <w:tcBorders>
              <w:top w:val="single" w:sz="4" w:space="0" w:color="auto"/>
              <w:left w:val="single" w:sz="4" w:space="0" w:color="auto"/>
              <w:bottom w:val="single" w:sz="4" w:space="0" w:color="auto"/>
              <w:right w:val="single" w:sz="4" w:space="0" w:color="auto"/>
            </w:tcBorders>
          </w:tcPr>
          <w:p w14:paraId="0FEAA68D"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Adopt the BOOST budget and expenditure tool</w:t>
            </w:r>
          </w:p>
        </w:tc>
        <w:tc>
          <w:tcPr>
            <w:tcW w:w="1620" w:type="dxa"/>
            <w:tcBorders>
              <w:top w:val="single" w:sz="4" w:space="0" w:color="auto"/>
              <w:left w:val="single" w:sz="4" w:space="0" w:color="auto"/>
              <w:bottom w:val="single" w:sz="4" w:space="0" w:color="auto"/>
              <w:right w:val="single" w:sz="4" w:space="0" w:color="auto"/>
            </w:tcBorders>
          </w:tcPr>
          <w:p w14:paraId="38042985" w14:textId="77777777" w:rsidR="00C40D29" w:rsidRPr="008950E6" w:rsidRDefault="00C40D29" w:rsidP="00C40D29">
            <w:pPr>
              <w:jc w:val="both"/>
              <w:rPr>
                <w:rFonts w:ascii="Garamond" w:hAnsi="Garamond" w:cs="Times New Roman"/>
                <w:sz w:val="21"/>
                <w:szCs w:val="21"/>
              </w:rPr>
            </w:pPr>
            <w:r w:rsidRPr="008950E6">
              <w:rPr>
                <w:rFonts w:ascii="Garamond" w:hAnsi="Garamond" w:cs="Times New Roman"/>
                <w:sz w:val="21"/>
                <w:szCs w:val="21"/>
              </w:rPr>
              <w:t>Short Term</w:t>
            </w:r>
          </w:p>
        </w:tc>
        <w:tc>
          <w:tcPr>
            <w:tcW w:w="2970" w:type="dxa"/>
            <w:tcBorders>
              <w:top w:val="single" w:sz="4" w:space="0" w:color="auto"/>
              <w:left w:val="single" w:sz="4" w:space="0" w:color="auto"/>
              <w:bottom w:val="single" w:sz="4" w:space="0" w:color="auto"/>
              <w:right w:val="single" w:sz="4" w:space="0" w:color="auto"/>
            </w:tcBorders>
          </w:tcPr>
          <w:p w14:paraId="12B992EF" w14:textId="77777777" w:rsidR="00C40D29" w:rsidRPr="008950E6" w:rsidRDefault="00C40D29" w:rsidP="00C40D29">
            <w:pPr>
              <w:rPr>
                <w:rFonts w:ascii="Garamond" w:hAnsi="Garamond" w:cs="Times New Roman"/>
                <w:sz w:val="21"/>
                <w:szCs w:val="21"/>
              </w:rPr>
            </w:pPr>
            <w:r w:rsidRPr="00276EF5">
              <w:rPr>
                <w:rFonts w:ascii="Garamond" w:hAnsi="Garamond" w:cs="Times New Roman"/>
                <w:sz w:val="21"/>
                <w:szCs w:val="21"/>
              </w:rPr>
              <w:t>MoF/ CAGD</w:t>
            </w:r>
          </w:p>
        </w:tc>
      </w:tr>
      <w:tr w:rsidR="00C40D29" w:rsidRPr="008950E6" w14:paraId="63368052" w14:textId="77777777" w:rsidTr="00586D41">
        <w:trPr>
          <w:trHeight w:val="459"/>
        </w:trPr>
        <w:tc>
          <w:tcPr>
            <w:tcW w:w="1705" w:type="dxa"/>
            <w:vMerge/>
            <w:tcBorders>
              <w:left w:val="single" w:sz="4" w:space="0" w:color="auto"/>
              <w:right w:val="single" w:sz="4" w:space="0" w:color="auto"/>
            </w:tcBorders>
            <w:vAlign w:val="center"/>
          </w:tcPr>
          <w:p w14:paraId="5307438C" w14:textId="77777777" w:rsidR="00C40D29" w:rsidRPr="008950E6" w:rsidRDefault="00C40D29" w:rsidP="00C40D29">
            <w:pPr>
              <w:rPr>
                <w:rFonts w:ascii="Garamond" w:hAnsi="Garamond" w:cs="Times New Roman"/>
                <w:b/>
                <w:color w:val="1F4E79" w:themeColor="accent1" w:themeShade="80"/>
                <w:sz w:val="21"/>
                <w:szCs w:val="21"/>
              </w:rPr>
            </w:pPr>
          </w:p>
        </w:tc>
        <w:tc>
          <w:tcPr>
            <w:tcW w:w="3960" w:type="dxa"/>
            <w:tcBorders>
              <w:top w:val="single" w:sz="4" w:space="0" w:color="auto"/>
              <w:left w:val="single" w:sz="4" w:space="0" w:color="auto"/>
              <w:bottom w:val="single" w:sz="4" w:space="0" w:color="auto"/>
              <w:right w:val="single" w:sz="4" w:space="0" w:color="auto"/>
            </w:tcBorders>
          </w:tcPr>
          <w:p w14:paraId="58B7367D" w14:textId="77777777" w:rsidR="00C40D29" w:rsidRPr="008950E6" w:rsidRDefault="00C40D29" w:rsidP="00C40D29">
            <w:pPr>
              <w:rPr>
                <w:rFonts w:ascii="Garamond" w:hAnsi="Garamond"/>
                <w:sz w:val="21"/>
                <w:szCs w:val="21"/>
              </w:rPr>
            </w:pPr>
            <w:r w:rsidRPr="008950E6">
              <w:rPr>
                <w:rFonts w:ascii="Garamond" w:hAnsi="Garamond"/>
                <w:sz w:val="21"/>
                <w:szCs w:val="21"/>
              </w:rPr>
              <w:t xml:space="preserve">Implement a commitment-control mechanism and a pay-to-procure system across the public sector across all public administration </w:t>
            </w:r>
          </w:p>
        </w:tc>
        <w:tc>
          <w:tcPr>
            <w:tcW w:w="1620" w:type="dxa"/>
            <w:tcBorders>
              <w:top w:val="single" w:sz="4" w:space="0" w:color="auto"/>
              <w:left w:val="single" w:sz="4" w:space="0" w:color="auto"/>
              <w:bottom w:val="single" w:sz="4" w:space="0" w:color="auto"/>
              <w:right w:val="single" w:sz="4" w:space="0" w:color="auto"/>
            </w:tcBorders>
          </w:tcPr>
          <w:p w14:paraId="07B23114"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Short to Medium Term</w:t>
            </w:r>
          </w:p>
        </w:tc>
        <w:tc>
          <w:tcPr>
            <w:tcW w:w="2970" w:type="dxa"/>
            <w:tcBorders>
              <w:top w:val="single" w:sz="4" w:space="0" w:color="auto"/>
              <w:left w:val="single" w:sz="4" w:space="0" w:color="auto"/>
              <w:bottom w:val="single" w:sz="4" w:space="0" w:color="auto"/>
              <w:right w:val="single" w:sz="4" w:space="0" w:color="auto"/>
            </w:tcBorders>
          </w:tcPr>
          <w:p w14:paraId="5A1193AC" w14:textId="77777777" w:rsidR="00C40D29" w:rsidRDefault="00C40D29" w:rsidP="00C40D29">
            <w:pPr>
              <w:rPr>
                <w:rFonts w:ascii="Garamond" w:hAnsi="Garamond" w:cs="Times New Roman"/>
                <w:sz w:val="21"/>
                <w:szCs w:val="21"/>
              </w:rPr>
            </w:pPr>
            <w:r w:rsidRPr="008950E6">
              <w:rPr>
                <w:rFonts w:ascii="Garamond" w:hAnsi="Garamond" w:cs="Times New Roman"/>
                <w:sz w:val="21"/>
                <w:szCs w:val="21"/>
              </w:rPr>
              <w:t>MoF</w:t>
            </w:r>
            <w:r>
              <w:rPr>
                <w:rFonts w:ascii="Garamond" w:hAnsi="Garamond" w:cs="Times New Roman"/>
                <w:sz w:val="21"/>
                <w:szCs w:val="21"/>
              </w:rPr>
              <w:t>/</w:t>
            </w:r>
            <w:r w:rsidRPr="008950E6">
              <w:rPr>
                <w:rFonts w:ascii="Garamond" w:hAnsi="Garamond" w:cs="Times New Roman"/>
                <w:sz w:val="21"/>
                <w:szCs w:val="21"/>
              </w:rPr>
              <w:t>CAGD</w:t>
            </w:r>
            <w:r>
              <w:rPr>
                <w:rFonts w:ascii="Garamond" w:hAnsi="Garamond" w:cs="Times New Roman"/>
                <w:sz w:val="21"/>
                <w:szCs w:val="21"/>
              </w:rPr>
              <w:t>/</w:t>
            </w:r>
            <w:r w:rsidRPr="008950E6">
              <w:rPr>
                <w:rFonts w:ascii="Garamond" w:hAnsi="Garamond" w:cs="Times New Roman"/>
                <w:sz w:val="21"/>
                <w:szCs w:val="21"/>
              </w:rPr>
              <w:t>MDAs</w:t>
            </w:r>
            <w:r>
              <w:rPr>
                <w:rFonts w:ascii="Garamond" w:hAnsi="Garamond" w:cs="Times New Roman"/>
                <w:sz w:val="21"/>
                <w:szCs w:val="21"/>
              </w:rPr>
              <w:t>/</w:t>
            </w:r>
          </w:p>
          <w:p w14:paraId="6F5B0B4B"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MMDAs</w:t>
            </w:r>
            <w:r>
              <w:rPr>
                <w:rFonts w:ascii="Garamond" w:hAnsi="Garamond" w:cs="Times New Roman"/>
                <w:sz w:val="21"/>
                <w:szCs w:val="21"/>
              </w:rPr>
              <w:t>/</w:t>
            </w:r>
            <w:r w:rsidRPr="008950E6">
              <w:rPr>
                <w:rFonts w:ascii="Garamond" w:hAnsi="Garamond" w:cs="Times New Roman"/>
                <w:sz w:val="21"/>
                <w:szCs w:val="21"/>
              </w:rPr>
              <w:t xml:space="preserve">SFs.  </w:t>
            </w:r>
          </w:p>
          <w:p w14:paraId="12CD25F9"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Currently being supported by the  World Bank PFM project</w:t>
            </w:r>
          </w:p>
        </w:tc>
      </w:tr>
      <w:tr w:rsidR="00C40D29" w:rsidRPr="008950E6" w14:paraId="5ACF740B" w14:textId="77777777" w:rsidTr="00586D41">
        <w:trPr>
          <w:trHeight w:val="459"/>
        </w:trPr>
        <w:tc>
          <w:tcPr>
            <w:tcW w:w="1705" w:type="dxa"/>
            <w:vMerge/>
            <w:tcBorders>
              <w:left w:val="single" w:sz="4" w:space="0" w:color="auto"/>
              <w:right w:val="single" w:sz="4" w:space="0" w:color="auto"/>
            </w:tcBorders>
            <w:vAlign w:val="center"/>
          </w:tcPr>
          <w:p w14:paraId="3CE5B2D7" w14:textId="77777777" w:rsidR="00C40D29" w:rsidRPr="008950E6" w:rsidRDefault="00C40D29" w:rsidP="00C40D29">
            <w:pPr>
              <w:rPr>
                <w:rFonts w:ascii="Garamond" w:hAnsi="Garamond" w:cs="Times New Roman"/>
                <w:b/>
                <w:color w:val="1F4E79" w:themeColor="accent1" w:themeShade="80"/>
                <w:sz w:val="21"/>
                <w:szCs w:val="21"/>
              </w:rPr>
            </w:pPr>
          </w:p>
        </w:tc>
        <w:tc>
          <w:tcPr>
            <w:tcW w:w="3960" w:type="dxa"/>
            <w:tcBorders>
              <w:top w:val="single" w:sz="4" w:space="0" w:color="auto"/>
              <w:left w:val="single" w:sz="4" w:space="0" w:color="auto"/>
              <w:bottom w:val="single" w:sz="4" w:space="0" w:color="auto"/>
              <w:right w:val="single" w:sz="4" w:space="0" w:color="auto"/>
            </w:tcBorders>
          </w:tcPr>
          <w:p w14:paraId="530AAEE8"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 xml:space="preserve">Improve the accountability and transparency features of the  PFM laws </w:t>
            </w:r>
          </w:p>
        </w:tc>
        <w:tc>
          <w:tcPr>
            <w:tcW w:w="1620" w:type="dxa"/>
            <w:tcBorders>
              <w:top w:val="single" w:sz="4" w:space="0" w:color="auto"/>
              <w:left w:val="single" w:sz="4" w:space="0" w:color="auto"/>
              <w:bottom w:val="single" w:sz="4" w:space="0" w:color="auto"/>
              <w:right w:val="single" w:sz="4" w:space="0" w:color="auto"/>
            </w:tcBorders>
          </w:tcPr>
          <w:p w14:paraId="5BE4DB16"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Short Term</w:t>
            </w:r>
          </w:p>
        </w:tc>
        <w:tc>
          <w:tcPr>
            <w:tcW w:w="2970" w:type="dxa"/>
            <w:tcBorders>
              <w:top w:val="single" w:sz="4" w:space="0" w:color="auto"/>
              <w:left w:val="single" w:sz="4" w:space="0" w:color="auto"/>
              <w:bottom w:val="single" w:sz="4" w:space="0" w:color="auto"/>
              <w:right w:val="single" w:sz="4" w:space="0" w:color="auto"/>
            </w:tcBorders>
          </w:tcPr>
          <w:p w14:paraId="75B5CEE7"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GoG</w:t>
            </w:r>
          </w:p>
        </w:tc>
      </w:tr>
      <w:tr w:rsidR="00C40D29" w:rsidRPr="008950E6" w14:paraId="599EA589" w14:textId="77777777" w:rsidTr="00586D41">
        <w:trPr>
          <w:trHeight w:val="459"/>
        </w:trPr>
        <w:tc>
          <w:tcPr>
            <w:tcW w:w="1705" w:type="dxa"/>
            <w:vMerge/>
            <w:tcBorders>
              <w:left w:val="single" w:sz="4" w:space="0" w:color="auto"/>
              <w:right w:val="single" w:sz="4" w:space="0" w:color="auto"/>
            </w:tcBorders>
            <w:vAlign w:val="center"/>
          </w:tcPr>
          <w:p w14:paraId="63A3BB36" w14:textId="77777777" w:rsidR="00C40D29" w:rsidRPr="008950E6" w:rsidRDefault="00C40D29" w:rsidP="00C40D29">
            <w:pPr>
              <w:rPr>
                <w:rFonts w:ascii="Garamond" w:hAnsi="Garamond" w:cs="Times New Roman"/>
                <w:b/>
                <w:color w:val="1F4E79" w:themeColor="accent1" w:themeShade="80"/>
                <w:sz w:val="21"/>
                <w:szCs w:val="21"/>
              </w:rPr>
            </w:pPr>
          </w:p>
        </w:tc>
        <w:tc>
          <w:tcPr>
            <w:tcW w:w="3960" w:type="dxa"/>
            <w:tcBorders>
              <w:top w:val="single" w:sz="4" w:space="0" w:color="auto"/>
              <w:left w:val="single" w:sz="4" w:space="0" w:color="auto"/>
              <w:bottom w:val="single" w:sz="4" w:space="0" w:color="auto"/>
              <w:right w:val="single" w:sz="4" w:space="0" w:color="auto"/>
            </w:tcBorders>
          </w:tcPr>
          <w:p w14:paraId="1B51F211"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Better manage the possible volatility of oil revenue by avoiding overly optimistic revenue projections; incorporating the transient nature of the oil revenue into medium-term budget strategy</w:t>
            </w:r>
          </w:p>
        </w:tc>
        <w:tc>
          <w:tcPr>
            <w:tcW w:w="1620" w:type="dxa"/>
            <w:tcBorders>
              <w:top w:val="single" w:sz="4" w:space="0" w:color="auto"/>
              <w:left w:val="single" w:sz="4" w:space="0" w:color="auto"/>
              <w:bottom w:val="single" w:sz="4" w:space="0" w:color="auto"/>
              <w:right w:val="single" w:sz="4" w:space="0" w:color="auto"/>
            </w:tcBorders>
          </w:tcPr>
          <w:p w14:paraId="31C03BC9"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Short to Medium Term</w:t>
            </w:r>
          </w:p>
        </w:tc>
        <w:tc>
          <w:tcPr>
            <w:tcW w:w="2970" w:type="dxa"/>
            <w:tcBorders>
              <w:top w:val="single" w:sz="4" w:space="0" w:color="auto"/>
              <w:left w:val="single" w:sz="4" w:space="0" w:color="auto"/>
              <w:bottom w:val="single" w:sz="4" w:space="0" w:color="auto"/>
              <w:right w:val="single" w:sz="4" w:space="0" w:color="auto"/>
            </w:tcBorders>
          </w:tcPr>
          <w:p w14:paraId="36C25E0B" w14:textId="77777777" w:rsidR="00C40D29" w:rsidRPr="008950E6" w:rsidRDefault="00C40D29" w:rsidP="00C40D29">
            <w:pPr>
              <w:rPr>
                <w:rFonts w:ascii="Garamond" w:hAnsi="Garamond" w:cs="Times New Roman"/>
                <w:sz w:val="21"/>
                <w:szCs w:val="21"/>
              </w:rPr>
            </w:pPr>
            <w:r w:rsidRPr="008950E6">
              <w:rPr>
                <w:rFonts w:ascii="Garamond" w:hAnsi="Garamond" w:cs="Times New Roman"/>
                <w:sz w:val="21"/>
                <w:szCs w:val="21"/>
              </w:rPr>
              <w:t>MoF</w:t>
            </w:r>
          </w:p>
        </w:tc>
      </w:tr>
      <w:tr w:rsidR="008D2695" w:rsidRPr="008950E6" w14:paraId="42DF987F" w14:textId="77777777" w:rsidTr="00586D41">
        <w:tc>
          <w:tcPr>
            <w:tcW w:w="1705" w:type="dxa"/>
            <w:vMerge w:val="restart"/>
            <w:tcBorders>
              <w:top w:val="single" w:sz="4" w:space="0" w:color="auto"/>
              <w:left w:val="single" w:sz="4" w:space="0" w:color="auto"/>
              <w:right w:val="single" w:sz="4" w:space="0" w:color="auto"/>
            </w:tcBorders>
            <w:vAlign w:val="center"/>
          </w:tcPr>
          <w:p w14:paraId="364154EF" w14:textId="77777777" w:rsidR="008D2695" w:rsidRPr="008950E6" w:rsidRDefault="008D2695" w:rsidP="00237637">
            <w:pPr>
              <w:rPr>
                <w:rFonts w:ascii="Garamond" w:hAnsi="Garamond" w:cs="Times New Roman"/>
                <w:b/>
                <w:color w:val="1F4E79" w:themeColor="accent1" w:themeShade="80"/>
                <w:sz w:val="21"/>
                <w:szCs w:val="21"/>
              </w:rPr>
            </w:pPr>
            <w:r w:rsidRPr="008950E6">
              <w:rPr>
                <w:rFonts w:ascii="Garamond" w:hAnsi="Garamond" w:cs="Times New Roman"/>
                <w:b/>
                <w:color w:val="1F4E79" w:themeColor="accent1" w:themeShade="80"/>
                <w:sz w:val="21"/>
                <w:szCs w:val="21"/>
              </w:rPr>
              <w:t>Improv</w:t>
            </w:r>
            <w:r w:rsidR="00237637">
              <w:rPr>
                <w:rFonts w:ascii="Garamond" w:hAnsi="Garamond" w:cs="Times New Roman"/>
                <w:b/>
                <w:color w:val="1F4E79" w:themeColor="accent1" w:themeShade="80"/>
                <w:sz w:val="21"/>
                <w:szCs w:val="21"/>
              </w:rPr>
              <w:t>e</w:t>
            </w:r>
            <w:r w:rsidRPr="008950E6">
              <w:rPr>
                <w:rFonts w:ascii="Garamond" w:hAnsi="Garamond" w:cs="Times New Roman"/>
                <w:b/>
                <w:color w:val="1F4E79" w:themeColor="accent1" w:themeShade="80"/>
                <w:sz w:val="21"/>
                <w:szCs w:val="21"/>
              </w:rPr>
              <w:t xml:space="preserve"> the domestic revenue mobilization through reforming tax exemptions</w:t>
            </w:r>
          </w:p>
        </w:tc>
        <w:tc>
          <w:tcPr>
            <w:tcW w:w="3960" w:type="dxa"/>
            <w:tcBorders>
              <w:top w:val="single" w:sz="4" w:space="0" w:color="auto"/>
              <w:left w:val="single" w:sz="4" w:space="0" w:color="auto"/>
              <w:bottom w:val="single" w:sz="4" w:space="0" w:color="auto"/>
              <w:right w:val="single" w:sz="4" w:space="0" w:color="auto"/>
            </w:tcBorders>
          </w:tcPr>
          <w:p w14:paraId="03641857"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Build capacity to estimate tax expenditures accurately and published as part of the annual budget process.</w:t>
            </w:r>
          </w:p>
        </w:tc>
        <w:tc>
          <w:tcPr>
            <w:tcW w:w="1620" w:type="dxa"/>
            <w:tcBorders>
              <w:top w:val="single" w:sz="4" w:space="0" w:color="auto"/>
              <w:left w:val="single" w:sz="4" w:space="0" w:color="auto"/>
              <w:bottom w:val="single" w:sz="4" w:space="0" w:color="auto"/>
              <w:right w:val="single" w:sz="4" w:space="0" w:color="auto"/>
            </w:tcBorders>
          </w:tcPr>
          <w:p w14:paraId="320667F8"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Short Term</w:t>
            </w:r>
          </w:p>
        </w:tc>
        <w:tc>
          <w:tcPr>
            <w:tcW w:w="2970" w:type="dxa"/>
            <w:tcBorders>
              <w:top w:val="single" w:sz="4" w:space="0" w:color="auto"/>
              <w:left w:val="single" w:sz="4" w:space="0" w:color="auto"/>
              <w:bottom w:val="single" w:sz="4" w:space="0" w:color="auto"/>
              <w:right w:val="single" w:sz="4" w:space="0" w:color="auto"/>
            </w:tcBorders>
          </w:tcPr>
          <w:p w14:paraId="3ACF6EEF"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MoF</w:t>
            </w:r>
            <w:r>
              <w:rPr>
                <w:rFonts w:ascii="Garamond" w:hAnsi="Garamond" w:cs="Times New Roman"/>
                <w:sz w:val="21"/>
                <w:szCs w:val="21"/>
              </w:rPr>
              <w:t>/</w:t>
            </w:r>
            <w:r w:rsidRPr="008950E6">
              <w:rPr>
                <w:rFonts w:ascii="Garamond" w:hAnsi="Garamond" w:cs="Times New Roman"/>
                <w:sz w:val="21"/>
                <w:szCs w:val="21"/>
              </w:rPr>
              <w:t xml:space="preserve"> GRA</w:t>
            </w:r>
          </w:p>
        </w:tc>
      </w:tr>
      <w:tr w:rsidR="008D2695" w:rsidRPr="008950E6" w14:paraId="0A620D97" w14:textId="77777777" w:rsidTr="00586D41">
        <w:tc>
          <w:tcPr>
            <w:tcW w:w="1705" w:type="dxa"/>
            <w:vMerge/>
            <w:tcBorders>
              <w:left w:val="single" w:sz="4" w:space="0" w:color="auto"/>
              <w:right w:val="single" w:sz="4" w:space="0" w:color="auto"/>
            </w:tcBorders>
            <w:vAlign w:val="center"/>
          </w:tcPr>
          <w:p w14:paraId="16EA1987" w14:textId="77777777" w:rsidR="008D2695" w:rsidRPr="008950E6" w:rsidRDefault="008D2695" w:rsidP="00586D41">
            <w:pPr>
              <w:rPr>
                <w:rFonts w:ascii="Garamond" w:hAnsi="Garamond" w:cs="Times New Roman"/>
                <w:sz w:val="21"/>
                <w:szCs w:val="21"/>
              </w:rPr>
            </w:pPr>
          </w:p>
        </w:tc>
        <w:tc>
          <w:tcPr>
            <w:tcW w:w="3960" w:type="dxa"/>
            <w:tcBorders>
              <w:top w:val="single" w:sz="4" w:space="0" w:color="auto"/>
              <w:left w:val="single" w:sz="4" w:space="0" w:color="auto"/>
              <w:bottom w:val="single" w:sz="4" w:space="0" w:color="auto"/>
              <w:right w:val="single" w:sz="4" w:space="0" w:color="auto"/>
            </w:tcBorders>
          </w:tcPr>
          <w:p w14:paraId="2DE21E45"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Ensure that tax expenditures are properly recorded on income-tax returns, and that mandatory tax filing is enforced even among firms that have no tax liability. As in all areas of tax administration, move toward electronic data collection and close significant gaps in the data on income-tax expenditures for mining firms and free-zone developers.</w:t>
            </w:r>
          </w:p>
        </w:tc>
        <w:tc>
          <w:tcPr>
            <w:tcW w:w="1620" w:type="dxa"/>
            <w:tcBorders>
              <w:top w:val="single" w:sz="4" w:space="0" w:color="auto"/>
              <w:left w:val="single" w:sz="4" w:space="0" w:color="auto"/>
              <w:bottom w:val="single" w:sz="4" w:space="0" w:color="auto"/>
              <w:right w:val="single" w:sz="4" w:space="0" w:color="auto"/>
            </w:tcBorders>
          </w:tcPr>
          <w:p w14:paraId="56B008D1"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Short to Medium Term</w:t>
            </w:r>
          </w:p>
        </w:tc>
        <w:tc>
          <w:tcPr>
            <w:tcW w:w="2970" w:type="dxa"/>
            <w:tcBorders>
              <w:top w:val="single" w:sz="4" w:space="0" w:color="auto"/>
              <w:left w:val="single" w:sz="4" w:space="0" w:color="auto"/>
              <w:bottom w:val="single" w:sz="4" w:space="0" w:color="auto"/>
              <w:right w:val="single" w:sz="4" w:space="0" w:color="auto"/>
            </w:tcBorders>
          </w:tcPr>
          <w:p w14:paraId="3A4F2C44"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MoF</w:t>
            </w:r>
            <w:r>
              <w:rPr>
                <w:rFonts w:ascii="Garamond" w:hAnsi="Garamond" w:cs="Times New Roman"/>
                <w:sz w:val="21"/>
                <w:szCs w:val="21"/>
              </w:rPr>
              <w:t>/</w:t>
            </w:r>
            <w:r w:rsidRPr="008950E6">
              <w:rPr>
                <w:rFonts w:ascii="Garamond" w:hAnsi="Garamond" w:cs="Times New Roman"/>
                <w:sz w:val="21"/>
                <w:szCs w:val="21"/>
              </w:rPr>
              <w:t>GRA</w:t>
            </w:r>
          </w:p>
        </w:tc>
      </w:tr>
      <w:tr w:rsidR="008D2695" w:rsidRPr="008950E6" w14:paraId="3839F2A8" w14:textId="77777777" w:rsidTr="00586D41">
        <w:tc>
          <w:tcPr>
            <w:tcW w:w="1705" w:type="dxa"/>
            <w:vMerge/>
            <w:tcBorders>
              <w:left w:val="single" w:sz="4" w:space="0" w:color="auto"/>
              <w:right w:val="single" w:sz="4" w:space="0" w:color="auto"/>
            </w:tcBorders>
            <w:vAlign w:val="center"/>
            <w:hideMark/>
          </w:tcPr>
          <w:p w14:paraId="6EB00802" w14:textId="77777777" w:rsidR="008D2695" w:rsidRPr="008950E6" w:rsidRDefault="008D2695" w:rsidP="00586D41">
            <w:pPr>
              <w:rPr>
                <w:rFonts w:ascii="Garamond" w:hAnsi="Garamond" w:cs="Times New Roman"/>
                <w:sz w:val="21"/>
                <w:szCs w:val="21"/>
              </w:rPr>
            </w:pPr>
          </w:p>
        </w:tc>
        <w:tc>
          <w:tcPr>
            <w:tcW w:w="3960" w:type="dxa"/>
            <w:tcBorders>
              <w:top w:val="single" w:sz="4" w:space="0" w:color="auto"/>
              <w:left w:val="single" w:sz="4" w:space="0" w:color="auto"/>
              <w:bottom w:val="single" w:sz="4" w:space="0" w:color="auto"/>
              <w:right w:val="single" w:sz="4" w:space="0" w:color="auto"/>
            </w:tcBorders>
          </w:tcPr>
          <w:p w14:paraId="723030BB"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Evaluate the impact of VAT exemptions and zero-rating, and identify and eliminate the ones with no significant positive social or economic spillovers.</w:t>
            </w:r>
          </w:p>
        </w:tc>
        <w:tc>
          <w:tcPr>
            <w:tcW w:w="1620" w:type="dxa"/>
            <w:tcBorders>
              <w:top w:val="single" w:sz="4" w:space="0" w:color="auto"/>
              <w:left w:val="single" w:sz="4" w:space="0" w:color="auto"/>
              <w:bottom w:val="single" w:sz="4" w:space="0" w:color="auto"/>
              <w:right w:val="single" w:sz="4" w:space="0" w:color="auto"/>
            </w:tcBorders>
          </w:tcPr>
          <w:p w14:paraId="3DCA6773"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Short to Medium Term</w:t>
            </w:r>
          </w:p>
        </w:tc>
        <w:tc>
          <w:tcPr>
            <w:tcW w:w="2970" w:type="dxa"/>
            <w:tcBorders>
              <w:top w:val="single" w:sz="4" w:space="0" w:color="auto"/>
              <w:left w:val="single" w:sz="4" w:space="0" w:color="auto"/>
              <w:bottom w:val="single" w:sz="4" w:space="0" w:color="auto"/>
              <w:right w:val="single" w:sz="4" w:space="0" w:color="auto"/>
            </w:tcBorders>
          </w:tcPr>
          <w:p w14:paraId="18EF87D0"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MoF</w:t>
            </w:r>
            <w:r>
              <w:rPr>
                <w:rFonts w:ascii="Garamond" w:hAnsi="Garamond" w:cs="Times New Roman"/>
                <w:sz w:val="21"/>
                <w:szCs w:val="21"/>
              </w:rPr>
              <w:t>/</w:t>
            </w:r>
            <w:r w:rsidRPr="008950E6">
              <w:rPr>
                <w:rFonts w:ascii="Garamond" w:hAnsi="Garamond" w:cs="Times New Roman"/>
                <w:sz w:val="21"/>
                <w:szCs w:val="21"/>
              </w:rPr>
              <w:t>GRA</w:t>
            </w:r>
          </w:p>
        </w:tc>
      </w:tr>
      <w:tr w:rsidR="008D2695" w:rsidRPr="008950E6" w14:paraId="15950682" w14:textId="77777777" w:rsidTr="00586D41">
        <w:tc>
          <w:tcPr>
            <w:tcW w:w="1705" w:type="dxa"/>
            <w:vMerge/>
            <w:tcBorders>
              <w:left w:val="single" w:sz="4" w:space="0" w:color="auto"/>
              <w:right w:val="single" w:sz="4" w:space="0" w:color="auto"/>
            </w:tcBorders>
            <w:vAlign w:val="center"/>
            <w:hideMark/>
          </w:tcPr>
          <w:p w14:paraId="221EE46F" w14:textId="77777777" w:rsidR="008D2695" w:rsidRPr="008950E6" w:rsidRDefault="008D2695" w:rsidP="00586D41">
            <w:pPr>
              <w:rPr>
                <w:rFonts w:ascii="Garamond" w:hAnsi="Garamond" w:cs="Times New Roman"/>
                <w:sz w:val="21"/>
                <w:szCs w:val="21"/>
              </w:rPr>
            </w:pPr>
          </w:p>
        </w:tc>
        <w:tc>
          <w:tcPr>
            <w:tcW w:w="3960" w:type="dxa"/>
            <w:tcBorders>
              <w:top w:val="single" w:sz="4" w:space="0" w:color="auto"/>
              <w:left w:val="single" w:sz="4" w:space="0" w:color="auto"/>
              <w:bottom w:val="single" w:sz="4" w:space="0" w:color="auto"/>
              <w:right w:val="single" w:sz="4" w:space="0" w:color="auto"/>
            </w:tcBorders>
          </w:tcPr>
          <w:p w14:paraId="162E4228" w14:textId="77777777" w:rsidR="008D2695" w:rsidRPr="008950E6" w:rsidRDefault="008D2695" w:rsidP="00586D41">
            <w:pPr>
              <w:jc w:val="both"/>
              <w:rPr>
                <w:rFonts w:ascii="Garamond" w:hAnsi="Garamond" w:cs="Times New Roman"/>
                <w:sz w:val="21"/>
                <w:szCs w:val="21"/>
              </w:rPr>
            </w:pPr>
            <w:r w:rsidRPr="008950E6">
              <w:rPr>
                <w:rFonts w:ascii="Garamond" w:hAnsi="Garamond" w:cs="Times New Roman"/>
                <w:sz w:val="21"/>
                <w:szCs w:val="21"/>
              </w:rPr>
              <w:t xml:space="preserve">Consolidate trade-related tax expenditures into a holistic export-promotion strategy that promotes domestic competition and foster regional integration. </w:t>
            </w:r>
          </w:p>
        </w:tc>
        <w:tc>
          <w:tcPr>
            <w:tcW w:w="1620" w:type="dxa"/>
            <w:tcBorders>
              <w:top w:val="single" w:sz="4" w:space="0" w:color="auto"/>
              <w:left w:val="single" w:sz="4" w:space="0" w:color="auto"/>
              <w:bottom w:val="single" w:sz="4" w:space="0" w:color="auto"/>
              <w:right w:val="single" w:sz="4" w:space="0" w:color="auto"/>
            </w:tcBorders>
          </w:tcPr>
          <w:p w14:paraId="07ACA51E"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Short to Medium Term</w:t>
            </w:r>
          </w:p>
        </w:tc>
        <w:tc>
          <w:tcPr>
            <w:tcW w:w="2970" w:type="dxa"/>
            <w:tcBorders>
              <w:top w:val="single" w:sz="4" w:space="0" w:color="auto"/>
              <w:left w:val="single" w:sz="4" w:space="0" w:color="auto"/>
              <w:bottom w:val="single" w:sz="4" w:space="0" w:color="auto"/>
              <w:right w:val="single" w:sz="4" w:space="0" w:color="auto"/>
            </w:tcBorders>
          </w:tcPr>
          <w:p w14:paraId="0547264D"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MoF</w:t>
            </w:r>
            <w:r>
              <w:rPr>
                <w:rFonts w:ascii="Garamond" w:hAnsi="Garamond" w:cs="Times New Roman"/>
                <w:sz w:val="21"/>
                <w:szCs w:val="21"/>
              </w:rPr>
              <w:t>/</w:t>
            </w:r>
            <w:r w:rsidRPr="008950E6">
              <w:rPr>
                <w:rFonts w:ascii="Garamond" w:hAnsi="Garamond" w:cs="Times New Roman"/>
                <w:sz w:val="21"/>
                <w:szCs w:val="21"/>
              </w:rPr>
              <w:t>GRA</w:t>
            </w:r>
          </w:p>
        </w:tc>
      </w:tr>
      <w:tr w:rsidR="008D2695" w:rsidRPr="008950E6" w14:paraId="1D8CC2A6" w14:textId="77777777" w:rsidTr="00586D41">
        <w:trPr>
          <w:trHeight w:val="50"/>
        </w:trPr>
        <w:tc>
          <w:tcPr>
            <w:tcW w:w="1705" w:type="dxa"/>
            <w:vMerge/>
            <w:tcBorders>
              <w:left w:val="single" w:sz="4" w:space="0" w:color="auto"/>
              <w:right w:val="single" w:sz="4" w:space="0" w:color="auto"/>
            </w:tcBorders>
            <w:vAlign w:val="center"/>
          </w:tcPr>
          <w:p w14:paraId="112754FD" w14:textId="77777777" w:rsidR="008D2695" w:rsidRPr="008950E6" w:rsidRDefault="008D2695" w:rsidP="00586D41">
            <w:pPr>
              <w:rPr>
                <w:rFonts w:ascii="Garamond" w:hAnsi="Garamond" w:cs="Times New Roman"/>
                <w:sz w:val="21"/>
                <w:szCs w:val="21"/>
              </w:rPr>
            </w:pPr>
          </w:p>
        </w:tc>
        <w:tc>
          <w:tcPr>
            <w:tcW w:w="3960" w:type="dxa"/>
            <w:tcBorders>
              <w:top w:val="single" w:sz="4" w:space="0" w:color="auto"/>
              <w:left w:val="single" w:sz="4" w:space="0" w:color="auto"/>
              <w:bottom w:val="single" w:sz="4" w:space="0" w:color="auto"/>
              <w:right w:val="single" w:sz="4" w:space="0" w:color="auto"/>
            </w:tcBorders>
          </w:tcPr>
          <w:p w14:paraId="2CF42462" w14:textId="77777777" w:rsidR="008D2695" w:rsidRPr="008950E6" w:rsidRDefault="008D2695" w:rsidP="00586D41">
            <w:pPr>
              <w:jc w:val="both"/>
              <w:rPr>
                <w:rFonts w:ascii="Garamond" w:hAnsi="Garamond" w:cs="Times New Roman"/>
                <w:sz w:val="21"/>
                <w:szCs w:val="21"/>
              </w:rPr>
            </w:pPr>
            <w:r w:rsidRPr="008950E6">
              <w:rPr>
                <w:rFonts w:ascii="Garamond" w:hAnsi="Garamond" w:cs="Times New Roman"/>
                <w:sz w:val="21"/>
                <w:szCs w:val="21"/>
              </w:rPr>
              <w:t>Award exemptions only to classes of goods and services, not to individual firms.</w:t>
            </w:r>
          </w:p>
        </w:tc>
        <w:tc>
          <w:tcPr>
            <w:tcW w:w="1620" w:type="dxa"/>
            <w:tcBorders>
              <w:top w:val="single" w:sz="4" w:space="0" w:color="auto"/>
              <w:left w:val="single" w:sz="4" w:space="0" w:color="auto"/>
              <w:bottom w:val="single" w:sz="4" w:space="0" w:color="auto"/>
              <w:right w:val="single" w:sz="4" w:space="0" w:color="auto"/>
            </w:tcBorders>
          </w:tcPr>
          <w:p w14:paraId="2D249F77"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Short Term</w:t>
            </w:r>
          </w:p>
        </w:tc>
        <w:tc>
          <w:tcPr>
            <w:tcW w:w="2970" w:type="dxa"/>
            <w:tcBorders>
              <w:top w:val="single" w:sz="4" w:space="0" w:color="auto"/>
              <w:left w:val="single" w:sz="4" w:space="0" w:color="auto"/>
              <w:bottom w:val="single" w:sz="4" w:space="0" w:color="auto"/>
              <w:right w:val="single" w:sz="4" w:space="0" w:color="auto"/>
            </w:tcBorders>
          </w:tcPr>
          <w:p w14:paraId="7106663A"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MoF</w:t>
            </w:r>
            <w:r>
              <w:rPr>
                <w:rFonts w:ascii="Garamond" w:hAnsi="Garamond" w:cs="Times New Roman"/>
                <w:sz w:val="21"/>
                <w:szCs w:val="21"/>
              </w:rPr>
              <w:t>/</w:t>
            </w:r>
            <w:r w:rsidRPr="008950E6">
              <w:rPr>
                <w:rFonts w:ascii="Garamond" w:hAnsi="Garamond" w:cs="Times New Roman"/>
                <w:sz w:val="21"/>
                <w:szCs w:val="21"/>
              </w:rPr>
              <w:t>GRA</w:t>
            </w:r>
          </w:p>
        </w:tc>
      </w:tr>
      <w:tr w:rsidR="008D2695" w:rsidRPr="008950E6" w14:paraId="16AE339A" w14:textId="77777777" w:rsidTr="00586D41">
        <w:trPr>
          <w:trHeight w:val="50"/>
        </w:trPr>
        <w:tc>
          <w:tcPr>
            <w:tcW w:w="1705" w:type="dxa"/>
            <w:vMerge/>
            <w:tcBorders>
              <w:left w:val="single" w:sz="4" w:space="0" w:color="auto"/>
              <w:right w:val="single" w:sz="4" w:space="0" w:color="auto"/>
            </w:tcBorders>
            <w:vAlign w:val="center"/>
            <w:hideMark/>
          </w:tcPr>
          <w:p w14:paraId="3C140C48" w14:textId="77777777" w:rsidR="008D2695" w:rsidRPr="008950E6" w:rsidRDefault="008D2695" w:rsidP="00586D41">
            <w:pPr>
              <w:rPr>
                <w:rFonts w:ascii="Garamond" w:hAnsi="Garamond" w:cs="Times New Roman"/>
                <w:sz w:val="21"/>
                <w:szCs w:val="21"/>
              </w:rPr>
            </w:pPr>
          </w:p>
        </w:tc>
        <w:tc>
          <w:tcPr>
            <w:tcW w:w="3960" w:type="dxa"/>
            <w:tcBorders>
              <w:top w:val="single" w:sz="4" w:space="0" w:color="auto"/>
              <w:left w:val="single" w:sz="4" w:space="0" w:color="auto"/>
              <w:bottom w:val="single" w:sz="4" w:space="0" w:color="auto"/>
              <w:right w:val="single" w:sz="4" w:space="0" w:color="auto"/>
            </w:tcBorders>
          </w:tcPr>
          <w:p w14:paraId="682805EA" w14:textId="77777777" w:rsidR="008D2695" w:rsidRPr="008950E6" w:rsidRDefault="008D2695" w:rsidP="00586D41">
            <w:pPr>
              <w:jc w:val="both"/>
              <w:rPr>
                <w:rFonts w:ascii="Garamond" w:hAnsi="Garamond" w:cs="Times New Roman"/>
                <w:sz w:val="21"/>
                <w:szCs w:val="21"/>
              </w:rPr>
            </w:pPr>
            <w:r w:rsidRPr="008950E6">
              <w:rPr>
                <w:rFonts w:ascii="Garamond" w:hAnsi="Garamond" w:cs="Times New Roman"/>
                <w:sz w:val="21"/>
                <w:szCs w:val="21"/>
              </w:rPr>
              <w:t xml:space="preserve">Retain the customs exemptions on manufacturing inputs and capital goods only if they contribute to a clear sectoral development strategy, and phase out the exemptions on most consumer goods. </w:t>
            </w:r>
          </w:p>
        </w:tc>
        <w:tc>
          <w:tcPr>
            <w:tcW w:w="1620" w:type="dxa"/>
            <w:tcBorders>
              <w:top w:val="single" w:sz="4" w:space="0" w:color="auto"/>
              <w:left w:val="single" w:sz="4" w:space="0" w:color="auto"/>
              <w:bottom w:val="single" w:sz="4" w:space="0" w:color="auto"/>
              <w:right w:val="single" w:sz="4" w:space="0" w:color="auto"/>
            </w:tcBorders>
          </w:tcPr>
          <w:p w14:paraId="6277C117"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Short Term</w:t>
            </w:r>
          </w:p>
        </w:tc>
        <w:tc>
          <w:tcPr>
            <w:tcW w:w="2970" w:type="dxa"/>
            <w:tcBorders>
              <w:top w:val="single" w:sz="4" w:space="0" w:color="auto"/>
              <w:left w:val="single" w:sz="4" w:space="0" w:color="auto"/>
              <w:bottom w:val="single" w:sz="4" w:space="0" w:color="auto"/>
              <w:right w:val="single" w:sz="4" w:space="0" w:color="auto"/>
            </w:tcBorders>
          </w:tcPr>
          <w:p w14:paraId="27377C74"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MoF</w:t>
            </w:r>
            <w:r>
              <w:rPr>
                <w:rFonts w:ascii="Garamond" w:hAnsi="Garamond" w:cs="Times New Roman"/>
                <w:sz w:val="21"/>
                <w:szCs w:val="21"/>
              </w:rPr>
              <w:t>/</w:t>
            </w:r>
            <w:r w:rsidRPr="008950E6">
              <w:rPr>
                <w:rFonts w:ascii="Garamond" w:hAnsi="Garamond" w:cs="Times New Roman"/>
                <w:sz w:val="21"/>
                <w:szCs w:val="21"/>
              </w:rPr>
              <w:t>GRA</w:t>
            </w:r>
          </w:p>
        </w:tc>
      </w:tr>
      <w:tr w:rsidR="008D2695" w:rsidRPr="008950E6" w14:paraId="1483D5D4" w14:textId="77777777" w:rsidTr="00586D41">
        <w:tc>
          <w:tcPr>
            <w:tcW w:w="1705" w:type="dxa"/>
            <w:vMerge/>
            <w:tcBorders>
              <w:left w:val="single" w:sz="4" w:space="0" w:color="auto"/>
              <w:right w:val="single" w:sz="4" w:space="0" w:color="auto"/>
            </w:tcBorders>
            <w:vAlign w:val="center"/>
          </w:tcPr>
          <w:p w14:paraId="33FE5D08" w14:textId="77777777" w:rsidR="008D2695" w:rsidRPr="008950E6" w:rsidRDefault="008D2695" w:rsidP="00586D41">
            <w:pPr>
              <w:rPr>
                <w:rFonts w:ascii="Garamond" w:hAnsi="Garamond" w:cs="Times New Roman"/>
                <w:sz w:val="21"/>
                <w:szCs w:val="21"/>
              </w:rPr>
            </w:pPr>
          </w:p>
        </w:tc>
        <w:tc>
          <w:tcPr>
            <w:tcW w:w="3960" w:type="dxa"/>
            <w:tcBorders>
              <w:top w:val="single" w:sz="4" w:space="0" w:color="auto"/>
              <w:left w:val="single" w:sz="4" w:space="0" w:color="auto"/>
              <w:bottom w:val="single" w:sz="4" w:space="0" w:color="auto"/>
              <w:right w:val="single" w:sz="4" w:space="0" w:color="auto"/>
            </w:tcBorders>
          </w:tcPr>
          <w:p w14:paraId="4043DDB0" w14:textId="77777777" w:rsidR="008D2695" w:rsidRPr="008950E6" w:rsidRDefault="008D2695" w:rsidP="009C3F8A">
            <w:pPr>
              <w:jc w:val="both"/>
              <w:rPr>
                <w:rFonts w:ascii="Garamond" w:hAnsi="Garamond" w:cs="Times New Roman"/>
                <w:sz w:val="21"/>
                <w:szCs w:val="21"/>
              </w:rPr>
            </w:pPr>
            <w:r w:rsidRPr="008950E6">
              <w:rPr>
                <w:rFonts w:ascii="Garamond" w:hAnsi="Garamond" w:cs="Times New Roman"/>
                <w:sz w:val="21"/>
                <w:szCs w:val="21"/>
              </w:rPr>
              <w:t xml:space="preserve">Improve oversight on firms and sectors </w:t>
            </w:r>
            <w:r w:rsidR="009C3F8A">
              <w:rPr>
                <w:rFonts w:ascii="Garamond" w:hAnsi="Garamond" w:cs="Times New Roman"/>
                <w:sz w:val="21"/>
                <w:szCs w:val="21"/>
              </w:rPr>
              <w:t xml:space="preserve">that </w:t>
            </w:r>
            <w:r w:rsidRPr="008950E6">
              <w:rPr>
                <w:rFonts w:ascii="Garamond" w:hAnsi="Garamond" w:cs="Times New Roman"/>
                <w:sz w:val="21"/>
                <w:szCs w:val="21"/>
              </w:rPr>
              <w:t>are benefitting from preferential tax treatment and assess the extent to which supporting these industries is consistent with Ghana’s strategic development goals.</w:t>
            </w:r>
          </w:p>
        </w:tc>
        <w:tc>
          <w:tcPr>
            <w:tcW w:w="1620" w:type="dxa"/>
            <w:tcBorders>
              <w:top w:val="single" w:sz="4" w:space="0" w:color="auto"/>
              <w:left w:val="single" w:sz="4" w:space="0" w:color="auto"/>
              <w:bottom w:val="single" w:sz="4" w:space="0" w:color="auto"/>
              <w:right w:val="single" w:sz="4" w:space="0" w:color="auto"/>
            </w:tcBorders>
          </w:tcPr>
          <w:p w14:paraId="069C845B"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Medium Term</w:t>
            </w:r>
          </w:p>
        </w:tc>
        <w:tc>
          <w:tcPr>
            <w:tcW w:w="2970" w:type="dxa"/>
            <w:tcBorders>
              <w:top w:val="single" w:sz="4" w:space="0" w:color="auto"/>
              <w:left w:val="single" w:sz="4" w:space="0" w:color="auto"/>
              <w:bottom w:val="single" w:sz="4" w:space="0" w:color="auto"/>
              <w:right w:val="single" w:sz="4" w:space="0" w:color="auto"/>
            </w:tcBorders>
          </w:tcPr>
          <w:p w14:paraId="3D8E3B40"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MoF</w:t>
            </w:r>
            <w:r>
              <w:rPr>
                <w:rFonts w:ascii="Garamond" w:hAnsi="Garamond" w:cs="Times New Roman"/>
                <w:sz w:val="21"/>
                <w:szCs w:val="21"/>
              </w:rPr>
              <w:t>/</w:t>
            </w:r>
            <w:r w:rsidRPr="008950E6">
              <w:rPr>
                <w:rFonts w:ascii="Garamond" w:hAnsi="Garamond" w:cs="Times New Roman"/>
                <w:sz w:val="21"/>
                <w:szCs w:val="21"/>
              </w:rPr>
              <w:t>GRA</w:t>
            </w:r>
          </w:p>
        </w:tc>
      </w:tr>
      <w:tr w:rsidR="008D2695" w:rsidRPr="008950E6" w14:paraId="1BEE5FFD" w14:textId="77777777" w:rsidTr="00586D41">
        <w:tc>
          <w:tcPr>
            <w:tcW w:w="1705" w:type="dxa"/>
            <w:vMerge/>
            <w:tcBorders>
              <w:left w:val="single" w:sz="4" w:space="0" w:color="auto"/>
              <w:right w:val="single" w:sz="4" w:space="0" w:color="auto"/>
            </w:tcBorders>
            <w:vAlign w:val="center"/>
            <w:hideMark/>
          </w:tcPr>
          <w:p w14:paraId="20AED5BF" w14:textId="77777777" w:rsidR="008D2695" w:rsidRPr="008950E6" w:rsidRDefault="008D2695" w:rsidP="00586D41">
            <w:pPr>
              <w:rPr>
                <w:rFonts w:ascii="Garamond" w:hAnsi="Garamond" w:cs="Times New Roman"/>
                <w:sz w:val="21"/>
                <w:szCs w:val="21"/>
              </w:rPr>
            </w:pPr>
          </w:p>
        </w:tc>
        <w:tc>
          <w:tcPr>
            <w:tcW w:w="3960" w:type="dxa"/>
            <w:tcBorders>
              <w:top w:val="single" w:sz="4" w:space="0" w:color="auto"/>
              <w:left w:val="single" w:sz="4" w:space="0" w:color="auto"/>
              <w:bottom w:val="single" w:sz="4" w:space="0" w:color="auto"/>
              <w:right w:val="single" w:sz="4" w:space="0" w:color="auto"/>
            </w:tcBorders>
          </w:tcPr>
          <w:p w14:paraId="6E4ACEE9" w14:textId="77777777" w:rsidR="008D2695" w:rsidRPr="008950E6" w:rsidRDefault="008D2695" w:rsidP="00586D41">
            <w:pPr>
              <w:jc w:val="both"/>
              <w:rPr>
                <w:rFonts w:ascii="Garamond" w:hAnsi="Garamond" w:cs="Times New Roman"/>
                <w:sz w:val="21"/>
                <w:szCs w:val="21"/>
              </w:rPr>
            </w:pPr>
            <w:r w:rsidRPr="008950E6">
              <w:rPr>
                <w:rFonts w:ascii="Garamond" w:hAnsi="Garamond" w:cs="Times New Roman"/>
                <w:sz w:val="21"/>
                <w:szCs w:val="21"/>
              </w:rPr>
              <w:t xml:space="preserve">Eliminate the  special exemption permits approved by Parliament </w:t>
            </w:r>
          </w:p>
        </w:tc>
        <w:tc>
          <w:tcPr>
            <w:tcW w:w="1620" w:type="dxa"/>
            <w:tcBorders>
              <w:top w:val="single" w:sz="4" w:space="0" w:color="auto"/>
              <w:left w:val="single" w:sz="4" w:space="0" w:color="auto"/>
              <w:bottom w:val="single" w:sz="4" w:space="0" w:color="auto"/>
              <w:right w:val="single" w:sz="4" w:space="0" w:color="auto"/>
            </w:tcBorders>
          </w:tcPr>
          <w:p w14:paraId="46F0A845"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Short Term</w:t>
            </w:r>
          </w:p>
        </w:tc>
        <w:tc>
          <w:tcPr>
            <w:tcW w:w="2970" w:type="dxa"/>
            <w:tcBorders>
              <w:top w:val="single" w:sz="4" w:space="0" w:color="auto"/>
              <w:left w:val="single" w:sz="4" w:space="0" w:color="auto"/>
              <w:bottom w:val="single" w:sz="4" w:space="0" w:color="auto"/>
              <w:right w:val="single" w:sz="4" w:space="0" w:color="auto"/>
            </w:tcBorders>
          </w:tcPr>
          <w:p w14:paraId="19744100"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MoF</w:t>
            </w:r>
            <w:r>
              <w:rPr>
                <w:rFonts w:ascii="Garamond" w:hAnsi="Garamond" w:cs="Times New Roman"/>
                <w:sz w:val="21"/>
                <w:szCs w:val="21"/>
              </w:rPr>
              <w:t>/</w:t>
            </w:r>
            <w:r w:rsidRPr="008950E6">
              <w:rPr>
                <w:rFonts w:ascii="Garamond" w:hAnsi="Garamond" w:cs="Times New Roman"/>
                <w:sz w:val="21"/>
                <w:szCs w:val="21"/>
              </w:rPr>
              <w:t>GRA</w:t>
            </w:r>
          </w:p>
        </w:tc>
      </w:tr>
      <w:tr w:rsidR="008D2695" w:rsidRPr="008950E6" w14:paraId="73B22795" w14:textId="77777777" w:rsidTr="00586D41">
        <w:tc>
          <w:tcPr>
            <w:tcW w:w="1705" w:type="dxa"/>
            <w:vMerge/>
            <w:tcBorders>
              <w:left w:val="single" w:sz="4" w:space="0" w:color="auto"/>
              <w:right w:val="single" w:sz="4" w:space="0" w:color="auto"/>
            </w:tcBorders>
            <w:vAlign w:val="center"/>
            <w:hideMark/>
          </w:tcPr>
          <w:p w14:paraId="22E52F39" w14:textId="77777777" w:rsidR="008D2695" w:rsidRPr="008950E6" w:rsidRDefault="008D2695" w:rsidP="00586D41">
            <w:pPr>
              <w:rPr>
                <w:rFonts w:ascii="Garamond" w:hAnsi="Garamond" w:cs="Times New Roman"/>
                <w:sz w:val="21"/>
                <w:szCs w:val="21"/>
              </w:rPr>
            </w:pPr>
          </w:p>
        </w:tc>
        <w:tc>
          <w:tcPr>
            <w:tcW w:w="3960" w:type="dxa"/>
            <w:tcBorders>
              <w:top w:val="single" w:sz="4" w:space="0" w:color="auto"/>
              <w:left w:val="single" w:sz="4" w:space="0" w:color="auto"/>
              <w:bottom w:val="single" w:sz="4" w:space="0" w:color="auto"/>
              <w:right w:val="single" w:sz="4" w:space="0" w:color="auto"/>
            </w:tcBorders>
          </w:tcPr>
          <w:p w14:paraId="4D516E08" w14:textId="77777777" w:rsidR="008D2695" w:rsidRPr="008950E6" w:rsidRDefault="008D2695" w:rsidP="00586D41">
            <w:pPr>
              <w:jc w:val="both"/>
              <w:rPr>
                <w:rFonts w:ascii="Garamond" w:hAnsi="Garamond" w:cs="Times New Roman"/>
                <w:sz w:val="21"/>
                <w:szCs w:val="21"/>
              </w:rPr>
            </w:pPr>
            <w:r w:rsidRPr="008950E6">
              <w:rPr>
                <w:rFonts w:ascii="Garamond" w:hAnsi="Garamond" w:cs="Times New Roman"/>
                <w:sz w:val="21"/>
                <w:szCs w:val="21"/>
              </w:rPr>
              <w:t xml:space="preserve">Evaluate the impact of tax holidays and location-based incentives such as “free zones,” as both policy types are inherently inefficient and prone to abuse. </w:t>
            </w:r>
          </w:p>
        </w:tc>
        <w:tc>
          <w:tcPr>
            <w:tcW w:w="1620" w:type="dxa"/>
            <w:tcBorders>
              <w:top w:val="single" w:sz="4" w:space="0" w:color="auto"/>
              <w:left w:val="single" w:sz="4" w:space="0" w:color="auto"/>
              <w:bottom w:val="single" w:sz="4" w:space="0" w:color="auto"/>
              <w:right w:val="single" w:sz="4" w:space="0" w:color="auto"/>
            </w:tcBorders>
          </w:tcPr>
          <w:p w14:paraId="47F6F7F5"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Medium Term</w:t>
            </w:r>
          </w:p>
        </w:tc>
        <w:tc>
          <w:tcPr>
            <w:tcW w:w="2970" w:type="dxa"/>
            <w:tcBorders>
              <w:top w:val="single" w:sz="4" w:space="0" w:color="auto"/>
              <w:left w:val="single" w:sz="4" w:space="0" w:color="auto"/>
              <w:bottom w:val="single" w:sz="4" w:space="0" w:color="auto"/>
              <w:right w:val="single" w:sz="4" w:space="0" w:color="auto"/>
            </w:tcBorders>
          </w:tcPr>
          <w:p w14:paraId="68933DAE"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MoF</w:t>
            </w:r>
            <w:r>
              <w:rPr>
                <w:rFonts w:ascii="Garamond" w:hAnsi="Garamond" w:cs="Times New Roman"/>
                <w:sz w:val="21"/>
                <w:szCs w:val="21"/>
              </w:rPr>
              <w:t>/</w:t>
            </w:r>
            <w:r w:rsidRPr="008950E6">
              <w:rPr>
                <w:rFonts w:ascii="Garamond" w:hAnsi="Garamond" w:cs="Times New Roman"/>
                <w:sz w:val="21"/>
                <w:szCs w:val="21"/>
              </w:rPr>
              <w:t>GRA</w:t>
            </w:r>
          </w:p>
        </w:tc>
      </w:tr>
      <w:tr w:rsidR="00471435" w:rsidRPr="008950E6" w14:paraId="042E0F7B" w14:textId="77777777" w:rsidTr="00586D41">
        <w:tc>
          <w:tcPr>
            <w:tcW w:w="1705" w:type="dxa"/>
            <w:vMerge w:val="restart"/>
            <w:tcBorders>
              <w:top w:val="single" w:sz="4" w:space="0" w:color="auto"/>
              <w:left w:val="single" w:sz="4" w:space="0" w:color="auto"/>
              <w:right w:val="single" w:sz="4" w:space="0" w:color="auto"/>
            </w:tcBorders>
            <w:vAlign w:val="center"/>
            <w:hideMark/>
          </w:tcPr>
          <w:p w14:paraId="14A56423" w14:textId="77777777" w:rsidR="00471435" w:rsidRPr="008950E6" w:rsidRDefault="00471435" w:rsidP="00237637">
            <w:pPr>
              <w:rPr>
                <w:rFonts w:ascii="Garamond" w:hAnsi="Garamond" w:cs="Times New Roman"/>
                <w:sz w:val="21"/>
                <w:szCs w:val="21"/>
              </w:rPr>
            </w:pPr>
            <w:r>
              <w:rPr>
                <w:rFonts w:ascii="Garamond" w:hAnsi="Garamond" w:cs="Times New Roman"/>
                <w:b/>
                <w:color w:val="1F4E79" w:themeColor="accent1" w:themeShade="80"/>
                <w:sz w:val="21"/>
                <w:szCs w:val="21"/>
              </w:rPr>
              <w:t>Build human capital through investment in public education and health</w:t>
            </w:r>
          </w:p>
        </w:tc>
        <w:tc>
          <w:tcPr>
            <w:tcW w:w="3960" w:type="dxa"/>
            <w:tcBorders>
              <w:top w:val="single" w:sz="4" w:space="0" w:color="auto"/>
              <w:left w:val="single" w:sz="4" w:space="0" w:color="auto"/>
              <w:bottom w:val="single" w:sz="4" w:space="0" w:color="auto"/>
              <w:right w:val="single" w:sz="4" w:space="0" w:color="auto"/>
            </w:tcBorders>
          </w:tcPr>
          <w:p w14:paraId="27FF407F" w14:textId="77777777" w:rsidR="00471435" w:rsidRPr="006B573E" w:rsidRDefault="00471435" w:rsidP="00586D41">
            <w:pPr>
              <w:rPr>
                <w:rFonts w:ascii="Garamond" w:hAnsi="Garamond" w:cs="Times New Roman"/>
                <w:sz w:val="21"/>
                <w:szCs w:val="21"/>
                <w:lang w:val="en-GB"/>
              </w:rPr>
            </w:pPr>
            <w:r>
              <w:rPr>
                <w:rFonts w:ascii="Garamond" w:hAnsi="Garamond" w:cs="Times New Roman"/>
                <w:sz w:val="21"/>
                <w:szCs w:val="21"/>
                <w:lang w:val="en-GB"/>
              </w:rPr>
              <w:t>Streamline the strategic responsibilities and improve coordination across government agencies and other key actors involved in planning, financing, and oversight in public education and health sectors.</w:t>
            </w:r>
          </w:p>
        </w:tc>
        <w:tc>
          <w:tcPr>
            <w:tcW w:w="1620" w:type="dxa"/>
            <w:tcBorders>
              <w:top w:val="single" w:sz="4" w:space="0" w:color="auto"/>
              <w:left w:val="single" w:sz="4" w:space="0" w:color="auto"/>
              <w:bottom w:val="single" w:sz="4" w:space="0" w:color="auto"/>
              <w:right w:val="single" w:sz="4" w:space="0" w:color="auto"/>
            </w:tcBorders>
          </w:tcPr>
          <w:p w14:paraId="065A214E" w14:textId="77777777" w:rsidR="00471435" w:rsidRPr="008950E6" w:rsidRDefault="00471435" w:rsidP="00586D41">
            <w:pPr>
              <w:rPr>
                <w:rFonts w:ascii="Garamond" w:hAnsi="Garamond" w:cs="Times New Roman"/>
                <w:sz w:val="21"/>
                <w:szCs w:val="21"/>
              </w:rPr>
            </w:pPr>
            <w:r w:rsidRPr="008950E6">
              <w:rPr>
                <w:rFonts w:ascii="Garamond" w:hAnsi="Garamond" w:cs="Times New Roman"/>
                <w:sz w:val="21"/>
                <w:szCs w:val="21"/>
              </w:rPr>
              <w:t>Short to Medium Term</w:t>
            </w:r>
          </w:p>
        </w:tc>
        <w:tc>
          <w:tcPr>
            <w:tcW w:w="2970" w:type="dxa"/>
            <w:tcBorders>
              <w:top w:val="single" w:sz="4" w:space="0" w:color="auto"/>
              <w:left w:val="single" w:sz="4" w:space="0" w:color="auto"/>
              <w:bottom w:val="single" w:sz="4" w:space="0" w:color="auto"/>
              <w:right w:val="single" w:sz="4" w:space="0" w:color="auto"/>
            </w:tcBorders>
          </w:tcPr>
          <w:p w14:paraId="4ABC66A8" w14:textId="77777777" w:rsidR="00471435" w:rsidRDefault="00471435" w:rsidP="00586D41">
            <w:pPr>
              <w:rPr>
                <w:rFonts w:ascii="Garamond" w:hAnsi="Garamond" w:cs="Times New Roman"/>
                <w:sz w:val="21"/>
                <w:szCs w:val="21"/>
              </w:rPr>
            </w:pPr>
            <w:r>
              <w:rPr>
                <w:rFonts w:ascii="Garamond" w:hAnsi="Garamond" w:cs="Times New Roman"/>
                <w:sz w:val="21"/>
                <w:szCs w:val="21"/>
              </w:rPr>
              <w:t>Education: MoF/MoEd/GES/ GETFund/DP</w:t>
            </w:r>
          </w:p>
          <w:p w14:paraId="38BB1326" w14:textId="77777777" w:rsidR="00471435" w:rsidRDefault="00471435" w:rsidP="00586D41">
            <w:pPr>
              <w:rPr>
                <w:rFonts w:ascii="Garamond" w:hAnsi="Garamond" w:cs="Times New Roman"/>
                <w:sz w:val="21"/>
                <w:szCs w:val="21"/>
              </w:rPr>
            </w:pPr>
          </w:p>
          <w:p w14:paraId="7BDA63A8" w14:textId="77777777" w:rsidR="00471435" w:rsidRPr="008950E6" w:rsidRDefault="00471435" w:rsidP="00586D41">
            <w:pPr>
              <w:rPr>
                <w:rFonts w:ascii="Garamond" w:hAnsi="Garamond" w:cs="Times New Roman"/>
                <w:sz w:val="21"/>
                <w:szCs w:val="21"/>
              </w:rPr>
            </w:pPr>
            <w:r>
              <w:rPr>
                <w:rFonts w:ascii="Garamond" w:hAnsi="Garamond" w:cs="Times New Roman"/>
                <w:sz w:val="21"/>
                <w:szCs w:val="21"/>
              </w:rPr>
              <w:t>Health: MoF/MoH/NHIA/DP</w:t>
            </w:r>
          </w:p>
        </w:tc>
      </w:tr>
      <w:tr w:rsidR="00471435" w:rsidRPr="008950E6" w14:paraId="0E9FAE24" w14:textId="77777777" w:rsidTr="00586D41">
        <w:tc>
          <w:tcPr>
            <w:tcW w:w="1705" w:type="dxa"/>
            <w:vMerge/>
            <w:tcBorders>
              <w:left w:val="single" w:sz="4" w:space="0" w:color="auto"/>
              <w:right w:val="single" w:sz="4" w:space="0" w:color="auto"/>
            </w:tcBorders>
            <w:vAlign w:val="center"/>
            <w:hideMark/>
          </w:tcPr>
          <w:p w14:paraId="7614A770" w14:textId="77777777" w:rsidR="00471435" w:rsidRPr="008950E6" w:rsidRDefault="00471435" w:rsidP="00586D41">
            <w:pPr>
              <w:rPr>
                <w:rFonts w:ascii="Garamond" w:hAnsi="Garamond" w:cs="Times New Roman"/>
                <w:sz w:val="21"/>
                <w:szCs w:val="21"/>
              </w:rPr>
            </w:pPr>
          </w:p>
        </w:tc>
        <w:tc>
          <w:tcPr>
            <w:tcW w:w="3960" w:type="dxa"/>
            <w:tcBorders>
              <w:top w:val="single" w:sz="4" w:space="0" w:color="auto"/>
              <w:left w:val="single" w:sz="4" w:space="0" w:color="auto"/>
              <w:bottom w:val="single" w:sz="4" w:space="0" w:color="auto"/>
              <w:right w:val="single" w:sz="4" w:space="0" w:color="auto"/>
            </w:tcBorders>
          </w:tcPr>
          <w:p w14:paraId="11687804" w14:textId="77777777" w:rsidR="00471435" w:rsidRPr="008950E6" w:rsidRDefault="00471435" w:rsidP="00586D41">
            <w:pPr>
              <w:rPr>
                <w:rFonts w:ascii="Garamond" w:hAnsi="Garamond" w:cs="Times New Roman"/>
                <w:sz w:val="21"/>
                <w:szCs w:val="21"/>
                <w:lang w:val="en-GB"/>
              </w:rPr>
            </w:pPr>
            <w:r>
              <w:rPr>
                <w:rFonts w:ascii="Garamond" w:hAnsi="Garamond" w:cs="Times New Roman"/>
                <w:sz w:val="21"/>
                <w:szCs w:val="21"/>
                <w:lang w:val="en-GB"/>
              </w:rPr>
              <w:t>Expand the fiscal space for non-wage recurrent public spending and capital investment in public education and health sectors.</w:t>
            </w:r>
          </w:p>
        </w:tc>
        <w:tc>
          <w:tcPr>
            <w:tcW w:w="1620" w:type="dxa"/>
            <w:tcBorders>
              <w:top w:val="single" w:sz="4" w:space="0" w:color="auto"/>
              <w:left w:val="single" w:sz="4" w:space="0" w:color="auto"/>
              <w:bottom w:val="single" w:sz="4" w:space="0" w:color="auto"/>
              <w:right w:val="single" w:sz="4" w:space="0" w:color="auto"/>
            </w:tcBorders>
          </w:tcPr>
          <w:p w14:paraId="6FD0DC89" w14:textId="77777777" w:rsidR="00471435" w:rsidRPr="008950E6" w:rsidRDefault="00471435" w:rsidP="00586D41">
            <w:pPr>
              <w:rPr>
                <w:rFonts w:ascii="Garamond" w:hAnsi="Garamond" w:cs="Times New Roman"/>
                <w:sz w:val="21"/>
                <w:szCs w:val="21"/>
              </w:rPr>
            </w:pPr>
            <w:r w:rsidRPr="008950E6">
              <w:rPr>
                <w:rFonts w:ascii="Garamond" w:hAnsi="Garamond" w:cs="Times New Roman"/>
                <w:sz w:val="21"/>
                <w:szCs w:val="21"/>
              </w:rPr>
              <w:t>Medium Term</w:t>
            </w:r>
          </w:p>
        </w:tc>
        <w:tc>
          <w:tcPr>
            <w:tcW w:w="2970" w:type="dxa"/>
            <w:tcBorders>
              <w:top w:val="single" w:sz="4" w:space="0" w:color="auto"/>
              <w:left w:val="single" w:sz="4" w:space="0" w:color="auto"/>
              <w:bottom w:val="single" w:sz="4" w:space="0" w:color="auto"/>
              <w:right w:val="single" w:sz="4" w:space="0" w:color="auto"/>
            </w:tcBorders>
          </w:tcPr>
          <w:p w14:paraId="3AA95E9E" w14:textId="77777777" w:rsidR="00471435" w:rsidRPr="008950E6" w:rsidRDefault="00471435" w:rsidP="00586D41">
            <w:pPr>
              <w:rPr>
                <w:rFonts w:ascii="Garamond" w:hAnsi="Garamond" w:cs="Times New Roman"/>
                <w:sz w:val="21"/>
                <w:szCs w:val="21"/>
              </w:rPr>
            </w:pPr>
            <w:r>
              <w:rPr>
                <w:rFonts w:ascii="Garamond" w:hAnsi="Garamond" w:cs="Times New Roman"/>
                <w:sz w:val="21"/>
                <w:szCs w:val="21"/>
              </w:rPr>
              <w:t>MoF/MoEd/MoH</w:t>
            </w:r>
          </w:p>
        </w:tc>
      </w:tr>
      <w:tr w:rsidR="00471435" w:rsidRPr="008950E6" w14:paraId="4BA9455B" w14:textId="77777777" w:rsidTr="00586D41">
        <w:tc>
          <w:tcPr>
            <w:tcW w:w="1705" w:type="dxa"/>
            <w:vMerge/>
            <w:tcBorders>
              <w:left w:val="single" w:sz="4" w:space="0" w:color="auto"/>
              <w:right w:val="single" w:sz="4" w:space="0" w:color="auto"/>
            </w:tcBorders>
            <w:vAlign w:val="center"/>
            <w:hideMark/>
          </w:tcPr>
          <w:p w14:paraId="1EE84D48" w14:textId="77777777" w:rsidR="00471435" w:rsidRPr="008950E6" w:rsidRDefault="00471435" w:rsidP="00586D41">
            <w:pPr>
              <w:rPr>
                <w:rFonts w:ascii="Garamond" w:hAnsi="Garamond" w:cs="Times New Roman"/>
                <w:sz w:val="21"/>
                <w:szCs w:val="21"/>
              </w:rPr>
            </w:pPr>
          </w:p>
        </w:tc>
        <w:tc>
          <w:tcPr>
            <w:tcW w:w="3960" w:type="dxa"/>
            <w:tcBorders>
              <w:top w:val="single" w:sz="4" w:space="0" w:color="auto"/>
              <w:left w:val="single" w:sz="4" w:space="0" w:color="auto"/>
              <w:bottom w:val="single" w:sz="4" w:space="0" w:color="auto"/>
              <w:right w:val="single" w:sz="4" w:space="0" w:color="auto"/>
            </w:tcBorders>
          </w:tcPr>
          <w:p w14:paraId="50E99175" w14:textId="77777777" w:rsidR="00471435" w:rsidRPr="008950E6" w:rsidRDefault="00471435" w:rsidP="00586D41">
            <w:pPr>
              <w:rPr>
                <w:rFonts w:ascii="Garamond" w:hAnsi="Garamond" w:cs="Times New Roman"/>
                <w:sz w:val="21"/>
                <w:szCs w:val="21"/>
              </w:rPr>
            </w:pPr>
            <w:r>
              <w:rPr>
                <w:rFonts w:ascii="Garamond" w:hAnsi="Garamond" w:cs="Times New Roman"/>
                <w:sz w:val="21"/>
                <w:szCs w:val="21"/>
              </w:rPr>
              <w:t>Introduce</w:t>
            </w:r>
            <w:r w:rsidRPr="00053405">
              <w:rPr>
                <w:rFonts w:ascii="Garamond" w:hAnsi="Garamond" w:cs="Times New Roman"/>
                <w:sz w:val="21"/>
                <w:szCs w:val="21"/>
              </w:rPr>
              <w:t xml:space="preserve"> performance-based incentives </w:t>
            </w:r>
            <w:r>
              <w:rPr>
                <w:rFonts w:ascii="Garamond" w:hAnsi="Garamond" w:cs="Times New Roman"/>
                <w:sz w:val="21"/>
                <w:szCs w:val="21"/>
              </w:rPr>
              <w:t xml:space="preserve">and </w:t>
            </w:r>
            <w:r w:rsidRPr="00053405">
              <w:rPr>
                <w:rFonts w:ascii="Garamond" w:hAnsi="Garamond" w:cs="Times New Roman"/>
                <w:sz w:val="21"/>
                <w:szCs w:val="21"/>
              </w:rPr>
              <w:t>stricter</w:t>
            </w:r>
            <w:r>
              <w:rPr>
                <w:rFonts w:ascii="Garamond" w:hAnsi="Garamond" w:cs="Times New Roman"/>
                <w:sz w:val="21"/>
                <w:szCs w:val="21"/>
              </w:rPr>
              <w:t xml:space="preserve"> absenteeism </w:t>
            </w:r>
            <w:r w:rsidRPr="00053405">
              <w:rPr>
                <w:rFonts w:ascii="Garamond" w:hAnsi="Garamond" w:cs="Times New Roman"/>
                <w:sz w:val="21"/>
                <w:szCs w:val="21"/>
              </w:rPr>
              <w:t>penalties for</w:t>
            </w:r>
            <w:r>
              <w:rPr>
                <w:rFonts w:ascii="Garamond" w:hAnsi="Garamond" w:cs="Times New Roman"/>
                <w:sz w:val="21"/>
                <w:szCs w:val="21"/>
              </w:rPr>
              <w:t xml:space="preserve"> teachers</w:t>
            </w:r>
            <w:r w:rsidRPr="00053405">
              <w:rPr>
                <w:rFonts w:ascii="Garamond" w:hAnsi="Garamond" w:cs="Times New Roman"/>
                <w:sz w:val="21"/>
                <w:szCs w:val="21"/>
              </w:rPr>
              <w:t xml:space="preserve">. </w:t>
            </w:r>
          </w:p>
        </w:tc>
        <w:tc>
          <w:tcPr>
            <w:tcW w:w="1620" w:type="dxa"/>
            <w:tcBorders>
              <w:top w:val="single" w:sz="4" w:space="0" w:color="auto"/>
              <w:left w:val="single" w:sz="4" w:space="0" w:color="auto"/>
              <w:bottom w:val="single" w:sz="4" w:space="0" w:color="auto"/>
              <w:right w:val="single" w:sz="4" w:space="0" w:color="auto"/>
            </w:tcBorders>
          </w:tcPr>
          <w:p w14:paraId="2B7E083A" w14:textId="77777777" w:rsidR="00471435" w:rsidRPr="008950E6" w:rsidRDefault="00471435" w:rsidP="00586D41">
            <w:pPr>
              <w:rPr>
                <w:rFonts w:ascii="Garamond" w:hAnsi="Garamond" w:cs="Times New Roman"/>
                <w:sz w:val="21"/>
                <w:szCs w:val="21"/>
              </w:rPr>
            </w:pPr>
            <w:r w:rsidRPr="008950E6">
              <w:rPr>
                <w:rFonts w:ascii="Garamond" w:hAnsi="Garamond" w:cs="Times New Roman"/>
                <w:sz w:val="21"/>
                <w:szCs w:val="21"/>
              </w:rPr>
              <w:t>Short Term</w:t>
            </w:r>
          </w:p>
        </w:tc>
        <w:tc>
          <w:tcPr>
            <w:tcW w:w="2970" w:type="dxa"/>
            <w:tcBorders>
              <w:top w:val="single" w:sz="4" w:space="0" w:color="auto"/>
              <w:left w:val="single" w:sz="4" w:space="0" w:color="auto"/>
              <w:bottom w:val="single" w:sz="4" w:space="0" w:color="auto"/>
              <w:right w:val="single" w:sz="4" w:space="0" w:color="auto"/>
            </w:tcBorders>
          </w:tcPr>
          <w:p w14:paraId="1D0E60EE" w14:textId="77777777" w:rsidR="00471435" w:rsidRPr="008950E6" w:rsidRDefault="00471435" w:rsidP="00586D41">
            <w:pPr>
              <w:rPr>
                <w:rFonts w:ascii="Garamond" w:hAnsi="Garamond" w:cs="Times New Roman"/>
                <w:sz w:val="21"/>
                <w:szCs w:val="21"/>
              </w:rPr>
            </w:pPr>
            <w:r>
              <w:rPr>
                <w:rFonts w:ascii="Garamond" w:hAnsi="Garamond" w:cs="Times New Roman"/>
                <w:sz w:val="21"/>
                <w:szCs w:val="21"/>
              </w:rPr>
              <w:t>MoF/MoEd</w:t>
            </w:r>
          </w:p>
        </w:tc>
      </w:tr>
      <w:tr w:rsidR="00471435" w:rsidRPr="008950E6" w14:paraId="186363FA" w14:textId="77777777" w:rsidTr="00586D41">
        <w:tc>
          <w:tcPr>
            <w:tcW w:w="1705" w:type="dxa"/>
            <w:vMerge/>
            <w:tcBorders>
              <w:left w:val="single" w:sz="4" w:space="0" w:color="auto"/>
              <w:right w:val="single" w:sz="4" w:space="0" w:color="auto"/>
            </w:tcBorders>
            <w:vAlign w:val="center"/>
            <w:hideMark/>
          </w:tcPr>
          <w:p w14:paraId="37D6850F" w14:textId="77777777" w:rsidR="00471435" w:rsidRPr="008950E6" w:rsidRDefault="00471435" w:rsidP="00586D41">
            <w:pPr>
              <w:rPr>
                <w:rFonts w:ascii="Garamond" w:hAnsi="Garamond" w:cs="Times New Roman"/>
                <w:sz w:val="21"/>
                <w:szCs w:val="21"/>
              </w:rPr>
            </w:pPr>
          </w:p>
        </w:tc>
        <w:tc>
          <w:tcPr>
            <w:tcW w:w="3960" w:type="dxa"/>
            <w:tcBorders>
              <w:top w:val="single" w:sz="4" w:space="0" w:color="auto"/>
              <w:left w:val="single" w:sz="4" w:space="0" w:color="auto"/>
              <w:bottom w:val="single" w:sz="4" w:space="0" w:color="auto"/>
              <w:right w:val="single" w:sz="4" w:space="0" w:color="auto"/>
            </w:tcBorders>
          </w:tcPr>
          <w:p w14:paraId="3BBB517D" w14:textId="77777777" w:rsidR="00471435" w:rsidRPr="008950E6" w:rsidRDefault="00471435" w:rsidP="00586D41">
            <w:pPr>
              <w:rPr>
                <w:rFonts w:ascii="Garamond" w:hAnsi="Garamond" w:cs="Times New Roman"/>
                <w:sz w:val="21"/>
                <w:szCs w:val="21"/>
                <w:lang w:val="en-GB"/>
              </w:rPr>
            </w:pPr>
            <w:r>
              <w:rPr>
                <w:rFonts w:ascii="Garamond" w:hAnsi="Garamond" w:cs="Times New Roman"/>
                <w:sz w:val="21"/>
                <w:szCs w:val="21"/>
              </w:rPr>
              <w:t>Progress</w:t>
            </w:r>
            <w:r w:rsidRPr="00053405">
              <w:rPr>
                <w:rFonts w:ascii="Garamond" w:hAnsi="Garamond" w:cs="Times New Roman"/>
                <w:sz w:val="21"/>
                <w:szCs w:val="21"/>
              </w:rPr>
              <w:t xml:space="preserve"> </w:t>
            </w:r>
            <w:r>
              <w:rPr>
                <w:rFonts w:ascii="Garamond" w:hAnsi="Garamond" w:cs="Times New Roman"/>
                <w:sz w:val="21"/>
                <w:szCs w:val="21"/>
              </w:rPr>
              <w:t xml:space="preserve">in </w:t>
            </w:r>
            <w:r w:rsidRPr="00053405">
              <w:rPr>
                <w:rFonts w:ascii="Garamond" w:hAnsi="Garamond" w:cs="Times New Roman"/>
                <w:sz w:val="21"/>
                <w:szCs w:val="21"/>
              </w:rPr>
              <w:t>fiscal decentralization</w:t>
            </w:r>
            <w:r>
              <w:rPr>
                <w:rFonts w:ascii="Garamond" w:hAnsi="Garamond" w:cs="Times New Roman"/>
                <w:sz w:val="21"/>
                <w:szCs w:val="21"/>
              </w:rPr>
              <w:t xml:space="preserve"> and </w:t>
            </w:r>
            <w:r w:rsidRPr="00053405">
              <w:rPr>
                <w:rFonts w:ascii="Garamond" w:hAnsi="Garamond" w:cs="Times New Roman"/>
                <w:sz w:val="21"/>
                <w:szCs w:val="21"/>
              </w:rPr>
              <w:t xml:space="preserve">establish better monitoring and oversight systems </w:t>
            </w:r>
            <w:r>
              <w:rPr>
                <w:rFonts w:ascii="Garamond" w:hAnsi="Garamond" w:cs="Times New Roman"/>
                <w:sz w:val="21"/>
                <w:szCs w:val="21"/>
              </w:rPr>
              <w:t>at the district level to</w:t>
            </w:r>
            <w:r>
              <w:t xml:space="preserve"> </w:t>
            </w:r>
            <w:r w:rsidRPr="005E5BF5">
              <w:rPr>
                <w:rFonts w:ascii="Garamond" w:hAnsi="Garamond" w:cs="Times New Roman"/>
                <w:sz w:val="21"/>
                <w:szCs w:val="21"/>
              </w:rPr>
              <w:t>improve educational outcomes, especially in poor and rural schools</w:t>
            </w:r>
            <w:r>
              <w:rPr>
                <w:rFonts w:ascii="Garamond" w:hAnsi="Garamond" w:cs="Times New Roman"/>
                <w:sz w:val="21"/>
                <w:szCs w:val="21"/>
              </w:rPr>
              <w:t>.</w:t>
            </w:r>
            <w:r w:rsidRPr="005E5BF5">
              <w:rPr>
                <w:rFonts w:ascii="Garamond" w:hAnsi="Garamond" w:cs="Times New Roman"/>
                <w:sz w:val="21"/>
                <w:szCs w:val="21"/>
              </w:rPr>
              <w:t xml:space="preserve"> </w:t>
            </w:r>
          </w:p>
        </w:tc>
        <w:tc>
          <w:tcPr>
            <w:tcW w:w="1620" w:type="dxa"/>
            <w:tcBorders>
              <w:top w:val="single" w:sz="4" w:space="0" w:color="auto"/>
              <w:left w:val="single" w:sz="4" w:space="0" w:color="auto"/>
              <w:bottom w:val="single" w:sz="4" w:space="0" w:color="auto"/>
              <w:right w:val="single" w:sz="4" w:space="0" w:color="auto"/>
            </w:tcBorders>
          </w:tcPr>
          <w:p w14:paraId="1C31F55D" w14:textId="77777777" w:rsidR="00471435" w:rsidRPr="008950E6" w:rsidRDefault="00471435" w:rsidP="00586D41">
            <w:pPr>
              <w:rPr>
                <w:rFonts w:ascii="Garamond" w:hAnsi="Garamond" w:cs="Times New Roman"/>
                <w:sz w:val="21"/>
                <w:szCs w:val="21"/>
              </w:rPr>
            </w:pPr>
            <w:r w:rsidRPr="008950E6">
              <w:rPr>
                <w:rFonts w:ascii="Garamond" w:hAnsi="Garamond" w:cs="Times New Roman"/>
                <w:sz w:val="21"/>
                <w:szCs w:val="21"/>
              </w:rPr>
              <w:t>Short to Medium Term</w:t>
            </w:r>
          </w:p>
        </w:tc>
        <w:tc>
          <w:tcPr>
            <w:tcW w:w="2970" w:type="dxa"/>
            <w:tcBorders>
              <w:top w:val="single" w:sz="4" w:space="0" w:color="auto"/>
              <w:left w:val="single" w:sz="4" w:space="0" w:color="auto"/>
              <w:bottom w:val="single" w:sz="4" w:space="0" w:color="auto"/>
              <w:right w:val="single" w:sz="4" w:space="0" w:color="auto"/>
            </w:tcBorders>
          </w:tcPr>
          <w:p w14:paraId="439EB92A" w14:textId="77777777" w:rsidR="00471435" w:rsidRDefault="00471435" w:rsidP="00586D41">
            <w:pPr>
              <w:rPr>
                <w:rFonts w:ascii="Garamond" w:hAnsi="Garamond" w:cs="Times New Roman"/>
                <w:sz w:val="21"/>
                <w:szCs w:val="21"/>
              </w:rPr>
            </w:pPr>
            <w:r>
              <w:rPr>
                <w:rFonts w:ascii="Garamond" w:hAnsi="Garamond" w:cs="Times New Roman"/>
                <w:sz w:val="21"/>
                <w:szCs w:val="21"/>
              </w:rPr>
              <w:t>MoF/MoEd/MMDAs</w:t>
            </w:r>
          </w:p>
          <w:p w14:paraId="3B326BEE" w14:textId="77777777" w:rsidR="00471435" w:rsidRPr="008950E6" w:rsidRDefault="00471435" w:rsidP="00586D41">
            <w:pPr>
              <w:rPr>
                <w:rFonts w:ascii="Garamond" w:hAnsi="Garamond" w:cs="Times New Roman"/>
                <w:sz w:val="21"/>
                <w:szCs w:val="21"/>
              </w:rPr>
            </w:pPr>
          </w:p>
        </w:tc>
      </w:tr>
      <w:tr w:rsidR="00471435" w:rsidRPr="008950E6" w14:paraId="0539C974" w14:textId="77777777" w:rsidTr="00586D41">
        <w:tc>
          <w:tcPr>
            <w:tcW w:w="1705" w:type="dxa"/>
            <w:vMerge/>
            <w:tcBorders>
              <w:left w:val="single" w:sz="4" w:space="0" w:color="auto"/>
              <w:right w:val="single" w:sz="4" w:space="0" w:color="auto"/>
            </w:tcBorders>
            <w:vAlign w:val="center"/>
          </w:tcPr>
          <w:p w14:paraId="37FF317B" w14:textId="77777777" w:rsidR="00471435" w:rsidRPr="008950E6" w:rsidRDefault="00471435" w:rsidP="00586D41">
            <w:pPr>
              <w:rPr>
                <w:rFonts w:ascii="Garamond" w:hAnsi="Garamond" w:cs="Times New Roman"/>
                <w:sz w:val="21"/>
                <w:szCs w:val="21"/>
              </w:rPr>
            </w:pPr>
          </w:p>
        </w:tc>
        <w:tc>
          <w:tcPr>
            <w:tcW w:w="3960" w:type="dxa"/>
            <w:tcBorders>
              <w:top w:val="single" w:sz="4" w:space="0" w:color="auto"/>
              <w:left w:val="single" w:sz="4" w:space="0" w:color="auto"/>
              <w:bottom w:val="single" w:sz="4" w:space="0" w:color="auto"/>
              <w:right w:val="single" w:sz="4" w:space="0" w:color="auto"/>
            </w:tcBorders>
          </w:tcPr>
          <w:p w14:paraId="541A1659" w14:textId="77777777" w:rsidR="00471435" w:rsidRPr="008950E6" w:rsidRDefault="00471435" w:rsidP="00586D41">
            <w:pPr>
              <w:rPr>
                <w:rFonts w:ascii="Garamond" w:hAnsi="Garamond" w:cs="Times New Roman"/>
                <w:sz w:val="21"/>
                <w:szCs w:val="21"/>
                <w:lang w:val="en-GB"/>
              </w:rPr>
            </w:pPr>
            <w:r>
              <w:rPr>
                <w:rFonts w:ascii="Garamond" w:hAnsi="Garamond" w:cs="Times New Roman"/>
                <w:sz w:val="21"/>
                <w:szCs w:val="21"/>
                <w:lang w:val="en-GB"/>
              </w:rPr>
              <w:t xml:space="preserve">Better align the spending </w:t>
            </w:r>
            <w:r w:rsidRPr="0016673E">
              <w:rPr>
                <w:rFonts w:ascii="Garamond" w:hAnsi="Garamond" w:cs="Times New Roman"/>
                <w:sz w:val="21"/>
                <w:szCs w:val="21"/>
                <w:lang w:val="en-GB"/>
              </w:rPr>
              <w:t xml:space="preserve">between public and private facilities, between primary, secondary and tertiary facilities, and between different types of health service. </w:t>
            </w:r>
          </w:p>
        </w:tc>
        <w:tc>
          <w:tcPr>
            <w:tcW w:w="1620" w:type="dxa"/>
            <w:tcBorders>
              <w:top w:val="single" w:sz="4" w:space="0" w:color="auto"/>
              <w:left w:val="single" w:sz="4" w:space="0" w:color="auto"/>
              <w:bottom w:val="single" w:sz="4" w:space="0" w:color="auto"/>
              <w:right w:val="single" w:sz="4" w:space="0" w:color="auto"/>
            </w:tcBorders>
          </w:tcPr>
          <w:p w14:paraId="07D825EF" w14:textId="77777777" w:rsidR="00471435" w:rsidRPr="008950E6" w:rsidRDefault="00471435" w:rsidP="00586D41">
            <w:pPr>
              <w:rPr>
                <w:rFonts w:ascii="Garamond" w:hAnsi="Garamond" w:cs="Times New Roman"/>
                <w:sz w:val="21"/>
                <w:szCs w:val="21"/>
              </w:rPr>
            </w:pPr>
            <w:r w:rsidRPr="008950E6">
              <w:rPr>
                <w:rFonts w:ascii="Garamond" w:hAnsi="Garamond" w:cs="Times New Roman"/>
                <w:sz w:val="21"/>
                <w:szCs w:val="21"/>
              </w:rPr>
              <w:t>Short to Medium Term</w:t>
            </w:r>
          </w:p>
        </w:tc>
        <w:tc>
          <w:tcPr>
            <w:tcW w:w="2970" w:type="dxa"/>
            <w:tcBorders>
              <w:top w:val="single" w:sz="4" w:space="0" w:color="auto"/>
              <w:left w:val="single" w:sz="4" w:space="0" w:color="auto"/>
              <w:bottom w:val="single" w:sz="4" w:space="0" w:color="auto"/>
              <w:right w:val="single" w:sz="4" w:space="0" w:color="auto"/>
            </w:tcBorders>
          </w:tcPr>
          <w:p w14:paraId="0A33EDE3" w14:textId="77777777" w:rsidR="00471435" w:rsidRPr="008950E6" w:rsidRDefault="00471435" w:rsidP="00586D41">
            <w:pPr>
              <w:rPr>
                <w:rFonts w:ascii="Garamond" w:hAnsi="Garamond" w:cs="Times New Roman"/>
                <w:sz w:val="21"/>
                <w:szCs w:val="21"/>
              </w:rPr>
            </w:pPr>
            <w:r>
              <w:rPr>
                <w:rFonts w:ascii="Garamond" w:hAnsi="Garamond" w:cs="Times New Roman"/>
                <w:sz w:val="21"/>
                <w:szCs w:val="21"/>
              </w:rPr>
              <w:t>MoF/MoH/NHIA</w:t>
            </w:r>
          </w:p>
        </w:tc>
      </w:tr>
      <w:tr w:rsidR="00471435" w:rsidRPr="008950E6" w14:paraId="162F3D7A" w14:textId="77777777" w:rsidTr="00586D41">
        <w:tc>
          <w:tcPr>
            <w:tcW w:w="1705" w:type="dxa"/>
            <w:vMerge/>
            <w:tcBorders>
              <w:left w:val="single" w:sz="4" w:space="0" w:color="auto"/>
              <w:right w:val="single" w:sz="4" w:space="0" w:color="auto"/>
            </w:tcBorders>
            <w:vAlign w:val="center"/>
          </w:tcPr>
          <w:p w14:paraId="14F20C28" w14:textId="77777777" w:rsidR="00471435" w:rsidRPr="008950E6" w:rsidRDefault="00471435" w:rsidP="00586D41">
            <w:pPr>
              <w:rPr>
                <w:rFonts w:ascii="Garamond" w:hAnsi="Garamond" w:cs="Times New Roman"/>
                <w:sz w:val="21"/>
                <w:szCs w:val="21"/>
              </w:rPr>
            </w:pPr>
          </w:p>
        </w:tc>
        <w:tc>
          <w:tcPr>
            <w:tcW w:w="3960" w:type="dxa"/>
            <w:tcBorders>
              <w:top w:val="single" w:sz="4" w:space="0" w:color="auto"/>
              <w:left w:val="single" w:sz="4" w:space="0" w:color="auto"/>
              <w:bottom w:val="single" w:sz="4" w:space="0" w:color="auto"/>
              <w:right w:val="single" w:sz="4" w:space="0" w:color="auto"/>
            </w:tcBorders>
          </w:tcPr>
          <w:p w14:paraId="24C92A08" w14:textId="77777777" w:rsidR="00471435" w:rsidRPr="008950E6" w:rsidRDefault="00471435" w:rsidP="00586D41">
            <w:pPr>
              <w:rPr>
                <w:rFonts w:ascii="Garamond" w:hAnsi="Garamond" w:cs="Times New Roman"/>
                <w:sz w:val="21"/>
                <w:szCs w:val="21"/>
                <w:lang w:val="en-GB"/>
              </w:rPr>
            </w:pPr>
            <w:r>
              <w:rPr>
                <w:rFonts w:ascii="Garamond" w:hAnsi="Garamond" w:cs="Times New Roman"/>
                <w:sz w:val="21"/>
                <w:szCs w:val="21"/>
                <w:lang w:val="en-GB"/>
              </w:rPr>
              <w:t xml:space="preserve">Increase capital </w:t>
            </w:r>
            <w:r w:rsidRPr="0016673E">
              <w:rPr>
                <w:rFonts w:ascii="Garamond" w:hAnsi="Garamond" w:cs="Times New Roman"/>
                <w:sz w:val="21"/>
                <w:szCs w:val="21"/>
                <w:lang w:val="en-GB"/>
              </w:rPr>
              <w:t>spending towards primary care, and encourage the development of alternative treatment models in primary-care facilities.</w:t>
            </w:r>
          </w:p>
        </w:tc>
        <w:tc>
          <w:tcPr>
            <w:tcW w:w="1620" w:type="dxa"/>
            <w:tcBorders>
              <w:top w:val="single" w:sz="4" w:space="0" w:color="auto"/>
              <w:left w:val="single" w:sz="4" w:space="0" w:color="auto"/>
              <w:bottom w:val="single" w:sz="4" w:space="0" w:color="auto"/>
              <w:right w:val="single" w:sz="4" w:space="0" w:color="auto"/>
            </w:tcBorders>
          </w:tcPr>
          <w:p w14:paraId="545E4408" w14:textId="77777777" w:rsidR="00471435" w:rsidRPr="008950E6" w:rsidRDefault="00471435" w:rsidP="00586D41">
            <w:pPr>
              <w:rPr>
                <w:rFonts w:ascii="Garamond" w:hAnsi="Garamond" w:cs="Times New Roman"/>
                <w:sz w:val="21"/>
                <w:szCs w:val="21"/>
              </w:rPr>
            </w:pPr>
            <w:r w:rsidRPr="008950E6">
              <w:rPr>
                <w:rFonts w:ascii="Garamond" w:hAnsi="Garamond" w:cs="Times New Roman"/>
                <w:sz w:val="21"/>
                <w:szCs w:val="21"/>
              </w:rPr>
              <w:t>Short to Medium Term</w:t>
            </w:r>
          </w:p>
        </w:tc>
        <w:tc>
          <w:tcPr>
            <w:tcW w:w="2970" w:type="dxa"/>
            <w:tcBorders>
              <w:top w:val="single" w:sz="4" w:space="0" w:color="auto"/>
              <w:left w:val="single" w:sz="4" w:space="0" w:color="auto"/>
              <w:bottom w:val="single" w:sz="4" w:space="0" w:color="auto"/>
              <w:right w:val="single" w:sz="4" w:space="0" w:color="auto"/>
            </w:tcBorders>
          </w:tcPr>
          <w:p w14:paraId="3F64B98D" w14:textId="77777777" w:rsidR="00471435" w:rsidRPr="008950E6" w:rsidRDefault="00471435" w:rsidP="00586D41">
            <w:pPr>
              <w:rPr>
                <w:rFonts w:ascii="Garamond" w:hAnsi="Garamond" w:cs="Times New Roman"/>
                <w:sz w:val="21"/>
                <w:szCs w:val="21"/>
              </w:rPr>
            </w:pPr>
            <w:r>
              <w:rPr>
                <w:rFonts w:ascii="Garamond" w:hAnsi="Garamond" w:cs="Times New Roman"/>
                <w:sz w:val="21"/>
                <w:szCs w:val="21"/>
              </w:rPr>
              <w:t>MoF/MoH/NHIA</w:t>
            </w:r>
          </w:p>
        </w:tc>
      </w:tr>
      <w:tr w:rsidR="00471435" w:rsidRPr="008950E6" w14:paraId="68B7FC11" w14:textId="77777777" w:rsidTr="00BE0264">
        <w:tc>
          <w:tcPr>
            <w:tcW w:w="1705" w:type="dxa"/>
            <w:vMerge/>
            <w:tcBorders>
              <w:left w:val="single" w:sz="4" w:space="0" w:color="auto"/>
              <w:right w:val="single" w:sz="4" w:space="0" w:color="auto"/>
            </w:tcBorders>
            <w:vAlign w:val="center"/>
          </w:tcPr>
          <w:p w14:paraId="2D563056" w14:textId="77777777" w:rsidR="00471435" w:rsidRPr="008950E6" w:rsidRDefault="00471435" w:rsidP="00586D41">
            <w:pPr>
              <w:rPr>
                <w:rFonts w:ascii="Garamond" w:hAnsi="Garamond" w:cs="Times New Roman"/>
                <w:sz w:val="21"/>
                <w:szCs w:val="21"/>
              </w:rPr>
            </w:pPr>
          </w:p>
        </w:tc>
        <w:tc>
          <w:tcPr>
            <w:tcW w:w="3960" w:type="dxa"/>
            <w:tcBorders>
              <w:top w:val="single" w:sz="4" w:space="0" w:color="auto"/>
              <w:left w:val="single" w:sz="4" w:space="0" w:color="auto"/>
              <w:bottom w:val="single" w:sz="4" w:space="0" w:color="auto"/>
              <w:right w:val="single" w:sz="4" w:space="0" w:color="auto"/>
            </w:tcBorders>
          </w:tcPr>
          <w:p w14:paraId="5E8923DD" w14:textId="77777777" w:rsidR="00471435" w:rsidRPr="008950E6" w:rsidRDefault="00471435" w:rsidP="00586D41">
            <w:pPr>
              <w:rPr>
                <w:rFonts w:ascii="Garamond" w:hAnsi="Garamond" w:cs="Times New Roman"/>
                <w:sz w:val="21"/>
                <w:szCs w:val="21"/>
                <w:lang w:val="en-GB"/>
              </w:rPr>
            </w:pPr>
            <w:r>
              <w:rPr>
                <w:rFonts w:ascii="Garamond" w:hAnsi="Garamond" w:cs="Times New Roman"/>
                <w:sz w:val="21"/>
                <w:szCs w:val="21"/>
                <w:lang w:val="en-GB"/>
              </w:rPr>
              <w:t>A</w:t>
            </w:r>
            <w:r w:rsidRPr="00D809F5">
              <w:rPr>
                <w:rFonts w:ascii="Garamond" w:hAnsi="Garamond" w:cs="Times New Roman"/>
                <w:sz w:val="21"/>
                <w:szCs w:val="21"/>
                <w:lang w:val="en-GB"/>
              </w:rPr>
              <w:t>llocate resources to essential preventive programs</w:t>
            </w:r>
            <w:r>
              <w:rPr>
                <w:rFonts w:ascii="Garamond" w:hAnsi="Garamond" w:cs="Times New Roman"/>
                <w:sz w:val="21"/>
                <w:szCs w:val="21"/>
                <w:lang w:val="en-GB"/>
              </w:rPr>
              <w:t xml:space="preserve"> and provide </w:t>
            </w:r>
            <w:r w:rsidRPr="00D809F5">
              <w:rPr>
                <w:rFonts w:ascii="Garamond" w:hAnsi="Garamond" w:cs="Times New Roman"/>
                <w:sz w:val="21"/>
                <w:szCs w:val="21"/>
                <w:lang w:val="en-GB"/>
              </w:rPr>
              <w:t xml:space="preserve">incentives for </w:t>
            </w:r>
            <w:r>
              <w:rPr>
                <w:rFonts w:ascii="Garamond" w:hAnsi="Garamond" w:cs="Times New Roman"/>
                <w:sz w:val="21"/>
                <w:szCs w:val="21"/>
                <w:lang w:val="en-GB"/>
              </w:rPr>
              <w:t>good quality</w:t>
            </w:r>
            <w:r w:rsidRPr="00D809F5">
              <w:rPr>
                <w:rFonts w:ascii="Garamond" w:hAnsi="Garamond" w:cs="Times New Roman"/>
                <w:sz w:val="21"/>
                <w:szCs w:val="21"/>
                <w:lang w:val="en-GB"/>
              </w:rPr>
              <w:t xml:space="preserve"> preventive health service</w:t>
            </w:r>
            <w:r>
              <w:rPr>
                <w:rFonts w:ascii="Garamond" w:hAnsi="Garamond" w:cs="Times New Roman"/>
                <w:sz w:val="21"/>
                <w:szCs w:val="21"/>
                <w:lang w:val="en-GB"/>
              </w:rPr>
              <w:t xml:space="preserve"> delivery.</w:t>
            </w:r>
          </w:p>
        </w:tc>
        <w:tc>
          <w:tcPr>
            <w:tcW w:w="1620" w:type="dxa"/>
            <w:tcBorders>
              <w:top w:val="single" w:sz="4" w:space="0" w:color="auto"/>
              <w:left w:val="single" w:sz="4" w:space="0" w:color="auto"/>
              <w:bottom w:val="single" w:sz="4" w:space="0" w:color="auto"/>
              <w:right w:val="single" w:sz="4" w:space="0" w:color="auto"/>
            </w:tcBorders>
          </w:tcPr>
          <w:p w14:paraId="4E31C035" w14:textId="77777777" w:rsidR="00471435" w:rsidRPr="008950E6" w:rsidRDefault="00471435" w:rsidP="00586D41">
            <w:pPr>
              <w:rPr>
                <w:rFonts w:ascii="Garamond" w:hAnsi="Garamond" w:cs="Times New Roman"/>
                <w:sz w:val="21"/>
                <w:szCs w:val="21"/>
              </w:rPr>
            </w:pPr>
            <w:r w:rsidRPr="008950E6">
              <w:rPr>
                <w:rFonts w:ascii="Garamond" w:hAnsi="Garamond" w:cs="Times New Roman"/>
                <w:sz w:val="21"/>
                <w:szCs w:val="21"/>
              </w:rPr>
              <w:t>Short to Medium Term</w:t>
            </w:r>
          </w:p>
        </w:tc>
        <w:tc>
          <w:tcPr>
            <w:tcW w:w="2970" w:type="dxa"/>
            <w:tcBorders>
              <w:top w:val="single" w:sz="4" w:space="0" w:color="auto"/>
              <w:left w:val="single" w:sz="4" w:space="0" w:color="auto"/>
              <w:bottom w:val="single" w:sz="4" w:space="0" w:color="auto"/>
              <w:right w:val="single" w:sz="4" w:space="0" w:color="auto"/>
            </w:tcBorders>
          </w:tcPr>
          <w:p w14:paraId="65A792CF" w14:textId="77777777" w:rsidR="00471435" w:rsidRPr="008950E6" w:rsidRDefault="00471435" w:rsidP="00586D41">
            <w:pPr>
              <w:rPr>
                <w:rFonts w:ascii="Garamond" w:hAnsi="Garamond" w:cs="Times New Roman"/>
                <w:sz w:val="21"/>
                <w:szCs w:val="21"/>
              </w:rPr>
            </w:pPr>
            <w:r>
              <w:rPr>
                <w:rFonts w:ascii="Garamond" w:hAnsi="Garamond" w:cs="Times New Roman"/>
                <w:sz w:val="21"/>
                <w:szCs w:val="21"/>
              </w:rPr>
              <w:t>MoF/MoH/NHIA</w:t>
            </w:r>
          </w:p>
        </w:tc>
      </w:tr>
      <w:tr w:rsidR="00471435" w:rsidRPr="008950E6" w14:paraId="114AD764" w14:textId="77777777" w:rsidTr="00586D41">
        <w:tc>
          <w:tcPr>
            <w:tcW w:w="1705" w:type="dxa"/>
            <w:vMerge/>
            <w:tcBorders>
              <w:left w:val="single" w:sz="4" w:space="0" w:color="auto"/>
              <w:bottom w:val="single" w:sz="4" w:space="0" w:color="auto"/>
              <w:right w:val="single" w:sz="4" w:space="0" w:color="auto"/>
            </w:tcBorders>
            <w:vAlign w:val="center"/>
          </w:tcPr>
          <w:p w14:paraId="754E1574" w14:textId="77777777" w:rsidR="00471435" w:rsidRPr="008950E6" w:rsidRDefault="00471435" w:rsidP="00471435">
            <w:pPr>
              <w:rPr>
                <w:rFonts w:ascii="Garamond" w:hAnsi="Garamond" w:cs="Times New Roman"/>
                <w:sz w:val="21"/>
                <w:szCs w:val="21"/>
              </w:rPr>
            </w:pPr>
          </w:p>
        </w:tc>
        <w:tc>
          <w:tcPr>
            <w:tcW w:w="3960" w:type="dxa"/>
            <w:tcBorders>
              <w:top w:val="single" w:sz="4" w:space="0" w:color="auto"/>
              <w:left w:val="single" w:sz="4" w:space="0" w:color="auto"/>
              <w:bottom w:val="single" w:sz="4" w:space="0" w:color="auto"/>
              <w:right w:val="single" w:sz="4" w:space="0" w:color="auto"/>
            </w:tcBorders>
          </w:tcPr>
          <w:p w14:paraId="4F99F7F4" w14:textId="77777777" w:rsidR="00471435" w:rsidRPr="00471435" w:rsidRDefault="00471435" w:rsidP="00471435">
            <w:pPr>
              <w:rPr>
                <w:rFonts w:ascii="Garamond" w:hAnsi="Garamond" w:cs="Times New Roman"/>
                <w:sz w:val="20"/>
                <w:szCs w:val="20"/>
                <w:lang w:val="en-GB"/>
              </w:rPr>
            </w:pPr>
            <w:r w:rsidRPr="00471435">
              <w:rPr>
                <w:rFonts w:ascii="Garamond" w:hAnsi="Garamond"/>
                <w:sz w:val="20"/>
                <w:szCs w:val="20"/>
              </w:rPr>
              <w:t xml:space="preserve">Reform NHIS to improve its efficiency and financial sustainability by controlling expenditure, increasing efficiency, enhancing accountability and empowering citizens. </w:t>
            </w:r>
          </w:p>
        </w:tc>
        <w:tc>
          <w:tcPr>
            <w:tcW w:w="1620" w:type="dxa"/>
            <w:tcBorders>
              <w:top w:val="single" w:sz="4" w:space="0" w:color="auto"/>
              <w:left w:val="single" w:sz="4" w:space="0" w:color="auto"/>
              <w:bottom w:val="single" w:sz="4" w:space="0" w:color="auto"/>
              <w:right w:val="single" w:sz="4" w:space="0" w:color="auto"/>
            </w:tcBorders>
          </w:tcPr>
          <w:p w14:paraId="60CA2C5F" w14:textId="77777777" w:rsidR="00471435" w:rsidRPr="00471435" w:rsidRDefault="00471435" w:rsidP="00471435">
            <w:pPr>
              <w:rPr>
                <w:rFonts w:ascii="Garamond" w:hAnsi="Garamond" w:cs="Times New Roman"/>
                <w:sz w:val="20"/>
                <w:szCs w:val="20"/>
              </w:rPr>
            </w:pPr>
            <w:r w:rsidRPr="00471435">
              <w:rPr>
                <w:rFonts w:ascii="Garamond" w:hAnsi="Garamond"/>
                <w:sz w:val="20"/>
                <w:szCs w:val="20"/>
              </w:rPr>
              <w:t>Short to Medium Term</w:t>
            </w:r>
          </w:p>
        </w:tc>
        <w:tc>
          <w:tcPr>
            <w:tcW w:w="2970" w:type="dxa"/>
            <w:tcBorders>
              <w:top w:val="single" w:sz="4" w:space="0" w:color="auto"/>
              <w:left w:val="single" w:sz="4" w:space="0" w:color="auto"/>
              <w:bottom w:val="single" w:sz="4" w:space="0" w:color="auto"/>
              <w:right w:val="single" w:sz="4" w:space="0" w:color="auto"/>
            </w:tcBorders>
          </w:tcPr>
          <w:p w14:paraId="47152575" w14:textId="77777777" w:rsidR="00471435" w:rsidRPr="00471435" w:rsidRDefault="00471435" w:rsidP="00471435">
            <w:pPr>
              <w:rPr>
                <w:rFonts w:ascii="Garamond" w:hAnsi="Garamond" w:cs="Times New Roman"/>
                <w:sz w:val="20"/>
                <w:szCs w:val="20"/>
              </w:rPr>
            </w:pPr>
            <w:r w:rsidRPr="00471435">
              <w:rPr>
                <w:rFonts w:ascii="Garamond" w:hAnsi="Garamond"/>
                <w:sz w:val="20"/>
                <w:szCs w:val="20"/>
              </w:rPr>
              <w:t>MOF</w:t>
            </w:r>
            <w:r>
              <w:rPr>
                <w:rFonts w:ascii="Garamond" w:hAnsi="Garamond"/>
                <w:sz w:val="20"/>
                <w:szCs w:val="20"/>
              </w:rPr>
              <w:t>/</w:t>
            </w:r>
            <w:r w:rsidRPr="00471435">
              <w:rPr>
                <w:rFonts w:ascii="Garamond" w:hAnsi="Garamond"/>
                <w:sz w:val="20"/>
                <w:szCs w:val="20"/>
              </w:rPr>
              <w:t>MOH</w:t>
            </w:r>
            <w:r>
              <w:rPr>
                <w:rFonts w:ascii="Garamond" w:hAnsi="Garamond"/>
                <w:sz w:val="20"/>
                <w:szCs w:val="20"/>
              </w:rPr>
              <w:t>/</w:t>
            </w:r>
            <w:r w:rsidRPr="00471435">
              <w:rPr>
                <w:rFonts w:ascii="Garamond" w:hAnsi="Garamond"/>
                <w:sz w:val="20"/>
                <w:szCs w:val="20"/>
              </w:rPr>
              <w:t>NHIA</w:t>
            </w:r>
          </w:p>
        </w:tc>
      </w:tr>
      <w:tr w:rsidR="008D2695" w:rsidRPr="008950E6" w14:paraId="047EC451" w14:textId="77777777" w:rsidTr="00586D41">
        <w:tc>
          <w:tcPr>
            <w:tcW w:w="1705" w:type="dxa"/>
            <w:vMerge w:val="restart"/>
            <w:tcBorders>
              <w:top w:val="single" w:sz="4" w:space="0" w:color="auto"/>
              <w:left w:val="single" w:sz="4" w:space="0" w:color="auto"/>
              <w:right w:val="single" w:sz="4" w:space="0" w:color="auto"/>
            </w:tcBorders>
            <w:vAlign w:val="center"/>
          </w:tcPr>
          <w:p w14:paraId="7F35E1A7" w14:textId="77777777" w:rsidR="008D2695" w:rsidRPr="008950E6" w:rsidRDefault="008D2695" w:rsidP="00586D41">
            <w:pPr>
              <w:rPr>
                <w:rFonts w:ascii="Garamond" w:hAnsi="Garamond" w:cs="Times New Roman"/>
                <w:sz w:val="21"/>
                <w:szCs w:val="21"/>
              </w:rPr>
            </w:pPr>
            <w:r>
              <w:rPr>
                <w:rFonts w:ascii="Garamond" w:hAnsi="Garamond" w:cs="Times New Roman"/>
                <w:b/>
                <w:color w:val="1F4E79" w:themeColor="accent1" w:themeShade="80"/>
                <w:sz w:val="21"/>
                <w:szCs w:val="21"/>
              </w:rPr>
              <w:t>Revitalize Agricultural Growth</w:t>
            </w:r>
          </w:p>
        </w:tc>
        <w:tc>
          <w:tcPr>
            <w:tcW w:w="3960" w:type="dxa"/>
            <w:tcBorders>
              <w:top w:val="single" w:sz="4" w:space="0" w:color="auto"/>
              <w:left w:val="single" w:sz="4" w:space="0" w:color="auto"/>
              <w:bottom w:val="single" w:sz="4" w:space="0" w:color="auto"/>
              <w:right w:val="single" w:sz="4" w:space="0" w:color="auto"/>
            </w:tcBorders>
          </w:tcPr>
          <w:p w14:paraId="511ECB10" w14:textId="77777777" w:rsidR="008D2695" w:rsidRPr="008950E6" w:rsidRDefault="008D2695" w:rsidP="00586D41">
            <w:pPr>
              <w:rPr>
                <w:rFonts w:ascii="Garamond" w:hAnsi="Garamond" w:cs="Times New Roman"/>
                <w:sz w:val="21"/>
                <w:szCs w:val="21"/>
                <w:lang w:val="en-GB"/>
              </w:rPr>
            </w:pPr>
            <w:r>
              <w:rPr>
                <w:rFonts w:ascii="Garamond" w:hAnsi="Garamond" w:cs="Times New Roman"/>
                <w:sz w:val="21"/>
                <w:szCs w:val="21"/>
                <w:lang w:val="en-GB"/>
              </w:rPr>
              <w:t>F</w:t>
            </w:r>
            <w:r w:rsidRPr="0038784C">
              <w:rPr>
                <w:rFonts w:ascii="Garamond" w:hAnsi="Garamond" w:cs="Times New Roman"/>
                <w:sz w:val="21"/>
                <w:szCs w:val="21"/>
                <w:lang w:val="en-GB"/>
              </w:rPr>
              <w:t>acilitate the</w:t>
            </w:r>
            <w:r>
              <w:rPr>
                <w:rFonts w:ascii="Garamond" w:hAnsi="Garamond" w:cs="Times New Roman"/>
                <w:sz w:val="21"/>
                <w:szCs w:val="21"/>
                <w:lang w:val="en-GB"/>
              </w:rPr>
              <w:t xml:space="preserve"> adoption of new technologies through i</w:t>
            </w:r>
            <w:r w:rsidRPr="0038784C">
              <w:rPr>
                <w:rFonts w:ascii="Garamond" w:hAnsi="Garamond" w:cs="Times New Roman"/>
                <w:sz w:val="21"/>
                <w:szCs w:val="21"/>
                <w:lang w:val="en-GB"/>
              </w:rPr>
              <w:t>ncrease</w:t>
            </w:r>
            <w:r>
              <w:rPr>
                <w:rFonts w:ascii="Garamond" w:hAnsi="Garamond" w:cs="Times New Roman"/>
                <w:sz w:val="21"/>
                <w:szCs w:val="21"/>
                <w:lang w:val="en-GB"/>
              </w:rPr>
              <w:t>d</w:t>
            </w:r>
            <w:r w:rsidRPr="0038784C">
              <w:rPr>
                <w:rFonts w:ascii="Garamond" w:hAnsi="Garamond" w:cs="Times New Roman"/>
                <w:sz w:val="21"/>
                <w:szCs w:val="21"/>
                <w:lang w:val="en-GB"/>
              </w:rPr>
              <w:t xml:space="preserve"> </w:t>
            </w:r>
            <w:r>
              <w:rPr>
                <w:rFonts w:ascii="Garamond" w:hAnsi="Garamond" w:cs="Times New Roman"/>
                <w:sz w:val="21"/>
                <w:szCs w:val="21"/>
                <w:lang w:val="en-GB"/>
              </w:rPr>
              <w:t xml:space="preserve">focus and </w:t>
            </w:r>
            <w:r w:rsidRPr="0038784C">
              <w:rPr>
                <w:rFonts w:ascii="Garamond" w:hAnsi="Garamond" w:cs="Times New Roman"/>
                <w:sz w:val="21"/>
                <w:szCs w:val="21"/>
                <w:lang w:val="en-GB"/>
              </w:rPr>
              <w:t>funding for agricultural research</w:t>
            </w:r>
            <w:r>
              <w:rPr>
                <w:rFonts w:ascii="Garamond" w:hAnsi="Garamond" w:cs="Times New Roman"/>
                <w:sz w:val="21"/>
                <w:szCs w:val="21"/>
                <w:lang w:val="en-GB"/>
              </w:rPr>
              <w:t xml:space="preserve"> and </w:t>
            </w:r>
            <w:r w:rsidRPr="0038784C">
              <w:rPr>
                <w:rFonts w:ascii="Garamond" w:hAnsi="Garamond" w:cs="Times New Roman"/>
                <w:sz w:val="21"/>
                <w:szCs w:val="21"/>
                <w:lang w:val="en-GB"/>
              </w:rPr>
              <w:t>regulatory reform</w:t>
            </w:r>
            <w:r>
              <w:rPr>
                <w:rFonts w:ascii="Garamond" w:hAnsi="Garamond" w:cs="Times New Roman"/>
                <w:sz w:val="21"/>
                <w:szCs w:val="21"/>
                <w:lang w:val="en-GB"/>
              </w:rPr>
              <w:t>.</w:t>
            </w:r>
            <w:r w:rsidRPr="0038784C">
              <w:rPr>
                <w:rFonts w:ascii="Garamond" w:hAnsi="Garamond" w:cs="Times New Roman"/>
                <w:sz w:val="21"/>
                <w:szCs w:val="21"/>
                <w:lang w:val="en-GB"/>
              </w:rPr>
              <w:t xml:space="preserve"> </w:t>
            </w:r>
          </w:p>
        </w:tc>
        <w:tc>
          <w:tcPr>
            <w:tcW w:w="1620" w:type="dxa"/>
            <w:tcBorders>
              <w:top w:val="single" w:sz="4" w:space="0" w:color="auto"/>
              <w:left w:val="single" w:sz="4" w:space="0" w:color="auto"/>
              <w:bottom w:val="single" w:sz="4" w:space="0" w:color="auto"/>
              <w:right w:val="single" w:sz="4" w:space="0" w:color="auto"/>
            </w:tcBorders>
          </w:tcPr>
          <w:p w14:paraId="25610758"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Short to Medium Term</w:t>
            </w:r>
          </w:p>
        </w:tc>
        <w:tc>
          <w:tcPr>
            <w:tcW w:w="2970" w:type="dxa"/>
            <w:tcBorders>
              <w:top w:val="single" w:sz="4" w:space="0" w:color="auto"/>
              <w:left w:val="single" w:sz="4" w:space="0" w:color="auto"/>
              <w:bottom w:val="single" w:sz="4" w:space="0" w:color="auto"/>
              <w:right w:val="single" w:sz="4" w:space="0" w:color="auto"/>
            </w:tcBorders>
          </w:tcPr>
          <w:p w14:paraId="16638F57" w14:textId="77777777" w:rsidR="008D2695" w:rsidRPr="008950E6" w:rsidRDefault="003170A0" w:rsidP="00586D41">
            <w:pPr>
              <w:rPr>
                <w:rFonts w:ascii="Garamond" w:hAnsi="Garamond" w:cs="Times New Roman"/>
                <w:sz w:val="21"/>
                <w:szCs w:val="21"/>
              </w:rPr>
            </w:pPr>
            <w:r>
              <w:rPr>
                <w:rFonts w:ascii="Garamond" w:hAnsi="Garamond" w:cs="Times New Roman"/>
                <w:sz w:val="21"/>
                <w:szCs w:val="21"/>
              </w:rPr>
              <w:t>MoFA</w:t>
            </w:r>
          </w:p>
        </w:tc>
      </w:tr>
      <w:tr w:rsidR="008D2695" w:rsidRPr="008950E6" w14:paraId="6F1AB500" w14:textId="77777777" w:rsidTr="00586D41">
        <w:tc>
          <w:tcPr>
            <w:tcW w:w="1705" w:type="dxa"/>
            <w:vMerge/>
            <w:tcBorders>
              <w:left w:val="single" w:sz="4" w:space="0" w:color="auto"/>
              <w:right w:val="single" w:sz="4" w:space="0" w:color="auto"/>
            </w:tcBorders>
            <w:vAlign w:val="center"/>
          </w:tcPr>
          <w:p w14:paraId="0E3E0463" w14:textId="77777777" w:rsidR="008D2695" w:rsidRPr="008950E6" w:rsidRDefault="008D2695" w:rsidP="00586D41">
            <w:pPr>
              <w:rPr>
                <w:rFonts w:ascii="Garamond" w:hAnsi="Garamond" w:cs="Times New Roman"/>
                <w:sz w:val="21"/>
                <w:szCs w:val="21"/>
              </w:rPr>
            </w:pPr>
          </w:p>
        </w:tc>
        <w:tc>
          <w:tcPr>
            <w:tcW w:w="3960" w:type="dxa"/>
            <w:tcBorders>
              <w:top w:val="single" w:sz="4" w:space="0" w:color="auto"/>
              <w:left w:val="single" w:sz="4" w:space="0" w:color="auto"/>
              <w:bottom w:val="single" w:sz="4" w:space="0" w:color="auto"/>
              <w:right w:val="single" w:sz="4" w:space="0" w:color="auto"/>
            </w:tcBorders>
          </w:tcPr>
          <w:p w14:paraId="7C3AFCD6" w14:textId="77777777" w:rsidR="008D2695" w:rsidRPr="008950E6" w:rsidRDefault="00407B4D" w:rsidP="00586D41">
            <w:pPr>
              <w:rPr>
                <w:rFonts w:ascii="Garamond" w:hAnsi="Garamond" w:cs="Times New Roman"/>
                <w:sz w:val="21"/>
                <w:szCs w:val="21"/>
                <w:lang w:val="en-GB"/>
              </w:rPr>
            </w:pPr>
            <w:r>
              <w:rPr>
                <w:rFonts w:ascii="Garamond" w:hAnsi="Garamond" w:cs="Times New Roman"/>
                <w:sz w:val="21"/>
                <w:szCs w:val="21"/>
                <w:lang w:val="en-GB"/>
              </w:rPr>
              <w:t>Fo</w:t>
            </w:r>
            <w:r w:rsidR="008D2695">
              <w:rPr>
                <w:rFonts w:ascii="Garamond" w:hAnsi="Garamond" w:cs="Times New Roman"/>
                <w:sz w:val="21"/>
                <w:szCs w:val="21"/>
                <w:lang w:val="en-GB"/>
              </w:rPr>
              <w:t xml:space="preserve">ster </w:t>
            </w:r>
            <w:r w:rsidR="008D2695" w:rsidRPr="0038784C">
              <w:rPr>
                <w:rFonts w:ascii="Garamond" w:hAnsi="Garamond" w:cs="Times New Roman"/>
                <w:sz w:val="21"/>
                <w:szCs w:val="21"/>
                <w:lang w:val="en-GB"/>
              </w:rPr>
              <w:t xml:space="preserve">private investment in </w:t>
            </w:r>
            <w:r w:rsidR="008D2695">
              <w:rPr>
                <w:rFonts w:ascii="Garamond" w:hAnsi="Garamond" w:cs="Times New Roman"/>
                <w:sz w:val="21"/>
                <w:szCs w:val="21"/>
                <w:lang w:val="en-GB"/>
              </w:rPr>
              <w:t>the sector through la</w:t>
            </w:r>
            <w:r w:rsidR="008D2695" w:rsidRPr="00DA4037">
              <w:rPr>
                <w:rFonts w:ascii="Garamond" w:hAnsi="Garamond" w:cs="Times New Roman"/>
                <w:sz w:val="21"/>
                <w:szCs w:val="21"/>
                <w:lang w:val="en-GB"/>
              </w:rPr>
              <w:t>nd-tenure reform</w:t>
            </w:r>
            <w:r w:rsidR="008D2695">
              <w:rPr>
                <w:rFonts w:ascii="Garamond" w:hAnsi="Garamond" w:cs="Times New Roman"/>
                <w:sz w:val="21"/>
                <w:szCs w:val="21"/>
                <w:lang w:val="en-GB"/>
              </w:rPr>
              <w:t>;</w:t>
            </w:r>
            <w:r w:rsidR="008D2695" w:rsidRPr="00DA4037">
              <w:rPr>
                <w:rFonts w:ascii="Garamond" w:hAnsi="Garamond" w:cs="Times New Roman"/>
                <w:sz w:val="21"/>
                <w:szCs w:val="21"/>
                <w:lang w:val="en-GB"/>
              </w:rPr>
              <w:t xml:space="preserve"> </w:t>
            </w:r>
            <w:r w:rsidR="008D2695">
              <w:rPr>
                <w:rFonts w:ascii="Garamond" w:hAnsi="Garamond" w:cs="Times New Roman"/>
                <w:sz w:val="21"/>
                <w:szCs w:val="21"/>
                <w:lang w:val="en-GB"/>
              </w:rPr>
              <w:t>c</w:t>
            </w:r>
            <w:r w:rsidR="008D2695" w:rsidRPr="0038784C">
              <w:rPr>
                <w:rFonts w:ascii="Garamond" w:hAnsi="Garamond" w:cs="Times New Roman"/>
                <w:sz w:val="21"/>
                <w:szCs w:val="21"/>
                <w:lang w:val="en-GB"/>
              </w:rPr>
              <w:t>larif</w:t>
            </w:r>
            <w:r w:rsidR="008D2695">
              <w:rPr>
                <w:rFonts w:ascii="Garamond" w:hAnsi="Garamond" w:cs="Times New Roman"/>
                <w:sz w:val="21"/>
                <w:szCs w:val="21"/>
                <w:lang w:val="en-GB"/>
              </w:rPr>
              <w:t>ying</w:t>
            </w:r>
            <w:r w:rsidR="008D2695" w:rsidRPr="0038784C">
              <w:rPr>
                <w:rFonts w:ascii="Garamond" w:hAnsi="Garamond" w:cs="Times New Roman"/>
                <w:sz w:val="21"/>
                <w:szCs w:val="21"/>
                <w:lang w:val="en-GB"/>
              </w:rPr>
              <w:t xml:space="preserve"> and reinforc</w:t>
            </w:r>
            <w:r w:rsidR="008D2695">
              <w:rPr>
                <w:rFonts w:ascii="Garamond" w:hAnsi="Garamond" w:cs="Times New Roman"/>
                <w:sz w:val="21"/>
                <w:szCs w:val="21"/>
                <w:lang w:val="en-GB"/>
              </w:rPr>
              <w:t xml:space="preserve">ing </w:t>
            </w:r>
            <w:r w:rsidR="008D2695" w:rsidRPr="0038784C">
              <w:rPr>
                <w:rFonts w:ascii="Garamond" w:hAnsi="Garamond" w:cs="Times New Roman"/>
                <w:sz w:val="21"/>
                <w:szCs w:val="21"/>
                <w:lang w:val="en-GB"/>
              </w:rPr>
              <w:t>intellectual property rights, strengthening quality assurance in seed markets, and r</w:t>
            </w:r>
            <w:r w:rsidR="008D2695">
              <w:rPr>
                <w:rFonts w:ascii="Garamond" w:hAnsi="Garamond" w:cs="Times New Roman"/>
                <w:sz w:val="21"/>
                <w:szCs w:val="21"/>
                <w:lang w:val="en-GB"/>
              </w:rPr>
              <w:t>ei</w:t>
            </w:r>
            <w:r w:rsidR="008D2695" w:rsidRPr="0038784C">
              <w:rPr>
                <w:rFonts w:ascii="Garamond" w:hAnsi="Garamond" w:cs="Times New Roman"/>
                <w:sz w:val="21"/>
                <w:szCs w:val="21"/>
                <w:lang w:val="en-GB"/>
              </w:rPr>
              <w:t>nforcing seed-labeling rules.</w:t>
            </w:r>
          </w:p>
        </w:tc>
        <w:tc>
          <w:tcPr>
            <w:tcW w:w="1620" w:type="dxa"/>
            <w:tcBorders>
              <w:top w:val="single" w:sz="4" w:space="0" w:color="auto"/>
              <w:left w:val="single" w:sz="4" w:space="0" w:color="auto"/>
              <w:bottom w:val="single" w:sz="4" w:space="0" w:color="auto"/>
              <w:right w:val="single" w:sz="4" w:space="0" w:color="auto"/>
            </w:tcBorders>
          </w:tcPr>
          <w:p w14:paraId="7E02AAC1"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Short to Medium Term</w:t>
            </w:r>
          </w:p>
        </w:tc>
        <w:tc>
          <w:tcPr>
            <w:tcW w:w="2970" w:type="dxa"/>
            <w:tcBorders>
              <w:top w:val="single" w:sz="4" w:space="0" w:color="auto"/>
              <w:left w:val="single" w:sz="4" w:space="0" w:color="auto"/>
              <w:bottom w:val="single" w:sz="4" w:space="0" w:color="auto"/>
              <w:right w:val="single" w:sz="4" w:space="0" w:color="auto"/>
            </w:tcBorders>
          </w:tcPr>
          <w:p w14:paraId="475DA89F" w14:textId="77777777" w:rsidR="008D2695" w:rsidRPr="008950E6" w:rsidRDefault="008D2695" w:rsidP="00586D41">
            <w:pPr>
              <w:rPr>
                <w:rFonts w:ascii="Garamond" w:hAnsi="Garamond" w:cs="Times New Roman"/>
                <w:sz w:val="21"/>
                <w:szCs w:val="21"/>
              </w:rPr>
            </w:pPr>
            <w:r>
              <w:rPr>
                <w:rFonts w:ascii="Garamond" w:hAnsi="Garamond" w:cs="Times New Roman"/>
                <w:sz w:val="21"/>
                <w:szCs w:val="21"/>
              </w:rPr>
              <w:t>GoG/</w:t>
            </w:r>
            <w:r w:rsidR="003170A0">
              <w:rPr>
                <w:rFonts w:ascii="Garamond" w:hAnsi="Garamond" w:cs="Times New Roman"/>
                <w:sz w:val="21"/>
                <w:szCs w:val="21"/>
              </w:rPr>
              <w:t>MoFA</w:t>
            </w:r>
          </w:p>
        </w:tc>
      </w:tr>
      <w:tr w:rsidR="008D2695" w:rsidRPr="008950E6" w14:paraId="10CC1F9F" w14:textId="77777777" w:rsidTr="00586D41">
        <w:tc>
          <w:tcPr>
            <w:tcW w:w="1705" w:type="dxa"/>
            <w:vMerge/>
            <w:tcBorders>
              <w:left w:val="single" w:sz="4" w:space="0" w:color="auto"/>
              <w:right w:val="single" w:sz="4" w:space="0" w:color="auto"/>
            </w:tcBorders>
            <w:vAlign w:val="center"/>
          </w:tcPr>
          <w:p w14:paraId="6E9EA7A6" w14:textId="77777777" w:rsidR="008D2695" w:rsidRPr="008950E6" w:rsidRDefault="008D2695" w:rsidP="00586D41">
            <w:pPr>
              <w:rPr>
                <w:rFonts w:ascii="Garamond" w:hAnsi="Garamond" w:cs="Times New Roman"/>
                <w:sz w:val="21"/>
                <w:szCs w:val="21"/>
              </w:rPr>
            </w:pPr>
          </w:p>
        </w:tc>
        <w:tc>
          <w:tcPr>
            <w:tcW w:w="3960" w:type="dxa"/>
            <w:tcBorders>
              <w:top w:val="single" w:sz="4" w:space="0" w:color="auto"/>
              <w:left w:val="single" w:sz="4" w:space="0" w:color="auto"/>
              <w:bottom w:val="single" w:sz="4" w:space="0" w:color="auto"/>
              <w:right w:val="single" w:sz="4" w:space="0" w:color="auto"/>
            </w:tcBorders>
          </w:tcPr>
          <w:p w14:paraId="579285D0" w14:textId="77777777" w:rsidR="008D2695" w:rsidRPr="008950E6" w:rsidRDefault="008D2695" w:rsidP="00586D41">
            <w:pPr>
              <w:rPr>
                <w:rFonts w:ascii="Garamond" w:hAnsi="Garamond" w:cs="Times New Roman"/>
                <w:sz w:val="21"/>
                <w:szCs w:val="21"/>
                <w:lang w:val="en-GB"/>
              </w:rPr>
            </w:pPr>
            <w:r w:rsidRPr="00545886">
              <w:rPr>
                <w:rFonts w:ascii="Garamond" w:hAnsi="Garamond" w:cs="Times New Roman"/>
                <w:sz w:val="21"/>
                <w:szCs w:val="21"/>
                <w:lang w:val="en-GB"/>
              </w:rPr>
              <w:t xml:space="preserve">Refocus the regional agricultural spending </w:t>
            </w:r>
            <w:r>
              <w:rPr>
                <w:rFonts w:ascii="Garamond" w:hAnsi="Garamond" w:cs="Times New Roman"/>
                <w:sz w:val="21"/>
                <w:szCs w:val="21"/>
                <w:lang w:val="en-GB"/>
              </w:rPr>
              <w:t xml:space="preserve">towards </w:t>
            </w:r>
            <w:r w:rsidRPr="00545886">
              <w:rPr>
                <w:rFonts w:ascii="Garamond" w:hAnsi="Garamond" w:cs="Times New Roman"/>
                <w:sz w:val="21"/>
                <w:szCs w:val="21"/>
                <w:lang w:val="en-GB"/>
              </w:rPr>
              <w:t xml:space="preserve">the SADA zone </w:t>
            </w:r>
            <w:r>
              <w:rPr>
                <w:rFonts w:ascii="Garamond" w:hAnsi="Garamond" w:cs="Times New Roman"/>
                <w:sz w:val="21"/>
                <w:szCs w:val="21"/>
                <w:lang w:val="en-GB"/>
              </w:rPr>
              <w:t xml:space="preserve">to </w:t>
            </w:r>
            <w:r w:rsidRPr="00545886">
              <w:rPr>
                <w:rFonts w:ascii="Garamond" w:hAnsi="Garamond" w:cs="Times New Roman"/>
                <w:sz w:val="21"/>
                <w:szCs w:val="21"/>
                <w:lang w:val="en-GB"/>
              </w:rPr>
              <w:t>accelerate gains in output growth, poverty reduction, and rural income generation.</w:t>
            </w:r>
          </w:p>
        </w:tc>
        <w:tc>
          <w:tcPr>
            <w:tcW w:w="1620" w:type="dxa"/>
            <w:tcBorders>
              <w:top w:val="single" w:sz="4" w:space="0" w:color="auto"/>
              <w:left w:val="single" w:sz="4" w:space="0" w:color="auto"/>
              <w:bottom w:val="single" w:sz="4" w:space="0" w:color="auto"/>
              <w:right w:val="single" w:sz="4" w:space="0" w:color="auto"/>
            </w:tcBorders>
          </w:tcPr>
          <w:p w14:paraId="2B2455CE"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Short to Medium Term</w:t>
            </w:r>
          </w:p>
        </w:tc>
        <w:tc>
          <w:tcPr>
            <w:tcW w:w="2970" w:type="dxa"/>
            <w:tcBorders>
              <w:top w:val="single" w:sz="4" w:space="0" w:color="auto"/>
              <w:left w:val="single" w:sz="4" w:space="0" w:color="auto"/>
              <w:bottom w:val="single" w:sz="4" w:space="0" w:color="auto"/>
              <w:right w:val="single" w:sz="4" w:space="0" w:color="auto"/>
            </w:tcBorders>
          </w:tcPr>
          <w:p w14:paraId="2BFC8020" w14:textId="77777777" w:rsidR="008D2695" w:rsidRPr="008950E6" w:rsidRDefault="003170A0" w:rsidP="00586D41">
            <w:pPr>
              <w:rPr>
                <w:rFonts w:ascii="Garamond" w:hAnsi="Garamond" w:cs="Times New Roman"/>
                <w:sz w:val="21"/>
                <w:szCs w:val="21"/>
              </w:rPr>
            </w:pPr>
            <w:r>
              <w:rPr>
                <w:rFonts w:ascii="Garamond" w:hAnsi="Garamond" w:cs="Times New Roman"/>
                <w:sz w:val="21"/>
                <w:szCs w:val="21"/>
              </w:rPr>
              <w:t>MoFA</w:t>
            </w:r>
          </w:p>
        </w:tc>
      </w:tr>
      <w:tr w:rsidR="008D2695" w:rsidRPr="008950E6" w14:paraId="780CFDA2" w14:textId="77777777" w:rsidTr="00586D41">
        <w:tc>
          <w:tcPr>
            <w:tcW w:w="1705" w:type="dxa"/>
            <w:vMerge/>
            <w:tcBorders>
              <w:left w:val="single" w:sz="4" w:space="0" w:color="auto"/>
              <w:right w:val="single" w:sz="4" w:space="0" w:color="auto"/>
            </w:tcBorders>
            <w:vAlign w:val="center"/>
          </w:tcPr>
          <w:p w14:paraId="01E5E1FE" w14:textId="77777777" w:rsidR="008D2695" w:rsidRPr="008950E6" w:rsidRDefault="008D2695" w:rsidP="00586D41">
            <w:pPr>
              <w:rPr>
                <w:rFonts w:ascii="Garamond" w:hAnsi="Garamond" w:cs="Times New Roman"/>
                <w:sz w:val="21"/>
                <w:szCs w:val="21"/>
              </w:rPr>
            </w:pPr>
          </w:p>
        </w:tc>
        <w:tc>
          <w:tcPr>
            <w:tcW w:w="3960" w:type="dxa"/>
            <w:tcBorders>
              <w:top w:val="single" w:sz="4" w:space="0" w:color="auto"/>
              <w:left w:val="single" w:sz="4" w:space="0" w:color="auto"/>
              <w:bottom w:val="single" w:sz="4" w:space="0" w:color="auto"/>
              <w:right w:val="single" w:sz="4" w:space="0" w:color="auto"/>
            </w:tcBorders>
          </w:tcPr>
          <w:p w14:paraId="6B1B8ED5" w14:textId="77777777" w:rsidR="008D2695" w:rsidRPr="008950E6" w:rsidRDefault="008D2695" w:rsidP="00586D41">
            <w:pPr>
              <w:rPr>
                <w:rFonts w:ascii="Garamond" w:hAnsi="Garamond" w:cs="Times New Roman"/>
                <w:sz w:val="21"/>
                <w:szCs w:val="21"/>
                <w:lang w:val="en-GB"/>
              </w:rPr>
            </w:pPr>
            <w:r>
              <w:rPr>
                <w:rFonts w:ascii="Garamond" w:hAnsi="Garamond" w:cs="Times New Roman"/>
                <w:sz w:val="21"/>
                <w:szCs w:val="21"/>
                <w:lang w:val="en-GB"/>
              </w:rPr>
              <w:t>Increase i</w:t>
            </w:r>
            <w:r w:rsidRPr="00D54950">
              <w:rPr>
                <w:rFonts w:ascii="Garamond" w:hAnsi="Garamond" w:cs="Times New Roman"/>
                <w:sz w:val="21"/>
                <w:szCs w:val="21"/>
                <w:lang w:val="en-GB"/>
              </w:rPr>
              <w:t>nvestment in irrigation, the development and introduction of drought-tolerant and shorter-duration crop varieties</w:t>
            </w:r>
            <w:r>
              <w:rPr>
                <w:rFonts w:ascii="Garamond" w:hAnsi="Garamond" w:cs="Times New Roman"/>
                <w:sz w:val="21"/>
                <w:szCs w:val="21"/>
                <w:lang w:val="en-GB"/>
              </w:rPr>
              <w:t xml:space="preserve"> to build resilience to climate change.</w:t>
            </w:r>
          </w:p>
        </w:tc>
        <w:tc>
          <w:tcPr>
            <w:tcW w:w="1620" w:type="dxa"/>
            <w:tcBorders>
              <w:top w:val="single" w:sz="4" w:space="0" w:color="auto"/>
              <w:left w:val="single" w:sz="4" w:space="0" w:color="auto"/>
              <w:bottom w:val="single" w:sz="4" w:space="0" w:color="auto"/>
              <w:right w:val="single" w:sz="4" w:space="0" w:color="auto"/>
            </w:tcBorders>
          </w:tcPr>
          <w:p w14:paraId="1B437F1D"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Short to Medium Term</w:t>
            </w:r>
          </w:p>
        </w:tc>
        <w:tc>
          <w:tcPr>
            <w:tcW w:w="2970" w:type="dxa"/>
            <w:tcBorders>
              <w:top w:val="single" w:sz="4" w:space="0" w:color="auto"/>
              <w:left w:val="single" w:sz="4" w:space="0" w:color="auto"/>
              <w:bottom w:val="single" w:sz="4" w:space="0" w:color="auto"/>
              <w:right w:val="single" w:sz="4" w:space="0" w:color="auto"/>
            </w:tcBorders>
          </w:tcPr>
          <w:p w14:paraId="07703E26" w14:textId="77777777" w:rsidR="008D2695" w:rsidRPr="008950E6" w:rsidRDefault="003170A0" w:rsidP="00586D41">
            <w:pPr>
              <w:rPr>
                <w:rFonts w:ascii="Garamond" w:hAnsi="Garamond" w:cs="Times New Roman"/>
                <w:sz w:val="21"/>
                <w:szCs w:val="21"/>
              </w:rPr>
            </w:pPr>
            <w:r>
              <w:rPr>
                <w:rFonts w:ascii="Garamond" w:hAnsi="Garamond" w:cs="Times New Roman"/>
                <w:sz w:val="21"/>
                <w:szCs w:val="21"/>
              </w:rPr>
              <w:t>MoFA</w:t>
            </w:r>
            <w:r w:rsidR="008D2695">
              <w:rPr>
                <w:rFonts w:ascii="Garamond" w:hAnsi="Garamond" w:cs="Times New Roman"/>
                <w:sz w:val="21"/>
                <w:szCs w:val="21"/>
              </w:rPr>
              <w:t>/GIDA</w:t>
            </w:r>
          </w:p>
        </w:tc>
      </w:tr>
      <w:tr w:rsidR="008D2695" w:rsidRPr="008950E6" w14:paraId="7E34FEF0" w14:textId="77777777" w:rsidTr="00586D41">
        <w:tc>
          <w:tcPr>
            <w:tcW w:w="1705" w:type="dxa"/>
            <w:vMerge/>
            <w:tcBorders>
              <w:left w:val="single" w:sz="4" w:space="0" w:color="auto"/>
              <w:bottom w:val="single" w:sz="4" w:space="0" w:color="auto"/>
              <w:right w:val="single" w:sz="4" w:space="0" w:color="auto"/>
            </w:tcBorders>
            <w:vAlign w:val="center"/>
          </w:tcPr>
          <w:p w14:paraId="256B3B25" w14:textId="77777777" w:rsidR="008D2695" w:rsidRPr="008950E6" w:rsidRDefault="008D2695" w:rsidP="00586D41">
            <w:pPr>
              <w:rPr>
                <w:rFonts w:ascii="Garamond" w:hAnsi="Garamond" w:cs="Times New Roman"/>
                <w:sz w:val="21"/>
                <w:szCs w:val="21"/>
              </w:rPr>
            </w:pPr>
          </w:p>
        </w:tc>
        <w:tc>
          <w:tcPr>
            <w:tcW w:w="3960" w:type="dxa"/>
            <w:tcBorders>
              <w:top w:val="single" w:sz="4" w:space="0" w:color="auto"/>
              <w:left w:val="single" w:sz="4" w:space="0" w:color="auto"/>
              <w:bottom w:val="single" w:sz="4" w:space="0" w:color="auto"/>
              <w:right w:val="single" w:sz="4" w:space="0" w:color="auto"/>
            </w:tcBorders>
          </w:tcPr>
          <w:p w14:paraId="1DC8C7B2" w14:textId="77777777" w:rsidR="008D2695" w:rsidRDefault="008D2695" w:rsidP="00586D41">
            <w:pPr>
              <w:rPr>
                <w:rFonts w:ascii="Garamond" w:hAnsi="Garamond" w:cs="Times New Roman"/>
                <w:sz w:val="21"/>
                <w:szCs w:val="21"/>
                <w:lang w:val="en-GB"/>
              </w:rPr>
            </w:pPr>
            <w:r w:rsidRPr="009F48D2">
              <w:rPr>
                <w:rFonts w:ascii="Garamond" w:hAnsi="Garamond" w:cs="Times New Roman"/>
                <w:sz w:val="21"/>
                <w:szCs w:val="21"/>
                <w:lang w:val="en-GB"/>
              </w:rPr>
              <w:t>Modernize the cocoa value chain, and reform the COCOBOD’s institutional arrangements, transparency and policy framework to enhance the efficiency of cocoa production and ensure the long-term competitiveness of cocoa exports</w:t>
            </w:r>
          </w:p>
        </w:tc>
        <w:tc>
          <w:tcPr>
            <w:tcW w:w="1620" w:type="dxa"/>
            <w:tcBorders>
              <w:top w:val="single" w:sz="4" w:space="0" w:color="auto"/>
              <w:left w:val="single" w:sz="4" w:space="0" w:color="auto"/>
              <w:bottom w:val="single" w:sz="4" w:space="0" w:color="auto"/>
              <w:right w:val="single" w:sz="4" w:space="0" w:color="auto"/>
            </w:tcBorders>
          </w:tcPr>
          <w:p w14:paraId="3AA1B58E" w14:textId="77777777" w:rsidR="008D2695" w:rsidRPr="008950E6" w:rsidRDefault="008D2695" w:rsidP="00586D41">
            <w:pPr>
              <w:rPr>
                <w:rFonts w:ascii="Garamond" w:hAnsi="Garamond" w:cs="Times New Roman"/>
                <w:sz w:val="21"/>
                <w:szCs w:val="21"/>
              </w:rPr>
            </w:pPr>
            <w:r w:rsidRPr="008950E6">
              <w:rPr>
                <w:rFonts w:ascii="Garamond" w:hAnsi="Garamond" w:cs="Times New Roman"/>
                <w:sz w:val="21"/>
                <w:szCs w:val="21"/>
              </w:rPr>
              <w:t>Short to Medium Term</w:t>
            </w:r>
          </w:p>
        </w:tc>
        <w:tc>
          <w:tcPr>
            <w:tcW w:w="2970" w:type="dxa"/>
            <w:tcBorders>
              <w:top w:val="single" w:sz="4" w:space="0" w:color="auto"/>
              <w:left w:val="single" w:sz="4" w:space="0" w:color="auto"/>
              <w:bottom w:val="single" w:sz="4" w:space="0" w:color="auto"/>
              <w:right w:val="single" w:sz="4" w:space="0" w:color="auto"/>
            </w:tcBorders>
          </w:tcPr>
          <w:p w14:paraId="68BEE3C6" w14:textId="77777777" w:rsidR="008D2695" w:rsidRPr="008950E6" w:rsidRDefault="008D2695" w:rsidP="0053565D">
            <w:pPr>
              <w:rPr>
                <w:rFonts w:ascii="Garamond" w:hAnsi="Garamond" w:cs="Times New Roman"/>
                <w:sz w:val="21"/>
                <w:szCs w:val="21"/>
              </w:rPr>
            </w:pPr>
            <w:r>
              <w:rPr>
                <w:rFonts w:ascii="Garamond" w:hAnsi="Garamond" w:cs="Times New Roman"/>
                <w:sz w:val="21"/>
                <w:szCs w:val="21"/>
              </w:rPr>
              <w:t>Office of the President/</w:t>
            </w:r>
            <w:r w:rsidR="003170A0">
              <w:rPr>
                <w:rFonts w:ascii="Garamond" w:hAnsi="Garamond" w:cs="Times New Roman"/>
                <w:sz w:val="21"/>
                <w:szCs w:val="21"/>
              </w:rPr>
              <w:t>MoF</w:t>
            </w:r>
            <w:r>
              <w:rPr>
                <w:rFonts w:ascii="Garamond" w:hAnsi="Garamond" w:cs="Times New Roman"/>
                <w:sz w:val="21"/>
                <w:szCs w:val="21"/>
              </w:rPr>
              <w:t>/</w:t>
            </w:r>
            <w:r w:rsidRPr="009F48D2">
              <w:rPr>
                <w:rFonts w:ascii="Garamond" w:hAnsi="Garamond" w:cs="Times New Roman"/>
                <w:sz w:val="21"/>
                <w:szCs w:val="21"/>
                <w:lang w:val="en-GB"/>
              </w:rPr>
              <w:t xml:space="preserve"> COCOBOD</w:t>
            </w:r>
          </w:p>
        </w:tc>
      </w:tr>
    </w:tbl>
    <w:p w14:paraId="52253F7D" w14:textId="77777777" w:rsidR="00C36F7F" w:rsidRPr="00E52E50" w:rsidRDefault="00DF6771" w:rsidP="00DF6771">
      <w:pPr>
        <w:jc w:val="both"/>
      </w:pPr>
      <w:r w:rsidRPr="00DF6771">
        <w:rPr>
          <w:rFonts w:ascii="Times New Roman" w:eastAsiaTheme="minorHAnsi" w:hAnsi="Times New Roman" w:cs="Times New Roman"/>
          <w:i/>
          <w:sz w:val="18"/>
          <w:szCs w:val="16"/>
        </w:rPr>
        <w:t>Notes:</w:t>
      </w:r>
      <w:r w:rsidRPr="00DF6771">
        <w:rPr>
          <w:rFonts w:ascii="Times New Roman" w:eastAsiaTheme="minorHAnsi" w:hAnsi="Times New Roman" w:cs="Times New Roman"/>
          <w:sz w:val="18"/>
          <w:szCs w:val="16"/>
        </w:rPr>
        <w:t xml:space="preserve"> MoF (Ministry of Finance); CAGD  (Controller and Accountant-General’s Department); COCOBOD  (Ghana Cocoa Board); FWSC  (Fair Wages and Salaries Commission);  GRA (Ghana Revenue Authority); MoEL (Ministry of Employment and Labour Relations); NDPC (National Development Planning Commision); BoG  (Bank of Ghana); GES  (Ghana Education Trust Fund); GIDA (Ghana Irrigation Development Authority) GoG (Government of Ghana); MDAs (Ministries, Departments and Agencies); MMDAs (Metropolitan, municipal, and district assemblies); MoEd  (Ministry of Education); MoFA  (Ministry of Food and Agriculture); MoH  (Ministry of Health); MoLN (Ministry of Lands and Natural Resources); </w:t>
      </w:r>
      <w:r w:rsidR="00C36B69">
        <w:rPr>
          <w:rFonts w:ascii="Times New Roman" w:eastAsiaTheme="minorHAnsi" w:hAnsi="Times New Roman" w:cs="Times New Roman"/>
          <w:sz w:val="18"/>
          <w:szCs w:val="16"/>
        </w:rPr>
        <w:t>MLGRD (</w:t>
      </w:r>
      <w:r w:rsidR="00C36B69" w:rsidRPr="00C36B69">
        <w:rPr>
          <w:rFonts w:ascii="Times New Roman" w:eastAsiaTheme="minorHAnsi" w:hAnsi="Times New Roman" w:cs="Times New Roman"/>
          <w:sz w:val="18"/>
          <w:szCs w:val="16"/>
        </w:rPr>
        <w:t>Ministry of Local Government and Rural Development</w:t>
      </w:r>
      <w:r w:rsidR="00C36B69">
        <w:rPr>
          <w:rFonts w:ascii="Times New Roman" w:eastAsiaTheme="minorHAnsi" w:hAnsi="Times New Roman" w:cs="Times New Roman"/>
          <w:sz w:val="18"/>
          <w:szCs w:val="16"/>
        </w:rPr>
        <w:t>);</w:t>
      </w:r>
      <w:r w:rsidR="00C36B69" w:rsidRPr="00C36B69">
        <w:rPr>
          <w:rFonts w:ascii="Times New Roman" w:eastAsiaTheme="minorHAnsi" w:hAnsi="Times New Roman" w:cs="Times New Roman"/>
          <w:sz w:val="18"/>
          <w:szCs w:val="16"/>
        </w:rPr>
        <w:t xml:space="preserve"> </w:t>
      </w:r>
      <w:r w:rsidRPr="00DF6771">
        <w:rPr>
          <w:rFonts w:ascii="Times New Roman" w:eastAsiaTheme="minorHAnsi" w:hAnsi="Times New Roman" w:cs="Times New Roman"/>
          <w:sz w:val="18"/>
          <w:szCs w:val="16"/>
        </w:rPr>
        <w:t>NHIA (National Health Insurance Authority); OHCS (Office of the Head of Civil Service); PSC (Public Services Commission); SFs  (Statutory Funds); and SOEs (State-owned enterprises).</w:t>
      </w:r>
    </w:p>
    <w:p w14:paraId="7A017373" w14:textId="77777777" w:rsidR="00C36F7F" w:rsidRPr="00E45355" w:rsidRDefault="00CF427F" w:rsidP="00894F2B">
      <w:pPr>
        <w:pStyle w:val="Heading2"/>
      </w:pPr>
      <w:bookmarkStart w:id="8" w:name="_Toc479624865"/>
      <w:r w:rsidRPr="00E45355">
        <w:lastRenderedPageBreak/>
        <w:t>Reference</w:t>
      </w:r>
      <w:r w:rsidR="003D6178">
        <w:t>s</w:t>
      </w:r>
      <w:bookmarkEnd w:id="8"/>
    </w:p>
    <w:p w14:paraId="24B70933" w14:textId="77777777" w:rsidR="00C36F7F" w:rsidRPr="00AD44DF" w:rsidRDefault="00C36F7F" w:rsidP="00AD44DF">
      <w:pPr>
        <w:spacing w:after="240" w:line="240" w:lineRule="auto"/>
        <w:rPr>
          <w:rFonts w:ascii="Garamond" w:hAnsi="Garamond"/>
          <w:sz w:val="24"/>
          <w:szCs w:val="24"/>
        </w:rPr>
      </w:pPr>
      <w:r w:rsidRPr="00AD44DF">
        <w:rPr>
          <w:rFonts w:ascii="Garamond" w:hAnsi="Garamond"/>
          <w:sz w:val="24"/>
          <w:szCs w:val="24"/>
        </w:rPr>
        <w:t xml:space="preserve">IMF. 2015. “Making Public Investment More Efficient.” Staff Report. Washington DC: </w:t>
      </w:r>
      <w:r w:rsidR="001B09D9">
        <w:rPr>
          <w:rFonts w:ascii="Garamond" w:hAnsi="Garamond"/>
          <w:sz w:val="24"/>
          <w:szCs w:val="24"/>
        </w:rPr>
        <w:t xml:space="preserve">The </w:t>
      </w:r>
      <w:r w:rsidRPr="00AD44DF">
        <w:rPr>
          <w:rFonts w:ascii="Garamond" w:hAnsi="Garamond"/>
          <w:sz w:val="24"/>
          <w:szCs w:val="24"/>
        </w:rPr>
        <w:t>I</w:t>
      </w:r>
      <w:r w:rsidR="001B09D9">
        <w:rPr>
          <w:rFonts w:ascii="Garamond" w:hAnsi="Garamond"/>
          <w:sz w:val="24"/>
          <w:szCs w:val="24"/>
        </w:rPr>
        <w:t xml:space="preserve">nternational </w:t>
      </w:r>
      <w:r w:rsidRPr="00AD44DF">
        <w:rPr>
          <w:rFonts w:ascii="Garamond" w:hAnsi="Garamond"/>
          <w:sz w:val="24"/>
          <w:szCs w:val="24"/>
        </w:rPr>
        <w:t>M</w:t>
      </w:r>
      <w:r w:rsidR="001B09D9">
        <w:rPr>
          <w:rFonts w:ascii="Garamond" w:hAnsi="Garamond"/>
          <w:sz w:val="24"/>
          <w:szCs w:val="24"/>
        </w:rPr>
        <w:t xml:space="preserve">onetary </w:t>
      </w:r>
      <w:r w:rsidRPr="00AD44DF">
        <w:rPr>
          <w:rFonts w:ascii="Garamond" w:hAnsi="Garamond"/>
          <w:sz w:val="24"/>
          <w:szCs w:val="24"/>
        </w:rPr>
        <w:t>F</w:t>
      </w:r>
      <w:r w:rsidR="001B09D9">
        <w:rPr>
          <w:rFonts w:ascii="Garamond" w:hAnsi="Garamond"/>
          <w:sz w:val="24"/>
          <w:szCs w:val="24"/>
        </w:rPr>
        <w:t>und</w:t>
      </w:r>
    </w:p>
    <w:p w14:paraId="1CE8BE46" w14:textId="77777777" w:rsidR="00855A18" w:rsidRPr="00AD44DF" w:rsidRDefault="00C36F7F" w:rsidP="00AD44DF">
      <w:pPr>
        <w:spacing w:after="240" w:line="240" w:lineRule="auto"/>
        <w:rPr>
          <w:rFonts w:ascii="Garamond" w:hAnsi="Garamond"/>
          <w:sz w:val="24"/>
          <w:szCs w:val="24"/>
        </w:rPr>
      </w:pPr>
      <w:r w:rsidRPr="00AD44DF">
        <w:rPr>
          <w:rFonts w:ascii="Garamond" w:hAnsi="Garamond"/>
          <w:sz w:val="24"/>
          <w:szCs w:val="24"/>
        </w:rPr>
        <w:t>IMF-World Bank</w:t>
      </w:r>
      <w:r w:rsidR="001B09D9">
        <w:rPr>
          <w:rFonts w:ascii="Garamond" w:hAnsi="Garamond"/>
          <w:sz w:val="24"/>
          <w:szCs w:val="24"/>
        </w:rPr>
        <w:t>.</w:t>
      </w:r>
      <w:r w:rsidRPr="00AD44DF">
        <w:rPr>
          <w:rFonts w:ascii="Garamond" w:hAnsi="Garamond"/>
          <w:sz w:val="24"/>
          <w:szCs w:val="24"/>
        </w:rPr>
        <w:t xml:space="preserve"> 2016. “Public Investment Management Assessment for Ghana.” Washington, DC: </w:t>
      </w:r>
      <w:r w:rsidR="001B09D9">
        <w:rPr>
          <w:rFonts w:ascii="Garamond" w:hAnsi="Garamond"/>
          <w:sz w:val="24"/>
          <w:szCs w:val="24"/>
        </w:rPr>
        <w:t xml:space="preserve">The </w:t>
      </w:r>
      <w:r w:rsidRPr="00AD44DF">
        <w:rPr>
          <w:rFonts w:ascii="Garamond" w:hAnsi="Garamond"/>
          <w:sz w:val="24"/>
          <w:szCs w:val="24"/>
        </w:rPr>
        <w:t>I</w:t>
      </w:r>
      <w:r w:rsidR="001B09D9">
        <w:rPr>
          <w:rFonts w:ascii="Garamond" w:hAnsi="Garamond"/>
          <w:sz w:val="24"/>
          <w:szCs w:val="24"/>
        </w:rPr>
        <w:t xml:space="preserve">nternational </w:t>
      </w:r>
      <w:r w:rsidRPr="00AD44DF">
        <w:rPr>
          <w:rFonts w:ascii="Garamond" w:hAnsi="Garamond"/>
          <w:sz w:val="24"/>
          <w:szCs w:val="24"/>
        </w:rPr>
        <w:t>M</w:t>
      </w:r>
      <w:r w:rsidR="001B09D9">
        <w:rPr>
          <w:rFonts w:ascii="Garamond" w:hAnsi="Garamond"/>
          <w:sz w:val="24"/>
          <w:szCs w:val="24"/>
        </w:rPr>
        <w:t xml:space="preserve">onetary </w:t>
      </w:r>
      <w:r w:rsidRPr="00AD44DF">
        <w:rPr>
          <w:rFonts w:ascii="Garamond" w:hAnsi="Garamond"/>
          <w:sz w:val="24"/>
          <w:szCs w:val="24"/>
        </w:rPr>
        <w:t>F</w:t>
      </w:r>
      <w:r w:rsidR="001B09D9">
        <w:rPr>
          <w:rFonts w:ascii="Garamond" w:hAnsi="Garamond"/>
          <w:sz w:val="24"/>
          <w:szCs w:val="24"/>
        </w:rPr>
        <w:t>und</w:t>
      </w:r>
    </w:p>
    <w:p w14:paraId="27D8479E" w14:textId="77777777" w:rsidR="00855A18" w:rsidRDefault="00855A18">
      <w:r>
        <w:br w:type="page"/>
      </w:r>
    </w:p>
    <w:p w14:paraId="2F40371D" w14:textId="77777777" w:rsidR="00084583" w:rsidRPr="00203EED" w:rsidRDefault="00084583" w:rsidP="00B33493">
      <w:pPr>
        <w:pStyle w:val="Heading1"/>
        <w:numPr>
          <w:ilvl w:val="0"/>
          <w:numId w:val="15"/>
        </w:numPr>
        <w:ind w:left="0"/>
      </w:pPr>
      <w:bookmarkStart w:id="9" w:name="_Toc472448895"/>
      <w:bookmarkStart w:id="10" w:name="_Toc479624866"/>
      <w:r>
        <w:lastRenderedPageBreak/>
        <w:t>Strengthening Fiscal P</w:t>
      </w:r>
      <w:r w:rsidRPr="00203EED">
        <w:t xml:space="preserve">olicy </w:t>
      </w:r>
      <w:r>
        <w:t>and Improving M</w:t>
      </w:r>
      <w:r w:rsidRPr="00203EED">
        <w:t xml:space="preserve">acroeconomic </w:t>
      </w:r>
      <w:r>
        <w:t>M</w:t>
      </w:r>
      <w:r w:rsidRPr="00203EED">
        <w:t>anagement</w:t>
      </w:r>
      <w:bookmarkEnd w:id="9"/>
      <w:bookmarkEnd w:id="10"/>
    </w:p>
    <w:p w14:paraId="4D8F2EA6" w14:textId="77777777" w:rsidR="007E117F" w:rsidRDefault="00EA1260" w:rsidP="00EA1260">
      <w:pPr>
        <w:pStyle w:val="ListParagraph"/>
        <w:numPr>
          <w:ilvl w:val="0"/>
          <w:numId w:val="0"/>
        </w:numPr>
        <w:pBdr>
          <w:top w:val="single" w:sz="4" w:space="1" w:color="auto"/>
          <w:left w:val="single" w:sz="4" w:space="4" w:color="auto"/>
          <w:bottom w:val="single" w:sz="4" w:space="1" w:color="auto"/>
          <w:right w:val="single" w:sz="4" w:space="4" w:color="auto"/>
        </w:pBdr>
        <w:shd w:val="clear" w:color="auto" w:fill="DBDBDB" w:themeFill="accent3" w:themeFillTint="66"/>
      </w:pPr>
      <w:r w:rsidRPr="00414D2C">
        <w:t>Several decades of robust economic growth enabled Ghana to achieve substantial progress in reducing poverty and promoting shared prosperity. However, macroeconomic conditions have deteriorated since 2012, giving rise to large domestic and external imbalances. While public revenue has remained relatively stable, spending has steadily increased, leading to a widening fiscal deficit and a rising debt burden. The wage bill ballooned in the wake of reforms to the public sector compensation structure, and in recent years a substantial uptick in non-concessional borrowing has pushed up interest payments. Consequently, Ghana’s fiscal deficit continued to widen even as public investment fell, and the government’s consolidation efforts were unable to prevent the accumulation of arrears. In 2013</w:t>
      </w:r>
      <w:r w:rsidR="00D84A18">
        <w:t>,</w:t>
      </w:r>
      <w:r w:rsidRPr="00414D2C">
        <w:t xml:space="preserve"> the government adopted a multi-year plan to reduce the fiscal deficit, and since 2015 this initiative has garnered support from the IMF, the World Bank</w:t>
      </w:r>
      <w:r w:rsidR="00D84A18">
        <w:t>,</w:t>
      </w:r>
      <w:r w:rsidRPr="00414D2C">
        <w:t xml:space="preserve"> and Ghana’s other development partners. </w:t>
      </w:r>
      <w:r w:rsidRPr="00E9062F">
        <w:t xml:space="preserve">After achieving a substantial degree of fiscal consolidation in 2015, Ghana missed its 2016 fiscal target by a large margin. </w:t>
      </w:r>
      <w:r w:rsidR="00EB6991">
        <w:t>T</w:t>
      </w:r>
      <w:r w:rsidRPr="00E9062F">
        <w:t>he budget numbers indicate that the fiscal slippage was due to the public revenue shortfall</w:t>
      </w:r>
      <w:r w:rsidR="00EB6991">
        <w:t xml:space="preserve"> and</w:t>
      </w:r>
      <w:r w:rsidRPr="00E9062F">
        <w:t xml:space="preserve"> rising expenditure pressures in the run-up to the December 2016 elections</w:t>
      </w:r>
      <w:r w:rsidR="00EB6991">
        <w:t>, which also</w:t>
      </w:r>
      <w:r w:rsidRPr="00E9062F">
        <w:t xml:space="preserve"> caused the government to accumulate </w:t>
      </w:r>
      <w:r>
        <w:t xml:space="preserve">large amount of </w:t>
      </w:r>
      <w:r w:rsidRPr="00E9062F">
        <w:t xml:space="preserve">new arrears. </w:t>
      </w:r>
      <w:r>
        <w:t>T</w:t>
      </w:r>
      <w:r w:rsidRPr="008A0FDA">
        <w:t xml:space="preserve">he </w:t>
      </w:r>
      <w:r>
        <w:t>consolidation</w:t>
      </w:r>
      <w:r w:rsidRPr="008A0FDA">
        <w:t xml:space="preserve"> program is expected to</w:t>
      </w:r>
      <w:r>
        <w:t xml:space="preserve"> </w:t>
      </w:r>
      <w:r w:rsidR="00D84A18">
        <w:t>resume</w:t>
      </w:r>
      <w:r>
        <w:t xml:space="preserve"> in 2017 and</w:t>
      </w:r>
      <w:r w:rsidRPr="008A0FDA">
        <w:t xml:space="preserve"> continue through 201</w:t>
      </w:r>
      <w:r w:rsidR="007E117F">
        <w:t>8</w:t>
      </w:r>
      <w:r w:rsidRPr="008A0FDA">
        <w:t xml:space="preserve">, with further fiscal adjustments focused on </w:t>
      </w:r>
      <w:r>
        <w:t>both public revenue and</w:t>
      </w:r>
      <w:r w:rsidRPr="008A0FDA">
        <w:t xml:space="preserve"> expenditure</w:t>
      </w:r>
      <w:r>
        <w:t>s</w:t>
      </w:r>
      <w:r w:rsidR="00264EE5">
        <w:t xml:space="preserve"> under the new government elected in December 2016</w:t>
      </w:r>
      <w:r w:rsidRPr="000E58CC">
        <w:t>.</w:t>
      </w:r>
      <w:r>
        <w:t xml:space="preserve"> </w:t>
      </w:r>
    </w:p>
    <w:p w14:paraId="08FD6B5A" w14:textId="77777777" w:rsidR="00EA1260" w:rsidRDefault="00EA1260" w:rsidP="00EA1260">
      <w:pPr>
        <w:pStyle w:val="ListParagraph"/>
        <w:numPr>
          <w:ilvl w:val="0"/>
          <w:numId w:val="0"/>
        </w:numPr>
        <w:pBdr>
          <w:top w:val="single" w:sz="4" w:space="1" w:color="auto"/>
          <w:left w:val="single" w:sz="4" w:space="4" w:color="auto"/>
          <w:bottom w:val="single" w:sz="4" w:space="1" w:color="auto"/>
          <w:right w:val="single" w:sz="4" w:space="4" w:color="auto"/>
        </w:pBdr>
        <w:shd w:val="clear" w:color="auto" w:fill="DBDBDB" w:themeFill="accent3" w:themeFillTint="66"/>
      </w:pPr>
      <w:r>
        <w:t>T</w:t>
      </w:r>
      <w:r w:rsidRPr="00966C82">
        <w:t>he recurring nature of</w:t>
      </w:r>
      <w:r>
        <w:t xml:space="preserve"> Ghana’s</w:t>
      </w:r>
      <w:r w:rsidRPr="00966C82">
        <w:t xml:space="preserve"> large fiscal imbalances reflects </w:t>
      </w:r>
      <w:r>
        <w:t xml:space="preserve">serious </w:t>
      </w:r>
      <w:r w:rsidRPr="00966C82">
        <w:t xml:space="preserve">structural </w:t>
      </w:r>
      <w:r>
        <w:t>deficiencies</w:t>
      </w:r>
      <w:r w:rsidRPr="00966C82">
        <w:t xml:space="preserve"> in </w:t>
      </w:r>
      <w:r>
        <w:t>PFM. In tandem with its fiscal consolidation efforts, the government</w:t>
      </w:r>
      <w:r w:rsidRPr="00966C82">
        <w:t xml:space="preserve"> has </w:t>
      </w:r>
      <w:r>
        <w:t>launched a</w:t>
      </w:r>
      <w:r w:rsidRPr="00966C82">
        <w:t xml:space="preserve"> structural</w:t>
      </w:r>
      <w:r>
        <w:t xml:space="preserve"> </w:t>
      </w:r>
      <w:r w:rsidRPr="00966C82">
        <w:t>reform</w:t>
      </w:r>
      <w:r>
        <w:t xml:space="preserve"> program designed</w:t>
      </w:r>
      <w:r w:rsidRPr="00966C82">
        <w:t xml:space="preserve"> </w:t>
      </w:r>
      <w:r w:rsidRPr="00AF2A09">
        <w:t xml:space="preserve">to strengthen </w:t>
      </w:r>
      <w:r>
        <w:t>its</w:t>
      </w:r>
      <w:r w:rsidRPr="00AF2A09">
        <w:t xml:space="preserve"> budget planning</w:t>
      </w:r>
      <w:r>
        <w:t>, execution, monitoring</w:t>
      </w:r>
      <w:r w:rsidR="00094B16">
        <w:t>,</w:t>
      </w:r>
      <w:r>
        <w:t xml:space="preserve"> </w:t>
      </w:r>
      <w:r w:rsidRPr="00AF2A09">
        <w:t>and reporting</w:t>
      </w:r>
      <w:r>
        <w:t xml:space="preserve"> capacity and to expand the coverage of its public financial information and </w:t>
      </w:r>
      <w:r w:rsidRPr="00AF2A09">
        <w:t>PFM systems</w:t>
      </w:r>
      <w:r>
        <w:t>.</w:t>
      </w:r>
      <w:r w:rsidRPr="00966C82">
        <w:t xml:space="preserve"> </w:t>
      </w:r>
      <w:r>
        <w:t xml:space="preserve">The authorities are planning to adopt further measures to strengthen revenue collection and improve </w:t>
      </w:r>
      <w:r w:rsidRPr="00966C82">
        <w:t xml:space="preserve">public investment </w:t>
      </w:r>
      <w:r>
        <w:t xml:space="preserve">and public debt </w:t>
      </w:r>
      <w:r w:rsidRPr="00966C82">
        <w:t>management</w:t>
      </w:r>
      <w:r>
        <w:t xml:space="preserve"> in 2017</w:t>
      </w:r>
      <w:r w:rsidRPr="00966C82">
        <w:t>.</w:t>
      </w:r>
      <w:r>
        <w:t xml:space="preserve"> Despite substantial external support, </w:t>
      </w:r>
      <w:r w:rsidRPr="00966C82">
        <w:t xml:space="preserve">the </w:t>
      </w:r>
      <w:r>
        <w:t>implementation of the</w:t>
      </w:r>
      <w:r w:rsidRPr="00966C82">
        <w:t xml:space="preserve"> </w:t>
      </w:r>
      <w:r>
        <w:t xml:space="preserve">PFM </w:t>
      </w:r>
      <w:r w:rsidRPr="00966C82">
        <w:t>reform</w:t>
      </w:r>
      <w:r>
        <w:t xml:space="preserve"> agenda</w:t>
      </w:r>
      <w:r w:rsidRPr="00966C82">
        <w:t xml:space="preserve"> has </w:t>
      </w:r>
      <w:r>
        <w:t xml:space="preserve">proceeded at an </w:t>
      </w:r>
      <w:r w:rsidRPr="00966C82">
        <w:t xml:space="preserve">uneven </w:t>
      </w:r>
      <w:r>
        <w:t>pace</w:t>
      </w:r>
      <w:r w:rsidRPr="00966C82">
        <w:t xml:space="preserve">. Moreover, </w:t>
      </w:r>
      <w:r>
        <w:t>previous</w:t>
      </w:r>
      <w:r w:rsidRPr="00966C82">
        <w:t xml:space="preserve"> experience </w:t>
      </w:r>
      <w:r>
        <w:t>suggests</w:t>
      </w:r>
      <w:r w:rsidRPr="00966C82">
        <w:t xml:space="preserve"> that the </w:t>
      </w:r>
      <w:r>
        <w:t xml:space="preserve">political </w:t>
      </w:r>
      <w:r w:rsidRPr="00966C82">
        <w:t xml:space="preserve">commitment </w:t>
      </w:r>
      <w:r>
        <w:t>to the reform agenda</w:t>
      </w:r>
      <w:r w:rsidRPr="00966C82">
        <w:t xml:space="preserve"> </w:t>
      </w:r>
      <w:r>
        <w:t xml:space="preserve">may </w:t>
      </w:r>
      <w:r w:rsidRPr="00966C82">
        <w:t>wane over time</w:t>
      </w:r>
      <w:r>
        <w:t xml:space="preserve"> as expenditure pressures rise and alternative priorities compete for the government’s limited attention and resources</w:t>
      </w:r>
      <w:r w:rsidRPr="00966C82">
        <w:t xml:space="preserve">. </w:t>
      </w:r>
    </w:p>
    <w:p w14:paraId="7D0C1563" w14:textId="77777777" w:rsidR="00EA1260" w:rsidRPr="00AA72CF" w:rsidRDefault="00EA1260" w:rsidP="00EA1260">
      <w:pPr>
        <w:pStyle w:val="ListParagraph"/>
        <w:numPr>
          <w:ilvl w:val="0"/>
          <w:numId w:val="0"/>
        </w:numPr>
        <w:pBdr>
          <w:top w:val="single" w:sz="4" w:space="1" w:color="auto"/>
          <w:left w:val="single" w:sz="4" w:space="4" w:color="auto"/>
          <w:bottom w:val="single" w:sz="4" w:space="1" w:color="auto"/>
          <w:right w:val="single" w:sz="4" w:space="4" w:color="auto"/>
        </w:pBdr>
        <w:shd w:val="clear" w:color="auto" w:fill="DBDBDB" w:themeFill="accent3" w:themeFillTint="66"/>
      </w:pPr>
      <w:r>
        <w:t xml:space="preserve">Ghana’s recent achievement of lower-middle-income status marks a pivotal moment in its development history, as the country now faces diminishing inflows of external assistance combined with expanding access to non-concessional borrowing. In addition, while the emerging oil sector has greatly increased Ghana’s medium-term growth trajectory and is expected to deliver a dramatic albeit temporary revenue boost, it also poses serious challenges to the country’s fiscal stability and long-term economic competitiveness. These factors underscore the critical importance of achieving further progress on the structural reform agenda. Addressing macroeconomic vulnerabilities and expanding the fiscal space for </w:t>
      </w:r>
      <w:r w:rsidRPr="00DE25F9">
        <w:t>capital investment</w:t>
      </w:r>
      <w:r>
        <w:t xml:space="preserve"> will enable Ghana to realize its medium-term growth potential, and sustainable economic growth will allow the government to raise the quality of its public goods and services to the level of other middle-income countries in the region. </w:t>
      </w:r>
    </w:p>
    <w:p w14:paraId="539D71EC" w14:textId="77777777" w:rsidR="00562CC5" w:rsidRDefault="00562CC5">
      <w:pPr>
        <w:rPr>
          <w:rFonts w:ascii="Garamond" w:hAnsi="Garamond"/>
          <w:b/>
          <w:caps/>
          <w:color w:val="5B9BD5" w:themeColor="accent1"/>
          <w:spacing w:val="15"/>
          <w:sz w:val="24"/>
          <w:szCs w:val="24"/>
        </w:rPr>
      </w:pPr>
      <w:r>
        <w:br w:type="page"/>
      </w:r>
    </w:p>
    <w:p w14:paraId="5A28476B" w14:textId="77777777" w:rsidR="00AA72CF" w:rsidRPr="00E45355" w:rsidRDefault="0007209F" w:rsidP="00894F2B">
      <w:pPr>
        <w:pStyle w:val="Heading2"/>
      </w:pPr>
      <w:bookmarkStart w:id="11" w:name="_Toc479624867"/>
      <w:r w:rsidRPr="00E45355">
        <w:lastRenderedPageBreak/>
        <w:t>Background</w:t>
      </w:r>
      <w:bookmarkEnd w:id="11"/>
    </w:p>
    <w:p w14:paraId="5648C829" w14:textId="77777777" w:rsidR="003630FB" w:rsidRDefault="00740668" w:rsidP="00423915">
      <w:pPr>
        <w:pStyle w:val="ListParagraph"/>
      </w:pPr>
      <w:r w:rsidRPr="00480E60">
        <w:rPr>
          <w:b/>
        </w:rPr>
        <w:t xml:space="preserve">Ghana </w:t>
      </w:r>
      <w:r w:rsidR="00CA3FDC" w:rsidRPr="00480E60">
        <w:rPr>
          <w:b/>
        </w:rPr>
        <w:t xml:space="preserve">has </w:t>
      </w:r>
      <w:r w:rsidR="00A3712F">
        <w:rPr>
          <w:b/>
        </w:rPr>
        <w:t>enjoyed</w:t>
      </w:r>
      <w:r w:rsidRPr="00480E60">
        <w:rPr>
          <w:b/>
        </w:rPr>
        <w:t xml:space="preserve"> </w:t>
      </w:r>
      <w:r w:rsidR="00F341CE" w:rsidRPr="00480E60">
        <w:rPr>
          <w:b/>
        </w:rPr>
        <w:t xml:space="preserve">robust and sustained </w:t>
      </w:r>
      <w:r w:rsidRPr="00480E60">
        <w:rPr>
          <w:b/>
        </w:rPr>
        <w:t>economic growth since the early 2000s.</w:t>
      </w:r>
      <w:r w:rsidRPr="00AA72CF">
        <w:t xml:space="preserve"> While </w:t>
      </w:r>
      <w:r w:rsidR="00F341CE">
        <w:t xml:space="preserve">Ghana’s </w:t>
      </w:r>
      <w:r w:rsidR="003630FB">
        <w:t xml:space="preserve">expansion </w:t>
      </w:r>
      <w:r w:rsidR="00A3712F">
        <w:t>occurred during a period of</w:t>
      </w:r>
      <w:r w:rsidR="00F341CE">
        <w:t xml:space="preserve"> </w:t>
      </w:r>
      <w:r w:rsidR="003630FB">
        <w:t>solid growth</w:t>
      </w:r>
      <w:r w:rsidR="00F341CE">
        <w:t xml:space="preserve"> </w:t>
      </w:r>
      <w:r w:rsidR="003630FB">
        <w:t>across</w:t>
      </w:r>
      <w:r w:rsidR="00A3712F">
        <w:t xml:space="preserve"> </w:t>
      </w:r>
      <w:r w:rsidR="003630FB">
        <w:t xml:space="preserve">much of </w:t>
      </w:r>
      <w:r w:rsidR="00F341CE">
        <w:t>Sub-Saharan Africa</w:t>
      </w:r>
      <w:r w:rsidRPr="00AA72CF">
        <w:t xml:space="preserve">, </w:t>
      </w:r>
      <w:r w:rsidR="00A3712F">
        <w:t>the country</w:t>
      </w:r>
      <w:r w:rsidR="00A3712F" w:rsidRPr="00AA72CF">
        <w:t xml:space="preserve"> </w:t>
      </w:r>
      <w:r w:rsidR="003630FB">
        <w:t xml:space="preserve">has ranked among the region’s top performers for over a decade. Ghana’s </w:t>
      </w:r>
      <w:r w:rsidR="00F341CE">
        <w:t xml:space="preserve">GDP </w:t>
      </w:r>
      <w:r w:rsidRPr="00AA72CF">
        <w:t xml:space="preserve">growth </w:t>
      </w:r>
      <w:r w:rsidR="00F341CE">
        <w:t xml:space="preserve">rate </w:t>
      </w:r>
      <w:r w:rsidR="00BC1B81" w:rsidRPr="00AA72CF">
        <w:t xml:space="preserve">accelerated in 2000 and </w:t>
      </w:r>
      <w:r w:rsidR="003630FB">
        <w:t>reached</w:t>
      </w:r>
      <w:r w:rsidR="00F341CE">
        <w:t xml:space="preserve"> an average of 8.7</w:t>
      </w:r>
      <w:r w:rsidR="00DC37EC">
        <w:t xml:space="preserve"> percent</w:t>
      </w:r>
      <w:r w:rsidR="00F341CE">
        <w:t xml:space="preserve"> per year</w:t>
      </w:r>
      <w:r w:rsidRPr="00AA72CF">
        <w:t xml:space="preserve"> </w:t>
      </w:r>
      <w:r w:rsidR="003630FB">
        <w:t>between</w:t>
      </w:r>
      <w:r w:rsidR="003630FB" w:rsidRPr="00AA72CF">
        <w:t xml:space="preserve"> </w:t>
      </w:r>
      <w:r w:rsidRPr="00AA72CF">
        <w:t>2008</w:t>
      </w:r>
      <w:r w:rsidR="00F341CE">
        <w:t xml:space="preserve"> </w:t>
      </w:r>
      <w:r w:rsidR="003630FB">
        <w:t xml:space="preserve">and </w:t>
      </w:r>
      <w:r w:rsidRPr="00AA72CF">
        <w:t>2012</w:t>
      </w:r>
      <w:r w:rsidR="00F341CE">
        <w:t xml:space="preserve"> </w:t>
      </w:r>
      <w:r w:rsidRPr="00AA72CF">
        <w:t>(</w:t>
      </w:r>
      <w:r w:rsidR="004821D3">
        <w:fldChar w:fldCharType="begin"/>
      </w:r>
      <w:r w:rsidR="004821D3">
        <w:instrText xml:space="preserve"> REF _Ref472431234 \h </w:instrText>
      </w:r>
      <w:r w:rsidR="004821D3">
        <w:fldChar w:fldCharType="separate"/>
      </w:r>
      <w:r w:rsidR="007B1CE6">
        <w:t xml:space="preserve">Figure </w:t>
      </w:r>
      <w:r w:rsidR="007B1CE6">
        <w:rPr>
          <w:noProof/>
        </w:rPr>
        <w:t>1</w:t>
      </w:r>
      <w:r w:rsidR="007B1CE6">
        <w:t>.</w:t>
      </w:r>
      <w:r w:rsidR="007B1CE6">
        <w:rPr>
          <w:noProof/>
        </w:rPr>
        <w:t>1</w:t>
      </w:r>
      <w:r w:rsidR="004821D3">
        <w:fldChar w:fldCharType="end"/>
      </w:r>
      <w:r w:rsidRPr="00AA72CF">
        <w:t xml:space="preserve">). </w:t>
      </w:r>
      <w:r w:rsidR="00F341CE">
        <w:t>Economic</w:t>
      </w:r>
      <w:r w:rsidR="00F341CE" w:rsidRPr="00AA72CF">
        <w:t xml:space="preserve"> </w:t>
      </w:r>
      <w:r w:rsidR="00B5775F" w:rsidRPr="00AA72CF">
        <w:t xml:space="preserve">growth </w:t>
      </w:r>
      <w:r w:rsidR="00F341CE">
        <w:t>outpaced</w:t>
      </w:r>
      <w:r w:rsidR="00F341CE" w:rsidRPr="00AA72CF">
        <w:t xml:space="preserve"> </w:t>
      </w:r>
      <w:r w:rsidR="00B5775F" w:rsidRPr="00AA72CF">
        <w:t>population growth</w:t>
      </w:r>
      <w:r w:rsidR="00F341CE">
        <w:t>, leading to a record 14.5 percent increase in</w:t>
      </w:r>
      <w:r w:rsidRPr="00AA72CF">
        <w:t xml:space="preserve"> real GDP per capita in 2011—the </w:t>
      </w:r>
      <w:r w:rsidR="00F341CE">
        <w:t xml:space="preserve">world’s </w:t>
      </w:r>
      <w:r w:rsidRPr="00AA72CF">
        <w:t xml:space="preserve">second highest growth </w:t>
      </w:r>
      <w:r w:rsidR="00F341CE">
        <w:t>rate for</w:t>
      </w:r>
      <w:r w:rsidR="00F341CE" w:rsidRPr="00AA72CF">
        <w:t xml:space="preserve"> </w:t>
      </w:r>
      <w:r w:rsidR="00423FEF" w:rsidRPr="00AA72CF">
        <w:t>that year</w:t>
      </w:r>
      <w:r w:rsidR="00B5775F" w:rsidRPr="00AA72CF">
        <w:t>.</w:t>
      </w:r>
      <w:r w:rsidRPr="00AA72CF">
        <w:t xml:space="preserve"> </w:t>
      </w:r>
    </w:p>
    <w:p w14:paraId="4133A323" w14:textId="77777777" w:rsidR="00950214" w:rsidRPr="00CC46D2" w:rsidRDefault="001661F5" w:rsidP="003630FB">
      <w:pPr>
        <w:pStyle w:val="ListParagraph"/>
      </w:pPr>
      <w:r>
        <w:rPr>
          <w:b/>
        </w:rPr>
        <w:t>Following y</w:t>
      </w:r>
      <w:r w:rsidR="003630FB">
        <w:rPr>
          <w:b/>
        </w:rPr>
        <w:t xml:space="preserve">ears of rapid economic expansion and </w:t>
      </w:r>
      <w:r>
        <w:rPr>
          <w:b/>
        </w:rPr>
        <w:t xml:space="preserve">the adoption of </w:t>
      </w:r>
      <w:r w:rsidR="003630FB">
        <w:rPr>
          <w:b/>
        </w:rPr>
        <w:t>a refined accounting methodology</w:t>
      </w:r>
      <w:r>
        <w:rPr>
          <w:b/>
        </w:rPr>
        <w:t>,</w:t>
      </w:r>
      <w:r w:rsidR="003630FB">
        <w:rPr>
          <w:b/>
        </w:rPr>
        <w:t xml:space="preserve"> Ghana </w:t>
      </w:r>
      <w:r>
        <w:rPr>
          <w:b/>
        </w:rPr>
        <w:t>is now recognized as a</w:t>
      </w:r>
      <w:r w:rsidR="003630FB">
        <w:rPr>
          <w:b/>
        </w:rPr>
        <w:t xml:space="preserve"> lower-middle-</w:t>
      </w:r>
      <w:r w:rsidR="003630FB" w:rsidRPr="00CC7892">
        <w:rPr>
          <w:b/>
        </w:rPr>
        <w:t>income country.</w:t>
      </w:r>
      <w:r w:rsidR="003630FB">
        <w:t xml:space="preserve"> </w:t>
      </w:r>
      <w:r w:rsidR="00F341CE">
        <w:t>In 2010</w:t>
      </w:r>
      <w:r w:rsidR="00DC37EC">
        <w:t>,</w:t>
      </w:r>
      <w:r w:rsidR="00F341CE">
        <w:t xml:space="preserve"> t</w:t>
      </w:r>
      <w:r w:rsidR="00E56932" w:rsidRPr="00AA72CF">
        <w:t xml:space="preserve">he </w:t>
      </w:r>
      <w:r w:rsidR="00392DBF">
        <w:t>method</w:t>
      </w:r>
      <w:r w:rsidR="00E56932" w:rsidRPr="00AA72CF">
        <w:t xml:space="preserve"> for </w:t>
      </w:r>
      <w:r w:rsidR="00F341CE">
        <w:t xml:space="preserve">calculating </w:t>
      </w:r>
      <w:r w:rsidR="00E56932" w:rsidRPr="00AA72CF">
        <w:t>Ghana’s national accounts was updated</w:t>
      </w:r>
      <w:r w:rsidR="00392DBF">
        <w:t>, and the base year was changed</w:t>
      </w:r>
      <w:r w:rsidR="00E56932" w:rsidRPr="00AA72CF">
        <w:t xml:space="preserve"> from 1993 to 2006</w:t>
      </w:r>
      <w:r w:rsidR="00392DBF">
        <w:t>. This</w:t>
      </w:r>
      <w:r w:rsidR="00E56932" w:rsidRPr="00AA72CF">
        <w:t xml:space="preserve"> </w:t>
      </w:r>
      <w:r w:rsidR="00392DBF">
        <w:t xml:space="preserve">recalculation </w:t>
      </w:r>
      <w:r w:rsidR="00E56932" w:rsidRPr="00AA72CF">
        <w:t>resulted in a 60 percent increase</w:t>
      </w:r>
      <w:r w:rsidR="00392DBF">
        <w:t xml:space="preserve"> in estimated</w:t>
      </w:r>
      <w:r w:rsidR="00E56932" w:rsidRPr="00AA72CF">
        <w:t xml:space="preserve"> GDP</w:t>
      </w:r>
      <w:r w:rsidR="00392DBF">
        <w:t xml:space="preserve"> due to</w:t>
      </w:r>
      <w:r w:rsidR="00E56932" w:rsidRPr="00AA72CF">
        <w:t xml:space="preserve"> the inclusion of </w:t>
      </w:r>
      <w:r w:rsidR="00392DBF" w:rsidRPr="00AA72CF">
        <w:t>economic activities</w:t>
      </w:r>
      <w:r w:rsidR="00392DBF">
        <w:t xml:space="preserve"> that had been </w:t>
      </w:r>
      <w:r w:rsidR="00A3712F">
        <w:t>left out of previous estimates</w:t>
      </w:r>
      <w:r w:rsidR="00E56932" w:rsidRPr="00AA72CF">
        <w:t xml:space="preserve">, </w:t>
      </w:r>
      <w:r w:rsidR="00A3712F">
        <w:t xml:space="preserve">and </w:t>
      </w:r>
      <w:r w:rsidR="00E56932" w:rsidRPr="00AA72CF">
        <w:t xml:space="preserve">Ghana was </w:t>
      </w:r>
      <w:r w:rsidR="003630FB">
        <w:t>reclassified</w:t>
      </w:r>
      <w:r w:rsidR="003630FB" w:rsidRPr="00AA72CF">
        <w:t xml:space="preserve"> </w:t>
      </w:r>
      <w:r w:rsidR="00E56932" w:rsidRPr="00AA72CF">
        <w:t xml:space="preserve">from low-income to </w:t>
      </w:r>
      <w:r w:rsidR="00E56932" w:rsidRPr="00480E60">
        <w:t>lower-middle-income country</w:t>
      </w:r>
      <w:r w:rsidR="0042508F">
        <w:t xml:space="preserve"> in 2011</w:t>
      </w:r>
      <w:r w:rsidR="002E32F1" w:rsidRPr="00AA72CF">
        <w:t>.</w:t>
      </w:r>
    </w:p>
    <w:p w14:paraId="7506522C" w14:textId="77777777" w:rsidR="00950214" w:rsidRPr="00CC46D2" w:rsidRDefault="00A3712F" w:rsidP="00CC46D2">
      <w:pPr>
        <w:pStyle w:val="ListParagraph"/>
        <w:rPr>
          <w:lang w:val="en-GB"/>
        </w:rPr>
      </w:pPr>
      <w:r>
        <w:rPr>
          <w:b/>
        </w:rPr>
        <w:t>P</w:t>
      </w:r>
      <w:r w:rsidR="00950214" w:rsidRPr="00480E60">
        <w:rPr>
          <w:b/>
        </w:rPr>
        <w:t>ositive terms</w:t>
      </w:r>
      <w:r>
        <w:rPr>
          <w:b/>
        </w:rPr>
        <w:t>-</w:t>
      </w:r>
      <w:r w:rsidR="00950214" w:rsidRPr="00480E60">
        <w:rPr>
          <w:b/>
        </w:rPr>
        <w:t>of</w:t>
      </w:r>
      <w:r>
        <w:rPr>
          <w:b/>
        </w:rPr>
        <w:t>-</w:t>
      </w:r>
      <w:r w:rsidR="00950214" w:rsidRPr="00480E60">
        <w:rPr>
          <w:b/>
        </w:rPr>
        <w:t>trade</w:t>
      </w:r>
      <w:r>
        <w:rPr>
          <w:b/>
        </w:rPr>
        <w:t xml:space="preserve"> dynamics</w:t>
      </w:r>
      <w:r w:rsidR="00950214" w:rsidRPr="00480E60">
        <w:rPr>
          <w:b/>
        </w:rPr>
        <w:t xml:space="preserve">, </w:t>
      </w:r>
      <w:r w:rsidR="00392DBF" w:rsidRPr="00480E60">
        <w:rPr>
          <w:b/>
        </w:rPr>
        <w:t xml:space="preserve">including </w:t>
      </w:r>
      <w:r w:rsidR="00950214" w:rsidRPr="00480E60">
        <w:rPr>
          <w:b/>
        </w:rPr>
        <w:t xml:space="preserve">high gold and cocoa prices, </w:t>
      </w:r>
      <w:r w:rsidR="00392DBF" w:rsidRPr="00480E60">
        <w:rPr>
          <w:b/>
        </w:rPr>
        <w:t xml:space="preserve">coupled with </w:t>
      </w:r>
      <w:r w:rsidR="00950214" w:rsidRPr="00480E60">
        <w:rPr>
          <w:b/>
        </w:rPr>
        <w:t>new oil and gas discoveries, substantial capital inflows, and a reputation for relatively robust democratic institutions</w:t>
      </w:r>
      <w:r>
        <w:rPr>
          <w:b/>
        </w:rPr>
        <w:t>, underpinned Ghana’s economic success</w:t>
      </w:r>
      <w:r w:rsidR="00950214" w:rsidRPr="00480E60">
        <w:rPr>
          <w:b/>
        </w:rPr>
        <w:t>.</w:t>
      </w:r>
      <w:r w:rsidR="00950214" w:rsidRPr="00950214">
        <w:t xml:space="preserve"> </w:t>
      </w:r>
      <w:r>
        <w:t xml:space="preserve">The </w:t>
      </w:r>
      <w:r w:rsidR="00507713">
        <w:t>GDP growth rate</w:t>
      </w:r>
      <w:r w:rsidR="00507713" w:rsidRPr="00950214">
        <w:t xml:space="preserve"> </w:t>
      </w:r>
      <w:r w:rsidR="00950214" w:rsidRPr="00950214">
        <w:t xml:space="preserve">peaked at 14 percent </w:t>
      </w:r>
      <w:r>
        <w:t xml:space="preserve">in 2011, </w:t>
      </w:r>
      <w:r w:rsidR="00950214" w:rsidRPr="00950214">
        <w:t xml:space="preserve">following the commencement of oil production. </w:t>
      </w:r>
      <w:r w:rsidR="00507713">
        <w:t>I</w:t>
      </w:r>
      <w:r w:rsidR="00950214" w:rsidRPr="00950214">
        <w:t xml:space="preserve">ncreased foreign direct investment </w:t>
      </w:r>
      <w:r w:rsidR="00902D3F">
        <w:t xml:space="preserve">(FDI) </w:t>
      </w:r>
      <w:r w:rsidR="00A66399">
        <w:t>in the nascent</w:t>
      </w:r>
      <w:r w:rsidR="00950214" w:rsidRPr="00950214">
        <w:t xml:space="preserve"> oil sector</w:t>
      </w:r>
      <w:r w:rsidR="00507713">
        <w:t>, supported by</w:t>
      </w:r>
      <w:r w:rsidR="00950214" w:rsidRPr="00950214">
        <w:t xml:space="preserve"> </w:t>
      </w:r>
      <w:r w:rsidR="00A66399">
        <w:t>the easing of international liquidity constraints, greatly expanded</w:t>
      </w:r>
      <w:r w:rsidR="00950214" w:rsidRPr="00950214">
        <w:t xml:space="preserve"> </w:t>
      </w:r>
      <w:r w:rsidR="00A66399">
        <w:t>the country’s</w:t>
      </w:r>
      <w:r w:rsidR="00507713" w:rsidRPr="00950214">
        <w:t xml:space="preserve"> access to international capital </w:t>
      </w:r>
      <w:r w:rsidR="00A66399">
        <w:t xml:space="preserve">and </w:t>
      </w:r>
      <w:r>
        <w:t xml:space="preserve">heightened </w:t>
      </w:r>
      <w:r w:rsidR="00A66399">
        <w:t xml:space="preserve">its exposure to </w:t>
      </w:r>
      <w:r>
        <w:t xml:space="preserve">volatile </w:t>
      </w:r>
      <w:r w:rsidR="00A66399">
        <w:t xml:space="preserve">global financial markets </w:t>
      </w:r>
      <w:r w:rsidR="00950214" w:rsidRPr="00950214">
        <w:rPr>
          <w:rFonts w:cs="Calibri"/>
        </w:rPr>
        <w:t>(</w:t>
      </w:r>
      <w:r w:rsidR="006E354C">
        <w:rPr>
          <w:rFonts w:cs="Calibri"/>
        </w:rPr>
        <w:fldChar w:fldCharType="begin"/>
      </w:r>
      <w:r w:rsidR="006E354C">
        <w:rPr>
          <w:rFonts w:cs="Calibri"/>
        </w:rPr>
        <w:instrText xml:space="preserve"> REF _Ref465700487 \h </w:instrText>
      </w:r>
      <w:r w:rsidR="006E354C">
        <w:rPr>
          <w:rFonts w:cs="Calibri"/>
        </w:rPr>
      </w:r>
      <w:r w:rsidR="006E354C">
        <w:rPr>
          <w:rFonts w:cs="Calibri"/>
        </w:rPr>
        <w:fldChar w:fldCharType="separate"/>
      </w:r>
      <w:r w:rsidR="007B1CE6">
        <w:t xml:space="preserve">Figure </w:t>
      </w:r>
      <w:r w:rsidR="007B1CE6">
        <w:rPr>
          <w:noProof/>
        </w:rPr>
        <w:t>1</w:t>
      </w:r>
      <w:r w:rsidR="007B1CE6">
        <w:t>.</w:t>
      </w:r>
      <w:r w:rsidR="007B1CE6">
        <w:rPr>
          <w:noProof/>
        </w:rPr>
        <w:t>2</w:t>
      </w:r>
      <w:r w:rsidR="006E354C">
        <w:rPr>
          <w:rFonts w:cs="Calibri"/>
        </w:rPr>
        <w:fldChar w:fldCharType="end"/>
      </w:r>
      <w:r w:rsidR="00950214" w:rsidRPr="00950214">
        <w:rPr>
          <w:rFonts w:cs="Calibri"/>
        </w:rPr>
        <w:t>)</w:t>
      </w:r>
      <w:r w:rsidR="00950214" w:rsidRPr="00950214">
        <w:t>.</w:t>
      </w:r>
    </w:p>
    <w:p w14:paraId="0E8B67BC" w14:textId="77777777" w:rsidR="00FB274C" w:rsidRDefault="00A66399" w:rsidP="00480E60">
      <w:pPr>
        <w:pStyle w:val="ListParagraph"/>
      </w:pPr>
      <w:r>
        <w:rPr>
          <w:b/>
        </w:rPr>
        <w:t>Rapid</w:t>
      </w:r>
      <w:r w:rsidR="001109FD" w:rsidRPr="00F8565F">
        <w:rPr>
          <w:b/>
        </w:rPr>
        <w:t xml:space="preserve"> growth</w:t>
      </w:r>
      <w:r>
        <w:rPr>
          <w:b/>
        </w:rPr>
        <w:t>,</w:t>
      </w:r>
      <w:r w:rsidR="001109FD" w:rsidRPr="00F8565F">
        <w:rPr>
          <w:b/>
        </w:rPr>
        <w:t xml:space="preserve"> </w:t>
      </w:r>
      <w:r>
        <w:rPr>
          <w:b/>
        </w:rPr>
        <w:t xml:space="preserve">combined with </w:t>
      </w:r>
      <w:r w:rsidR="001109FD" w:rsidRPr="00F8565F">
        <w:rPr>
          <w:b/>
        </w:rPr>
        <w:t xml:space="preserve">the </w:t>
      </w:r>
      <w:r w:rsidR="00A3712F">
        <w:rPr>
          <w:b/>
        </w:rPr>
        <w:t xml:space="preserve">ongoing structural transformation of the </w:t>
      </w:r>
      <w:r>
        <w:rPr>
          <w:b/>
        </w:rPr>
        <w:t xml:space="preserve">Ghanaian </w:t>
      </w:r>
      <w:r w:rsidR="001109FD" w:rsidRPr="00F8565F">
        <w:rPr>
          <w:b/>
        </w:rPr>
        <w:t>economy</w:t>
      </w:r>
      <w:r>
        <w:rPr>
          <w:b/>
        </w:rPr>
        <w:t>,</w:t>
      </w:r>
      <w:r w:rsidR="001109FD" w:rsidRPr="00F8565F">
        <w:rPr>
          <w:b/>
        </w:rPr>
        <w:t xml:space="preserve"> </w:t>
      </w:r>
      <w:r>
        <w:rPr>
          <w:b/>
        </w:rPr>
        <w:t>greatly expanded</w:t>
      </w:r>
      <w:r w:rsidR="001109FD" w:rsidRPr="00F8565F">
        <w:rPr>
          <w:b/>
        </w:rPr>
        <w:t xml:space="preserve"> employment</w:t>
      </w:r>
      <w:r>
        <w:rPr>
          <w:b/>
        </w:rPr>
        <w:t xml:space="preserve"> opportunities</w:t>
      </w:r>
      <w:r w:rsidR="001109FD" w:rsidRPr="00F8565F">
        <w:rPr>
          <w:b/>
        </w:rPr>
        <w:t>.</w:t>
      </w:r>
      <w:r w:rsidR="001109FD" w:rsidRPr="00F8565F">
        <w:rPr>
          <w:rFonts w:ascii="Helvetica" w:hAnsi="Helvetica"/>
          <w:color w:val="000000"/>
        </w:rPr>
        <w:t xml:space="preserve"> </w:t>
      </w:r>
      <w:r>
        <w:t>T</w:t>
      </w:r>
      <w:r w:rsidR="001109FD" w:rsidRPr="00F8565F">
        <w:t xml:space="preserve">he service sector </w:t>
      </w:r>
      <w:r w:rsidR="00A14CD0">
        <w:t xml:space="preserve">increased </w:t>
      </w:r>
      <w:r>
        <w:t>its share in GDP from</w:t>
      </w:r>
      <w:r w:rsidR="001109FD" w:rsidRPr="00F8565F">
        <w:t xml:space="preserve"> 32 percent </w:t>
      </w:r>
      <w:r w:rsidR="00393805" w:rsidRPr="00F8565F">
        <w:t xml:space="preserve">in 2000 </w:t>
      </w:r>
      <w:r w:rsidR="001109FD" w:rsidRPr="00F8565F">
        <w:t xml:space="preserve">to 50 percent </w:t>
      </w:r>
      <w:r w:rsidR="00393805" w:rsidRPr="00F8565F">
        <w:t xml:space="preserve">in 2015, </w:t>
      </w:r>
      <w:r w:rsidR="00F8565F" w:rsidRPr="00F8565F">
        <w:t xml:space="preserve">while </w:t>
      </w:r>
      <w:r w:rsidR="00393805" w:rsidRPr="00F8565F">
        <w:t>agriculture</w:t>
      </w:r>
      <w:r>
        <w:t>’s share</w:t>
      </w:r>
      <w:r w:rsidR="00393805" w:rsidRPr="00F8565F">
        <w:t xml:space="preserve"> fell from 39 percent to 20 percent</w:t>
      </w:r>
      <w:r w:rsidR="00F8565F" w:rsidRPr="00F8565F">
        <w:t xml:space="preserve">. </w:t>
      </w:r>
      <w:r w:rsidR="001109FD" w:rsidRPr="00F8565F">
        <w:t xml:space="preserve">The </w:t>
      </w:r>
      <w:r w:rsidR="00A6290A">
        <w:t xml:space="preserve">advent </w:t>
      </w:r>
      <w:r w:rsidR="001109FD" w:rsidRPr="00F8565F">
        <w:t xml:space="preserve">of oil production in 2011 </w:t>
      </w:r>
      <w:r w:rsidR="00A6290A">
        <w:t>drove</w:t>
      </w:r>
      <w:r w:rsidR="001109FD" w:rsidRPr="00F8565F">
        <w:t xml:space="preserve"> the </w:t>
      </w:r>
      <w:r w:rsidR="00A6290A">
        <w:t>rise</w:t>
      </w:r>
      <w:r w:rsidR="001109FD" w:rsidRPr="00F8565F">
        <w:t xml:space="preserve"> of </w:t>
      </w:r>
      <w:r w:rsidR="00A6290A">
        <w:t xml:space="preserve">the </w:t>
      </w:r>
      <w:r w:rsidR="001109FD" w:rsidRPr="00F8565F">
        <w:t>industrial sector</w:t>
      </w:r>
      <w:r w:rsidR="00A6290A">
        <w:t>, which grew</w:t>
      </w:r>
      <w:r w:rsidR="001109FD" w:rsidRPr="00F8565F">
        <w:t xml:space="preserve"> from just 19 percent of </w:t>
      </w:r>
      <w:r w:rsidR="00A6290A">
        <w:t>GDP</w:t>
      </w:r>
      <w:r w:rsidR="001109FD" w:rsidRPr="00F8565F">
        <w:t xml:space="preserve"> in 2010 to </w:t>
      </w:r>
      <w:r w:rsidR="00567C4C" w:rsidRPr="00F8565F">
        <w:t>30 percent in 2015</w:t>
      </w:r>
      <w:r w:rsidR="00793EFB" w:rsidRPr="00F8565F">
        <w:t xml:space="preserve">. </w:t>
      </w:r>
      <w:r w:rsidR="00A14CD0">
        <w:t xml:space="preserve">Job creation accelerated </w:t>
      </w:r>
      <w:r w:rsidR="00A6290A">
        <w:t>as</w:t>
      </w:r>
      <w:r w:rsidR="000265B9" w:rsidRPr="00F8565F">
        <w:t xml:space="preserve"> total labor productivity</w:t>
      </w:r>
      <w:r w:rsidR="00A6290A">
        <w:t xml:space="preserve"> increased</w:t>
      </w:r>
      <w:r w:rsidR="000265B9" w:rsidRPr="00F8565F">
        <w:t>.</w:t>
      </w:r>
      <w:r w:rsidR="00F8565F">
        <w:rPr>
          <w:rStyle w:val="FootnoteReference"/>
          <w:rFonts w:cs="Times New Roman"/>
        </w:rPr>
        <w:footnoteReference w:id="6"/>
      </w:r>
      <w:r w:rsidR="000265B9" w:rsidRPr="00F8565F">
        <w:t xml:space="preserve"> </w:t>
      </w:r>
      <w:r w:rsidR="00A14CD0">
        <w:t>Employment grew by</w:t>
      </w:r>
      <w:r w:rsidR="000265B9" w:rsidRPr="00F8565F">
        <w:t xml:space="preserve"> 3.2 percent per year between 1991 and 2005, </w:t>
      </w:r>
      <w:r w:rsidR="00A6290A">
        <w:t>then rose</w:t>
      </w:r>
      <w:r w:rsidR="000265B9" w:rsidRPr="00F8565F">
        <w:t xml:space="preserve"> to 4 percent per year between 2005 and 2012</w:t>
      </w:r>
      <w:r w:rsidR="00A6290A">
        <w:t xml:space="preserve"> as the</w:t>
      </w:r>
      <w:r w:rsidR="000265B9" w:rsidRPr="00F8565F">
        <w:t xml:space="preserve"> </w:t>
      </w:r>
      <w:r w:rsidR="00A6290A">
        <w:t xml:space="preserve">annual </w:t>
      </w:r>
      <w:r w:rsidR="000265B9" w:rsidRPr="00F8565F">
        <w:t xml:space="preserve">GDP growth </w:t>
      </w:r>
      <w:r w:rsidR="00A6290A">
        <w:t xml:space="preserve">rate </w:t>
      </w:r>
      <w:r w:rsidR="00A14CD0">
        <w:t>reached</w:t>
      </w:r>
      <w:r w:rsidR="000265B9" w:rsidRPr="00F8565F">
        <w:t xml:space="preserve"> 8 percent. </w:t>
      </w:r>
      <w:r w:rsidR="00A6290A">
        <w:t>As the focus of</w:t>
      </w:r>
      <w:r w:rsidR="000265B9" w:rsidRPr="00F8565F">
        <w:t xml:space="preserve"> econom</w:t>
      </w:r>
      <w:r w:rsidR="00A6290A">
        <w:t>ic activity shifted from agriculture</w:t>
      </w:r>
      <w:r w:rsidR="007872A9" w:rsidRPr="00F8565F">
        <w:t xml:space="preserve">, </w:t>
      </w:r>
      <w:r w:rsidR="007D510F" w:rsidRPr="00F8565F">
        <w:t xml:space="preserve">the </w:t>
      </w:r>
      <w:r w:rsidR="00A6290A">
        <w:t xml:space="preserve">sector’s share in total </w:t>
      </w:r>
      <w:r w:rsidR="007D510F" w:rsidRPr="00F8565F">
        <w:t xml:space="preserve">employment </w:t>
      </w:r>
      <w:r w:rsidR="00A14CD0">
        <w:t>across</w:t>
      </w:r>
      <w:r w:rsidR="00A14CD0" w:rsidRPr="00F8565F">
        <w:t xml:space="preserve"> </w:t>
      </w:r>
      <w:r w:rsidR="007D510F" w:rsidRPr="00F8565F">
        <w:t xml:space="preserve">most of southern and central </w:t>
      </w:r>
      <w:r w:rsidR="00A14CD0">
        <w:t>Ghana</w:t>
      </w:r>
      <w:r w:rsidR="00A14CD0" w:rsidRPr="00F8565F">
        <w:t xml:space="preserve"> </w:t>
      </w:r>
      <w:r w:rsidR="007D510F" w:rsidRPr="00F8565F">
        <w:t xml:space="preserve">fell from 75 percent </w:t>
      </w:r>
      <w:r w:rsidR="00A6290A">
        <w:t xml:space="preserve">in 1991 </w:t>
      </w:r>
      <w:r w:rsidR="007D510F" w:rsidRPr="00F8565F">
        <w:t>to less than 55 percent</w:t>
      </w:r>
      <w:r w:rsidR="000265B9" w:rsidRPr="00F8565F">
        <w:t xml:space="preserve"> </w:t>
      </w:r>
      <w:r w:rsidR="00A6290A">
        <w:t>in</w:t>
      </w:r>
      <w:r w:rsidR="000265B9" w:rsidRPr="00F8565F">
        <w:t xml:space="preserve"> 2013</w:t>
      </w:r>
      <w:r w:rsidR="007D510F" w:rsidRPr="00F8565F">
        <w:t xml:space="preserve">. </w:t>
      </w:r>
      <w:r w:rsidR="00A6290A">
        <w:t xml:space="preserve">As agricultural employment declined, </w:t>
      </w:r>
      <w:r w:rsidR="007D510F" w:rsidRPr="00F8565F">
        <w:t>non-agricultural self-employment and</w:t>
      </w:r>
      <w:r w:rsidR="00A6290A">
        <w:t>,</w:t>
      </w:r>
      <w:r w:rsidR="007D510F" w:rsidRPr="00F8565F">
        <w:t xml:space="preserve"> to a lesser extent</w:t>
      </w:r>
      <w:r w:rsidR="00A6290A">
        <w:t>, formal</w:t>
      </w:r>
      <w:r w:rsidR="007D510F" w:rsidRPr="00F8565F">
        <w:t xml:space="preserve"> wage </w:t>
      </w:r>
      <w:r w:rsidR="00A6290A">
        <w:t>employment increased</w:t>
      </w:r>
      <w:r w:rsidR="007D510F" w:rsidRPr="00F8565F">
        <w:t xml:space="preserve">. </w:t>
      </w:r>
      <w:r w:rsidR="00A6290A">
        <w:t xml:space="preserve">However, the agricultural sector remains a major source of livelihoods for the </w:t>
      </w:r>
      <w:r w:rsidR="00A14CD0">
        <w:t xml:space="preserve">country’s </w:t>
      </w:r>
      <w:r w:rsidR="00A6290A">
        <w:t>poorest households</w:t>
      </w:r>
      <w:r w:rsidR="00A14CD0">
        <w:t xml:space="preserve">, especially in Ghana’s </w:t>
      </w:r>
      <w:r w:rsidR="00F116C9">
        <w:t>remote</w:t>
      </w:r>
      <w:r w:rsidR="00A6290A">
        <w:t xml:space="preserve"> northern regions. </w:t>
      </w:r>
    </w:p>
    <w:p w14:paraId="1517539E" w14:textId="77777777" w:rsidR="00FB274C" w:rsidRPr="00F8565F" w:rsidRDefault="00C714B6" w:rsidP="00967FA0">
      <w:pPr>
        <w:pStyle w:val="ListParagraph"/>
      </w:pPr>
      <w:r>
        <w:rPr>
          <w:b/>
        </w:rPr>
        <w:t>Robust growth and structural</w:t>
      </w:r>
      <w:r w:rsidR="009B5891">
        <w:rPr>
          <w:b/>
        </w:rPr>
        <w:t xml:space="preserve"> economic</w:t>
      </w:r>
      <w:r>
        <w:rPr>
          <w:b/>
        </w:rPr>
        <w:t xml:space="preserve"> transformation drove</w:t>
      </w:r>
      <w:r w:rsidR="009B5891">
        <w:rPr>
          <w:b/>
        </w:rPr>
        <w:t xml:space="preserve"> </w:t>
      </w:r>
      <w:r>
        <w:rPr>
          <w:b/>
        </w:rPr>
        <w:t xml:space="preserve">progress in poverty reduction. </w:t>
      </w:r>
      <w:r w:rsidRPr="00967FA0">
        <w:t>The poverty rate fell from 71.8 percent in</w:t>
      </w:r>
      <w:r w:rsidR="00FB274C" w:rsidRPr="00CC46D2">
        <w:t xml:space="preserve"> 1991 </w:t>
      </w:r>
      <w:r>
        <w:t xml:space="preserve">to 33.6 percent in </w:t>
      </w:r>
      <w:r w:rsidR="00FB274C" w:rsidRPr="00CC46D2">
        <w:t>2012</w:t>
      </w:r>
      <w:r>
        <w:t xml:space="preserve">, while the </w:t>
      </w:r>
      <w:r w:rsidR="00FB274C" w:rsidRPr="00C714B6">
        <w:t xml:space="preserve">extreme poverty </w:t>
      </w:r>
      <w:r>
        <w:t xml:space="preserve">rate dropped </w:t>
      </w:r>
      <w:r w:rsidR="00FB274C" w:rsidRPr="00CC46D2">
        <w:t>from 43.4 to 13.6 percent</w:t>
      </w:r>
      <w:r w:rsidR="003855C5">
        <w:t xml:space="preserve"> during the same time</w:t>
      </w:r>
      <w:r w:rsidR="00836826">
        <w:t xml:space="preserve"> </w:t>
      </w:r>
      <w:r w:rsidR="003855C5">
        <w:t>period</w:t>
      </w:r>
      <w:r w:rsidR="00FB274C" w:rsidRPr="00CC46D2">
        <w:t>.</w:t>
      </w:r>
      <w:r w:rsidR="00695215">
        <w:rPr>
          <w:rStyle w:val="FootnoteReference"/>
        </w:rPr>
        <w:footnoteReference w:id="7"/>
      </w:r>
      <w:r w:rsidR="00FB274C" w:rsidRPr="00C714B6">
        <w:t xml:space="preserve"> </w:t>
      </w:r>
      <w:r w:rsidR="00FB274C" w:rsidRPr="000265B9">
        <w:t xml:space="preserve">The </w:t>
      </w:r>
      <w:r w:rsidR="009B5891">
        <w:t xml:space="preserve">changing composition of </w:t>
      </w:r>
      <w:r w:rsidR="00FB274C" w:rsidRPr="000265B9">
        <w:t xml:space="preserve">the </w:t>
      </w:r>
      <w:r w:rsidR="009B5891">
        <w:t xml:space="preserve">Ghanaian </w:t>
      </w:r>
      <w:r w:rsidR="00FB274C" w:rsidRPr="000265B9">
        <w:t xml:space="preserve">economy, </w:t>
      </w:r>
      <w:r w:rsidR="009B5891">
        <w:t>gains</w:t>
      </w:r>
      <w:r w:rsidR="009B5891" w:rsidRPr="000265B9">
        <w:t xml:space="preserve"> </w:t>
      </w:r>
      <w:r w:rsidR="00FB274C" w:rsidRPr="000265B9">
        <w:t xml:space="preserve">in education and </w:t>
      </w:r>
      <w:r w:rsidR="009B5891">
        <w:t xml:space="preserve">workforce </w:t>
      </w:r>
      <w:r w:rsidR="00FB274C" w:rsidRPr="000265B9">
        <w:t xml:space="preserve">skills, and </w:t>
      </w:r>
      <w:r w:rsidR="009B5891">
        <w:t>labor</w:t>
      </w:r>
      <w:r w:rsidR="009B5891" w:rsidRPr="000265B9">
        <w:t xml:space="preserve"> </w:t>
      </w:r>
      <w:r w:rsidR="00FB274C" w:rsidRPr="000265B9">
        <w:t xml:space="preserve">mobility </w:t>
      </w:r>
      <w:r w:rsidR="00007A6D">
        <w:t xml:space="preserve">all </w:t>
      </w:r>
      <w:r w:rsidR="006111A1">
        <w:t>supported income growth</w:t>
      </w:r>
      <w:r w:rsidR="00FB274C" w:rsidRPr="000265B9">
        <w:t>. Between 1991 and 2012,</w:t>
      </w:r>
      <w:r w:rsidR="006111A1">
        <w:t xml:space="preserve"> improvements in educational attainment cut</w:t>
      </w:r>
      <w:r w:rsidR="00FB274C" w:rsidRPr="000265B9">
        <w:t xml:space="preserve"> the share of the labor force without </w:t>
      </w:r>
      <w:r w:rsidR="006111A1">
        <w:t>a</w:t>
      </w:r>
      <w:r w:rsidR="006111A1" w:rsidRPr="000265B9">
        <w:t xml:space="preserve"> </w:t>
      </w:r>
      <w:r w:rsidR="006111A1">
        <w:t xml:space="preserve">completed </w:t>
      </w:r>
      <w:r w:rsidR="00FB274C" w:rsidRPr="000265B9">
        <w:t xml:space="preserve">primary education from 41 to 24 percent. </w:t>
      </w:r>
      <w:r w:rsidR="00007A6D">
        <w:t>However</w:t>
      </w:r>
      <w:r w:rsidR="00FB274C" w:rsidRPr="000265B9">
        <w:t xml:space="preserve">, </w:t>
      </w:r>
      <w:r w:rsidR="006111A1">
        <w:t xml:space="preserve">rapid economic growth also spurred an increase in </w:t>
      </w:r>
      <w:r w:rsidR="00FB274C" w:rsidRPr="000265B9">
        <w:t>inequality between 1991 and 2012</w:t>
      </w:r>
      <w:r w:rsidR="00007A6D">
        <w:t>. T</w:t>
      </w:r>
      <w:r w:rsidR="00FB274C" w:rsidRPr="000265B9">
        <w:t xml:space="preserve">he </w:t>
      </w:r>
      <w:r w:rsidR="00007A6D" w:rsidRPr="000265B9">
        <w:t xml:space="preserve">consumption </w:t>
      </w:r>
      <w:r w:rsidR="006111A1">
        <w:t xml:space="preserve">gap </w:t>
      </w:r>
      <w:r w:rsidR="00FB274C" w:rsidRPr="000265B9">
        <w:t xml:space="preserve">between </w:t>
      </w:r>
      <w:r w:rsidR="006111A1">
        <w:t xml:space="preserve">households in the </w:t>
      </w:r>
      <w:r w:rsidR="00FB274C" w:rsidRPr="000265B9">
        <w:t xml:space="preserve">top and bottom </w:t>
      </w:r>
      <w:r w:rsidR="006111A1">
        <w:t>deciles of the income distribution</w:t>
      </w:r>
      <w:r w:rsidR="00007A6D">
        <w:t xml:space="preserve"> </w:t>
      </w:r>
      <w:r w:rsidR="00007A6D">
        <w:lastRenderedPageBreak/>
        <w:t>widened substantially during the period, and t</w:t>
      </w:r>
      <w:r w:rsidR="00FB274C" w:rsidRPr="000265B9">
        <w:t>he Gini index rose from 37.5 to 42.2 percent</w:t>
      </w:r>
      <w:r w:rsidR="00007A6D">
        <w:t>. P</w:t>
      </w:r>
      <w:r w:rsidR="009A097A">
        <w:t xml:space="preserve">overty remains most heavily </w:t>
      </w:r>
      <w:r w:rsidR="00FB274C" w:rsidRPr="000265B9">
        <w:t>concentrat</w:t>
      </w:r>
      <w:r w:rsidR="009A097A">
        <w:t xml:space="preserve">ed </w:t>
      </w:r>
      <w:r w:rsidR="00FB274C" w:rsidRPr="000265B9">
        <w:t xml:space="preserve">in rural areas and in the </w:t>
      </w:r>
      <w:r w:rsidR="009A097A">
        <w:t>country’s n</w:t>
      </w:r>
      <w:r w:rsidR="00FB274C" w:rsidRPr="000265B9">
        <w:t>orth</w:t>
      </w:r>
      <w:r w:rsidR="009A097A">
        <w:t>ern regions.</w:t>
      </w:r>
    </w:p>
    <w:tbl>
      <w:tblPr>
        <w:tblStyle w:val="TableGrid"/>
        <w:tblW w:w="943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45"/>
        <w:gridCol w:w="4590"/>
      </w:tblGrid>
      <w:tr w:rsidR="00FE6A8E" w:rsidRPr="00AA72CF" w14:paraId="768C6D44" w14:textId="77777777" w:rsidTr="00967FA0">
        <w:trPr>
          <w:trHeight w:val="3816"/>
          <w:jc w:val="center"/>
        </w:trPr>
        <w:tc>
          <w:tcPr>
            <w:tcW w:w="4845" w:type="dxa"/>
          </w:tcPr>
          <w:p w14:paraId="3AEF9057" w14:textId="77777777" w:rsidR="00C1072C" w:rsidRPr="00876DD8" w:rsidRDefault="005C4AC5" w:rsidP="005C4AC5">
            <w:pPr>
              <w:pStyle w:val="Caption"/>
            </w:pPr>
            <w:bookmarkStart w:id="12" w:name="_Ref472431234"/>
            <w:bookmarkStart w:id="13" w:name="_Toc479624915"/>
            <w:r>
              <w:t xml:space="preserve">Figure </w:t>
            </w:r>
            <w:r w:rsidR="005C0067">
              <w:fldChar w:fldCharType="begin"/>
            </w:r>
            <w:r w:rsidR="005C0067">
              <w:instrText xml:space="preserve"> STYLEREF 1 \s </w:instrText>
            </w:r>
            <w:r w:rsidR="005C0067">
              <w:fldChar w:fldCharType="separate"/>
            </w:r>
            <w:r w:rsidR="007B1CE6">
              <w:rPr>
                <w:noProof/>
              </w:rPr>
              <w:t>1</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1</w:t>
            </w:r>
            <w:r w:rsidR="005C0067">
              <w:fldChar w:fldCharType="end"/>
            </w:r>
            <w:bookmarkEnd w:id="12"/>
            <w:r>
              <w:t xml:space="preserve">: </w:t>
            </w:r>
            <w:r w:rsidR="00C1072C" w:rsidRPr="00876DD8">
              <w:t>Long-Run Growth Trends, Ghana and Sub-Saharan Africa, 1990-2014</w:t>
            </w:r>
            <w:bookmarkEnd w:id="13"/>
          </w:p>
          <w:p w14:paraId="13813F70" w14:textId="77777777" w:rsidR="00FE6A8E" w:rsidRPr="00AA72CF" w:rsidRDefault="00B65883" w:rsidP="00967FA0">
            <w:pPr>
              <w:jc w:val="center"/>
              <w:rPr>
                <w:rFonts w:ascii="Calibri" w:eastAsia="Calibri" w:hAnsi="Calibri" w:cs="Times New Roman"/>
              </w:rPr>
            </w:pPr>
            <w:r>
              <w:rPr>
                <w:rFonts w:ascii="Calibri" w:eastAsia="Calibri" w:hAnsi="Calibri" w:cs="Times New Roman"/>
                <w:noProof/>
              </w:rPr>
              <w:drawing>
                <wp:inline distT="0" distB="0" distL="0" distR="0" wp14:anchorId="48DAB309" wp14:editId="09132BCD">
                  <wp:extent cx="2832100" cy="231394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9076" cy="2319640"/>
                          </a:xfrm>
                          <a:prstGeom prst="rect">
                            <a:avLst/>
                          </a:prstGeom>
                          <a:noFill/>
                        </pic:spPr>
                      </pic:pic>
                    </a:graphicData>
                  </a:graphic>
                </wp:inline>
              </w:drawing>
            </w:r>
          </w:p>
        </w:tc>
        <w:tc>
          <w:tcPr>
            <w:tcW w:w="4590" w:type="dxa"/>
          </w:tcPr>
          <w:p w14:paraId="606B5964" w14:textId="77777777" w:rsidR="00C1072C" w:rsidRDefault="00657AA2" w:rsidP="002D4C21">
            <w:pPr>
              <w:pStyle w:val="Figure2"/>
            </w:pPr>
            <w:bookmarkStart w:id="14" w:name="_Ref465700487"/>
            <w:bookmarkStart w:id="15" w:name="_Toc479624916"/>
            <w:r>
              <w:t>Figure</w:t>
            </w:r>
            <w:r w:rsidR="00BD6C1B">
              <w:t xml:space="preserve"> </w:t>
            </w:r>
            <w:r w:rsidR="005C0067">
              <w:fldChar w:fldCharType="begin"/>
            </w:r>
            <w:r w:rsidR="005C0067">
              <w:instrText xml:space="preserve"> STYLEREF 1 \s </w:instrText>
            </w:r>
            <w:r w:rsidR="005C0067">
              <w:fldChar w:fldCharType="separate"/>
            </w:r>
            <w:r w:rsidR="007B1CE6">
              <w:rPr>
                <w:noProof/>
              </w:rPr>
              <w:t>1</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2</w:t>
            </w:r>
            <w:r w:rsidR="005C0067">
              <w:fldChar w:fldCharType="end"/>
            </w:r>
            <w:bookmarkEnd w:id="14"/>
            <w:r w:rsidR="00C1072C">
              <w:t>: Gold and Cocoa Prices, 5-Year Moving Average, 1990-2014, Normalized (%)</w:t>
            </w:r>
            <w:bookmarkEnd w:id="15"/>
          </w:p>
          <w:p w14:paraId="115149E4" w14:textId="77777777" w:rsidR="00FE6A8E" w:rsidRPr="00AA72CF" w:rsidRDefault="00FE6A8E" w:rsidP="00967FA0">
            <w:pPr>
              <w:jc w:val="center"/>
              <w:rPr>
                <w:rFonts w:ascii="Calibri" w:eastAsia="Calibri" w:hAnsi="Calibri" w:cs="Times New Roman"/>
              </w:rPr>
            </w:pPr>
            <w:r w:rsidRPr="00967FA0">
              <w:rPr>
                <w:rFonts w:cs="Calibri"/>
                <w:noProof/>
                <w:color w:val="000000"/>
                <w:bdr w:val="single" w:sz="4" w:space="0" w:color="auto"/>
              </w:rPr>
              <w:drawing>
                <wp:inline distT="0" distB="0" distL="0" distR="0" wp14:anchorId="3F840E8C" wp14:editId="482ED7BE">
                  <wp:extent cx="2703830" cy="228600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2706133" cy="22879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6A8E" w:rsidRPr="00AA72CF" w14:paraId="0C72A6F7" w14:textId="77777777" w:rsidTr="00F30B89">
        <w:trPr>
          <w:trHeight w:val="57"/>
          <w:jc w:val="center"/>
        </w:trPr>
        <w:tc>
          <w:tcPr>
            <w:tcW w:w="4845" w:type="dxa"/>
            <w:vAlign w:val="center"/>
          </w:tcPr>
          <w:p w14:paraId="0448C7D0" w14:textId="77777777" w:rsidR="00FE6A8E" w:rsidRPr="008A0FDA" w:rsidRDefault="00FE6A8E" w:rsidP="00967FA0">
            <w:pPr>
              <w:rPr>
                <w:rFonts w:ascii="Garamond" w:hAnsi="Garamond"/>
                <w:sz w:val="20"/>
                <w:szCs w:val="20"/>
              </w:rPr>
            </w:pPr>
            <w:r w:rsidRPr="008A0FDA">
              <w:rPr>
                <w:rFonts w:ascii="Garamond" w:hAnsi="Garamond"/>
                <w:i/>
                <w:sz w:val="20"/>
                <w:szCs w:val="20"/>
              </w:rPr>
              <w:t>Source:</w:t>
            </w:r>
            <w:r w:rsidRPr="008A0FDA">
              <w:rPr>
                <w:rFonts w:ascii="Garamond" w:hAnsi="Garamond"/>
                <w:sz w:val="20"/>
                <w:szCs w:val="20"/>
              </w:rPr>
              <w:t xml:space="preserve"> Ghana Ministry of Finance</w:t>
            </w:r>
            <w:r w:rsidR="00CA3380" w:rsidRPr="008A0FDA">
              <w:rPr>
                <w:rFonts w:ascii="Garamond" w:hAnsi="Garamond"/>
                <w:sz w:val="20"/>
                <w:szCs w:val="20"/>
              </w:rPr>
              <w:t xml:space="preserve"> (MoF)</w:t>
            </w:r>
            <w:r w:rsidRPr="008A0FDA">
              <w:rPr>
                <w:rFonts w:ascii="Garamond" w:hAnsi="Garamond"/>
                <w:sz w:val="20"/>
                <w:szCs w:val="20"/>
              </w:rPr>
              <w:t>; World Bank</w:t>
            </w:r>
          </w:p>
        </w:tc>
        <w:tc>
          <w:tcPr>
            <w:tcW w:w="4590" w:type="dxa"/>
            <w:vAlign w:val="center"/>
          </w:tcPr>
          <w:p w14:paraId="77261EA5" w14:textId="77777777" w:rsidR="00FE6A8E" w:rsidRPr="008A0FDA" w:rsidRDefault="00FE6A8E" w:rsidP="005C4AC5">
            <w:pPr>
              <w:keepNext/>
              <w:rPr>
                <w:rFonts w:ascii="Garamond" w:eastAsia="Calibri" w:hAnsi="Garamond" w:cs="Times New Roman"/>
                <w:sz w:val="20"/>
                <w:szCs w:val="20"/>
              </w:rPr>
            </w:pPr>
            <w:r w:rsidRPr="008A0FDA">
              <w:rPr>
                <w:rFonts w:ascii="Garamond" w:hAnsi="Garamond"/>
                <w:i/>
                <w:sz w:val="20"/>
                <w:szCs w:val="20"/>
              </w:rPr>
              <w:t>Source:</w:t>
            </w:r>
            <w:r w:rsidRPr="008A0FDA">
              <w:rPr>
                <w:rFonts w:ascii="Garamond" w:hAnsi="Garamond"/>
                <w:sz w:val="20"/>
                <w:szCs w:val="20"/>
              </w:rPr>
              <w:t xml:space="preserve"> </w:t>
            </w:r>
            <w:r w:rsidR="00CA3380" w:rsidRPr="008A0FDA">
              <w:rPr>
                <w:rFonts w:ascii="Garamond" w:hAnsi="Garamond"/>
                <w:sz w:val="20"/>
                <w:szCs w:val="20"/>
              </w:rPr>
              <w:t>MoF</w:t>
            </w:r>
            <w:r w:rsidRPr="008A0FDA">
              <w:rPr>
                <w:rFonts w:ascii="Garamond" w:hAnsi="Garamond"/>
                <w:sz w:val="20"/>
                <w:szCs w:val="20"/>
              </w:rPr>
              <w:t>; World Bank</w:t>
            </w:r>
          </w:p>
        </w:tc>
      </w:tr>
    </w:tbl>
    <w:p w14:paraId="257C117F" w14:textId="77777777" w:rsidR="00D24E54" w:rsidRPr="00E45355" w:rsidRDefault="004752E7" w:rsidP="00894F2B">
      <w:pPr>
        <w:pStyle w:val="Heading2"/>
      </w:pPr>
      <w:bookmarkStart w:id="16" w:name="_Toc479624868"/>
      <w:r>
        <w:t>Recent M</w:t>
      </w:r>
      <w:r w:rsidR="00D24E54" w:rsidRPr="00E45355">
        <w:t xml:space="preserve">acroeconomic </w:t>
      </w:r>
      <w:r>
        <w:t>Trends</w:t>
      </w:r>
      <w:bookmarkEnd w:id="16"/>
    </w:p>
    <w:p w14:paraId="23B7FEB8" w14:textId="77777777" w:rsidR="00EB127B" w:rsidRPr="002552C1" w:rsidRDefault="00EB127B" w:rsidP="00EB127B">
      <w:pPr>
        <w:pStyle w:val="ListParagraph"/>
      </w:pPr>
      <w:r w:rsidRPr="00C17CB2">
        <w:rPr>
          <w:b/>
          <w:lang w:val="en-GB"/>
        </w:rPr>
        <w:t>Since 2012</w:t>
      </w:r>
      <w:r w:rsidR="003855C5">
        <w:rPr>
          <w:b/>
          <w:lang w:val="en-GB"/>
        </w:rPr>
        <w:t>,</w:t>
      </w:r>
      <w:r w:rsidRPr="00C17CB2">
        <w:rPr>
          <w:b/>
          <w:lang w:val="en-GB"/>
        </w:rPr>
        <w:t xml:space="preserve"> a combination of slowing growth, large and persistent fiscal and current-account deficits, a rising debt burden, mounting inflationary pressures</w:t>
      </w:r>
      <w:r w:rsidR="003855C5">
        <w:rPr>
          <w:b/>
          <w:lang w:val="en-GB"/>
        </w:rPr>
        <w:t>,</w:t>
      </w:r>
      <w:r w:rsidRPr="00C17CB2">
        <w:rPr>
          <w:b/>
          <w:lang w:val="en-GB"/>
        </w:rPr>
        <w:t xml:space="preserve"> and currency depreciation have posed an increasingly serious policy challenge</w:t>
      </w:r>
      <w:r w:rsidRPr="009D27E8">
        <w:rPr>
          <w:b/>
          <w:lang w:val="en-GB"/>
        </w:rPr>
        <w:t>.</w:t>
      </w:r>
      <w:r w:rsidRPr="009D27E8">
        <w:rPr>
          <w:lang w:val="en-GB"/>
        </w:rPr>
        <w:t xml:space="preserve"> </w:t>
      </w:r>
      <w:r w:rsidRPr="009D27E8">
        <w:t xml:space="preserve">Protracted fiscal imbalances, </w:t>
      </w:r>
      <w:r>
        <w:t xml:space="preserve">a </w:t>
      </w:r>
      <w:r w:rsidRPr="009D27E8">
        <w:t>relatively loose monetary polic</w:t>
      </w:r>
      <w:r>
        <w:t>y stance</w:t>
      </w:r>
      <w:r w:rsidR="003855C5">
        <w:t>,</w:t>
      </w:r>
      <w:r w:rsidRPr="009D27E8">
        <w:t xml:space="preserve"> and </w:t>
      </w:r>
      <w:r>
        <w:t xml:space="preserve">successive </w:t>
      </w:r>
      <w:r w:rsidRPr="009D27E8">
        <w:t xml:space="preserve">external shocks contributed to the deterioration of the macroeconomic environment. Meanwhile, the establishment of a SSSS for the public sector in 2010, </w:t>
      </w:r>
      <w:r>
        <w:t>coupled</w:t>
      </w:r>
      <w:r w:rsidRPr="009D27E8">
        <w:t xml:space="preserve"> with a sharp rise in energy</w:t>
      </w:r>
      <w:r>
        <w:t>-</w:t>
      </w:r>
      <w:r w:rsidRPr="009D27E8">
        <w:t>subsid</w:t>
      </w:r>
      <w:r>
        <w:t>y costs</w:t>
      </w:r>
      <w:r w:rsidRPr="009D27E8">
        <w:t xml:space="preserve"> and fiscal transfers, radically increased public spending. </w:t>
      </w:r>
      <w:r>
        <w:t>Over the next several years a series of e</w:t>
      </w:r>
      <w:r w:rsidRPr="009D27E8">
        <w:t xml:space="preserve">xogenous factors </w:t>
      </w:r>
      <w:r>
        <w:t>contributed to</w:t>
      </w:r>
      <w:r w:rsidRPr="009D27E8">
        <w:t xml:space="preserve"> </w:t>
      </w:r>
      <w:r>
        <w:t>what had by now become an</w:t>
      </w:r>
      <w:r w:rsidRPr="009D27E8">
        <w:t xml:space="preserve"> </w:t>
      </w:r>
      <w:r>
        <w:t xml:space="preserve">emerging fiscal </w:t>
      </w:r>
      <w:r w:rsidRPr="009D27E8">
        <w:t>crisis</w:t>
      </w:r>
      <w:r>
        <w:t>. T</w:t>
      </w:r>
      <w:r w:rsidRPr="009D27E8">
        <w:t xml:space="preserve">he rupturing of the West African Gas Pipeline in 2012 </w:t>
      </w:r>
      <w:r>
        <w:t>severed</w:t>
      </w:r>
      <w:r w:rsidRPr="009D27E8">
        <w:t xml:space="preserve"> the gas supply from Nigeria and drove up energy</w:t>
      </w:r>
      <w:r>
        <w:t xml:space="preserve"> costs,</w:t>
      </w:r>
      <w:r w:rsidRPr="009D27E8">
        <w:t xml:space="preserve"> </w:t>
      </w:r>
      <w:r>
        <w:t>while</w:t>
      </w:r>
      <w:r w:rsidRPr="009D27E8">
        <w:t xml:space="preserve"> falling prices for key commodity exports, especially gold, cocoa and oil, </w:t>
      </w:r>
      <w:r>
        <w:t>weakened</w:t>
      </w:r>
      <w:r w:rsidRPr="009D27E8">
        <w:t xml:space="preserve"> the terms of trade. </w:t>
      </w:r>
      <w:r>
        <w:t>The</w:t>
      </w:r>
      <w:r w:rsidRPr="009D27E8">
        <w:t xml:space="preserve"> fiscal deficit </w:t>
      </w:r>
      <w:r>
        <w:t xml:space="preserve">rose </w:t>
      </w:r>
      <w:r w:rsidRPr="009D27E8">
        <w:t>from 3.2 percent of GDP in 2011 to 11.6 percent in 2012</w:t>
      </w:r>
      <w:r>
        <w:t>, t</w:t>
      </w:r>
      <w:r w:rsidRPr="009D27E8">
        <w:t xml:space="preserve">he current-account deficit </w:t>
      </w:r>
      <w:r w:rsidRPr="00C2532C">
        <w:t xml:space="preserve">widened </w:t>
      </w:r>
      <w:r>
        <w:t xml:space="preserve">from 9 </w:t>
      </w:r>
      <w:r w:rsidRPr="00C2532C">
        <w:t xml:space="preserve">to 11 </w:t>
      </w:r>
      <w:r>
        <w:t xml:space="preserve">percent </w:t>
      </w:r>
      <w:r w:rsidRPr="00C2532C">
        <w:t>of GDP</w:t>
      </w:r>
      <w:r>
        <w:t>, and g</w:t>
      </w:r>
      <w:r w:rsidRPr="005F63BD">
        <w:t xml:space="preserve">overnment </w:t>
      </w:r>
      <w:r>
        <w:t xml:space="preserve">arrears rapidly </w:t>
      </w:r>
      <w:r w:rsidRPr="005F63BD">
        <w:t>accumulated</w:t>
      </w:r>
      <w:r>
        <w:t>.</w:t>
      </w:r>
      <w:r w:rsidRPr="005F63BD">
        <w:t xml:space="preserve"> </w:t>
      </w:r>
    </w:p>
    <w:p w14:paraId="64B39A8E" w14:textId="77777777" w:rsidR="00EB127B" w:rsidRPr="005C0D4F" w:rsidRDefault="00EB127B" w:rsidP="00EB127B">
      <w:pPr>
        <w:pStyle w:val="ListParagraph"/>
      </w:pPr>
      <w:r w:rsidRPr="003A6C3C">
        <w:rPr>
          <w:b/>
        </w:rPr>
        <w:t xml:space="preserve">The </w:t>
      </w:r>
      <w:r>
        <w:rPr>
          <w:b/>
        </w:rPr>
        <w:t xml:space="preserve">twin </w:t>
      </w:r>
      <w:r w:rsidRPr="003A6C3C">
        <w:rPr>
          <w:b/>
        </w:rPr>
        <w:t>fiscal and current</w:t>
      </w:r>
      <w:r>
        <w:rPr>
          <w:b/>
        </w:rPr>
        <w:t>-account</w:t>
      </w:r>
      <w:r w:rsidRPr="003A6C3C">
        <w:rPr>
          <w:b/>
        </w:rPr>
        <w:t xml:space="preserve"> </w:t>
      </w:r>
      <w:r>
        <w:rPr>
          <w:b/>
        </w:rPr>
        <w:t>deficits remained</w:t>
      </w:r>
      <w:r w:rsidRPr="003A6C3C">
        <w:rPr>
          <w:b/>
        </w:rPr>
        <w:t xml:space="preserve"> in double digits </w:t>
      </w:r>
      <w:r>
        <w:rPr>
          <w:b/>
        </w:rPr>
        <w:t>through</w:t>
      </w:r>
      <w:r w:rsidRPr="003A6C3C">
        <w:rPr>
          <w:b/>
        </w:rPr>
        <w:t xml:space="preserve"> 2013 and 2014.</w:t>
      </w:r>
      <w:r w:rsidRPr="00C2532C">
        <w:t xml:space="preserve"> </w:t>
      </w:r>
      <w:r>
        <w:t>T</w:t>
      </w:r>
      <w:r w:rsidRPr="00C2532C">
        <w:t xml:space="preserve">he depreciation of the Ghanaian </w:t>
      </w:r>
      <w:r>
        <w:t>c</w:t>
      </w:r>
      <w:r w:rsidRPr="00C2532C">
        <w:t>edi</w:t>
      </w:r>
      <w:r>
        <w:t xml:space="preserve"> and the adoption of an expansionary fiscal policy—partially financed by the central bank—intensified inflationary pressures. Between 2012 and 2014</w:t>
      </w:r>
      <w:r w:rsidR="00D96ECA">
        <w:t>,</w:t>
      </w:r>
      <w:r>
        <w:t xml:space="preserve"> the central bank covered 20 percent of the fiscal deficit, and the overall inflation rate increased from 8.8 to 17 percent, with nonfood inflation rising from 11.6 to 23.9 percent.</w:t>
      </w:r>
    </w:p>
    <w:p w14:paraId="593D1EE3" w14:textId="77777777" w:rsidR="00EB127B" w:rsidRDefault="00EB127B" w:rsidP="00EB127B">
      <w:pPr>
        <w:pStyle w:val="ListParagraph"/>
      </w:pPr>
      <w:r>
        <w:rPr>
          <w:b/>
        </w:rPr>
        <w:t xml:space="preserve">In response to the deteriorating fiscal situation the government </w:t>
      </w:r>
      <w:r w:rsidRPr="00302858">
        <w:rPr>
          <w:b/>
        </w:rPr>
        <w:t>adopt</w:t>
      </w:r>
      <w:r>
        <w:rPr>
          <w:b/>
        </w:rPr>
        <w:t>ed</w:t>
      </w:r>
      <w:r w:rsidRPr="00302858">
        <w:rPr>
          <w:b/>
        </w:rPr>
        <w:t xml:space="preserve"> a multiyear </w:t>
      </w:r>
      <w:r>
        <w:rPr>
          <w:b/>
        </w:rPr>
        <w:t xml:space="preserve">deficit-reduction plan, </w:t>
      </w:r>
      <w:r w:rsidRPr="00302858">
        <w:rPr>
          <w:b/>
        </w:rPr>
        <w:t xml:space="preserve">but </w:t>
      </w:r>
      <w:r>
        <w:rPr>
          <w:b/>
        </w:rPr>
        <w:t>this effort</w:t>
      </w:r>
      <w:r w:rsidRPr="00302858">
        <w:rPr>
          <w:b/>
        </w:rPr>
        <w:t xml:space="preserve"> </w:t>
      </w:r>
      <w:r>
        <w:rPr>
          <w:b/>
        </w:rPr>
        <w:t xml:space="preserve">met with only </w:t>
      </w:r>
      <w:r w:rsidRPr="00302858">
        <w:rPr>
          <w:b/>
        </w:rPr>
        <w:t>limited success.</w:t>
      </w:r>
      <w:r>
        <w:t xml:space="preserve"> Implemented through the 2013 and 2014 budget laws, the plan targeted fiscal deficits of 5 and 8.5 percent of GDP (cash basis) for 2013 and 2014, respectively. However, the fiscal deficit remained far above its target levels, reaching 10.7 percent of GDP in 2013 and 10.1 percent in 2014. </w:t>
      </w:r>
    </w:p>
    <w:p w14:paraId="18D6DA7C" w14:textId="77777777" w:rsidR="00EB127B" w:rsidRDefault="00EB127B" w:rsidP="00EB127B">
      <w:pPr>
        <w:pStyle w:val="ListParagraph"/>
      </w:pPr>
      <w:r w:rsidRPr="00C17CB2">
        <w:rPr>
          <w:b/>
        </w:rPr>
        <w:lastRenderedPageBreak/>
        <w:t xml:space="preserve">Though it failed to meet its deficit targets, the government implemented important measures to address its fiscal imbalances, including </w:t>
      </w:r>
      <w:r>
        <w:rPr>
          <w:b/>
        </w:rPr>
        <w:t xml:space="preserve">the </w:t>
      </w:r>
      <w:r w:rsidRPr="00C17CB2">
        <w:rPr>
          <w:b/>
        </w:rPr>
        <w:t>eliminati</w:t>
      </w:r>
      <w:r>
        <w:rPr>
          <w:b/>
        </w:rPr>
        <w:t>on of fuel and utility</w:t>
      </w:r>
      <w:r w:rsidRPr="00C17CB2">
        <w:rPr>
          <w:b/>
        </w:rPr>
        <w:t xml:space="preserve"> subsidies.</w:t>
      </w:r>
      <w:r>
        <w:t xml:space="preserve"> In 2013, as oil prices rose and the cedi depreciated, the government began passing a larger share of the rising cost of energy production on to consumers. This reduced the sensitivity of the fiscal accounts to commodity-price volatility, but consumer prices for fuel and electricity more than doubled. </w:t>
      </w:r>
    </w:p>
    <w:p w14:paraId="05888FBB" w14:textId="77777777" w:rsidR="00EB127B" w:rsidRPr="00C17CB2" w:rsidRDefault="00EB127B" w:rsidP="00EB127B">
      <w:pPr>
        <w:pStyle w:val="ListParagraph"/>
      </w:pPr>
      <w:r w:rsidRPr="00C17CB2">
        <w:rPr>
          <w:b/>
        </w:rPr>
        <w:t>Since 2015</w:t>
      </w:r>
      <w:r w:rsidR="008823D6">
        <w:rPr>
          <w:b/>
        </w:rPr>
        <w:t>,</w:t>
      </w:r>
      <w:r w:rsidRPr="00C17CB2">
        <w:rPr>
          <w:b/>
        </w:rPr>
        <w:t xml:space="preserve"> the IMF, the World Bank, and Ghana’s other development partners have increased their support for the government’s fiscal consolidation efforts.</w:t>
      </w:r>
      <w:r w:rsidRPr="00C17CB2">
        <w:t xml:space="preserve"> The IMF and the Ghanaian authorities signed a US$918 million three-year </w:t>
      </w:r>
      <w:r w:rsidR="006F7921">
        <w:t>E</w:t>
      </w:r>
      <w:r w:rsidRPr="00C17CB2">
        <w:t xml:space="preserve">xtended </w:t>
      </w:r>
      <w:r w:rsidR="006F7921">
        <w:t>C</w:t>
      </w:r>
      <w:r w:rsidRPr="00C17CB2">
        <w:t xml:space="preserve">redit </w:t>
      </w:r>
      <w:r w:rsidR="006F7921">
        <w:t>F</w:t>
      </w:r>
      <w:r w:rsidRPr="00C17CB2">
        <w:t>acility in April 2015, which is expected to continue until 2018. The arrangement focuses on adopting quantitative performance criteria for managing the primary fiscal balance, the wage bill, net international reserves, the central bank’s net domestic-assets position</w:t>
      </w:r>
      <w:r w:rsidR="008823D6">
        <w:t>,</w:t>
      </w:r>
      <w:r w:rsidRPr="00C17CB2">
        <w:t xml:space="preserve"> and changes in the stock of public arrears. The World Bank approved a new series of development policy loans in June 2015 designed to strengthen the country’s fiscal institutions, promote more predictable budgetary outcomes</w:t>
      </w:r>
      <w:r w:rsidR="00B40D1F">
        <w:t>,</w:t>
      </w:r>
      <w:r w:rsidRPr="00C17CB2">
        <w:t xml:space="preserve"> and enhance the productivity of public spending. </w:t>
      </w:r>
    </w:p>
    <w:p w14:paraId="62FEB3C0" w14:textId="77777777" w:rsidR="00EA1260" w:rsidRPr="00784D55" w:rsidRDefault="00EA1260" w:rsidP="00BB4D4A">
      <w:pPr>
        <w:pStyle w:val="ListParagraph"/>
      </w:pPr>
      <w:r w:rsidRPr="006325EC">
        <w:rPr>
          <w:b/>
        </w:rPr>
        <w:t>Ghana missed its 2016 fiscal target by a large margin.</w:t>
      </w:r>
      <w:r w:rsidRPr="008823D6">
        <w:t xml:space="preserve"> After successfully cutting the fiscal deficit from 10.1 percent of GDP in 2014 to 6.3 percent in 2015, </w:t>
      </w:r>
      <w:r w:rsidRPr="006325EC">
        <w:t xml:space="preserve">the fiscal deficit in 2016 on a cash basis </w:t>
      </w:r>
      <w:r w:rsidR="00B40D1F">
        <w:t>increased</w:t>
      </w:r>
      <w:r w:rsidRPr="00A076DA">
        <w:t xml:space="preserve"> to an estimated 8.7 percent of GDP compared with</w:t>
      </w:r>
      <w:r w:rsidRPr="006325EC">
        <w:t xml:space="preserve"> the target of 5.3 percent. The budget numbers indicate that the fiscal slippage </w:t>
      </w:r>
      <w:r w:rsidR="00BB4D4A" w:rsidRPr="00BB4D4A">
        <w:t>was due to overspending in the face of weak revenues</w:t>
      </w:r>
      <w:r w:rsidRPr="006325EC">
        <w:t xml:space="preserve">. </w:t>
      </w:r>
      <w:r w:rsidR="00060BD8">
        <w:t>R</w:t>
      </w:r>
      <w:r w:rsidRPr="006325EC">
        <w:t>ising expenditure pressures in the run-up to the December 2016 elections caused the government to accumulate large amount of new arrears in the order of 3 percent of GDP.</w:t>
      </w:r>
      <w:r w:rsidRPr="008823D6">
        <w:t xml:space="preserve"> The fiscal slippage in 2016 was </w:t>
      </w:r>
      <w:r>
        <w:t xml:space="preserve">much </w:t>
      </w:r>
      <w:r w:rsidRPr="008823D6">
        <w:t xml:space="preserve">higher compared to the previous election cycles. </w:t>
      </w:r>
      <w:r w:rsidRPr="006325EC">
        <w:t>The fiscal deficit widened by an average by 1.5 percentage points of GDP during each of the five elections between 1992 and 2008</w:t>
      </w:r>
      <w:r w:rsidRPr="008823D6">
        <w:t>.</w:t>
      </w:r>
      <w:r w:rsidRPr="008823D6">
        <w:rPr>
          <w:rStyle w:val="FootnoteReference"/>
        </w:rPr>
        <w:footnoteReference w:id="8"/>
      </w:r>
      <w:r w:rsidRPr="006325EC">
        <w:t xml:space="preserve"> </w:t>
      </w:r>
    </w:p>
    <w:p w14:paraId="6042BD24" w14:textId="77777777" w:rsidR="00EF7EF1" w:rsidRDefault="00EA1260" w:rsidP="00EF7EF1">
      <w:pPr>
        <w:pStyle w:val="ListParagraph"/>
      </w:pPr>
      <w:r w:rsidRPr="0025617E">
        <w:rPr>
          <w:b/>
        </w:rPr>
        <w:t>The external balances have improved since 2015 despite unfavorable global economic conditions</w:t>
      </w:r>
      <w:r>
        <w:t>. Ghana relies heavily on the oil, gold</w:t>
      </w:r>
      <w:r w:rsidR="00E37DEB">
        <w:t>,</w:t>
      </w:r>
      <w:r>
        <w:t xml:space="preserve"> and cocoa subsectors, which together account for more than 75 percent of percent of its exports. However, international commodity prices have been highly volatile since 2012. Oil and gold prices fell by 47 and 8 percent, respectively, in 2015 and remained</w:t>
      </w:r>
      <w:r w:rsidR="00E37DEB">
        <w:t xml:space="preserve"> </w:t>
      </w:r>
      <w:r>
        <w:t xml:space="preserve">low </w:t>
      </w:r>
      <w:r w:rsidR="00E37DEB">
        <w:t xml:space="preserve">for </w:t>
      </w:r>
      <w:r>
        <w:t xml:space="preserve">most of 2016. Nevertheless, Ghana’s current-account deficit narrowed from 9.6 percent of GDP in 2014 to 7.6 percent in 2015 and continued to improve to 6.6 percent in 2016. In 2016, </w:t>
      </w:r>
      <w:r w:rsidR="00E37DEB">
        <w:t xml:space="preserve">the </w:t>
      </w:r>
      <w:r>
        <w:t xml:space="preserve">merchandise trade deficit narrowed on the back of improved gold exports and declining imports. </w:t>
      </w:r>
      <w:r w:rsidRPr="00694363">
        <w:t xml:space="preserve">Ghana’s oil </w:t>
      </w:r>
      <w:r>
        <w:t xml:space="preserve">exports were significantly lower </w:t>
      </w:r>
      <w:r w:rsidR="00655C8C">
        <w:t xml:space="preserve">in 2016 </w:t>
      </w:r>
      <w:r>
        <w:t xml:space="preserve">because of the unexpected production </w:t>
      </w:r>
      <w:r w:rsidRPr="00694363">
        <w:t>problem</w:t>
      </w:r>
      <w:r>
        <w:t xml:space="preserve">s and weak oil prices, while </w:t>
      </w:r>
      <w:r w:rsidRPr="00D51E94">
        <w:t>oil import volumes have been trending down since 2014</w:t>
      </w:r>
      <w:r w:rsidR="00E37DEB">
        <w:t>,</w:t>
      </w:r>
      <w:r w:rsidRPr="00D51E94">
        <w:t xml:space="preserve"> as domestic gas production has increased. </w:t>
      </w:r>
      <w:r>
        <w:t xml:space="preserve">However, the current-account deficit </w:t>
      </w:r>
      <w:r w:rsidR="007C3286">
        <w:t xml:space="preserve">was mostly financed by robust </w:t>
      </w:r>
      <w:r>
        <w:t xml:space="preserve">FDI inflows, </w:t>
      </w:r>
      <w:r w:rsidR="007C3286">
        <w:t xml:space="preserve">while </w:t>
      </w:r>
      <w:r>
        <w:t>portfolio investment and short-term capital have proven far less stable.</w:t>
      </w:r>
    </w:p>
    <w:p w14:paraId="7B5EF999" w14:textId="118AB4C0" w:rsidR="00590D47" w:rsidRPr="00FC2A77" w:rsidRDefault="00EF7EF1" w:rsidP="00EF7EF1">
      <w:pPr>
        <w:pStyle w:val="ListParagraph"/>
      </w:pPr>
      <w:r w:rsidRPr="0086797E">
        <w:rPr>
          <w:b/>
        </w:rPr>
        <w:t xml:space="preserve">A challenging macroeconomic environment slowed the GDP growth rate from 14 percent in 2011 to </w:t>
      </w:r>
      <w:r w:rsidRPr="00117E8A">
        <w:rPr>
          <w:b/>
        </w:rPr>
        <w:t>an estimated 3.</w:t>
      </w:r>
      <w:r w:rsidR="00CC0EC7">
        <w:rPr>
          <w:b/>
        </w:rPr>
        <w:t>5</w:t>
      </w:r>
      <w:r w:rsidR="00CC0EC7" w:rsidRPr="00117E8A">
        <w:rPr>
          <w:b/>
        </w:rPr>
        <w:t xml:space="preserve"> </w:t>
      </w:r>
      <w:r w:rsidRPr="00117E8A">
        <w:rPr>
          <w:b/>
        </w:rPr>
        <w:t>percent in 2016</w:t>
      </w:r>
      <w:r w:rsidRPr="0086797E">
        <w:rPr>
          <w:b/>
        </w:rPr>
        <w:t>.</w:t>
      </w:r>
      <w:r w:rsidRPr="0012685C">
        <w:t xml:space="preserve"> </w:t>
      </w:r>
      <w:r>
        <w:t>D</w:t>
      </w:r>
      <w:r w:rsidRPr="005C0D4F">
        <w:t xml:space="preserve">rought conditions </w:t>
      </w:r>
      <w:r>
        <w:t>reduced</w:t>
      </w:r>
      <w:r w:rsidRPr="005C0D4F">
        <w:t xml:space="preserve"> hydropower </w:t>
      </w:r>
      <w:r>
        <w:t>output, while</w:t>
      </w:r>
      <w:r w:rsidRPr="005C0D4F">
        <w:t xml:space="preserve"> </w:t>
      </w:r>
      <w:r>
        <w:t xml:space="preserve">years of </w:t>
      </w:r>
      <w:r w:rsidR="000D1F2F">
        <w:t xml:space="preserve">underinvestment and </w:t>
      </w:r>
      <w:r>
        <w:t>inadequate infrastructure maintenance further constrained domestic energy production</w:t>
      </w:r>
      <w:r w:rsidRPr="005C0D4F">
        <w:t>.</w:t>
      </w:r>
      <w:r>
        <w:t xml:space="preserve"> Since 2012</w:t>
      </w:r>
      <w:r w:rsidR="00EB6C6B">
        <w:t>,</w:t>
      </w:r>
      <w:r>
        <w:t xml:space="preserve"> a combination of </w:t>
      </w:r>
      <w:r w:rsidRPr="005C0D4F">
        <w:t xml:space="preserve">energy rationing, </w:t>
      </w:r>
      <w:r>
        <w:t xml:space="preserve">low commodity prices, </w:t>
      </w:r>
      <w:r w:rsidR="000D1F2F">
        <w:t>high</w:t>
      </w:r>
      <w:r w:rsidRPr="005C0D4F">
        <w:t xml:space="preserve"> inflation</w:t>
      </w:r>
      <w:r w:rsidR="00EB6C6B">
        <w:t>,</w:t>
      </w:r>
      <w:r w:rsidRPr="005C0D4F">
        <w:t xml:space="preserve"> and </w:t>
      </w:r>
      <w:r>
        <w:t>expenditure-side fiscal consolidation have inhibited</w:t>
      </w:r>
      <w:r w:rsidRPr="005C0D4F">
        <w:t xml:space="preserve"> economic activity</w:t>
      </w:r>
      <w:r>
        <w:t xml:space="preserve"> </w:t>
      </w:r>
      <w:r w:rsidRPr="0086797E">
        <w:rPr>
          <w:rFonts w:cs="Calibri"/>
        </w:rPr>
        <w:t>(</w:t>
      </w:r>
      <w:r w:rsidRPr="0086797E">
        <w:rPr>
          <w:rFonts w:cs="Calibri"/>
        </w:rPr>
        <w:fldChar w:fldCharType="begin"/>
      </w:r>
      <w:r w:rsidRPr="0086797E">
        <w:rPr>
          <w:rFonts w:cs="Calibri"/>
        </w:rPr>
        <w:instrText xml:space="preserve"> REF _Ref465700459 \h </w:instrText>
      </w:r>
      <w:r w:rsidRPr="0086797E">
        <w:rPr>
          <w:rFonts w:cs="Calibri"/>
        </w:rPr>
      </w:r>
      <w:r w:rsidRPr="0086797E">
        <w:rPr>
          <w:rFonts w:cs="Calibri"/>
        </w:rPr>
        <w:fldChar w:fldCharType="separate"/>
      </w:r>
      <w:r w:rsidR="007B1CE6">
        <w:t xml:space="preserve">Figure </w:t>
      </w:r>
      <w:r w:rsidR="007B1CE6">
        <w:rPr>
          <w:noProof/>
        </w:rPr>
        <w:t>1</w:t>
      </w:r>
      <w:r w:rsidR="007B1CE6">
        <w:t>.</w:t>
      </w:r>
      <w:r w:rsidR="007B1CE6">
        <w:rPr>
          <w:noProof/>
        </w:rPr>
        <w:t>3</w:t>
      </w:r>
      <w:r w:rsidRPr="0086797E">
        <w:rPr>
          <w:rFonts w:cs="Calibri"/>
        </w:rPr>
        <w:fldChar w:fldCharType="end"/>
      </w:r>
      <w:r w:rsidRPr="0086797E">
        <w:rPr>
          <w:rFonts w:cs="Calibri"/>
        </w:rPr>
        <w:t>)</w:t>
      </w:r>
      <w:r w:rsidRPr="005C0D4F">
        <w:t xml:space="preserve">. </w:t>
      </w:r>
      <w:r>
        <w:t xml:space="preserve">Energy rationing and low commodity prices were especially damaging to the industrial sector </w:t>
      </w:r>
      <w:r w:rsidRPr="0086797E">
        <w:rPr>
          <w:rFonts w:cs="Calibri"/>
        </w:rPr>
        <w:t>(</w:t>
      </w:r>
      <w:r w:rsidRPr="0086797E">
        <w:rPr>
          <w:rFonts w:cs="Calibri"/>
        </w:rPr>
        <w:fldChar w:fldCharType="begin"/>
      </w:r>
      <w:r w:rsidRPr="0086797E">
        <w:rPr>
          <w:rFonts w:cs="Calibri"/>
        </w:rPr>
        <w:instrText xml:space="preserve"> REF _Ref465700452 \h </w:instrText>
      </w:r>
      <w:r w:rsidRPr="0086797E">
        <w:rPr>
          <w:rFonts w:cs="Calibri"/>
        </w:rPr>
      </w:r>
      <w:r w:rsidRPr="0086797E">
        <w:rPr>
          <w:rFonts w:cs="Calibri"/>
        </w:rPr>
        <w:fldChar w:fldCharType="separate"/>
      </w:r>
      <w:r w:rsidR="007B1CE6">
        <w:t>Figure</w:t>
      </w:r>
      <w:r w:rsidR="007B1CE6" w:rsidRPr="00876DD8">
        <w:t xml:space="preserve"> </w:t>
      </w:r>
      <w:r w:rsidR="007B1CE6">
        <w:rPr>
          <w:noProof/>
        </w:rPr>
        <w:t>1</w:t>
      </w:r>
      <w:r w:rsidR="007B1CE6">
        <w:t>.</w:t>
      </w:r>
      <w:r w:rsidR="007B1CE6">
        <w:rPr>
          <w:noProof/>
        </w:rPr>
        <w:t>4</w:t>
      </w:r>
      <w:r w:rsidRPr="0086797E">
        <w:rPr>
          <w:rFonts w:cs="Calibri"/>
        </w:rPr>
        <w:fldChar w:fldCharType="end"/>
      </w:r>
      <w:r w:rsidRPr="0086797E">
        <w:rPr>
          <w:rFonts w:cs="Calibri"/>
        </w:rPr>
        <w:t>)</w:t>
      </w:r>
      <w:r>
        <w:t xml:space="preserve">. </w:t>
      </w:r>
      <w:r w:rsidRPr="00117E8A">
        <w:t>Unexpected tec</w:t>
      </w:r>
      <w:bookmarkStart w:id="17" w:name="_GoBack"/>
      <w:bookmarkEnd w:id="17"/>
      <w:r w:rsidRPr="00117E8A">
        <w:t xml:space="preserve">hnical </w:t>
      </w:r>
      <w:r>
        <w:t>difficulties</w:t>
      </w:r>
      <w:r w:rsidRPr="00117E8A">
        <w:t xml:space="preserve"> in the oil </w:t>
      </w:r>
      <w:r>
        <w:t>sub</w:t>
      </w:r>
      <w:r w:rsidRPr="00117E8A">
        <w:t>sector and low global oil prices further slowed economic growth in 2016.</w:t>
      </w:r>
      <w:r>
        <w:t xml:space="preserve"> The GDP growth rate is expected to recover </w:t>
      </w:r>
      <w:r w:rsidR="000D1F2F">
        <w:t>in</w:t>
      </w:r>
      <w:r>
        <w:t xml:space="preserve"> 2017 when the TEN oilfield </w:t>
      </w:r>
      <w:r>
        <w:lastRenderedPageBreak/>
        <w:t>reaches full capacity. The opening of the Sankofa field in 2018 is expected to augment oil and gas production, and the gas component of the Sankofa project is expected to bolster the domestic energy supply and support growth in the nonoil economy.</w:t>
      </w:r>
    </w:p>
    <w:tbl>
      <w:tblPr>
        <w:tblStyle w:val="TableGrid"/>
        <w:tblpPr w:leftFromText="180" w:rightFromText="180" w:vertAnchor="text" w:horzAnchor="margin"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5"/>
        <w:gridCol w:w="4514"/>
      </w:tblGrid>
      <w:tr w:rsidR="007B11DA" w14:paraId="58218BE3" w14:textId="77777777" w:rsidTr="007B11DA">
        <w:tc>
          <w:tcPr>
            <w:tcW w:w="4765" w:type="dxa"/>
          </w:tcPr>
          <w:p w14:paraId="059A5587" w14:textId="4BEC9AA5" w:rsidR="00C1072C" w:rsidRPr="00876DD8" w:rsidRDefault="00657AA2" w:rsidP="002D4C21">
            <w:pPr>
              <w:pStyle w:val="Figure2"/>
            </w:pPr>
            <w:bookmarkStart w:id="18" w:name="_Ref465700459"/>
            <w:bookmarkStart w:id="19" w:name="_Toc479624917"/>
            <w:r>
              <w:t>Figure</w:t>
            </w:r>
            <w:r w:rsidR="00BD6C1B">
              <w:t xml:space="preserve"> </w:t>
            </w:r>
            <w:r w:rsidR="005C0067">
              <w:fldChar w:fldCharType="begin"/>
            </w:r>
            <w:r w:rsidR="005C0067">
              <w:instrText xml:space="preserve"> STYLEREF 1 \s </w:instrText>
            </w:r>
            <w:r w:rsidR="005C0067">
              <w:fldChar w:fldCharType="separate"/>
            </w:r>
            <w:r w:rsidR="007B1CE6">
              <w:rPr>
                <w:noProof/>
              </w:rPr>
              <w:t>1</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3</w:t>
            </w:r>
            <w:r w:rsidR="005C0067">
              <w:fldChar w:fldCharType="end"/>
            </w:r>
            <w:bookmarkEnd w:id="18"/>
            <w:r w:rsidR="00C1072C" w:rsidRPr="00876DD8">
              <w:t>: The GDP Growth Rate and Growth in the No</w:t>
            </w:r>
            <w:r w:rsidR="006429EE">
              <w:t>-</w:t>
            </w:r>
            <w:r w:rsidR="00C1072C" w:rsidRPr="00876DD8">
              <w:t>noil Economy, 2010-15</w:t>
            </w:r>
            <w:bookmarkEnd w:id="19"/>
          </w:p>
          <w:p w14:paraId="0CCFC1BC" w14:textId="34FF29F7" w:rsidR="007B11DA" w:rsidRDefault="00CC0EC7" w:rsidP="00A54DFE">
            <w:pPr>
              <w:jc w:val="center"/>
              <w:rPr>
                <w:rFonts w:ascii="Calibri" w:eastAsia="Calibri" w:hAnsi="Calibri" w:cs="Times New Roman"/>
              </w:rPr>
            </w:pPr>
            <w:r w:rsidRPr="00B84488">
              <w:rPr>
                <w:rFonts w:ascii="Calibri" w:eastAsia="Calibri" w:hAnsi="Calibri" w:cs="Times New Roman"/>
                <w:noProof/>
              </w:rPr>
              <w:drawing>
                <wp:inline distT="0" distB="0" distL="0" distR="0" wp14:anchorId="4817676B" wp14:editId="44E75414">
                  <wp:extent cx="2945130" cy="2282190"/>
                  <wp:effectExtent l="0" t="0" r="762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9345" cy="2285456"/>
                          </a:xfrm>
                          <a:prstGeom prst="rect">
                            <a:avLst/>
                          </a:prstGeom>
                          <a:noFill/>
                        </pic:spPr>
                      </pic:pic>
                    </a:graphicData>
                  </a:graphic>
                </wp:inline>
              </w:drawing>
            </w:r>
          </w:p>
        </w:tc>
        <w:tc>
          <w:tcPr>
            <w:tcW w:w="4514" w:type="dxa"/>
          </w:tcPr>
          <w:p w14:paraId="19480AC9" w14:textId="77777777" w:rsidR="00C1072C" w:rsidRPr="00876DD8" w:rsidRDefault="00657AA2" w:rsidP="002D4C21">
            <w:pPr>
              <w:pStyle w:val="Figure2"/>
            </w:pPr>
            <w:bookmarkStart w:id="20" w:name="_Ref465700452"/>
            <w:bookmarkStart w:id="21" w:name="_Toc479624918"/>
            <w:r>
              <w:t>Figure</w:t>
            </w:r>
            <w:r w:rsidR="00C1072C" w:rsidRPr="00876DD8">
              <w:t xml:space="preserve"> </w:t>
            </w:r>
            <w:r w:rsidR="005C0067">
              <w:fldChar w:fldCharType="begin"/>
            </w:r>
            <w:r w:rsidR="005C0067">
              <w:instrText xml:space="preserve"> STYLEREF 1 \s </w:instrText>
            </w:r>
            <w:r w:rsidR="005C0067">
              <w:fldChar w:fldCharType="separate"/>
            </w:r>
            <w:r w:rsidR="007B1CE6">
              <w:rPr>
                <w:noProof/>
              </w:rPr>
              <w:t>1</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4</w:t>
            </w:r>
            <w:r w:rsidR="005C0067">
              <w:fldChar w:fldCharType="end"/>
            </w:r>
            <w:bookmarkEnd w:id="20"/>
            <w:r w:rsidR="00C1072C" w:rsidRPr="00876DD8">
              <w:t>: GDP Growth by Economic Sector, 2011-1</w:t>
            </w:r>
            <w:bookmarkEnd w:id="21"/>
            <w:r w:rsidR="00B65883">
              <w:t>6</w:t>
            </w:r>
          </w:p>
          <w:p w14:paraId="7BD2916A" w14:textId="645C3AB0" w:rsidR="007B11DA" w:rsidRDefault="00CC0EC7" w:rsidP="00A54DFE">
            <w:pPr>
              <w:jc w:val="center"/>
              <w:rPr>
                <w:rFonts w:ascii="Calibri" w:eastAsia="Calibri" w:hAnsi="Calibri" w:cs="Times New Roman"/>
              </w:rPr>
            </w:pPr>
            <w:r w:rsidRPr="00B84488">
              <w:rPr>
                <w:rFonts w:ascii="Calibri" w:eastAsia="Calibri" w:hAnsi="Calibri" w:cs="Times New Roman"/>
                <w:noProof/>
              </w:rPr>
              <w:drawing>
                <wp:inline distT="0" distB="0" distL="0" distR="0" wp14:anchorId="10C0918B" wp14:editId="469C3C64">
                  <wp:extent cx="2838893" cy="228219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1330" cy="2292188"/>
                          </a:xfrm>
                          <a:prstGeom prst="rect">
                            <a:avLst/>
                          </a:prstGeom>
                          <a:noFill/>
                        </pic:spPr>
                      </pic:pic>
                    </a:graphicData>
                  </a:graphic>
                </wp:inline>
              </w:drawing>
            </w:r>
          </w:p>
        </w:tc>
      </w:tr>
      <w:tr w:rsidR="007B11DA" w14:paraId="19E93FD1" w14:textId="77777777" w:rsidTr="007B11DA">
        <w:trPr>
          <w:trHeight w:val="58"/>
        </w:trPr>
        <w:tc>
          <w:tcPr>
            <w:tcW w:w="4765" w:type="dxa"/>
            <w:vAlign w:val="center"/>
          </w:tcPr>
          <w:p w14:paraId="1A007163" w14:textId="77777777" w:rsidR="007B11DA" w:rsidRPr="00AA79EE" w:rsidRDefault="007B11DA" w:rsidP="00A54DFE">
            <w:pPr>
              <w:rPr>
                <w:rFonts w:ascii="Garamond" w:hAnsi="Garamond"/>
                <w:sz w:val="20"/>
                <w:szCs w:val="20"/>
              </w:rPr>
            </w:pPr>
            <w:r w:rsidRPr="00AA79EE">
              <w:rPr>
                <w:rFonts w:ascii="Garamond" w:hAnsi="Garamond"/>
                <w:i/>
                <w:sz w:val="20"/>
                <w:szCs w:val="20"/>
              </w:rPr>
              <w:t>Source:</w:t>
            </w:r>
            <w:r w:rsidRPr="00AA79EE">
              <w:rPr>
                <w:rFonts w:ascii="Garamond" w:hAnsi="Garamond"/>
                <w:sz w:val="20"/>
                <w:szCs w:val="20"/>
              </w:rPr>
              <w:t xml:space="preserve"> </w:t>
            </w:r>
            <w:r w:rsidR="00CA3380" w:rsidRPr="00AA79EE">
              <w:rPr>
                <w:rFonts w:ascii="Garamond" w:hAnsi="Garamond"/>
                <w:sz w:val="20"/>
                <w:szCs w:val="20"/>
              </w:rPr>
              <w:t>MoF</w:t>
            </w:r>
            <w:r w:rsidRPr="00AA79EE">
              <w:rPr>
                <w:rFonts w:ascii="Garamond" w:hAnsi="Garamond"/>
                <w:sz w:val="20"/>
                <w:szCs w:val="20"/>
              </w:rPr>
              <w:t>; World Bank</w:t>
            </w:r>
          </w:p>
        </w:tc>
        <w:tc>
          <w:tcPr>
            <w:tcW w:w="4514" w:type="dxa"/>
            <w:vAlign w:val="center"/>
          </w:tcPr>
          <w:p w14:paraId="1E0AA85A" w14:textId="77777777" w:rsidR="007B11DA" w:rsidRPr="00AA79EE" w:rsidRDefault="007B11DA" w:rsidP="00A54DFE">
            <w:pPr>
              <w:rPr>
                <w:rFonts w:ascii="Garamond" w:eastAsia="Calibri" w:hAnsi="Garamond" w:cs="Times New Roman"/>
                <w:sz w:val="20"/>
                <w:szCs w:val="20"/>
              </w:rPr>
            </w:pPr>
            <w:r w:rsidRPr="00AA79EE">
              <w:rPr>
                <w:rFonts w:ascii="Garamond" w:hAnsi="Garamond"/>
                <w:i/>
                <w:sz w:val="20"/>
                <w:szCs w:val="20"/>
              </w:rPr>
              <w:t>Source:</w:t>
            </w:r>
            <w:r w:rsidRPr="00AA79EE">
              <w:rPr>
                <w:rFonts w:ascii="Garamond" w:hAnsi="Garamond"/>
                <w:sz w:val="20"/>
                <w:szCs w:val="20"/>
              </w:rPr>
              <w:t xml:space="preserve"> </w:t>
            </w:r>
            <w:r w:rsidR="00CA3380" w:rsidRPr="00AA79EE">
              <w:rPr>
                <w:rFonts w:ascii="Garamond" w:hAnsi="Garamond"/>
                <w:sz w:val="20"/>
                <w:szCs w:val="20"/>
              </w:rPr>
              <w:t>MoF</w:t>
            </w:r>
            <w:r w:rsidRPr="00AA79EE">
              <w:rPr>
                <w:rFonts w:ascii="Garamond" w:hAnsi="Garamond"/>
                <w:sz w:val="20"/>
                <w:szCs w:val="20"/>
              </w:rPr>
              <w:t>; World Bank</w:t>
            </w:r>
          </w:p>
        </w:tc>
      </w:tr>
    </w:tbl>
    <w:p w14:paraId="2441F478" w14:textId="31892BBB" w:rsidR="009D25D1" w:rsidRDefault="00D27292" w:rsidP="009D25D1">
      <w:pPr>
        <w:pStyle w:val="ListParagraph"/>
        <w:spacing w:before="240"/>
      </w:pPr>
      <w:r w:rsidRPr="005E0859">
        <w:rPr>
          <w:b/>
        </w:rPr>
        <w:t xml:space="preserve">Important stabilization challenges and risks remain. </w:t>
      </w:r>
      <w:r w:rsidRPr="005E0859">
        <w:t>The large fiscal slippage and recent discovery of large arrears have undermined the credibility of Ghana’s fiscal policy and budget execution. Hence, full commitment to fiscal discipline and transparency is needed to achieve macroeconomic stability, debt management</w:t>
      </w:r>
      <w:r w:rsidR="00EB6C6B">
        <w:t>,</w:t>
      </w:r>
      <w:r w:rsidRPr="005E0859">
        <w:t xml:space="preserve"> and market credibility. Moreover,</w:t>
      </w:r>
      <w:r w:rsidRPr="0075325A">
        <w:t xml:space="preserve"> </w:t>
      </w:r>
      <w:r w:rsidR="00EB6C6B">
        <w:t xml:space="preserve">a </w:t>
      </w:r>
      <w:r w:rsidRPr="0075325A">
        <w:t>high inflation rate, slowing economic activity, a rising debt burden</w:t>
      </w:r>
      <w:r w:rsidR="00EB6C6B">
        <w:t>,</w:t>
      </w:r>
      <w:r w:rsidRPr="0075325A">
        <w:t xml:space="preserve"> and elevated financing costs continue to pose serious challenges.</w:t>
      </w:r>
      <w:r w:rsidRPr="005E0859">
        <w:t xml:space="preserve"> In 2015</w:t>
      </w:r>
      <w:r w:rsidR="00EB6C6B">
        <w:t>,</w:t>
      </w:r>
      <w:r w:rsidRPr="005E0859">
        <w:t xml:space="preserve"> the central bank raised its policy rate by 500 basis points to 26 percent, yet the inflation rate remained above 16 percent until late 2016. When the inflation rate dropped to 13.2 percent in Feb</w:t>
      </w:r>
      <w:r w:rsidR="00EB6C6B">
        <w:t>r</w:t>
      </w:r>
      <w:r w:rsidRPr="005E0859">
        <w:t xml:space="preserve">uary 2017, the central bank responded by reducing the policy rate by a cumulative </w:t>
      </w:r>
      <w:r w:rsidR="00401078">
        <w:t>200</w:t>
      </w:r>
      <w:r w:rsidR="00401078" w:rsidRPr="005E0859">
        <w:t xml:space="preserve"> </w:t>
      </w:r>
      <w:r w:rsidRPr="005E0859">
        <w:t xml:space="preserve">basis points to </w:t>
      </w:r>
      <w:r w:rsidRPr="0025617E">
        <w:t>2</w:t>
      </w:r>
      <w:r w:rsidRPr="005E0859">
        <w:t>3.5 percent. Despite its recent decline, the inflation rate is still far above the central bank’s target of 8±2 percent. Domestic financing costs—currently about 20 percent—are also expected to remain high. Meanwhile, global financial market vola</w:t>
      </w:r>
      <w:r w:rsidRPr="0025617E">
        <w:t xml:space="preserve">tility is limiting access to external financing. Yet even in this high-cost environment, Ghana has continued to accumulate public debt to finance its fiscal deficit. </w:t>
      </w:r>
      <w:r w:rsidR="0075325A">
        <w:t>I</w:t>
      </w:r>
      <w:r w:rsidR="0075325A" w:rsidRPr="005E0859">
        <w:t xml:space="preserve">n </w:t>
      </w:r>
      <w:r w:rsidR="0075325A" w:rsidRPr="0025617E">
        <w:t>2016</w:t>
      </w:r>
      <w:r w:rsidR="0075325A">
        <w:t>, t</w:t>
      </w:r>
      <w:r w:rsidRPr="0025617E">
        <w:t>he total debt stock rose to US$</w:t>
      </w:r>
      <w:r w:rsidRPr="005E0859">
        <w:t xml:space="preserve">29.2 billion, or </w:t>
      </w:r>
      <w:r w:rsidRPr="0025617E">
        <w:t>7</w:t>
      </w:r>
      <w:r w:rsidRPr="005E0859">
        <w:t>2.5 percent of GDP</w:t>
      </w:r>
      <w:r w:rsidRPr="0025617E">
        <w:t>, and the external debt stock reached 40</w:t>
      </w:r>
      <w:r w:rsidRPr="005E0859">
        <w:t>.1 percent of GDP</w:t>
      </w:r>
      <w:r w:rsidR="009D25D1">
        <w:t xml:space="preserve">. </w:t>
      </w:r>
    </w:p>
    <w:p w14:paraId="114C5446" w14:textId="77777777" w:rsidR="00394919" w:rsidRPr="00E45355" w:rsidRDefault="0078031F" w:rsidP="00894F2B">
      <w:pPr>
        <w:pStyle w:val="Heading2"/>
      </w:pPr>
      <w:bookmarkStart w:id="22" w:name="_Toc479624869"/>
      <w:r w:rsidRPr="00E45355">
        <w:t xml:space="preserve">Fiscal </w:t>
      </w:r>
      <w:r w:rsidR="00191FC9" w:rsidRPr="00E45355">
        <w:t>Policy and Public Financial Management</w:t>
      </w:r>
      <w:bookmarkEnd w:id="22"/>
      <w:r w:rsidR="00191FC9" w:rsidRPr="00E45355">
        <w:t xml:space="preserve"> </w:t>
      </w:r>
    </w:p>
    <w:p w14:paraId="3849A924" w14:textId="77777777" w:rsidR="00394919" w:rsidRPr="00044E36" w:rsidRDefault="00394919" w:rsidP="00044E36">
      <w:pPr>
        <w:pStyle w:val="ListParagraph"/>
        <w:rPr>
          <w:color w:val="1F3864" w:themeColor="accent5" w:themeShade="80"/>
        </w:rPr>
      </w:pPr>
      <w:r w:rsidRPr="00044E36">
        <w:rPr>
          <w:b/>
        </w:rPr>
        <w:t xml:space="preserve">Ghana’s recent macroeconomic challenges </w:t>
      </w:r>
      <w:r w:rsidR="00F640D3">
        <w:rPr>
          <w:b/>
        </w:rPr>
        <w:t>largely stem from</w:t>
      </w:r>
      <w:r w:rsidRPr="00044E36">
        <w:rPr>
          <w:b/>
        </w:rPr>
        <w:t xml:space="preserve"> </w:t>
      </w:r>
      <w:r w:rsidR="00F640D3">
        <w:rPr>
          <w:b/>
        </w:rPr>
        <w:t xml:space="preserve">a </w:t>
      </w:r>
      <w:r w:rsidRPr="00044E36">
        <w:rPr>
          <w:b/>
        </w:rPr>
        <w:t>rapid</w:t>
      </w:r>
      <w:r w:rsidR="002A408E" w:rsidRPr="00044E36">
        <w:rPr>
          <w:b/>
        </w:rPr>
        <w:t xml:space="preserve"> and sustained</w:t>
      </w:r>
      <w:r w:rsidRPr="00044E36">
        <w:rPr>
          <w:b/>
        </w:rPr>
        <w:t xml:space="preserve"> increase in public </w:t>
      </w:r>
      <w:r w:rsidR="002A408E" w:rsidRPr="00044E36">
        <w:rPr>
          <w:b/>
        </w:rPr>
        <w:t>spending</w:t>
      </w:r>
      <w:r w:rsidRPr="00044E36">
        <w:rPr>
          <w:b/>
        </w:rPr>
        <w:t>.</w:t>
      </w:r>
      <w:r>
        <w:t xml:space="preserve"> </w:t>
      </w:r>
      <w:r w:rsidR="00384B27">
        <w:t>Total</w:t>
      </w:r>
      <w:r w:rsidR="00384B27" w:rsidRPr="00E17508">
        <w:t xml:space="preserve"> </w:t>
      </w:r>
      <w:r w:rsidRPr="00E17508">
        <w:t>public expenditure</w:t>
      </w:r>
      <w:r w:rsidR="00384B27">
        <w:t>s</w:t>
      </w:r>
      <w:r w:rsidRPr="00E17508">
        <w:t xml:space="preserve"> grew from </w:t>
      </w:r>
      <w:r w:rsidR="00D245BB">
        <w:t>23</w:t>
      </w:r>
      <w:r w:rsidRPr="00E17508">
        <w:t xml:space="preserve"> percent of GDP in 2010 to an estimated </w:t>
      </w:r>
      <w:r w:rsidR="00D245BB">
        <w:t>28.5</w:t>
      </w:r>
      <w:r w:rsidRPr="00E17508">
        <w:t xml:space="preserve"> percent in 2014</w:t>
      </w:r>
      <w:r>
        <w:t xml:space="preserve">, </w:t>
      </w:r>
      <w:r w:rsidR="00277995">
        <w:t>while</w:t>
      </w:r>
      <w:r w:rsidR="00384B27">
        <w:t xml:space="preserve"> total </w:t>
      </w:r>
      <w:r>
        <w:t>revenue</w:t>
      </w:r>
      <w:r w:rsidR="00F640D3">
        <w:t>s</w:t>
      </w:r>
      <w:r>
        <w:t xml:space="preserve"> </w:t>
      </w:r>
      <w:r w:rsidR="00384B27">
        <w:t>(</w:t>
      </w:r>
      <w:r>
        <w:t>including grants</w:t>
      </w:r>
      <w:r w:rsidR="00384B27">
        <w:t>)</w:t>
      </w:r>
      <w:r>
        <w:t xml:space="preserve"> </w:t>
      </w:r>
      <w:r w:rsidR="00384B27">
        <w:t xml:space="preserve">remained </w:t>
      </w:r>
      <w:r w:rsidR="00277995">
        <w:t>broadly unchanged</w:t>
      </w:r>
      <w:r w:rsidR="00384B27">
        <w:t xml:space="preserve"> at </w:t>
      </w:r>
      <w:r>
        <w:t>1</w:t>
      </w:r>
      <w:r w:rsidR="00D245BB">
        <w:t>8</w:t>
      </w:r>
      <w:r w:rsidR="00F640D3">
        <w:t>-</w:t>
      </w:r>
      <w:r>
        <w:t xml:space="preserve">19 percent of GDP. </w:t>
      </w:r>
      <w:r w:rsidR="00F640D3">
        <w:t xml:space="preserve">This caused </w:t>
      </w:r>
      <w:r w:rsidRPr="00E17508">
        <w:t xml:space="preserve">Ghana’s fiscal deficit </w:t>
      </w:r>
      <w:r w:rsidR="00F640D3">
        <w:t xml:space="preserve">to </w:t>
      </w:r>
      <w:r w:rsidR="00CE1783">
        <w:t>increase</w:t>
      </w:r>
      <w:r w:rsidR="00277995">
        <w:t xml:space="preserve"> from </w:t>
      </w:r>
      <w:r w:rsidR="00824715">
        <w:t>3.2</w:t>
      </w:r>
      <w:r w:rsidR="00277995">
        <w:t xml:space="preserve"> percent in 2010 </w:t>
      </w:r>
      <w:r>
        <w:t>to 1</w:t>
      </w:r>
      <w:r w:rsidR="00EB2FD2">
        <w:t>0.6</w:t>
      </w:r>
      <w:r>
        <w:t xml:space="preserve"> percent in 2012</w:t>
      </w:r>
      <w:r w:rsidR="00C4052B">
        <w:t>,</w:t>
      </w:r>
      <w:r>
        <w:t xml:space="preserve"> </w:t>
      </w:r>
      <w:r w:rsidR="00277995">
        <w:t xml:space="preserve">and </w:t>
      </w:r>
      <w:r w:rsidR="00C4052B">
        <w:t xml:space="preserve">it </w:t>
      </w:r>
      <w:r w:rsidR="00277995">
        <w:t>remained in</w:t>
      </w:r>
      <w:r>
        <w:t xml:space="preserve"> </w:t>
      </w:r>
      <w:r w:rsidRPr="00E17508">
        <w:t xml:space="preserve">double digits </w:t>
      </w:r>
      <w:r>
        <w:t xml:space="preserve">until 2015 </w:t>
      </w:r>
      <w:r w:rsidRPr="00E17508">
        <w:t>(</w:t>
      </w:r>
      <w:r w:rsidR="001B09D9">
        <w:fldChar w:fldCharType="begin"/>
      </w:r>
      <w:r w:rsidR="001B09D9">
        <w:instrText xml:space="preserve"> REF _Ref472528894 \h </w:instrText>
      </w:r>
      <w:r w:rsidR="001B09D9">
        <w:fldChar w:fldCharType="separate"/>
      </w:r>
      <w:r w:rsidR="007B1CE6">
        <w:t xml:space="preserve">Figure </w:t>
      </w:r>
      <w:r w:rsidR="007B1CE6">
        <w:rPr>
          <w:noProof/>
        </w:rPr>
        <w:t>1</w:t>
      </w:r>
      <w:r w:rsidR="007B1CE6">
        <w:t>.</w:t>
      </w:r>
      <w:r w:rsidR="007B1CE6">
        <w:rPr>
          <w:noProof/>
        </w:rPr>
        <w:t>5</w:t>
      </w:r>
      <w:r w:rsidR="001B09D9">
        <w:fldChar w:fldCharType="end"/>
      </w:r>
      <w:r w:rsidRPr="00E17508">
        <w:t>).</w:t>
      </w:r>
    </w:p>
    <w:p w14:paraId="7CEAAE41" w14:textId="77777777" w:rsidR="00AD0045" w:rsidRDefault="00AF57B8" w:rsidP="00044E36">
      <w:pPr>
        <w:pStyle w:val="ListParagraph"/>
      </w:pPr>
      <w:r w:rsidRPr="006F6191">
        <w:rPr>
          <w:b/>
        </w:rPr>
        <w:t>Personnel costs</w:t>
      </w:r>
      <w:r w:rsidR="00FB274C" w:rsidRPr="006F6191">
        <w:rPr>
          <w:b/>
        </w:rPr>
        <w:t xml:space="preserve"> ha</w:t>
      </w:r>
      <w:r w:rsidRPr="006F6191">
        <w:rPr>
          <w:b/>
        </w:rPr>
        <w:t>ve</w:t>
      </w:r>
      <w:r w:rsidR="00FB274C" w:rsidRPr="006F6191">
        <w:rPr>
          <w:b/>
        </w:rPr>
        <w:t xml:space="preserve"> </w:t>
      </w:r>
      <w:r w:rsidRPr="006F6191">
        <w:rPr>
          <w:b/>
        </w:rPr>
        <w:t xml:space="preserve">driven the </w:t>
      </w:r>
      <w:r w:rsidR="00D10525" w:rsidRPr="006F6191">
        <w:rPr>
          <w:b/>
        </w:rPr>
        <w:t>rapid</w:t>
      </w:r>
      <w:r w:rsidRPr="006F6191">
        <w:rPr>
          <w:b/>
        </w:rPr>
        <w:t xml:space="preserve"> increase in public spending</w:t>
      </w:r>
      <w:r w:rsidR="00D10525" w:rsidRPr="006F6191">
        <w:rPr>
          <w:b/>
        </w:rPr>
        <w:t xml:space="preserve"> observed in recent years</w:t>
      </w:r>
      <w:r w:rsidR="00FB274C" w:rsidRPr="006F6191">
        <w:rPr>
          <w:b/>
        </w:rPr>
        <w:t xml:space="preserve">. </w:t>
      </w:r>
      <w:r w:rsidR="00FB274C" w:rsidRPr="006F6191">
        <w:t xml:space="preserve">The </w:t>
      </w:r>
      <w:r w:rsidRPr="006F6191">
        <w:t xml:space="preserve">public sector </w:t>
      </w:r>
      <w:r w:rsidR="00FB274C" w:rsidRPr="006F6191">
        <w:t>wage bill</w:t>
      </w:r>
      <w:r w:rsidRPr="006F6191">
        <w:t>, which includes all forms of remuneration</w:t>
      </w:r>
      <w:r w:rsidR="00D10525" w:rsidRPr="006F6191">
        <w:t xml:space="preserve"> for civil servants</w:t>
      </w:r>
      <w:r w:rsidRPr="006F6191">
        <w:t>, increased</w:t>
      </w:r>
      <w:r w:rsidR="00FB274C" w:rsidRPr="006F6191">
        <w:t xml:space="preserve"> from 6.9 percent of GDP in 2010 to 8.9 percent </w:t>
      </w:r>
      <w:r w:rsidRPr="006F6191">
        <w:t xml:space="preserve">in </w:t>
      </w:r>
      <w:r w:rsidR="00FB274C" w:rsidRPr="006F6191">
        <w:t>2012, and</w:t>
      </w:r>
      <w:r w:rsidRPr="006F6191">
        <w:t xml:space="preserve"> this figure rises to </w:t>
      </w:r>
      <w:r w:rsidR="00FB274C" w:rsidRPr="006F6191">
        <w:t>1</w:t>
      </w:r>
      <w:r w:rsidR="00DA550F">
        <w:t>2</w:t>
      </w:r>
      <w:r w:rsidR="00FB274C" w:rsidRPr="006F6191">
        <w:t xml:space="preserve"> percent</w:t>
      </w:r>
      <w:r w:rsidR="001F5E07" w:rsidRPr="001F5E07">
        <w:t xml:space="preserve"> </w:t>
      </w:r>
      <w:r w:rsidR="001F5E07" w:rsidRPr="006F6191">
        <w:lastRenderedPageBreak/>
        <w:t>when deferred wage payments are included</w:t>
      </w:r>
      <w:r w:rsidR="00FB274C" w:rsidRPr="006F6191">
        <w:t xml:space="preserve">. </w:t>
      </w:r>
      <w:r w:rsidR="00D10525" w:rsidRPr="006F6191">
        <w:t>Since it surpassed capital spending in 20</w:t>
      </w:r>
      <w:r w:rsidR="003259FF">
        <w:t>09</w:t>
      </w:r>
      <w:r w:rsidR="00D10525" w:rsidRPr="006F6191">
        <w:t>, t</w:t>
      </w:r>
      <w:r w:rsidR="00FB274C" w:rsidRPr="006F6191">
        <w:t xml:space="preserve">he wage bill </w:t>
      </w:r>
      <w:r w:rsidR="00D10525" w:rsidRPr="006F6191">
        <w:t>has been</w:t>
      </w:r>
      <w:r w:rsidR="00FB274C" w:rsidRPr="006F6191">
        <w:t xml:space="preserve"> the largest component of Ghana’s </w:t>
      </w:r>
      <w:r w:rsidR="00D10525" w:rsidRPr="006F6191">
        <w:t xml:space="preserve">budget </w:t>
      </w:r>
      <w:r w:rsidR="00FB274C" w:rsidRPr="006F6191">
        <w:t>(</w:t>
      </w:r>
      <w:r w:rsidR="001B09D9">
        <w:fldChar w:fldCharType="begin"/>
      </w:r>
      <w:r w:rsidR="001B09D9">
        <w:instrText xml:space="preserve"> REF _Ref472528902 \h </w:instrText>
      </w:r>
      <w:r w:rsidR="001B09D9">
        <w:fldChar w:fldCharType="separate"/>
      </w:r>
      <w:r w:rsidR="007B1CE6">
        <w:t>Figure</w:t>
      </w:r>
      <w:r w:rsidR="007B1CE6" w:rsidRPr="00FD15DB">
        <w:t xml:space="preserve"> </w:t>
      </w:r>
      <w:r w:rsidR="007B1CE6">
        <w:rPr>
          <w:noProof/>
        </w:rPr>
        <w:t>1</w:t>
      </w:r>
      <w:r w:rsidR="007B1CE6">
        <w:t>.</w:t>
      </w:r>
      <w:r w:rsidR="007B1CE6">
        <w:rPr>
          <w:noProof/>
        </w:rPr>
        <w:t>6</w:t>
      </w:r>
      <w:r w:rsidR="001B09D9">
        <w:fldChar w:fldCharType="end"/>
      </w:r>
      <w:r w:rsidR="00FB274C" w:rsidRPr="006F6191">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4750"/>
      </w:tblGrid>
      <w:tr w:rsidR="00A35B0A" w:rsidRPr="00FD15DB" w14:paraId="7CA6432B" w14:textId="77777777" w:rsidTr="00DA550F">
        <w:tc>
          <w:tcPr>
            <w:tcW w:w="4610" w:type="dxa"/>
          </w:tcPr>
          <w:p w14:paraId="522BEE32" w14:textId="77777777" w:rsidR="00FD15DB" w:rsidRPr="00FD15DB" w:rsidRDefault="00657AA2" w:rsidP="002D4C21">
            <w:pPr>
              <w:pStyle w:val="Figure2"/>
            </w:pPr>
            <w:bookmarkStart w:id="23" w:name="_Ref472528894"/>
            <w:bookmarkStart w:id="24" w:name="_Toc479624919"/>
            <w:r>
              <w:t>Figure</w:t>
            </w:r>
            <w:r w:rsidR="00024E8E">
              <w:t xml:space="preserve"> </w:t>
            </w:r>
            <w:r w:rsidR="005C0067">
              <w:fldChar w:fldCharType="begin"/>
            </w:r>
            <w:r w:rsidR="005C0067">
              <w:instrText xml:space="preserve"> STYLEREF 1 \s </w:instrText>
            </w:r>
            <w:r w:rsidR="005C0067">
              <w:fldChar w:fldCharType="separate"/>
            </w:r>
            <w:r w:rsidR="007B1CE6">
              <w:rPr>
                <w:noProof/>
              </w:rPr>
              <w:t>1</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5</w:t>
            </w:r>
            <w:r w:rsidR="005C0067">
              <w:fldChar w:fldCharType="end"/>
            </w:r>
            <w:bookmarkEnd w:id="23"/>
            <w:r w:rsidR="00FD15DB" w:rsidRPr="00FD15DB">
              <w:t>: Fiscal Revenues and Expenditures, 2008-201</w:t>
            </w:r>
            <w:r w:rsidR="00C30121">
              <w:t>6</w:t>
            </w:r>
            <w:bookmarkEnd w:id="24"/>
          </w:p>
        </w:tc>
        <w:tc>
          <w:tcPr>
            <w:tcW w:w="4750" w:type="dxa"/>
          </w:tcPr>
          <w:p w14:paraId="7A5DD44B" w14:textId="77777777" w:rsidR="00FD15DB" w:rsidRPr="00FD15DB" w:rsidRDefault="00657AA2" w:rsidP="002D4C21">
            <w:pPr>
              <w:pStyle w:val="Figure2"/>
            </w:pPr>
            <w:bookmarkStart w:id="25" w:name="_Ref472528902"/>
            <w:bookmarkStart w:id="26" w:name="_Toc479624920"/>
            <w:r>
              <w:t>Figure</w:t>
            </w:r>
            <w:r w:rsidR="00FD15DB" w:rsidRPr="00FD15DB">
              <w:t xml:space="preserve"> </w:t>
            </w:r>
            <w:r w:rsidR="005C0067">
              <w:fldChar w:fldCharType="begin"/>
            </w:r>
            <w:r w:rsidR="005C0067">
              <w:instrText xml:space="preserve"> STYLEREF 1 \s </w:instrText>
            </w:r>
            <w:r w:rsidR="005C0067">
              <w:fldChar w:fldCharType="separate"/>
            </w:r>
            <w:r w:rsidR="007B1CE6">
              <w:rPr>
                <w:noProof/>
              </w:rPr>
              <w:t>1</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6</w:t>
            </w:r>
            <w:r w:rsidR="005C0067">
              <w:fldChar w:fldCharType="end"/>
            </w:r>
            <w:bookmarkEnd w:id="25"/>
            <w:r w:rsidR="00FD15DB" w:rsidRPr="00FD15DB">
              <w:t>: The Composition of Public Spending, 2008-2016</w:t>
            </w:r>
            <w:bookmarkEnd w:id="26"/>
          </w:p>
        </w:tc>
      </w:tr>
      <w:tr w:rsidR="00A35B0A" w:rsidRPr="00FD15DB" w14:paraId="09D6F5B2" w14:textId="77777777" w:rsidTr="00DA550F">
        <w:tc>
          <w:tcPr>
            <w:tcW w:w="4610" w:type="dxa"/>
          </w:tcPr>
          <w:p w14:paraId="116BC7A1" w14:textId="77777777" w:rsidR="00DB3C3B" w:rsidRDefault="00DB3C3B" w:rsidP="00FD15DB">
            <w:pPr>
              <w:jc w:val="both"/>
              <w:rPr>
                <w:rFonts w:ascii="Garamond" w:hAnsi="Garamond" w:cs="Arial"/>
                <w:noProof/>
                <w:sz w:val="24"/>
              </w:rPr>
            </w:pPr>
          </w:p>
          <w:p w14:paraId="6ED61A77" w14:textId="77777777" w:rsidR="00FD15DB" w:rsidRPr="00FD15DB" w:rsidRDefault="003259FF" w:rsidP="00FD15DB">
            <w:pPr>
              <w:jc w:val="both"/>
              <w:rPr>
                <w:rFonts w:ascii="Garamond" w:hAnsi="Garamond" w:cs="Arial"/>
                <w:sz w:val="24"/>
              </w:rPr>
            </w:pPr>
            <w:r>
              <w:rPr>
                <w:rFonts w:ascii="Garamond" w:hAnsi="Garamond" w:cs="Arial"/>
                <w:noProof/>
                <w:sz w:val="24"/>
              </w:rPr>
              <w:drawing>
                <wp:inline distT="0" distB="0" distL="0" distR="0" wp14:anchorId="5C5AD089" wp14:editId="22FF0684">
                  <wp:extent cx="2880360" cy="21350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3429" cy="2137341"/>
                          </a:xfrm>
                          <a:prstGeom prst="rect">
                            <a:avLst/>
                          </a:prstGeom>
                          <a:noFill/>
                        </pic:spPr>
                      </pic:pic>
                    </a:graphicData>
                  </a:graphic>
                </wp:inline>
              </w:drawing>
            </w:r>
          </w:p>
          <w:p w14:paraId="26C2432A" w14:textId="77777777" w:rsidR="00FD15DB" w:rsidRPr="00FD15DB" w:rsidRDefault="00FD15DB" w:rsidP="00FD15DB">
            <w:pPr>
              <w:jc w:val="both"/>
              <w:rPr>
                <w:rFonts w:ascii="Garamond" w:hAnsi="Garamond" w:cs="Arial"/>
                <w:sz w:val="24"/>
              </w:rPr>
            </w:pPr>
            <w:r w:rsidRPr="00FD15DB">
              <w:rPr>
                <w:rFonts w:ascii="Garamond" w:hAnsi="Garamond" w:cs="Arial"/>
                <w:i/>
                <w:sz w:val="18"/>
                <w:szCs w:val="18"/>
              </w:rPr>
              <w:t>Source:</w:t>
            </w:r>
            <w:r w:rsidRPr="00FD15DB">
              <w:rPr>
                <w:rFonts w:ascii="Garamond" w:hAnsi="Garamond" w:cs="Arial"/>
                <w:sz w:val="18"/>
                <w:szCs w:val="18"/>
              </w:rPr>
              <w:t xml:space="preserve"> </w:t>
            </w:r>
            <w:r w:rsidR="00A35B0A">
              <w:rPr>
                <w:rFonts w:ascii="Garamond" w:hAnsi="Garamond" w:cs="Arial"/>
                <w:sz w:val="18"/>
                <w:szCs w:val="18"/>
              </w:rPr>
              <w:t>IMF</w:t>
            </w:r>
            <w:r w:rsidRPr="00FD15DB">
              <w:rPr>
                <w:rFonts w:ascii="Garamond" w:hAnsi="Garamond" w:cs="Arial"/>
                <w:sz w:val="18"/>
                <w:szCs w:val="18"/>
              </w:rPr>
              <w:t>; World Bank</w:t>
            </w:r>
          </w:p>
        </w:tc>
        <w:tc>
          <w:tcPr>
            <w:tcW w:w="4750" w:type="dxa"/>
          </w:tcPr>
          <w:p w14:paraId="05976685" w14:textId="77777777" w:rsidR="00DB3C3B" w:rsidRDefault="00DB3C3B" w:rsidP="00FD15DB">
            <w:pPr>
              <w:jc w:val="both"/>
              <w:rPr>
                <w:rFonts w:ascii="Garamond" w:hAnsi="Garamond" w:cs="Arial"/>
                <w:noProof/>
                <w:sz w:val="24"/>
              </w:rPr>
            </w:pPr>
          </w:p>
          <w:p w14:paraId="1C44C201" w14:textId="77777777" w:rsidR="00FD15DB" w:rsidRPr="00FD15DB" w:rsidRDefault="00A35B0A" w:rsidP="00FD15DB">
            <w:pPr>
              <w:jc w:val="both"/>
              <w:rPr>
                <w:rFonts w:ascii="Garamond" w:hAnsi="Garamond" w:cs="Arial"/>
                <w:sz w:val="24"/>
              </w:rPr>
            </w:pPr>
            <w:r>
              <w:rPr>
                <w:rFonts w:ascii="Garamond" w:hAnsi="Garamond" w:cs="Arial"/>
                <w:noProof/>
                <w:sz w:val="24"/>
              </w:rPr>
              <w:drawing>
                <wp:inline distT="0" distB="0" distL="0" distR="0" wp14:anchorId="2CA9BB43" wp14:editId="0681D3DB">
                  <wp:extent cx="2970530" cy="2074984"/>
                  <wp:effectExtent l="0" t="0" r="127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4985" cy="2085081"/>
                          </a:xfrm>
                          <a:prstGeom prst="rect">
                            <a:avLst/>
                          </a:prstGeom>
                          <a:noFill/>
                        </pic:spPr>
                      </pic:pic>
                    </a:graphicData>
                  </a:graphic>
                </wp:inline>
              </w:drawing>
            </w:r>
          </w:p>
          <w:p w14:paraId="14D350FF" w14:textId="77777777" w:rsidR="00FD15DB" w:rsidRPr="00FD15DB" w:rsidRDefault="00FD15DB" w:rsidP="003259FF">
            <w:pPr>
              <w:jc w:val="both"/>
              <w:rPr>
                <w:rFonts w:ascii="Garamond" w:hAnsi="Garamond" w:cs="Arial"/>
                <w:sz w:val="24"/>
              </w:rPr>
            </w:pPr>
            <w:r w:rsidRPr="00FD15DB">
              <w:rPr>
                <w:rFonts w:ascii="Garamond" w:hAnsi="Garamond" w:cs="Arial"/>
                <w:i/>
                <w:sz w:val="18"/>
                <w:szCs w:val="18"/>
              </w:rPr>
              <w:t>Source:</w:t>
            </w:r>
            <w:r w:rsidRPr="00FD15DB">
              <w:rPr>
                <w:rFonts w:ascii="Garamond" w:hAnsi="Garamond" w:cs="Arial"/>
                <w:sz w:val="18"/>
                <w:szCs w:val="18"/>
              </w:rPr>
              <w:t xml:space="preserve"> </w:t>
            </w:r>
            <w:r w:rsidR="00A35B0A">
              <w:rPr>
                <w:rFonts w:ascii="Garamond" w:hAnsi="Garamond" w:cs="Arial"/>
                <w:sz w:val="18"/>
                <w:szCs w:val="18"/>
              </w:rPr>
              <w:t>IMF;</w:t>
            </w:r>
            <w:r w:rsidRPr="00FD15DB">
              <w:rPr>
                <w:rFonts w:ascii="Garamond" w:hAnsi="Garamond" w:cs="Arial"/>
                <w:sz w:val="18"/>
                <w:szCs w:val="18"/>
              </w:rPr>
              <w:t xml:space="preserve"> World Bank</w:t>
            </w:r>
          </w:p>
        </w:tc>
      </w:tr>
    </w:tbl>
    <w:p w14:paraId="169C63D7" w14:textId="77777777" w:rsidR="00D27292" w:rsidRDefault="00D27292" w:rsidP="00D27292">
      <w:pPr>
        <w:pStyle w:val="ListParagraph"/>
        <w:spacing w:before="240"/>
      </w:pPr>
      <w:r w:rsidRPr="006F6191">
        <w:rPr>
          <w:b/>
        </w:rPr>
        <w:t>The 2010 SSSS reform was designed to facilitate salary negotiations</w:t>
      </w:r>
      <w:r>
        <w:rPr>
          <w:b/>
        </w:rPr>
        <w:t xml:space="preserve"> and tighten wage-bill management, but the standardization of the public sector pay scale resulted in a large increase in compensation</w:t>
      </w:r>
      <w:r w:rsidRPr="006F6191">
        <w:rPr>
          <w:b/>
        </w:rPr>
        <w:t xml:space="preserve">, </w:t>
      </w:r>
      <w:r>
        <w:rPr>
          <w:b/>
        </w:rPr>
        <w:t>and</w:t>
      </w:r>
      <w:r w:rsidRPr="006F6191">
        <w:rPr>
          <w:b/>
        </w:rPr>
        <w:t xml:space="preserve"> </w:t>
      </w:r>
      <w:r>
        <w:rPr>
          <w:b/>
        </w:rPr>
        <w:t>the</w:t>
      </w:r>
      <w:r w:rsidRPr="006F6191">
        <w:rPr>
          <w:b/>
        </w:rPr>
        <w:t xml:space="preserve"> introduction </w:t>
      </w:r>
      <w:r>
        <w:rPr>
          <w:b/>
        </w:rPr>
        <w:t xml:space="preserve">of the SSSS </w:t>
      </w:r>
      <w:r w:rsidRPr="006F6191">
        <w:rPr>
          <w:b/>
        </w:rPr>
        <w:t xml:space="preserve">was accompanied by a </w:t>
      </w:r>
      <w:r>
        <w:rPr>
          <w:b/>
        </w:rPr>
        <w:t>significant expansion</w:t>
      </w:r>
      <w:r w:rsidRPr="006F6191">
        <w:rPr>
          <w:b/>
        </w:rPr>
        <w:t xml:space="preserve"> in the number of public employees.</w:t>
      </w:r>
      <w:r w:rsidRPr="006F6191">
        <w:t xml:space="preserve"> </w:t>
      </w:r>
      <w:r>
        <w:t>The combination of higher salaries and a growing public sector workforce pushed</w:t>
      </w:r>
      <w:r w:rsidRPr="006F6191">
        <w:t xml:space="preserve"> the wage bill </w:t>
      </w:r>
      <w:r>
        <w:t>close to</w:t>
      </w:r>
      <w:r w:rsidRPr="006F6191">
        <w:t xml:space="preserve"> two-thirds of tax revenue in 2013</w:t>
      </w:r>
      <w:r>
        <w:t xml:space="preserve"> (</w:t>
      </w:r>
      <w:r>
        <w:fldChar w:fldCharType="begin"/>
      </w:r>
      <w:r>
        <w:instrText xml:space="preserve"> REF _Ref472430886 \h </w:instrText>
      </w:r>
      <w:r>
        <w:fldChar w:fldCharType="separate"/>
      </w:r>
      <w:r w:rsidR="007B1CE6">
        <w:t xml:space="preserve">Table </w:t>
      </w:r>
      <w:r w:rsidR="007B1CE6">
        <w:rPr>
          <w:noProof/>
        </w:rPr>
        <w:t>1</w:t>
      </w:r>
      <w:r w:rsidR="007B1CE6">
        <w:t>.</w:t>
      </w:r>
      <w:r w:rsidR="007B1CE6">
        <w:rPr>
          <w:noProof/>
        </w:rPr>
        <w:t>1</w:t>
      </w:r>
      <w:r>
        <w:fldChar w:fldCharType="end"/>
      </w:r>
      <w:r>
        <w:t>)</w:t>
      </w:r>
      <w:r w:rsidRPr="006F6191">
        <w:t xml:space="preserve">. In an </w:t>
      </w:r>
      <w:r>
        <w:t>attempt</w:t>
      </w:r>
      <w:r w:rsidRPr="006F6191">
        <w:t xml:space="preserve"> to contain rising personnel costs, the government implemented a hiring freeze across most government agencies, and the wage bill (including deferred payments) slid from 8.8 percent of GDP in 2014 to </w:t>
      </w:r>
      <w:r w:rsidR="001C3F36">
        <w:t>an estimated 7.5</w:t>
      </w:r>
      <w:r w:rsidRPr="006F6191">
        <w:t xml:space="preserve"> percent in 201</w:t>
      </w:r>
      <w:r w:rsidR="001C3F36">
        <w:t>6</w:t>
      </w:r>
      <w:r w:rsidRPr="006F6191">
        <w:t xml:space="preserve">. </w:t>
      </w:r>
      <w:r>
        <w:t xml:space="preserve">Despite the government’s efforts to strengthen </w:t>
      </w:r>
      <w:r w:rsidRPr="006F6191">
        <w:t xml:space="preserve">payroll </w:t>
      </w:r>
      <w:r>
        <w:t>administration, deficiencies in the compensation structure and lingering efficiency issues continue to exert upward pressure on the wage bill</w:t>
      </w:r>
      <w:r w:rsidRPr="006F6191">
        <w:t xml:space="preserve">. Chapter </w:t>
      </w:r>
      <w:r>
        <w:t>3 explores t</w:t>
      </w:r>
      <w:r w:rsidRPr="006F6191">
        <w:t xml:space="preserve">hese </w:t>
      </w:r>
      <w:r>
        <w:t>challenges</w:t>
      </w:r>
      <w:r w:rsidRPr="006F6191">
        <w:t xml:space="preserve"> in greater</w:t>
      </w:r>
      <w:r w:rsidR="00E16DA9">
        <w:t xml:space="preserve"> </w:t>
      </w:r>
      <w:r w:rsidRPr="006F6191">
        <w:t>detail.</w:t>
      </w:r>
    </w:p>
    <w:p w14:paraId="08AEEF19" w14:textId="77777777" w:rsidR="00E16DA9" w:rsidRDefault="00102077" w:rsidP="00AA79EE">
      <w:pPr>
        <w:pStyle w:val="ListParagraph"/>
        <w:spacing w:before="240"/>
      </w:pPr>
      <w:r w:rsidRPr="00221763">
        <w:rPr>
          <w:b/>
        </w:rPr>
        <w:t xml:space="preserve">A </w:t>
      </w:r>
      <w:r>
        <w:rPr>
          <w:b/>
        </w:rPr>
        <w:t>spike</w:t>
      </w:r>
      <w:r w:rsidRPr="00221763">
        <w:rPr>
          <w:b/>
        </w:rPr>
        <w:t xml:space="preserve"> in energy subsidies in 2012-13 compounded the expenditure pressure</w:t>
      </w:r>
      <w:r>
        <w:rPr>
          <w:b/>
        </w:rPr>
        <w:t>s</w:t>
      </w:r>
      <w:r w:rsidRPr="00221763">
        <w:rPr>
          <w:b/>
        </w:rPr>
        <w:t xml:space="preserve"> generated by rising personnel costs. </w:t>
      </w:r>
      <w:r w:rsidRPr="00221763">
        <w:t>The</w:t>
      </w:r>
      <w:r w:rsidRPr="00EA6F18">
        <w:t xml:space="preserve"> government initially absorbed some of the increase</w:t>
      </w:r>
      <w:r>
        <w:t xml:space="preserve"> in</w:t>
      </w:r>
      <w:r w:rsidRPr="00EA6F18">
        <w:t xml:space="preserve"> electricity cost</w:t>
      </w:r>
      <w:r>
        <w:t>s</w:t>
      </w:r>
      <w:r w:rsidRPr="00EA6F18">
        <w:t xml:space="preserve"> </w:t>
      </w:r>
      <w:r>
        <w:t>resulting from</w:t>
      </w:r>
      <w:r w:rsidRPr="00EA6F18">
        <w:t xml:space="preserve"> the rupture of the West African Gas Pipeline in 2012, </w:t>
      </w:r>
      <w:r>
        <w:t>and</w:t>
      </w:r>
      <w:r w:rsidRPr="00EA6F18">
        <w:t xml:space="preserve"> subsid</w:t>
      </w:r>
      <w:r>
        <w:t>y spending</w:t>
      </w:r>
      <w:r w:rsidRPr="00EA6F18">
        <w:t xml:space="preserve"> rose to 1.1 percent of GDP in 2012 and 1.2 percent in 2013. </w:t>
      </w:r>
      <w:r>
        <w:t>As oil prices declined in 2014, s</w:t>
      </w:r>
      <w:r w:rsidRPr="00EA6F18">
        <w:t>ubsid</w:t>
      </w:r>
      <w:r>
        <w:t xml:space="preserve">y spending fell </w:t>
      </w:r>
      <w:r w:rsidRPr="00EA6F18">
        <w:t xml:space="preserve">to 0.6 percent of GDP. </w:t>
      </w:r>
      <w:r>
        <w:t>In</w:t>
      </w:r>
      <w:r w:rsidRPr="00EA6F18">
        <w:t xml:space="preserve"> 2015</w:t>
      </w:r>
      <w:r w:rsidR="00F649D8">
        <w:t>,</w:t>
      </w:r>
      <w:r w:rsidRPr="00EA6F18">
        <w:t xml:space="preserve"> the </w:t>
      </w:r>
      <w:r>
        <w:t xml:space="preserve">government committed to permanently reducing </w:t>
      </w:r>
      <w:r w:rsidRPr="00EA6F18">
        <w:t>subsid</w:t>
      </w:r>
      <w:r>
        <w:t xml:space="preserve">y spending as part of the </w:t>
      </w:r>
      <w:r w:rsidRPr="00EA6F18">
        <w:t xml:space="preserve">stabilization program.  </w:t>
      </w:r>
    </w:p>
    <w:p w14:paraId="3A174A34" w14:textId="77777777" w:rsidR="00356947" w:rsidRDefault="00E16DA9" w:rsidP="00AA79EE">
      <w:pPr>
        <w:pStyle w:val="ListParagraph"/>
        <w:spacing w:before="240"/>
      </w:pPr>
      <w:r w:rsidRPr="00461623">
        <w:rPr>
          <w:b/>
        </w:rPr>
        <w:t>Large fiscal deficits fueled a rapid increase in the debt burden, and interest payments are now Ghana’s second-largest expenditure category.</w:t>
      </w:r>
      <w:r w:rsidRPr="00461623">
        <w:t xml:space="preserve"> Interest payments on Ghana’s public debt</w:t>
      </w:r>
      <w:r>
        <w:t xml:space="preserve"> rose </w:t>
      </w:r>
      <w:r w:rsidRPr="00461623">
        <w:t xml:space="preserve">from 3.3 percent of GDP in 2012 </w:t>
      </w:r>
      <w:r>
        <w:t>to</w:t>
      </w:r>
      <w:r w:rsidRPr="00461623">
        <w:t xml:space="preserve"> an estimated 6.4 percent in 2016</w:t>
      </w:r>
      <w:r>
        <w:t xml:space="preserve"> </w:t>
      </w:r>
      <w:r w:rsidRPr="00461623">
        <w:t>(</w:t>
      </w:r>
      <w:r w:rsidRPr="00461623">
        <w:fldChar w:fldCharType="begin"/>
      </w:r>
      <w:r w:rsidRPr="00461623">
        <w:instrText xml:space="preserve"> REF _Ref472517743 \h  \* MERGEFORMAT </w:instrText>
      </w:r>
      <w:r w:rsidRPr="00461623">
        <w:fldChar w:fldCharType="separate"/>
      </w:r>
      <w:r w:rsidR="007B1CE6" w:rsidRPr="00E16DA9">
        <w:t xml:space="preserve">Figure </w:t>
      </w:r>
      <w:r w:rsidR="007B1CE6">
        <w:rPr>
          <w:noProof/>
        </w:rPr>
        <w:t>1</w:t>
      </w:r>
      <w:r w:rsidR="007B1CE6" w:rsidRPr="00E16DA9">
        <w:rPr>
          <w:noProof/>
        </w:rPr>
        <w:t>.</w:t>
      </w:r>
      <w:r w:rsidR="007B1CE6">
        <w:rPr>
          <w:noProof/>
        </w:rPr>
        <w:t>7</w:t>
      </w:r>
      <w:r w:rsidRPr="00461623">
        <w:fldChar w:fldCharType="end"/>
      </w:r>
      <w:r w:rsidRPr="00461623">
        <w:t>). As the debt stock has grown, domestic financing has become extremely costly. In a context of persistently high inflation rates and tight monetary conditions, domestic interest rates ranged from 22 to 25 percent between 2013 and late 2016</w:t>
      </w:r>
      <w:r>
        <w:t>, respectively</w:t>
      </w:r>
      <w:r w:rsidRPr="00461623">
        <w:t xml:space="preserve">. Nevertheless, the government increased its short-term borrowing, which along with the rollover of short-term debt at higher interest rates, boosted the share of short-term debt from 31 percent of total domestic debt in 2012 to 46.3 percent in 2015. </w:t>
      </w:r>
      <w:r>
        <w:t xml:space="preserve">Although the share was reduced to 37.7 percent in 2016, the level still </w:t>
      </w:r>
      <w:r w:rsidRPr="00461623">
        <w:t xml:space="preserve">presents considerable rollover and liquidity </w:t>
      </w:r>
      <w:r w:rsidRPr="00461623">
        <w:lastRenderedPageBreak/>
        <w:t>risks. Ghana’s interest payments remain high by the standards of countries with similar levels of indebtedness, underscoring the challenges associated with the size and composition of the debt stock (</w:t>
      </w:r>
      <w:r w:rsidRPr="00461623">
        <w:fldChar w:fldCharType="begin"/>
      </w:r>
      <w:r w:rsidRPr="00461623">
        <w:instrText xml:space="preserve"> REF _Ref472517753 \h  \* MERGEFORMAT </w:instrText>
      </w:r>
      <w:r w:rsidRPr="00461623">
        <w:fldChar w:fldCharType="separate"/>
      </w:r>
      <w:r w:rsidR="007B1CE6" w:rsidRPr="00E16DA9">
        <w:t xml:space="preserve">Figure </w:t>
      </w:r>
      <w:r w:rsidR="007B1CE6">
        <w:rPr>
          <w:noProof/>
        </w:rPr>
        <w:t>1</w:t>
      </w:r>
      <w:r w:rsidR="007B1CE6" w:rsidRPr="00E16DA9">
        <w:rPr>
          <w:noProof/>
        </w:rPr>
        <w:t>.</w:t>
      </w:r>
      <w:r w:rsidR="007B1CE6">
        <w:rPr>
          <w:noProof/>
        </w:rPr>
        <w:t>8</w:t>
      </w:r>
      <w:r w:rsidRPr="00461623">
        <w:fldChar w:fldCharType="end"/>
      </w:r>
      <w:r w:rsidRPr="00461623">
        <w:t>).</w:t>
      </w:r>
    </w:p>
    <w:p w14:paraId="2A86889B" w14:textId="77777777" w:rsidR="00702CAE" w:rsidRPr="00D27292" w:rsidRDefault="00514390">
      <w:pPr>
        <w:pStyle w:val="Caption"/>
        <w:rPr>
          <w:lang w:val="en-US"/>
        </w:rPr>
      </w:pPr>
      <w:bookmarkStart w:id="27" w:name="_Ref472430886"/>
      <w:bookmarkStart w:id="28" w:name="_Toc478837620"/>
      <w:r>
        <w:t xml:space="preserve">Table </w:t>
      </w:r>
      <w:r w:rsidR="00500291">
        <w:fldChar w:fldCharType="begin"/>
      </w:r>
      <w:r w:rsidR="00500291">
        <w:instrText xml:space="preserve"> STYLEREF 1 \s </w:instrText>
      </w:r>
      <w:r w:rsidR="00500291">
        <w:fldChar w:fldCharType="separate"/>
      </w:r>
      <w:r w:rsidR="007B1CE6">
        <w:rPr>
          <w:noProof/>
        </w:rPr>
        <w:t>1</w:t>
      </w:r>
      <w:r w:rsidR="00500291">
        <w:fldChar w:fldCharType="end"/>
      </w:r>
      <w:r w:rsidR="00500291">
        <w:t>.</w:t>
      </w:r>
      <w:r w:rsidR="00500291">
        <w:fldChar w:fldCharType="begin"/>
      </w:r>
      <w:r w:rsidR="00500291">
        <w:instrText xml:space="preserve"> SEQ Table \* ARABIC \s 1 </w:instrText>
      </w:r>
      <w:r w:rsidR="00500291">
        <w:fldChar w:fldCharType="separate"/>
      </w:r>
      <w:r w:rsidR="007B1CE6">
        <w:rPr>
          <w:noProof/>
        </w:rPr>
        <w:t>1</w:t>
      </w:r>
      <w:r w:rsidR="00500291">
        <w:fldChar w:fldCharType="end"/>
      </w:r>
      <w:bookmarkEnd w:id="27"/>
      <w:r>
        <w:t xml:space="preserve">: </w:t>
      </w:r>
      <w:r w:rsidR="00702CAE" w:rsidRPr="002D4C21">
        <w:t>Central Government Accounts, Cash Basis, 2008-2016 (% of GDP)</w:t>
      </w:r>
      <w:bookmarkEnd w:id="28"/>
    </w:p>
    <w:tbl>
      <w:tblPr>
        <w:tblW w:w="9476" w:type="dxa"/>
        <w:tblLayout w:type="fixed"/>
        <w:tblLook w:val="04A0" w:firstRow="1" w:lastRow="0" w:firstColumn="1" w:lastColumn="0" w:noHBand="0" w:noVBand="1"/>
      </w:tblPr>
      <w:tblGrid>
        <w:gridCol w:w="2869"/>
        <w:gridCol w:w="695"/>
        <w:gridCol w:w="697"/>
        <w:gridCol w:w="697"/>
        <w:gridCol w:w="697"/>
        <w:gridCol w:w="697"/>
        <w:gridCol w:w="697"/>
        <w:gridCol w:w="697"/>
        <w:gridCol w:w="804"/>
        <w:gridCol w:w="926"/>
      </w:tblGrid>
      <w:tr w:rsidR="00A71919" w:rsidRPr="00636FD7" w14:paraId="48ABD388" w14:textId="77777777" w:rsidTr="00A71919">
        <w:trPr>
          <w:trHeight w:val="295"/>
        </w:trPr>
        <w:tc>
          <w:tcPr>
            <w:tcW w:w="2869" w:type="dxa"/>
            <w:tcBorders>
              <w:top w:val="nil"/>
              <w:left w:val="nil"/>
              <w:bottom w:val="single" w:sz="8" w:space="0" w:color="auto"/>
              <w:right w:val="nil"/>
            </w:tcBorders>
            <w:shd w:val="clear" w:color="000000" w:fill="FFFFFF"/>
            <w:noWrap/>
            <w:vAlign w:val="center"/>
            <w:hideMark/>
          </w:tcPr>
          <w:p w14:paraId="06336260" w14:textId="77777777" w:rsidR="00102077" w:rsidRPr="00636FD7" w:rsidRDefault="00102077" w:rsidP="007925A8">
            <w:pPr>
              <w:spacing w:after="0" w:line="240" w:lineRule="auto"/>
              <w:rPr>
                <w:rFonts w:asciiTheme="minorHAnsi" w:eastAsia="Times New Roman" w:hAnsiTheme="minorHAnsi" w:cs="Times New Roman"/>
                <w:b/>
                <w:bCs/>
                <w:color w:val="000000"/>
              </w:rPr>
            </w:pPr>
          </w:p>
        </w:tc>
        <w:tc>
          <w:tcPr>
            <w:tcW w:w="695" w:type="dxa"/>
            <w:tcBorders>
              <w:top w:val="nil"/>
              <w:left w:val="nil"/>
              <w:bottom w:val="single" w:sz="8" w:space="0" w:color="auto"/>
              <w:right w:val="nil"/>
            </w:tcBorders>
            <w:shd w:val="clear" w:color="000000" w:fill="FFFFFF"/>
            <w:noWrap/>
            <w:vAlign w:val="center"/>
            <w:hideMark/>
          </w:tcPr>
          <w:p w14:paraId="7C51BBF6" w14:textId="77777777" w:rsidR="00102077" w:rsidRPr="00636FD7" w:rsidRDefault="00102077" w:rsidP="007925A8">
            <w:pPr>
              <w:spacing w:after="0" w:line="240" w:lineRule="auto"/>
              <w:jc w:val="center"/>
              <w:rPr>
                <w:rFonts w:asciiTheme="minorHAnsi" w:eastAsia="Times New Roman" w:hAnsiTheme="minorHAnsi" w:cs="Times New Roman"/>
                <w:b/>
                <w:bCs/>
                <w:color w:val="000000"/>
              </w:rPr>
            </w:pPr>
            <w:r w:rsidRPr="00636FD7">
              <w:rPr>
                <w:rFonts w:asciiTheme="minorHAnsi" w:eastAsia="Times New Roman" w:hAnsiTheme="minorHAnsi" w:cs="Times New Roman"/>
                <w:b/>
                <w:bCs/>
                <w:color w:val="000000"/>
              </w:rPr>
              <w:t>2008</w:t>
            </w:r>
          </w:p>
        </w:tc>
        <w:tc>
          <w:tcPr>
            <w:tcW w:w="697" w:type="dxa"/>
            <w:tcBorders>
              <w:top w:val="nil"/>
              <w:left w:val="nil"/>
              <w:bottom w:val="single" w:sz="8" w:space="0" w:color="auto"/>
              <w:right w:val="nil"/>
            </w:tcBorders>
            <w:shd w:val="clear" w:color="000000" w:fill="FFFFFF"/>
            <w:noWrap/>
            <w:vAlign w:val="center"/>
            <w:hideMark/>
          </w:tcPr>
          <w:p w14:paraId="66A4CA52" w14:textId="77777777" w:rsidR="00102077" w:rsidRPr="00636FD7" w:rsidRDefault="00102077" w:rsidP="007925A8">
            <w:pPr>
              <w:spacing w:after="0" w:line="240" w:lineRule="auto"/>
              <w:jc w:val="center"/>
              <w:rPr>
                <w:rFonts w:asciiTheme="minorHAnsi" w:eastAsia="Times New Roman" w:hAnsiTheme="minorHAnsi" w:cs="Times New Roman"/>
                <w:b/>
                <w:bCs/>
                <w:color w:val="000000"/>
              </w:rPr>
            </w:pPr>
            <w:r w:rsidRPr="00636FD7">
              <w:rPr>
                <w:rFonts w:asciiTheme="minorHAnsi" w:eastAsia="Times New Roman" w:hAnsiTheme="minorHAnsi" w:cs="Times New Roman"/>
                <w:b/>
                <w:bCs/>
                <w:color w:val="000000"/>
              </w:rPr>
              <w:t>2009</w:t>
            </w:r>
          </w:p>
        </w:tc>
        <w:tc>
          <w:tcPr>
            <w:tcW w:w="697" w:type="dxa"/>
            <w:tcBorders>
              <w:top w:val="nil"/>
              <w:left w:val="nil"/>
              <w:bottom w:val="single" w:sz="8" w:space="0" w:color="auto"/>
              <w:right w:val="nil"/>
            </w:tcBorders>
            <w:shd w:val="clear" w:color="000000" w:fill="FFFFFF"/>
            <w:noWrap/>
            <w:vAlign w:val="center"/>
            <w:hideMark/>
          </w:tcPr>
          <w:p w14:paraId="5AF292AA" w14:textId="77777777" w:rsidR="00102077" w:rsidRPr="00636FD7" w:rsidRDefault="00102077" w:rsidP="007925A8">
            <w:pPr>
              <w:spacing w:after="0" w:line="240" w:lineRule="auto"/>
              <w:jc w:val="center"/>
              <w:rPr>
                <w:rFonts w:asciiTheme="minorHAnsi" w:eastAsia="Times New Roman" w:hAnsiTheme="minorHAnsi" w:cs="Times New Roman"/>
                <w:b/>
                <w:bCs/>
                <w:color w:val="000000"/>
              </w:rPr>
            </w:pPr>
            <w:r w:rsidRPr="00636FD7">
              <w:rPr>
                <w:rFonts w:asciiTheme="minorHAnsi" w:eastAsia="Times New Roman" w:hAnsiTheme="minorHAnsi" w:cs="Times New Roman"/>
                <w:b/>
                <w:bCs/>
                <w:color w:val="000000"/>
              </w:rPr>
              <w:t>2010</w:t>
            </w:r>
          </w:p>
        </w:tc>
        <w:tc>
          <w:tcPr>
            <w:tcW w:w="697" w:type="dxa"/>
            <w:tcBorders>
              <w:top w:val="nil"/>
              <w:left w:val="nil"/>
              <w:bottom w:val="single" w:sz="8" w:space="0" w:color="auto"/>
              <w:right w:val="nil"/>
            </w:tcBorders>
            <w:shd w:val="clear" w:color="000000" w:fill="FFFFFF"/>
            <w:noWrap/>
            <w:vAlign w:val="center"/>
            <w:hideMark/>
          </w:tcPr>
          <w:p w14:paraId="26F16CA9" w14:textId="77777777" w:rsidR="00102077" w:rsidRPr="00636FD7" w:rsidRDefault="00102077" w:rsidP="007925A8">
            <w:pPr>
              <w:spacing w:after="0" w:line="240" w:lineRule="auto"/>
              <w:jc w:val="center"/>
              <w:rPr>
                <w:rFonts w:asciiTheme="minorHAnsi" w:eastAsia="Times New Roman" w:hAnsiTheme="minorHAnsi" w:cs="Times New Roman"/>
                <w:b/>
                <w:bCs/>
                <w:color w:val="000000"/>
              </w:rPr>
            </w:pPr>
            <w:r w:rsidRPr="00636FD7">
              <w:rPr>
                <w:rFonts w:asciiTheme="minorHAnsi" w:eastAsia="Times New Roman" w:hAnsiTheme="minorHAnsi" w:cs="Times New Roman"/>
                <w:b/>
                <w:bCs/>
                <w:color w:val="000000"/>
              </w:rPr>
              <w:t>2011</w:t>
            </w:r>
          </w:p>
        </w:tc>
        <w:tc>
          <w:tcPr>
            <w:tcW w:w="697" w:type="dxa"/>
            <w:tcBorders>
              <w:top w:val="nil"/>
              <w:left w:val="nil"/>
              <w:bottom w:val="single" w:sz="8" w:space="0" w:color="auto"/>
              <w:right w:val="nil"/>
            </w:tcBorders>
            <w:shd w:val="clear" w:color="000000" w:fill="FFFFFF"/>
            <w:noWrap/>
            <w:vAlign w:val="center"/>
            <w:hideMark/>
          </w:tcPr>
          <w:p w14:paraId="16E24E43" w14:textId="77777777" w:rsidR="00102077" w:rsidRPr="00636FD7" w:rsidRDefault="00102077" w:rsidP="007925A8">
            <w:pPr>
              <w:spacing w:after="0" w:line="240" w:lineRule="auto"/>
              <w:jc w:val="center"/>
              <w:rPr>
                <w:rFonts w:asciiTheme="minorHAnsi" w:eastAsia="Times New Roman" w:hAnsiTheme="minorHAnsi" w:cs="Times New Roman"/>
                <w:b/>
                <w:bCs/>
                <w:color w:val="000000"/>
              </w:rPr>
            </w:pPr>
            <w:r w:rsidRPr="00636FD7">
              <w:rPr>
                <w:rFonts w:asciiTheme="minorHAnsi" w:eastAsia="Times New Roman" w:hAnsiTheme="minorHAnsi" w:cs="Times New Roman"/>
                <w:b/>
                <w:bCs/>
                <w:color w:val="000000"/>
              </w:rPr>
              <w:t>2012</w:t>
            </w:r>
          </w:p>
        </w:tc>
        <w:tc>
          <w:tcPr>
            <w:tcW w:w="697" w:type="dxa"/>
            <w:tcBorders>
              <w:top w:val="nil"/>
              <w:left w:val="nil"/>
              <w:bottom w:val="single" w:sz="8" w:space="0" w:color="auto"/>
              <w:right w:val="nil"/>
            </w:tcBorders>
            <w:shd w:val="clear" w:color="000000" w:fill="FFFFFF"/>
            <w:noWrap/>
            <w:vAlign w:val="center"/>
            <w:hideMark/>
          </w:tcPr>
          <w:p w14:paraId="02E12308" w14:textId="77777777" w:rsidR="00102077" w:rsidRPr="00636FD7" w:rsidRDefault="00102077" w:rsidP="007925A8">
            <w:pPr>
              <w:spacing w:after="0" w:line="240" w:lineRule="auto"/>
              <w:jc w:val="center"/>
              <w:rPr>
                <w:rFonts w:asciiTheme="minorHAnsi" w:eastAsia="Times New Roman" w:hAnsiTheme="minorHAnsi" w:cs="Times New Roman"/>
                <w:b/>
                <w:bCs/>
                <w:color w:val="000000"/>
              </w:rPr>
            </w:pPr>
            <w:r w:rsidRPr="00636FD7">
              <w:rPr>
                <w:rFonts w:asciiTheme="minorHAnsi" w:eastAsia="Times New Roman" w:hAnsiTheme="minorHAnsi" w:cs="Times New Roman"/>
                <w:b/>
                <w:bCs/>
                <w:color w:val="000000"/>
              </w:rPr>
              <w:t>2013</w:t>
            </w:r>
          </w:p>
        </w:tc>
        <w:tc>
          <w:tcPr>
            <w:tcW w:w="697" w:type="dxa"/>
            <w:tcBorders>
              <w:top w:val="nil"/>
              <w:left w:val="nil"/>
              <w:bottom w:val="single" w:sz="8" w:space="0" w:color="auto"/>
              <w:right w:val="nil"/>
            </w:tcBorders>
            <w:shd w:val="clear" w:color="000000" w:fill="FFFFFF"/>
            <w:noWrap/>
            <w:vAlign w:val="center"/>
            <w:hideMark/>
          </w:tcPr>
          <w:p w14:paraId="12099059" w14:textId="77777777" w:rsidR="00102077" w:rsidRPr="00636FD7" w:rsidRDefault="00102077" w:rsidP="007925A8">
            <w:pPr>
              <w:spacing w:after="0" w:line="240" w:lineRule="auto"/>
              <w:jc w:val="center"/>
              <w:rPr>
                <w:rFonts w:asciiTheme="minorHAnsi" w:eastAsia="Times New Roman" w:hAnsiTheme="minorHAnsi" w:cs="Times New Roman"/>
                <w:b/>
                <w:bCs/>
                <w:color w:val="000000"/>
              </w:rPr>
            </w:pPr>
            <w:r w:rsidRPr="00636FD7">
              <w:rPr>
                <w:rFonts w:asciiTheme="minorHAnsi" w:eastAsia="Times New Roman" w:hAnsiTheme="minorHAnsi" w:cs="Times New Roman"/>
                <w:b/>
                <w:bCs/>
                <w:color w:val="000000"/>
              </w:rPr>
              <w:t>2014</w:t>
            </w:r>
          </w:p>
        </w:tc>
        <w:tc>
          <w:tcPr>
            <w:tcW w:w="804" w:type="dxa"/>
            <w:tcBorders>
              <w:top w:val="nil"/>
              <w:left w:val="nil"/>
              <w:bottom w:val="single" w:sz="8" w:space="0" w:color="auto"/>
              <w:right w:val="nil"/>
            </w:tcBorders>
            <w:shd w:val="clear" w:color="000000" w:fill="FFFFFF"/>
            <w:noWrap/>
            <w:vAlign w:val="center"/>
            <w:hideMark/>
          </w:tcPr>
          <w:p w14:paraId="13F360C8" w14:textId="77777777" w:rsidR="00102077" w:rsidRPr="00636FD7" w:rsidRDefault="00102077" w:rsidP="00122CD3">
            <w:pPr>
              <w:spacing w:after="0" w:line="240" w:lineRule="auto"/>
              <w:jc w:val="center"/>
              <w:rPr>
                <w:rFonts w:asciiTheme="minorHAnsi" w:eastAsia="Times New Roman" w:hAnsiTheme="minorHAnsi" w:cs="Times New Roman"/>
                <w:b/>
                <w:bCs/>
                <w:color w:val="000000"/>
              </w:rPr>
            </w:pPr>
            <w:r w:rsidRPr="00636FD7">
              <w:rPr>
                <w:rFonts w:asciiTheme="minorHAnsi" w:eastAsia="Times New Roman" w:hAnsiTheme="minorHAnsi" w:cs="Times New Roman"/>
                <w:b/>
                <w:bCs/>
                <w:color w:val="000000"/>
              </w:rPr>
              <w:t>2015</w:t>
            </w:r>
          </w:p>
        </w:tc>
        <w:tc>
          <w:tcPr>
            <w:tcW w:w="926" w:type="dxa"/>
            <w:tcBorders>
              <w:top w:val="nil"/>
              <w:left w:val="nil"/>
              <w:bottom w:val="single" w:sz="8" w:space="0" w:color="auto"/>
              <w:right w:val="nil"/>
            </w:tcBorders>
            <w:shd w:val="clear" w:color="000000" w:fill="FFFFFF"/>
            <w:vAlign w:val="center"/>
            <w:hideMark/>
          </w:tcPr>
          <w:p w14:paraId="7AD496D8" w14:textId="77777777" w:rsidR="00102077" w:rsidRPr="00636FD7" w:rsidRDefault="00102077" w:rsidP="007925A8">
            <w:pPr>
              <w:spacing w:after="0" w:line="240" w:lineRule="auto"/>
              <w:jc w:val="center"/>
              <w:rPr>
                <w:rFonts w:asciiTheme="minorHAnsi" w:eastAsia="Times New Roman" w:hAnsiTheme="minorHAnsi" w:cs="Times New Roman"/>
                <w:b/>
                <w:bCs/>
                <w:color w:val="000000"/>
              </w:rPr>
            </w:pPr>
            <w:r w:rsidRPr="00636FD7">
              <w:rPr>
                <w:rFonts w:asciiTheme="minorHAnsi" w:eastAsia="Times New Roman" w:hAnsiTheme="minorHAnsi" w:cs="Times New Roman"/>
                <w:b/>
                <w:bCs/>
                <w:color w:val="000000"/>
              </w:rPr>
              <w:t>2016p</w:t>
            </w:r>
          </w:p>
        </w:tc>
      </w:tr>
      <w:tr w:rsidR="00A71919" w:rsidRPr="00636FD7" w14:paraId="1FFF7F39" w14:textId="77777777" w:rsidTr="00A71919">
        <w:trPr>
          <w:trHeight w:val="295"/>
        </w:trPr>
        <w:tc>
          <w:tcPr>
            <w:tcW w:w="2869" w:type="dxa"/>
            <w:tcBorders>
              <w:top w:val="nil"/>
              <w:left w:val="nil"/>
              <w:bottom w:val="single" w:sz="8" w:space="0" w:color="auto"/>
              <w:right w:val="nil"/>
            </w:tcBorders>
            <w:shd w:val="clear" w:color="000000" w:fill="FFFFFF"/>
            <w:noWrap/>
            <w:vAlign w:val="center"/>
            <w:hideMark/>
          </w:tcPr>
          <w:p w14:paraId="02DED403" w14:textId="77777777" w:rsidR="003C23F1" w:rsidRPr="00636FD7" w:rsidRDefault="003C23F1" w:rsidP="003C23F1">
            <w:pPr>
              <w:spacing w:after="0" w:line="240" w:lineRule="auto"/>
              <w:rPr>
                <w:rFonts w:asciiTheme="minorHAnsi" w:eastAsia="Times New Roman" w:hAnsiTheme="minorHAnsi" w:cs="Times New Roman"/>
                <w:b/>
                <w:bCs/>
                <w:color w:val="000000"/>
              </w:rPr>
            </w:pPr>
            <w:r w:rsidRPr="00636FD7">
              <w:rPr>
                <w:rFonts w:asciiTheme="minorHAnsi" w:eastAsia="Times New Roman" w:hAnsiTheme="minorHAnsi" w:cs="Times New Roman"/>
                <w:b/>
                <w:bCs/>
                <w:color w:val="000000"/>
              </w:rPr>
              <w:t>Total Revenues</w:t>
            </w:r>
          </w:p>
        </w:tc>
        <w:tc>
          <w:tcPr>
            <w:tcW w:w="695" w:type="dxa"/>
            <w:tcBorders>
              <w:top w:val="nil"/>
              <w:left w:val="nil"/>
              <w:bottom w:val="single" w:sz="8" w:space="0" w:color="auto"/>
              <w:right w:val="nil"/>
            </w:tcBorders>
            <w:shd w:val="clear" w:color="000000" w:fill="FFFFFF"/>
            <w:noWrap/>
            <w:vAlign w:val="center"/>
            <w:hideMark/>
          </w:tcPr>
          <w:p w14:paraId="39783522"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15.9</w:t>
            </w:r>
          </w:p>
        </w:tc>
        <w:tc>
          <w:tcPr>
            <w:tcW w:w="697" w:type="dxa"/>
            <w:tcBorders>
              <w:top w:val="nil"/>
              <w:left w:val="nil"/>
              <w:bottom w:val="single" w:sz="8" w:space="0" w:color="auto"/>
              <w:right w:val="nil"/>
            </w:tcBorders>
            <w:shd w:val="clear" w:color="000000" w:fill="FFFFFF"/>
            <w:noWrap/>
            <w:vAlign w:val="center"/>
            <w:hideMark/>
          </w:tcPr>
          <w:p w14:paraId="539B1C1D"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16.4</w:t>
            </w:r>
          </w:p>
        </w:tc>
        <w:tc>
          <w:tcPr>
            <w:tcW w:w="697" w:type="dxa"/>
            <w:tcBorders>
              <w:top w:val="nil"/>
              <w:left w:val="nil"/>
              <w:bottom w:val="single" w:sz="8" w:space="0" w:color="auto"/>
              <w:right w:val="nil"/>
            </w:tcBorders>
            <w:shd w:val="clear" w:color="000000" w:fill="FFFFFF"/>
            <w:noWrap/>
            <w:vAlign w:val="center"/>
            <w:hideMark/>
          </w:tcPr>
          <w:p w14:paraId="00926F50"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16.7</w:t>
            </w:r>
          </w:p>
        </w:tc>
        <w:tc>
          <w:tcPr>
            <w:tcW w:w="697" w:type="dxa"/>
            <w:tcBorders>
              <w:top w:val="nil"/>
              <w:left w:val="nil"/>
              <w:bottom w:val="single" w:sz="8" w:space="0" w:color="auto"/>
              <w:right w:val="nil"/>
            </w:tcBorders>
            <w:shd w:val="clear" w:color="000000" w:fill="FFFFFF"/>
            <w:noWrap/>
            <w:vAlign w:val="center"/>
            <w:hideMark/>
          </w:tcPr>
          <w:p w14:paraId="0CC4FD53"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19.1</w:t>
            </w:r>
          </w:p>
        </w:tc>
        <w:tc>
          <w:tcPr>
            <w:tcW w:w="697" w:type="dxa"/>
            <w:tcBorders>
              <w:top w:val="nil"/>
              <w:left w:val="nil"/>
              <w:bottom w:val="single" w:sz="8" w:space="0" w:color="auto"/>
              <w:right w:val="nil"/>
            </w:tcBorders>
            <w:shd w:val="clear" w:color="000000" w:fill="FFFFFF"/>
            <w:noWrap/>
            <w:vAlign w:val="center"/>
            <w:hideMark/>
          </w:tcPr>
          <w:p w14:paraId="7C370189"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18.5</w:t>
            </w:r>
          </w:p>
        </w:tc>
        <w:tc>
          <w:tcPr>
            <w:tcW w:w="697" w:type="dxa"/>
            <w:tcBorders>
              <w:top w:val="nil"/>
              <w:left w:val="nil"/>
              <w:bottom w:val="single" w:sz="8" w:space="0" w:color="auto"/>
              <w:right w:val="nil"/>
            </w:tcBorders>
            <w:shd w:val="clear" w:color="000000" w:fill="FFFFFF"/>
            <w:noWrap/>
            <w:vAlign w:val="center"/>
            <w:hideMark/>
          </w:tcPr>
          <w:p w14:paraId="6542ECCD"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16.7</w:t>
            </w:r>
          </w:p>
        </w:tc>
        <w:tc>
          <w:tcPr>
            <w:tcW w:w="697" w:type="dxa"/>
            <w:tcBorders>
              <w:top w:val="nil"/>
              <w:left w:val="nil"/>
              <w:bottom w:val="single" w:sz="8" w:space="0" w:color="auto"/>
              <w:right w:val="nil"/>
            </w:tcBorders>
            <w:shd w:val="clear" w:color="000000" w:fill="FFFFFF"/>
            <w:noWrap/>
            <w:vAlign w:val="center"/>
            <w:hideMark/>
          </w:tcPr>
          <w:p w14:paraId="538358A7"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18.4</w:t>
            </w:r>
          </w:p>
        </w:tc>
        <w:tc>
          <w:tcPr>
            <w:tcW w:w="804" w:type="dxa"/>
            <w:tcBorders>
              <w:top w:val="nil"/>
              <w:left w:val="nil"/>
              <w:bottom w:val="single" w:sz="8" w:space="0" w:color="auto"/>
              <w:right w:val="nil"/>
            </w:tcBorders>
            <w:shd w:val="clear" w:color="000000" w:fill="FFFFFF"/>
            <w:noWrap/>
            <w:vAlign w:val="center"/>
            <w:hideMark/>
          </w:tcPr>
          <w:p w14:paraId="70ECD2E2"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19.3</w:t>
            </w:r>
          </w:p>
        </w:tc>
        <w:tc>
          <w:tcPr>
            <w:tcW w:w="926" w:type="dxa"/>
            <w:tcBorders>
              <w:top w:val="nil"/>
              <w:left w:val="nil"/>
              <w:bottom w:val="single" w:sz="8" w:space="0" w:color="auto"/>
              <w:right w:val="nil"/>
            </w:tcBorders>
            <w:shd w:val="clear" w:color="000000" w:fill="FFFFFF"/>
            <w:noWrap/>
            <w:vAlign w:val="center"/>
            <w:hideMark/>
          </w:tcPr>
          <w:p w14:paraId="48632E99"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17.1</w:t>
            </w:r>
          </w:p>
        </w:tc>
      </w:tr>
      <w:tr w:rsidR="003C23F1" w:rsidRPr="00636FD7" w14:paraId="0FBDD794" w14:textId="77777777" w:rsidTr="00A71919">
        <w:trPr>
          <w:trHeight w:val="282"/>
        </w:trPr>
        <w:tc>
          <w:tcPr>
            <w:tcW w:w="2869" w:type="dxa"/>
            <w:tcBorders>
              <w:top w:val="nil"/>
              <w:left w:val="nil"/>
              <w:bottom w:val="nil"/>
              <w:right w:val="nil"/>
            </w:tcBorders>
            <w:shd w:val="clear" w:color="000000" w:fill="FFFFFF"/>
            <w:noWrap/>
            <w:vAlign w:val="center"/>
            <w:hideMark/>
          </w:tcPr>
          <w:p w14:paraId="27C066CE" w14:textId="77777777" w:rsidR="003C23F1" w:rsidRPr="00636FD7" w:rsidRDefault="003C23F1" w:rsidP="003C23F1">
            <w:pPr>
              <w:spacing w:after="0" w:line="240" w:lineRule="auto"/>
              <w:ind w:firstLineChars="100" w:firstLine="220"/>
              <w:rPr>
                <w:rFonts w:asciiTheme="minorHAnsi" w:eastAsia="Times New Roman" w:hAnsiTheme="minorHAnsi" w:cs="Times New Roman"/>
                <w:b/>
                <w:bCs/>
                <w:color w:val="000000"/>
              </w:rPr>
            </w:pPr>
            <w:r w:rsidRPr="00636FD7">
              <w:rPr>
                <w:rFonts w:asciiTheme="minorHAnsi" w:eastAsia="Times New Roman" w:hAnsiTheme="minorHAnsi" w:cs="Times New Roman"/>
                <w:b/>
                <w:bCs/>
                <w:color w:val="000000"/>
              </w:rPr>
              <w:t>Domestic Revenue</w:t>
            </w:r>
          </w:p>
        </w:tc>
        <w:tc>
          <w:tcPr>
            <w:tcW w:w="695" w:type="dxa"/>
            <w:tcBorders>
              <w:top w:val="nil"/>
              <w:left w:val="nil"/>
              <w:bottom w:val="nil"/>
              <w:right w:val="nil"/>
            </w:tcBorders>
            <w:shd w:val="clear" w:color="auto" w:fill="auto"/>
            <w:noWrap/>
            <w:vAlign w:val="center"/>
            <w:hideMark/>
          </w:tcPr>
          <w:p w14:paraId="1B34B00D"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13.2</w:t>
            </w:r>
          </w:p>
        </w:tc>
        <w:tc>
          <w:tcPr>
            <w:tcW w:w="697" w:type="dxa"/>
            <w:tcBorders>
              <w:top w:val="nil"/>
              <w:left w:val="nil"/>
              <w:bottom w:val="nil"/>
              <w:right w:val="nil"/>
            </w:tcBorders>
            <w:shd w:val="clear" w:color="auto" w:fill="auto"/>
            <w:noWrap/>
            <w:vAlign w:val="center"/>
            <w:hideMark/>
          </w:tcPr>
          <w:p w14:paraId="4F529393"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13.4</w:t>
            </w:r>
          </w:p>
        </w:tc>
        <w:tc>
          <w:tcPr>
            <w:tcW w:w="697" w:type="dxa"/>
            <w:tcBorders>
              <w:top w:val="nil"/>
              <w:left w:val="nil"/>
              <w:bottom w:val="nil"/>
              <w:right w:val="nil"/>
            </w:tcBorders>
            <w:shd w:val="clear" w:color="auto" w:fill="auto"/>
            <w:noWrap/>
            <w:vAlign w:val="center"/>
            <w:hideMark/>
          </w:tcPr>
          <w:p w14:paraId="2DF458BA"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14.4</w:t>
            </w:r>
          </w:p>
        </w:tc>
        <w:tc>
          <w:tcPr>
            <w:tcW w:w="697" w:type="dxa"/>
            <w:tcBorders>
              <w:top w:val="nil"/>
              <w:left w:val="nil"/>
              <w:bottom w:val="nil"/>
              <w:right w:val="nil"/>
            </w:tcBorders>
            <w:shd w:val="clear" w:color="auto" w:fill="auto"/>
            <w:noWrap/>
            <w:vAlign w:val="center"/>
            <w:hideMark/>
          </w:tcPr>
          <w:p w14:paraId="11FCA7BF"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17.1</w:t>
            </w:r>
          </w:p>
        </w:tc>
        <w:tc>
          <w:tcPr>
            <w:tcW w:w="697" w:type="dxa"/>
            <w:tcBorders>
              <w:top w:val="nil"/>
              <w:left w:val="nil"/>
              <w:bottom w:val="nil"/>
              <w:right w:val="nil"/>
            </w:tcBorders>
            <w:shd w:val="clear" w:color="auto" w:fill="auto"/>
            <w:noWrap/>
            <w:vAlign w:val="center"/>
            <w:hideMark/>
          </w:tcPr>
          <w:p w14:paraId="24BC0B80"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17.0</w:t>
            </w:r>
          </w:p>
        </w:tc>
        <w:tc>
          <w:tcPr>
            <w:tcW w:w="697" w:type="dxa"/>
            <w:tcBorders>
              <w:top w:val="nil"/>
              <w:left w:val="nil"/>
              <w:bottom w:val="nil"/>
              <w:right w:val="nil"/>
            </w:tcBorders>
            <w:shd w:val="clear" w:color="auto" w:fill="auto"/>
            <w:noWrap/>
            <w:vAlign w:val="center"/>
            <w:hideMark/>
          </w:tcPr>
          <w:p w14:paraId="5D12016B"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16.3</w:t>
            </w:r>
          </w:p>
        </w:tc>
        <w:tc>
          <w:tcPr>
            <w:tcW w:w="697" w:type="dxa"/>
            <w:tcBorders>
              <w:top w:val="nil"/>
              <w:left w:val="nil"/>
              <w:bottom w:val="nil"/>
              <w:right w:val="nil"/>
            </w:tcBorders>
            <w:shd w:val="clear" w:color="auto" w:fill="auto"/>
            <w:noWrap/>
            <w:vAlign w:val="center"/>
            <w:hideMark/>
          </w:tcPr>
          <w:p w14:paraId="16CD507F"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17.7</w:t>
            </w:r>
          </w:p>
        </w:tc>
        <w:tc>
          <w:tcPr>
            <w:tcW w:w="804" w:type="dxa"/>
            <w:tcBorders>
              <w:top w:val="nil"/>
              <w:left w:val="nil"/>
              <w:bottom w:val="nil"/>
              <w:right w:val="nil"/>
            </w:tcBorders>
            <w:shd w:val="clear" w:color="auto" w:fill="auto"/>
            <w:noWrap/>
            <w:vAlign w:val="center"/>
            <w:hideMark/>
          </w:tcPr>
          <w:p w14:paraId="5D95DDD2"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17.4</w:t>
            </w:r>
          </w:p>
        </w:tc>
        <w:tc>
          <w:tcPr>
            <w:tcW w:w="926" w:type="dxa"/>
            <w:tcBorders>
              <w:top w:val="nil"/>
              <w:left w:val="nil"/>
              <w:bottom w:val="nil"/>
              <w:right w:val="nil"/>
            </w:tcBorders>
            <w:shd w:val="clear" w:color="auto" w:fill="auto"/>
            <w:noWrap/>
            <w:vAlign w:val="center"/>
            <w:hideMark/>
          </w:tcPr>
          <w:p w14:paraId="596B9848"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16.4</w:t>
            </w:r>
          </w:p>
        </w:tc>
      </w:tr>
      <w:tr w:rsidR="003C23F1" w:rsidRPr="00636FD7" w14:paraId="366F6877" w14:textId="77777777" w:rsidTr="00A71919">
        <w:trPr>
          <w:trHeight w:val="282"/>
        </w:trPr>
        <w:tc>
          <w:tcPr>
            <w:tcW w:w="2869" w:type="dxa"/>
            <w:tcBorders>
              <w:top w:val="nil"/>
              <w:left w:val="nil"/>
              <w:bottom w:val="nil"/>
              <w:right w:val="nil"/>
            </w:tcBorders>
            <w:shd w:val="clear" w:color="000000" w:fill="FFFFFF"/>
            <w:noWrap/>
            <w:vAlign w:val="center"/>
            <w:hideMark/>
          </w:tcPr>
          <w:p w14:paraId="0103FEF1" w14:textId="77777777" w:rsidR="003C23F1" w:rsidRPr="00636FD7" w:rsidRDefault="003C23F1" w:rsidP="003C23F1">
            <w:pPr>
              <w:spacing w:after="0" w:line="240" w:lineRule="auto"/>
              <w:ind w:firstLineChars="200" w:firstLine="440"/>
              <w:rPr>
                <w:rFonts w:asciiTheme="minorHAnsi" w:eastAsia="Times New Roman" w:hAnsiTheme="minorHAnsi" w:cs="Times New Roman"/>
                <w:color w:val="000000"/>
              </w:rPr>
            </w:pPr>
            <w:r w:rsidRPr="00636FD7">
              <w:rPr>
                <w:rFonts w:asciiTheme="minorHAnsi" w:eastAsia="Times New Roman" w:hAnsiTheme="minorHAnsi" w:cs="Times New Roman"/>
                <w:color w:val="000000"/>
              </w:rPr>
              <w:t>Taxes</w:t>
            </w:r>
          </w:p>
        </w:tc>
        <w:tc>
          <w:tcPr>
            <w:tcW w:w="695" w:type="dxa"/>
            <w:tcBorders>
              <w:top w:val="nil"/>
              <w:left w:val="nil"/>
              <w:bottom w:val="nil"/>
              <w:right w:val="nil"/>
            </w:tcBorders>
            <w:shd w:val="clear" w:color="000000" w:fill="FFFFFF"/>
            <w:noWrap/>
            <w:vAlign w:val="center"/>
            <w:hideMark/>
          </w:tcPr>
          <w:p w14:paraId="1158238B"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12.8</w:t>
            </w:r>
          </w:p>
        </w:tc>
        <w:tc>
          <w:tcPr>
            <w:tcW w:w="697" w:type="dxa"/>
            <w:tcBorders>
              <w:top w:val="nil"/>
              <w:left w:val="nil"/>
              <w:bottom w:val="nil"/>
              <w:right w:val="nil"/>
            </w:tcBorders>
            <w:shd w:val="clear" w:color="000000" w:fill="FFFFFF"/>
            <w:noWrap/>
            <w:vAlign w:val="center"/>
            <w:hideMark/>
          </w:tcPr>
          <w:p w14:paraId="7D58439D"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12.2</w:t>
            </w:r>
          </w:p>
        </w:tc>
        <w:tc>
          <w:tcPr>
            <w:tcW w:w="697" w:type="dxa"/>
            <w:tcBorders>
              <w:top w:val="nil"/>
              <w:left w:val="nil"/>
              <w:bottom w:val="nil"/>
              <w:right w:val="nil"/>
            </w:tcBorders>
            <w:shd w:val="clear" w:color="000000" w:fill="FFFFFF"/>
            <w:noWrap/>
            <w:vAlign w:val="center"/>
            <w:hideMark/>
          </w:tcPr>
          <w:p w14:paraId="3E26EB9D"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13.2</w:t>
            </w:r>
          </w:p>
        </w:tc>
        <w:tc>
          <w:tcPr>
            <w:tcW w:w="697" w:type="dxa"/>
            <w:tcBorders>
              <w:top w:val="nil"/>
              <w:left w:val="nil"/>
              <w:bottom w:val="nil"/>
              <w:right w:val="nil"/>
            </w:tcBorders>
            <w:shd w:val="clear" w:color="000000" w:fill="FFFFFF"/>
            <w:noWrap/>
            <w:vAlign w:val="center"/>
            <w:hideMark/>
          </w:tcPr>
          <w:p w14:paraId="7629B4C8"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15.3</w:t>
            </w:r>
          </w:p>
        </w:tc>
        <w:tc>
          <w:tcPr>
            <w:tcW w:w="697" w:type="dxa"/>
            <w:tcBorders>
              <w:top w:val="nil"/>
              <w:left w:val="nil"/>
              <w:bottom w:val="nil"/>
              <w:right w:val="nil"/>
            </w:tcBorders>
            <w:shd w:val="clear" w:color="000000" w:fill="FFFFFF"/>
            <w:noWrap/>
            <w:vAlign w:val="center"/>
            <w:hideMark/>
          </w:tcPr>
          <w:p w14:paraId="39095930"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15.6</w:t>
            </w:r>
          </w:p>
        </w:tc>
        <w:tc>
          <w:tcPr>
            <w:tcW w:w="697" w:type="dxa"/>
            <w:tcBorders>
              <w:top w:val="nil"/>
              <w:left w:val="nil"/>
              <w:bottom w:val="nil"/>
              <w:right w:val="nil"/>
            </w:tcBorders>
            <w:shd w:val="clear" w:color="000000" w:fill="FFFFFF"/>
            <w:noWrap/>
            <w:vAlign w:val="center"/>
            <w:hideMark/>
          </w:tcPr>
          <w:p w14:paraId="36AF5C15"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14.4</w:t>
            </w:r>
          </w:p>
        </w:tc>
        <w:tc>
          <w:tcPr>
            <w:tcW w:w="697" w:type="dxa"/>
            <w:tcBorders>
              <w:top w:val="nil"/>
              <w:left w:val="nil"/>
              <w:bottom w:val="nil"/>
              <w:right w:val="nil"/>
            </w:tcBorders>
            <w:shd w:val="clear" w:color="auto" w:fill="auto"/>
            <w:noWrap/>
            <w:vAlign w:val="center"/>
            <w:hideMark/>
          </w:tcPr>
          <w:p w14:paraId="006C5CB6"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15.8</w:t>
            </w:r>
          </w:p>
        </w:tc>
        <w:tc>
          <w:tcPr>
            <w:tcW w:w="804" w:type="dxa"/>
            <w:tcBorders>
              <w:top w:val="nil"/>
              <w:left w:val="nil"/>
              <w:bottom w:val="nil"/>
              <w:right w:val="nil"/>
            </w:tcBorders>
            <w:shd w:val="clear" w:color="auto" w:fill="auto"/>
            <w:vAlign w:val="center"/>
            <w:hideMark/>
          </w:tcPr>
          <w:p w14:paraId="582D65BE"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15.5</w:t>
            </w:r>
          </w:p>
        </w:tc>
        <w:tc>
          <w:tcPr>
            <w:tcW w:w="926" w:type="dxa"/>
            <w:tcBorders>
              <w:top w:val="nil"/>
              <w:left w:val="nil"/>
              <w:bottom w:val="nil"/>
              <w:right w:val="nil"/>
            </w:tcBorders>
            <w:shd w:val="clear" w:color="auto" w:fill="auto"/>
            <w:noWrap/>
            <w:vAlign w:val="center"/>
            <w:hideMark/>
          </w:tcPr>
          <w:p w14:paraId="60A509A2"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15.3</w:t>
            </w:r>
          </w:p>
        </w:tc>
      </w:tr>
      <w:tr w:rsidR="003C23F1" w:rsidRPr="00636FD7" w14:paraId="52A15F6A" w14:textId="77777777" w:rsidTr="00A71919">
        <w:trPr>
          <w:trHeight w:val="282"/>
        </w:trPr>
        <w:tc>
          <w:tcPr>
            <w:tcW w:w="2869" w:type="dxa"/>
            <w:tcBorders>
              <w:top w:val="nil"/>
              <w:left w:val="nil"/>
              <w:bottom w:val="nil"/>
              <w:right w:val="nil"/>
            </w:tcBorders>
            <w:shd w:val="clear" w:color="000000" w:fill="FFFFFF"/>
            <w:noWrap/>
            <w:vAlign w:val="center"/>
            <w:hideMark/>
          </w:tcPr>
          <w:p w14:paraId="6B07642F" w14:textId="77777777" w:rsidR="003C23F1" w:rsidRPr="00636FD7" w:rsidRDefault="003C23F1" w:rsidP="003C23F1">
            <w:pPr>
              <w:spacing w:after="0" w:line="240" w:lineRule="auto"/>
              <w:ind w:firstLineChars="200" w:firstLine="440"/>
              <w:rPr>
                <w:rFonts w:asciiTheme="minorHAnsi" w:eastAsia="Times New Roman" w:hAnsiTheme="minorHAnsi" w:cs="Times New Roman"/>
                <w:color w:val="000000"/>
              </w:rPr>
            </w:pPr>
            <w:r w:rsidRPr="00636FD7">
              <w:rPr>
                <w:rFonts w:asciiTheme="minorHAnsi" w:eastAsia="Times New Roman" w:hAnsiTheme="minorHAnsi" w:cs="Times New Roman"/>
                <w:color w:val="000000"/>
              </w:rPr>
              <w:t>Other revenue</w:t>
            </w:r>
          </w:p>
        </w:tc>
        <w:tc>
          <w:tcPr>
            <w:tcW w:w="695" w:type="dxa"/>
            <w:tcBorders>
              <w:top w:val="nil"/>
              <w:left w:val="nil"/>
              <w:bottom w:val="nil"/>
              <w:right w:val="nil"/>
            </w:tcBorders>
            <w:shd w:val="clear" w:color="auto" w:fill="auto"/>
            <w:noWrap/>
            <w:vAlign w:val="center"/>
            <w:hideMark/>
          </w:tcPr>
          <w:p w14:paraId="159B5FCE"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0.4</w:t>
            </w:r>
          </w:p>
        </w:tc>
        <w:tc>
          <w:tcPr>
            <w:tcW w:w="697" w:type="dxa"/>
            <w:tcBorders>
              <w:top w:val="nil"/>
              <w:left w:val="nil"/>
              <w:bottom w:val="nil"/>
              <w:right w:val="nil"/>
            </w:tcBorders>
            <w:shd w:val="clear" w:color="auto" w:fill="auto"/>
            <w:noWrap/>
            <w:vAlign w:val="center"/>
            <w:hideMark/>
          </w:tcPr>
          <w:p w14:paraId="04B717B7"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1.3</w:t>
            </w:r>
          </w:p>
        </w:tc>
        <w:tc>
          <w:tcPr>
            <w:tcW w:w="697" w:type="dxa"/>
            <w:tcBorders>
              <w:top w:val="nil"/>
              <w:left w:val="nil"/>
              <w:bottom w:val="nil"/>
              <w:right w:val="nil"/>
            </w:tcBorders>
            <w:shd w:val="clear" w:color="auto" w:fill="auto"/>
            <w:noWrap/>
            <w:vAlign w:val="center"/>
            <w:hideMark/>
          </w:tcPr>
          <w:p w14:paraId="7F156B98"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1.2</w:t>
            </w:r>
          </w:p>
        </w:tc>
        <w:tc>
          <w:tcPr>
            <w:tcW w:w="697" w:type="dxa"/>
            <w:tcBorders>
              <w:top w:val="nil"/>
              <w:left w:val="nil"/>
              <w:bottom w:val="nil"/>
              <w:right w:val="nil"/>
            </w:tcBorders>
            <w:shd w:val="clear" w:color="auto" w:fill="auto"/>
            <w:noWrap/>
            <w:vAlign w:val="center"/>
            <w:hideMark/>
          </w:tcPr>
          <w:p w14:paraId="73CD952F"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1.8</w:t>
            </w:r>
          </w:p>
        </w:tc>
        <w:tc>
          <w:tcPr>
            <w:tcW w:w="697" w:type="dxa"/>
            <w:tcBorders>
              <w:top w:val="nil"/>
              <w:left w:val="nil"/>
              <w:bottom w:val="nil"/>
              <w:right w:val="nil"/>
            </w:tcBorders>
            <w:shd w:val="clear" w:color="auto" w:fill="auto"/>
            <w:noWrap/>
            <w:vAlign w:val="center"/>
            <w:hideMark/>
          </w:tcPr>
          <w:p w14:paraId="30E12CBA"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1.4</w:t>
            </w:r>
          </w:p>
        </w:tc>
        <w:tc>
          <w:tcPr>
            <w:tcW w:w="697" w:type="dxa"/>
            <w:tcBorders>
              <w:top w:val="nil"/>
              <w:left w:val="nil"/>
              <w:bottom w:val="nil"/>
              <w:right w:val="nil"/>
            </w:tcBorders>
            <w:shd w:val="clear" w:color="auto" w:fill="auto"/>
            <w:noWrap/>
            <w:vAlign w:val="center"/>
            <w:hideMark/>
          </w:tcPr>
          <w:p w14:paraId="497DB0C3"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1.9</w:t>
            </w:r>
          </w:p>
        </w:tc>
        <w:tc>
          <w:tcPr>
            <w:tcW w:w="697" w:type="dxa"/>
            <w:tcBorders>
              <w:top w:val="nil"/>
              <w:left w:val="nil"/>
              <w:bottom w:val="nil"/>
              <w:right w:val="nil"/>
            </w:tcBorders>
            <w:shd w:val="clear" w:color="auto" w:fill="auto"/>
            <w:noWrap/>
            <w:vAlign w:val="center"/>
            <w:hideMark/>
          </w:tcPr>
          <w:p w14:paraId="75F316D5"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1.9</w:t>
            </w:r>
          </w:p>
        </w:tc>
        <w:tc>
          <w:tcPr>
            <w:tcW w:w="804" w:type="dxa"/>
            <w:tcBorders>
              <w:top w:val="nil"/>
              <w:left w:val="nil"/>
              <w:bottom w:val="nil"/>
              <w:right w:val="nil"/>
            </w:tcBorders>
            <w:shd w:val="clear" w:color="auto" w:fill="auto"/>
            <w:noWrap/>
            <w:vAlign w:val="center"/>
            <w:hideMark/>
          </w:tcPr>
          <w:p w14:paraId="09BFDC19"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1.9</w:t>
            </w:r>
          </w:p>
        </w:tc>
        <w:tc>
          <w:tcPr>
            <w:tcW w:w="926" w:type="dxa"/>
            <w:tcBorders>
              <w:top w:val="nil"/>
              <w:left w:val="nil"/>
              <w:bottom w:val="nil"/>
              <w:right w:val="nil"/>
            </w:tcBorders>
            <w:shd w:val="clear" w:color="auto" w:fill="auto"/>
            <w:noWrap/>
            <w:vAlign w:val="center"/>
            <w:hideMark/>
          </w:tcPr>
          <w:p w14:paraId="206B6228"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1.1</w:t>
            </w:r>
          </w:p>
        </w:tc>
      </w:tr>
      <w:tr w:rsidR="003C23F1" w:rsidRPr="00636FD7" w14:paraId="6E3CDACF" w14:textId="77777777" w:rsidTr="00A71919">
        <w:trPr>
          <w:trHeight w:val="295"/>
        </w:trPr>
        <w:tc>
          <w:tcPr>
            <w:tcW w:w="2869" w:type="dxa"/>
            <w:tcBorders>
              <w:top w:val="nil"/>
              <w:left w:val="nil"/>
              <w:bottom w:val="nil"/>
              <w:right w:val="nil"/>
            </w:tcBorders>
            <w:shd w:val="clear" w:color="000000" w:fill="FFFFFF"/>
            <w:noWrap/>
            <w:vAlign w:val="center"/>
            <w:hideMark/>
          </w:tcPr>
          <w:p w14:paraId="13D638E8" w14:textId="77777777" w:rsidR="003C23F1" w:rsidRPr="00636FD7" w:rsidRDefault="003C23F1" w:rsidP="003C23F1">
            <w:pPr>
              <w:spacing w:after="0" w:line="240" w:lineRule="auto"/>
              <w:ind w:firstLineChars="100" w:firstLine="220"/>
              <w:rPr>
                <w:rFonts w:asciiTheme="minorHAnsi" w:eastAsia="Times New Roman" w:hAnsiTheme="minorHAnsi" w:cs="Times New Roman"/>
                <w:b/>
                <w:bCs/>
                <w:color w:val="000000"/>
              </w:rPr>
            </w:pPr>
            <w:r w:rsidRPr="00636FD7">
              <w:rPr>
                <w:rFonts w:asciiTheme="minorHAnsi" w:eastAsia="Times New Roman" w:hAnsiTheme="minorHAnsi" w:cs="Times New Roman"/>
                <w:b/>
                <w:bCs/>
                <w:color w:val="000000"/>
              </w:rPr>
              <w:t>Grants</w:t>
            </w:r>
          </w:p>
        </w:tc>
        <w:tc>
          <w:tcPr>
            <w:tcW w:w="695" w:type="dxa"/>
            <w:tcBorders>
              <w:top w:val="nil"/>
              <w:left w:val="nil"/>
              <w:bottom w:val="single" w:sz="8" w:space="0" w:color="auto"/>
              <w:right w:val="nil"/>
            </w:tcBorders>
            <w:shd w:val="clear" w:color="auto" w:fill="auto"/>
            <w:noWrap/>
            <w:vAlign w:val="center"/>
            <w:hideMark/>
          </w:tcPr>
          <w:p w14:paraId="1C51D621"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2.7</w:t>
            </w:r>
          </w:p>
        </w:tc>
        <w:tc>
          <w:tcPr>
            <w:tcW w:w="697" w:type="dxa"/>
            <w:tcBorders>
              <w:top w:val="nil"/>
              <w:left w:val="nil"/>
              <w:bottom w:val="single" w:sz="8" w:space="0" w:color="auto"/>
              <w:right w:val="nil"/>
            </w:tcBorders>
            <w:shd w:val="clear" w:color="auto" w:fill="auto"/>
            <w:noWrap/>
            <w:vAlign w:val="center"/>
            <w:hideMark/>
          </w:tcPr>
          <w:p w14:paraId="0A906C29"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3.0</w:t>
            </w:r>
          </w:p>
        </w:tc>
        <w:tc>
          <w:tcPr>
            <w:tcW w:w="697" w:type="dxa"/>
            <w:tcBorders>
              <w:top w:val="nil"/>
              <w:left w:val="nil"/>
              <w:bottom w:val="single" w:sz="8" w:space="0" w:color="auto"/>
              <w:right w:val="nil"/>
            </w:tcBorders>
            <w:shd w:val="clear" w:color="auto" w:fill="auto"/>
            <w:noWrap/>
            <w:vAlign w:val="center"/>
            <w:hideMark/>
          </w:tcPr>
          <w:p w14:paraId="61920EE6"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2.3</w:t>
            </w:r>
          </w:p>
        </w:tc>
        <w:tc>
          <w:tcPr>
            <w:tcW w:w="697" w:type="dxa"/>
            <w:tcBorders>
              <w:top w:val="nil"/>
              <w:left w:val="nil"/>
              <w:bottom w:val="single" w:sz="8" w:space="0" w:color="auto"/>
              <w:right w:val="nil"/>
            </w:tcBorders>
            <w:shd w:val="clear" w:color="auto" w:fill="auto"/>
            <w:noWrap/>
            <w:vAlign w:val="center"/>
            <w:hideMark/>
          </w:tcPr>
          <w:p w14:paraId="3B527BA0"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2.0</w:t>
            </w:r>
          </w:p>
        </w:tc>
        <w:tc>
          <w:tcPr>
            <w:tcW w:w="697" w:type="dxa"/>
            <w:tcBorders>
              <w:top w:val="nil"/>
              <w:left w:val="nil"/>
              <w:bottom w:val="single" w:sz="8" w:space="0" w:color="auto"/>
              <w:right w:val="nil"/>
            </w:tcBorders>
            <w:shd w:val="clear" w:color="auto" w:fill="auto"/>
            <w:noWrap/>
            <w:vAlign w:val="center"/>
            <w:hideMark/>
          </w:tcPr>
          <w:p w14:paraId="665D7C71"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1.5</w:t>
            </w:r>
          </w:p>
        </w:tc>
        <w:tc>
          <w:tcPr>
            <w:tcW w:w="697" w:type="dxa"/>
            <w:tcBorders>
              <w:top w:val="nil"/>
              <w:left w:val="nil"/>
              <w:bottom w:val="single" w:sz="8" w:space="0" w:color="auto"/>
              <w:right w:val="nil"/>
            </w:tcBorders>
            <w:shd w:val="clear" w:color="auto" w:fill="auto"/>
            <w:noWrap/>
            <w:vAlign w:val="center"/>
            <w:hideMark/>
          </w:tcPr>
          <w:p w14:paraId="2B7BFAA8"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0.5</w:t>
            </w:r>
          </w:p>
        </w:tc>
        <w:tc>
          <w:tcPr>
            <w:tcW w:w="697" w:type="dxa"/>
            <w:tcBorders>
              <w:top w:val="nil"/>
              <w:left w:val="nil"/>
              <w:bottom w:val="single" w:sz="8" w:space="0" w:color="auto"/>
              <w:right w:val="nil"/>
            </w:tcBorders>
            <w:shd w:val="clear" w:color="auto" w:fill="auto"/>
            <w:noWrap/>
            <w:vAlign w:val="center"/>
            <w:hideMark/>
          </w:tcPr>
          <w:p w14:paraId="4E4BBF52"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0.7</w:t>
            </w:r>
          </w:p>
        </w:tc>
        <w:tc>
          <w:tcPr>
            <w:tcW w:w="804" w:type="dxa"/>
            <w:tcBorders>
              <w:top w:val="nil"/>
              <w:left w:val="nil"/>
              <w:bottom w:val="single" w:sz="8" w:space="0" w:color="auto"/>
              <w:right w:val="nil"/>
            </w:tcBorders>
            <w:shd w:val="clear" w:color="auto" w:fill="auto"/>
            <w:noWrap/>
            <w:vAlign w:val="center"/>
            <w:hideMark/>
          </w:tcPr>
          <w:p w14:paraId="4AF780C9"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1.9</w:t>
            </w:r>
          </w:p>
        </w:tc>
        <w:tc>
          <w:tcPr>
            <w:tcW w:w="926" w:type="dxa"/>
            <w:tcBorders>
              <w:top w:val="nil"/>
              <w:left w:val="nil"/>
              <w:bottom w:val="single" w:sz="8" w:space="0" w:color="auto"/>
              <w:right w:val="nil"/>
            </w:tcBorders>
            <w:shd w:val="clear" w:color="auto" w:fill="auto"/>
            <w:vAlign w:val="center"/>
            <w:hideMark/>
          </w:tcPr>
          <w:p w14:paraId="14146A40"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0.7</w:t>
            </w:r>
          </w:p>
        </w:tc>
      </w:tr>
      <w:tr w:rsidR="00A71919" w:rsidRPr="00636FD7" w14:paraId="02B352BA" w14:textId="77777777" w:rsidTr="00A71919">
        <w:trPr>
          <w:trHeight w:val="295"/>
        </w:trPr>
        <w:tc>
          <w:tcPr>
            <w:tcW w:w="2869" w:type="dxa"/>
            <w:tcBorders>
              <w:top w:val="single" w:sz="8" w:space="0" w:color="auto"/>
              <w:left w:val="nil"/>
              <w:bottom w:val="single" w:sz="8" w:space="0" w:color="auto"/>
              <w:right w:val="nil"/>
            </w:tcBorders>
            <w:shd w:val="clear" w:color="000000" w:fill="FFFFFF"/>
            <w:noWrap/>
            <w:vAlign w:val="center"/>
            <w:hideMark/>
          </w:tcPr>
          <w:p w14:paraId="2FA334EE" w14:textId="77777777" w:rsidR="003C23F1" w:rsidRPr="00636FD7" w:rsidRDefault="003C23F1" w:rsidP="003C23F1">
            <w:pPr>
              <w:spacing w:after="0" w:line="240" w:lineRule="auto"/>
              <w:rPr>
                <w:rFonts w:asciiTheme="minorHAnsi" w:eastAsia="Times New Roman" w:hAnsiTheme="minorHAnsi" w:cs="Times New Roman"/>
                <w:b/>
                <w:bCs/>
                <w:color w:val="000000"/>
              </w:rPr>
            </w:pPr>
            <w:r w:rsidRPr="00636FD7">
              <w:rPr>
                <w:rFonts w:asciiTheme="minorHAnsi" w:eastAsia="Times New Roman" w:hAnsiTheme="minorHAnsi" w:cs="Times New Roman"/>
                <w:b/>
                <w:bCs/>
                <w:color w:val="000000"/>
              </w:rPr>
              <w:t>Total Expenditures</w:t>
            </w:r>
          </w:p>
        </w:tc>
        <w:tc>
          <w:tcPr>
            <w:tcW w:w="695" w:type="dxa"/>
            <w:tcBorders>
              <w:top w:val="nil"/>
              <w:left w:val="nil"/>
              <w:bottom w:val="single" w:sz="8" w:space="0" w:color="auto"/>
              <w:right w:val="nil"/>
            </w:tcBorders>
            <w:shd w:val="clear" w:color="000000" w:fill="FFFFFF"/>
            <w:noWrap/>
            <w:vAlign w:val="center"/>
            <w:hideMark/>
          </w:tcPr>
          <w:p w14:paraId="23326082"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22.5</w:t>
            </w:r>
          </w:p>
        </w:tc>
        <w:tc>
          <w:tcPr>
            <w:tcW w:w="697" w:type="dxa"/>
            <w:tcBorders>
              <w:top w:val="nil"/>
              <w:left w:val="nil"/>
              <w:bottom w:val="single" w:sz="8" w:space="0" w:color="auto"/>
              <w:right w:val="nil"/>
            </w:tcBorders>
            <w:shd w:val="clear" w:color="000000" w:fill="FFFFFF"/>
            <w:noWrap/>
            <w:vAlign w:val="center"/>
            <w:hideMark/>
          </w:tcPr>
          <w:p w14:paraId="5EAD3118"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22.2</w:t>
            </w:r>
          </w:p>
        </w:tc>
        <w:tc>
          <w:tcPr>
            <w:tcW w:w="697" w:type="dxa"/>
            <w:tcBorders>
              <w:top w:val="nil"/>
              <w:left w:val="nil"/>
              <w:bottom w:val="single" w:sz="8" w:space="0" w:color="auto"/>
              <w:right w:val="nil"/>
            </w:tcBorders>
            <w:shd w:val="clear" w:color="000000" w:fill="FFFFFF"/>
            <w:noWrap/>
            <w:vAlign w:val="center"/>
            <w:hideMark/>
          </w:tcPr>
          <w:p w14:paraId="354145B4"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23.3</w:t>
            </w:r>
          </w:p>
        </w:tc>
        <w:tc>
          <w:tcPr>
            <w:tcW w:w="697" w:type="dxa"/>
            <w:tcBorders>
              <w:top w:val="nil"/>
              <w:left w:val="nil"/>
              <w:bottom w:val="single" w:sz="8" w:space="0" w:color="auto"/>
              <w:right w:val="nil"/>
            </w:tcBorders>
            <w:shd w:val="clear" w:color="000000" w:fill="FFFFFF"/>
            <w:noWrap/>
            <w:vAlign w:val="center"/>
            <w:hideMark/>
          </w:tcPr>
          <w:p w14:paraId="241BD805"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23.0</w:t>
            </w:r>
          </w:p>
        </w:tc>
        <w:tc>
          <w:tcPr>
            <w:tcW w:w="697" w:type="dxa"/>
            <w:tcBorders>
              <w:top w:val="nil"/>
              <w:left w:val="nil"/>
              <w:bottom w:val="single" w:sz="8" w:space="0" w:color="auto"/>
              <w:right w:val="nil"/>
            </w:tcBorders>
            <w:shd w:val="clear" w:color="000000" w:fill="FFFFFF"/>
            <w:noWrap/>
            <w:vAlign w:val="center"/>
            <w:hideMark/>
          </w:tcPr>
          <w:p w14:paraId="5B3AF22F"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29.4</w:t>
            </w:r>
          </w:p>
        </w:tc>
        <w:tc>
          <w:tcPr>
            <w:tcW w:w="697" w:type="dxa"/>
            <w:tcBorders>
              <w:top w:val="nil"/>
              <w:left w:val="nil"/>
              <w:bottom w:val="single" w:sz="8" w:space="0" w:color="auto"/>
              <w:right w:val="nil"/>
            </w:tcBorders>
            <w:shd w:val="clear" w:color="000000" w:fill="FFFFFF"/>
            <w:noWrap/>
            <w:vAlign w:val="center"/>
            <w:hideMark/>
          </w:tcPr>
          <w:p w14:paraId="7F69E204"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27.0</w:t>
            </w:r>
          </w:p>
        </w:tc>
        <w:tc>
          <w:tcPr>
            <w:tcW w:w="697" w:type="dxa"/>
            <w:tcBorders>
              <w:top w:val="nil"/>
              <w:left w:val="nil"/>
              <w:bottom w:val="single" w:sz="8" w:space="0" w:color="auto"/>
              <w:right w:val="nil"/>
            </w:tcBorders>
            <w:shd w:val="clear" w:color="000000" w:fill="FFFFFF"/>
            <w:noWrap/>
            <w:vAlign w:val="center"/>
            <w:hideMark/>
          </w:tcPr>
          <w:p w14:paraId="1C10B7B4"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28.5</w:t>
            </w:r>
          </w:p>
        </w:tc>
        <w:tc>
          <w:tcPr>
            <w:tcW w:w="804" w:type="dxa"/>
            <w:tcBorders>
              <w:top w:val="nil"/>
              <w:left w:val="nil"/>
              <w:bottom w:val="single" w:sz="8" w:space="0" w:color="auto"/>
              <w:right w:val="nil"/>
            </w:tcBorders>
            <w:shd w:val="clear" w:color="000000" w:fill="FFFFFF"/>
            <w:noWrap/>
            <w:vAlign w:val="center"/>
            <w:hideMark/>
          </w:tcPr>
          <w:p w14:paraId="48643ECB"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26.2</w:t>
            </w:r>
          </w:p>
        </w:tc>
        <w:tc>
          <w:tcPr>
            <w:tcW w:w="926" w:type="dxa"/>
            <w:tcBorders>
              <w:top w:val="nil"/>
              <w:left w:val="nil"/>
              <w:bottom w:val="single" w:sz="8" w:space="0" w:color="auto"/>
              <w:right w:val="nil"/>
            </w:tcBorders>
            <w:shd w:val="clear" w:color="000000" w:fill="FFFFFF"/>
            <w:vAlign w:val="center"/>
            <w:hideMark/>
          </w:tcPr>
          <w:p w14:paraId="48C9D9BF"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25.8</w:t>
            </w:r>
          </w:p>
        </w:tc>
      </w:tr>
      <w:tr w:rsidR="003C23F1" w:rsidRPr="00636FD7" w14:paraId="6F22F329" w14:textId="77777777" w:rsidTr="00A71919">
        <w:trPr>
          <w:trHeight w:val="282"/>
        </w:trPr>
        <w:tc>
          <w:tcPr>
            <w:tcW w:w="2869" w:type="dxa"/>
            <w:tcBorders>
              <w:top w:val="nil"/>
              <w:left w:val="nil"/>
              <w:bottom w:val="nil"/>
              <w:right w:val="nil"/>
            </w:tcBorders>
            <w:shd w:val="clear" w:color="000000" w:fill="FFFFFF"/>
            <w:noWrap/>
            <w:vAlign w:val="center"/>
            <w:hideMark/>
          </w:tcPr>
          <w:p w14:paraId="347950FC" w14:textId="77777777" w:rsidR="003C23F1" w:rsidRPr="00636FD7" w:rsidRDefault="003C23F1" w:rsidP="003C23F1">
            <w:pPr>
              <w:spacing w:after="0" w:line="240" w:lineRule="auto"/>
              <w:ind w:firstLineChars="100" w:firstLine="220"/>
              <w:rPr>
                <w:rFonts w:asciiTheme="minorHAnsi" w:eastAsia="Times New Roman" w:hAnsiTheme="minorHAnsi" w:cs="Times New Roman"/>
                <w:b/>
                <w:bCs/>
                <w:color w:val="000000"/>
              </w:rPr>
            </w:pPr>
            <w:r w:rsidRPr="00636FD7">
              <w:rPr>
                <w:rFonts w:asciiTheme="minorHAnsi" w:eastAsia="Times New Roman" w:hAnsiTheme="minorHAnsi" w:cs="Times New Roman"/>
                <w:b/>
                <w:bCs/>
                <w:color w:val="000000"/>
              </w:rPr>
              <w:t xml:space="preserve">Personnel Spending </w:t>
            </w:r>
          </w:p>
        </w:tc>
        <w:tc>
          <w:tcPr>
            <w:tcW w:w="695" w:type="dxa"/>
            <w:tcBorders>
              <w:top w:val="nil"/>
              <w:left w:val="nil"/>
              <w:bottom w:val="nil"/>
              <w:right w:val="nil"/>
            </w:tcBorders>
            <w:shd w:val="clear" w:color="auto" w:fill="auto"/>
            <w:vAlign w:val="center"/>
            <w:hideMark/>
          </w:tcPr>
          <w:p w14:paraId="2D249BDB"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7.8</w:t>
            </w:r>
          </w:p>
        </w:tc>
        <w:tc>
          <w:tcPr>
            <w:tcW w:w="697" w:type="dxa"/>
            <w:tcBorders>
              <w:top w:val="nil"/>
              <w:left w:val="nil"/>
              <w:bottom w:val="nil"/>
              <w:right w:val="nil"/>
            </w:tcBorders>
            <w:shd w:val="clear" w:color="auto" w:fill="auto"/>
            <w:vAlign w:val="center"/>
            <w:hideMark/>
          </w:tcPr>
          <w:p w14:paraId="707BF5E6"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7.9</w:t>
            </w:r>
          </w:p>
        </w:tc>
        <w:tc>
          <w:tcPr>
            <w:tcW w:w="697" w:type="dxa"/>
            <w:tcBorders>
              <w:top w:val="nil"/>
              <w:left w:val="nil"/>
              <w:bottom w:val="nil"/>
              <w:right w:val="nil"/>
            </w:tcBorders>
            <w:shd w:val="clear" w:color="auto" w:fill="auto"/>
            <w:vAlign w:val="center"/>
            <w:hideMark/>
          </w:tcPr>
          <w:p w14:paraId="5E95747C"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7.9</w:t>
            </w:r>
          </w:p>
        </w:tc>
        <w:tc>
          <w:tcPr>
            <w:tcW w:w="697" w:type="dxa"/>
            <w:tcBorders>
              <w:top w:val="nil"/>
              <w:left w:val="nil"/>
              <w:bottom w:val="nil"/>
              <w:right w:val="nil"/>
            </w:tcBorders>
            <w:shd w:val="clear" w:color="auto" w:fill="auto"/>
            <w:vAlign w:val="center"/>
            <w:hideMark/>
          </w:tcPr>
          <w:p w14:paraId="26A2A3AC"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9.4</w:t>
            </w:r>
          </w:p>
        </w:tc>
        <w:tc>
          <w:tcPr>
            <w:tcW w:w="697" w:type="dxa"/>
            <w:tcBorders>
              <w:top w:val="nil"/>
              <w:left w:val="nil"/>
              <w:bottom w:val="nil"/>
              <w:right w:val="nil"/>
            </w:tcBorders>
            <w:shd w:val="clear" w:color="auto" w:fill="auto"/>
            <w:vAlign w:val="center"/>
            <w:hideMark/>
          </w:tcPr>
          <w:p w14:paraId="486DC32B"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12.0</w:t>
            </w:r>
          </w:p>
        </w:tc>
        <w:tc>
          <w:tcPr>
            <w:tcW w:w="697" w:type="dxa"/>
            <w:tcBorders>
              <w:top w:val="nil"/>
              <w:left w:val="nil"/>
              <w:bottom w:val="nil"/>
              <w:right w:val="nil"/>
            </w:tcBorders>
            <w:shd w:val="clear" w:color="auto" w:fill="auto"/>
            <w:vAlign w:val="center"/>
            <w:hideMark/>
          </w:tcPr>
          <w:p w14:paraId="35E51F9D"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11.0</w:t>
            </w:r>
          </w:p>
        </w:tc>
        <w:tc>
          <w:tcPr>
            <w:tcW w:w="697" w:type="dxa"/>
            <w:tcBorders>
              <w:top w:val="nil"/>
              <w:left w:val="nil"/>
              <w:bottom w:val="nil"/>
              <w:right w:val="nil"/>
            </w:tcBorders>
            <w:shd w:val="clear" w:color="auto" w:fill="auto"/>
            <w:noWrap/>
            <w:vAlign w:val="center"/>
            <w:hideMark/>
          </w:tcPr>
          <w:p w14:paraId="31FA9F74"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9.7</w:t>
            </w:r>
          </w:p>
        </w:tc>
        <w:tc>
          <w:tcPr>
            <w:tcW w:w="804" w:type="dxa"/>
            <w:tcBorders>
              <w:top w:val="nil"/>
              <w:left w:val="nil"/>
              <w:bottom w:val="nil"/>
              <w:right w:val="nil"/>
            </w:tcBorders>
            <w:shd w:val="clear" w:color="auto" w:fill="auto"/>
            <w:noWrap/>
            <w:vAlign w:val="center"/>
            <w:hideMark/>
          </w:tcPr>
          <w:p w14:paraId="76C401AD"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9.3</w:t>
            </w:r>
          </w:p>
        </w:tc>
        <w:tc>
          <w:tcPr>
            <w:tcW w:w="926" w:type="dxa"/>
            <w:tcBorders>
              <w:top w:val="nil"/>
              <w:left w:val="nil"/>
              <w:bottom w:val="nil"/>
              <w:right w:val="nil"/>
            </w:tcBorders>
            <w:shd w:val="clear" w:color="auto" w:fill="auto"/>
            <w:vAlign w:val="center"/>
            <w:hideMark/>
          </w:tcPr>
          <w:p w14:paraId="58813033"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8.6</w:t>
            </w:r>
          </w:p>
        </w:tc>
      </w:tr>
      <w:tr w:rsidR="003C23F1" w:rsidRPr="00636FD7" w14:paraId="272B5E8D" w14:textId="77777777" w:rsidTr="00A71919">
        <w:trPr>
          <w:trHeight w:val="282"/>
        </w:trPr>
        <w:tc>
          <w:tcPr>
            <w:tcW w:w="2869" w:type="dxa"/>
            <w:tcBorders>
              <w:top w:val="nil"/>
              <w:left w:val="nil"/>
              <w:bottom w:val="nil"/>
              <w:right w:val="nil"/>
            </w:tcBorders>
            <w:shd w:val="clear" w:color="000000" w:fill="FFFFFF"/>
            <w:noWrap/>
            <w:vAlign w:val="center"/>
            <w:hideMark/>
          </w:tcPr>
          <w:p w14:paraId="2AD7558C" w14:textId="77777777" w:rsidR="003C23F1" w:rsidRPr="00636FD7" w:rsidRDefault="003C23F1" w:rsidP="003C23F1">
            <w:pPr>
              <w:spacing w:after="0" w:line="240" w:lineRule="auto"/>
              <w:ind w:firstLineChars="100" w:firstLine="220"/>
              <w:rPr>
                <w:rFonts w:asciiTheme="minorHAnsi" w:eastAsia="Times New Roman" w:hAnsiTheme="minorHAnsi" w:cs="Times New Roman"/>
                <w:color w:val="000000"/>
              </w:rPr>
            </w:pPr>
            <w:r w:rsidRPr="00636FD7">
              <w:rPr>
                <w:rFonts w:asciiTheme="minorHAnsi" w:eastAsia="Times New Roman" w:hAnsiTheme="minorHAnsi" w:cs="Times New Roman"/>
                <w:color w:val="000000"/>
              </w:rPr>
              <w:t xml:space="preserve">    Wages &amp; Salaries</w:t>
            </w:r>
          </w:p>
        </w:tc>
        <w:tc>
          <w:tcPr>
            <w:tcW w:w="695" w:type="dxa"/>
            <w:tcBorders>
              <w:top w:val="nil"/>
              <w:left w:val="nil"/>
              <w:bottom w:val="nil"/>
              <w:right w:val="nil"/>
            </w:tcBorders>
            <w:shd w:val="clear" w:color="auto" w:fill="auto"/>
            <w:vAlign w:val="center"/>
            <w:hideMark/>
          </w:tcPr>
          <w:p w14:paraId="21F993D5"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6.6</w:t>
            </w:r>
          </w:p>
        </w:tc>
        <w:tc>
          <w:tcPr>
            <w:tcW w:w="697" w:type="dxa"/>
            <w:tcBorders>
              <w:top w:val="nil"/>
              <w:left w:val="nil"/>
              <w:bottom w:val="nil"/>
              <w:right w:val="nil"/>
            </w:tcBorders>
            <w:shd w:val="clear" w:color="auto" w:fill="auto"/>
            <w:vAlign w:val="center"/>
            <w:hideMark/>
          </w:tcPr>
          <w:p w14:paraId="7EA92027"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6.8</w:t>
            </w:r>
          </w:p>
        </w:tc>
        <w:tc>
          <w:tcPr>
            <w:tcW w:w="697" w:type="dxa"/>
            <w:tcBorders>
              <w:top w:val="nil"/>
              <w:left w:val="nil"/>
              <w:bottom w:val="nil"/>
              <w:right w:val="nil"/>
            </w:tcBorders>
            <w:shd w:val="clear" w:color="auto" w:fill="auto"/>
            <w:vAlign w:val="center"/>
            <w:hideMark/>
          </w:tcPr>
          <w:p w14:paraId="394366D6"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6.9</w:t>
            </w:r>
          </w:p>
        </w:tc>
        <w:tc>
          <w:tcPr>
            <w:tcW w:w="697" w:type="dxa"/>
            <w:tcBorders>
              <w:top w:val="nil"/>
              <w:left w:val="nil"/>
              <w:bottom w:val="nil"/>
              <w:right w:val="nil"/>
            </w:tcBorders>
            <w:shd w:val="clear" w:color="auto" w:fill="auto"/>
            <w:vAlign w:val="center"/>
            <w:hideMark/>
          </w:tcPr>
          <w:p w14:paraId="69CD0485"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7.6</w:t>
            </w:r>
          </w:p>
        </w:tc>
        <w:tc>
          <w:tcPr>
            <w:tcW w:w="697" w:type="dxa"/>
            <w:tcBorders>
              <w:top w:val="nil"/>
              <w:left w:val="nil"/>
              <w:bottom w:val="nil"/>
              <w:right w:val="nil"/>
            </w:tcBorders>
            <w:shd w:val="clear" w:color="auto" w:fill="auto"/>
            <w:vAlign w:val="center"/>
            <w:hideMark/>
          </w:tcPr>
          <w:p w14:paraId="793347EA"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8.9</w:t>
            </w:r>
          </w:p>
        </w:tc>
        <w:tc>
          <w:tcPr>
            <w:tcW w:w="697" w:type="dxa"/>
            <w:tcBorders>
              <w:top w:val="nil"/>
              <w:left w:val="nil"/>
              <w:bottom w:val="nil"/>
              <w:right w:val="nil"/>
            </w:tcBorders>
            <w:shd w:val="clear" w:color="auto" w:fill="auto"/>
            <w:vAlign w:val="center"/>
            <w:hideMark/>
          </w:tcPr>
          <w:p w14:paraId="3F5AE7E6"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8.9</w:t>
            </w:r>
          </w:p>
        </w:tc>
        <w:tc>
          <w:tcPr>
            <w:tcW w:w="697" w:type="dxa"/>
            <w:tcBorders>
              <w:top w:val="nil"/>
              <w:left w:val="nil"/>
              <w:bottom w:val="nil"/>
              <w:right w:val="nil"/>
            </w:tcBorders>
            <w:shd w:val="clear" w:color="auto" w:fill="auto"/>
            <w:noWrap/>
            <w:vAlign w:val="center"/>
            <w:hideMark/>
          </w:tcPr>
          <w:p w14:paraId="1D7F4131"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8.3</w:t>
            </w:r>
          </w:p>
        </w:tc>
        <w:tc>
          <w:tcPr>
            <w:tcW w:w="804" w:type="dxa"/>
            <w:tcBorders>
              <w:top w:val="nil"/>
              <w:left w:val="nil"/>
              <w:bottom w:val="nil"/>
              <w:right w:val="nil"/>
            </w:tcBorders>
            <w:shd w:val="clear" w:color="auto" w:fill="auto"/>
            <w:noWrap/>
            <w:vAlign w:val="center"/>
            <w:hideMark/>
          </w:tcPr>
          <w:p w14:paraId="35F4B816"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7.6</w:t>
            </w:r>
          </w:p>
        </w:tc>
        <w:tc>
          <w:tcPr>
            <w:tcW w:w="926" w:type="dxa"/>
            <w:tcBorders>
              <w:top w:val="nil"/>
              <w:left w:val="nil"/>
              <w:bottom w:val="nil"/>
              <w:right w:val="nil"/>
            </w:tcBorders>
            <w:shd w:val="clear" w:color="auto" w:fill="auto"/>
            <w:vAlign w:val="center"/>
            <w:hideMark/>
          </w:tcPr>
          <w:p w14:paraId="0847022E"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7.2</w:t>
            </w:r>
          </w:p>
        </w:tc>
      </w:tr>
      <w:tr w:rsidR="003C23F1" w:rsidRPr="00636FD7" w14:paraId="4E2F3DEA" w14:textId="77777777" w:rsidTr="00A71919">
        <w:trPr>
          <w:trHeight w:val="282"/>
        </w:trPr>
        <w:tc>
          <w:tcPr>
            <w:tcW w:w="2869" w:type="dxa"/>
            <w:tcBorders>
              <w:top w:val="nil"/>
              <w:left w:val="nil"/>
              <w:bottom w:val="nil"/>
              <w:right w:val="nil"/>
            </w:tcBorders>
            <w:shd w:val="clear" w:color="000000" w:fill="FFFFFF"/>
            <w:noWrap/>
            <w:vAlign w:val="center"/>
            <w:hideMark/>
          </w:tcPr>
          <w:p w14:paraId="45D717C5" w14:textId="77777777" w:rsidR="003C23F1" w:rsidRPr="00636FD7" w:rsidRDefault="003C23F1" w:rsidP="003C23F1">
            <w:pPr>
              <w:spacing w:after="0" w:line="240" w:lineRule="auto"/>
              <w:ind w:firstLineChars="100" w:firstLine="220"/>
              <w:rPr>
                <w:rFonts w:asciiTheme="minorHAnsi" w:eastAsia="Times New Roman" w:hAnsiTheme="minorHAnsi" w:cs="Times New Roman"/>
                <w:color w:val="000000"/>
              </w:rPr>
            </w:pPr>
            <w:r w:rsidRPr="00636FD7">
              <w:rPr>
                <w:rFonts w:asciiTheme="minorHAnsi" w:eastAsia="Times New Roman" w:hAnsiTheme="minorHAnsi" w:cs="Times New Roman"/>
                <w:color w:val="000000"/>
              </w:rPr>
              <w:t xml:space="preserve">    Deferred wages</w:t>
            </w:r>
          </w:p>
        </w:tc>
        <w:tc>
          <w:tcPr>
            <w:tcW w:w="695" w:type="dxa"/>
            <w:tcBorders>
              <w:top w:val="nil"/>
              <w:left w:val="nil"/>
              <w:bottom w:val="nil"/>
              <w:right w:val="nil"/>
            </w:tcBorders>
            <w:shd w:val="clear" w:color="auto" w:fill="auto"/>
            <w:vAlign w:val="center"/>
            <w:hideMark/>
          </w:tcPr>
          <w:p w14:paraId="67B7C485"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0.0</w:t>
            </w:r>
          </w:p>
        </w:tc>
        <w:tc>
          <w:tcPr>
            <w:tcW w:w="697" w:type="dxa"/>
            <w:tcBorders>
              <w:top w:val="nil"/>
              <w:left w:val="nil"/>
              <w:bottom w:val="nil"/>
              <w:right w:val="nil"/>
            </w:tcBorders>
            <w:shd w:val="clear" w:color="auto" w:fill="auto"/>
            <w:vAlign w:val="center"/>
            <w:hideMark/>
          </w:tcPr>
          <w:p w14:paraId="0FFB07FF"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0.0</w:t>
            </w:r>
          </w:p>
        </w:tc>
        <w:tc>
          <w:tcPr>
            <w:tcW w:w="697" w:type="dxa"/>
            <w:tcBorders>
              <w:top w:val="nil"/>
              <w:left w:val="nil"/>
              <w:bottom w:val="nil"/>
              <w:right w:val="nil"/>
            </w:tcBorders>
            <w:shd w:val="clear" w:color="auto" w:fill="auto"/>
            <w:vAlign w:val="center"/>
            <w:hideMark/>
          </w:tcPr>
          <w:p w14:paraId="2C6E87C5"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0.0</w:t>
            </w:r>
          </w:p>
        </w:tc>
        <w:tc>
          <w:tcPr>
            <w:tcW w:w="697" w:type="dxa"/>
            <w:tcBorders>
              <w:top w:val="nil"/>
              <w:left w:val="nil"/>
              <w:bottom w:val="nil"/>
              <w:right w:val="nil"/>
            </w:tcBorders>
            <w:shd w:val="clear" w:color="auto" w:fill="auto"/>
            <w:vAlign w:val="center"/>
            <w:hideMark/>
          </w:tcPr>
          <w:p w14:paraId="275B6B02"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0.6</w:t>
            </w:r>
          </w:p>
        </w:tc>
        <w:tc>
          <w:tcPr>
            <w:tcW w:w="697" w:type="dxa"/>
            <w:tcBorders>
              <w:top w:val="nil"/>
              <w:left w:val="nil"/>
              <w:bottom w:val="nil"/>
              <w:right w:val="nil"/>
            </w:tcBorders>
            <w:shd w:val="clear" w:color="auto" w:fill="auto"/>
            <w:vAlign w:val="center"/>
            <w:hideMark/>
          </w:tcPr>
          <w:p w14:paraId="7924E86A"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2.5</w:t>
            </w:r>
          </w:p>
        </w:tc>
        <w:tc>
          <w:tcPr>
            <w:tcW w:w="697" w:type="dxa"/>
            <w:tcBorders>
              <w:top w:val="nil"/>
              <w:left w:val="nil"/>
              <w:bottom w:val="nil"/>
              <w:right w:val="nil"/>
            </w:tcBorders>
            <w:shd w:val="clear" w:color="auto" w:fill="auto"/>
            <w:vAlign w:val="center"/>
            <w:hideMark/>
          </w:tcPr>
          <w:p w14:paraId="17F52FA8"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0.9</w:t>
            </w:r>
          </w:p>
        </w:tc>
        <w:tc>
          <w:tcPr>
            <w:tcW w:w="697" w:type="dxa"/>
            <w:tcBorders>
              <w:top w:val="nil"/>
              <w:left w:val="nil"/>
              <w:bottom w:val="nil"/>
              <w:right w:val="nil"/>
            </w:tcBorders>
            <w:shd w:val="clear" w:color="auto" w:fill="auto"/>
            <w:noWrap/>
            <w:vAlign w:val="center"/>
            <w:hideMark/>
          </w:tcPr>
          <w:p w14:paraId="34321154"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0.5</w:t>
            </w:r>
          </w:p>
        </w:tc>
        <w:tc>
          <w:tcPr>
            <w:tcW w:w="804" w:type="dxa"/>
            <w:tcBorders>
              <w:top w:val="nil"/>
              <w:left w:val="nil"/>
              <w:bottom w:val="nil"/>
              <w:right w:val="nil"/>
            </w:tcBorders>
            <w:shd w:val="clear" w:color="auto" w:fill="auto"/>
            <w:noWrap/>
            <w:vAlign w:val="center"/>
            <w:hideMark/>
          </w:tcPr>
          <w:p w14:paraId="7FCFA06C"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0.6</w:t>
            </w:r>
          </w:p>
        </w:tc>
        <w:tc>
          <w:tcPr>
            <w:tcW w:w="926" w:type="dxa"/>
            <w:tcBorders>
              <w:top w:val="nil"/>
              <w:left w:val="nil"/>
              <w:bottom w:val="nil"/>
              <w:right w:val="nil"/>
            </w:tcBorders>
            <w:shd w:val="clear" w:color="auto" w:fill="auto"/>
            <w:vAlign w:val="center"/>
            <w:hideMark/>
          </w:tcPr>
          <w:p w14:paraId="5B4A586D"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0.3</w:t>
            </w:r>
          </w:p>
        </w:tc>
      </w:tr>
      <w:tr w:rsidR="003C23F1" w:rsidRPr="00636FD7" w14:paraId="3FE8F917" w14:textId="77777777" w:rsidTr="003C23F1">
        <w:trPr>
          <w:trHeight w:val="282"/>
        </w:trPr>
        <w:tc>
          <w:tcPr>
            <w:tcW w:w="2869" w:type="dxa"/>
            <w:tcBorders>
              <w:top w:val="nil"/>
              <w:left w:val="nil"/>
              <w:bottom w:val="nil"/>
              <w:right w:val="nil"/>
            </w:tcBorders>
            <w:shd w:val="clear" w:color="000000" w:fill="FFFFFF"/>
            <w:noWrap/>
            <w:vAlign w:val="center"/>
            <w:hideMark/>
          </w:tcPr>
          <w:p w14:paraId="05671E91" w14:textId="77777777" w:rsidR="003C23F1" w:rsidRPr="00636FD7" w:rsidRDefault="003C23F1" w:rsidP="003C23F1">
            <w:pPr>
              <w:spacing w:after="0" w:line="240" w:lineRule="auto"/>
              <w:rPr>
                <w:rFonts w:asciiTheme="minorHAnsi" w:eastAsia="Times New Roman" w:hAnsiTheme="minorHAnsi" w:cs="Times New Roman"/>
                <w:color w:val="000000"/>
              </w:rPr>
            </w:pPr>
            <w:r w:rsidRPr="00636FD7">
              <w:rPr>
                <w:rFonts w:asciiTheme="minorHAnsi" w:eastAsia="Times New Roman" w:hAnsiTheme="minorHAnsi" w:cs="Times New Roman"/>
                <w:color w:val="000000"/>
              </w:rPr>
              <w:t xml:space="preserve">        Social contributions</w:t>
            </w:r>
          </w:p>
        </w:tc>
        <w:tc>
          <w:tcPr>
            <w:tcW w:w="695" w:type="dxa"/>
            <w:tcBorders>
              <w:top w:val="nil"/>
              <w:left w:val="nil"/>
              <w:bottom w:val="nil"/>
              <w:right w:val="nil"/>
            </w:tcBorders>
            <w:shd w:val="clear" w:color="000000" w:fill="FFFFFF"/>
            <w:vAlign w:val="center"/>
            <w:hideMark/>
          </w:tcPr>
          <w:p w14:paraId="600C4B02"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1.2</w:t>
            </w:r>
          </w:p>
        </w:tc>
        <w:tc>
          <w:tcPr>
            <w:tcW w:w="697" w:type="dxa"/>
            <w:tcBorders>
              <w:top w:val="nil"/>
              <w:left w:val="nil"/>
              <w:bottom w:val="nil"/>
              <w:right w:val="nil"/>
            </w:tcBorders>
            <w:shd w:val="clear" w:color="000000" w:fill="FFFFFF"/>
            <w:vAlign w:val="center"/>
            <w:hideMark/>
          </w:tcPr>
          <w:p w14:paraId="52A67D9E"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1.1</w:t>
            </w:r>
          </w:p>
        </w:tc>
        <w:tc>
          <w:tcPr>
            <w:tcW w:w="697" w:type="dxa"/>
            <w:tcBorders>
              <w:top w:val="nil"/>
              <w:left w:val="nil"/>
              <w:bottom w:val="nil"/>
              <w:right w:val="nil"/>
            </w:tcBorders>
            <w:shd w:val="clear" w:color="000000" w:fill="FFFFFF"/>
            <w:vAlign w:val="center"/>
            <w:hideMark/>
          </w:tcPr>
          <w:p w14:paraId="582DF3D5"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1.0</w:t>
            </w:r>
          </w:p>
        </w:tc>
        <w:tc>
          <w:tcPr>
            <w:tcW w:w="697" w:type="dxa"/>
            <w:tcBorders>
              <w:top w:val="nil"/>
              <w:left w:val="nil"/>
              <w:bottom w:val="nil"/>
              <w:right w:val="nil"/>
            </w:tcBorders>
            <w:shd w:val="clear" w:color="000000" w:fill="FFFFFF"/>
            <w:vAlign w:val="center"/>
            <w:hideMark/>
          </w:tcPr>
          <w:p w14:paraId="75F01F9F"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1.3</w:t>
            </w:r>
          </w:p>
        </w:tc>
        <w:tc>
          <w:tcPr>
            <w:tcW w:w="697" w:type="dxa"/>
            <w:tcBorders>
              <w:top w:val="nil"/>
              <w:left w:val="nil"/>
              <w:bottom w:val="nil"/>
              <w:right w:val="nil"/>
            </w:tcBorders>
            <w:shd w:val="clear" w:color="000000" w:fill="FFFFFF"/>
            <w:vAlign w:val="center"/>
            <w:hideMark/>
          </w:tcPr>
          <w:p w14:paraId="17FA1086"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0.7</w:t>
            </w:r>
          </w:p>
        </w:tc>
        <w:tc>
          <w:tcPr>
            <w:tcW w:w="697" w:type="dxa"/>
            <w:tcBorders>
              <w:top w:val="nil"/>
              <w:left w:val="nil"/>
              <w:bottom w:val="nil"/>
              <w:right w:val="nil"/>
            </w:tcBorders>
            <w:shd w:val="clear" w:color="000000" w:fill="FFFFFF"/>
            <w:vAlign w:val="center"/>
            <w:hideMark/>
          </w:tcPr>
          <w:p w14:paraId="6F589E99"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1.2</w:t>
            </w:r>
          </w:p>
        </w:tc>
        <w:tc>
          <w:tcPr>
            <w:tcW w:w="697" w:type="dxa"/>
            <w:tcBorders>
              <w:top w:val="nil"/>
              <w:left w:val="nil"/>
              <w:bottom w:val="nil"/>
              <w:right w:val="nil"/>
            </w:tcBorders>
            <w:shd w:val="clear" w:color="000000" w:fill="FFFFFF"/>
            <w:noWrap/>
            <w:vAlign w:val="center"/>
            <w:hideMark/>
          </w:tcPr>
          <w:p w14:paraId="35C93D15"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0.9</w:t>
            </w:r>
          </w:p>
        </w:tc>
        <w:tc>
          <w:tcPr>
            <w:tcW w:w="804" w:type="dxa"/>
            <w:tcBorders>
              <w:top w:val="nil"/>
              <w:left w:val="nil"/>
              <w:bottom w:val="nil"/>
              <w:right w:val="nil"/>
            </w:tcBorders>
            <w:shd w:val="clear" w:color="auto" w:fill="auto"/>
            <w:noWrap/>
            <w:vAlign w:val="center"/>
            <w:hideMark/>
          </w:tcPr>
          <w:p w14:paraId="04391EE2"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1.1</w:t>
            </w:r>
          </w:p>
        </w:tc>
        <w:tc>
          <w:tcPr>
            <w:tcW w:w="926" w:type="dxa"/>
            <w:tcBorders>
              <w:top w:val="nil"/>
              <w:left w:val="nil"/>
              <w:bottom w:val="nil"/>
              <w:right w:val="nil"/>
            </w:tcBorders>
            <w:shd w:val="clear" w:color="auto" w:fill="auto"/>
            <w:vAlign w:val="center"/>
            <w:hideMark/>
          </w:tcPr>
          <w:p w14:paraId="1E6265D2"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1.2</w:t>
            </w:r>
          </w:p>
        </w:tc>
      </w:tr>
      <w:tr w:rsidR="003C23F1" w:rsidRPr="00636FD7" w14:paraId="2E29999C" w14:textId="77777777" w:rsidTr="00A71919">
        <w:trPr>
          <w:trHeight w:val="282"/>
        </w:trPr>
        <w:tc>
          <w:tcPr>
            <w:tcW w:w="2869" w:type="dxa"/>
            <w:tcBorders>
              <w:top w:val="nil"/>
              <w:left w:val="nil"/>
              <w:bottom w:val="nil"/>
              <w:right w:val="nil"/>
            </w:tcBorders>
            <w:shd w:val="clear" w:color="000000" w:fill="FFFFFF"/>
            <w:noWrap/>
            <w:vAlign w:val="center"/>
            <w:hideMark/>
          </w:tcPr>
          <w:p w14:paraId="67A8ABFD" w14:textId="77777777" w:rsidR="003C23F1" w:rsidRPr="00636FD7" w:rsidRDefault="003C23F1" w:rsidP="003C23F1">
            <w:pPr>
              <w:spacing w:after="0" w:line="240" w:lineRule="auto"/>
              <w:ind w:firstLineChars="100" w:firstLine="220"/>
              <w:rPr>
                <w:rFonts w:asciiTheme="minorHAnsi" w:eastAsia="Times New Roman" w:hAnsiTheme="minorHAnsi" w:cs="Times New Roman"/>
                <w:b/>
                <w:bCs/>
                <w:color w:val="000000"/>
              </w:rPr>
            </w:pPr>
            <w:r w:rsidRPr="00636FD7">
              <w:rPr>
                <w:rFonts w:asciiTheme="minorHAnsi" w:eastAsia="Times New Roman" w:hAnsiTheme="minorHAnsi" w:cs="Times New Roman"/>
                <w:b/>
                <w:bCs/>
                <w:color w:val="000000"/>
              </w:rPr>
              <w:t>Goods and Services</w:t>
            </w:r>
          </w:p>
        </w:tc>
        <w:tc>
          <w:tcPr>
            <w:tcW w:w="695" w:type="dxa"/>
            <w:tcBorders>
              <w:top w:val="nil"/>
              <w:left w:val="nil"/>
              <w:bottom w:val="nil"/>
              <w:right w:val="nil"/>
            </w:tcBorders>
            <w:shd w:val="clear" w:color="auto" w:fill="auto"/>
            <w:noWrap/>
            <w:vAlign w:val="center"/>
            <w:hideMark/>
          </w:tcPr>
          <w:p w14:paraId="4CDAF16F"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2.1</w:t>
            </w:r>
          </w:p>
        </w:tc>
        <w:tc>
          <w:tcPr>
            <w:tcW w:w="697" w:type="dxa"/>
            <w:tcBorders>
              <w:top w:val="nil"/>
              <w:left w:val="nil"/>
              <w:bottom w:val="nil"/>
              <w:right w:val="nil"/>
            </w:tcBorders>
            <w:shd w:val="clear" w:color="auto" w:fill="auto"/>
            <w:noWrap/>
            <w:vAlign w:val="center"/>
            <w:hideMark/>
          </w:tcPr>
          <w:p w14:paraId="066D1814"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1.7</w:t>
            </w:r>
          </w:p>
        </w:tc>
        <w:tc>
          <w:tcPr>
            <w:tcW w:w="697" w:type="dxa"/>
            <w:tcBorders>
              <w:top w:val="nil"/>
              <w:left w:val="nil"/>
              <w:bottom w:val="nil"/>
              <w:right w:val="nil"/>
            </w:tcBorders>
            <w:shd w:val="clear" w:color="auto" w:fill="auto"/>
            <w:noWrap/>
            <w:vAlign w:val="center"/>
            <w:hideMark/>
          </w:tcPr>
          <w:p w14:paraId="22416832"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2.1</w:t>
            </w:r>
          </w:p>
        </w:tc>
        <w:tc>
          <w:tcPr>
            <w:tcW w:w="697" w:type="dxa"/>
            <w:tcBorders>
              <w:top w:val="nil"/>
              <w:left w:val="nil"/>
              <w:bottom w:val="nil"/>
              <w:right w:val="nil"/>
            </w:tcBorders>
            <w:shd w:val="clear" w:color="auto" w:fill="auto"/>
            <w:vAlign w:val="center"/>
            <w:hideMark/>
          </w:tcPr>
          <w:p w14:paraId="42471118"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1.2</w:t>
            </w:r>
          </w:p>
        </w:tc>
        <w:tc>
          <w:tcPr>
            <w:tcW w:w="697" w:type="dxa"/>
            <w:tcBorders>
              <w:top w:val="nil"/>
              <w:left w:val="nil"/>
              <w:bottom w:val="nil"/>
              <w:right w:val="nil"/>
            </w:tcBorders>
            <w:shd w:val="clear" w:color="auto" w:fill="auto"/>
            <w:noWrap/>
            <w:vAlign w:val="center"/>
            <w:hideMark/>
          </w:tcPr>
          <w:p w14:paraId="3B6791C6"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1.8</w:t>
            </w:r>
          </w:p>
        </w:tc>
        <w:tc>
          <w:tcPr>
            <w:tcW w:w="697" w:type="dxa"/>
            <w:tcBorders>
              <w:top w:val="nil"/>
              <w:left w:val="nil"/>
              <w:bottom w:val="nil"/>
              <w:right w:val="nil"/>
            </w:tcBorders>
            <w:shd w:val="clear" w:color="auto" w:fill="auto"/>
            <w:vAlign w:val="center"/>
            <w:hideMark/>
          </w:tcPr>
          <w:p w14:paraId="0F501A6C"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1.0</w:t>
            </w:r>
          </w:p>
        </w:tc>
        <w:tc>
          <w:tcPr>
            <w:tcW w:w="697" w:type="dxa"/>
            <w:tcBorders>
              <w:top w:val="nil"/>
              <w:left w:val="nil"/>
              <w:bottom w:val="nil"/>
              <w:right w:val="nil"/>
            </w:tcBorders>
            <w:shd w:val="clear" w:color="auto" w:fill="auto"/>
            <w:noWrap/>
            <w:vAlign w:val="center"/>
            <w:hideMark/>
          </w:tcPr>
          <w:p w14:paraId="0F124B46"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1.6</w:t>
            </w:r>
          </w:p>
        </w:tc>
        <w:tc>
          <w:tcPr>
            <w:tcW w:w="804" w:type="dxa"/>
            <w:tcBorders>
              <w:top w:val="nil"/>
              <w:left w:val="nil"/>
              <w:bottom w:val="nil"/>
              <w:right w:val="nil"/>
            </w:tcBorders>
            <w:shd w:val="clear" w:color="auto" w:fill="auto"/>
            <w:noWrap/>
            <w:vAlign w:val="center"/>
            <w:hideMark/>
          </w:tcPr>
          <w:p w14:paraId="4BDE6C15"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1.0</w:t>
            </w:r>
          </w:p>
        </w:tc>
        <w:tc>
          <w:tcPr>
            <w:tcW w:w="926" w:type="dxa"/>
            <w:tcBorders>
              <w:top w:val="nil"/>
              <w:left w:val="nil"/>
              <w:bottom w:val="nil"/>
              <w:right w:val="nil"/>
            </w:tcBorders>
            <w:shd w:val="clear" w:color="auto" w:fill="auto"/>
            <w:vAlign w:val="center"/>
            <w:hideMark/>
          </w:tcPr>
          <w:p w14:paraId="2EE54F8D"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1.9</w:t>
            </w:r>
          </w:p>
        </w:tc>
      </w:tr>
      <w:tr w:rsidR="003C23F1" w:rsidRPr="00636FD7" w14:paraId="4D87A120" w14:textId="77777777" w:rsidTr="00A71919">
        <w:trPr>
          <w:trHeight w:val="282"/>
        </w:trPr>
        <w:tc>
          <w:tcPr>
            <w:tcW w:w="2869" w:type="dxa"/>
            <w:tcBorders>
              <w:top w:val="nil"/>
              <w:left w:val="nil"/>
              <w:bottom w:val="nil"/>
              <w:right w:val="nil"/>
            </w:tcBorders>
            <w:shd w:val="clear" w:color="000000" w:fill="FFFFFF"/>
            <w:noWrap/>
            <w:vAlign w:val="center"/>
            <w:hideMark/>
          </w:tcPr>
          <w:p w14:paraId="0CF6B0CB" w14:textId="77777777" w:rsidR="003C23F1" w:rsidRPr="00636FD7" w:rsidRDefault="003C23F1" w:rsidP="003C23F1">
            <w:pPr>
              <w:spacing w:after="0" w:line="240" w:lineRule="auto"/>
              <w:ind w:firstLineChars="100" w:firstLine="220"/>
              <w:rPr>
                <w:rFonts w:asciiTheme="minorHAnsi" w:eastAsia="Times New Roman" w:hAnsiTheme="minorHAnsi" w:cs="Times New Roman"/>
                <w:b/>
                <w:bCs/>
                <w:color w:val="000000"/>
              </w:rPr>
            </w:pPr>
            <w:r w:rsidRPr="00636FD7">
              <w:rPr>
                <w:rFonts w:asciiTheme="minorHAnsi" w:eastAsia="Times New Roman" w:hAnsiTheme="minorHAnsi" w:cs="Times New Roman"/>
                <w:b/>
                <w:bCs/>
                <w:color w:val="000000"/>
              </w:rPr>
              <w:t>Interest Payments</w:t>
            </w:r>
          </w:p>
        </w:tc>
        <w:tc>
          <w:tcPr>
            <w:tcW w:w="695" w:type="dxa"/>
            <w:tcBorders>
              <w:top w:val="nil"/>
              <w:left w:val="nil"/>
              <w:bottom w:val="nil"/>
              <w:right w:val="nil"/>
            </w:tcBorders>
            <w:shd w:val="clear" w:color="auto" w:fill="auto"/>
            <w:noWrap/>
            <w:vAlign w:val="center"/>
            <w:hideMark/>
          </w:tcPr>
          <w:p w14:paraId="6EE91B48"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2.3</w:t>
            </w:r>
          </w:p>
        </w:tc>
        <w:tc>
          <w:tcPr>
            <w:tcW w:w="697" w:type="dxa"/>
            <w:tcBorders>
              <w:top w:val="nil"/>
              <w:left w:val="nil"/>
              <w:bottom w:val="nil"/>
              <w:right w:val="nil"/>
            </w:tcBorders>
            <w:shd w:val="clear" w:color="auto" w:fill="auto"/>
            <w:noWrap/>
            <w:vAlign w:val="center"/>
            <w:hideMark/>
          </w:tcPr>
          <w:p w14:paraId="7FC89A8E"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2.8</w:t>
            </w:r>
          </w:p>
        </w:tc>
        <w:tc>
          <w:tcPr>
            <w:tcW w:w="697" w:type="dxa"/>
            <w:tcBorders>
              <w:top w:val="nil"/>
              <w:left w:val="nil"/>
              <w:bottom w:val="nil"/>
              <w:right w:val="nil"/>
            </w:tcBorders>
            <w:shd w:val="clear" w:color="auto" w:fill="auto"/>
            <w:noWrap/>
            <w:vAlign w:val="center"/>
            <w:hideMark/>
          </w:tcPr>
          <w:p w14:paraId="4DDE2E19"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3.1</w:t>
            </w:r>
          </w:p>
        </w:tc>
        <w:tc>
          <w:tcPr>
            <w:tcW w:w="697" w:type="dxa"/>
            <w:tcBorders>
              <w:top w:val="nil"/>
              <w:left w:val="nil"/>
              <w:bottom w:val="nil"/>
              <w:right w:val="nil"/>
            </w:tcBorders>
            <w:shd w:val="clear" w:color="auto" w:fill="auto"/>
            <w:vAlign w:val="center"/>
            <w:hideMark/>
          </w:tcPr>
          <w:p w14:paraId="5F9B604E"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2.7</w:t>
            </w:r>
          </w:p>
        </w:tc>
        <w:tc>
          <w:tcPr>
            <w:tcW w:w="697" w:type="dxa"/>
            <w:tcBorders>
              <w:top w:val="nil"/>
              <w:left w:val="nil"/>
              <w:bottom w:val="nil"/>
              <w:right w:val="nil"/>
            </w:tcBorders>
            <w:shd w:val="clear" w:color="auto" w:fill="auto"/>
            <w:noWrap/>
            <w:vAlign w:val="center"/>
            <w:hideMark/>
          </w:tcPr>
          <w:p w14:paraId="66CA6767"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3.2</w:t>
            </w:r>
          </w:p>
        </w:tc>
        <w:tc>
          <w:tcPr>
            <w:tcW w:w="697" w:type="dxa"/>
            <w:tcBorders>
              <w:top w:val="nil"/>
              <w:left w:val="nil"/>
              <w:bottom w:val="nil"/>
              <w:right w:val="nil"/>
            </w:tcBorders>
            <w:shd w:val="clear" w:color="auto" w:fill="auto"/>
            <w:vAlign w:val="center"/>
            <w:hideMark/>
          </w:tcPr>
          <w:p w14:paraId="7DEDB6CD"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4.7</w:t>
            </w:r>
          </w:p>
        </w:tc>
        <w:tc>
          <w:tcPr>
            <w:tcW w:w="697" w:type="dxa"/>
            <w:tcBorders>
              <w:top w:val="nil"/>
              <w:left w:val="nil"/>
              <w:bottom w:val="nil"/>
              <w:right w:val="nil"/>
            </w:tcBorders>
            <w:shd w:val="clear" w:color="auto" w:fill="auto"/>
            <w:noWrap/>
            <w:vAlign w:val="center"/>
            <w:hideMark/>
          </w:tcPr>
          <w:p w14:paraId="238AD541"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6.2</w:t>
            </w:r>
          </w:p>
        </w:tc>
        <w:tc>
          <w:tcPr>
            <w:tcW w:w="804" w:type="dxa"/>
            <w:tcBorders>
              <w:top w:val="nil"/>
              <w:left w:val="nil"/>
              <w:bottom w:val="nil"/>
              <w:right w:val="nil"/>
            </w:tcBorders>
            <w:shd w:val="clear" w:color="auto" w:fill="auto"/>
            <w:noWrap/>
            <w:vAlign w:val="center"/>
            <w:hideMark/>
          </w:tcPr>
          <w:p w14:paraId="2023DEFB"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6.5</w:t>
            </w:r>
          </w:p>
        </w:tc>
        <w:tc>
          <w:tcPr>
            <w:tcW w:w="926" w:type="dxa"/>
            <w:tcBorders>
              <w:top w:val="nil"/>
              <w:left w:val="nil"/>
              <w:bottom w:val="nil"/>
              <w:right w:val="nil"/>
            </w:tcBorders>
            <w:shd w:val="clear" w:color="auto" w:fill="auto"/>
            <w:vAlign w:val="center"/>
            <w:hideMark/>
          </w:tcPr>
          <w:p w14:paraId="1B2DF7C9"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6.4</w:t>
            </w:r>
          </w:p>
        </w:tc>
      </w:tr>
      <w:tr w:rsidR="003C23F1" w:rsidRPr="00636FD7" w14:paraId="4011E6B9" w14:textId="77777777" w:rsidTr="00A71919">
        <w:trPr>
          <w:trHeight w:val="282"/>
        </w:trPr>
        <w:tc>
          <w:tcPr>
            <w:tcW w:w="2869" w:type="dxa"/>
            <w:tcBorders>
              <w:top w:val="nil"/>
              <w:left w:val="nil"/>
              <w:bottom w:val="nil"/>
              <w:right w:val="nil"/>
            </w:tcBorders>
            <w:shd w:val="clear" w:color="000000" w:fill="FFFFFF"/>
            <w:noWrap/>
            <w:vAlign w:val="center"/>
            <w:hideMark/>
          </w:tcPr>
          <w:p w14:paraId="673D30EC" w14:textId="77777777" w:rsidR="003C23F1" w:rsidRPr="00636FD7" w:rsidRDefault="003C23F1" w:rsidP="003C23F1">
            <w:pPr>
              <w:spacing w:after="0" w:line="240" w:lineRule="auto"/>
              <w:ind w:firstLineChars="100" w:firstLine="220"/>
              <w:rPr>
                <w:rFonts w:asciiTheme="minorHAnsi" w:eastAsia="Times New Roman" w:hAnsiTheme="minorHAnsi" w:cs="Times New Roman"/>
                <w:color w:val="000000"/>
              </w:rPr>
            </w:pPr>
            <w:r w:rsidRPr="00636FD7">
              <w:rPr>
                <w:rFonts w:asciiTheme="minorHAnsi" w:eastAsia="Times New Roman" w:hAnsiTheme="minorHAnsi" w:cs="Times New Roman"/>
                <w:color w:val="000000"/>
              </w:rPr>
              <w:t xml:space="preserve">    Domestic</w:t>
            </w:r>
          </w:p>
        </w:tc>
        <w:tc>
          <w:tcPr>
            <w:tcW w:w="695" w:type="dxa"/>
            <w:tcBorders>
              <w:top w:val="nil"/>
              <w:left w:val="nil"/>
              <w:bottom w:val="nil"/>
              <w:right w:val="nil"/>
            </w:tcBorders>
            <w:shd w:val="clear" w:color="auto" w:fill="auto"/>
            <w:vAlign w:val="center"/>
            <w:hideMark/>
          </w:tcPr>
          <w:p w14:paraId="318AC7F2"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1.6</w:t>
            </w:r>
          </w:p>
        </w:tc>
        <w:tc>
          <w:tcPr>
            <w:tcW w:w="697" w:type="dxa"/>
            <w:tcBorders>
              <w:top w:val="nil"/>
              <w:left w:val="nil"/>
              <w:bottom w:val="nil"/>
              <w:right w:val="nil"/>
            </w:tcBorders>
            <w:shd w:val="clear" w:color="auto" w:fill="auto"/>
            <w:vAlign w:val="center"/>
            <w:hideMark/>
          </w:tcPr>
          <w:p w14:paraId="34254C35"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2.1</w:t>
            </w:r>
          </w:p>
        </w:tc>
        <w:tc>
          <w:tcPr>
            <w:tcW w:w="697" w:type="dxa"/>
            <w:tcBorders>
              <w:top w:val="nil"/>
              <w:left w:val="nil"/>
              <w:bottom w:val="nil"/>
              <w:right w:val="nil"/>
            </w:tcBorders>
            <w:shd w:val="clear" w:color="auto" w:fill="auto"/>
            <w:vAlign w:val="center"/>
            <w:hideMark/>
          </w:tcPr>
          <w:p w14:paraId="15E95710"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2.4</w:t>
            </w:r>
          </w:p>
        </w:tc>
        <w:tc>
          <w:tcPr>
            <w:tcW w:w="697" w:type="dxa"/>
            <w:tcBorders>
              <w:top w:val="nil"/>
              <w:left w:val="nil"/>
              <w:bottom w:val="nil"/>
              <w:right w:val="nil"/>
            </w:tcBorders>
            <w:shd w:val="clear" w:color="auto" w:fill="auto"/>
            <w:vAlign w:val="center"/>
            <w:hideMark/>
          </w:tcPr>
          <w:p w14:paraId="33BDB111"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2.2</w:t>
            </w:r>
          </w:p>
        </w:tc>
        <w:tc>
          <w:tcPr>
            <w:tcW w:w="697" w:type="dxa"/>
            <w:tcBorders>
              <w:top w:val="nil"/>
              <w:left w:val="nil"/>
              <w:bottom w:val="nil"/>
              <w:right w:val="nil"/>
            </w:tcBorders>
            <w:shd w:val="clear" w:color="auto" w:fill="auto"/>
            <w:vAlign w:val="center"/>
            <w:hideMark/>
          </w:tcPr>
          <w:p w14:paraId="0F3EB21E"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2.5</w:t>
            </w:r>
          </w:p>
        </w:tc>
        <w:tc>
          <w:tcPr>
            <w:tcW w:w="697" w:type="dxa"/>
            <w:tcBorders>
              <w:top w:val="nil"/>
              <w:left w:val="nil"/>
              <w:bottom w:val="nil"/>
              <w:right w:val="nil"/>
            </w:tcBorders>
            <w:shd w:val="clear" w:color="auto" w:fill="auto"/>
            <w:vAlign w:val="center"/>
            <w:hideMark/>
          </w:tcPr>
          <w:p w14:paraId="7343F3AD"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4.1</w:t>
            </w:r>
          </w:p>
        </w:tc>
        <w:tc>
          <w:tcPr>
            <w:tcW w:w="697" w:type="dxa"/>
            <w:tcBorders>
              <w:top w:val="nil"/>
              <w:left w:val="nil"/>
              <w:bottom w:val="nil"/>
              <w:right w:val="nil"/>
            </w:tcBorders>
            <w:shd w:val="clear" w:color="auto" w:fill="auto"/>
            <w:noWrap/>
            <w:vAlign w:val="center"/>
            <w:hideMark/>
          </w:tcPr>
          <w:p w14:paraId="10E81854"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5.4</w:t>
            </w:r>
          </w:p>
        </w:tc>
        <w:tc>
          <w:tcPr>
            <w:tcW w:w="804" w:type="dxa"/>
            <w:tcBorders>
              <w:top w:val="nil"/>
              <w:left w:val="nil"/>
              <w:bottom w:val="nil"/>
              <w:right w:val="nil"/>
            </w:tcBorders>
            <w:shd w:val="clear" w:color="auto" w:fill="auto"/>
            <w:noWrap/>
            <w:vAlign w:val="center"/>
            <w:hideMark/>
          </w:tcPr>
          <w:p w14:paraId="32FA1852"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5.3</w:t>
            </w:r>
          </w:p>
        </w:tc>
        <w:tc>
          <w:tcPr>
            <w:tcW w:w="926" w:type="dxa"/>
            <w:tcBorders>
              <w:top w:val="nil"/>
              <w:left w:val="nil"/>
              <w:bottom w:val="nil"/>
              <w:right w:val="nil"/>
            </w:tcBorders>
            <w:shd w:val="clear" w:color="auto" w:fill="auto"/>
            <w:vAlign w:val="center"/>
            <w:hideMark/>
          </w:tcPr>
          <w:p w14:paraId="3F83D868"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5.0</w:t>
            </w:r>
          </w:p>
        </w:tc>
      </w:tr>
      <w:tr w:rsidR="003C23F1" w:rsidRPr="00636FD7" w14:paraId="14BFE058" w14:textId="77777777" w:rsidTr="00A71919">
        <w:trPr>
          <w:trHeight w:val="282"/>
        </w:trPr>
        <w:tc>
          <w:tcPr>
            <w:tcW w:w="2869" w:type="dxa"/>
            <w:tcBorders>
              <w:top w:val="nil"/>
              <w:left w:val="nil"/>
              <w:bottom w:val="nil"/>
              <w:right w:val="nil"/>
            </w:tcBorders>
            <w:shd w:val="clear" w:color="000000" w:fill="FFFFFF"/>
            <w:noWrap/>
            <w:vAlign w:val="center"/>
            <w:hideMark/>
          </w:tcPr>
          <w:p w14:paraId="09CD11FD" w14:textId="77777777" w:rsidR="003C23F1" w:rsidRPr="00636FD7" w:rsidRDefault="003C23F1" w:rsidP="003C23F1">
            <w:pPr>
              <w:spacing w:after="0" w:line="240" w:lineRule="auto"/>
              <w:ind w:firstLineChars="100" w:firstLine="220"/>
              <w:rPr>
                <w:rFonts w:asciiTheme="minorHAnsi" w:eastAsia="Times New Roman" w:hAnsiTheme="minorHAnsi" w:cs="Times New Roman"/>
                <w:color w:val="000000"/>
              </w:rPr>
            </w:pPr>
            <w:r w:rsidRPr="00636FD7">
              <w:rPr>
                <w:rFonts w:asciiTheme="minorHAnsi" w:eastAsia="Times New Roman" w:hAnsiTheme="minorHAnsi" w:cs="Times New Roman"/>
                <w:color w:val="000000"/>
              </w:rPr>
              <w:t xml:space="preserve">    Foreign</w:t>
            </w:r>
          </w:p>
        </w:tc>
        <w:tc>
          <w:tcPr>
            <w:tcW w:w="695" w:type="dxa"/>
            <w:tcBorders>
              <w:top w:val="nil"/>
              <w:left w:val="nil"/>
              <w:bottom w:val="nil"/>
              <w:right w:val="nil"/>
            </w:tcBorders>
            <w:shd w:val="clear" w:color="auto" w:fill="auto"/>
            <w:vAlign w:val="center"/>
            <w:hideMark/>
          </w:tcPr>
          <w:p w14:paraId="1B37D507"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0.7</w:t>
            </w:r>
          </w:p>
        </w:tc>
        <w:tc>
          <w:tcPr>
            <w:tcW w:w="697" w:type="dxa"/>
            <w:tcBorders>
              <w:top w:val="nil"/>
              <w:left w:val="nil"/>
              <w:bottom w:val="nil"/>
              <w:right w:val="nil"/>
            </w:tcBorders>
            <w:shd w:val="clear" w:color="auto" w:fill="auto"/>
            <w:vAlign w:val="center"/>
            <w:hideMark/>
          </w:tcPr>
          <w:p w14:paraId="47F43746"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0.7</w:t>
            </w:r>
          </w:p>
        </w:tc>
        <w:tc>
          <w:tcPr>
            <w:tcW w:w="697" w:type="dxa"/>
            <w:tcBorders>
              <w:top w:val="nil"/>
              <w:left w:val="nil"/>
              <w:bottom w:val="nil"/>
              <w:right w:val="nil"/>
            </w:tcBorders>
            <w:shd w:val="clear" w:color="auto" w:fill="auto"/>
            <w:vAlign w:val="center"/>
            <w:hideMark/>
          </w:tcPr>
          <w:p w14:paraId="7EF94813"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0.7</w:t>
            </w:r>
          </w:p>
        </w:tc>
        <w:tc>
          <w:tcPr>
            <w:tcW w:w="697" w:type="dxa"/>
            <w:tcBorders>
              <w:top w:val="nil"/>
              <w:left w:val="nil"/>
              <w:bottom w:val="nil"/>
              <w:right w:val="nil"/>
            </w:tcBorders>
            <w:shd w:val="clear" w:color="auto" w:fill="auto"/>
            <w:vAlign w:val="center"/>
            <w:hideMark/>
          </w:tcPr>
          <w:p w14:paraId="3C4F0454"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0.5</w:t>
            </w:r>
          </w:p>
        </w:tc>
        <w:tc>
          <w:tcPr>
            <w:tcW w:w="697" w:type="dxa"/>
            <w:tcBorders>
              <w:top w:val="nil"/>
              <w:left w:val="nil"/>
              <w:bottom w:val="nil"/>
              <w:right w:val="nil"/>
            </w:tcBorders>
            <w:shd w:val="clear" w:color="auto" w:fill="auto"/>
            <w:vAlign w:val="center"/>
            <w:hideMark/>
          </w:tcPr>
          <w:p w14:paraId="3E65D512"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0.7</w:t>
            </w:r>
          </w:p>
        </w:tc>
        <w:tc>
          <w:tcPr>
            <w:tcW w:w="697" w:type="dxa"/>
            <w:tcBorders>
              <w:top w:val="nil"/>
              <w:left w:val="nil"/>
              <w:bottom w:val="nil"/>
              <w:right w:val="nil"/>
            </w:tcBorders>
            <w:shd w:val="clear" w:color="auto" w:fill="auto"/>
            <w:vAlign w:val="center"/>
            <w:hideMark/>
          </w:tcPr>
          <w:p w14:paraId="63ABE31C"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0.7</w:t>
            </w:r>
          </w:p>
        </w:tc>
        <w:tc>
          <w:tcPr>
            <w:tcW w:w="697" w:type="dxa"/>
            <w:tcBorders>
              <w:top w:val="nil"/>
              <w:left w:val="nil"/>
              <w:bottom w:val="nil"/>
              <w:right w:val="nil"/>
            </w:tcBorders>
            <w:shd w:val="clear" w:color="auto" w:fill="auto"/>
            <w:noWrap/>
            <w:vAlign w:val="center"/>
            <w:hideMark/>
          </w:tcPr>
          <w:p w14:paraId="5434A5A0"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0.9</w:t>
            </w:r>
          </w:p>
        </w:tc>
        <w:tc>
          <w:tcPr>
            <w:tcW w:w="804" w:type="dxa"/>
            <w:tcBorders>
              <w:top w:val="nil"/>
              <w:left w:val="nil"/>
              <w:bottom w:val="nil"/>
              <w:right w:val="nil"/>
            </w:tcBorders>
            <w:shd w:val="clear" w:color="auto" w:fill="auto"/>
            <w:noWrap/>
            <w:vAlign w:val="center"/>
            <w:hideMark/>
          </w:tcPr>
          <w:p w14:paraId="02C2E004"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1.3</w:t>
            </w:r>
          </w:p>
        </w:tc>
        <w:tc>
          <w:tcPr>
            <w:tcW w:w="926" w:type="dxa"/>
            <w:tcBorders>
              <w:top w:val="nil"/>
              <w:left w:val="nil"/>
              <w:bottom w:val="nil"/>
              <w:right w:val="nil"/>
            </w:tcBorders>
            <w:shd w:val="clear" w:color="auto" w:fill="auto"/>
            <w:vAlign w:val="center"/>
            <w:hideMark/>
          </w:tcPr>
          <w:p w14:paraId="0918BAB8"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1.4</w:t>
            </w:r>
          </w:p>
        </w:tc>
      </w:tr>
      <w:tr w:rsidR="003C23F1" w:rsidRPr="00636FD7" w14:paraId="10DDD6F1" w14:textId="77777777" w:rsidTr="00A71919">
        <w:trPr>
          <w:trHeight w:val="282"/>
        </w:trPr>
        <w:tc>
          <w:tcPr>
            <w:tcW w:w="2869" w:type="dxa"/>
            <w:tcBorders>
              <w:top w:val="nil"/>
              <w:left w:val="nil"/>
              <w:bottom w:val="nil"/>
              <w:right w:val="nil"/>
            </w:tcBorders>
            <w:shd w:val="clear" w:color="000000" w:fill="FFFFFF"/>
            <w:noWrap/>
            <w:vAlign w:val="center"/>
            <w:hideMark/>
          </w:tcPr>
          <w:p w14:paraId="200E3C9E" w14:textId="77777777" w:rsidR="003C23F1" w:rsidRPr="00636FD7" w:rsidRDefault="003C23F1" w:rsidP="003C23F1">
            <w:pPr>
              <w:spacing w:after="0" w:line="240" w:lineRule="auto"/>
              <w:ind w:firstLineChars="100" w:firstLine="220"/>
              <w:rPr>
                <w:rFonts w:asciiTheme="minorHAnsi" w:eastAsia="Times New Roman" w:hAnsiTheme="minorHAnsi" w:cs="Times New Roman"/>
                <w:b/>
                <w:bCs/>
                <w:color w:val="000000"/>
              </w:rPr>
            </w:pPr>
            <w:r w:rsidRPr="00636FD7">
              <w:rPr>
                <w:rFonts w:asciiTheme="minorHAnsi" w:eastAsia="Times New Roman" w:hAnsiTheme="minorHAnsi" w:cs="Times New Roman"/>
                <w:b/>
                <w:bCs/>
                <w:color w:val="000000"/>
              </w:rPr>
              <w:t xml:space="preserve">Subsidies </w:t>
            </w:r>
          </w:p>
        </w:tc>
        <w:tc>
          <w:tcPr>
            <w:tcW w:w="695" w:type="dxa"/>
            <w:tcBorders>
              <w:top w:val="nil"/>
              <w:left w:val="nil"/>
              <w:bottom w:val="nil"/>
              <w:right w:val="nil"/>
            </w:tcBorders>
            <w:shd w:val="clear" w:color="auto" w:fill="auto"/>
            <w:vAlign w:val="center"/>
            <w:hideMark/>
          </w:tcPr>
          <w:p w14:paraId="5D384DE1"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0.9</w:t>
            </w:r>
          </w:p>
        </w:tc>
        <w:tc>
          <w:tcPr>
            <w:tcW w:w="697" w:type="dxa"/>
            <w:tcBorders>
              <w:top w:val="nil"/>
              <w:left w:val="nil"/>
              <w:bottom w:val="nil"/>
              <w:right w:val="nil"/>
            </w:tcBorders>
            <w:shd w:val="clear" w:color="auto" w:fill="auto"/>
            <w:vAlign w:val="center"/>
            <w:hideMark/>
          </w:tcPr>
          <w:p w14:paraId="54109614"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0.1</w:t>
            </w:r>
          </w:p>
        </w:tc>
        <w:tc>
          <w:tcPr>
            <w:tcW w:w="697" w:type="dxa"/>
            <w:tcBorders>
              <w:top w:val="nil"/>
              <w:left w:val="nil"/>
              <w:bottom w:val="nil"/>
              <w:right w:val="nil"/>
            </w:tcBorders>
            <w:shd w:val="clear" w:color="auto" w:fill="auto"/>
            <w:vAlign w:val="center"/>
            <w:hideMark/>
          </w:tcPr>
          <w:p w14:paraId="1B5A5DA0"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0.3</w:t>
            </w:r>
          </w:p>
        </w:tc>
        <w:tc>
          <w:tcPr>
            <w:tcW w:w="697" w:type="dxa"/>
            <w:tcBorders>
              <w:top w:val="nil"/>
              <w:left w:val="nil"/>
              <w:bottom w:val="nil"/>
              <w:right w:val="nil"/>
            </w:tcBorders>
            <w:shd w:val="clear" w:color="auto" w:fill="auto"/>
            <w:vAlign w:val="center"/>
            <w:hideMark/>
          </w:tcPr>
          <w:p w14:paraId="74C68D3A"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0.0</w:t>
            </w:r>
          </w:p>
        </w:tc>
        <w:tc>
          <w:tcPr>
            <w:tcW w:w="697" w:type="dxa"/>
            <w:tcBorders>
              <w:top w:val="nil"/>
              <w:left w:val="nil"/>
              <w:bottom w:val="nil"/>
              <w:right w:val="nil"/>
            </w:tcBorders>
            <w:shd w:val="clear" w:color="auto" w:fill="auto"/>
            <w:vAlign w:val="center"/>
            <w:hideMark/>
          </w:tcPr>
          <w:p w14:paraId="0024DC91"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1.1</w:t>
            </w:r>
          </w:p>
        </w:tc>
        <w:tc>
          <w:tcPr>
            <w:tcW w:w="697" w:type="dxa"/>
            <w:tcBorders>
              <w:top w:val="nil"/>
              <w:left w:val="nil"/>
              <w:bottom w:val="nil"/>
              <w:right w:val="nil"/>
            </w:tcBorders>
            <w:shd w:val="clear" w:color="auto" w:fill="auto"/>
            <w:vAlign w:val="center"/>
            <w:hideMark/>
          </w:tcPr>
          <w:p w14:paraId="212E48C5"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1.2</w:t>
            </w:r>
          </w:p>
        </w:tc>
        <w:tc>
          <w:tcPr>
            <w:tcW w:w="697" w:type="dxa"/>
            <w:tcBorders>
              <w:top w:val="nil"/>
              <w:left w:val="nil"/>
              <w:bottom w:val="nil"/>
              <w:right w:val="nil"/>
            </w:tcBorders>
            <w:shd w:val="clear" w:color="auto" w:fill="auto"/>
            <w:noWrap/>
            <w:vAlign w:val="center"/>
            <w:hideMark/>
          </w:tcPr>
          <w:p w14:paraId="07AA79D9"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0.4</w:t>
            </w:r>
          </w:p>
        </w:tc>
        <w:tc>
          <w:tcPr>
            <w:tcW w:w="804" w:type="dxa"/>
            <w:tcBorders>
              <w:top w:val="nil"/>
              <w:left w:val="nil"/>
              <w:bottom w:val="nil"/>
              <w:right w:val="nil"/>
            </w:tcBorders>
            <w:shd w:val="clear" w:color="auto" w:fill="auto"/>
            <w:noWrap/>
            <w:vAlign w:val="center"/>
            <w:hideMark/>
          </w:tcPr>
          <w:p w14:paraId="32113840"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0.0</w:t>
            </w:r>
          </w:p>
        </w:tc>
        <w:tc>
          <w:tcPr>
            <w:tcW w:w="926" w:type="dxa"/>
            <w:tcBorders>
              <w:top w:val="nil"/>
              <w:left w:val="nil"/>
              <w:bottom w:val="nil"/>
              <w:right w:val="nil"/>
            </w:tcBorders>
            <w:shd w:val="clear" w:color="auto" w:fill="auto"/>
            <w:vAlign w:val="center"/>
            <w:hideMark/>
          </w:tcPr>
          <w:p w14:paraId="59A7AE7D"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0.0</w:t>
            </w:r>
          </w:p>
        </w:tc>
      </w:tr>
      <w:tr w:rsidR="003C23F1" w:rsidRPr="00636FD7" w14:paraId="740E6E29" w14:textId="77777777" w:rsidTr="00A71919">
        <w:trPr>
          <w:trHeight w:val="282"/>
        </w:trPr>
        <w:tc>
          <w:tcPr>
            <w:tcW w:w="2869" w:type="dxa"/>
            <w:tcBorders>
              <w:top w:val="nil"/>
              <w:left w:val="nil"/>
              <w:bottom w:val="nil"/>
              <w:right w:val="nil"/>
            </w:tcBorders>
            <w:shd w:val="clear" w:color="000000" w:fill="FFFFFF"/>
            <w:noWrap/>
            <w:vAlign w:val="center"/>
            <w:hideMark/>
          </w:tcPr>
          <w:p w14:paraId="298B93C0" w14:textId="77777777" w:rsidR="007C6DD3" w:rsidRDefault="003C23F1" w:rsidP="003C23F1">
            <w:pPr>
              <w:spacing w:after="0" w:line="240" w:lineRule="auto"/>
              <w:ind w:firstLineChars="100" w:firstLine="220"/>
              <w:rPr>
                <w:rFonts w:asciiTheme="minorHAnsi" w:eastAsia="Times New Roman" w:hAnsiTheme="minorHAnsi" w:cs="Times New Roman"/>
                <w:b/>
                <w:bCs/>
                <w:color w:val="000000"/>
              </w:rPr>
            </w:pPr>
            <w:r w:rsidRPr="00636FD7">
              <w:rPr>
                <w:rFonts w:asciiTheme="minorHAnsi" w:eastAsia="Times New Roman" w:hAnsiTheme="minorHAnsi" w:cs="Times New Roman"/>
                <w:b/>
                <w:bCs/>
                <w:color w:val="000000"/>
              </w:rPr>
              <w:t xml:space="preserve">Intragovernmental </w:t>
            </w:r>
            <w:r w:rsidR="007C6DD3">
              <w:rPr>
                <w:rFonts w:asciiTheme="minorHAnsi" w:eastAsia="Times New Roman" w:hAnsiTheme="minorHAnsi" w:cs="Times New Roman"/>
                <w:b/>
                <w:bCs/>
                <w:color w:val="000000"/>
              </w:rPr>
              <w:t xml:space="preserve">     </w:t>
            </w:r>
          </w:p>
          <w:p w14:paraId="6AAFE911" w14:textId="77777777" w:rsidR="003C23F1" w:rsidRPr="00636FD7" w:rsidRDefault="007C6DD3" w:rsidP="003C23F1">
            <w:pPr>
              <w:spacing w:after="0" w:line="240" w:lineRule="auto"/>
              <w:ind w:firstLineChars="100" w:firstLine="220"/>
              <w:rPr>
                <w:rFonts w:asciiTheme="minorHAnsi" w:eastAsia="Times New Roman" w:hAnsiTheme="minorHAnsi" w:cs="Times New Roman"/>
                <w:b/>
                <w:bCs/>
                <w:color w:val="000000"/>
              </w:rPr>
            </w:pPr>
            <w:r>
              <w:rPr>
                <w:rFonts w:asciiTheme="minorHAnsi" w:eastAsia="Times New Roman" w:hAnsiTheme="minorHAnsi" w:cs="Times New Roman"/>
                <w:b/>
                <w:bCs/>
                <w:color w:val="000000"/>
              </w:rPr>
              <w:t xml:space="preserve">    </w:t>
            </w:r>
            <w:r w:rsidR="003C23F1" w:rsidRPr="00636FD7">
              <w:rPr>
                <w:rFonts w:asciiTheme="minorHAnsi" w:eastAsia="Times New Roman" w:hAnsiTheme="minorHAnsi" w:cs="Times New Roman"/>
                <w:b/>
                <w:bCs/>
                <w:color w:val="000000"/>
              </w:rPr>
              <w:t>Transfers</w:t>
            </w:r>
          </w:p>
        </w:tc>
        <w:tc>
          <w:tcPr>
            <w:tcW w:w="695" w:type="dxa"/>
            <w:tcBorders>
              <w:top w:val="nil"/>
              <w:left w:val="nil"/>
              <w:bottom w:val="nil"/>
              <w:right w:val="nil"/>
            </w:tcBorders>
            <w:shd w:val="clear" w:color="auto" w:fill="auto"/>
            <w:vAlign w:val="center"/>
            <w:hideMark/>
          </w:tcPr>
          <w:p w14:paraId="798D137A"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2.2</w:t>
            </w:r>
          </w:p>
        </w:tc>
        <w:tc>
          <w:tcPr>
            <w:tcW w:w="697" w:type="dxa"/>
            <w:tcBorders>
              <w:top w:val="nil"/>
              <w:left w:val="nil"/>
              <w:bottom w:val="nil"/>
              <w:right w:val="nil"/>
            </w:tcBorders>
            <w:shd w:val="clear" w:color="auto" w:fill="auto"/>
            <w:vAlign w:val="center"/>
            <w:hideMark/>
          </w:tcPr>
          <w:p w14:paraId="34313B83"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1.5</w:t>
            </w:r>
          </w:p>
        </w:tc>
        <w:tc>
          <w:tcPr>
            <w:tcW w:w="697" w:type="dxa"/>
            <w:tcBorders>
              <w:top w:val="nil"/>
              <w:left w:val="nil"/>
              <w:bottom w:val="nil"/>
              <w:right w:val="nil"/>
            </w:tcBorders>
            <w:shd w:val="clear" w:color="auto" w:fill="auto"/>
            <w:vAlign w:val="center"/>
            <w:hideMark/>
          </w:tcPr>
          <w:p w14:paraId="5FC4E4BC"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2.1</w:t>
            </w:r>
          </w:p>
        </w:tc>
        <w:tc>
          <w:tcPr>
            <w:tcW w:w="697" w:type="dxa"/>
            <w:tcBorders>
              <w:top w:val="nil"/>
              <w:left w:val="nil"/>
              <w:bottom w:val="nil"/>
              <w:right w:val="nil"/>
            </w:tcBorders>
            <w:shd w:val="clear" w:color="auto" w:fill="auto"/>
            <w:vAlign w:val="center"/>
            <w:hideMark/>
          </w:tcPr>
          <w:p w14:paraId="1F87D977"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2.2</w:t>
            </w:r>
          </w:p>
        </w:tc>
        <w:tc>
          <w:tcPr>
            <w:tcW w:w="697" w:type="dxa"/>
            <w:tcBorders>
              <w:top w:val="nil"/>
              <w:left w:val="nil"/>
              <w:bottom w:val="nil"/>
              <w:right w:val="nil"/>
            </w:tcBorders>
            <w:shd w:val="clear" w:color="auto" w:fill="auto"/>
            <w:vAlign w:val="center"/>
            <w:hideMark/>
          </w:tcPr>
          <w:p w14:paraId="39AE638D"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2.6</w:t>
            </w:r>
          </w:p>
        </w:tc>
        <w:tc>
          <w:tcPr>
            <w:tcW w:w="697" w:type="dxa"/>
            <w:tcBorders>
              <w:top w:val="nil"/>
              <w:left w:val="nil"/>
              <w:bottom w:val="nil"/>
              <w:right w:val="nil"/>
            </w:tcBorders>
            <w:shd w:val="clear" w:color="auto" w:fill="auto"/>
            <w:vAlign w:val="center"/>
            <w:hideMark/>
          </w:tcPr>
          <w:p w14:paraId="722DF056"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2.3</w:t>
            </w:r>
          </w:p>
        </w:tc>
        <w:tc>
          <w:tcPr>
            <w:tcW w:w="697" w:type="dxa"/>
            <w:tcBorders>
              <w:top w:val="nil"/>
              <w:left w:val="nil"/>
              <w:bottom w:val="nil"/>
              <w:right w:val="nil"/>
            </w:tcBorders>
            <w:shd w:val="clear" w:color="auto" w:fill="auto"/>
            <w:noWrap/>
            <w:vAlign w:val="center"/>
            <w:hideMark/>
          </w:tcPr>
          <w:p w14:paraId="676A0475"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2.1</w:t>
            </w:r>
          </w:p>
        </w:tc>
        <w:tc>
          <w:tcPr>
            <w:tcW w:w="804" w:type="dxa"/>
            <w:tcBorders>
              <w:top w:val="nil"/>
              <w:left w:val="nil"/>
              <w:bottom w:val="nil"/>
              <w:right w:val="nil"/>
            </w:tcBorders>
            <w:shd w:val="clear" w:color="auto" w:fill="auto"/>
            <w:noWrap/>
            <w:vAlign w:val="center"/>
            <w:hideMark/>
          </w:tcPr>
          <w:p w14:paraId="6939E806"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3.1</w:t>
            </w:r>
          </w:p>
        </w:tc>
        <w:tc>
          <w:tcPr>
            <w:tcW w:w="926" w:type="dxa"/>
            <w:tcBorders>
              <w:top w:val="nil"/>
              <w:left w:val="nil"/>
              <w:bottom w:val="nil"/>
              <w:right w:val="nil"/>
            </w:tcBorders>
            <w:shd w:val="clear" w:color="auto" w:fill="auto"/>
            <w:vAlign w:val="center"/>
            <w:hideMark/>
          </w:tcPr>
          <w:p w14:paraId="6D87211E"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3.2</w:t>
            </w:r>
          </w:p>
        </w:tc>
      </w:tr>
      <w:tr w:rsidR="003C23F1" w:rsidRPr="00636FD7" w14:paraId="644361BC" w14:textId="77777777" w:rsidTr="00A71919">
        <w:trPr>
          <w:trHeight w:val="282"/>
        </w:trPr>
        <w:tc>
          <w:tcPr>
            <w:tcW w:w="2869" w:type="dxa"/>
            <w:tcBorders>
              <w:top w:val="nil"/>
              <w:left w:val="nil"/>
              <w:bottom w:val="nil"/>
              <w:right w:val="nil"/>
            </w:tcBorders>
            <w:shd w:val="clear" w:color="000000" w:fill="FFFFFF"/>
            <w:noWrap/>
            <w:vAlign w:val="center"/>
            <w:hideMark/>
          </w:tcPr>
          <w:p w14:paraId="68A51B3F" w14:textId="77777777" w:rsidR="003C23F1" w:rsidRPr="00636FD7" w:rsidRDefault="003C23F1" w:rsidP="003C23F1">
            <w:pPr>
              <w:spacing w:after="0" w:line="240" w:lineRule="auto"/>
              <w:ind w:firstLineChars="100" w:firstLine="220"/>
              <w:rPr>
                <w:rFonts w:asciiTheme="minorHAnsi" w:eastAsia="Times New Roman" w:hAnsiTheme="minorHAnsi" w:cs="Times New Roman"/>
                <w:b/>
                <w:bCs/>
                <w:color w:val="000000"/>
              </w:rPr>
            </w:pPr>
            <w:r w:rsidRPr="00636FD7">
              <w:rPr>
                <w:rFonts w:asciiTheme="minorHAnsi" w:eastAsia="Times New Roman" w:hAnsiTheme="minorHAnsi" w:cs="Times New Roman"/>
                <w:b/>
                <w:bCs/>
                <w:color w:val="000000"/>
              </w:rPr>
              <w:t>Other Expenditures</w:t>
            </w:r>
          </w:p>
        </w:tc>
        <w:tc>
          <w:tcPr>
            <w:tcW w:w="695" w:type="dxa"/>
            <w:tcBorders>
              <w:top w:val="nil"/>
              <w:left w:val="nil"/>
              <w:bottom w:val="nil"/>
              <w:right w:val="nil"/>
            </w:tcBorders>
            <w:shd w:val="clear" w:color="auto" w:fill="auto"/>
            <w:vAlign w:val="center"/>
            <w:hideMark/>
          </w:tcPr>
          <w:p w14:paraId="21131F93"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1.4</w:t>
            </w:r>
          </w:p>
        </w:tc>
        <w:tc>
          <w:tcPr>
            <w:tcW w:w="697" w:type="dxa"/>
            <w:tcBorders>
              <w:top w:val="nil"/>
              <w:left w:val="nil"/>
              <w:bottom w:val="nil"/>
              <w:right w:val="nil"/>
            </w:tcBorders>
            <w:shd w:val="clear" w:color="auto" w:fill="auto"/>
            <w:vAlign w:val="center"/>
            <w:hideMark/>
          </w:tcPr>
          <w:p w14:paraId="75AEFC27"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2.2</w:t>
            </w:r>
          </w:p>
        </w:tc>
        <w:tc>
          <w:tcPr>
            <w:tcW w:w="697" w:type="dxa"/>
            <w:tcBorders>
              <w:top w:val="nil"/>
              <w:left w:val="nil"/>
              <w:bottom w:val="nil"/>
              <w:right w:val="nil"/>
            </w:tcBorders>
            <w:shd w:val="clear" w:color="auto" w:fill="auto"/>
            <w:vAlign w:val="center"/>
            <w:hideMark/>
          </w:tcPr>
          <w:p w14:paraId="550C5562"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2.2</w:t>
            </w:r>
          </w:p>
        </w:tc>
        <w:tc>
          <w:tcPr>
            <w:tcW w:w="697" w:type="dxa"/>
            <w:tcBorders>
              <w:top w:val="nil"/>
              <w:left w:val="nil"/>
              <w:bottom w:val="nil"/>
              <w:right w:val="nil"/>
            </w:tcBorders>
            <w:shd w:val="clear" w:color="auto" w:fill="auto"/>
            <w:vAlign w:val="center"/>
            <w:hideMark/>
          </w:tcPr>
          <w:p w14:paraId="55347C1F"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3.1</w:t>
            </w:r>
          </w:p>
        </w:tc>
        <w:tc>
          <w:tcPr>
            <w:tcW w:w="697" w:type="dxa"/>
            <w:tcBorders>
              <w:top w:val="nil"/>
              <w:left w:val="nil"/>
              <w:bottom w:val="nil"/>
              <w:right w:val="nil"/>
            </w:tcBorders>
            <w:shd w:val="clear" w:color="auto" w:fill="auto"/>
            <w:vAlign w:val="center"/>
            <w:hideMark/>
          </w:tcPr>
          <w:p w14:paraId="598AA433"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3.9</w:t>
            </w:r>
          </w:p>
        </w:tc>
        <w:tc>
          <w:tcPr>
            <w:tcW w:w="697" w:type="dxa"/>
            <w:tcBorders>
              <w:top w:val="nil"/>
              <w:left w:val="nil"/>
              <w:bottom w:val="nil"/>
              <w:right w:val="nil"/>
            </w:tcBorders>
            <w:shd w:val="clear" w:color="auto" w:fill="auto"/>
            <w:vAlign w:val="center"/>
            <w:hideMark/>
          </w:tcPr>
          <w:p w14:paraId="36CA2ACB"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2.1</w:t>
            </w:r>
          </w:p>
        </w:tc>
        <w:tc>
          <w:tcPr>
            <w:tcW w:w="697" w:type="dxa"/>
            <w:tcBorders>
              <w:top w:val="nil"/>
              <w:left w:val="nil"/>
              <w:bottom w:val="nil"/>
              <w:right w:val="nil"/>
            </w:tcBorders>
            <w:shd w:val="clear" w:color="auto" w:fill="auto"/>
            <w:noWrap/>
            <w:vAlign w:val="center"/>
            <w:hideMark/>
          </w:tcPr>
          <w:p w14:paraId="04D887AA"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3.1</w:t>
            </w:r>
          </w:p>
        </w:tc>
        <w:tc>
          <w:tcPr>
            <w:tcW w:w="804" w:type="dxa"/>
            <w:tcBorders>
              <w:top w:val="nil"/>
              <w:left w:val="nil"/>
              <w:bottom w:val="nil"/>
              <w:right w:val="nil"/>
            </w:tcBorders>
            <w:shd w:val="clear" w:color="auto" w:fill="auto"/>
            <w:noWrap/>
            <w:vAlign w:val="center"/>
            <w:hideMark/>
          </w:tcPr>
          <w:p w14:paraId="01D9370A"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1.2</w:t>
            </w:r>
          </w:p>
        </w:tc>
        <w:tc>
          <w:tcPr>
            <w:tcW w:w="926" w:type="dxa"/>
            <w:tcBorders>
              <w:top w:val="nil"/>
              <w:left w:val="nil"/>
              <w:bottom w:val="nil"/>
              <w:right w:val="nil"/>
            </w:tcBorders>
            <w:shd w:val="clear" w:color="auto" w:fill="auto"/>
            <w:vAlign w:val="center"/>
            <w:hideMark/>
          </w:tcPr>
          <w:p w14:paraId="0521298B"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1.1</w:t>
            </w:r>
          </w:p>
        </w:tc>
      </w:tr>
      <w:tr w:rsidR="003C23F1" w:rsidRPr="00636FD7" w14:paraId="590A3DD4" w14:textId="77777777" w:rsidTr="00A71919">
        <w:trPr>
          <w:trHeight w:val="282"/>
        </w:trPr>
        <w:tc>
          <w:tcPr>
            <w:tcW w:w="2869" w:type="dxa"/>
            <w:tcBorders>
              <w:top w:val="nil"/>
              <w:left w:val="nil"/>
              <w:bottom w:val="nil"/>
              <w:right w:val="nil"/>
            </w:tcBorders>
            <w:shd w:val="clear" w:color="000000" w:fill="FFFFFF"/>
            <w:noWrap/>
            <w:vAlign w:val="center"/>
            <w:hideMark/>
          </w:tcPr>
          <w:p w14:paraId="08094886" w14:textId="77777777" w:rsidR="003C23F1" w:rsidRPr="00636FD7" w:rsidRDefault="003C23F1" w:rsidP="003C23F1">
            <w:pPr>
              <w:spacing w:after="0" w:line="240" w:lineRule="auto"/>
              <w:ind w:firstLineChars="100" w:firstLine="220"/>
              <w:rPr>
                <w:rFonts w:asciiTheme="minorHAnsi" w:eastAsia="Times New Roman" w:hAnsiTheme="minorHAnsi" w:cs="Times New Roman"/>
                <w:b/>
                <w:bCs/>
                <w:color w:val="000000"/>
              </w:rPr>
            </w:pPr>
            <w:r w:rsidRPr="00636FD7">
              <w:rPr>
                <w:rFonts w:asciiTheme="minorHAnsi" w:eastAsia="Times New Roman" w:hAnsiTheme="minorHAnsi" w:cs="Times New Roman"/>
                <w:b/>
                <w:bCs/>
                <w:color w:val="000000"/>
              </w:rPr>
              <w:t>Capital Investment</w:t>
            </w:r>
          </w:p>
        </w:tc>
        <w:tc>
          <w:tcPr>
            <w:tcW w:w="695" w:type="dxa"/>
            <w:tcBorders>
              <w:top w:val="nil"/>
              <w:left w:val="nil"/>
              <w:bottom w:val="nil"/>
              <w:right w:val="nil"/>
            </w:tcBorders>
            <w:shd w:val="clear" w:color="auto" w:fill="auto"/>
            <w:vAlign w:val="center"/>
            <w:hideMark/>
          </w:tcPr>
          <w:p w14:paraId="67300210"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7.3</w:t>
            </w:r>
          </w:p>
        </w:tc>
        <w:tc>
          <w:tcPr>
            <w:tcW w:w="697" w:type="dxa"/>
            <w:tcBorders>
              <w:top w:val="nil"/>
              <w:left w:val="nil"/>
              <w:bottom w:val="nil"/>
              <w:right w:val="nil"/>
            </w:tcBorders>
            <w:shd w:val="clear" w:color="auto" w:fill="auto"/>
            <w:vAlign w:val="center"/>
            <w:hideMark/>
          </w:tcPr>
          <w:p w14:paraId="37CC014C"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6.0</w:t>
            </w:r>
          </w:p>
        </w:tc>
        <w:tc>
          <w:tcPr>
            <w:tcW w:w="697" w:type="dxa"/>
            <w:tcBorders>
              <w:top w:val="nil"/>
              <w:left w:val="nil"/>
              <w:bottom w:val="nil"/>
              <w:right w:val="nil"/>
            </w:tcBorders>
            <w:shd w:val="clear" w:color="auto" w:fill="auto"/>
            <w:noWrap/>
            <w:vAlign w:val="center"/>
            <w:hideMark/>
          </w:tcPr>
          <w:p w14:paraId="285A8026"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5.9</w:t>
            </w:r>
          </w:p>
        </w:tc>
        <w:tc>
          <w:tcPr>
            <w:tcW w:w="697" w:type="dxa"/>
            <w:tcBorders>
              <w:top w:val="nil"/>
              <w:left w:val="nil"/>
              <w:bottom w:val="nil"/>
              <w:right w:val="nil"/>
            </w:tcBorders>
            <w:shd w:val="clear" w:color="auto" w:fill="auto"/>
            <w:noWrap/>
            <w:vAlign w:val="center"/>
            <w:hideMark/>
          </w:tcPr>
          <w:p w14:paraId="32F30CD8"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3.8</w:t>
            </w:r>
          </w:p>
        </w:tc>
        <w:tc>
          <w:tcPr>
            <w:tcW w:w="697" w:type="dxa"/>
            <w:tcBorders>
              <w:top w:val="nil"/>
              <w:left w:val="nil"/>
              <w:bottom w:val="nil"/>
              <w:right w:val="nil"/>
            </w:tcBorders>
            <w:shd w:val="clear" w:color="auto" w:fill="auto"/>
            <w:noWrap/>
            <w:vAlign w:val="center"/>
            <w:hideMark/>
          </w:tcPr>
          <w:p w14:paraId="3140888C"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4.8</w:t>
            </w:r>
          </w:p>
        </w:tc>
        <w:tc>
          <w:tcPr>
            <w:tcW w:w="697" w:type="dxa"/>
            <w:tcBorders>
              <w:top w:val="nil"/>
              <w:left w:val="nil"/>
              <w:bottom w:val="nil"/>
              <w:right w:val="nil"/>
            </w:tcBorders>
            <w:shd w:val="clear" w:color="auto" w:fill="auto"/>
            <w:noWrap/>
            <w:vAlign w:val="center"/>
            <w:hideMark/>
          </w:tcPr>
          <w:p w14:paraId="13C320AE"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4.6</w:t>
            </w:r>
          </w:p>
        </w:tc>
        <w:tc>
          <w:tcPr>
            <w:tcW w:w="697" w:type="dxa"/>
            <w:tcBorders>
              <w:top w:val="nil"/>
              <w:left w:val="nil"/>
              <w:bottom w:val="nil"/>
              <w:right w:val="nil"/>
            </w:tcBorders>
            <w:shd w:val="clear" w:color="auto" w:fill="auto"/>
            <w:noWrap/>
            <w:vAlign w:val="center"/>
            <w:hideMark/>
          </w:tcPr>
          <w:p w14:paraId="3FC96111"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5.4</w:t>
            </w:r>
          </w:p>
        </w:tc>
        <w:tc>
          <w:tcPr>
            <w:tcW w:w="804" w:type="dxa"/>
            <w:tcBorders>
              <w:top w:val="nil"/>
              <w:left w:val="nil"/>
              <w:bottom w:val="nil"/>
              <w:right w:val="nil"/>
            </w:tcBorders>
            <w:shd w:val="clear" w:color="auto" w:fill="auto"/>
            <w:noWrap/>
            <w:vAlign w:val="center"/>
            <w:hideMark/>
          </w:tcPr>
          <w:p w14:paraId="2B9DA94F"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5.1</w:t>
            </w:r>
          </w:p>
        </w:tc>
        <w:tc>
          <w:tcPr>
            <w:tcW w:w="926" w:type="dxa"/>
            <w:tcBorders>
              <w:top w:val="nil"/>
              <w:left w:val="nil"/>
              <w:bottom w:val="nil"/>
              <w:right w:val="nil"/>
            </w:tcBorders>
            <w:shd w:val="clear" w:color="auto" w:fill="auto"/>
            <w:vAlign w:val="center"/>
            <w:hideMark/>
          </w:tcPr>
          <w:p w14:paraId="5A751743"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4.5</w:t>
            </w:r>
          </w:p>
        </w:tc>
      </w:tr>
      <w:tr w:rsidR="003C23F1" w:rsidRPr="00636FD7" w14:paraId="4F782D16" w14:textId="77777777" w:rsidTr="00A71919">
        <w:trPr>
          <w:trHeight w:val="282"/>
        </w:trPr>
        <w:tc>
          <w:tcPr>
            <w:tcW w:w="2869" w:type="dxa"/>
            <w:tcBorders>
              <w:top w:val="nil"/>
              <w:left w:val="nil"/>
              <w:bottom w:val="nil"/>
              <w:right w:val="nil"/>
            </w:tcBorders>
            <w:shd w:val="clear" w:color="000000" w:fill="FFFFFF"/>
            <w:noWrap/>
            <w:vAlign w:val="center"/>
            <w:hideMark/>
          </w:tcPr>
          <w:p w14:paraId="78F2DBB5" w14:textId="77777777" w:rsidR="003C23F1" w:rsidRPr="00636FD7" w:rsidRDefault="003C23F1" w:rsidP="003C23F1">
            <w:pPr>
              <w:spacing w:after="0" w:line="240" w:lineRule="auto"/>
              <w:ind w:firstLineChars="200" w:firstLine="440"/>
              <w:rPr>
                <w:rFonts w:asciiTheme="minorHAnsi" w:eastAsia="Times New Roman" w:hAnsiTheme="minorHAnsi" w:cs="Times New Roman"/>
                <w:color w:val="000000"/>
              </w:rPr>
            </w:pPr>
            <w:r w:rsidRPr="00636FD7">
              <w:rPr>
                <w:rFonts w:asciiTheme="minorHAnsi" w:eastAsia="Times New Roman" w:hAnsiTheme="minorHAnsi" w:cs="Times New Roman"/>
                <w:color w:val="000000"/>
              </w:rPr>
              <w:t>Domestic</w:t>
            </w:r>
          </w:p>
        </w:tc>
        <w:tc>
          <w:tcPr>
            <w:tcW w:w="695" w:type="dxa"/>
            <w:tcBorders>
              <w:top w:val="nil"/>
              <w:left w:val="nil"/>
              <w:bottom w:val="nil"/>
              <w:right w:val="nil"/>
            </w:tcBorders>
            <w:shd w:val="clear" w:color="auto" w:fill="auto"/>
            <w:noWrap/>
            <w:vAlign w:val="center"/>
            <w:hideMark/>
          </w:tcPr>
          <w:p w14:paraId="17E3ABF6"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4.2</w:t>
            </w:r>
          </w:p>
        </w:tc>
        <w:tc>
          <w:tcPr>
            <w:tcW w:w="697" w:type="dxa"/>
            <w:tcBorders>
              <w:top w:val="nil"/>
              <w:left w:val="nil"/>
              <w:bottom w:val="nil"/>
              <w:right w:val="nil"/>
            </w:tcBorders>
            <w:shd w:val="clear" w:color="auto" w:fill="auto"/>
            <w:noWrap/>
            <w:vAlign w:val="center"/>
            <w:hideMark/>
          </w:tcPr>
          <w:p w14:paraId="1448C3ED"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1.6</w:t>
            </w:r>
          </w:p>
        </w:tc>
        <w:tc>
          <w:tcPr>
            <w:tcW w:w="697" w:type="dxa"/>
            <w:tcBorders>
              <w:top w:val="nil"/>
              <w:left w:val="nil"/>
              <w:bottom w:val="nil"/>
              <w:right w:val="nil"/>
            </w:tcBorders>
            <w:shd w:val="clear" w:color="auto" w:fill="auto"/>
            <w:noWrap/>
            <w:vAlign w:val="center"/>
            <w:hideMark/>
          </w:tcPr>
          <w:p w14:paraId="4691207B"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1.5</w:t>
            </w:r>
          </w:p>
        </w:tc>
        <w:tc>
          <w:tcPr>
            <w:tcW w:w="697" w:type="dxa"/>
            <w:tcBorders>
              <w:top w:val="nil"/>
              <w:left w:val="nil"/>
              <w:bottom w:val="nil"/>
              <w:right w:val="nil"/>
            </w:tcBorders>
            <w:shd w:val="clear" w:color="auto" w:fill="auto"/>
            <w:noWrap/>
            <w:vAlign w:val="center"/>
            <w:hideMark/>
          </w:tcPr>
          <w:p w14:paraId="4897F02A"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0.9</w:t>
            </w:r>
          </w:p>
        </w:tc>
        <w:tc>
          <w:tcPr>
            <w:tcW w:w="697" w:type="dxa"/>
            <w:tcBorders>
              <w:top w:val="nil"/>
              <w:left w:val="nil"/>
              <w:bottom w:val="nil"/>
              <w:right w:val="nil"/>
            </w:tcBorders>
            <w:shd w:val="clear" w:color="auto" w:fill="auto"/>
            <w:noWrap/>
            <w:vAlign w:val="center"/>
            <w:hideMark/>
          </w:tcPr>
          <w:p w14:paraId="07E5612A"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1.4</w:t>
            </w:r>
          </w:p>
        </w:tc>
        <w:tc>
          <w:tcPr>
            <w:tcW w:w="697" w:type="dxa"/>
            <w:tcBorders>
              <w:top w:val="nil"/>
              <w:left w:val="nil"/>
              <w:bottom w:val="nil"/>
              <w:right w:val="nil"/>
            </w:tcBorders>
            <w:shd w:val="clear" w:color="auto" w:fill="auto"/>
            <w:noWrap/>
            <w:vAlign w:val="center"/>
            <w:hideMark/>
          </w:tcPr>
          <w:p w14:paraId="05CD3CF0"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1.8</w:t>
            </w:r>
          </w:p>
        </w:tc>
        <w:tc>
          <w:tcPr>
            <w:tcW w:w="697" w:type="dxa"/>
            <w:tcBorders>
              <w:top w:val="nil"/>
              <w:left w:val="nil"/>
              <w:bottom w:val="nil"/>
              <w:right w:val="nil"/>
            </w:tcBorders>
            <w:shd w:val="clear" w:color="auto" w:fill="auto"/>
            <w:noWrap/>
            <w:vAlign w:val="center"/>
            <w:hideMark/>
          </w:tcPr>
          <w:p w14:paraId="2DA76AE7"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1.1</w:t>
            </w:r>
          </w:p>
        </w:tc>
        <w:tc>
          <w:tcPr>
            <w:tcW w:w="804" w:type="dxa"/>
            <w:tcBorders>
              <w:top w:val="nil"/>
              <w:left w:val="nil"/>
              <w:bottom w:val="nil"/>
              <w:right w:val="nil"/>
            </w:tcBorders>
            <w:shd w:val="clear" w:color="auto" w:fill="auto"/>
            <w:noWrap/>
            <w:vAlign w:val="center"/>
            <w:hideMark/>
          </w:tcPr>
          <w:p w14:paraId="0ABCDDBD"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0.9</w:t>
            </w:r>
          </w:p>
        </w:tc>
        <w:tc>
          <w:tcPr>
            <w:tcW w:w="926" w:type="dxa"/>
            <w:tcBorders>
              <w:top w:val="nil"/>
              <w:left w:val="nil"/>
              <w:bottom w:val="nil"/>
              <w:right w:val="nil"/>
            </w:tcBorders>
            <w:shd w:val="clear" w:color="auto" w:fill="auto"/>
            <w:vAlign w:val="center"/>
            <w:hideMark/>
          </w:tcPr>
          <w:p w14:paraId="0A934985"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1.2</w:t>
            </w:r>
          </w:p>
        </w:tc>
      </w:tr>
      <w:tr w:rsidR="003C23F1" w:rsidRPr="00636FD7" w14:paraId="266CE83C" w14:textId="77777777" w:rsidTr="00A71919">
        <w:trPr>
          <w:trHeight w:val="282"/>
        </w:trPr>
        <w:tc>
          <w:tcPr>
            <w:tcW w:w="2869" w:type="dxa"/>
            <w:tcBorders>
              <w:top w:val="nil"/>
              <w:left w:val="nil"/>
              <w:bottom w:val="nil"/>
              <w:right w:val="nil"/>
            </w:tcBorders>
            <w:shd w:val="clear" w:color="000000" w:fill="FFFFFF"/>
            <w:noWrap/>
            <w:vAlign w:val="center"/>
            <w:hideMark/>
          </w:tcPr>
          <w:p w14:paraId="5066808E" w14:textId="77777777" w:rsidR="003C23F1" w:rsidRPr="00636FD7" w:rsidRDefault="003C23F1" w:rsidP="003C23F1">
            <w:pPr>
              <w:spacing w:after="0" w:line="240" w:lineRule="auto"/>
              <w:ind w:firstLineChars="200" w:firstLine="440"/>
              <w:rPr>
                <w:rFonts w:asciiTheme="minorHAnsi" w:eastAsia="Times New Roman" w:hAnsiTheme="minorHAnsi" w:cs="Times New Roman"/>
                <w:color w:val="000000"/>
              </w:rPr>
            </w:pPr>
            <w:r w:rsidRPr="00636FD7">
              <w:rPr>
                <w:rFonts w:asciiTheme="minorHAnsi" w:eastAsia="Times New Roman" w:hAnsiTheme="minorHAnsi" w:cs="Times New Roman"/>
                <w:color w:val="000000"/>
              </w:rPr>
              <w:t>Foreign</w:t>
            </w:r>
          </w:p>
        </w:tc>
        <w:tc>
          <w:tcPr>
            <w:tcW w:w="695" w:type="dxa"/>
            <w:tcBorders>
              <w:top w:val="nil"/>
              <w:left w:val="nil"/>
              <w:bottom w:val="nil"/>
              <w:right w:val="nil"/>
            </w:tcBorders>
            <w:shd w:val="clear" w:color="auto" w:fill="auto"/>
            <w:noWrap/>
            <w:vAlign w:val="center"/>
            <w:hideMark/>
          </w:tcPr>
          <w:p w14:paraId="075EA014"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3.0</w:t>
            </w:r>
          </w:p>
        </w:tc>
        <w:tc>
          <w:tcPr>
            <w:tcW w:w="697" w:type="dxa"/>
            <w:tcBorders>
              <w:top w:val="nil"/>
              <w:left w:val="nil"/>
              <w:bottom w:val="nil"/>
              <w:right w:val="nil"/>
            </w:tcBorders>
            <w:shd w:val="clear" w:color="auto" w:fill="auto"/>
            <w:noWrap/>
            <w:vAlign w:val="center"/>
            <w:hideMark/>
          </w:tcPr>
          <w:p w14:paraId="542FE699"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4.4</w:t>
            </w:r>
          </w:p>
        </w:tc>
        <w:tc>
          <w:tcPr>
            <w:tcW w:w="697" w:type="dxa"/>
            <w:tcBorders>
              <w:top w:val="nil"/>
              <w:left w:val="nil"/>
              <w:bottom w:val="nil"/>
              <w:right w:val="nil"/>
            </w:tcBorders>
            <w:shd w:val="clear" w:color="auto" w:fill="auto"/>
            <w:noWrap/>
            <w:vAlign w:val="center"/>
            <w:hideMark/>
          </w:tcPr>
          <w:p w14:paraId="4CAE526C"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4.4</w:t>
            </w:r>
          </w:p>
        </w:tc>
        <w:tc>
          <w:tcPr>
            <w:tcW w:w="697" w:type="dxa"/>
            <w:tcBorders>
              <w:top w:val="nil"/>
              <w:left w:val="nil"/>
              <w:bottom w:val="nil"/>
              <w:right w:val="nil"/>
            </w:tcBorders>
            <w:shd w:val="clear" w:color="auto" w:fill="auto"/>
            <w:noWrap/>
            <w:vAlign w:val="center"/>
            <w:hideMark/>
          </w:tcPr>
          <w:p w14:paraId="569CE714"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2.9</w:t>
            </w:r>
          </w:p>
        </w:tc>
        <w:tc>
          <w:tcPr>
            <w:tcW w:w="697" w:type="dxa"/>
            <w:tcBorders>
              <w:top w:val="nil"/>
              <w:left w:val="nil"/>
              <w:bottom w:val="nil"/>
              <w:right w:val="nil"/>
            </w:tcBorders>
            <w:shd w:val="clear" w:color="auto" w:fill="auto"/>
            <w:noWrap/>
            <w:vAlign w:val="center"/>
            <w:hideMark/>
          </w:tcPr>
          <w:p w14:paraId="5C59CF0B"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3.4</w:t>
            </w:r>
          </w:p>
        </w:tc>
        <w:tc>
          <w:tcPr>
            <w:tcW w:w="697" w:type="dxa"/>
            <w:tcBorders>
              <w:top w:val="nil"/>
              <w:left w:val="nil"/>
              <w:bottom w:val="nil"/>
              <w:right w:val="nil"/>
            </w:tcBorders>
            <w:shd w:val="clear" w:color="auto" w:fill="auto"/>
            <w:noWrap/>
            <w:vAlign w:val="center"/>
            <w:hideMark/>
          </w:tcPr>
          <w:p w14:paraId="7C68BE98"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2.8</w:t>
            </w:r>
          </w:p>
        </w:tc>
        <w:tc>
          <w:tcPr>
            <w:tcW w:w="697" w:type="dxa"/>
            <w:tcBorders>
              <w:top w:val="nil"/>
              <w:left w:val="nil"/>
              <w:bottom w:val="nil"/>
              <w:right w:val="nil"/>
            </w:tcBorders>
            <w:shd w:val="clear" w:color="auto" w:fill="auto"/>
            <w:noWrap/>
            <w:vAlign w:val="center"/>
            <w:hideMark/>
          </w:tcPr>
          <w:p w14:paraId="5964D91C"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4.3</w:t>
            </w:r>
          </w:p>
        </w:tc>
        <w:tc>
          <w:tcPr>
            <w:tcW w:w="804" w:type="dxa"/>
            <w:tcBorders>
              <w:top w:val="nil"/>
              <w:left w:val="nil"/>
              <w:bottom w:val="nil"/>
              <w:right w:val="nil"/>
            </w:tcBorders>
            <w:shd w:val="clear" w:color="auto" w:fill="auto"/>
            <w:noWrap/>
            <w:vAlign w:val="center"/>
            <w:hideMark/>
          </w:tcPr>
          <w:p w14:paraId="0CE9E5CF"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4.3</w:t>
            </w:r>
          </w:p>
        </w:tc>
        <w:tc>
          <w:tcPr>
            <w:tcW w:w="926" w:type="dxa"/>
            <w:tcBorders>
              <w:top w:val="nil"/>
              <w:left w:val="nil"/>
              <w:bottom w:val="nil"/>
              <w:right w:val="nil"/>
            </w:tcBorders>
            <w:shd w:val="clear" w:color="auto" w:fill="auto"/>
            <w:vAlign w:val="center"/>
            <w:hideMark/>
          </w:tcPr>
          <w:p w14:paraId="0421F97D"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3.3</w:t>
            </w:r>
          </w:p>
        </w:tc>
      </w:tr>
      <w:tr w:rsidR="003C23F1" w:rsidRPr="00636FD7" w14:paraId="43EC58A3" w14:textId="77777777" w:rsidTr="00A71919">
        <w:trPr>
          <w:trHeight w:val="282"/>
        </w:trPr>
        <w:tc>
          <w:tcPr>
            <w:tcW w:w="2869" w:type="dxa"/>
            <w:tcBorders>
              <w:top w:val="single" w:sz="4" w:space="0" w:color="auto"/>
              <w:left w:val="nil"/>
              <w:bottom w:val="single" w:sz="4" w:space="0" w:color="auto"/>
              <w:right w:val="nil"/>
            </w:tcBorders>
            <w:shd w:val="clear" w:color="000000" w:fill="FFFFFF"/>
            <w:noWrap/>
            <w:vAlign w:val="center"/>
            <w:hideMark/>
          </w:tcPr>
          <w:p w14:paraId="3B1605A3" w14:textId="77777777" w:rsidR="003C23F1" w:rsidRPr="00636FD7" w:rsidRDefault="003C23F1" w:rsidP="003C23F1">
            <w:pPr>
              <w:spacing w:after="0" w:line="240" w:lineRule="auto"/>
              <w:rPr>
                <w:rFonts w:asciiTheme="minorHAnsi" w:eastAsia="Times New Roman" w:hAnsiTheme="minorHAnsi" w:cs="Times New Roman"/>
                <w:b/>
                <w:bCs/>
                <w:color w:val="000000"/>
              </w:rPr>
            </w:pPr>
            <w:r w:rsidRPr="00636FD7">
              <w:rPr>
                <w:rFonts w:asciiTheme="minorHAnsi" w:eastAsia="Times New Roman" w:hAnsiTheme="minorHAnsi" w:cs="Times New Roman"/>
                <w:b/>
                <w:bCs/>
                <w:color w:val="000000"/>
              </w:rPr>
              <w:t>Overall Balance (Cash Basis, Including Discrepancy)</w:t>
            </w:r>
          </w:p>
        </w:tc>
        <w:tc>
          <w:tcPr>
            <w:tcW w:w="695" w:type="dxa"/>
            <w:tcBorders>
              <w:top w:val="single" w:sz="4" w:space="0" w:color="auto"/>
              <w:left w:val="nil"/>
              <w:bottom w:val="single" w:sz="4" w:space="0" w:color="auto"/>
              <w:right w:val="nil"/>
            </w:tcBorders>
            <w:shd w:val="clear" w:color="auto" w:fill="auto"/>
            <w:noWrap/>
            <w:vAlign w:val="center"/>
            <w:hideMark/>
          </w:tcPr>
          <w:p w14:paraId="56E30EC3"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-6.6</w:t>
            </w:r>
          </w:p>
        </w:tc>
        <w:tc>
          <w:tcPr>
            <w:tcW w:w="697" w:type="dxa"/>
            <w:tcBorders>
              <w:top w:val="single" w:sz="4" w:space="0" w:color="auto"/>
              <w:left w:val="nil"/>
              <w:bottom w:val="single" w:sz="4" w:space="0" w:color="auto"/>
              <w:right w:val="nil"/>
            </w:tcBorders>
            <w:shd w:val="clear" w:color="auto" w:fill="auto"/>
            <w:noWrap/>
            <w:vAlign w:val="center"/>
            <w:hideMark/>
          </w:tcPr>
          <w:p w14:paraId="5FBA32CB"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-5.7</w:t>
            </w:r>
          </w:p>
        </w:tc>
        <w:tc>
          <w:tcPr>
            <w:tcW w:w="697" w:type="dxa"/>
            <w:tcBorders>
              <w:top w:val="single" w:sz="4" w:space="0" w:color="auto"/>
              <w:left w:val="nil"/>
              <w:bottom w:val="single" w:sz="4" w:space="0" w:color="auto"/>
              <w:right w:val="nil"/>
            </w:tcBorders>
            <w:shd w:val="clear" w:color="auto" w:fill="auto"/>
            <w:noWrap/>
            <w:vAlign w:val="center"/>
            <w:hideMark/>
          </w:tcPr>
          <w:p w14:paraId="053B7B6D"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-6.6</w:t>
            </w:r>
          </w:p>
        </w:tc>
        <w:tc>
          <w:tcPr>
            <w:tcW w:w="697" w:type="dxa"/>
            <w:tcBorders>
              <w:top w:val="single" w:sz="4" w:space="0" w:color="auto"/>
              <w:left w:val="nil"/>
              <w:bottom w:val="single" w:sz="4" w:space="0" w:color="auto"/>
              <w:right w:val="nil"/>
            </w:tcBorders>
            <w:shd w:val="clear" w:color="auto" w:fill="auto"/>
            <w:noWrap/>
            <w:vAlign w:val="center"/>
            <w:hideMark/>
          </w:tcPr>
          <w:p w14:paraId="55FACABB"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-3.9</w:t>
            </w:r>
          </w:p>
        </w:tc>
        <w:tc>
          <w:tcPr>
            <w:tcW w:w="697" w:type="dxa"/>
            <w:tcBorders>
              <w:top w:val="single" w:sz="4" w:space="0" w:color="auto"/>
              <w:left w:val="nil"/>
              <w:bottom w:val="single" w:sz="4" w:space="0" w:color="auto"/>
              <w:right w:val="nil"/>
            </w:tcBorders>
            <w:shd w:val="clear" w:color="auto" w:fill="auto"/>
            <w:noWrap/>
            <w:vAlign w:val="center"/>
            <w:hideMark/>
          </w:tcPr>
          <w:p w14:paraId="11404260"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-10.9</w:t>
            </w:r>
          </w:p>
        </w:tc>
        <w:tc>
          <w:tcPr>
            <w:tcW w:w="697" w:type="dxa"/>
            <w:tcBorders>
              <w:top w:val="single" w:sz="4" w:space="0" w:color="auto"/>
              <w:left w:val="nil"/>
              <w:bottom w:val="single" w:sz="4" w:space="0" w:color="auto"/>
              <w:right w:val="nil"/>
            </w:tcBorders>
            <w:shd w:val="clear" w:color="auto" w:fill="auto"/>
            <w:noWrap/>
            <w:vAlign w:val="center"/>
            <w:hideMark/>
          </w:tcPr>
          <w:p w14:paraId="693F1991"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-10.3</w:t>
            </w:r>
          </w:p>
        </w:tc>
        <w:tc>
          <w:tcPr>
            <w:tcW w:w="697" w:type="dxa"/>
            <w:tcBorders>
              <w:top w:val="single" w:sz="4" w:space="0" w:color="auto"/>
              <w:left w:val="nil"/>
              <w:bottom w:val="single" w:sz="4" w:space="0" w:color="auto"/>
              <w:right w:val="nil"/>
            </w:tcBorders>
            <w:shd w:val="clear" w:color="auto" w:fill="auto"/>
            <w:noWrap/>
            <w:vAlign w:val="center"/>
            <w:hideMark/>
          </w:tcPr>
          <w:p w14:paraId="34C4AE76"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eastAsia="Times New Roman" w:hAnsiTheme="minorHAnsi" w:cs="Times New Roman"/>
                <w:color w:val="000000"/>
              </w:rPr>
              <w:t>-10.1</w:t>
            </w:r>
          </w:p>
        </w:tc>
        <w:tc>
          <w:tcPr>
            <w:tcW w:w="804" w:type="dxa"/>
            <w:tcBorders>
              <w:top w:val="single" w:sz="4" w:space="0" w:color="auto"/>
              <w:left w:val="nil"/>
              <w:bottom w:val="single" w:sz="4" w:space="0" w:color="auto"/>
              <w:right w:val="nil"/>
            </w:tcBorders>
            <w:shd w:val="clear" w:color="auto" w:fill="auto"/>
            <w:noWrap/>
            <w:vAlign w:val="center"/>
            <w:hideMark/>
          </w:tcPr>
          <w:p w14:paraId="7865B616"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-6.3</w:t>
            </w:r>
          </w:p>
        </w:tc>
        <w:tc>
          <w:tcPr>
            <w:tcW w:w="926" w:type="dxa"/>
            <w:tcBorders>
              <w:top w:val="single" w:sz="4" w:space="0" w:color="auto"/>
              <w:left w:val="nil"/>
              <w:bottom w:val="single" w:sz="4" w:space="0" w:color="auto"/>
              <w:right w:val="nil"/>
            </w:tcBorders>
            <w:shd w:val="clear" w:color="auto" w:fill="auto"/>
            <w:vAlign w:val="center"/>
            <w:hideMark/>
          </w:tcPr>
          <w:p w14:paraId="7107664C" w14:textId="77777777" w:rsidR="003C23F1" w:rsidRPr="00636FD7" w:rsidRDefault="003C23F1" w:rsidP="003C23F1">
            <w:pPr>
              <w:spacing w:after="0" w:line="240" w:lineRule="auto"/>
              <w:jc w:val="center"/>
              <w:rPr>
                <w:rFonts w:asciiTheme="minorHAnsi" w:eastAsia="Times New Roman" w:hAnsiTheme="minorHAnsi" w:cs="Times New Roman"/>
                <w:color w:val="000000"/>
              </w:rPr>
            </w:pPr>
            <w:r w:rsidRPr="00636FD7">
              <w:rPr>
                <w:rFonts w:asciiTheme="minorHAnsi" w:hAnsiTheme="minorHAnsi"/>
                <w:color w:val="000000"/>
              </w:rPr>
              <w:t>-7.8</w:t>
            </w:r>
          </w:p>
        </w:tc>
      </w:tr>
    </w:tbl>
    <w:p w14:paraId="5D1135C3" w14:textId="77777777" w:rsidR="00C11F51" w:rsidRDefault="00102077" w:rsidP="00E16DA9">
      <w:pPr>
        <w:spacing w:after="240" w:line="240" w:lineRule="auto"/>
        <w:rPr>
          <w:rFonts w:ascii="Garamond" w:hAnsi="Garamond"/>
          <w:sz w:val="20"/>
          <w:szCs w:val="20"/>
        </w:rPr>
      </w:pPr>
      <w:r w:rsidRPr="00AA79EE">
        <w:rPr>
          <w:rFonts w:ascii="Garamond" w:hAnsi="Garamond"/>
          <w:i/>
          <w:sz w:val="20"/>
          <w:szCs w:val="20"/>
        </w:rPr>
        <w:t>Source:</w:t>
      </w:r>
      <w:r w:rsidRPr="00AA79EE">
        <w:rPr>
          <w:rFonts w:ascii="Garamond" w:hAnsi="Garamond"/>
          <w:sz w:val="20"/>
          <w:szCs w:val="20"/>
        </w:rPr>
        <w:t xml:space="preserve"> IMF; </w:t>
      </w:r>
      <w:r w:rsidR="00E16DA9" w:rsidRPr="00E16DA9">
        <w:rPr>
          <w:rFonts w:ascii="Garamond" w:hAnsi="Garamond"/>
          <w:sz w:val="20"/>
          <w:szCs w:val="20"/>
        </w:rPr>
        <w:t xml:space="preserve">MoF; World Bank </w:t>
      </w:r>
    </w:p>
    <w:p w14:paraId="78485DCB" w14:textId="77777777" w:rsidR="00E16DA9" w:rsidRPr="00821FE1" w:rsidRDefault="00E16DA9" w:rsidP="00E16DA9">
      <w:pPr>
        <w:pStyle w:val="ListParagraph"/>
        <w:spacing w:before="240"/>
      </w:pPr>
      <w:r w:rsidRPr="00936CBA">
        <w:rPr>
          <w:b/>
        </w:rPr>
        <w:t xml:space="preserve">Ghana’s rising external debt </w:t>
      </w:r>
      <w:r>
        <w:rPr>
          <w:b/>
        </w:rPr>
        <w:t>burden further complicates debt management</w:t>
      </w:r>
      <w:r w:rsidRPr="00936CBA">
        <w:rPr>
          <w:b/>
        </w:rPr>
        <w:t xml:space="preserve">. </w:t>
      </w:r>
      <w:r w:rsidRPr="00936CBA">
        <w:t xml:space="preserve">Ghana </w:t>
      </w:r>
      <w:r>
        <w:t xml:space="preserve">has </w:t>
      </w:r>
      <w:r w:rsidRPr="00936CBA">
        <w:t>issued one Eurobond every year</w:t>
      </w:r>
      <w:r>
        <w:t xml:space="preserve"> since 2013</w:t>
      </w:r>
      <w:r>
        <w:rPr>
          <w:rFonts w:cs="Times New Roman"/>
        </w:rPr>
        <w:t>. M</w:t>
      </w:r>
      <w:r w:rsidRPr="00936CBA">
        <w:rPr>
          <w:rFonts w:cs="Times New Roman"/>
        </w:rPr>
        <w:t xml:space="preserve">ore than half of its public debt stock is external and serviced in foreign currencies, leaving the debt profile highly </w:t>
      </w:r>
      <w:r>
        <w:rPr>
          <w:rFonts w:cs="Times New Roman"/>
        </w:rPr>
        <w:t>exposed</w:t>
      </w:r>
      <w:r w:rsidRPr="00936CBA">
        <w:rPr>
          <w:rFonts w:cs="Times New Roman"/>
        </w:rPr>
        <w:t xml:space="preserve"> to exchange-rate risks.</w:t>
      </w:r>
      <w:r w:rsidRPr="00936CBA">
        <w:rPr>
          <w:rStyle w:val="FootnoteReference"/>
          <w:rFonts w:cs="Times New Roman"/>
        </w:rPr>
        <w:footnoteReference w:id="9"/>
      </w:r>
      <w:r w:rsidRPr="00936CBA">
        <w:rPr>
          <w:rFonts w:cs="Times New Roman"/>
        </w:rPr>
        <w:t xml:space="preserve"> Ghana’s recent experience </w:t>
      </w:r>
      <w:r>
        <w:rPr>
          <w:rFonts w:cs="Times New Roman"/>
        </w:rPr>
        <w:t>highlights</w:t>
      </w:r>
      <w:r w:rsidRPr="00936CBA">
        <w:rPr>
          <w:rFonts w:cs="Times New Roman"/>
        </w:rPr>
        <w:t xml:space="preserve"> how costly this </w:t>
      </w:r>
      <w:r>
        <w:rPr>
          <w:rFonts w:cs="Times New Roman"/>
        </w:rPr>
        <w:t>exposure</w:t>
      </w:r>
      <w:r w:rsidRPr="00936CBA">
        <w:rPr>
          <w:rFonts w:cs="Times New Roman"/>
        </w:rPr>
        <w:t xml:space="preserve"> can be</w:t>
      </w:r>
      <w:r>
        <w:rPr>
          <w:rFonts w:cs="Times New Roman"/>
        </w:rPr>
        <w:t xml:space="preserve">: foreign-currency-denominated </w:t>
      </w:r>
      <w:r w:rsidRPr="00936CBA">
        <w:rPr>
          <w:rFonts w:cs="Times New Roman"/>
        </w:rPr>
        <w:t>interest payment</w:t>
      </w:r>
      <w:r>
        <w:rPr>
          <w:rFonts w:cs="Times New Roman"/>
        </w:rPr>
        <w:t>s</w:t>
      </w:r>
      <w:r w:rsidRPr="00936CBA">
        <w:rPr>
          <w:rFonts w:cs="Times New Roman"/>
        </w:rPr>
        <w:t xml:space="preserve"> rose from 0.7 percent of GDP in 2012 to 1.4 percent in 2015</w:t>
      </w:r>
      <w:r>
        <w:rPr>
          <w:rFonts w:cs="Times New Roman"/>
        </w:rPr>
        <w:t>,</w:t>
      </w:r>
      <w:r w:rsidRPr="00936CBA">
        <w:rPr>
          <w:rFonts w:cs="Times New Roman"/>
        </w:rPr>
        <w:t xml:space="preserve"> reflecting </w:t>
      </w:r>
      <w:r>
        <w:rPr>
          <w:rFonts w:cs="Times New Roman"/>
        </w:rPr>
        <w:t xml:space="preserve">both </w:t>
      </w:r>
      <w:r w:rsidRPr="00936CBA">
        <w:rPr>
          <w:rFonts w:cs="Times New Roman"/>
        </w:rPr>
        <w:t xml:space="preserve">the </w:t>
      </w:r>
      <w:r>
        <w:rPr>
          <w:rFonts w:cs="Times New Roman"/>
        </w:rPr>
        <w:t>rising</w:t>
      </w:r>
      <w:r w:rsidRPr="00936CBA">
        <w:rPr>
          <w:rFonts w:cs="Times New Roman"/>
        </w:rPr>
        <w:t xml:space="preserve"> </w:t>
      </w:r>
      <w:r w:rsidRPr="00821FE1">
        <w:rPr>
          <w:rFonts w:cs="Times New Roman"/>
        </w:rPr>
        <w:t>external debt burden and the deprec</w:t>
      </w:r>
      <w:r>
        <w:rPr>
          <w:rFonts w:cs="Times New Roman"/>
        </w:rPr>
        <w:t>i</w:t>
      </w:r>
      <w:r w:rsidRPr="00821FE1">
        <w:rPr>
          <w:rFonts w:cs="Times New Roman"/>
        </w:rPr>
        <w:t xml:space="preserve">ation of the cedi in 2014 (45 percent) and 2015 (18 percent). </w:t>
      </w:r>
    </w:p>
    <w:p w14:paraId="0B431A6D" w14:textId="77777777" w:rsidR="00E16DA9" w:rsidRPr="00E16DA9" w:rsidRDefault="00E16DA9" w:rsidP="00E16DA9">
      <w:pPr>
        <w:spacing w:after="240" w:line="240" w:lineRule="auto"/>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4514"/>
      </w:tblGrid>
      <w:tr w:rsidR="00702CAE" w14:paraId="3ED8C09C" w14:textId="77777777" w:rsidTr="00AD44DF">
        <w:tc>
          <w:tcPr>
            <w:tcW w:w="4765" w:type="dxa"/>
          </w:tcPr>
          <w:p w14:paraId="28598DCF" w14:textId="765F7734" w:rsidR="00365086" w:rsidRPr="00E16DA9" w:rsidRDefault="00657AA2" w:rsidP="00AA79EE">
            <w:pPr>
              <w:pStyle w:val="Caption"/>
              <w:spacing w:after="0"/>
              <w:rPr>
                <w:lang w:val="en-US"/>
              </w:rPr>
            </w:pPr>
            <w:bookmarkStart w:id="29" w:name="_Ref472517743"/>
            <w:r w:rsidRPr="00E16DA9">
              <w:rPr>
                <w:lang w:val="en-US"/>
              </w:rPr>
              <w:lastRenderedPageBreak/>
              <w:t>Figure</w:t>
            </w:r>
            <w:r w:rsidR="0016038C" w:rsidRPr="00E16DA9">
              <w:rPr>
                <w:lang w:val="en-US"/>
              </w:rPr>
              <w:t xml:space="preserve"> </w:t>
            </w:r>
            <w:r w:rsidR="005C0067" w:rsidRPr="00E16DA9">
              <w:rPr>
                <w:lang w:val="en-US"/>
              </w:rPr>
              <w:fldChar w:fldCharType="begin"/>
            </w:r>
            <w:r w:rsidR="005C0067" w:rsidRPr="00E16DA9">
              <w:rPr>
                <w:lang w:val="en-US"/>
              </w:rPr>
              <w:instrText xml:space="preserve"> STYLEREF 1 \s </w:instrText>
            </w:r>
            <w:r w:rsidR="005C0067" w:rsidRPr="00E16DA9">
              <w:rPr>
                <w:lang w:val="en-US"/>
              </w:rPr>
              <w:fldChar w:fldCharType="separate"/>
            </w:r>
            <w:r w:rsidR="007B1CE6">
              <w:rPr>
                <w:noProof/>
                <w:lang w:val="en-US"/>
              </w:rPr>
              <w:t>1</w:t>
            </w:r>
            <w:r w:rsidR="005C0067" w:rsidRPr="00E16DA9">
              <w:rPr>
                <w:lang w:val="en-US"/>
              </w:rPr>
              <w:fldChar w:fldCharType="end"/>
            </w:r>
            <w:r w:rsidR="005C0067" w:rsidRPr="00E16DA9">
              <w:rPr>
                <w:lang w:val="en-US"/>
              </w:rPr>
              <w:t>.</w:t>
            </w:r>
            <w:r w:rsidR="005C0067" w:rsidRPr="00E16DA9">
              <w:rPr>
                <w:lang w:val="en-US"/>
              </w:rPr>
              <w:fldChar w:fldCharType="begin"/>
            </w:r>
            <w:r w:rsidR="005C0067" w:rsidRPr="00E16DA9">
              <w:rPr>
                <w:lang w:val="en-US"/>
              </w:rPr>
              <w:instrText xml:space="preserve"> SEQ Figure \* ARABIC \s 1 </w:instrText>
            </w:r>
            <w:r w:rsidR="005C0067" w:rsidRPr="00E16DA9">
              <w:rPr>
                <w:lang w:val="en-US"/>
              </w:rPr>
              <w:fldChar w:fldCharType="separate"/>
            </w:r>
            <w:r w:rsidR="007B1CE6">
              <w:rPr>
                <w:noProof/>
                <w:lang w:val="en-US"/>
              </w:rPr>
              <w:t>7</w:t>
            </w:r>
            <w:r w:rsidR="005C0067" w:rsidRPr="00E16DA9">
              <w:rPr>
                <w:lang w:val="en-US"/>
              </w:rPr>
              <w:fldChar w:fldCharType="end"/>
            </w:r>
            <w:bookmarkEnd w:id="29"/>
            <w:r w:rsidRPr="00E16DA9">
              <w:rPr>
                <w:lang w:val="en-US"/>
              </w:rPr>
              <w:t>:</w:t>
            </w:r>
            <w:r w:rsidR="00702CAE" w:rsidRPr="00E16DA9">
              <w:rPr>
                <w:lang w:val="en-US"/>
              </w:rPr>
              <w:t>The Public Debt Stock and Debt-Service Payments, 2004-2016 (% of GDP)</w:t>
            </w:r>
          </w:p>
          <w:p w14:paraId="0EA1F93F" w14:textId="4DCF16F8" w:rsidR="00702CAE" w:rsidRPr="008C4E5B" w:rsidRDefault="00691785" w:rsidP="00AD44DF">
            <w:pPr>
              <w:keepNext/>
              <w:jc w:val="center"/>
              <w:rPr>
                <w:caps/>
                <w:color w:val="823B0B" w:themeColor="accent2" w:themeShade="7F"/>
                <w:spacing w:val="10"/>
              </w:rPr>
            </w:pPr>
            <w:r w:rsidRPr="006429EE">
              <w:rPr>
                <w:caps/>
                <w:noProof/>
                <w:color w:val="823B0B" w:themeColor="accent2" w:themeShade="7F"/>
                <w:spacing w:val="10"/>
              </w:rPr>
              <w:drawing>
                <wp:inline distT="0" distB="0" distL="0" distR="0" wp14:anchorId="3DA93C38" wp14:editId="20780B02">
                  <wp:extent cx="2999105" cy="1938965"/>
                  <wp:effectExtent l="0" t="0" r="0" b="444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760" cy="1951672"/>
                          </a:xfrm>
                          <a:prstGeom prst="rect">
                            <a:avLst/>
                          </a:prstGeom>
                          <a:noFill/>
                        </pic:spPr>
                      </pic:pic>
                    </a:graphicData>
                  </a:graphic>
                </wp:inline>
              </w:drawing>
            </w:r>
          </w:p>
        </w:tc>
        <w:tc>
          <w:tcPr>
            <w:tcW w:w="4514" w:type="dxa"/>
          </w:tcPr>
          <w:p w14:paraId="76E39E74" w14:textId="77777777" w:rsidR="00876DD8" w:rsidRPr="00E16DA9" w:rsidRDefault="00657AA2" w:rsidP="00AD44DF">
            <w:pPr>
              <w:pStyle w:val="Caption"/>
              <w:spacing w:after="0"/>
              <w:rPr>
                <w:lang w:val="en-US"/>
              </w:rPr>
            </w:pPr>
            <w:bookmarkStart w:id="30" w:name="_Ref472517753"/>
            <w:bookmarkStart w:id="31" w:name="_Toc479624921"/>
            <w:r w:rsidRPr="00E16DA9">
              <w:rPr>
                <w:lang w:val="en-US"/>
              </w:rPr>
              <w:t>Figure</w:t>
            </w:r>
            <w:r w:rsidR="00702CAE" w:rsidRPr="00E16DA9">
              <w:rPr>
                <w:lang w:val="en-US"/>
              </w:rPr>
              <w:t xml:space="preserve"> </w:t>
            </w:r>
            <w:r w:rsidR="005C0067" w:rsidRPr="00E16DA9">
              <w:rPr>
                <w:lang w:val="en-US"/>
              </w:rPr>
              <w:fldChar w:fldCharType="begin"/>
            </w:r>
            <w:r w:rsidR="005C0067" w:rsidRPr="00E16DA9">
              <w:rPr>
                <w:lang w:val="en-US"/>
              </w:rPr>
              <w:instrText xml:space="preserve"> STYLEREF 1 \s </w:instrText>
            </w:r>
            <w:r w:rsidR="005C0067" w:rsidRPr="00E16DA9">
              <w:rPr>
                <w:lang w:val="en-US"/>
              </w:rPr>
              <w:fldChar w:fldCharType="separate"/>
            </w:r>
            <w:r w:rsidR="007B1CE6">
              <w:rPr>
                <w:noProof/>
                <w:lang w:val="en-US"/>
              </w:rPr>
              <w:t>1</w:t>
            </w:r>
            <w:r w:rsidR="005C0067" w:rsidRPr="00E16DA9">
              <w:rPr>
                <w:lang w:val="en-US"/>
              </w:rPr>
              <w:fldChar w:fldCharType="end"/>
            </w:r>
            <w:r w:rsidR="005C0067" w:rsidRPr="00E16DA9">
              <w:rPr>
                <w:lang w:val="en-US"/>
              </w:rPr>
              <w:t>.</w:t>
            </w:r>
            <w:r w:rsidR="005C0067" w:rsidRPr="00E16DA9">
              <w:rPr>
                <w:lang w:val="en-US"/>
              </w:rPr>
              <w:fldChar w:fldCharType="begin"/>
            </w:r>
            <w:r w:rsidR="005C0067" w:rsidRPr="00E16DA9">
              <w:rPr>
                <w:lang w:val="en-US"/>
              </w:rPr>
              <w:instrText xml:space="preserve"> SEQ Figure \* ARABIC \s 1 </w:instrText>
            </w:r>
            <w:r w:rsidR="005C0067" w:rsidRPr="00E16DA9">
              <w:rPr>
                <w:lang w:val="en-US"/>
              </w:rPr>
              <w:fldChar w:fldCharType="separate"/>
            </w:r>
            <w:r w:rsidR="007B1CE6">
              <w:rPr>
                <w:noProof/>
                <w:lang w:val="en-US"/>
              </w:rPr>
              <w:t>8</w:t>
            </w:r>
            <w:r w:rsidR="005C0067" w:rsidRPr="00E16DA9">
              <w:rPr>
                <w:lang w:val="en-US"/>
              </w:rPr>
              <w:fldChar w:fldCharType="end"/>
            </w:r>
            <w:bookmarkEnd w:id="30"/>
            <w:r w:rsidR="00702CAE" w:rsidRPr="00E16DA9">
              <w:rPr>
                <w:lang w:val="en-US"/>
              </w:rPr>
              <w:t>: The Public Debt Stock and Debt-Service Payments, 2015 (% of GDP)</w:t>
            </w:r>
            <w:bookmarkEnd w:id="31"/>
          </w:p>
          <w:p w14:paraId="1542CDAA" w14:textId="77777777" w:rsidR="00702CAE" w:rsidRDefault="00702CAE" w:rsidP="00AD44DF">
            <w:pPr>
              <w:keepNext/>
              <w:jc w:val="center"/>
              <w:rPr>
                <w:rFonts w:ascii="Calibri" w:eastAsia="Calibri" w:hAnsi="Calibri" w:cs="Times New Roman"/>
              </w:rPr>
            </w:pPr>
            <w:r>
              <w:rPr>
                <w:noProof/>
              </w:rPr>
              <w:drawing>
                <wp:inline distT="0" distB="0" distL="0" distR="0" wp14:anchorId="7D7E98BF" wp14:editId="7CB6C920">
                  <wp:extent cx="2728143" cy="1917865"/>
                  <wp:effectExtent l="19050" t="19050" r="1524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733" cy="1937964"/>
                          </a:xfrm>
                          <a:prstGeom prst="rect">
                            <a:avLst/>
                          </a:prstGeom>
                          <a:noFill/>
                          <a:ln w="3175">
                            <a:solidFill>
                              <a:schemeClr val="tx1"/>
                            </a:solidFill>
                          </a:ln>
                        </pic:spPr>
                      </pic:pic>
                    </a:graphicData>
                  </a:graphic>
                </wp:inline>
              </w:drawing>
            </w:r>
          </w:p>
        </w:tc>
      </w:tr>
      <w:tr w:rsidR="00702CAE" w14:paraId="2EA9A226" w14:textId="77777777" w:rsidTr="00AD44DF">
        <w:trPr>
          <w:trHeight w:val="58"/>
        </w:trPr>
        <w:tc>
          <w:tcPr>
            <w:tcW w:w="4770" w:type="dxa"/>
            <w:vAlign w:val="center"/>
          </w:tcPr>
          <w:p w14:paraId="1C61EFF3" w14:textId="77777777" w:rsidR="00702CAE" w:rsidRPr="00AA79EE" w:rsidRDefault="00702CAE" w:rsidP="00137322">
            <w:pPr>
              <w:rPr>
                <w:rFonts w:ascii="Garamond" w:hAnsi="Garamond"/>
                <w:sz w:val="20"/>
                <w:szCs w:val="20"/>
              </w:rPr>
            </w:pPr>
            <w:r w:rsidRPr="00AA79EE">
              <w:rPr>
                <w:rFonts w:ascii="Garamond" w:hAnsi="Garamond"/>
                <w:i/>
                <w:sz w:val="20"/>
                <w:szCs w:val="20"/>
              </w:rPr>
              <w:t>Source:</w:t>
            </w:r>
            <w:r w:rsidRPr="00AA79EE">
              <w:rPr>
                <w:rFonts w:ascii="Garamond" w:hAnsi="Garamond"/>
                <w:sz w:val="20"/>
                <w:szCs w:val="20"/>
              </w:rPr>
              <w:t xml:space="preserve"> MoF; World Bank</w:t>
            </w:r>
          </w:p>
        </w:tc>
        <w:tc>
          <w:tcPr>
            <w:tcW w:w="4509" w:type="dxa"/>
            <w:vAlign w:val="center"/>
          </w:tcPr>
          <w:p w14:paraId="743EF77E" w14:textId="77777777" w:rsidR="00702CAE" w:rsidRPr="00AA79EE" w:rsidRDefault="00702CAE" w:rsidP="00137322">
            <w:pPr>
              <w:rPr>
                <w:rFonts w:ascii="Garamond" w:eastAsia="Calibri" w:hAnsi="Garamond" w:cs="Times New Roman"/>
                <w:sz w:val="20"/>
                <w:szCs w:val="20"/>
              </w:rPr>
            </w:pPr>
            <w:r w:rsidRPr="00AA79EE">
              <w:rPr>
                <w:rFonts w:ascii="Garamond" w:hAnsi="Garamond"/>
                <w:i/>
                <w:sz w:val="20"/>
                <w:szCs w:val="20"/>
              </w:rPr>
              <w:t>Source:</w:t>
            </w:r>
            <w:r w:rsidRPr="00AA79EE">
              <w:rPr>
                <w:rFonts w:ascii="Garamond" w:hAnsi="Garamond"/>
                <w:sz w:val="20"/>
                <w:szCs w:val="20"/>
              </w:rPr>
              <w:t xml:space="preserve"> World Bank</w:t>
            </w:r>
          </w:p>
        </w:tc>
      </w:tr>
    </w:tbl>
    <w:p w14:paraId="3CBE4B92" w14:textId="77777777" w:rsidR="00A64CF9" w:rsidRPr="00821FE1" w:rsidRDefault="00042640" w:rsidP="00CC7892">
      <w:pPr>
        <w:pStyle w:val="ListParagraph"/>
      </w:pPr>
      <w:r w:rsidRPr="00821FE1">
        <w:rPr>
          <w:b/>
        </w:rPr>
        <w:t xml:space="preserve">Ghana’s </w:t>
      </w:r>
      <w:r w:rsidR="00985CF7" w:rsidRPr="00821FE1">
        <w:rPr>
          <w:b/>
        </w:rPr>
        <w:t xml:space="preserve">most recent </w:t>
      </w:r>
      <w:r w:rsidRPr="00821FE1">
        <w:rPr>
          <w:b/>
        </w:rPr>
        <w:t>debt sustainability analysis indicate</w:t>
      </w:r>
      <w:r w:rsidR="00180ED5" w:rsidRPr="00821FE1">
        <w:rPr>
          <w:b/>
        </w:rPr>
        <w:t>d</w:t>
      </w:r>
      <w:r w:rsidRPr="00821FE1">
        <w:rPr>
          <w:b/>
        </w:rPr>
        <w:t xml:space="preserve"> </w:t>
      </w:r>
      <w:r w:rsidR="00180ED5" w:rsidRPr="00821FE1">
        <w:rPr>
          <w:b/>
        </w:rPr>
        <w:t>that the country is</w:t>
      </w:r>
      <w:r w:rsidR="00DF7711" w:rsidRPr="00821FE1">
        <w:rPr>
          <w:b/>
        </w:rPr>
        <w:t xml:space="preserve"> </w:t>
      </w:r>
      <w:r w:rsidR="00180ED5" w:rsidRPr="00821FE1">
        <w:rPr>
          <w:b/>
        </w:rPr>
        <w:t>at</w:t>
      </w:r>
      <w:r w:rsidRPr="00821FE1">
        <w:rPr>
          <w:b/>
        </w:rPr>
        <w:t xml:space="preserve"> high risk of external debt distress and </w:t>
      </w:r>
      <w:r w:rsidR="00180ED5" w:rsidRPr="00821FE1">
        <w:rPr>
          <w:b/>
        </w:rPr>
        <w:t xml:space="preserve">highlighted important </w:t>
      </w:r>
      <w:r w:rsidRPr="00821FE1">
        <w:rPr>
          <w:b/>
        </w:rPr>
        <w:t xml:space="preserve">vulnerabilities related to </w:t>
      </w:r>
      <w:r w:rsidR="00195422" w:rsidRPr="00821FE1">
        <w:rPr>
          <w:b/>
        </w:rPr>
        <w:t xml:space="preserve">the </w:t>
      </w:r>
      <w:r w:rsidRPr="00821FE1">
        <w:rPr>
          <w:b/>
        </w:rPr>
        <w:t>domestic debt</w:t>
      </w:r>
      <w:r w:rsidR="00195422" w:rsidRPr="00821FE1">
        <w:rPr>
          <w:b/>
        </w:rPr>
        <w:t xml:space="preserve"> stock</w:t>
      </w:r>
      <w:r w:rsidRPr="00821FE1">
        <w:rPr>
          <w:b/>
        </w:rPr>
        <w:t>.</w:t>
      </w:r>
      <w:r w:rsidR="00F0263E" w:rsidRPr="00821FE1">
        <w:rPr>
          <w:rStyle w:val="FootnoteReference"/>
          <w:rFonts w:cs="Times New Roman"/>
        </w:rPr>
        <w:footnoteReference w:id="10"/>
      </w:r>
      <w:r w:rsidRPr="00821FE1">
        <w:t xml:space="preserve"> The present value of </w:t>
      </w:r>
      <w:r w:rsidR="00180ED5" w:rsidRPr="00821FE1">
        <w:t xml:space="preserve">the </w:t>
      </w:r>
      <w:r w:rsidRPr="00821FE1">
        <w:t xml:space="preserve">debt-to-GDP ratio </w:t>
      </w:r>
      <w:r w:rsidR="00180ED5" w:rsidRPr="00821FE1">
        <w:t xml:space="preserve">is projected to </w:t>
      </w:r>
      <w:r w:rsidRPr="00821FE1">
        <w:t xml:space="preserve">breach </w:t>
      </w:r>
      <w:r w:rsidR="00180ED5" w:rsidRPr="00821FE1">
        <w:t xml:space="preserve">its indicative </w:t>
      </w:r>
      <w:r w:rsidRPr="00821FE1">
        <w:t>threshold by small margins</w:t>
      </w:r>
      <w:r w:rsidR="00180ED5" w:rsidRPr="00821FE1">
        <w:t xml:space="preserve"> under the baseline scenario</w:t>
      </w:r>
      <w:r w:rsidRPr="00821FE1">
        <w:t xml:space="preserve">, while the debt-service-to-revenue ratio </w:t>
      </w:r>
      <w:r w:rsidR="00C678C4" w:rsidRPr="00821FE1">
        <w:t xml:space="preserve">is projected to </w:t>
      </w:r>
      <w:r w:rsidR="00180ED5" w:rsidRPr="00821FE1">
        <w:t xml:space="preserve">remain </w:t>
      </w:r>
      <w:r w:rsidR="00C678C4" w:rsidRPr="00821FE1">
        <w:t xml:space="preserve">above </w:t>
      </w:r>
      <w:r w:rsidR="00180ED5" w:rsidRPr="00821FE1">
        <w:t xml:space="preserve">its </w:t>
      </w:r>
      <w:r w:rsidR="00195422" w:rsidRPr="00821FE1">
        <w:t xml:space="preserve">indicative </w:t>
      </w:r>
      <w:r w:rsidR="00C678C4" w:rsidRPr="00821FE1">
        <w:t xml:space="preserve">threshold over the </w:t>
      </w:r>
      <w:r w:rsidR="00195422" w:rsidRPr="00821FE1">
        <w:t xml:space="preserve">entire </w:t>
      </w:r>
      <w:r w:rsidR="00C678C4" w:rsidRPr="00821FE1">
        <w:t>projection period</w:t>
      </w:r>
      <w:r w:rsidR="00180ED5" w:rsidRPr="00821FE1">
        <w:t>, spiking repeatedly</w:t>
      </w:r>
      <w:r w:rsidR="00C678C4" w:rsidRPr="00821FE1">
        <w:t xml:space="preserve"> </w:t>
      </w:r>
      <w:r w:rsidR="00180ED5" w:rsidRPr="00821FE1">
        <w:t xml:space="preserve">as </w:t>
      </w:r>
      <w:r w:rsidR="00C678C4" w:rsidRPr="00821FE1">
        <w:t>Eurobond</w:t>
      </w:r>
      <w:r w:rsidR="00180ED5" w:rsidRPr="00821FE1">
        <w:t>s</w:t>
      </w:r>
      <w:r w:rsidR="00C678C4" w:rsidRPr="00821FE1">
        <w:t xml:space="preserve"> </w:t>
      </w:r>
      <w:r w:rsidR="00180ED5" w:rsidRPr="00821FE1">
        <w:t>mature</w:t>
      </w:r>
      <w:r w:rsidR="00C678C4" w:rsidRPr="00821FE1">
        <w:t xml:space="preserve">. </w:t>
      </w:r>
      <w:r w:rsidR="00F0263E" w:rsidRPr="00821FE1">
        <w:t xml:space="preserve">The analysis </w:t>
      </w:r>
      <w:r w:rsidR="00645432" w:rsidRPr="00821FE1">
        <w:t xml:space="preserve">also </w:t>
      </w:r>
      <w:r w:rsidR="00180ED5" w:rsidRPr="00821FE1">
        <w:t xml:space="preserve">underscores </w:t>
      </w:r>
      <w:r w:rsidR="00F0263E" w:rsidRPr="00821FE1">
        <w:t xml:space="preserve">the </w:t>
      </w:r>
      <w:r w:rsidR="00645432" w:rsidRPr="00821FE1">
        <w:t>sensitivity</w:t>
      </w:r>
      <w:r w:rsidR="00F0263E" w:rsidRPr="00821FE1">
        <w:t xml:space="preserve"> of the </w:t>
      </w:r>
      <w:r w:rsidR="007863C2" w:rsidRPr="00821FE1">
        <w:t xml:space="preserve">external </w:t>
      </w:r>
      <w:r w:rsidR="00F0263E" w:rsidRPr="00821FE1">
        <w:t xml:space="preserve">debt </w:t>
      </w:r>
      <w:r w:rsidR="00180ED5" w:rsidRPr="00821FE1">
        <w:t xml:space="preserve">profile </w:t>
      </w:r>
      <w:r w:rsidR="00F0263E" w:rsidRPr="00821FE1">
        <w:t>to exchange</w:t>
      </w:r>
      <w:r w:rsidR="00180ED5" w:rsidRPr="00821FE1">
        <w:t>-</w:t>
      </w:r>
      <w:r w:rsidR="00F0263E" w:rsidRPr="00821FE1">
        <w:t>rate and export shocks</w:t>
      </w:r>
      <w:r w:rsidR="007863C2" w:rsidRPr="00821FE1">
        <w:t xml:space="preserve">. </w:t>
      </w:r>
    </w:p>
    <w:p w14:paraId="6B65E99E" w14:textId="77777777" w:rsidR="00865AEF" w:rsidRDefault="00080B15" w:rsidP="00865AEF">
      <w:pPr>
        <w:pStyle w:val="ListParagraph"/>
      </w:pPr>
      <w:r w:rsidRPr="00AA79EE">
        <w:rPr>
          <w:b/>
        </w:rPr>
        <w:t xml:space="preserve">Achieving </w:t>
      </w:r>
      <w:r w:rsidR="00180ED5" w:rsidRPr="00AA79EE">
        <w:rPr>
          <w:b/>
        </w:rPr>
        <w:t xml:space="preserve">a </w:t>
      </w:r>
      <w:r w:rsidR="00636EA9" w:rsidRPr="00AA79EE">
        <w:rPr>
          <w:b/>
        </w:rPr>
        <w:t xml:space="preserve">primary surplus </w:t>
      </w:r>
      <w:r w:rsidR="00635514" w:rsidRPr="00AA79EE">
        <w:rPr>
          <w:b/>
        </w:rPr>
        <w:t xml:space="preserve">would help to </w:t>
      </w:r>
      <w:r w:rsidR="00636EA9" w:rsidRPr="00AA79EE">
        <w:rPr>
          <w:b/>
        </w:rPr>
        <w:t>limit the accumulation of new debt</w:t>
      </w:r>
      <w:r w:rsidR="00180ED5" w:rsidRPr="00AA79EE">
        <w:rPr>
          <w:b/>
        </w:rPr>
        <w:t>,</w:t>
      </w:r>
      <w:r w:rsidR="00636EA9" w:rsidRPr="00AA79EE">
        <w:rPr>
          <w:b/>
        </w:rPr>
        <w:t xml:space="preserve"> </w:t>
      </w:r>
      <w:r w:rsidR="00635514" w:rsidRPr="00AA79EE">
        <w:rPr>
          <w:b/>
        </w:rPr>
        <w:t xml:space="preserve">and </w:t>
      </w:r>
      <w:r w:rsidR="00180ED5" w:rsidRPr="00AA79EE">
        <w:rPr>
          <w:b/>
        </w:rPr>
        <w:t>improving</w:t>
      </w:r>
      <w:r w:rsidR="00636EA9" w:rsidRPr="00AA79EE">
        <w:rPr>
          <w:b/>
        </w:rPr>
        <w:t xml:space="preserve"> macroeconomic conditions </w:t>
      </w:r>
      <w:r w:rsidR="00180ED5" w:rsidRPr="00AA79EE">
        <w:rPr>
          <w:b/>
        </w:rPr>
        <w:t xml:space="preserve">are expected to </w:t>
      </w:r>
      <w:r w:rsidR="00636EA9" w:rsidRPr="00AA79EE">
        <w:rPr>
          <w:b/>
        </w:rPr>
        <w:t>reduce financing cost</w:t>
      </w:r>
      <w:r w:rsidR="00180ED5" w:rsidRPr="00AA79EE">
        <w:rPr>
          <w:b/>
        </w:rPr>
        <w:t>s</w:t>
      </w:r>
      <w:r w:rsidR="00636EA9" w:rsidRPr="00AA79EE">
        <w:rPr>
          <w:b/>
        </w:rPr>
        <w:t>.</w:t>
      </w:r>
      <w:r w:rsidR="00636EA9" w:rsidRPr="00AA79EE">
        <w:t xml:space="preserve"> </w:t>
      </w:r>
      <w:r w:rsidR="00180ED5" w:rsidRPr="00AA79EE">
        <w:t xml:space="preserve">Achieving </w:t>
      </w:r>
      <w:r w:rsidR="00636EA9" w:rsidRPr="00AA79EE">
        <w:t xml:space="preserve">a primary surplus </w:t>
      </w:r>
      <w:r w:rsidR="00102077" w:rsidRPr="00AA79EE">
        <w:t xml:space="preserve">in 2017 </w:t>
      </w:r>
      <w:r w:rsidR="00636EA9" w:rsidRPr="00AA79EE">
        <w:t xml:space="preserve">and maintaining it </w:t>
      </w:r>
      <w:r w:rsidR="00635514" w:rsidRPr="00AA79EE">
        <w:t>th</w:t>
      </w:r>
      <w:r w:rsidR="00166C26">
        <w:t>r</w:t>
      </w:r>
      <w:r w:rsidR="00635514" w:rsidRPr="00AA79EE">
        <w:t>ough</w:t>
      </w:r>
      <w:r w:rsidR="00636EA9" w:rsidRPr="00AA79EE">
        <w:t xml:space="preserve"> 2018</w:t>
      </w:r>
      <w:r w:rsidR="00102077" w:rsidRPr="00AA79EE">
        <w:t xml:space="preserve"> </w:t>
      </w:r>
      <w:r w:rsidR="00635514" w:rsidRPr="00AA79EE">
        <w:t>will be vital</w:t>
      </w:r>
      <w:r w:rsidR="00636EA9" w:rsidRPr="00AA79EE">
        <w:t xml:space="preserve"> </w:t>
      </w:r>
      <w:r w:rsidR="00A73DDC" w:rsidRPr="00AA79EE">
        <w:t xml:space="preserve">to </w:t>
      </w:r>
      <w:r w:rsidR="00195422" w:rsidRPr="00AA79EE">
        <w:t xml:space="preserve">ensuring </w:t>
      </w:r>
      <w:r w:rsidR="00636EA9" w:rsidRPr="00AA79EE">
        <w:t xml:space="preserve">debt sustainability. </w:t>
      </w:r>
      <w:r w:rsidR="00195422" w:rsidRPr="00AA79EE">
        <w:t xml:space="preserve">Meeting this objective </w:t>
      </w:r>
      <w:r w:rsidR="00A73DDC" w:rsidRPr="00AA79EE">
        <w:t xml:space="preserve">will require </w:t>
      </w:r>
      <w:r w:rsidR="00195422" w:rsidRPr="00AA79EE">
        <w:t>the government</w:t>
      </w:r>
      <w:r w:rsidR="00AA4048" w:rsidRPr="00AA79EE">
        <w:t xml:space="preserve"> to</w:t>
      </w:r>
      <w:r w:rsidR="00195422" w:rsidRPr="00AA79EE">
        <w:t xml:space="preserve"> </w:t>
      </w:r>
      <w:r w:rsidR="00A73DDC" w:rsidRPr="00AA79EE">
        <w:t>strict</w:t>
      </w:r>
      <w:r w:rsidR="00AA4048" w:rsidRPr="00AA79EE">
        <w:t>ly</w:t>
      </w:r>
      <w:r w:rsidR="00A73DDC" w:rsidRPr="00AA79EE">
        <w:t xml:space="preserve"> adhere to </w:t>
      </w:r>
      <w:r w:rsidR="00AA4048" w:rsidRPr="00AA79EE">
        <w:t xml:space="preserve">its </w:t>
      </w:r>
      <w:r w:rsidR="00A73DDC" w:rsidRPr="00AA79EE">
        <w:t xml:space="preserve">expenditure targets. </w:t>
      </w:r>
      <w:r w:rsidR="00A57720" w:rsidRPr="00AA79EE">
        <w:t xml:space="preserve">The </w:t>
      </w:r>
      <w:r w:rsidR="00AA4048" w:rsidRPr="00AA79EE">
        <w:t>ongoing fiscal consolidation</w:t>
      </w:r>
      <w:r w:rsidR="00636EA9" w:rsidRPr="00AA79EE">
        <w:t xml:space="preserve"> should help reduce external financing costs </w:t>
      </w:r>
      <w:r w:rsidR="00A73DDC" w:rsidRPr="00AA79EE">
        <w:t xml:space="preserve">and reinforce </w:t>
      </w:r>
      <w:r w:rsidR="00636EA9" w:rsidRPr="00AA79EE">
        <w:t xml:space="preserve">macroeconomic </w:t>
      </w:r>
      <w:r w:rsidR="00AA4048" w:rsidRPr="00AA79EE">
        <w:t>stability</w:t>
      </w:r>
      <w:r w:rsidR="00A73DDC" w:rsidRPr="00AA79EE">
        <w:t xml:space="preserve">, and the authorities are striving to improve </w:t>
      </w:r>
      <w:r w:rsidR="00AA4048" w:rsidRPr="00AA79EE">
        <w:t>Ghana’s</w:t>
      </w:r>
      <w:r w:rsidR="00636EA9" w:rsidRPr="00AA79EE">
        <w:t xml:space="preserve"> credit rating</w:t>
      </w:r>
      <w:r w:rsidR="00A73DDC" w:rsidRPr="00AA79EE">
        <w:t xml:space="preserve"> and</w:t>
      </w:r>
      <w:r w:rsidR="00636EA9" w:rsidRPr="00AA79EE">
        <w:t xml:space="preserve"> fiscal indicators.</w:t>
      </w:r>
      <w:r w:rsidR="00636EA9" w:rsidRPr="00AA79EE">
        <w:rPr>
          <w:rStyle w:val="FootnoteReference"/>
        </w:rPr>
        <w:footnoteReference w:id="11"/>
      </w:r>
      <w:r w:rsidR="00636EA9" w:rsidRPr="00AA79EE">
        <w:t xml:space="preserve"> </w:t>
      </w:r>
      <w:r w:rsidR="00A73DDC" w:rsidRPr="00AA79EE">
        <w:t>Following a</w:t>
      </w:r>
      <w:r w:rsidR="00636EA9" w:rsidRPr="00AA79EE">
        <w:t xml:space="preserve"> positive </w:t>
      </w:r>
      <w:r w:rsidR="00195422" w:rsidRPr="00AA79EE">
        <w:t xml:space="preserve">IMF </w:t>
      </w:r>
      <w:r w:rsidR="00636EA9" w:rsidRPr="00AA79EE">
        <w:t xml:space="preserve">review </w:t>
      </w:r>
      <w:r w:rsidR="00A73DDC" w:rsidRPr="00AA79EE">
        <w:t>in May</w:t>
      </w:r>
      <w:r w:rsidR="00166C26">
        <w:t xml:space="preserve"> 2016</w:t>
      </w:r>
      <w:r w:rsidR="00636EA9" w:rsidRPr="00AA79EE">
        <w:t>, Ghana’s international sovereign</w:t>
      </w:r>
      <w:r w:rsidR="00195422" w:rsidRPr="00AA79EE">
        <w:t>-</w:t>
      </w:r>
      <w:r w:rsidR="00636EA9" w:rsidRPr="00AA79EE">
        <w:t xml:space="preserve">bond spread narrowed by more than </w:t>
      </w:r>
      <w:r w:rsidRPr="00AA79EE">
        <w:t>3</w:t>
      </w:r>
      <w:r w:rsidR="00760388">
        <w:t>5</w:t>
      </w:r>
      <w:r w:rsidR="00636EA9" w:rsidRPr="00AA79EE">
        <w:t>0 basis points</w:t>
      </w:r>
      <w:r w:rsidR="00760388">
        <w:t xml:space="preserve">, even after </w:t>
      </w:r>
      <w:r w:rsidR="00AA4048" w:rsidRPr="00AA79EE">
        <w:t xml:space="preserve">the authorities failed to sustain the </w:t>
      </w:r>
      <w:r w:rsidR="00760388">
        <w:t xml:space="preserve">fiscal consolidation and </w:t>
      </w:r>
      <w:r w:rsidR="00195422" w:rsidRPr="00AA79EE">
        <w:t xml:space="preserve">momentum </w:t>
      </w:r>
      <w:r w:rsidR="00AA4048" w:rsidRPr="00AA79EE">
        <w:t xml:space="preserve">of the reform </w:t>
      </w:r>
      <w:r w:rsidR="00AA4048">
        <w:t>program</w:t>
      </w:r>
      <w:r w:rsidR="00AA4048" w:rsidRPr="00AA79EE">
        <w:t xml:space="preserve"> </w:t>
      </w:r>
      <w:r w:rsidR="00195422" w:rsidRPr="00AA79EE">
        <w:t xml:space="preserve">through </w:t>
      </w:r>
      <w:r w:rsidR="00636EA9" w:rsidRPr="00AA79EE">
        <w:t xml:space="preserve">the December elections. </w:t>
      </w:r>
      <w:r w:rsidR="00195422" w:rsidRPr="00AA79EE">
        <w:t>However, r</w:t>
      </w:r>
      <w:r w:rsidR="00A73DDC" w:rsidRPr="00AA79EE">
        <w:t>evenue-side</w:t>
      </w:r>
      <w:r w:rsidR="00A73DDC">
        <w:t xml:space="preserve"> measures will </w:t>
      </w:r>
      <w:r w:rsidR="00195422">
        <w:t xml:space="preserve">also </w:t>
      </w:r>
      <w:r w:rsidR="00A73DDC">
        <w:t>be necessary to ensure</w:t>
      </w:r>
      <w:r w:rsidR="00636EA9" w:rsidRPr="00330079">
        <w:t xml:space="preserve"> debt sustainability over the medium and long</w:t>
      </w:r>
      <w:r w:rsidR="00195422">
        <w:t xml:space="preserve"> </w:t>
      </w:r>
      <w:r w:rsidR="00636EA9" w:rsidRPr="00330079">
        <w:t xml:space="preserve">term, </w:t>
      </w:r>
      <w:r w:rsidR="00A73DDC">
        <w:t xml:space="preserve">and </w:t>
      </w:r>
      <w:r w:rsidR="00636EA9" w:rsidRPr="00330079">
        <w:t xml:space="preserve">Ghana has </w:t>
      </w:r>
      <w:r w:rsidR="00643966">
        <w:t>considerable</w:t>
      </w:r>
      <w:r w:rsidR="00A73DDC">
        <w:t xml:space="preserve"> scope </w:t>
      </w:r>
      <w:r w:rsidR="00636EA9" w:rsidRPr="00330079">
        <w:t xml:space="preserve">to increase domestic </w:t>
      </w:r>
      <w:r w:rsidR="00A73DDC">
        <w:t>revenue</w:t>
      </w:r>
      <w:r w:rsidR="00A73DDC" w:rsidRPr="00330079">
        <w:t xml:space="preserve"> </w:t>
      </w:r>
      <w:r w:rsidR="00636EA9" w:rsidRPr="00330079">
        <w:t xml:space="preserve">mobilization. </w:t>
      </w:r>
    </w:p>
    <w:p w14:paraId="3FC03A79" w14:textId="77777777" w:rsidR="000F739F" w:rsidRPr="003C0F77" w:rsidRDefault="00195422" w:rsidP="006F1D77">
      <w:pPr>
        <w:pStyle w:val="ListParagraph"/>
      </w:pPr>
      <w:r>
        <w:rPr>
          <w:b/>
        </w:rPr>
        <w:t>Proactive debt management will be necessary</w:t>
      </w:r>
      <w:r w:rsidR="000E203C" w:rsidRPr="00DD76F8">
        <w:rPr>
          <w:b/>
        </w:rPr>
        <w:t xml:space="preserve"> to reduce portfolio risks and </w:t>
      </w:r>
      <w:r>
        <w:rPr>
          <w:b/>
        </w:rPr>
        <w:t xml:space="preserve">prevent </w:t>
      </w:r>
      <w:r w:rsidR="000E203C" w:rsidRPr="00DD76F8">
        <w:rPr>
          <w:b/>
        </w:rPr>
        <w:t xml:space="preserve">future debt-service obligations </w:t>
      </w:r>
      <w:r>
        <w:rPr>
          <w:b/>
        </w:rPr>
        <w:t>from</w:t>
      </w:r>
      <w:r w:rsidRPr="00DD76F8">
        <w:rPr>
          <w:b/>
        </w:rPr>
        <w:t xml:space="preserve"> </w:t>
      </w:r>
      <w:r w:rsidR="000E203C" w:rsidRPr="00DD76F8">
        <w:rPr>
          <w:b/>
        </w:rPr>
        <w:t>crowd</w:t>
      </w:r>
      <w:r>
        <w:rPr>
          <w:b/>
        </w:rPr>
        <w:t>ing</w:t>
      </w:r>
      <w:r w:rsidR="000E203C" w:rsidRPr="00DD76F8">
        <w:rPr>
          <w:b/>
        </w:rPr>
        <w:t xml:space="preserve"> out other </w:t>
      </w:r>
      <w:r>
        <w:rPr>
          <w:b/>
        </w:rPr>
        <w:t xml:space="preserve">forms of public </w:t>
      </w:r>
      <w:r w:rsidR="000E203C" w:rsidRPr="00DD76F8">
        <w:rPr>
          <w:b/>
        </w:rPr>
        <w:t>spending</w:t>
      </w:r>
      <w:r w:rsidR="00636EA9" w:rsidRPr="00DD76F8">
        <w:rPr>
          <w:b/>
        </w:rPr>
        <w:t>.</w:t>
      </w:r>
      <w:r w:rsidR="00636EA9" w:rsidRPr="009D53D3">
        <w:t xml:space="preserve"> </w:t>
      </w:r>
      <w:r>
        <w:t xml:space="preserve">Ghana’s stabilization program is designed to </w:t>
      </w:r>
      <w:r w:rsidR="00871C0D" w:rsidRPr="0059722E">
        <w:t xml:space="preserve">lengthen the </w:t>
      </w:r>
      <w:r>
        <w:t>average maturity of the debt stock, smooth the repayment schedule,</w:t>
      </w:r>
      <w:r w:rsidR="00871C0D" w:rsidRPr="0059722E">
        <w:t xml:space="preserve"> and </w:t>
      </w:r>
      <w:r w:rsidR="000B0843">
        <w:t>build resilience</w:t>
      </w:r>
      <w:r w:rsidR="00871C0D" w:rsidRPr="0059722E">
        <w:t xml:space="preserve"> to </w:t>
      </w:r>
      <w:r w:rsidR="00AA4048">
        <w:t xml:space="preserve">both </w:t>
      </w:r>
      <w:r>
        <w:t xml:space="preserve">monetary and exchange-rate </w:t>
      </w:r>
      <w:r w:rsidR="00871C0D" w:rsidRPr="0059722E">
        <w:t>shocks</w:t>
      </w:r>
      <w:r w:rsidR="00871C0D">
        <w:t>.</w:t>
      </w:r>
      <w:r w:rsidR="00636EA9" w:rsidRPr="00F24E99">
        <w:t xml:space="preserve"> </w:t>
      </w:r>
      <w:r w:rsidR="009D7DAD">
        <w:t>A</w:t>
      </w:r>
      <w:r w:rsidR="00636EA9" w:rsidRPr="00F24E99">
        <w:t xml:space="preserve"> credible medium-term debt strategy and</w:t>
      </w:r>
      <w:r w:rsidR="009D7DAD">
        <w:t xml:space="preserve"> </w:t>
      </w:r>
      <w:r w:rsidR="00636EA9" w:rsidRPr="00F24E99">
        <w:t>annual borrowing plan</w:t>
      </w:r>
      <w:r w:rsidR="003B0EB7">
        <w:t xml:space="preserve"> </w:t>
      </w:r>
      <w:r w:rsidR="000B0843">
        <w:t xml:space="preserve">will be </w:t>
      </w:r>
      <w:r w:rsidR="009D7DAD">
        <w:t>vital</w:t>
      </w:r>
      <w:r w:rsidR="009D7DAD" w:rsidRPr="00F24E99">
        <w:t xml:space="preserve"> </w:t>
      </w:r>
      <w:r w:rsidR="00636EA9" w:rsidRPr="00F24E99">
        <w:t xml:space="preserve">to ensure </w:t>
      </w:r>
      <w:r w:rsidR="000B0843">
        <w:t xml:space="preserve">that </w:t>
      </w:r>
      <w:r w:rsidR="00636EA9" w:rsidRPr="00F24E99">
        <w:t xml:space="preserve">the public debt portfolio does not become a source of macroeconomic vulnerability </w:t>
      </w:r>
      <w:r w:rsidR="009D7DAD">
        <w:t>once</w:t>
      </w:r>
      <w:r w:rsidR="00636EA9" w:rsidRPr="00F24E99">
        <w:t xml:space="preserve"> the stabilization program</w:t>
      </w:r>
      <w:r w:rsidR="009D7DAD">
        <w:t xml:space="preserve"> ends</w:t>
      </w:r>
      <w:r w:rsidR="00636EA9" w:rsidRPr="00F24E99">
        <w:t xml:space="preserve">. </w:t>
      </w:r>
      <w:r w:rsidR="000B0843">
        <w:t>The fiscal assumptions that u</w:t>
      </w:r>
      <w:r w:rsidR="00636EA9" w:rsidRPr="00F24E99">
        <w:t>nder</w:t>
      </w:r>
      <w:r w:rsidR="000B0843">
        <w:t>pin</w:t>
      </w:r>
      <w:r w:rsidR="00636EA9" w:rsidRPr="00F24E99">
        <w:t xml:space="preserve"> the </w:t>
      </w:r>
      <w:r w:rsidR="00643966">
        <w:t>borrowing plan</w:t>
      </w:r>
      <w:r w:rsidR="00643966" w:rsidRPr="00F24E99">
        <w:t xml:space="preserve"> </w:t>
      </w:r>
      <w:r w:rsidR="00636EA9" w:rsidRPr="00F24E99">
        <w:t>should be monitored closely</w:t>
      </w:r>
      <w:r w:rsidR="000B0843">
        <w:t>,</w:t>
      </w:r>
      <w:r w:rsidR="00636EA9" w:rsidRPr="00F24E99">
        <w:t xml:space="preserve"> and </w:t>
      </w:r>
      <w:r w:rsidR="000B0843">
        <w:t xml:space="preserve">the </w:t>
      </w:r>
      <w:r w:rsidR="000B0843">
        <w:lastRenderedPageBreak/>
        <w:t>plan should be regularly reviewed and</w:t>
      </w:r>
      <w:r w:rsidR="009D7DAD">
        <w:t xml:space="preserve"> </w:t>
      </w:r>
      <w:r w:rsidR="000B0843">
        <w:t xml:space="preserve">revised </w:t>
      </w:r>
      <w:r w:rsidR="009D7DAD">
        <w:t xml:space="preserve">as necessary </w:t>
      </w:r>
      <w:r w:rsidR="000B0843">
        <w:t xml:space="preserve">to </w:t>
      </w:r>
      <w:r w:rsidR="009D7DAD">
        <w:t>reflect</w:t>
      </w:r>
      <w:r w:rsidR="000B0843">
        <w:t xml:space="preserve"> new developments</w:t>
      </w:r>
      <w:r w:rsidR="00636EA9" w:rsidRPr="00F24E99">
        <w:t>.</w:t>
      </w:r>
      <w:r w:rsidR="006F1D77" w:rsidRPr="006F1D77">
        <w:t xml:space="preserve"> </w:t>
      </w:r>
      <w:r w:rsidR="006F1D77">
        <w:t>A debt</w:t>
      </w:r>
      <w:r w:rsidR="009D7DAD">
        <w:t>-</w:t>
      </w:r>
      <w:r w:rsidR="006F1D77">
        <w:t xml:space="preserve">sustainability analysis should be </w:t>
      </w:r>
      <w:r w:rsidR="009D7DAD">
        <w:t xml:space="preserve">conducted </w:t>
      </w:r>
      <w:r w:rsidR="006F1D77">
        <w:t xml:space="preserve">to evaluate </w:t>
      </w:r>
      <w:r w:rsidR="006F1D77" w:rsidRPr="006F1D77">
        <w:t>market risks</w:t>
      </w:r>
      <w:r w:rsidR="009D7DAD">
        <w:t xml:space="preserve"> and design corresponding adjustments to</w:t>
      </w:r>
      <w:r w:rsidR="006F1D77" w:rsidRPr="006F1D77">
        <w:t xml:space="preserve"> the financing strategy </w:t>
      </w:r>
      <w:r w:rsidR="009D7DAD">
        <w:t>and/</w:t>
      </w:r>
      <w:r w:rsidR="006F1D77" w:rsidRPr="006F1D77">
        <w:t>or the primary</w:t>
      </w:r>
      <w:r w:rsidR="009D7DAD">
        <w:t>-</w:t>
      </w:r>
      <w:r w:rsidR="006F1D77" w:rsidRPr="006F1D77">
        <w:t>deficit</w:t>
      </w:r>
      <w:r w:rsidR="009D7DAD">
        <w:t xml:space="preserve"> target</w:t>
      </w:r>
      <w:r w:rsidR="006F1D77" w:rsidRPr="006F1D77">
        <w:t>.</w:t>
      </w:r>
      <w:r w:rsidR="00636EA9">
        <w:t xml:space="preserve"> </w:t>
      </w:r>
      <w:r w:rsidR="000B0843">
        <w:t>Improving</w:t>
      </w:r>
      <w:r w:rsidR="000B0843" w:rsidRPr="00F24E99">
        <w:t xml:space="preserve"> </w:t>
      </w:r>
      <w:r w:rsidR="00636EA9" w:rsidRPr="00F24E99">
        <w:t xml:space="preserve">cash </w:t>
      </w:r>
      <w:r w:rsidR="00636EA9" w:rsidRPr="003C0F77">
        <w:t xml:space="preserve">management and maintaining adequate </w:t>
      </w:r>
      <w:r w:rsidR="000B0843" w:rsidRPr="003C0F77">
        <w:t xml:space="preserve">fiscal </w:t>
      </w:r>
      <w:r w:rsidR="00636EA9" w:rsidRPr="003C0F77">
        <w:t xml:space="preserve">buffers </w:t>
      </w:r>
      <w:r w:rsidR="000B0843" w:rsidRPr="003C0F77">
        <w:t xml:space="preserve">will allow the authorities </w:t>
      </w:r>
      <w:r w:rsidR="00636EA9" w:rsidRPr="003C0F77">
        <w:t xml:space="preserve">to avoid taking on </w:t>
      </w:r>
      <w:r w:rsidR="000B0843" w:rsidRPr="003C0F77">
        <w:t xml:space="preserve">new </w:t>
      </w:r>
      <w:r w:rsidR="00636EA9" w:rsidRPr="003C0F77">
        <w:t xml:space="preserve">debt at excessively high costs. </w:t>
      </w:r>
      <w:r w:rsidR="000B0843" w:rsidRPr="003C0F77">
        <w:t>The government should continue its e</w:t>
      </w:r>
      <w:r w:rsidR="00636EA9" w:rsidRPr="003C0F77">
        <w:t xml:space="preserve">fforts to deepen the domestic debt market </w:t>
      </w:r>
      <w:r w:rsidR="009D7DAD">
        <w:t>and extend the</w:t>
      </w:r>
      <w:r w:rsidR="00636EA9" w:rsidRPr="003C0F77">
        <w:t xml:space="preserve"> maturity of </w:t>
      </w:r>
      <w:r w:rsidR="009D7DAD">
        <w:t xml:space="preserve">the </w:t>
      </w:r>
      <w:r w:rsidR="00636EA9" w:rsidRPr="003C0F77">
        <w:t xml:space="preserve">domestic debt </w:t>
      </w:r>
      <w:r w:rsidR="009D7DAD">
        <w:t>stock</w:t>
      </w:r>
      <w:r w:rsidR="00636EA9" w:rsidRPr="003C0F77">
        <w:t xml:space="preserve">. </w:t>
      </w:r>
      <w:r w:rsidR="000B0843" w:rsidRPr="003C0F77">
        <w:t>F</w:t>
      </w:r>
      <w:r w:rsidR="00636EA9" w:rsidRPr="003C0F77">
        <w:t xml:space="preserve">requent consultations with </w:t>
      </w:r>
      <w:r w:rsidR="000B0843" w:rsidRPr="003C0F77">
        <w:t>lenders</w:t>
      </w:r>
      <w:r w:rsidR="00636EA9" w:rsidRPr="003C0F77">
        <w:t xml:space="preserve"> and the provision of timely </w:t>
      </w:r>
      <w:r w:rsidR="000B0843" w:rsidRPr="003C0F77">
        <w:t xml:space="preserve">fiscal and financial </w:t>
      </w:r>
      <w:r w:rsidR="00636EA9" w:rsidRPr="003C0F77">
        <w:t xml:space="preserve">information </w:t>
      </w:r>
      <w:r w:rsidR="00CF63EC">
        <w:t>would</w:t>
      </w:r>
      <w:r w:rsidR="00CF63EC" w:rsidRPr="003C0F77">
        <w:t xml:space="preserve"> </w:t>
      </w:r>
      <w:r w:rsidR="00636EA9" w:rsidRPr="003C0F77">
        <w:t xml:space="preserve">facilitate </w:t>
      </w:r>
      <w:r w:rsidR="000B0843" w:rsidRPr="003C0F77">
        <w:t>improved</w:t>
      </w:r>
      <w:r w:rsidR="00686993" w:rsidRPr="003C0F77">
        <w:t xml:space="preserve"> debt management.</w:t>
      </w:r>
    </w:p>
    <w:p w14:paraId="4C901956" w14:textId="77777777" w:rsidR="007844A5" w:rsidRDefault="009D7DAD" w:rsidP="004B01A7">
      <w:pPr>
        <w:pStyle w:val="ListParagraph"/>
      </w:pPr>
      <w:r w:rsidRPr="00F55F18">
        <w:rPr>
          <w:b/>
        </w:rPr>
        <w:t>A</w:t>
      </w:r>
      <w:r w:rsidR="00636EA9" w:rsidRPr="00F55F18">
        <w:rPr>
          <w:b/>
        </w:rPr>
        <w:t>ll on-lending facilities</w:t>
      </w:r>
      <w:r w:rsidRPr="00B215CC">
        <w:rPr>
          <w:b/>
        </w:rPr>
        <w:t>—</w:t>
      </w:r>
      <w:r w:rsidR="00636EA9" w:rsidRPr="009B787A">
        <w:rPr>
          <w:b/>
        </w:rPr>
        <w:t>especially those related to</w:t>
      </w:r>
      <w:r w:rsidRPr="009B787A">
        <w:rPr>
          <w:b/>
        </w:rPr>
        <w:t xml:space="preserve"> metropolitan, municipal, and district assemblies (MMDAs) </w:t>
      </w:r>
      <w:r w:rsidR="001525F8" w:rsidRPr="009B787A">
        <w:rPr>
          <w:b/>
        </w:rPr>
        <w:t>and</w:t>
      </w:r>
      <w:r w:rsidR="00636EA9" w:rsidRPr="009B787A">
        <w:rPr>
          <w:b/>
        </w:rPr>
        <w:t xml:space="preserve"> </w:t>
      </w:r>
      <w:r w:rsidR="00686993" w:rsidRPr="009B787A">
        <w:rPr>
          <w:b/>
        </w:rPr>
        <w:t>SOEs</w:t>
      </w:r>
      <w:r w:rsidRPr="009B787A">
        <w:rPr>
          <w:b/>
        </w:rPr>
        <w:t>—</w:t>
      </w:r>
      <w:r w:rsidR="00686993" w:rsidRPr="009B787A">
        <w:rPr>
          <w:b/>
        </w:rPr>
        <w:t>should be closely monitored in order to obviate shocks to debt sustainability.</w:t>
      </w:r>
      <w:r w:rsidR="00FF1A0C" w:rsidRPr="009B787A">
        <w:t xml:space="preserve"> Currently</w:t>
      </w:r>
      <w:r w:rsidR="000F739F" w:rsidRPr="009B787A">
        <w:t>, the debt monitoring is limited to central government</w:t>
      </w:r>
      <w:r w:rsidR="006B375D" w:rsidRPr="009B787A">
        <w:t xml:space="preserve"> </w:t>
      </w:r>
      <w:r w:rsidR="006E0741" w:rsidRPr="009B787A">
        <w:t xml:space="preserve">and </w:t>
      </w:r>
      <w:r w:rsidR="006640BD" w:rsidRPr="009B787A">
        <w:t xml:space="preserve">only </w:t>
      </w:r>
      <w:r w:rsidR="006E0741" w:rsidRPr="009B787A">
        <w:t>publicly guaranteed debt</w:t>
      </w:r>
      <w:r w:rsidR="009B787A">
        <w:t xml:space="preserve">, and there is a pressing need </w:t>
      </w:r>
      <w:r w:rsidR="001525F8" w:rsidRPr="00F55F18">
        <w:t>to</w:t>
      </w:r>
      <w:r w:rsidR="006F1D77" w:rsidRPr="00B215CC">
        <w:t xml:space="preserve"> develop national </w:t>
      </w:r>
      <w:r w:rsidR="009B787A">
        <w:t xml:space="preserve">procedural guidelines for </w:t>
      </w:r>
      <w:r w:rsidR="006F1D77" w:rsidRPr="00F55F18">
        <w:t xml:space="preserve">concessional and non-concessional </w:t>
      </w:r>
      <w:r w:rsidR="009B787A" w:rsidRPr="00541DCD">
        <w:t xml:space="preserve">borrowing </w:t>
      </w:r>
      <w:r w:rsidR="006F1D77" w:rsidRPr="00B55995">
        <w:t xml:space="preserve">by </w:t>
      </w:r>
      <w:r w:rsidR="009B787A">
        <w:t>M</w:t>
      </w:r>
      <w:r w:rsidR="006F1D77" w:rsidRPr="00B55995">
        <w:t>MDAs and SOEs</w:t>
      </w:r>
      <w:r w:rsidR="009B787A">
        <w:t>. These guidelines must respect</w:t>
      </w:r>
      <w:r w:rsidR="009B787A" w:rsidRPr="00B55995">
        <w:t xml:space="preserve"> </w:t>
      </w:r>
      <w:r w:rsidR="006F1D77" w:rsidRPr="00F55F18">
        <w:t>the limit</w:t>
      </w:r>
      <w:r w:rsidR="009B787A">
        <w:t>s</w:t>
      </w:r>
      <w:r w:rsidR="006F1D77" w:rsidRPr="00B55995">
        <w:t xml:space="preserve"> of the annual borrowing pla</w:t>
      </w:r>
      <w:r w:rsidR="009B787A">
        <w:t>n, clearly define the</w:t>
      </w:r>
      <w:r w:rsidR="006F1D77" w:rsidRPr="00B55995">
        <w:t xml:space="preserve"> conditions </w:t>
      </w:r>
      <w:r w:rsidR="009B787A">
        <w:t>for issuing debt</w:t>
      </w:r>
      <w:r w:rsidR="006F1D77" w:rsidRPr="00B55995">
        <w:t xml:space="preserve"> guarantees</w:t>
      </w:r>
      <w:r w:rsidR="009B787A">
        <w:t xml:space="preserve">, and specify regulatory requirements for </w:t>
      </w:r>
      <w:r w:rsidR="006F1D77" w:rsidRPr="00B215CC">
        <w:t>on-len</w:t>
      </w:r>
      <w:r w:rsidR="009B787A">
        <w:t>ding</w:t>
      </w:r>
      <w:r w:rsidR="006F1D77" w:rsidRPr="00F55F18">
        <w:t xml:space="preserve"> to </w:t>
      </w:r>
      <w:r w:rsidR="009B787A">
        <w:t xml:space="preserve">MMDAs and </w:t>
      </w:r>
      <w:r w:rsidR="006F1D77" w:rsidRPr="00B55995">
        <w:t>SOEs</w:t>
      </w:r>
      <w:r w:rsidR="003C2E37">
        <w:t xml:space="preserve">, including assessments of their </w:t>
      </w:r>
      <w:r w:rsidR="006F1D77" w:rsidRPr="00F55F18">
        <w:t xml:space="preserve">credit risk </w:t>
      </w:r>
      <w:r w:rsidR="003F7B20" w:rsidRPr="00B215CC">
        <w:t>and borrowing capacity</w:t>
      </w:r>
      <w:r w:rsidR="006F1D77" w:rsidRPr="009B787A">
        <w:t>.</w:t>
      </w:r>
      <w:r w:rsidR="001525F8" w:rsidRPr="009B787A">
        <w:t xml:space="preserve"> </w:t>
      </w:r>
      <w:r w:rsidR="00247325">
        <w:t xml:space="preserve">Proposed legislation would </w:t>
      </w:r>
      <w:r w:rsidR="009B6E5E" w:rsidRPr="00CC7892">
        <w:t>enabl</w:t>
      </w:r>
      <w:r w:rsidR="00CC5E53" w:rsidRPr="00CC7892">
        <w:t>e</w:t>
      </w:r>
      <w:r w:rsidR="009B6E5E" w:rsidRPr="00CC7892">
        <w:t xml:space="preserve"> </w:t>
      </w:r>
      <w:r w:rsidR="00247325" w:rsidRPr="0050645C">
        <w:t>borrow</w:t>
      </w:r>
      <w:r w:rsidR="00247325">
        <w:t>ing by</w:t>
      </w:r>
      <w:r w:rsidR="00247325" w:rsidRPr="0050645C">
        <w:t xml:space="preserve"> </w:t>
      </w:r>
      <w:r w:rsidR="009B6E5E" w:rsidRPr="00CC7892">
        <w:t xml:space="preserve">local governments to </w:t>
      </w:r>
      <w:r w:rsidR="00247325">
        <w:t>finance</w:t>
      </w:r>
      <w:r w:rsidR="009B6E5E" w:rsidRPr="00CC7892">
        <w:t xml:space="preserve"> large infrastructure projects</w:t>
      </w:r>
      <w:r w:rsidR="00CC5E53" w:rsidRPr="00CC7892">
        <w:t xml:space="preserve">, </w:t>
      </w:r>
      <w:r w:rsidR="00247325">
        <w:t>which</w:t>
      </w:r>
      <w:r w:rsidR="00247325" w:rsidRPr="00CC7892">
        <w:t xml:space="preserve"> </w:t>
      </w:r>
      <w:r w:rsidR="009B6E5E" w:rsidRPr="00CC7892">
        <w:t xml:space="preserve">could </w:t>
      </w:r>
      <w:r w:rsidR="00247325">
        <w:t>pose a risk to the central government budget</w:t>
      </w:r>
      <w:r w:rsidR="00CC5E53" w:rsidRPr="00CC7892">
        <w:t xml:space="preserve"> if </w:t>
      </w:r>
      <w:r w:rsidR="00247325">
        <w:t>subnational</w:t>
      </w:r>
      <w:r w:rsidR="00247325" w:rsidRPr="00CC7892">
        <w:t xml:space="preserve"> </w:t>
      </w:r>
      <w:r w:rsidR="00CC5E53" w:rsidRPr="00CC7892">
        <w:t>borrow</w:t>
      </w:r>
      <w:r w:rsidR="00247325">
        <w:t>er</w:t>
      </w:r>
      <w:r w:rsidR="00CC5E53" w:rsidRPr="00CC7892">
        <w:t xml:space="preserve">s </w:t>
      </w:r>
      <w:r w:rsidR="00247325">
        <w:t>lack</w:t>
      </w:r>
      <w:r w:rsidR="00CC5E53" w:rsidRPr="00CC7892">
        <w:t xml:space="preserve"> </w:t>
      </w:r>
      <w:r w:rsidR="009B6E5E" w:rsidRPr="00CC7892">
        <w:t xml:space="preserve">the financial capacity to meet </w:t>
      </w:r>
      <w:r w:rsidR="00247325">
        <w:t>their</w:t>
      </w:r>
      <w:r w:rsidR="00247325" w:rsidRPr="00CC7892">
        <w:t xml:space="preserve"> </w:t>
      </w:r>
      <w:r w:rsidR="009B6E5E" w:rsidRPr="00CC7892">
        <w:t>new debt obligations</w:t>
      </w:r>
      <w:r w:rsidR="00247325">
        <w:t>.</w:t>
      </w:r>
      <w:r w:rsidR="00563C6B" w:rsidRPr="00CC7892">
        <w:rPr>
          <w:rStyle w:val="FootnoteReference"/>
        </w:rPr>
        <w:footnoteReference w:id="12"/>
      </w:r>
      <w:r w:rsidR="00CC5E53" w:rsidRPr="00B55995">
        <w:t xml:space="preserve"> </w:t>
      </w:r>
      <w:r w:rsidR="00CF63EC">
        <w:t xml:space="preserve">All </w:t>
      </w:r>
      <w:r w:rsidR="00CF63EC" w:rsidRPr="00AA79EE">
        <w:t>d</w:t>
      </w:r>
      <w:r w:rsidR="00CC5E53" w:rsidRPr="00AA79EE">
        <w:t xml:space="preserve">ebt accumulated by </w:t>
      </w:r>
      <w:r w:rsidR="00CF63EC" w:rsidRPr="00AA79EE">
        <w:t>MMDAs and SOEs</w:t>
      </w:r>
      <w:r w:rsidR="00CF63EC">
        <w:t xml:space="preserve"> </w:t>
      </w:r>
      <w:r w:rsidR="00CF63EC" w:rsidRPr="00AA79EE">
        <w:t xml:space="preserve">should be closely monitored </w:t>
      </w:r>
      <w:r w:rsidR="00EA7220" w:rsidRPr="00AA79EE">
        <w:t>due to its potentially negative</w:t>
      </w:r>
      <w:r w:rsidR="00CC5E53" w:rsidRPr="00AA79EE">
        <w:t xml:space="preserve"> </w:t>
      </w:r>
      <w:r w:rsidR="00EA7220" w:rsidRPr="00AA79EE">
        <w:t xml:space="preserve">economic impacts, especially on </w:t>
      </w:r>
      <w:r w:rsidR="00CC5E53" w:rsidRPr="00AA79EE">
        <w:t>domestic banks.</w:t>
      </w:r>
      <w:r w:rsidR="00102077">
        <w:t xml:space="preserve"> </w:t>
      </w:r>
      <w:r w:rsidR="00CF63EC">
        <w:t>This</w:t>
      </w:r>
      <w:r w:rsidR="00CF63EC" w:rsidRPr="004E27BE">
        <w:t xml:space="preserve"> </w:t>
      </w:r>
      <w:r w:rsidR="00CF63EC">
        <w:t>includes</w:t>
      </w:r>
      <w:r w:rsidR="00CF63EC" w:rsidRPr="004E27BE">
        <w:t xml:space="preserve"> debt that is not publicly guaranteed</w:t>
      </w:r>
      <w:r w:rsidR="00CF63EC">
        <w:t>.</w:t>
      </w:r>
    </w:p>
    <w:p w14:paraId="4F28C8DD" w14:textId="77777777" w:rsidR="00AA1C08" w:rsidRDefault="00AA1C08" w:rsidP="00AA1C08">
      <w:pPr>
        <w:pStyle w:val="ListParagraph"/>
      </w:pPr>
      <w:r w:rsidRPr="00642A89">
        <w:rPr>
          <w:b/>
        </w:rPr>
        <w:t>The government has already taken important steps to mitigate the risks posed by the rising debt stock.</w:t>
      </w:r>
      <w:r w:rsidRPr="001275DD">
        <w:t xml:space="preserve"> </w:t>
      </w:r>
      <w:r w:rsidRPr="000E080F">
        <w:t xml:space="preserve">The </w:t>
      </w:r>
      <w:r>
        <w:t>government’s 2016-</w:t>
      </w:r>
      <w:r w:rsidRPr="000E080F">
        <w:t xml:space="preserve">18 </w:t>
      </w:r>
      <w:r>
        <w:t>medium-term debt strategy</w:t>
      </w:r>
      <w:r w:rsidRPr="000E080F">
        <w:t xml:space="preserve"> targets a reduction in debt-service costs and refinancing risks</w:t>
      </w:r>
      <w:r>
        <w:t>. Starting in 2017, the authorities will strive to enhance the quality of annual budget planning, treasury management and forecasting, debt reporting and transparency, and operational risk management with support from the World Bank</w:t>
      </w:r>
      <w:r w:rsidRPr="000E080F">
        <w:t>.</w:t>
      </w:r>
      <w:r w:rsidRPr="000B0B80">
        <w:rPr>
          <w:rStyle w:val="FootnoteReference"/>
          <w:rFonts w:cs="Times New Roman"/>
        </w:rPr>
        <w:footnoteReference w:id="13"/>
      </w:r>
      <w:r>
        <w:t xml:space="preserve"> T</w:t>
      </w:r>
      <w:r w:rsidRPr="000E080F">
        <w:t>o hedge against foreign-exchange exposure</w:t>
      </w:r>
      <w:r>
        <w:t>,</w:t>
      </w:r>
      <w:r w:rsidRPr="000E080F">
        <w:t xml:space="preserve"> the government </w:t>
      </w:r>
      <w:r>
        <w:t xml:space="preserve">has used a share of its oil revenue to create a dollar-denominated fund </w:t>
      </w:r>
      <w:r w:rsidRPr="000E080F">
        <w:t>for debt repayment</w:t>
      </w:r>
      <w:r>
        <w:t xml:space="preserve">, and </w:t>
      </w:r>
      <w:r w:rsidRPr="000E080F">
        <w:t xml:space="preserve">“bullet” bond repayments </w:t>
      </w:r>
      <w:r>
        <w:t xml:space="preserve">have been replaced </w:t>
      </w:r>
      <w:r w:rsidRPr="000E080F">
        <w:t>with a longer-term amortization structure.</w:t>
      </w:r>
      <w:r w:rsidRPr="000B0B80">
        <w:rPr>
          <w:rStyle w:val="FootnoteReference"/>
          <w:rFonts w:cs="Times New Roman"/>
        </w:rPr>
        <w:footnoteReference w:id="14"/>
      </w:r>
      <w:r w:rsidRPr="000E080F">
        <w:t xml:space="preserve"> The authorities </w:t>
      </w:r>
      <w:r>
        <w:t xml:space="preserve">have also </w:t>
      </w:r>
      <w:r w:rsidRPr="000E080F">
        <w:t xml:space="preserve">established escrow and debt-service accounts for all on-lending facilities, especially those related to </w:t>
      </w:r>
      <w:r>
        <w:t>SOEs</w:t>
      </w:r>
      <w:r w:rsidRPr="000E080F">
        <w:t>.</w:t>
      </w:r>
      <w:r>
        <w:t xml:space="preserve"> </w:t>
      </w:r>
    </w:p>
    <w:p w14:paraId="6AAEB135" w14:textId="77777777" w:rsidR="00B64196" w:rsidRDefault="00B64196" w:rsidP="00B64196">
      <w:pPr>
        <w:pStyle w:val="ListParagraph"/>
      </w:pPr>
      <w:r w:rsidRPr="00642A89">
        <w:rPr>
          <w:b/>
        </w:rPr>
        <w:t>Since 2011, Ghana’s public investment budget has steadily declined as a share of GDP.</w:t>
      </w:r>
      <w:r>
        <w:t xml:space="preserve"> In 2012-13, the rising wage bill</w:t>
      </w:r>
      <w:r w:rsidRPr="005D247B">
        <w:t xml:space="preserve"> </w:t>
      </w:r>
      <w:r>
        <w:t xml:space="preserve">and other recurrent expenditures </w:t>
      </w:r>
      <w:r w:rsidRPr="005D247B">
        <w:t xml:space="preserve">crowded out </w:t>
      </w:r>
      <w:r>
        <w:t>new capital investment</w:t>
      </w:r>
      <w:r w:rsidRPr="005D247B">
        <w:t xml:space="preserve">, and </w:t>
      </w:r>
      <w:r>
        <w:t>since 2014 the</w:t>
      </w:r>
      <w:r w:rsidRPr="005D247B">
        <w:t xml:space="preserve"> ongoing fiscal consolidation</w:t>
      </w:r>
      <w:r>
        <w:t xml:space="preserve"> has continued to constrain the investment budget</w:t>
      </w:r>
      <w:r w:rsidRPr="005D247B">
        <w:t xml:space="preserve">. </w:t>
      </w:r>
      <w:r>
        <w:t xml:space="preserve">In the past when the government has </w:t>
      </w:r>
      <w:r w:rsidRPr="005D247B">
        <w:t>fac</w:t>
      </w:r>
      <w:r>
        <w:t xml:space="preserve">ed a </w:t>
      </w:r>
      <w:r w:rsidRPr="005D247B">
        <w:t xml:space="preserve">budget shortfall or </w:t>
      </w:r>
      <w:r>
        <w:t xml:space="preserve">macroeconomic </w:t>
      </w:r>
      <w:r w:rsidRPr="005D247B">
        <w:t xml:space="preserve">shock, </w:t>
      </w:r>
      <w:r>
        <w:t xml:space="preserve">capital spending has often borne the brunt of the </w:t>
      </w:r>
      <w:r w:rsidR="00AC5101">
        <w:t>adjustment</w:t>
      </w:r>
      <w:r w:rsidRPr="005D247B">
        <w:t xml:space="preserve">. </w:t>
      </w:r>
      <w:r>
        <w:t xml:space="preserve">Total </w:t>
      </w:r>
      <w:r w:rsidRPr="005D247B">
        <w:t xml:space="preserve">capital </w:t>
      </w:r>
      <w:r>
        <w:t xml:space="preserve">expenditures fell from 6-7 percent of GDP between 2008 and 2010 to </w:t>
      </w:r>
      <w:r w:rsidRPr="005D247B">
        <w:t>4</w:t>
      </w:r>
      <w:r>
        <w:t>-</w:t>
      </w:r>
      <w:r w:rsidRPr="005D247B">
        <w:t>5 percent between 2011 and 201</w:t>
      </w:r>
      <w:r>
        <w:t xml:space="preserve">6. Consequently, Ghana’s capital-spending dynamics compare unfavorably with those of both its regional comparators and other developing countries worldwide </w:t>
      </w:r>
      <w:r w:rsidRPr="005D247B">
        <w:t>(</w:t>
      </w:r>
      <w:r>
        <w:fldChar w:fldCharType="begin"/>
      </w:r>
      <w:r>
        <w:instrText xml:space="preserve"> REF _Ref479603101 \h </w:instrText>
      </w:r>
      <w:r>
        <w:fldChar w:fldCharType="separate"/>
      </w:r>
      <w:r w:rsidR="007B1CE6" w:rsidRPr="00BD2C47">
        <w:t xml:space="preserve">Figure </w:t>
      </w:r>
      <w:r w:rsidR="007B1CE6">
        <w:rPr>
          <w:noProof/>
        </w:rPr>
        <w:t>1</w:t>
      </w:r>
      <w:r w:rsidR="007B1CE6" w:rsidRPr="00BD2C47">
        <w:t>.</w:t>
      </w:r>
      <w:r w:rsidR="007B1CE6">
        <w:rPr>
          <w:noProof/>
        </w:rPr>
        <w:t>9</w:t>
      </w:r>
      <w:r>
        <w:fldChar w:fldCharType="end"/>
      </w:r>
      <w:r w:rsidRPr="005D247B">
        <w:t>)</w:t>
      </w:r>
      <w:r>
        <w:t xml:space="preserve">. </w:t>
      </w:r>
    </w:p>
    <w:tbl>
      <w:tblPr>
        <w:tblStyle w:val="TableGrid"/>
        <w:tblpPr w:leftFromText="180" w:rightFromText="180" w:vertAnchor="text" w:horzAnchor="page" w:tblpX="6310" w:tblpY="1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tblGrid>
      <w:tr w:rsidR="00AA1C08" w14:paraId="4306CA75" w14:textId="77777777" w:rsidTr="00BD2C47">
        <w:tc>
          <w:tcPr>
            <w:tcW w:w="4770" w:type="dxa"/>
          </w:tcPr>
          <w:p w14:paraId="4AD11FCF" w14:textId="77777777" w:rsidR="00AA1C08" w:rsidRPr="00BD2C47" w:rsidRDefault="00AA1C08" w:rsidP="00BD2C47">
            <w:pPr>
              <w:pStyle w:val="Caption"/>
              <w:rPr>
                <w:lang w:val="en-US"/>
              </w:rPr>
            </w:pPr>
            <w:bookmarkStart w:id="32" w:name="_Ref479603101"/>
            <w:bookmarkStart w:id="33" w:name="_Toc479624922"/>
            <w:r w:rsidRPr="00876DD8">
              <w:rPr>
                <w:noProof/>
                <w:lang w:val="en-US" w:eastAsia="en-US"/>
              </w:rPr>
              <w:lastRenderedPageBreak/>
              <w:drawing>
                <wp:anchor distT="0" distB="0" distL="114300" distR="114300" simplePos="0" relativeHeight="251671552" behindDoc="0" locked="0" layoutInCell="1" allowOverlap="1" wp14:anchorId="0B4EC6A4" wp14:editId="68273859">
                  <wp:simplePos x="0" y="0"/>
                  <wp:positionH relativeFrom="column">
                    <wp:posOffset>64868</wp:posOffset>
                  </wp:positionH>
                  <wp:positionV relativeFrom="paragraph">
                    <wp:posOffset>457005</wp:posOffset>
                  </wp:positionV>
                  <wp:extent cx="2884170" cy="2200275"/>
                  <wp:effectExtent l="0" t="0" r="1143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4170" cy="2200275"/>
                          </a:xfrm>
                          <a:prstGeom prst="rect">
                            <a:avLst/>
                          </a:prstGeom>
                          <a:noFill/>
                        </pic:spPr>
                      </pic:pic>
                    </a:graphicData>
                  </a:graphic>
                  <wp14:sizeRelH relativeFrom="page">
                    <wp14:pctWidth>0</wp14:pctWidth>
                  </wp14:sizeRelH>
                  <wp14:sizeRelV relativeFrom="page">
                    <wp14:pctHeight>0</wp14:pctHeight>
                  </wp14:sizeRelV>
                </wp:anchor>
              </w:drawing>
            </w:r>
            <w:r w:rsidRPr="00BD2C47">
              <w:rPr>
                <w:lang w:val="en-US"/>
              </w:rPr>
              <w:t xml:space="preserve">Figure </w:t>
            </w:r>
            <w:r w:rsidRPr="00BD2C47">
              <w:rPr>
                <w:lang w:val="en-US"/>
              </w:rPr>
              <w:fldChar w:fldCharType="begin"/>
            </w:r>
            <w:r w:rsidRPr="00BD2C47">
              <w:rPr>
                <w:lang w:val="en-US"/>
              </w:rPr>
              <w:instrText xml:space="preserve"> STYLEREF 1 \s </w:instrText>
            </w:r>
            <w:r w:rsidRPr="00BD2C47">
              <w:rPr>
                <w:lang w:val="en-US"/>
              </w:rPr>
              <w:fldChar w:fldCharType="separate"/>
            </w:r>
            <w:r w:rsidR="007B1CE6">
              <w:rPr>
                <w:noProof/>
                <w:lang w:val="en-US"/>
              </w:rPr>
              <w:t>1</w:t>
            </w:r>
            <w:r w:rsidRPr="00BD2C47">
              <w:rPr>
                <w:lang w:val="en-US"/>
              </w:rPr>
              <w:fldChar w:fldCharType="end"/>
            </w:r>
            <w:r w:rsidRPr="00BD2C47">
              <w:rPr>
                <w:lang w:val="en-US"/>
              </w:rPr>
              <w:t>.</w:t>
            </w:r>
            <w:r w:rsidRPr="00BD2C47">
              <w:rPr>
                <w:lang w:val="en-US"/>
              </w:rPr>
              <w:fldChar w:fldCharType="begin"/>
            </w:r>
            <w:r w:rsidRPr="00BD2C47">
              <w:rPr>
                <w:lang w:val="en-US"/>
              </w:rPr>
              <w:instrText xml:space="preserve"> SEQ Figure \* ARABIC \s 1 </w:instrText>
            </w:r>
            <w:r w:rsidRPr="00BD2C47">
              <w:rPr>
                <w:lang w:val="en-US"/>
              </w:rPr>
              <w:fldChar w:fldCharType="separate"/>
            </w:r>
            <w:r w:rsidR="007B1CE6">
              <w:rPr>
                <w:noProof/>
                <w:lang w:val="en-US"/>
              </w:rPr>
              <w:t>9</w:t>
            </w:r>
            <w:r w:rsidRPr="00BD2C47">
              <w:rPr>
                <w:lang w:val="en-US"/>
              </w:rPr>
              <w:fldChar w:fldCharType="end"/>
            </w:r>
            <w:bookmarkEnd w:id="32"/>
            <w:r w:rsidRPr="00BD2C47">
              <w:rPr>
                <w:lang w:val="en-US"/>
              </w:rPr>
              <w:t>: Capital Investment among Developing Countries, 2000-2014 (% of GDP)</w:t>
            </w:r>
            <w:bookmarkEnd w:id="33"/>
          </w:p>
          <w:p w14:paraId="53BE3512" w14:textId="77777777" w:rsidR="00AA1C08" w:rsidRPr="00112F58" w:rsidRDefault="00AA1C08" w:rsidP="00AA1C08"/>
        </w:tc>
      </w:tr>
      <w:tr w:rsidR="00AA1C08" w14:paraId="4F71494C" w14:textId="77777777" w:rsidTr="00BD2C47">
        <w:trPr>
          <w:trHeight w:val="58"/>
        </w:trPr>
        <w:tc>
          <w:tcPr>
            <w:tcW w:w="4770" w:type="dxa"/>
            <w:vAlign w:val="center"/>
          </w:tcPr>
          <w:p w14:paraId="7691B8F3" w14:textId="77777777" w:rsidR="00AA1C08" w:rsidRPr="00980C61" w:rsidRDefault="00AA1C08" w:rsidP="00AA1C08">
            <w:pPr>
              <w:rPr>
                <w:rFonts w:ascii="Garamond" w:hAnsi="Garamond"/>
                <w:sz w:val="20"/>
                <w:szCs w:val="20"/>
              </w:rPr>
            </w:pPr>
            <w:r w:rsidRPr="00980C61">
              <w:rPr>
                <w:rFonts w:ascii="Garamond" w:hAnsi="Garamond"/>
                <w:i/>
                <w:sz w:val="20"/>
                <w:szCs w:val="20"/>
              </w:rPr>
              <w:t>Source:</w:t>
            </w:r>
            <w:r w:rsidRPr="00980C61">
              <w:rPr>
                <w:rFonts w:ascii="Garamond" w:hAnsi="Garamond"/>
                <w:sz w:val="20"/>
                <w:szCs w:val="20"/>
              </w:rPr>
              <w:t xml:space="preserve"> IMF</w:t>
            </w:r>
          </w:p>
        </w:tc>
      </w:tr>
    </w:tbl>
    <w:p w14:paraId="4815CEBD" w14:textId="77777777" w:rsidR="00E76FFD" w:rsidRPr="00E76FFD" w:rsidRDefault="00EA5B37" w:rsidP="00CC46D2">
      <w:pPr>
        <w:pStyle w:val="ListParagraph"/>
      </w:pPr>
      <w:r>
        <w:rPr>
          <w:b/>
        </w:rPr>
        <w:t>Ghana’s low</w:t>
      </w:r>
      <w:r w:rsidR="00247070" w:rsidRPr="001E0F4E">
        <w:rPr>
          <w:b/>
        </w:rPr>
        <w:t xml:space="preserve"> public investment </w:t>
      </w:r>
      <w:r>
        <w:rPr>
          <w:b/>
        </w:rPr>
        <w:t>levels have</w:t>
      </w:r>
      <w:r w:rsidR="00247070" w:rsidRPr="001E0F4E">
        <w:rPr>
          <w:b/>
        </w:rPr>
        <w:t xml:space="preserve"> </w:t>
      </w:r>
      <w:r w:rsidR="00536FA9">
        <w:rPr>
          <w:b/>
        </w:rPr>
        <w:t>negative implications for</w:t>
      </w:r>
      <w:r w:rsidR="00247070" w:rsidRPr="001E0F4E">
        <w:rPr>
          <w:b/>
        </w:rPr>
        <w:t xml:space="preserve"> growth</w:t>
      </w:r>
      <w:r w:rsidR="00EE259C" w:rsidRPr="001E0F4E">
        <w:rPr>
          <w:b/>
        </w:rPr>
        <w:t>, job creation</w:t>
      </w:r>
      <w:r w:rsidR="0005508A">
        <w:rPr>
          <w:b/>
        </w:rPr>
        <w:t>,</w:t>
      </w:r>
      <w:r w:rsidR="00EE259C" w:rsidRPr="001E0F4E">
        <w:rPr>
          <w:b/>
        </w:rPr>
        <w:t xml:space="preserve"> and public service delivery.</w:t>
      </w:r>
      <w:r w:rsidR="00EE259C" w:rsidRPr="007879DC">
        <w:t xml:space="preserve"> </w:t>
      </w:r>
      <w:r w:rsidR="00556EEF" w:rsidRPr="007879DC">
        <w:t>Ghana’s</w:t>
      </w:r>
      <w:r w:rsidR="003D0DF0" w:rsidRPr="007879DC">
        <w:t xml:space="preserve"> </w:t>
      </w:r>
      <w:r w:rsidR="00FC4D16" w:rsidRPr="007879DC">
        <w:t>long</w:t>
      </w:r>
      <w:r w:rsidR="003D0DF0" w:rsidRPr="007879DC">
        <w:t xml:space="preserve">-term </w:t>
      </w:r>
      <w:r w:rsidR="00556EEF" w:rsidRPr="007879DC">
        <w:t xml:space="preserve">growth </w:t>
      </w:r>
      <w:r w:rsidR="003D0DF0" w:rsidRPr="007879DC">
        <w:t>outlook is positive</w:t>
      </w:r>
      <w:r w:rsidR="00556EEF" w:rsidRPr="007879DC">
        <w:t xml:space="preserve">, </w:t>
      </w:r>
      <w:r>
        <w:t xml:space="preserve">and </w:t>
      </w:r>
      <w:r w:rsidR="003D0DF0" w:rsidRPr="007879DC">
        <w:t xml:space="preserve">investment </w:t>
      </w:r>
      <w:r w:rsidR="00556EEF" w:rsidRPr="007879DC">
        <w:t>is</w:t>
      </w:r>
      <w:r w:rsidR="00CA3A98" w:rsidRPr="007879DC">
        <w:t xml:space="preserve"> </w:t>
      </w:r>
      <w:r w:rsidR="00556EEF" w:rsidRPr="007879DC">
        <w:t xml:space="preserve">expected to make </w:t>
      </w:r>
      <w:r w:rsidR="003D0DF0" w:rsidRPr="007879DC">
        <w:t>the single most important contribution to gr</w:t>
      </w:r>
      <w:r w:rsidR="00FC4D16" w:rsidRPr="007879DC">
        <w:t xml:space="preserve">owth over the </w:t>
      </w:r>
      <w:r>
        <w:t>medium term</w:t>
      </w:r>
      <w:r w:rsidR="00FC4D16" w:rsidRPr="007879DC">
        <w:t>.</w:t>
      </w:r>
      <w:r w:rsidR="00FC4D16">
        <w:rPr>
          <w:rStyle w:val="FootnoteReference"/>
          <w:rFonts w:cs="Times New Roman"/>
        </w:rPr>
        <w:footnoteReference w:id="15"/>
      </w:r>
      <w:r w:rsidR="00387D91" w:rsidRPr="007879DC">
        <w:t xml:space="preserve"> </w:t>
      </w:r>
      <w:r w:rsidR="00DA3025">
        <w:t xml:space="preserve">Boosting </w:t>
      </w:r>
      <w:r>
        <w:t xml:space="preserve">public investment, </w:t>
      </w:r>
      <w:r w:rsidR="00E30AAD" w:rsidRPr="007879DC">
        <w:t>particularly in strategic sectors</w:t>
      </w:r>
      <w:r>
        <w:t>, and enhancing its overall quality could accelerate growth and support sustainable poverty reduction</w:t>
      </w:r>
      <w:r w:rsidR="00F5705E" w:rsidRPr="007879DC">
        <w:t xml:space="preserve">. </w:t>
      </w:r>
    </w:p>
    <w:p w14:paraId="07A8F23E" w14:textId="77777777" w:rsidR="003B00BF" w:rsidRPr="00E408C5" w:rsidRDefault="00E76FFD" w:rsidP="009A0C5C">
      <w:pPr>
        <w:pStyle w:val="ListParagraph"/>
      </w:pPr>
      <w:r w:rsidRPr="00FF4C6B">
        <w:rPr>
          <w:b/>
        </w:rPr>
        <w:t xml:space="preserve">While </w:t>
      </w:r>
      <w:r w:rsidR="00EA5B37" w:rsidRPr="00FF4C6B">
        <w:rPr>
          <w:b/>
        </w:rPr>
        <w:t xml:space="preserve">Ghana’s narrow </w:t>
      </w:r>
      <w:r w:rsidRPr="00FF4C6B">
        <w:rPr>
          <w:b/>
        </w:rPr>
        <w:t xml:space="preserve">fiscal </w:t>
      </w:r>
      <w:r w:rsidR="00EA5B37" w:rsidRPr="00FF4C6B">
        <w:rPr>
          <w:b/>
        </w:rPr>
        <w:t xml:space="preserve">envelope </w:t>
      </w:r>
      <w:r w:rsidRPr="00FF4C6B">
        <w:rPr>
          <w:b/>
        </w:rPr>
        <w:t xml:space="preserve">will not allow </w:t>
      </w:r>
      <w:r w:rsidR="00EA5B37" w:rsidRPr="00FF4C6B">
        <w:rPr>
          <w:b/>
        </w:rPr>
        <w:t xml:space="preserve">for </w:t>
      </w:r>
      <w:r w:rsidRPr="00FF4C6B">
        <w:rPr>
          <w:b/>
        </w:rPr>
        <w:t>a drastic increase in capital spending in the short</w:t>
      </w:r>
      <w:r w:rsidR="00EA5B37" w:rsidRPr="00FF4C6B">
        <w:rPr>
          <w:b/>
        </w:rPr>
        <w:t xml:space="preserve"> </w:t>
      </w:r>
      <w:r w:rsidRPr="00FF4C6B">
        <w:rPr>
          <w:b/>
        </w:rPr>
        <w:t xml:space="preserve">term, </w:t>
      </w:r>
      <w:r w:rsidR="00EA5B37" w:rsidRPr="00FF4C6B">
        <w:rPr>
          <w:b/>
        </w:rPr>
        <w:t>strengthening public investment</w:t>
      </w:r>
      <w:r w:rsidRPr="00FF4C6B">
        <w:rPr>
          <w:b/>
        </w:rPr>
        <w:t xml:space="preserve"> </w:t>
      </w:r>
      <w:r w:rsidR="00EA5B37" w:rsidRPr="00FF4C6B">
        <w:rPr>
          <w:b/>
        </w:rPr>
        <w:t>management could accelerate progress on the government’s development objectives.</w:t>
      </w:r>
      <w:r w:rsidR="00EA5B37">
        <w:t xml:space="preserve"> </w:t>
      </w:r>
      <w:r w:rsidR="009407FB">
        <w:t>T</w:t>
      </w:r>
      <w:r w:rsidR="004D5AE3" w:rsidRPr="00E76FFD">
        <w:t xml:space="preserve">he </w:t>
      </w:r>
      <w:r w:rsidR="00EA5B37">
        <w:t>international experience</w:t>
      </w:r>
      <w:r w:rsidR="00EA5B37" w:rsidRPr="00E76FFD">
        <w:t xml:space="preserve"> </w:t>
      </w:r>
      <w:r w:rsidR="004D5AE3" w:rsidRPr="00E76FFD">
        <w:t xml:space="preserve">shows that </w:t>
      </w:r>
      <w:r w:rsidR="001C52E8">
        <w:t xml:space="preserve">public investment in </w:t>
      </w:r>
      <w:r w:rsidR="004D5AE3" w:rsidRPr="00E76FFD">
        <w:t>the most</w:t>
      </w:r>
      <w:r w:rsidR="001C52E8">
        <w:t xml:space="preserve"> </w:t>
      </w:r>
      <w:r w:rsidR="004D5AE3" w:rsidRPr="00E76FFD">
        <w:t xml:space="preserve">efficient </w:t>
      </w:r>
      <w:r w:rsidR="001C52E8">
        <w:t>countries generates up to twice as much value-for-money as public investment in the least efficient countries</w:t>
      </w:r>
      <w:r w:rsidR="00013D0B" w:rsidRPr="00E76FFD">
        <w:t>.</w:t>
      </w:r>
      <w:r w:rsidR="00013D0B">
        <w:rPr>
          <w:rStyle w:val="FootnoteReference"/>
          <w:rFonts w:cs="Times New Roman"/>
        </w:rPr>
        <w:footnoteReference w:id="16"/>
      </w:r>
      <w:r w:rsidR="00604695">
        <w:t xml:space="preserve"> </w:t>
      </w:r>
      <w:r w:rsidR="0011116F" w:rsidRPr="00E76FFD">
        <w:t xml:space="preserve">Ghana’s public investment management </w:t>
      </w:r>
      <w:r w:rsidR="0022718F">
        <w:t xml:space="preserve">capacity </w:t>
      </w:r>
      <w:r w:rsidR="0011116F" w:rsidRPr="00E76FFD">
        <w:t>is weak</w:t>
      </w:r>
      <w:r w:rsidR="0022718F">
        <w:t>,</w:t>
      </w:r>
      <w:r w:rsidR="0011116F" w:rsidRPr="00E76FFD">
        <w:t xml:space="preserve"> and </w:t>
      </w:r>
      <w:r w:rsidR="003252C9">
        <w:t>reforms</w:t>
      </w:r>
      <w:r w:rsidR="003252C9" w:rsidRPr="00E76FFD">
        <w:t xml:space="preserve"> </w:t>
      </w:r>
      <w:r w:rsidR="0011116F" w:rsidRPr="00E76FFD">
        <w:t>are</w:t>
      </w:r>
      <w:r w:rsidR="00C06406" w:rsidRPr="00E76FFD">
        <w:t xml:space="preserve"> </w:t>
      </w:r>
      <w:r w:rsidR="0011116F" w:rsidRPr="00E76FFD">
        <w:t xml:space="preserve">needed </w:t>
      </w:r>
      <w:r w:rsidR="003252C9">
        <w:t>at</w:t>
      </w:r>
      <w:r w:rsidR="003252C9" w:rsidRPr="00E76FFD">
        <w:t xml:space="preserve"> </w:t>
      </w:r>
      <w:r w:rsidR="0011116F" w:rsidRPr="00E76FFD">
        <w:t xml:space="preserve">all stages of the </w:t>
      </w:r>
      <w:r w:rsidR="0022718F">
        <w:t xml:space="preserve">project </w:t>
      </w:r>
      <w:r w:rsidR="0011116F" w:rsidRPr="00E76FFD">
        <w:t xml:space="preserve">cycle: planning, budgeting, appraisal, </w:t>
      </w:r>
      <w:r w:rsidR="0022718F">
        <w:t xml:space="preserve">project </w:t>
      </w:r>
      <w:r w:rsidR="0011116F" w:rsidRPr="00E76FFD">
        <w:t xml:space="preserve">selection, financing, procurement, execution, and monitoring </w:t>
      </w:r>
      <w:r w:rsidR="0022718F">
        <w:t>and</w:t>
      </w:r>
      <w:r w:rsidR="0011116F" w:rsidRPr="00E76FFD">
        <w:t xml:space="preserve"> evaluation.</w:t>
      </w:r>
      <w:r w:rsidR="0011116F">
        <w:rPr>
          <w:rStyle w:val="FootnoteReference"/>
          <w:rFonts w:cs="Times New Roman"/>
        </w:rPr>
        <w:footnoteReference w:id="17"/>
      </w:r>
      <w:r w:rsidR="0011116F" w:rsidRPr="00E76FFD">
        <w:t xml:space="preserve"> </w:t>
      </w:r>
      <w:r w:rsidR="00BC164F" w:rsidRPr="00FF4C6B">
        <w:t xml:space="preserve">Moreover, </w:t>
      </w:r>
      <w:r w:rsidR="003252C9">
        <w:t xml:space="preserve">the fragmentation of </w:t>
      </w:r>
      <w:r w:rsidR="00BC164F" w:rsidRPr="00FF4C6B">
        <w:t xml:space="preserve">public investment </w:t>
      </w:r>
      <w:r w:rsidR="003252C9">
        <w:t xml:space="preserve">across multiple government agencies inhibits </w:t>
      </w:r>
      <w:r w:rsidR="00E408C5" w:rsidRPr="00FF4C6B">
        <w:t>strategi</w:t>
      </w:r>
      <w:r w:rsidR="003252C9">
        <w:t>c planning</w:t>
      </w:r>
      <w:r w:rsidR="00E408C5" w:rsidRPr="00FF4C6B">
        <w:t xml:space="preserve"> </w:t>
      </w:r>
      <w:r w:rsidR="003B00BF" w:rsidRPr="00FF4C6B">
        <w:t xml:space="preserve">and </w:t>
      </w:r>
      <w:r w:rsidR="003252C9">
        <w:t>comprehensive</w:t>
      </w:r>
      <w:r w:rsidR="003B00BF" w:rsidRPr="00FF4C6B">
        <w:t xml:space="preserve"> monitor</w:t>
      </w:r>
      <w:r w:rsidR="00660B1C">
        <w:t>ing</w:t>
      </w:r>
      <w:r w:rsidR="003B00BF" w:rsidRPr="00FF4C6B">
        <w:t xml:space="preserve"> by the </w:t>
      </w:r>
      <w:r w:rsidR="000B1765">
        <w:t>Ministry of Finance (</w:t>
      </w:r>
      <w:r w:rsidR="003B00BF" w:rsidRPr="00FF4C6B">
        <w:t>MoF</w:t>
      </w:r>
      <w:r w:rsidR="000B1765">
        <w:t>)</w:t>
      </w:r>
      <w:r w:rsidR="003B00BF" w:rsidRPr="00FF4C6B">
        <w:t>.</w:t>
      </w:r>
      <w:r w:rsidR="003B00BF" w:rsidRPr="00CC7892">
        <w:t xml:space="preserve"> </w:t>
      </w:r>
      <w:r w:rsidR="000B1765">
        <w:t>Public investment in priority sectors</w:t>
      </w:r>
      <w:r w:rsidR="00197B7A" w:rsidRPr="00E408C5">
        <w:t xml:space="preserve"> </w:t>
      </w:r>
      <w:r w:rsidR="00A078F3">
        <w:t>such as health and education</w:t>
      </w:r>
      <w:r w:rsidR="000B1765">
        <w:t xml:space="preserve"> is</w:t>
      </w:r>
      <w:r w:rsidR="00197B7A" w:rsidRPr="00E408C5">
        <w:t xml:space="preserve"> </w:t>
      </w:r>
      <w:r w:rsidR="000B1765">
        <w:t>managed</w:t>
      </w:r>
      <w:r w:rsidR="000B1765" w:rsidRPr="00E408C5">
        <w:t xml:space="preserve"> </w:t>
      </w:r>
      <w:r w:rsidR="00197B7A" w:rsidRPr="00E408C5">
        <w:t xml:space="preserve">through </w:t>
      </w:r>
      <w:r w:rsidR="007D71D1">
        <w:t>special</w:t>
      </w:r>
      <w:r w:rsidR="007D71D1" w:rsidRPr="00E408C5">
        <w:t xml:space="preserve"> </w:t>
      </w:r>
      <w:r w:rsidR="00197B7A" w:rsidRPr="00E408C5">
        <w:t xml:space="preserve">statutory funds, </w:t>
      </w:r>
      <w:r w:rsidR="007D71D1">
        <w:t>an</w:t>
      </w:r>
      <w:r w:rsidR="00760B8B">
        <w:t>d</w:t>
      </w:r>
      <w:r w:rsidR="007D71D1" w:rsidRPr="00E408C5">
        <w:t xml:space="preserve"> </w:t>
      </w:r>
      <w:r w:rsidR="007D71D1">
        <w:t>detailed investment plans are not included in</w:t>
      </w:r>
      <w:r w:rsidR="00197B7A" w:rsidRPr="00E408C5">
        <w:t xml:space="preserve"> the </w:t>
      </w:r>
      <w:r w:rsidR="007D71D1">
        <w:t xml:space="preserve">national </w:t>
      </w:r>
      <w:r w:rsidR="00197B7A" w:rsidRPr="00E408C5">
        <w:t>budget</w:t>
      </w:r>
      <w:r w:rsidR="00EC0E70">
        <w:t xml:space="preserve">. </w:t>
      </w:r>
      <w:r w:rsidR="00760B8B">
        <w:t>W</w:t>
      </w:r>
      <w:r w:rsidR="00057EF9">
        <w:t xml:space="preserve">hile </w:t>
      </w:r>
      <w:r w:rsidR="00EC0E70">
        <w:t xml:space="preserve">SOEs </w:t>
      </w:r>
      <w:r w:rsidR="007D71D1">
        <w:t>execute a substantial share</w:t>
      </w:r>
      <w:r w:rsidR="00EC0E70">
        <w:t xml:space="preserve"> of public investment</w:t>
      </w:r>
      <w:r w:rsidR="00057EF9">
        <w:t xml:space="preserve">, </w:t>
      </w:r>
      <w:r w:rsidR="007D71D1">
        <w:t xml:space="preserve">their </w:t>
      </w:r>
      <w:r w:rsidR="00057EF9">
        <w:t>b</w:t>
      </w:r>
      <w:r w:rsidR="00EC0E70">
        <w:t xml:space="preserve">udget documentation </w:t>
      </w:r>
      <w:r w:rsidR="007D71D1">
        <w:t>is often incomplete, financial reporting and oversight are limited</w:t>
      </w:r>
      <w:r w:rsidR="00EC0E70">
        <w:t xml:space="preserve">, </w:t>
      </w:r>
      <w:r w:rsidR="007D71D1">
        <w:t xml:space="preserve">and their investment portfolios are not integrated into a </w:t>
      </w:r>
      <w:r w:rsidR="00B66B3E">
        <w:t>full</w:t>
      </w:r>
      <w:r w:rsidR="009407FB">
        <w:t xml:space="preserve"> </w:t>
      </w:r>
      <w:r w:rsidR="007D71D1">
        <w:t>public investment</w:t>
      </w:r>
      <w:r w:rsidR="009407FB" w:rsidRPr="009407FB">
        <w:t xml:space="preserve"> </w:t>
      </w:r>
      <w:r w:rsidR="009407FB">
        <w:t>report</w:t>
      </w:r>
      <w:r w:rsidR="00EC0E70">
        <w:t>.</w:t>
      </w:r>
    </w:p>
    <w:p w14:paraId="7761F63C" w14:textId="77777777" w:rsidR="00F97208" w:rsidRDefault="001F6DBD" w:rsidP="00604695">
      <w:pPr>
        <w:pStyle w:val="ListParagraph"/>
      </w:pPr>
      <w:r w:rsidRPr="00604695">
        <w:rPr>
          <w:b/>
        </w:rPr>
        <w:t>T</w:t>
      </w:r>
      <w:r w:rsidR="0011116F" w:rsidRPr="00604695">
        <w:rPr>
          <w:b/>
        </w:rPr>
        <w:t xml:space="preserve">he </w:t>
      </w:r>
      <w:r w:rsidRPr="00604695">
        <w:rPr>
          <w:b/>
        </w:rPr>
        <w:t>government adopted a new public investment management</w:t>
      </w:r>
      <w:r w:rsidR="00030525">
        <w:rPr>
          <w:b/>
        </w:rPr>
        <w:t xml:space="preserve"> policy</w:t>
      </w:r>
      <w:r w:rsidRPr="00604695">
        <w:rPr>
          <w:b/>
        </w:rPr>
        <w:t xml:space="preserve"> </w:t>
      </w:r>
      <w:r w:rsidR="0011116F" w:rsidRPr="00604695">
        <w:rPr>
          <w:b/>
        </w:rPr>
        <w:t>in June 2015</w:t>
      </w:r>
      <w:r w:rsidR="00A87317" w:rsidRPr="00604695">
        <w:rPr>
          <w:b/>
        </w:rPr>
        <w:t xml:space="preserve"> with support </w:t>
      </w:r>
      <w:r w:rsidRPr="00604695">
        <w:rPr>
          <w:b/>
        </w:rPr>
        <w:t xml:space="preserve">from </w:t>
      </w:r>
      <w:r w:rsidR="00A87317" w:rsidRPr="00604695">
        <w:rPr>
          <w:b/>
        </w:rPr>
        <w:t>the World Bank.</w:t>
      </w:r>
      <w:r w:rsidR="00BC51EF">
        <w:rPr>
          <w:rStyle w:val="FootnoteReference"/>
          <w:rFonts w:cs="Times New Roman"/>
        </w:rPr>
        <w:footnoteReference w:id="18"/>
      </w:r>
      <w:r w:rsidR="00A87317" w:rsidRPr="00E76FFD">
        <w:t xml:space="preserve"> </w:t>
      </w:r>
      <w:r>
        <w:t>Its principal</w:t>
      </w:r>
      <w:r w:rsidR="00E76FFD">
        <w:t xml:space="preserve"> </w:t>
      </w:r>
      <w:r w:rsidR="001874DA" w:rsidRPr="00E76FFD">
        <w:t>objective</w:t>
      </w:r>
      <w:r>
        <w:t>s</w:t>
      </w:r>
      <w:r w:rsidR="001874DA" w:rsidRPr="00E76FFD">
        <w:t xml:space="preserve"> </w:t>
      </w:r>
      <w:r>
        <w:t>are</w:t>
      </w:r>
      <w:r w:rsidR="00A87317" w:rsidRPr="00E76FFD">
        <w:t xml:space="preserve"> </w:t>
      </w:r>
      <w:r w:rsidR="001874DA" w:rsidRPr="00E76FFD">
        <w:t xml:space="preserve">to establish well-defined and </w:t>
      </w:r>
      <w:r w:rsidR="001874DA" w:rsidRPr="00170306">
        <w:t xml:space="preserve">transparent </w:t>
      </w:r>
      <w:r w:rsidR="00C56017">
        <w:t>guidelines</w:t>
      </w:r>
      <w:r w:rsidR="001874DA" w:rsidRPr="00170306">
        <w:t xml:space="preserve"> for project</w:t>
      </w:r>
      <w:r w:rsidR="00821FE1">
        <w:t xml:space="preserve"> preparation and</w:t>
      </w:r>
      <w:r w:rsidR="001874DA" w:rsidRPr="00170306">
        <w:t xml:space="preserve"> selection</w:t>
      </w:r>
      <w:r w:rsidR="00ED71A5">
        <w:t xml:space="preserve"> designed to</w:t>
      </w:r>
      <w:r w:rsidR="001874DA" w:rsidRPr="00170306">
        <w:t xml:space="preserve"> ensure that only viable projects with significant economic benefits receive funding, </w:t>
      </w:r>
      <w:r>
        <w:t>and to institute</w:t>
      </w:r>
      <w:r w:rsidR="001874DA" w:rsidRPr="00170306">
        <w:t xml:space="preserve"> appropriate procedures for tracking project </w:t>
      </w:r>
      <w:r w:rsidR="00C56017">
        <w:t>execution</w:t>
      </w:r>
      <w:r w:rsidR="00C56017" w:rsidRPr="00170306">
        <w:t xml:space="preserve"> </w:t>
      </w:r>
      <w:r w:rsidR="001874DA" w:rsidRPr="00170306">
        <w:t xml:space="preserve">and </w:t>
      </w:r>
      <w:r w:rsidR="00C56017">
        <w:t>conducing</w:t>
      </w:r>
      <w:r w:rsidR="001874DA" w:rsidRPr="00170306">
        <w:t xml:space="preserve"> impact </w:t>
      </w:r>
      <w:r w:rsidR="00C56017">
        <w:t>assessments</w:t>
      </w:r>
      <w:r w:rsidR="001874DA" w:rsidRPr="00170306">
        <w:t>.</w:t>
      </w:r>
      <w:r w:rsidR="00A87317" w:rsidRPr="00170306">
        <w:t xml:space="preserve"> The </w:t>
      </w:r>
      <w:r>
        <w:t>g</w:t>
      </w:r>
      <w:r w:rsidR="00A87317" w:rsidRPr="00170306">
        <w:t xml:space="preserve">overnment </w:t>
      </w:r>
      <w:r>
        <w:t>is expected to begin implementing the</w:t>
      </w:r>
      <w:r w:rsidR="00030525">
        <w:t xml:space="preserve"> policy</w:t>
      </w:r>
      <w:r w:rsidR="00A87317" w:rsidRPr="00170306">
        <w:t xml:space="preserve"> in 2017</w:t>
      </w:r>
      <w:r w:rsidR="003E04F8" w:rsidRPr="00170306">
        <w:t xml:space="preserve"> with </w:t>
      </w:r>
      <w:r w:rsidR="00ED71A5" w:rsidRPr="00170306">
        <w:t xml:space="preserve">World Bank </w:t>
      </w:r>
      <w:r w:rsidR="003E04F8" w:rsidRPr="00170306">
        <w:t>technical assistance.</w:t>
      </w:r>
      <w:r w:rsidR="00611FEE">
        <w:rPr>
          <w:rStyle w:val="FootnoteReference"/>
          <w:rFonts w:cs="Times New Roman"/>
        </w:rPr>
        <w:footnoteReference w:id="19"/>
      </w:r>
      <w:r w:rsidR="00D8125C" w:rsidRPr="00170306">
        <w:t xml:space="preserve"> </w:t>
      </w:r>
    </w:p>
    <w:p w14:paraId="0430411B" w14:textId="77777777" w:rsidR="0099044E" w:rsidRDefault="00CB18A4" w:rsidP="0099044E">
      <w:pPr>
        <w:pStyle w:val="ListParagraph"/>
      </w:pPr>
      <w:r w:rsidRPr="0099044E">
        <w:rPr>
          <w:b/>
        </w:rPr>
        <w:t>S</w:t>
      </w:r>
      <w:r w:rsidR="00F97208" w:rsidRPr="0099044E">
        <w:rPr>
          <w:b/>
        </w:rPr>
        <w:t xml:space="preserve">treamlining recurrent spending </w:t>
      </w:r>
      <w:r w:rsidRPr="0099044E">
        <w:rPr>
          <w:b/>
        </w:rPr>
        <w:t xml:space="preserve">could </w:t>
      </w:r>
      <w:r w:rsidR="00ED71A5">
        <w:rPr>
          <w:b/>
        </w:rPr>
        <w:t>expand</w:t>
      </w:r>
      <w:r w:rsidR="00ED71A5" w:rsidRPr="0099044E">
        <w:rPr>
          <w:b/>
        </w:rPr>
        <w:t xml:space="preserve"> </w:t>
      </w:r>
      <w:r w:rsidR="000A5CB9">
        <w:rPr>
          <w:b/>
        </w:rPr>
        <w:t>the</w:t>
      </w:r>
      <w:r w:rsidR="000A5CB9" w:rsidRPr="0099044E">
        <w:rPr>
          <w:b/>
        </w:rPr>
        <w:t xml:space="preserve"> </w:t>
      </w:r>
      <w:r w:rsidRPr="0099044E">
        <w:rPr>
          <w:b/>
        </w:rPr>
        <w:t>fiscal space</w:t>
      </w:r>
      <w:r w:rsidR="00F97208" w:rsidRPr="0099044E">
        <w:rPr>
          <w:b/>
        </w:rPr>
        <w:t xml:space="preserve"> for </w:t>
      </w:r>
      <w:r w:rsidR="000A5CB9">
        <w:rPr>
          <w:b/>
        </w:rPr>
        <w:t>public</w:t>
      </w:r>
      <w:r w:rsidR="000A5CB9" w:rsidRPr="0099044E">
        <w:rPr>
          <w:b/>
        </w:rPr>
        <w:t xml:space="preserve"> </w:t>
      </w:r>
      <w:r w:rsidR="00F97208" w:rsidRPr="0099044E">
        <w:rPr>
          <w:b/>
        </w:rPr>
        <w:t xml:space="preserve">investment </w:t>
      </w:r>
      <w:r w:rsidR="007E187C" w:rsidRPr="0099044E">
        <w:rPr>
          <w:b/>
        </w:rPr>
        <w:t xml:space="preserve">over </w:t>
      </w:r>
      <w:r w:rsidR="00F97208" w:rsidRPr="0099044E">
        <w:rPr>
          <w:b/>
        </w:rPr>
        <w:t>the medium</w:t>
      </w:r>
      <w:r w:rsidRPr="0099044E">
        <w:rPr>
          <w:b/>
        </w:rPr>
        <w:t xml:space="preserve"> </w:t>
      </w:r>
      <w:r w:rsidR="00F97208" w:rsidRPr="0099044E">
        <w:rPr>
          <w:b/>
        </w:rPr>
        <w:t>term</w:t>
      </w:r>
      <w:r w:rsidR="000A5CB9">
        <w:rPr>
          <w:b/>
        </w:rPr>
        <w:t>, while public-private partnerships</w:t>
      </w:r>
      <w:r w:rsidR="007A2435">
        <w:rPr>
          <w:b/>
        </w:rPr>
        <w:t xml:space="preserve"> (PPPs)</w:t>
      </w:r>
      <w:r w:rsidR="000A5CB9">
        <w:rPr>
          <w:b/>
        </w:rPr>
        <w:t xml:space="preserve"> could </w:t>
      </w:r>
      <w:r w:rsidR="00ED71A5">
        <w:rPr>
          <w:b/>
        </w:rPr>
        <w:t xml:space="preserve">better leverage </w:t>
      </w:r>
      <w:r w:rsidR="00DD11C0">
        <w:rPr>
          <w:b/>
        </w:rPr>
        <w:t xml:space="preserve">the government’s </w:t>
      </w:r>
      <w:r w:rsidR="00ED71A5">
        <w:rPr>
          <w:b/>
        </w:rPr>
        <w:t xml:space="preserve">limited </w:t>
      </w:r>
      <w:r w:rsidR="00DD11C0">
        <w:rPr>
          <w:b/>
        </w:rPr>
        <w:t>resources</w:t>
      </w:r>
      <w:r w:rsidR="00F97208" w:rsidRPr="0099044E">
        <w:rPr>
          <w:b/>
        </w:rPr>
        <w:t>.</w:t>
      </w:r>
      <w:r w:rsidR="00F97208" w:rsidRPr="00FE39CE">
        <w:t xml:space="preserve"> </w:t>
      </w:r>
      <w:r w:rsidR="008E4C8E">
        <w:t>Increasing the quantity of</w:t>
      </w:r>
      <w:r w:rsidR="000A5CB9">
        <w:t xml:space="preserve"> Ghana’s</w:t>
      </w:r>
      <w:r w:rsidR="007E187C">
        <w:t xml:space="preserve"> public goods and</w:t>
      </w:r>
      <w:r w:rsidR="00ED71A5">
        <w:t xml:space="preserve"> enhancing</w:t>
      </w:r>
      <w:r w:rsidR="007E187C">
        <w:t xml:space="preserve"> </w:t>
      </w:r>
      <w:r w:rsidR="008E4C8E">
        <w:t xml:space="preserve">the quality of </w:t>
      </w:r>
      <w:r w:rsidR="000A5CB9">
        <w:t xml:space="preserve">its </w:t>
      </w:r>
      <w:r w:rsidR="007E187C">
        <w:t>public service</w:t>
      </w:r>
      <w:r w:rsidR="008E4C8E">
        <w:t>s</w:t>
      </w:r>
      <w:r w:rsidR="007E187C">
        <w:t xml:space="preserve"> </w:t>
      </w:r>
      <w:r w:rsidR="008E4C8E">
        <w:t>to the level</w:t>
      </w:r>
      <w:r w:rsidR="007E187C">
        <w:t xml:space="preserve"> of other lower-middle-income countries will require an additional</w:t>
      </w:r>
      <w:r w:rsidR="007879DC" w:rsidRPr="00FE39CE">
        <w:t xml:space="preserve"> US$1.5 billion per </w:t>
      </w:r>
      <w:r w:rsidR="007E187C">
        <w:t>year in public investment</w:t>
      </w:r>
      <w:r w:rsidR="007879DC" w:rsidRPr="00FE39CE">
        <w:t xml:space="preserve">. </w:t>
      </w:r>
      <w:r w:rsidR="000A5CB9">
        <w:t xml:space="preserve">Further measures to contain the growth of the </w:t>
      </w:r>
      <w:r w:rsidR="000A5CB9">
        <w:lastRenderedPageBreak/>
        <w:t xml:space="preserve">wage bill and other major recurrent expenditures could create new </w:t>
      </w:r>
      <w:r w:rsidR="00AC5101">
        <w:t xml:space="preserve">fiscal </w:t>
      </w:r>
      <w:r w:rsidR="000A5CB9">
        <w:t xml:space="preserve">space for investment, and forming partnerships with private investors could augment the government’s limited </w:t>
      </w:r>
      <w:r w:rsidR="00DD11C0">
        <w:t>fiscal envelope</w:t>
      </w:r>
      <w:r w:rsidR="000A5CB9">
        <w:t xml:space="preserve">. </w:t>
      </w:r>
      <w:r w:rsidR="00F97208" w:rsidRPr="00FE39CE">
        <w:t xml:space="preserve">Engaging private investors in the sector will require </w:t>
      </w:r>
      <w:r w:rsidR="007E187C">
        <w:t xml:space="preserve">a </w:t>
      </w:r>
      <w:r w:rsidR="00F97208" w:rsidRPr="00FE39CE">
        <w:t xml:space="preserve">significant </w:t>
      </w:r>
      <w:r w:rsidR="007E187C">
        <w:t>reduction</w:t>
      </w:r>
      <w:r w:rsidR="007E187C" w:rsidRPr="00FE39CE">
        <w:t xml:space="preserve"> </w:t>
      </w:r>
      <w:r w:rsidR="00F97208" w:rsidRPr="00FE39CE">
        <w:t xml:space="preserve">in country risk and </w:t>
      </w:r>
      <w:r w:rsidR="007E187C">
        <w:t xml:space="preserve">improvements in </w:t>
      </w:r>
      <w:r w:rsidR="00F97208" w:rsidRPr="00FE39CE">
        <w:t>the project selection</w:t>
      </w:r>
      <w:r w:rsidR="007E187C">
        <w:t xml:space="preserve"> process</w:t>
      </w:r>
      <w:r w:rsidR="00F97208" w:rsidRPr="00FE39CE">
        <w:t xml:space="preserve">. Private investors will only involve themselves in </w:t>
      </w:r>
      <w:r w:rsidR="0076435F" w:rsidRPr="00FE39CE">
        <w:t>high</w:t>
      </w:r>
      <w:r w:rsidR="002F2F55">
        <w:t>-</w:t>
      </w:r>
      <w:r w:rsidR="0076435F" w:rsidRPr="00FE39CE">
        <w:t>quality</w:t>
      </w:r>
      <w:r w:rsidR="00F97208" w:rsidRPr="00FE39CE">
        <w:t>, financially viable infrastructure projects that are carefully selected and prepared.</w:t>
      </w:r>
      <w:r w:rsidR="0022673E">
        <w:rPr>
          <w:rStyle w:val="FootnoteReference"/>
          <w:rFonts w:cs="Times New Roman"/>
        </w:rPr>
        <w:footnoteReference w:id="20"/>
      </w:r>
      <w:r w:rsidR="00FE39CE" w:rsidRPr="00FE39CE">
        <w:t xml:space="preserve"> </w:t>
      </w:r>
    </w:p>
    <w:p w14:paraId="4A3E4C19" w14:textId="77777777" w:rsidR="002938D0" w:rsidRPr="00E45355" w:rsidRDefault="002F2F55" w:rsidP="00894F2B">
      <w:pPr>
        <w:pStyle w:val="Heading2"/>
      </w:pPr>
      <w:bookmarkStart w:id="34" w:name="_Toc479624870"/>
      <w:r w:rsidRPr="00E45355">
        <w:t xml:space="preserve">Public </w:t>
      </w:r>
      <w:r w:rsidR="002938D0" w:rsidRPr="00E45355">
        <w:t>Expenditure</w:t>
      </w:r>
      <w:r w:rsidRPr="00E45355">
        <w:t>s</w:t>
      </w:r>
      <w:r w:rsidR="002938D0" w:rsidRPr="00E45355">
        <w:t xml:space="preserve"> by </w:t>
      </w:r>
      <w:r w:rsidRPr="00E45355">
        <w:t>S</w:t>
      </w:r>
      <w:r w:rsidR="002938D0" w:rsidRPr="00E45355">
        <w:t>ector</w:t>
      </w:r>
      <w:bookmarkEnd w:id="34"/>
    </w:p>
    <w:p w14:paraId="52FA4A20" w14:textId="77777777" w:rsidR="004353BA" w:rsidRDefault="00A02937" w:rsidP="005604B0">
      <w:pPr>
        <w:pStyle w:val="ListParagraph"/>
        <w:spacing w:before="240"/>
      </w:pPr>
      <w:r>
        <w:rPr>
          <w:b/>
        </w:rPr>
        <w:t>Weaknesses in</w:t>
      </w:r>
      <w:r w:rsidRPr="00B234D9">
        <w:rPr>
          <w:b/>
        </w:rPr>
        <w:t xml:space="preserve"> </w:t>
      </w:r>
      <w:r w:rsidR="00100374" w:rsidRPr="00B234D9">
        <w:rPr>
          <w:b/>
        </w:rPr>
        <w:t xml:space="preserve">expenditure recording </w:t>
      </w:r>
      <w:r w:rsidR="009B5235" w:rsidRPr="00B234D9">
        <w:rPr>
          <w:b/>
        </w:rPr>
        <w:t>limit analysis of public spending in Ghana</w:t>
      </w:r>
      <w:r w:rsidR="00100374" w:rsidRPr="00B234D9">
        <w:rPr>
          <w:b/>
        </w:rPr>
        <w:t>.</w:t>
      </w:r>
      <w:r w:rsidR="00100374" w:rsidRPr="00B660E4">
        <w:t xml:space="preserve"> </w:t>
      </w:r>
      <w:r w:rsidR="009B5235">
        <w:t>The country’s</w:t>
      </w:r>
      <w:r w:rsidR="009B5235" w:rsidRPr="00B660E4">
        <w:t xml:space="preserve"> </w:t>
      </w:r>
      <w:r w:rsidR="00100374" w:rsidRPr="00B660E4">
        <w:t xml:space="preserve">legal framework </w:t>
      </w:r>
      <w:r w:rsidR="00B618D7">
        <w:t xml:space="preserve">only </w:t>
      </w:r>
      <w:r w:rsidR="009B5235">
        <w:t>mandates</w:t>
      </w:r>
      <w:r w:rsidR="00100374" w:rsidRPr="00B660E4">
        <w:t xml:space="preserve"> the preparation of financial report</w:t>
      </w:r>
      <w:r w:rsidR="009B5235">
        <w:t>s</w:t>
      </w:r>
      <w:r w:rsidR="00100374" w:rsidRPr="00B660E4">
        <w:t xml:space="preserve"> </w:t>
      </w:r>
      <w:r w:rsidR="009B5235">
        <w:t>for</w:t>
      </w:r>
      <w:r w:rsidR="00100374" w:rsidRPr="00B660E4">
        <w:t xml:space="preserve"> the consolidated budget</w:t>
      </w:r>
      <w:r w:rsidR="009B5235">
        <w:t xml:space="preserve">, and the </w:t>
      </w:r>
      <w:r w:rsidR="00100374" w:rsidRPr="00B660E4">
        <w:t xml:space="preserve">overall </w:t>
      </w:r>
      <w:r w:rsidR="009B5235">
        <w:t xml:space="preserve">allocation of </w:t>
      </w:r>
      <w:r w:rsidR="00100374" w:rsidRPr="00B660E4">
        <w:t>central government funds</w:t>
      </w:r>
      <w:r w:rsidR="009B5235">
        <w:t xml:space="preserve"> is not recorded in any single format</w:t>
      </w:r>
      <w:r w:rsidR="00100374" w:rsidRPr="00B660E4">
        <w:t xml:space="preserve">. </w:t>
      </w:r>
      <w:r w:rsidR="009B5235">
        <w:t>Administrative agencies</w:t>
      </w:r>
      <w:r w:rsidR="00100374" w:rsidRPr="00B660E4">
        <w:t xml:space="preserve"> receive funding </w:t>
      </w:r>
      <w:r w:rsidR="009B5235">
        <w:t xml:space="preserve">not only </w:t>
      </w:r>
      <w:r w:rsidR="00100374" w:rsidRPr="00B660E4">
        <w:t xml:space="preserve">through the budget, </w:t>
      </w:r>
      <w:r w:rsidR="009B5235">
        <w:t xml:space="preserve">but also through </w:t>
      </w:r>
      <w:r w:rsidR="00100374" w:rsidRPr="00B660E4">
        <w:t xml:space="preserve">earmarked funds and </w:t>
      </w:r>
      <w:r w:rsidR="009B5235">
        <w:t xml:space="preserve">internally generated </w:t>
      </w:r>
      <w:r w:rsidR="00AC5101">
        <w:t>funds</w:t>
      </w:r>
      <w:r w:rsidR="009B5235">
        <w:t xml:space="preserve"> (IGF)</w:t>
      </w:r>
      <w:r w:rsidR="00100374" w:rsidRPr="00B660E4">
        <w:t xml:space="preserve">. Ghana currently </w:t>
      </w:r>
      <w:r w:rsidR="009B5235" w:rsidRPr="00B660E4">
        <w:t xml:space="preserve">has </w:t>
      </w:r>
      <w:r w:rsidR="00100374" w:rsidRPr="00B660E4">
        <w:t>seven earmarked funds</w:t>
      </w:r>
      <w:r w:rsidR="009B5235">
        <w:t>, which together</w:t>
      </w:r>
      <w:r w:rsidR="00100374" w:rsidRPr="00B660E4">
        <w:t xml:space="preserve"> account for </w:t>
      </w:r>
      <w:r w:rsidR="009B5235">
        <w:t>about</w:t>
      </w:r>
      <w:r w:rsidR="009B5235" w:rsidRPr="00B660E4">
        <w:t xml:space="preserve"> </w:t>
      </w:r>
      <w:r w:rsidR="00100374" w:rsidRPr="00B660E4">
        <w:t>15 percent of total central government revenue.</w:t>
      </w:r>
      <w:r w:rsidR="009B5235">
        <w:rPr>
          <w:rStyle w:val="FootnoteReference"/>
        </w:rPr>
        <w:footnoteReference w:id="21"/>
      </w:r>
      <w:r w:rsidR="00100374" w:rsidRPr="00B660E4">
        <w:t xml:space="preserve"> </w:t>
      </w:r>
      <w:r w:rsidR="00B234D9">
        <w:t xml:space="preserve">Budgets and outturns for these funds are not available during </w:t>
      </w:r>
      <w:r w:rsidR="00622C9C">
        <w:t xml:space="preserve">the </w:t>
      </w:r>
      <w:r w:rsidR="00B234D9">
        <w:t>preparation and approval of the national budget</w:t>
      </w:r>
      <w:r w:rsidR="00622C9C">
        <w:t>,</w:t>
      </w:r>
      <w:r w:rsidR="00B234D9">
        <w:t xml:space="preserve"> and </w:t>
      </w:r>
      <w:r w:rsidR="00622C9C">
        <w:t xml:space="preserve">Parliament approves </w:t>
      </w:r>
      <w:r w:rsidR="00B234D9">
        <w:t xml:space="preserve">their budgets according to a </w:t>
      </w:r>
      <w:r w:rsidR="00622C9C">
        <w:t xml:space="preserve">separate </w:t>
      </w:r>
      <w:r w:rsidR="00B234D9">
        <w:t xml:space="preserve">calendar established in their founding legislation. </w:t>
      </w:r>
      <w:r w:rsidR="00100374" w:rsidRPr="00B660E4">
        <w:t>The C</w:t>
      </w:r>
      <w:r w:rsidR="009B5235">
        <w:t xml:space="preserve">ontroller and </w:t>
      </w:r>
      <w:r w:rsidR="00100374" w:rsidRPr="00B660E4">
        <w:t>A</w:t>
      </w:r>
      <w:r w:rsidR="009B5235">
        <w:t>ccountant-</w:t>
      </w:r>
      <w:r w:rsidR="00100374" w:rsidRPr="00B660E4">
        <w:t>G</w:t>
      </w:r>
      <w:r w:rsidR="009B5235">
        <w:t>eneral’s</w:t>
      </w:r>
      <w:r w:rsidR="00100374" w:rsidRPr="00B660E4">
        <w:t xml:space="preserve"> </w:t>
      </w:r>
      <w:r w:rsidR="009B5235">
        <w:t xml:space="preserve">Department (CAGD) </w:t>
      </w:r>
      <w:r w:rsidR="00100374" w:rsidRPr="00B660E4">
        <w:t xml:space="preserve">does not </w:t>
      </w:r>
      <w:r w:rsidR="00417AA3">
        <w:t xml:space="preserve">capture </w:t>
      </w:r>
      <w:r w:rsidR="00AA1750">
        <w:t xml:space="preserve">all data on </w:t>
      </w:r>
      <w:r w:rsidR="00100374" w:rsidRPr="00B660E4">
        <w:t>IGF,</w:t>
      </w:r>
      <w:r w:rsidR="00AA1750">
        <w:t xml:space="preserve"> external</w:t>
      </w:r>
      <w:r w:rsidR="00100374" w:rsidRPr="00B660E4">
        <w:t xml:space="preserve"> development </w:t>
      </w:r>
      <w:r w:rsidR="00AA1750">
        <w:t>financing</w:t>
      </w:r>
      <w:r w:rsidR="00100374" w:rsidRPr="00B660E4">
        <w:t xml:space="preserve">, or even statutory funds, which </w:t>
      </w:r>
      <w:r w:rsidR="00622C9C">
        <w:t xml:space="preserve">together </w:t>
      </w:r>
      <w:r w:rsidR="00100374" w:rsidRPr="00B660E4">
        <w:t>comprise a large share of the national budget.</w:t>
      </w:r>
    </w:p>
    <w:p w14:paraId="66FA8ECE" w14:textId="522B1CE1" w:rsidR="00C35575" w:rsidRDefault="004353BA" w:rsidP="00B64196">
      <w:pPr>
        <w:pStyle w:val="Caption"/>
      </w:pPr>
      <w:bookmarkStart w:id="35" w:name="_Ref472517999"/>
      <w:bookmarkStart w:id="36" w:name="_Toc478837621"/>
      <w:r>
        <w:t xml:space="preserve">Table </w:t>
      </w:r>
      <w:r w:rsidR="00500291">
        <w:fldChar w:fldCharType="begin"/>
      </w:r>
      <w:r w:rsidR="00500291">
        <w:instrText xml:space="preserve"> STYLEREF 1 \s </w:instrText>
      </w:r>
      <w:r w:rsidR="00500291">
        <w:fldChar w:fldCharType="separate"/>
      </w:r>
      <w:r w:rsidR="007B1CE6">
        <w:rPr>
          <w:noProof/>
        </w:rPr>
        <w:t>1</w:t>
      </w:r>
      <w:r w:rsidR="00500291">
        <w:fldChar w:fldCharType="end"/>
      </w:r>
      <w:r w:rsidR="00500291">
        <w:t>.</w:t>
      </w:r>
      <w:r w:rsidR="00500291">
        <w:fldChar w:fldCharType="begin"/>
      </w:r>
      <w:r w:rsidR="00500291">
        <w:instrText xml:space="preserve"> SEQ Table \* ARABIC \s 1 </w:instrText>
      </w:r>
      <w:r w:rsidR="00500291">
        <w:fldChar w:fldCharType="separate"/>
      </w:r>
      <w:r w:rsidR="007B1CE6">
        <w:rPr>
          <w:noProof/>
        </w:rPr>
        <w:t>2</w:t>
      </w:r>
      <w:r w:rsidR="00500291">
        <w:fldChar w:fldCharType="end"/>
      </w:r>
      <w:bookmarkEnd w:id="35"/>
      <w:r w:rsidRPr="00876DD8">
        <w:t xml:space="preserve">: </w:t>
      </w:r>
      <w:r>
        <w:t>Public Spending</w:t>
      </w:r>
      <w:r w:rsidRPr="00876DD8">
        <w:t xml:space="preserve"> by Sector, 2011-</w:t>
      </w:r>
      <w:r w:rsidR="00C35575" w:rsidRPr="00876DD8">
        <w:t>1</w:t>
      </w:r>
      <w:r w:rsidR="00C35575">
        <w:t>6</w:t>
      </w:r>
      <w:r w:rsidR="00C35575" w:rsidRPr="00876DD8">
        <w:t xml:space="preserve"> </w:t>
      </w:r>
      <w:r w:rsidRPr="00876DD8">
        <w:t>(% of GDP)</w:t>
      </w:r>
      <w:bookmarkEnd w:id="36"/>
      <w:r w:rsidR="00C35575">
        <w:fldChar w:fldCharType="begin"/>
      </w:r>
      <w:r w:rsidR="00C35575">
        <w:instrText xml:space="preserve"> LINK </w:instrText>
      </w:r>
      <w:r w:rsidR="00C60B22">
        <w:instrText xml:space="preserve">Excel.Sheet.12 "C:\\Users\\wb510733\\Documents\\REPORTS\\PER\\PER_Graphs_April 21 2017.xlsx" "table 1.2!R3C1:R14C7" </w:instrText>
      </w:r>
      <w:r w:rsidR="00C35575">
        <w:instrText xml:space="preserve">\a \f 4 \h </w:instrText>
      </w:r>
      <w:r w:rsidR="00D13405">
        <w:instrText xml:space="preserve"> \* MERGEFORMAT </w:instrText>
      </w:r>
      <w:r w:rsidR="00C35575">
        <w:fldChar w:fldCharType="separate"/>
      </w:r>
    </w:p>
    <w:tbl>
      <w:tblPr>
        <w:tblW w:w="8869" w:type="dxa"/>
        <w:tblLook w:val="04A0" w:firstRow="1" w:lastRow="0" w:firstColumn="1" w:lastColumn="0" w:noHBand="0" w:noVBand="1"/>
      </w:tblPr>
      <w:tblGrid>
        <w:gridCol w:w="3312"/>
        <w:gridCol w:w="976"/>
        <w:gridCol w:w="976"/>
        <w:gridCol w:w="976"/>
        <w:gridCol w:w="976"/>
        <w:gridCol w:w="976"/>
        <w:gridCol w:w="976"/>
      </w:tblGrid>
      <w:tr w:rsidR="00C35575" w:rsidRPr="00677496" w14:paraId="68D55673" w14:textId="77777777" w:rsidTr="00453A2D">
        <w:trPr>
          <w:trHeight w:val="315"/>
        </w:trPr>
        <w:tc>
          <w:tcPr>
            <w:tcW w:w="3312"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545653B" w14:textId="77777777" w:rsidR="00C35575" w:rsidRPr="00677496" w:rsidRDefault="00C35575" w:rsidP="00FD64A3">
            <w:pPr>
              <w:spacing w:after="0" w:line="240" w:lineRule="auto"/>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 </w:t>
            </w:r>
          </w:p>
        </w:tc>
        <w:tc>
          <w:tcPr>
            <w:tcW w:w="976" w:type="dxa"/>
            <w:tcBorders>
              <w:top w:val="single" w:sz="8" w:space="0" w:color="auto"/>
              <w:left w:val="nil"/>
              <w:bottom w:val="single" w:sz="8" w:space="0" w:color="auto"/>
              <w:right w:val="single" w:sz="8" w:space="0" w:color="auto"/>
            </w:tcBorders>
            <w:shd w:val="clear" w:color="000000" w:fill="FFFFFF"/>
            <w:noWrap/>
            <w:vAlign w:val="center"/>
            <w:hideMark/>
          </w:tcPr>
          <w:p w14:paraId="42494D98"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2011</w:t>
            </w:r>
          </w:p>
        </w:tc>
        <w:tc>
          <w:tcPr>
            <w:tcW w:w="976" w:type="dxa"/>
            <w:tcBorders>
              <w:top w:val="single" w:sz="8" w:space="0" w:color="auto"/>
              <w:left w:val="nil"/>
              <w:bottom w:val="single" w:sz="8" w:space="0" w:color="auto"/>
              <w:right w:val="single" w:sz="8" w:space="0" w:color="auto"/>
            </w:tcBorders>
            <w:shd w:val="clear" w:color="000000" w:fill="FFFFFF"/>
            <w:noWrap/>
            <w:vAlign w:val="center"/>
            <w:hideMark/>
          </w:tcPr>
          <w:p w14:paraId="11328CCC"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2012</w:t>
            </w:r>
          </w:p>
        </w:tc>
        <w:tc>
          <w:tcPr>
            <w:tcW w:w="976" w:type="dxa"/>
            <w:tcBorders>
              <w:top w:val="single" w:sz="8" w:space="0" w:color="auto"/>
              <w:left w:val="nil"/>
              <w:bottom w:val="single" w:sz="8" w:space="0" w:color="auto"/>
              <w:right w:val="single" w:sz="8" w:space="0" w:color="auto"/>
            </w:tcBorders>
            <w:shd w:val="clear" w:color="000000" w:fill="FFFFFF"/>
            <w:noWrap/>
            <w:vAlign w:val="center"/>
            <w:hideMark/>
          </w:tcPr>
          <w:p w14:paraId="5B503A03"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2013</w:t>
            </w:r>
          </w:p>
        </w:tc>
        <w:tc>
          <w:tcPr>
            <w:tcW w:w="976" w:type="dxa"/>
            <w:tcBorders>
              <w:top w:val="single" w:sz="8" w:space="0" w:color="auto"/>
              <w:left w:val="nil"/>
              <w:bottom w:val="single" w:sz="8" w:space="0" w:color="auto"/>
              <w:right w:val="single" w:sz="8" w:space="0" w:color="auto"/>
            </w:tcBorders>
            <w:shd w:val="clear" w:color="000000" w:fill="FFFFFF"/>
            <w:noWrap/>
            <w:vAlign w:val="center"/>
            <w:hideMark/>
          </w:tcPr>
          <w:p w14:paraId="2FCE5F01"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2014</w:t>
            </w:r>
          </w:p>
        </w:tc>
        <w:tc>
          <w:tcPr>
            <w:tcW w:w="976" w:type="dxa"/>
            <w:tcBorders>
              <w:top w:val="single" w:sz="8" w:space="0" w:color="auto"/>
              <w:left w:val="nil"/>
              <w:bottom w:val="single" w:sz="8" w:space="0" w:color="auto"/>
              <w:right w:val="single" w:sz="8" w:space="0" w:color="auto"/>
            </w:tcBorders>
            <w:shd w:val="clear" w:color="000000" w:fill="FFFFFF"/>
            <w:noWrap/>
            <w:vAlign w:val="center"/>
            <w:hideMark/>
          </w:tcPr>
          <w:p w14:paraId="1B1F8202"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2015</w:t>
            </w:r>
          </w:p>
        </w:tc>
        <w:tc>
          <w:tcPr>
            <w:tcW w:w="976" w:type="dxa"/>
            <w:tcBorders>
              <w:top w:val="single" w:sz="8" w:space="0" w:color="auto"/>
              <w:left w:val="nil"/>
              <w:bottom w:val="single" w:sz="8" w:space="0" w:color="auto"/>
              <w:right w:val="single" w:sz="8" w:space="0" w:color="auto"/>
            </w:tcBorders>
            <w:shd w:val="clear" w:color="000000" w:fill="FFFFFF"/>
            <w:noWrap/>
            <w:vAlign w:val="center"/>
            <w:hideMark/>
          </w:tcPr>
          <w:p w14:paraId="22CB35A2" w14:textId="77777777" w:rsidR="00C35575" w:rsidRPr="00677496" w:rsidRDefault="00F94F84"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2016</w:t>
            </w:r>
            <w:r w:rsidR="00FD64A3" w:rsidRPr="00677496">
              <w:rPr>
                <w:rFonts w:asciiTheme="minorHAnsi" w:eastAsia="Times New Roman" w:hAnsiTheme="minorHAnsi" w:cs="Times New Roman"/>
                <w:b/>
                <w:bCs/>
                <w:color w:val="000000"/>
                <w:sz w:val="20"/>
                <w:szCs w:val="20"/>
              </w:rPr>
              <w:t>p</w:t>
            </w:r>
          </w:p>
        </w:tc>
      </w:tr>
      <w:tr w:rsidR="00C35575" w:rsidRPr="00677496" w14:paraId="09113759" w14:textId="77777777" w:rsidTr="00453A2D">
        <w:trPr>
          <w:trHeight w:val="300"/>
        </w:trPr>
        <w:tc>
          <w:tcPr>
            <w:tcW w:w="3312" w:type="dxa"/>
            <w:tcBorders>
              <w:top w:val="nil"/>
              <w:left w:val="single" w:sz="8" w:space="0" w:color="auto"/>
              <w:bottom w:val="nil"/>
              <w:right w:val="single" w:sz="8" w:space="0" w:color="auto"/>
            </w:tcBorders>
            <w:shd w:val="clear" w:color="000000" w:fill="FFFFFF"/>
            <w:noWrap/>
            <w:vAlign w:val="center"/>
            <w:hideMark/>
          </w:tcPr>
          <w:p w14:paraId="5B62685F" w14:textId="77777777" w:rsidR="00C35575" w:rsidRPr="00677496" w:rsidRDefault="00C35575" w:rsidP="00FD64A3">
            <w:pPr>
              <w:spacing w:after="0" w:line="240" w:lineRule="auto"/>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Public Administration</w:t>
            </w:r>
          </w:p>
        </w:tc>
        <w:tc>
          <w:tcPr>
            <w:tcW w:w="976" w:type="dxa"/>
            <w:tcBorders>
              <w:top w:val="nil"/>
              <w:left w:val="nil"/>
              <w:bottom w:val="nil"/>
              <w:right w:val="single" w:sz="8" w:space="0" w:color="auto"/>
            </w:tcBorders>
            <w:shd w:val="clear" w:color="000000" w:fill="FFFFFF"/>
            <w:noWrap/>
            <w:vAlign w:val="center"/>
            <w:hideMark/>
          </w:tcPr>
          <w:p w14:paraId="694AE23F"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1.85</w:t>
            </w:r>
          </w:p>
        </w:tc>
        <w:tc>
          <w:tcPr>
            <w:tcW w:w="976" w:type="dxa"/>
            <w:tcBorders>
              <w:top w:val="nil"/>
              <w:left w:val="nil"/>
              <w:bottom w:val="nil"/>
              <w:right w:val="single" w:sz="8" w:space="0" w:color="auto"/>
            </w:tcBorders>
            <w:shd w:val="clear" w:color="000000" w:fill="FFFFFF"/>
            <w:noWrap/>
            <w:vAlign w:val="center"/>
            <w:hideMark/>
          </w:tcPr>
          <w:p w14:paraId="78D66DA4"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9.32</w:t>
            </w:r>
          </w:p>
        </w:tc>
        <w:tc>
          <w:tcPr>
            <w:tcW w:w="976" w:type="dxa"/>
            <w:tcBorders>
              <w:top w:val="nil"/>
              <w:left w:val="nil"/>
              <w:bottom w:val="nil"/>
              <w:right w:val="single" w:sz="8" w:space="0" w:color="auto"/>
            </w:tcBorders>
            <w:shd w:val="clear" w:color="000000" w:fill="FFFFFF"/>
            <w:noWrap/>
            <w:vAlign w:val="center"/>
            <w:hideMark/>
          </w:tcPr>
          <w:p w14:paraId="553915DA"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8.59</w:t>
            </w:r>
          </w:p>
        </w:tc>
        <w:tc>
          <w:tcPr>
            <w:tcW w:w="976" w:type="dxa"/>
            <w:tcBorders>
              <w:top w:val="nil"/>
              <w:left w:val="nil"/>
              <w:bottom w:val="nil"/>
              <w:right w:val="single" w:sz="8" w:space="0" w:color="auto"/>
            </w:tcBorders>
            <w:shd w:val="clear" w:color="000000" w:fill="FFFFFF"/>
            <w:noWrap/>
            <w:vAlign w:val="center"/>
            <w:hideMark/>
          </w:tcPr>
          <w:p w14:paraId="0A082DFB"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24.81</w:t>
            </w:r>
          </w:p>
        </w:tc>
        <w:tc>
          <w:tcPr>
            <w:tcW w:w="976" w:type="dxa"/>
            <w:tcBorders>
              <w:top w:val="nil"/>
              <w:left w:val="nil"/>
              <w:bottom w:val="nil"/>
              <w:right w:val="single" w:sz="8" w:space="0" w:color="auto"/>
            </w:tcBorders>
            <w:shd w:val="clear" w:color="000000" w:fill="FFFFFF"/>
            <w:noWrap/>
            <w:vAlign w:val="center"/>
            <w:hideMark/>
          </w:tcPr>
          <w:p w14:paraId="76D8AB3B"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10.01</w:t>
            </w:r>
          </w:p>
        </w:tc>
        <w:tc>
          <w:tcPr>
            <w:tcW w:w="976" w:type="dxa"/>
            <w:tcBorders>
              <w:top w:val="nil"/>
              <w:left w:val="nil"/>
              <w:bottom w:val="nil"/>
              <w:right w:val="single" w:sz="8" w:space="0" w:color="auto"/>
            </w:tcBorders>
            <w:shd w:val="clear" w:color="000000" w:fill="FFFFFF"/>
            <w:noWrap/>
            <w:vAlign w:val="center"/>
            <w:hideMark/>
          </w:tcPr>
          <w:p w14:paraId="712DE759"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8.75</w:t>
            </w:r>
          </w:p>
        </w:tc>
      </w:tr>
      <w:tr w:rsidR="00C35575" w:rsidRPr="00677496" w14:paraId="7B53B1D0" w14:textId="77777777" w:rsidTr="00453A2D">
        <w:trPr>
          <w:trHeight w:val="300"/>
        </w:trPr>
        <w:tc>
          <w:tcPr>
            <w:tcW w:w="3312" w:type="dxa"/>
            <w:tcBorders>
              <w:top w:val="nil"/>
              <w:left w:val="single" w:sz="8" w:space="0" w:color="auto"/>
              <w:bottom w:val="nil"/>
              <w:right w:val="single" w:sz="8" w:space="0" w:color="auto"/>
            </w:tcBorders>
            <w:shd w:val="clear" w:color="000000" w:fill="FFFFFF"/>
            <w:noWrap/>
            <w:vAlign w:val="center"/>
            <w:hideMark/>
          </w:tcPr>
          <w:p w14:paraId="7485081A" w14:textId="77777777" w:rsidR="00C35575" w:rsidRPr="00677496" w:rsidRDefault="00C35575" w:rsidP="00FD64A3">
            <w:pPr>
              <w:spacing w:after="0" w:line="240" w:lineRule="auto"/>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Economic Spending</w:t>
            </w:r>
          </w:p>
        </w:tc>
        <w:tc>
          <w:tcPr>
            <w:tcW w:w="976" w:type="dxa"/>
            <w:tcBorders>
              <w:top w:val="nil"/>
              <w:left w:val="nil"/>
              <w:bottom w:val="nil"/>
              <w:right w:val="single" w:sz="8" w:space="0" w:color="auto"/>
            </w:tcBorders>
            <w:shd w:val="clear" w:color="000000" w:fill="FFFFFF"/>
            <w:noWrap/>
            <w:vAlign w:val="center"/>
            <w:hideMark/>
          </w:tcPr>
          <w:p w14:paraId="2E94C52F"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1.18</w:t>
            </w:r>
          </w:p>
        </w:tc>
        <w:tc>
          <w:tcPr>
            <w:tcW w:w="976" w:type="dxa"/>
            <w:tcBorders>
              <w:top w:val="nil"/>
              <w:left w:val="nil"/>
              <w:bottom w:val="nil"/>
              <w:right w:val="single" w:sz="8" w:space="0" w:color="auto"/>
            </w:tcBorders>
            <w:shd w:val="clear" w:color="000000" w:fill="FFFFFF"/>
            <w:noWrap/>
            <w:vAlign w:val="center"/>
            <w:hideMark/>
          </w:tcPr>
          <w:p w14:paraId="1C5D59BE"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2.61</w:t>
            </w:r>
          </w:p>
        </w:tc>
        <w:tc>
          <w:tcPr>
            <w:tcW w:w="976" w:type="dxa"/>
            <w:tcBorders>
              <w:top w:val="nil"/>
              <w:left w:val="nil"/>
              <w:bottom w:val="nil"/>
              <w:right w:val="single" w:sz="8" w:space="0" w:color="auto"/>
            </w:tcBorders>
            <w:shd w:val="clear" w:color="000000" w:fill="FFFFFF"/>
            <w:noWrap/>
            <w:vAlign w:val="center"/>
            <w:hideMark/>
          </w:tcPr>
          <w:p w14:paraId="4448944E"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1.85</w:t>
            </w:r>
          </w:p>
        </w:tc>
        <w:tc>
          <w:tcPr>
            <w:tcW w:w="976" w:type="dxa"/>
            <w:tcBorders>
              <w:top w:val="nil"/>
              <w:left w:val="nil"/>
              <w:bottom w:val="nil"/>
              <w:right w:val="single" w:sz="8" w:space="0" w:color="auto"/>
            </w:tcBorders>
            <w:shd w:val="clear" w:color="000000" w:fill="FFFFFF"/>
            <w:noWrap/>
            <w:vAlign w:val="center"/>
            <w:hideMark/>
          </w:tcPr>
          <w:p w14:paraId="2F6E5CB6"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0.95</w:t>
            </w:r>
          </w:p>
        </w:tc>
        <w:tc>
          <w:tcPr>
            <w:tcW w:w="976" w:type="dxa"/>
            <w:tcBorders>
              <w:top w:val="nil"/>
              <w:left w:val="nil"/>
              <w:bottom w:val="nil"/>
              <w:right w:val="single" w:sz="8" w:space="0" w:color="auto"/>
            </w:tcBorders>
            <w:shd w:val="clear" w:color="000000" w:fill="FFFFFF"/>
            <w:noWrap/>
            <w:vAlign w:val="center"/>
            <w:hideMark/>
          </w:tcPr>
          <w:p w14:paraId="37E78CEE"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0.47</w:t>
            </w:r>
          </w:p>
        </w:tc>
        <w:tc>
          <w:tcPr>
            <w:tcW w:w="976" w:type="dxa"/>
            <w:tcBorders>
              <w:top w:val="nil"/>
              <w:left w:val="nil"/>
              <w:bottom w:val="nil"/>
              <w:right w:val="single" w:sz="8" w:space="0" w:color="auto"/>
            </w:tcBorders>
            <w:shd w:val="clear" w:color="000000" w:fill="FFFFFF"/>
            <w:noWrap/>
            <w:vAlign w:val="center"/>
            <w:hideMark/>
          </w:tcPr>
          <w:p w14:paraId="491665FF"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0.41</w:t>
            </w:r>
          </w:p>
        </w:tc>
      </w:tr>
      <w:tr w:rsidR="00C35575" w:rsidRPr="00677496" w14:paraId="49A0666E" w14:textId="77777777" w:rsidTr="00453A2D">
        <w:trPr>
          <w:trHeight w:val="300"/>
        </w:trPr>
        <w:tc>
          <w:tcPr>
            <w:tcW w:w="3312" w:type="dxa"/>
            <w:tcBorders>
              <w:top w:val="nil"/>
              <w:left w:val="single" w:sz="8" w:space="0" w:color="auto"/>
              <w:bottom w:val="nil"/>
              <w:right w:val="single" w:sz="8" w:space="0" w:color="auto"/>
            </w:tcBorders>
            <w:shd w:val="clear" w:color="000000" w:fill="FFFFFF"/>
            <w:noWrap/>
            <w:vAlign w:val="center"/>
            <w:hideMark/>
          </w:tcPr>
          <w:p w14:paraId="54D97205" w14:textId="77777777" w:rsidR="00C35575" w:rsidRPr="00677496" w:rsidRDefault="00C35575" w:rsidP="00FD64A3">
            <w:pPr>
              <w:spacing w:after="0" w:line="240" w:lineRule="auto"/>
              <w:ind w:firstLineChars="100" w:firstLine="200"/>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Ministry of Food and Agriculture</w:t>
            </w:r>
          </w:p>
        </w:tc>
        <w:tc>
          <w:tcPr>
            <w:tcW w:w="976" w:type="dxa"/>
            <w:tcBorders>
              <w:top w:val="nil"/>
              <w:left w:val="nil"/>
              <w:bottom w:val="nil"/>
              <w:right w:val="single" w:sz="8" w:space="0" w:color="auto"/>
            </w:tcBorders>
            <w:shd w:val="clear" w:color="000000" w:fill="FFFFFF"/>
            <w:noWrap/>
            <w:vAlign w:val="center"/>
            <w:hideMark/>
          </w:tcPr>
          <w:p w14:paraId="34F81497" w14:textId="77777777" w:rsidR="00C35575" w:rsidRPr="00677496" w:rsidRDefault="00C35575" w:rsidP="00FD64A3">
            <w:pPr>
              <w:spacing w:after="0" w:line="240" w:lineRule="auto"/>
              <w:jc w:val="center"/>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0.16</w:t>
            </w:r>
          </w:p>
        </w:tc>
        <w:tc>
          <w:tcPr>
            <w:tcW w:w="976" w:type="dxa"/>
            <w:tcBorders>
              <w:top w:val="nil"/>
              <w:left w:val="nil"/>
              <w:bottom w:val="nil"/>
              <w:right w:val="single" w:sz="8" w:space="0" w:color="auto"/>
            </w:tcBorders>
            <w:shd w:val="clear" w:color="000000" w:fill="FFFFFF"/>
            <w:noWrap/>
            <w:vAlign w:val="center"/>
            <w:hideMark/>
          </w:tcPr>
          <w:p w14:paraId="2C3AB87A" w14:textId="77777777" w:rsidR="00C35575" w:rsidRPr="00677496" w:rsidRDefault="00C35575" w:rsidP="00FD64A3">
            <w:pPr>
              <w:spacing w:after="0" w:line="240" w:lineRule="auto"/>
              <w:jc w:val="center"/>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0.25</w:t>
            </w:r>
          </w:p>
        </w:tc>
        <w:tc>
          <w:tcPr>
            <w:tcW w:w="976" w:type="dxa"/>
            <w:tcBorders>
              <w:top w:val="nil"/>
              <w:left w:val="nil"/>
              <w:bottom w:val="nil"/>
              <w:right w:val="single" w:sz="8" w:space="0" w:color="auto"/>
            </w:tcBorders>
            <w:shd w:val="clear" w:color="000000" w:fill="FFFFFF"/>
            <w:noWrap/>
            <w:vAlign w:val="center"/>
            <w:hideMark/>
          </w:tcPr>
          <w:p w14:paraId="63C3EF11" w14:textId="77777777" w:rsidR="00C35575" w:rsidRPr="00677496" w:rsidRDefault="00C35575" w:rsidP="00FD64A3">
            <w:pPr>
              <w:spacing w:after="0" w:line="240" w:lineRule="auto"/>
              <w:jc w:val="center"/>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0.17</w:t>
            </w:r>
          </w:p>
        </w:tc>
        <w:tc>
          <w:tcPr>
            <w:tcW w:w="976" w:type="dxa"/>
            <w:tcBorders>
              <w:top w:val="nil"/>
              <w:left w:val="nil"/>
              <w:bottom w:val="nil"/>
              <w:right w:val="single" w:sz="8" w:space="0" w:color="auto"/>
            </w:tcBorders>
            <w:shd w:val="clear" w:color="000000" w:fill="FFFFFF"/>
            <w:noWrap/>
            <w:vAlign w:val="center"/>
            <w:hideMark/>
          </w:tcPr>
          <w:p w14:paraId="6EB75BB4" w14:textId="77777777" w:rsidR="00C35575" w:rsidRPr="00677496" w:rsidRDefault="00C35575" w:rsidP="00FD64A3">
            <w:pPr>
              <w:spacing w:after="0" w:line="240" w:lineRule="auto"/>
              <w:jc w:val="center"/>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0.11</w:t>
            </w:r>
          </w:p>
        </w:tc>
        <w:tc>
          <w:tcPr>
            <w:tcW w:w="976" w:type="dxa"/>
            <w:tcBorders>
              <w:top w:val="nil"/>
              <w:left w:val="nil"/>
              <w:bottom w:val="nil"/>
              <w:right w:val="single" w:sz="8" w:space="0" w:color="auto"/>
            </w:tcBorders>
            <w:shd w:val="clear" w:color="000000" w:fill="FFFFFF"/>
            <w:noWrap/>
            <w:vAlign w:val="center"/>
            <w:hideMark/>
          </w:tcPr>
          <w:p w14:paraId="0B460440" w14:textId="77777777" w:rsidR="00C35575" w:rsidRPr="00677496" w:rsidRDefault="00C35575" w:rsidP="00FD64A3">
            <w:pPr>
              <w:spacing w:after="0" w:line="240" w:lineRule="auto"/>
              <w:jc w:val="center"/>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0.09</w:t>
            </w:r>
          </w:p>
        </w:tc>
        <w:tc>
          <w:tcPr>
            <w:tcW w:w="976" w:type="dxa"/>
            <w:tcBorders>
              <w:top w:val="nil"/>
              <w:left w:val="nil"/>
              <w:bottom w:val="nil"/>
              <w:right w:val="single" w:sz="8" w:space="0" w:color="auto"/>
            </w:tcBorders>
            <w:shd w:val="clear" w:color="000000" w:fill="FFFFFF"/>
            <w:noWrap/>
            <w:vAlign w:val="center"/>
            <w:hideMark/>
          </w:tcPr>
          <w:p w14:paraId="181DC878" w14:textId="77777777" w:rsidR="00C35575" w:rsidRPr="00677496" w:rsidRDefault="00C35575" w:rsidP="00FD64A3">
            <w:pPr>
              <w:spacing w:after="0" w:line="240" w:lineRule="auto"/>
              <w:jc w:val="center"/>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0.09</w:t>
            </w:r>
          </w:p>
        </w:tc>
      </w:tr>
      <w:tr w:rsidR="00C35575" w:rsidRPr="00677496" w14:paraId="7AFEC6C3" w14:textId="77777777" w:rsidTr="00453A2D">
        <w:trPr>
          <w:trHeight w:val="300"/>
        </w:trPr>
        <w:tc>
          <w:tcPr>
            <w:tcW w:w="3312" w:type="dxa"/>
            <w:tcBorders>
              <w:top w:val="nil"/>
              <w:left w:val="single" w:sz="8" w:space="0" w:color="auto"/>
              <w:bottom w:val="nil"/>
              <w:right w:val="single" w:sz="8" w:space="0" w:color="auto"/>
            </w:tcBorders>
            <w:shd w:val="clear" w:color="000000" w:fill="FFFFFF"/>
            <w:noWrap/>
            <w:vAlign w:val="center"/>
            <w:hideMark/>
          </w:tcPr>
          <w:p w14:paraId="298664B3" w14:textId="77777777" w:rsidR="00C35575" w:rsidRPr="00677496" w:rsidRDefault="00C35575" w:rsidP="00FD64A3">
            <w:pPr>
              <w:spacing w:after="0" w:line="240" w:lineRule="auto"/>
              <w:ind w:firstLineChars="100" w:firstLine="200"/>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Ministry of Energy</w:t>
            </w:r>
          </w:p>
        </w:tc>
        <w:tc>
          <w:tcPr>
            <w:tcW w:w="976" w:type="dxa"/>
            <w:tcBorders>
              <w:top w:val="nil"/>
              <w:left w:val="nil"/>
              <w:bottom w:val="nil"/>
              <w:right w:val="single" w:sz="8" w:space="0" w:color="auto"/>
            </w:tcBorders>
            <w:shd w:val="clear" w:color="000000" w:fill="FFFFFF"/>
            <w:noWrap/>
            <w:vAlign w:val="center"/>
            <w:hideMark/>
          </w:tcPr>
          <w:p w14:paraId="23D1FF98" w14:textId="77777777" w:rsidR="00C35575" w:rsidRPr="00677496" w:rsidRDefault="00C35575" w:rsidP="00FD64A3">
            <w:pPr>
              <w:spacing w:after="0" w:line="240" w:lineRule="auto"/>
              <w:jc w:val="center"/>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0.65</w:t>
            </w:r>
          </w:p>
        </w:tc>
        <w:tc>
          <w:tcPr>
            <w:tcW w:w="976" w:type="dxa"/>
            <w:tcBorders>
              <w:top w:val="nil"/>
              <w:left w:val="nil"/>
              <w:bottom w:val="nil"/>
              <w:right w:val="single" w:sz="8" w:space="0" w:color="auto"/>
            </w:tcBorders>
            <w:shd w:val="clear" w:color="000000" w:fill="FFFFFF"/>
            <w:noWrap/>
            <w:vAlign w:val="center"/>
            <w:hideMark/>
          </w:tcPr>
          <w:p w14:paraId="4A473885" w14:textId="77777777" w:rsidR="00C35575" w:rsidRPr="00677496" w:rsidRDefault="00C35575" w:rsidP="00FD64A3">
            <w:pPr>
              <w:spacing w:after="0" w:line="240" w:lineRule="auto"/>
              <w:jc w:val="center"/>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1.65</w:t>
            </w:r>
          </w:p>
        </w:tc>
        <w:tc>
          <w:tcPr>
            <w:tcW w:w="976" w:type="dxa"/>
            <w:tcBorders>
              <w:top w:val="nil"/>
              <w:left w:val="nil"/>
              <w:bottom w:val="nil"/>
              <w:right w:val="single" w:sz="8" w:space="0" w:color="auto"/>
            </w:tcBorders>
            <w:shd w:val="clear" w:color="000000" w:fill="FFFFFF"/>
            <w:noWrap/>
            <w:vAlign w:val="center"/>
            <w:hideMark/>
          </w:tcPr>
          <w:p w14:paraId="2950190A" w14:textId="77777777" w:rsidR="00C35575" w:rsidRPr="00677496" w:rsidRDefault="00C35575" w:rsidP="00FD64A3">
            <w:pPr>
              <w:spacing w:after="0" w:line="240" w:lineRule="auto"/>
              <w:jc w:val="center"/>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1.32</w:t>
            </w:r>
          </w:p>
        </w:tc>
        <w:tc>
          <w:tcPr>
            <w:tcW w:w="976" w:type="dxa"/>
            <w:tcBorders>
              <w:top w:val="nil"/>
              <w:left w:val="nil"/>
              <w:bottom w:val="nil"/>
              <w:right w:val="single" w:sz="8" w:space="0" w:color="auto"/>
            </w:tcBorders>
            <w:shd w:val="clear" w:color="000000" w:fill="FFFFFF"/>
            <w:noWrap/>
            <w:vAlign w:val="center"/>
            <w:hideMark/>
          </w:tcPr>
          <w:p w14:paraId="00DD5C7E" w14:textId="77777777" w:rsidR="00C35575" w:rsidRPr="00677496" w:rsidRDefault="00C35575" w:rsidP="00FD64A3">
            <w:pPr>
              <w:spacing w:after="0" w:line="240" w:lineRule="auto"/>
              <w:jc w:val="center"/>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0.51</w:t>
            </w:r>
          </w:p>
        </w:tc>
        <w:tc>
          <w:tcPr>
            <w:tcW w:w="976" w:type="dxa"/>
            <w:tcBorders>
              <w:top w:val="nil"/>
              <w:left w:val="nil"/>
              <w:bottom w:val="nil"/>
              <w:right w:val="single" w:sz="8" w:space="0" w:color="auto"/>
            </w:tcBorders>
            <w:shd w:val="clear" w:color="000000" w:fill="FFFFFF"/>
            <w:noWrap/>
            <w:vAlign w:val="center"/>
            <w:hideMark/>
          </w:tcPr>
          <w:p w14:paraId="473208AB" w14:textId="77777777" w:rsidR="00C35575" w:rsidRPr="00677496" w:rsidRDefault="00C35575" w:rsidP="00FD64A3">
            <w:pPr>
              <w:spacing w:after="0" w:line="240" w:lineRule="auto"/>
              <w:jc w:val="center"/>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0.10</w:t>
            </w:r>
          </w:p>
        </w:tc>
        <w:tc>
          <w:tcPr>
            <w:tcW w:w="976" w:type="dxa"/>
            <w:tcBorders>
              <w:top w:val="nil"/>
              <w:left w:val="nil"/>
              <w:bottom w:val="nil"/>
              <w:right w:val="single" w:sz="8" w:space="0" w:color="auto"/>
            </w:tcBorders>
            <w:shd w:val="clear" w:color="000000" w:fill="FFFFFF"/>
            <w:noWrap/>
            <w:vAlign w:val="center"/>
            <w:hideMark/>
          </w:tcPr>
          <w:p w14:paraId="6583591E" w14:textId="77777777" w:rsidR="00C35575" w:rsidRPr="00677496" w:rsidRDefault="00C35575" w:rsidP="00FD64A3">
            <w:pPr>
              <w:spacing w:after="0" w:line="240" w:lineRule="auto"/>
              <w:jc w:val="center"/>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0.10</w:t>
            </w:r>
          </w:p>
        </w:tc>
      </w:tr>
      <w:tr w:rsidR="00C35575" w:rsidRPr="00677496" w14:paraId="3DB650C3" w14:textId="77777777" w:rsidTr="00453A2D">
        <w:trPr>
          <w:trHeight w:val="300"/>
        </w:trPr>
        <w:tc>
          <w:tcPr>
            <w:tcW w:w="3312" w:type="dxa"/>
            <w:tcBorders>
              <w:top w:val="nil"/>
              <w:left w:val="single" w:sz="8" w:space="0" w:color="auto"/>
              <w:bottom w:val="nil"/>
              <w:right w:val="single" w:sz="8" w:space="0" w:color="auto"/>
            </w:tcBorders>
            <w:shd w:val="clear" w:color="000000" w:fill="FFFFFF"/>
            <w:noWrap/>
            <w:vAlign w:val="center"/>
            <w:hideMark/>
          </w:tcPr>
          <w:p w14:paraId="1B1C1224" w14:textId="77777777" w:rsidR="00C35575" w:rsidRPr="00677496" w:rsidRDefault="00C35575" w:rsidP="00FD64A3">
            <w:pPr>
              <w:spacing w:after="0" w:line="240" w:lineRule="auto"/>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Infrastructure Spending</w:t>
            </w:r>
          </w:p>
        </w:tc>
        <w:tc>
          <w:tcPr>
            <w:tcW w:w="976" w:type="dxa"/>
            <w:tcBorders>
              <w:top w:val="nil"/>
              <w:left w:val="nil"/>
              <w:bottom w:val="nil"/>
              <w:right w:val="single" w:sz="8" w:space="0" w:color="auto"/>
            </w:tcBorders>
            <w:shd w:val="clear" w:color="000000" w:fill="FFFFFF"/>
            <w:noWrap/>
            <w:vAlign w:val="center"/>
            <w:hideMark/>
          </w:tcPr>
          <w:p w14:paraId="1EF0A6C1"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1.65</w:t>
            </w:r>
          </w:p>
        </w:tc>
        <w:tc>
          <w:tcPr>
            <w:tcW w:w="976" w:type="dxa"/>
            <w:tcBorders>
              <w:top w:val="nil"/>
              <w:left w:val="nil"/>
              <w:bottom w:val="nil"/>
              <w:right w:val="single" w:sz="8" w:space="0" w:color="auto"/>
            </w:tcBorders>
            <w:shd w:val="clear" w:color="000000" w:fill="FFFFFF"/>
            <w:noWrap/>
            <w:vAlign w:val="center"/>
            <w:hideMark/>
          </w:tcPr>
          <w:p w14:paraId="1139EC05"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1.07</w:t>
            </w:r>
          </w:p>
        </w:tc>
        <w:tc>
          <w:tcPr>
            <w:tcW w:w="976" w:type="dxa"/>
            <w:tcBorders>
              <w:top w:val="nil"/>
              <w:left w:val="nil"/>
              <w:bottom w:val="nil"/>
              <w:right w:val="single" w:sz="8" w:space="0" w:color="auto"/>
            </w:tcBorders>
            <w:shd w:val="clear" w:color="000000" w:fill="FFFFFF"/>
            <w:noWrap/>
            <w:vAlign w:val="center"/>
            <w:hideMark/>
          </w:tcPr>
          <w:p w14:paraId="76202E3D"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1.28</w:t>
            </w:r>
          </w:p>
        </w:tc>
        <w:tc>
          <w:tcPr>
            <w:tcW w:w="976" w:type="dxa"/>
            <w:tcBorders>
              <w:top w:val="nil"/>
              <w:left w:val="nil"/>
              <w:bottom w:val="nil"/>
              <w:right w:val="single" w:sz="8" w:space="0" w:color="auto"/>
            </w:tcBorders>
            <w:shd w:val="clear" w:color="000000" w:fill="FFFFFF"/>
            <w:noWrap/>
            <w:vAlign w:val="center"/>
            <w:hideMark/>
          </w:tcPr>
          <w:p w14:paraId="4B9AE3BA"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0.58</w:t>
            </w:r>
          </w:p>
        </w:tc>
        <w:tc>
          <w:tcPr>
            <w:tcW w:w="976" w:type="dxa"/>
            <w:tcBorders>
              <w:top w:val="nil"/>
              <w:left w:val="nil"/>
              <w:bottom w:val="nil"/>
              <w:right w:val="single" w:sz="8" w:space="0" w:color="auto"/>
            </w:tcBorders>
            <w:shd w:val="clear" w:color="000000" w:fill="FFFFFF"/>
            <w:noWrap/>
            <w:vAlign w:val="center"/>
            <w:hideMark/>
          </w:tcPr>
          <w:p w14:paraId="101F434B"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0.57</w:t>
            </w:r>
          </w:p>
        </w:tc>
        <w:tc>
          <w:tcPr>
            <w:tcW w:w="976" w:type="dxa"/>
            <w:tcBorders>
              <w:top w:val="nil"/>
              <w:left w:val="nil"/>
              <w:bottom w:val="nil"/>
              <w:right w:val="single" w:sz="8" w:space="0" w:color="auto"/>
            </w:tcBorders>
            <w:shd w:val="clear" w:color="000000" w:fill="FFFFFF"/>
            <w:noWrap/>
            <w:vAlign w:val="center"/>
            <w:hideMark/>
          </w:tcPr>
          <w:p w14:paraId="1A655D3B"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0.60</w:t>
            </w:r>
          </w:p>
        </w:tc>
      </w:tr>
      <w:tr w:rsidR="00C35575" w:rsidRPr="00677496" w14:paraId="05871D31" w14:textId="77777777" w:rsidTr="00453A2D">
        <w:trPr>
          <w:trHeight w:val="300"/>
        </w:trPr>
        <w:tc>
          <w:tcPr>
            <w:tcW w:w="3312" w:type="dxa"/>
            <w:tcBorders>
              <w:top w:val="nil"/>
              <w:left w:val="single" w:sz="8" w:space="0" w:color="auto"/>
              <w:bottom w:val="nil"/>
              <w:right w:val="single" w:sz="8" w:space="0" w:color="auto"/>
            </w:tcBorders>
            <w:shd w:val="clear" w:color="000000" w:fill="FFFFFF"/>
            <w:noWrap/>
            <w:vAlign w:val="center"/>
            <w:hideMark/>
          </w:tcPr>
          <w:p w14:paraId="164528C0" w14:textId="77777777" w:rsidR="00C35575" w:rsidRPr="00677496" w:rsidRDefault="00C35575" w:rsidP="00FD64A3">
            <w:pPr>
              <w:spacing w:after="0" w:line="240" w:lineRule="auto"/>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Public Security Spending</w:t>
            </w:r>
          </w:p>
        </w:tc>
        <w:tc>
          <w:tcPr>
            <w:tcW w:w="976" w:type="dxa"/>
            <w:tcBorders>
              <w:top w:val="nil"/>
              <w:left w:val="nil"/>
              <w:bottom w:val="nil"/>
              <w:right w:val="single" w:sz="8" w:space="0" w:color="auto"/>
            </w:tcBorders>
            <w:shd w:val="clear" w:color="000000" w:fill="FFFFFF"/>
            <w:noWrap/>
            <w:vAlign w:val="center"/>
            <w:hideMark/>
          </w:tcPr>
          <w:p w14:paraId="76391468"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2.03</w:t>
            </w:r>
          </w:p>
        </w:tc>
        <w:tc>
          <w:tcPr>
            <w:tcW w:w="976" w:type="dxa"/>
            <w:tcBorders>
              <w:top w:val="nil"/>
              <w:left w:val="nil"/>
              <w:bottom w:val="nil"/>
              <w:right w:val="single" w:sz="8" w:space="0" w:color="auto"/>
            </w:tcBorders>
            <w:shd w:val="clear" w:color="000000" w:fill="FFFFFF"/>
            <w:noWrap/>
            <w:vAlign w:val="center"/>
            <w:hideMark/>
          </w:tcPr>
          <w:p w14:paraId="06D0BEA3"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2.23</w:t>
            </w:r>
          </w:p>
        </w:tc>
        <w:tc>
          <w:tcPr>
            <w:tcW w:w="976" w:type="dxa"/>
            <w:tcBorders>
              <w:top w:val="nil"/>
              <w:left w:val="nil"/>
              <w:bottom w:val="nil"/>
              <w:right w:val="single" w:sz="8" w:space="0" w:color="auto"/>
            </w:tcBorders>
            <w:shd w:val="clear" w:color="000000" w:fill="FFFFFF"/>
            <w:noWrap/>
            <w:vAlign w:val="center"/>
            <w:hideMark/>
          </w:tcPr>
          <w:p w14:paraId="112E3993"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2.45</w:t>
            </w:r>
          </w:p>
        </w:tc>
        <w:tc>
          <w:tcPr>
            <w:tcW w:w="976" w:type="dxa"/>
            <w:tcBorders>
              <w:top w:val="nil"/>
              <w:left w:val="nil"/>
              <w:bottom w:val="nil"/>
              <w:right w:val="single" w:sz="8" w:space="0" w:color="auto"/>
            </w:tcBorders>
            <w:shd w:val="clear" w:color="000000" w:fill="FFFFFF"/>
            <w:noWrap/>
            <w:vAlign w:val="center"/>
            <w:hideMark/>
          </w:tcPr>
          <w:p w14:paraId="35638562"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1.79</w:t>
            </w:r>
          </w:p>
        </w:tc>
        <w:tc>
          <w:tcPr>
            <w:tcW w:w="976" w:type="dxa"/>
            <w:tcBorders>
              <w:top w:val="nil"/>
              <w:left w:val="nil"/>
              <w:bottom w:val="nil"/>
              <w:right w:val="single" w:sz="8" w:space="0" w:color="auto"/>
            </w:tcBorders>
            <w:shd w:val="clear" w:color="000000" w:fill="FFFFFF"/>
            <w:noWrap/>
            <w:vAlign w:val="center"/>
            <w:hideMark/>
          </w:tcPr>
          <w:p w14:paraId="4600D74B"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1.66</w:t>
            </w:r>
          </w:p>
        </w:tc>
        <w:tc>
          <w:tcPr>
            <w:tcW w:w="976" w:type="dxa"/>
            <w:tcBorders>
              <w:top w:val="nil"/>
              <w:left w:val="nil"/>
              <w:bottom w:val="nil"/>
              <w:right w:val="single" w:sz="8" w:space="0" w:color="auto"/>
            </w:tcBorders>
            <w:shd w:val="clear" w:color="000000" w:fill="FFFFFF"/>
            <w:noWrap/>
            <w:vAlign w:val="center"/>
            <w:hideMark/>
          </w:tcPr>
          <w:p w14:paraId="29503828"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1.51</w:t>
            </w:r>
          </w:p>
        </w:tc>
      </w:tr>
      <w:tr w:rsidR="00C35575" w:rsidRPr="00677496" w14:paraId="6E018BEC" w14:textId="77777777" w:rsidTr="00453A2D">
        <w:trPr>
          <w:trHeight w:val="300"/>
        </w:trPr>
        <w:tc>
          <w:tcPr>
            <w:tcW w:w="3312" w:type="dxa"/>
            <w:tcBorders>
              <w:top w:val="nil"/>
              <w:left w:val="single" w:sz="8" w:space="0" w:color="auto"/>
              <w:bottom w:val="nil"/>
              <w:right w:val="single" w:sz="8" w:space="0" w:color="auto"/>
            </w:tcBorders>
            <w:shd w:val="clear" w:color="000000" w:fill="FFFFFF"/>
            <w:noWrap/>
            <w:vAlign w:val="center"/>
            <w:hideMark/>
          </w:tcPr>
          <w:p w14:paraId="2B779F4B" w14:textId="77777777" w:rsidR="00C35575" w:rsidRPr="00677496" w:rsidRDefault="00C35575" w:rsidP="00FD64A3">
            <w:pPr>
              <w:spacing w:after="0" w:line="240" w:lineRule="auto"/>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Social Spending</w:t>
            </w:r>
          </w:p>
        </w:tc>
        <w:tc>
          <w:tcPr>
            <w:tcW w:w="976" w:type="dxa"/>
            <w:tcBorders>
              <w:top w:val="nil"/>
              <w:left w:val="nil"/>
              <w:bottom w:val="nil"/>
              <w:right w:val="single" w:sz="8" w:space="0" w:color="auto"/>
            </w:tcBorders>
            <w:shd w:val="clear" w:color="000000" w:fill="FFFFFF"/>
            <w:noWrap/>
            <w:vAlign w:val="center"/>
            <w:hideMark/>
          </w:tcPr>
          <w:p w14:paraId="2726C675"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6.09</w:t>
            </w:r>
          </w:p>
        </w:tc>
        <w:tc>
          <w:tcPr>
            <w:tcW w:w="976" w:type="dxa"/>
            <w:tcBorders>
              <w:top w:val="nil"/>
              <w:left w:val="nil"/>
              <w:bottom w:val="nil"/>
              <w:right w:val="single" w:sz="8" w:space="0" w:color="auto"/>
            </w:tcBorders>
            <w:shd w:val="clear" w:color="000000" w:fill="FFFFFF"/>
            <w:noWrap/>
            <w:vAlign w:val="center"/>
            <w:hideMark/>
          </w:tcPr>
          <w:p w14:paraId="1598318D"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9.01</w:t>
            </w:r>
          </w:p>
        </w:tc>
        <w:tc>
          <w:tcPr>
            <w:tcW w:w="976" w:type="dxa"/>
            <w:tcBorders>
              <w:top w:val="nil"/>
              <w:left w:val="nil"/>
              <w:bottom w:val="nil"/>
              <w:right w:val="single" w:sz="8" w:space="0" w:color="auto"/>
            </w:tcBorders>
            <w:shd w:val="clear" w:color="000000" w:fill="FFFFFF"/>
            <w:noWrap/>
            <w:vAlign w:val="center"/>
            <w:hideMark/>
          </w:tcPr>
          <w:p w14:paraId="0AB1A6CC"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6.95</w:t>
            </w:r>
          </w:p>
        </w:tc>
        <w:tc>
          <w:tcPr>
            <w:tcW w:w="976" w:type="dxa"/>
            <w:tcBorders>
              <w:top w:val="nil"/>
              <w:left w:val="nil"/>
              <w:bottom w:val="nil"/>
              <w:right w:val="single" w:sz="8" w:space="0" w:color="auto"/>
            </w:tcBorders>
            <w:shd w:val="clear" w:color="000000" w:fill="FFFFFF"/>
            <w:noWrap/>
            <w:vAlign w:val="center"/>
            <w:hideMark/>
          </w:tcPr>
          <w:p w14:paraId="5C5898E7"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6.17</w:t>
            </w:r>
          </w:p>
        </w:tc>
        <w:tc>
          <w:tcPr>
            <w:tcW w:w="976" w:type="dxa"/>
            <w:tcBorders>
              <w:top w:val="nil"/>
              <w:left w:val="nil"/>
              <w:bottom w:val="nil"/>
              <w:right w:val="single" w:sz="8" w:space="0" w:color="auto"/>
            </w:tcBorders>
            <w:shd w:val="clear" w:color="000000" w:fill="FFFFFF"/>
            <w:noWrap/>
            <w:vAlign w:val="center"/>
            <w:hideMark/>
          </w:tcPr>
          <w:p w14:paraId="4DEEC9FB"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6.53</w:t>
            </w:r>
          </w:p>
        </w:tc>
        <w:tc>
          <w:tcPr>
            <w:tcW w:w="976" w:type="dxa"/>
            <w:tcBorders>
              <w:top w:val="nil"/>
              <w:left w:val="nil"/>
              <w:bottom w:val="nil"/>
              <w:right w:val="single" w:sz="8" w:space="0" w:color="auto"/>
            </w:tcBorders>
            <w:shd w:val="clear" w:color="000000" w:fill="FFFFFF"/>
            <w:noWrap/>
            <w:vAlign w:val="center"/>
            <w:hideMark/>
          </w:tcPr>
          <w:p w14:paraId="5CC789E2"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4.61</w:t>
            </w:r>
          </w:p>
        </w:tc>
      </w:tr>
      <w:tr w:rsidR="00C35575" w:rsidRPr="00677496" w14:paraId="61FDDFD6" w14:textId="77777777" w:rsidTr="00453A2D">
        <w:trPr>
          <w:trHeight w:val="300"/>
        </w:trPr>
        <w:tc>
          <w:tcPr>
            <w:tcW w:w="3312" w:type="dxa"/>
            <w:tcBorders>
              <w:top w:val="nil"/>
              <w:left w:val="single" w:sz="8" w:space="0" w:color="auto"/>
              <w:bottom w:val="nil"/>
              <w:right w:val="single" w:sz="8" w:space="0" w:color="auto"/>
            </w:tcBorders>
            <w:shd w:val="clear" w:color="000000" w:fill="FFFFFF"/>
            <w:noWrap/>
            <w:vAlign w:val="center"/>
            <w:hideMark/>
          </w:tcPr>
          <w:p w14:paraId="4C61E15B" w14:textId="77777777" w:rsidR="00C35575" w:rsidRPr="00677496" w:rsidRDefault="00C35575" w:rsidP="00FD64A3">
            <w:pPr>
              <w:spacing w:after="0" w:line="240" w:lineRule="auto"/>
              <w:ind w:firstLineChars="100" w:firstLine="200"/>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Ministry of Education</w:t>
            </w:r>
          </w:p>
        </w:tc>
        <w:tc>
          <w:tcPr>
            <w:tcW w:w="976" w:type="dxa"/>
            <w:tcBorders>
              <w:top w:val="nil"/>
              <w:left w:val="nil"/>
              <w:bottom w:val="nil"/>
              <w:right w:val="single" w:sz="8" w:space="0" w:color="auto"/>
            </w:tcBorders>
            <w:shd w:val="clear" w:color="000000" w:fill="FFFFFF"/>
            <w:noWrap/>
            <w:vAlign w:val="center"/>
            <w:hideMark/>
          </w:tcPr>
          <w:p w14:paraId="620F4D61" w14:textId="77777777" w:rsidR="00C35575" w:rsidRPr="00677496" w:rsidRDefault="00C35575" w:rsidP="00FD64A3">
            <w:pPr>
              <w:spacing w:after="0" w:line="240" w:lineRule="auto"/>
              <w:jc w:val="center"/>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4.44</w:t>
            </w:r>
          </w:p>
        </w:tc>
        <w:tc>
          <w:tcPr>
            <w:tcW w:w="976" w:type="dxa"/>
            <w:tcBorders>
              <w:top w:val="nil"/>
              <w:left w:val="nil"/>
              <w:bottom w:val="nil"/>
              <w:right w:val="single" w:sz="8" w:space="0" w:color="auto"/>
            </w:tcBorders>
            <w:shd w:val="clear" w:color="000000" w:fill="FFFFFF"/>
            <w:noWrap/>
            <w:vAlign w:val="center"/>
            <w:hideMark/>
          </w:tcPr>
          <w:p w14:paraId="00185C9B" w14:textId="77777777" w:rsidR="00C35575" w:rsidRPr="00677496" w:rsidRDefault="00C35575" w:rsidP="00FD64A3">
            <w:pPr>
              <w:spacing w:after="0" w:line="240" w:lineRule="auto"/>
              <w:jc w:val="center"/>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6.18</w:t>
            </w:r>
          </w:p>
        </w:tc>
        <w:tc>
          <w:tcPr>
            <w:tcW w:w="976" w:type="dxa"/>
            <w:tcBorders>
              <w:top w:val="nil"/>
              <w:left w:val="nil"/>
              <w:bottom w:val="nil"/>
              <w:right w:val="single" w:sz="8" w:space="0" w:color="auto"/>
            </w:tcBorders>
            <w:shd w:val="clear" w:color="000000" w:fill="FFFFFF"/>
            <w:noWrap/>
            <w:vAlign w:val="center"/>
            <w:hideMark/>
          </w:tcPr>
          <w:p w14:paraId="41A55C08" w14:textId="77777777" w:rsidR="00C35575" w:rsidRPr="00677496" w:rsidRDefault="00C35575" w:rsidP="00FD64A3">
            <w:pPr>
              <w:spacing w:after="0" w:line="240" w:lineRule="auto"/>
              <w:jc w:val="center"/>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4.81</w:t>
            </w:r>
          </w:p>
        </w:tc>
        <w:tc>
          <w:tcPr>
            <w:tcW w:w="976" w:type="dxa"/>
            <w:tcBorders>
              <w:top w:val="nil"/>
              <w:left w:val="nil"/>
              <w:bottom w:val="nil"/>
              <w:right w:val="single" w:sz="8" w:space="0" w:color="auto"/>
            </w:tcBorders>
            <w:shd w:val="clear" w:color="000000" w:fill="FFFFFF"/>
            <w:noWrap/>
            <w:vAlign w:val="center"/>
            <w:hideMark/>
          </w:tcPr>
          <w:p w14:paraId="7FC881CF" w14:textId="77777777" w:rsidR="00C35575" w:rsidRPr="00677496" w:rsidRDefault="00C35575" w:rsidP="00FD64A3">
            <w:pPr>
              <w:spacing w:after="0" w:line="240" w:lineRule="auto"/>
              <w:jc w:val="center"/>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4.63</w:t>
            </w:r>
          </w:p>
        </w:tc>
        <w:tc>
          <w:tcPr>
            <w:tcW w:w="976" w:type="dxa"/>
            <w:tcBorders>
              <w:top w:val="nil"/>
              <w:left w:val="nil"/>
              <w:bottom w:val="nil"/>
              <w:right w:val="single" w:sz="8" w:space="0" w:color="auto"/>
            </w:tcBorders>
            <w:shd w:val="clear" w:color="000000" w:fill="FFFFFF"/>
            <w:noWrap/>
            <w:vAlign w:val="center"/>
            <w:hideMark/>
          </w:tcPr>
          <w:p w14:paraId="4A28E70C" w14:textId="77777777" w:rsidR="00C35575" w:rsidRPr="00677496" w:rsidRDefault="00C35575" w:rsidP="00FD64A3">
            <w:pPr>
              <w:spacing w:after="0" w:line="240" w:lineRule="auto"/>
              <w:jc w:val="center"/>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4.10</w:t>
            </w:r>
          </w:p>
        </w:tc>
        <w:tc>
          <w:tcPr>
            <w:tcW w:w="976" w:type="dxa"/>
            <w:tcBorders>
              <w:top w:val="nil"/>
              <w:left w:val="nil"/>
              <w:bottom w:val="nil"/>
              <w:right w:val="single" w:sz="8" w:space="0" w:color="auto"/>
            </w:tcBorders>
            <w:shd w:val="clear" w:color="000000" w:fill="FFFFFF"/>
            <w:noWrap/>
            <w:vAlign w:val="center"/>
            <w:hideMark/>
          </w:tcPr>
          <w:p w14:paraId="1E349326" w14:textId="77777777" w:rsidR="00C35575" w:rsidRPr="00677496" w:rsidRDefault="00C35575" w:rsidP="00FD64A3">
            <w:pPr>
              <w:spacing w:after="0" w:line="240" w:lineRule="auto"/>
              <w:jc w:val="center"/>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3.35</w:t>
            </w:r>
          </w:p>
        </w:tc>
      </w:tr>
      <w:tr w:rsidR="00C35575" w:rsidRPr="00677496" w14:paraId="3509B0FB" w14:textId="77777777" w:rsidTr="00453A2D">
        <w:trPr>
          <w:trHeight w:val="300"/>
        </w:trPr>
        <w:tc>
          <w:tcPr>
            <w:tcW w:w="3312" w:type="dxa"/>
            <w:tcBorders>
              <w:top w:val="nil"/>
              <w:left w:val="single" w:sz="8" w:space="0" w:color="auto"/>
              <w:bottom w:val="nil"/>
              <w:right w:val="single" w:sz="8" w:space="0" w:color="auto"/>
            </w:tcBorders>
            <w:shd w:val="clear" w:color="000000" w:fill="FFFFFF"/>
            <w:noWrap/>
            <w:vAlign w:val="center"/>
            <w:hideMark/>
          </w:tcPr>
          <w:p w14:paraId="6380F612" w14:textId="77777777" w:rsidR="00C35575" w:rsidRPr="00677496" w:rsidRDefault="00C35575" w:rsidP="00FD64A3">
            <w:pPr>
              <w:spacing w:after="0" w:line="240" w:lineRule="auto"/>
              <w:ind w:firstLineChars="100" w:firstLine="200"/>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Ministry of Health</w:t>
            </w:r>
          </w:p>
        </w:tc>
        <w:tc>
          <w:tcPr>
            <w:tcW w:w="976" w:type="dxa"/>
            <w:tcBorders>
              <w:top w:val="nil"/>
              <w:left w:val="nil"/>
              <w:bottom w:val="nil"/>
              <w:right w:val="single" w:sz="8" w:space="0" w:color="auto"/>
            </w:tcBorders>
            <w:shd w:val="clear" w:color="000000" w:fill="FFFFFF"/>
            <w:noWrap/>
            <w:vAlign w:val="center"/>
            <w:hideMark/>
          </w:tcPr>
          <w:p w14:paraId="656D0EDE" w14:textId="77777777" w:rsidR="00C35575" w:rsidRPr="00677496" w:rsidRDefault="00C35575" w:rsidP="00FD64A3">
            <w:pPr>
              <w:spacing w:after="0" w:line="240" w:lineRule="auto"/>
              <w:jc w:val="center"/>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1.29</w:t>
            </w:r>
          </w:p>
        </w:tc>
        <w:tc>
          <w:tcPr>
            <w:tcW w:w="976" w:type="dxa"/>
            <w:tcBorders>
              <w:top w:val="nil"/>
              <w:left w:val="nil"/>
              <w:bottom w:val="nil"/>
              <w:right w:val="single" w:sz="8" w:space="0" w:color="auto"/>
            </w:tcBorders>
            <w:shd w:val="clear" w:color="000000" w:fill="FFFFFF"/>
            <w:noWrap/>
            <w:vAlign w:val="center"/>
            <w:hideMark/>
          </w:tcPr>
          <w:p w14:paraId="23E03DEE" w14:textId="77777777" w:rsidR="00C35575" w:rsidRPr="00677496" w:rsidRDefault="00C35575" w:rsidP="00FD64A3">
            <w:pPr>
              <w:spacing w:after="0" w:line="240" w:lineRule="auto"/>
              <w:jc w:val="center"/>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1.29</w:t>
            </w:r>
          </w:p>
        </w:tc>
        <w:tc>
          <w:tcPr>
            <w:tcW w:w="976" w:type="dxa"/>
            <w:tcBorders>
              <w:top w:val="nil"/>
              <w:left w:val="nil"/>
              <w:bottom w:val="nil"/>
              <w:right w:val="single" w:sz="8" w:space="0" w:color="auto"/>
            </w:tcBorders>
            <w:shd w:val="clear" w:color="000000" w:fill="FFFFFF"/>
            <w:noWrap/>
            <w:vAlign w:val="center"/>
            <w:hideMark/>
          </w:tcPr>
          <w:p w14:paraId="6CB4A0C9" w14:textId="77777777" w:rsidR="00C35575" w:rsidRPr="00677496" w:rsidRDefault="00C35575" w:rsidP="00FD64A3">
            <w:pPr>
              <w:spacing w:after="0" w:line="240" w:lineRule="auto"/>
              <w:jc w:val="center"/>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1.29</w:t>
            </w:r>
          </w:p>
        </w:tc>
        <w:tc>
          <w:tcPr>
            <w:tcW w:w="976" w:type="dxa"/>
            <w:tcBorders>
              <w:top w:val="nil"/>
              <w:left w:val="nil"/>
              <w:bottom w:val="nil"/>
              <w:right w:val="single" w:sz="8" w:space="0" w:color="auto"/>
            </w:tcBorders>
            <w:shd w:val="clear" w:color="000000" w:fill="FFFFFF"/>
            <w:noWrap/>
            <w:vAlign w:val="center"/>
            <w:hideMark/>
          </w:tcPr>
          <w:p w14:paraId="68892A3D" w14:textId="77777777" w:rsidR="00C35575" w:rsidRPr="00677496" w:rsidRDefault="00C35575" w:rsidP="00FD64A3">
            <w:pPr>
              <w:spacing w:after="0" w:line="240" w:lineRule="auto"/>
              <w:jc w:val="center"/>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1.29</w:t>
            </w:r>
          </w:p>
        </w:tc>
        <w:tc>
          <w:tcPr>
            <w:tcW w:w="976" w:type="dxa"/>
            <w:tcBorders>
              <w:top w:val="nil"/>
              <w:left w:val="nil"/>
              <w:bottom w:val="nil"/>
              <w:right w:val="single" w:sz="8" w:space="0" w:color="auto"/>
            </w:tcBorders>
            <w:shd w:val="clear" w:color="000000" w:fill="FFFFFF"/>
            <w:noWrap/>
            <w:vAlign w:val="center"/>
            <w:hideMark/>
          </w:tcPr>
          <w:p w14:paraId="712663AA" w14:textId="77777777" w:rsidR="00C35575" w:rsidRPr="00677496" w:rsidRDefault="00C35575" w:rsidP="00FD64A3">
            <w:pPr>
              <w:spacing w:after="0" w:line="240" w:lineRule="auto"/>
              <w:jc w:val="center"/>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1.59</w:t>
            </w:r>
          </w:p>
        </w:tc>
        <w:tc>
          <w:tcPr>
            <w:tcW w:w="976" w:type="dxa"/>
            <w:tcBorders>
              <w:top w:val="nil"/>
              <w:left w:val="nil"/>
              <w:bottom w:val="nil"/>
              <w:right w:val="single" w:sz="8" w:space="0" w:color="auto"/>
            </w:tcBorders>
            <w:shd w:val="clear" w:color="000000" w:fill="FFFFFF"/>
            <w:noWrap/>
            <w:vAlign w:val="center"/>
            <w:hideMark/>
          </w:tcPr>
          <w:p w14:paraId="68CA541C" w14:textId="77777777" w:rsidR="00C35575" w:rsidRPr="00677496" w:rsidRDefault="00C35575" w:rsidP="00FD64A3">
            <w:pPr>
              <w:spacing w:after="0" w:line="240" w:lineRule="auto"/>
              <w:jc w:val="center"/>
              <w:rPr>
                <w:rFonts w:asciiTheme="minorHAnsi" w:eastAsia="Times New Roman" w:hAnsiTheme="minorHAnsi" w:cs="Times New Roman"/>
                <w:color w:val="000000"/>
                <w:sz w:val="20"/>
                <w:szCs w:val="20"/>
              </w:rPr>
            </w:pPr>
            <w:r w:rsidRPr="00677496">
              <w:rPr>
                <w:rFonts w:asciiTheme="minorHAnsi" w:eastAsia="Times New Roman" w:hAnsiTheme="minorHAnsi" w:cs="Times New Roman"/>
                <w:color w:val="000000"/>
                <w:sz w:val="20"/>
                <w:szCs w:val="20"/>
              </w:rPr>
              <w:t>1.16</w:t>
            </w:r>
          </w:p>
        </w:tc>
      </w:tr>
      <w:tr w:rsidR="00C35575" w:rsidRPr="00677496" w14:paraId="04D3A924" w14:textId="77777777" w:rsidTr="00453A2D">
        <w:trPr>
          <w:trHeight w:val="300"/>
        </w:trPr>
        <w:tc>
          <w:tcPr>
            <w:tcW w:w="3312" w:type="dxa"/>
            <w:tcBorders>
              <w:top w:val="nil"/>
              <w:left w:val="single" w:sz="8" w:space="0" w:color="auto"/>
              <w:bottom w:val="nil"/>
              <w:right w:val="single" w:sz="8" w:space="0" w:color="auto"/>
            </w:tcBorders>
            <w:shd w:val="clear" w:color="000000" w:fill="FFFFFF"/>
            <w:noWrap/>
            <w:vAlign w:val="center"/>
            <w:hideMark/>
          </w:tcPr>
          <w:p w14:paraId="4FD75BDC" w14:textId="77777777" w:rsidR="00C35575" w:rsidRPr="00677496" w:rsidRDefault="00C35575" w:rsidP="00FD64A3">
            <w:pPr>
              <w:spacing w:after="0" w:line="240" w:lineRule="auto"/>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Other Spending</w:t>
            </w:r>
          </w:p>
        </w:tc>
        <w:tc>
          <w:tcPr>
            <w:tcW w:w="976" w:type="dxa"/>
            <w:tcBorders>
              <w:top w:val="nil"/>
              <w:left w:val="nil"/>
              <w:bottom w:val="nil"/>
              <w:right w:val="single" w:sz="8" w:space="0" w:color="auto"/>
            </w:tcBorders>
            <w:shd w:val="clear" w:color="000000" w:fill="FFFFFF"/>
            <w:noWrap/>
            <w:vAlign w:val="center"/>
            <w:hideMark/>
          </w:tcPr>
          <w:p w14:paraId="13EBD620"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0.12</w:t>
            </w:r>
          </w:p>
        </w:tc>
        <w:tc>
          <w:tcPr>
            <w:tcW w:w="976" w:type="dxa"/>
            <w:tcBorders>
              <w:top w:val="nil"/>
              <w:left w:val="nil"/>
              <w:bottom w:val="nil"/>
              <w:right w:val="single" w:sz="8" w:space="0" w:color="auto"/>
            </w:tcBorders>
            <w:shd w:val="clear" w:color="000000" w:fill="FFFFFF"/>
            <w:noWrap/>
            <w:vAlign w:val="center"/>
          </w:tcPr>
          <w:p w14:paraId="59823CE0" w14:textId="77777777" w:rsidR="00C35575" w:rsidRPr="00677496" w:rsidRDefault="0088617A" w:rsidP="00FD64A3">
            <w:pPr>
              <w:spacing w:after="0" w:line="240" w:lineRule="auto"/>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0.0</w:t>
            </w:r>
          </w:p>
        </w:tc>
        <w:tc>
          <w:tcPr>
            <w:tcW w:w="976" w:type="dxa"/>
            <w:tcBorders>
              <w:top w:val="nil"/>
              <w:left w:val="nil"/>
              <w:bottom w:val="nil"/>
              <w:right w:val="single" w:sz="8" w:space="0" w:color="auto"/>
            </w:tcBorders>
            <w:shd w:val="clear" w:color="000000" w:fill="FFFFFF"/>
            <w:noWrap/>
            <w:vAlign w:val="center"/>
          </w:tcPr>
          <w:p w14:paraId="74664081" w14:textId="77777777" w:rsidR="00C35575" w:rsidRPr="00677496" w:rsidRDefault="0088617A" w:rsidP="00FD64A3">
            <w:pPr>
              <w:spacing w:after="0" w:line="240" w:lineRule="auto"/>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0.0</w:t>
            </w:r>
          </w:p>
        </w:tc>
        <w:tc>
          <w:tcPr>
            <w:tcW w:w="976" w:type="dxa"/>
            <w:tcBorders>
              <w:top w:val="nil"/>
              <w:left w:val="nil"/>
              <w:bottom w:val="nil"/>
              <w:right w:val="single" w:sz="8" w:space="0" w:color="auto"/>
            </w:tcBorders>
            <w:shd w:val="clear" w:color="000000" w:fill="FFFFFF"/>
            <w:noWrap/>
            <w:vAlign w:val="center"/>
          </w:tcPr>
          <w:p w14:paraId="11C57A9E" w14:textId="77777777" w:rsidR="00C35575" w:rsidRPr="00677496" w:rsidRDefault="0088617A" w:rsidP="00FD64A3">
            <w:pPr>
              <w:spacing w:after="0" w:line="240" w:lineRule="auto"/>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0.0</w:t>
            </w:r>
          </w:p>
        </w:tc>
        <w:tc>
          <w:tcPr>
            <w:tcW w:w="976" w:type="dxa"/>
            <w:tcBorders>
              <w:top w:val="nil"/>
              <w:left w:val="nil"/>
              <w:bottom w:val="nil"/>
              <w:right w:val="single" w:sz="8" w:space="0" w:color="auto"/>
            </w:tcBorders>
            <w:shd w:val="clear" w:color="000000" w:fill="FFFFFF"/>
            <w:noWrap/>
            <w:vAlign w:val="center"/>
          </w:tcPr>
          <w:p w14:paraId="5FFDCCA6" w14:textId="77777777" w:rsidR="00C35575" w:rsidRPr="00677496" w:rsidRDefault="0088617A" w:rsidP="00FD64A3">
            <w:pPr>
              <w:spacing w:after="0" w:line="240" w:lineRule="auto"/>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0.0</w:t>
            </w:r>
          </w:p>
        </w:tc>
        <w:tc>
          <w:tcPr>
            <w:tcW w:w="976" w:type="dxa"/>
            <w:tcBorders>
              <w:top w:val="nil"/>
              <w:left w:val="nil"/>
              <w:bottom w:val="nil"/>
              <w:right w:val="single" w:sz="8" w:space="0" w:color="auto"/>
            </w:tcBorders>
            <w:shd w:val="clear" w:color="000000" w:fill="FFFFFF"/>
            <w:noWrap/>
            <w:vAlign w:val="center"/>
          </w:tcPr>
          <w:p w14:paraId="26A0E090" w14:textId="77777777" w:rsidR="00C35575" w:rsidRPr="00677496" w:rsidRDefault="0088617A" w:rsidP="00FD64A3">
            <w:pPr>
              <w:spacing w:after="0" w:line="240" w:lineRule="auto"/>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0.0</w:t>
            </w:r>
          </w:p>
        </w:tc>
      </w:tr>
      <w:tr w:rsidR="00C35575" w:rsidRPr="00677496" w14:paraId="0E7BE2D4" w14:textId="77777777" w:rsidTr="00453A2D">
        <w:trPr>
          <w:trHeight w:val="315"/>
        </w:trPr>
        <w:tc>
          <w:tcPr>
            <w:tcW w:w="3312" w:type="dxa"/>
            <w:tcBorders>
              <w:top w:val="nil"/>
              <w:left w:val="single" w:sz="8" w:space="0" w:color="auto"/>
              <w:bottom w:val="single" w:sz="8" w:space="0" w:color="auto"/>
              <w:right w:val="single" w:sz="8" w:space="0" w:color="auto"/>
            </w:tcBorders>
            <w:shd w:val="clear" w:color="000000" w:fill="FFFFFF"/>
            <w:noWrap/>
            <w:vAlign w:val="center"/>
            <w:hideMark/>
          </w:tcPr>
          <w:p w14:paraId="470C7FBA" w14:textId="77777777" w:rsidR="00C35575" w:rsidRPr="00677496" w:rsidRDefault="00C35575" w:rsidP="00FD64A3">
            <w:pPr>
              <w:spacing w:after="0" w:line="240" w:lineRule="auto"/>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TOTAL</w:t>
            </w:r>
          </w:p>
        </w:tc>
        <w:tc>
          <w:tcPr>
            <w:tcW w:w="976" w:type="dxa"/>
            <w:tcBorders>
              <w:top w:val="nil"/>
              <w:left w:val="nil"/>
              <w:bottom w:val="single" w:sz="8" w:space="0" w:color="auto"/>
              <w:right w:val="single" w:sz="8" w:space="0" w:color="auto"/>
            </w:tcBorders>
            <w:shd w:val="clear" w:color="000000" w:fill="FFFFFF"/>
            <w:noWrap/>
            <w:vAlign w:val="center"/>
            <w:hideMark/>
          </w:tcPr>
          <w:p w14:paraId="458CDE82"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12.91</w:t>
            </w:r>
          </w:p>
        </w:tc>
        <w:tc>
          <w:tcPr>
            <w:tcW w:w="976" w:type="dxa"/>
            <w:tcBorders>
              <w:top w:val="nil"/>
              <w:left w:val="nil"/>
              <w:bottom w:val="single" w:sz="8" w:space="0" w:color="auto"/>
              <w:right w:val="single" w:sz="8" w:space="0" w:color="auto"/>
            </w:tcBorders>
            <w:shd w:val="clear" w:color="000000" w:fill="FFFFFF"/>
            <w:noWrap/>
            <w:vAlign w:val="center"/>
            <w:hideMark/>
          </w:tcPr>
          <w:p w14:paraId="4840F632"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24.24</w:t>
            </w:r>
          </w:p>
        </w:tc>
        <w:tc>
          <w:tcPr>
            <w:tcW w:w="976" w:type="dxa"/>
            <w:tcBorders>
              <w:top w:val="nil"/>
              <w:left w:val="nil"/>
              <w:bottom w:val="single" w:sz="8" w:space="0" w:color="auto"/>
              <w:right w:val="single" w:sz="8" w:space="0" w:color="auto"/>
            </w:tcBorders>
            <w:shd w:val="clear" w:color="000000" w:fill="FFFFFF"/>
            <w:noWrap/>
            <w:vAlign w:val="center"/>
            <w:hideMark/>
          </w:tcPr>
          <w:p w14:paraId="7F31B540"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21.12</w:t>
            </w:r>
          </w:p>
        </w:tc>
        <w:tc>
          <w:tcPr>
            <w:tcW w:w="976" w:type="dxa"/>
            <w:tcBorders>
              <w:top w:val="nil"/>
              <w:left w:val="nil"/>
              <w:bottom w:val="single" w:sz="8" w:space="0" w:color="auto"/>
              <w:right w:val="single" w:sz="8" w:space="0" w:color="auto"/>
            </w:tcBorders>
            <w:shd w:val="clear" w:color="000000" w:fill="FFFFFF"/>
            <w:noWrap/>
            <w:vAlign w:val="center"/>
            <w:hideMark/>
          </w:tcPr>
          <w:p w14:paraId="31035754"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34.30</w:t>
            </w:r>
          </w:p>
        </w:tc>
        <w:tc>
          <w:tcPr>
            <w:tcW w:w="976" w:type="dxa"/>
            <w:tcBorders>
              <w:top w:val="nil"/>
              <w:left w:val="nil"/>
              <w:bottom w:val="single" w:sz="8" w:space="0" w:color="auto"/>
              <w:right w:val="single" w:sz="8" w:space="0" w:color="auto"/>
            </w:tcBorders>
            <w:shd w:val="clear" w:color="000000" w:fill="FFFFFF"/>
            <w:noWrap/>
            <w:vAlign w:val="center"/>
            <w:hideMark/>
          </w:tcPr>
          <w:p w14:paraId="683A0DC0"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19.26</w:t>
            </w:r>
          </w:p>
        </w:tc>
        <w:tc>
          <w:tcPr>
            <w:tcW w:w="976" w:type="dxa"/>
            <w:tcBorders>
              <w:top w:val="nil"/>
              <w:left w:val="nil"/>
              <w:bottom w:val="single" w:sz="8" w:space="0" w:color="auto"/>
              <w:right w:val="single" w:sz="8" w:space="0" w:color="auto"/>
            </w:tcBorders>
            <w:shd w:val="clear" w:color="000000" w:fill="FFFFFF"/>
            <w:noWrap/>
            <w:vAlign w:val="center"/>
            <w:hideMark/>
          </w:tcPr>
          <w:p w14:paraId="162E6F98" w14:textId="77777777" w:rsidR="00C35575" w:rsidRPr="00677496" w:rsidRDefault="00C35575" w:rsidP="00FD64A3">
            <w:pPr>
              <w:spacing w:after="0" w:line="240" w:lineRule="auto"/>
              <w:jc w:val="center"/>
              <w:rPr>
                <w:rFonts w:asciiTheme="minorHAnsi" w:eastAsia="Times New Roman" w:hAnsiTheme="minorHAnsi" w:cs="Times New Roman"/>
                <w:b/>
                <w:bCs/>
                <w:color w:val="000000"/>
                <w:sz w:val="20"/>
                <w:szCs w:val="20"/>
              </w:rPr>
            </w:pPr>
            <w:r w:rsidRPr="00677496">
              <w:rPr>
                <w:rFonts w:asciiTheme="minorHAnsi" w:eastAsia="Times New Roman" w:hAnsiTheme="minorHAnsi" w:cs="Times New Roman"/>
                <w:b/>
                <w:bCs/>
                <w:color w:val="000000"/>
                <w:sz w:val="20"/>
                <w:szCs w:val="20"/>
              </w:rPr>
              <w:t>15.87</w:t>
            </w:r>
          </w:p>
        </w:tc>
      </w:tr>
    </w:tbl>
    <w:p w14:paraId="41B992DE" w14:textId="77777777" w:rsidR="00C35575" w:rsidRDefault="00C35575" w:rsidP="005604B0">
      <w:pPr>
        <w:keepNext/>
        <w:spacing w:after="0" w:line="240" w:lineRule="auto"/>
        <w:rPr>
          <w:rFonts w:ascii="Garamond" w:hAnsi="Garamond"/>
          <w:i/>
          <w:sz w:val="20"/>
          <w:szCs w:val="20"/>
        </w:rPr>
      </w:pPr>
      <w:r>
        <w:rPr>
          <w:rFonts w:ascii="Garamond" w:hAnsi="Garamond"/>
          <w:i/>
          <w:sz w:val="20"/>
          <w:szCs w:val="20"/>
        </w:rPr>
        <w:fldChar w:fldCharType="end"/>
      </w:r>
    </w:p>
    <w:p w14:paraId="07441CCD" w14:textId="77777777" w:rsidR="004353BA" w:rsidRPr="005604B0" w:rsidRDefault="004353BA" w:rsidP="005604B0">
      <w:pPr>
        <w:keepNext/>
        <w:spacing w:after="0" w:line="240" w:lineRule="auto"/>
        <w:rPr>
          <w:rFonts w:ascii="Garamond" w:hAnsi="Garamond"/>
          <w:sz w:val="20"/>
          <w:szCs w:val="20"/>
        </w:rPr>
      </w:pPr>
      <w:r w:rsidRPr="005604B0">
        <w:rPr>
          <w:rFonts w:ascii="Garamond" w:hAnsi="Garamond"/>
          <w:i/>
          <w:sz w:val="20"/>
          <w:szCs w:val="20"/>
        </w:rPr>
        <w:t>Source:</w:t>
      </w:r>
      <w:r w:rsidRPr="005604B0">
        <w:rPr>
          <w:rFonts w:ascii="Garamond" w:hAnsi="Garamond"/>
          <w:sz w:val="20"/>
          <w:szCs w:val="20"/>
        </w:rPr>
        <w:t xml:space="preserve"> CAGD; MoF</w:t>
      </w:r>
    </w:p>
    <w:p w14:paraId="5B11A941" w14:textId="77777777" w:rsidR="004353BA" w:rsidRPr="005604B0" w:rsidRDefault="004353BA" w:rsidP="004353BA">
      <w:pPr>
        <w:rPr>
          <w:rFonts w:ascii="Garamond" w:hAnsi="Garamond"/>
          <w:i/>
          <w:sz w:val="20"/>
          <w:szCs w:val="20"/>
        </w:rPr>
      </w:pPr>
      <w:r w:rsidRPr="005604B0">
        <w:rPr>
          <w:rFonts w:ascii="Garamond" w:hAnsi="Garamond"/>
          <w:i/>
          <w:sz w:val="20"/>
          <w:szCs w:val="20"/>
        </w:rPr>
        <w:t xml:space="preserve">Note: </w:t>
      </w:r>
      <w:r w:rsidRPr="005604B0">
        <w:rPr>
          <w:rFonts w:ascii="Garamond" w:hAnsi="Garamond"/>
          <w:sz w:val="20"/>
          <w:szCs w:val="20"/>
        </w:rPr>
        <w:t xml:space="preserve">These data are based on government classifications. The </w:t>
      </w:r>
      <w:r w:rsidR="00C35575" w:rsidRPr="005604B0">
        <w:rPr>
          <w:rFonts w:ascii="Garamond" w:hAnsi="Garamond"/>
          <w:sz w:val="20"/>
          <w:szCs w:val="20"/>
        </w:rPr>
        <w:t>201</w:t>
      </w:r>
      <w:r w:rsidR="00C35575">
        <w:rPr>
          <w:rFonts w:ascii="Garamond" w:hAnsi="Garamond"/>
          <w:sz w:val="20"/>
          <w:szCs w:val="20"/>
        </w:rPr>
        <w:t>6</w:t>
      </w:r>
      <w:r w:rsidR="00C35575" w:rsidRPr="005604B0">
        <w:rPr>
          <w:rFonts w:ascii="Garamond" w:hAnsi="Garamond"/>
          <w:sz w:val="20"/>
          <w:szCs w:val="20"/>
        </w:rPr>
        <w:t xml:space="preserve"> </w:t>
      </w:r>
      <w:r w:rsidRPr="005604B0">
        <w:rPr>
          <w:rFonts w:ascii="Garamond" w:hAnsi="Garamond"/>
          <w:sz w:val="20"/>
          <w:szCs w:val="20"/>
        </w:rPr>
        <w:t xml:space="preserve">figures are </w:t>
      </w:r>
      <w:r w:rsidR="00C35575">
        <w:rPr>
          <w:rFonts w:ascii="Garamond" w:hAnsi="Garamond"/>
          <w:sz w:val="20"/>
          <w:szCs w:val="20"/>
        </w:rPr>
        <w:t>estimates</w:t>
      </w:r>
      <w:r w:rsidR="00FD64A3">
        <w:rPr>
          <w:rFonts w:ascii="Garamond" w:hAnsi="Garamond"/>
          <w:sz w:val="20"/>
          <w:szCs w:val="20"/>
        </w:rPr>
        <w:t xml:space="preserve"> as of November</w:t>
      </w:r>
      <w:r w:rsidRPr="005604B0">
        <w:rPr>
          <w:rFonts w:ascii="Garamond" w:hAnsi="Garamond"/>
          <w:sz w:val="20"/>
          <w:szCs w:val="20"/>
        </w:rPr>
        <w:t>.</w:t>
      </w:r>
    </w:p>
    <w:p w14:paraId="4F971913" w14:textId="77777777" w:rsidR="00FB4B72" w:rsidRPr="004353BA" w:rsidRDefault="00FB4B72" w:rsidP="005604B0">
      <w:pPr>
        <w:pStyle w:val="ListParagraph"/>
        <w:spacing w:before="240"/>
      </w:pPr>
      <w:r w:rsidRPr="005B5EA7">
        <w:rPr>
          <w:b/>
        </w:rPr>
        <w:t>In recent years</w:t>
      </w:r>
      <w:r w:rsidR="00424BCE">
        <w:rPr>
          <w:b/>
        </w:rPr>
        <w:t>,</w:t>
      </w:r>
      <w:r w:rsidRPr="005B5EA7">
        <w:rPr>
          <w:b/>
        </w:rPr>
        <w:t xml:space="preserve"> </w:t>
      </w:r>
      <w:r w:rsidR="00F86042">
        <w:rPr>
          <w:b/>
        </w:rPr>
        <w:t>the government</w:t>
      </w:r>
      <w:r w:rsidR="00F86042" w:rsidRPr="00106A99">
        <w:rPr>
          <w:b/>
        </w:rPr>
        <w:t xml:space="preserve"> </w:t>
      </w:r>
      <w:r>
        <w:rPr>
          <w:b/>
        </w:rPr>
        <w:t xml:space="preserve">has shifted the focus of </w:t>
      </w:r>
      <w:r w:rsidRPr="00106A99">
        <w:rPr>
          <w:b/>
        </w:rPr>
        <w:t>public spending away from the social and economic sectors</w:t>
      </w:r>
      <w:r w:rsidR="0088617A">
        <w:rPr>
          <w:b/>
        </w:rPr>
        <w:t xml:space="preserve"> to administrative spending</w:t>
      </w:r>
      <w:r w:rsidRPr="00106A99">
        <w:rPr>
          <w:b/>
        </w:rPr>
        <w:t>.</w:t>
      </w:r>
      <w:r w:rsidRPr="00106A99">
        <w:t xml:space="preserve"> </w:t>
      </w:r>
      <w:r>
        <w:t>Despite their limitations, the</w:t>
      </w:r>
      <w:r w:rsidRPr="00106A99">
        <w:t xml:space="preserve"> CAGD</w:t>
      </w:r>
      <w:r>
        <w:t xml:space="preserve"> data indicate that </w:t>
      </w:r>
      <w:r w:rsidRPr="00106A99">
        <w:t xml:space="preserve">social and economic </w:t>
      </w:r>
      <w:r>
        <w:t>spending has fallen significantly</w:t>
      </w:r>
      <w:r w:rsidR="00F63B39">
        <w:t xml:space="preserve"> as a share of GDP </w:t>
      </w:r>
      <w:r>
        <w:t>(</w:t>
      </w:r>
      <w:r w:rsidR="00105957">
        <w:fldChar w:fldCharType="begin"/>
      </w:r>
      <w:r w:rsidR="00105957">
        <w:instrText xml:space="preserve"> REF _Ref472517999 \h </w:instrText>
      </w:r>
      <w:r w:rsidR="00105957">
        <w:fldChar w:fldCharType="separate"/>
      </w:r>
      <w:r w:rsidR="007B1CE6">
        <w:t xml:space="preserve">Table </w:t>
      </w:r>
      <w:r w:rsidR="007B1CE6">
        <w:rPr>
          <w:noProof/>
        </w:rPr>
        <w:t>1</w:t>
      </w:r>
      <w:r w:rsidR="007B1CE6">
        <w:t>.</w:t>
      </w:r>
      <w:r w:rsidR="007B1CE6">
        <w:rPr>
          <w:noProof/>
        </w:rPr>
        <w:t>2</w:t>
      </w:r>
      <w:r w:rsidR="00105957">
        <w:fldChar w:fldCharType="end"/>
      </w:r>
      <w:r>
        <w:t>). The social sectors, including education and health, accounted for the largest share of public spending in 2011</w:t>
      </w:r>
      <w:r w:rsidR="004353BA">
        <w:t xml:space="preserve"> (</w:t>
      </w:r>
      <w:r w:rsidR="004353BA">
        <w:fldChar w:fldCharType="begin"/>
      </w:r>
      <w:r w:rsidR="004353BA">
        <w:instrText xml:space="preserve"> REF _Ref472519020 \h </w:instrText>
      </w:r>
      <w:r w:rsidR="004353BA">
        <w:fldChar w:fldCharType="separate"/>
      </w:r>
      <w:r w:rsidR="007B1CE6" w:rsidRPr="005639BC">
        <w:t xml:space="preserve">Figure </w:t>
      </w:r>
      <w:r w:rsidR="007B1CE6">
        <w:rPr>
          <w:noProof/>
        </w:rPr>
        <w:t>1</w:t>
      </w:r>
      <w:r w:rsidR="007B1CE6" w:rsidRPr="005639BC">
        <w:t>.</w:t>
      </w:r>
      <w:r w:rsidR="007B1CE6">
        <w:rPr>
          <w:noProof/>
        </w:rPr>
        <w:t>10</w:t>
      </w:r>
      <w:r w:rsidR="004353BA">
        <w:fldChar w:fldCharType="end"/>
      </w:r>
      <w:r w:rsidR="004353BA">
        <w:t>)</w:t>
      </w:r>
      <w:r>
        <w:t xml:space="preserve">. However, </w:t>
      </w:r>
      <w:r w:rsidR="00F94F84">
        <w:t xml:space="preserve">since </w:t>
      </w:r>
      <w:r>
        <w:t>2014</w:t>
      </w:r>
      <w:r w:rsidR="00F94F84">
        <w:t>,</w:t>
      </w:r>
      <w:r>
        <w:t xml:space="preserve"> the </w:t>
      </w:r>
      <w:r w:rsidR="00F94F84">
        <w:t>‘administration’</w:t>
      </w:r>
      <w:r>
        <w:t xml:space="preserve"> categor</w:t>
      </w:r>
      <w:r w:rsidR="00A37177">
        <w:t>y</w:t>
      </w:r>
      <w:r>
        <w:t xml:space="preserve">, </w:t>
      </w:r>
      <w:r w:rsidRPr="00106A99">
        <w:t xml:space="preserve">which include </w:t>
      </w:r>
      <w:r>
        <w:t xml:space="preserve">spending on </w:t>
      </w:r>
      <w:r w:rsidRPr="00106A99">
        <w:t xml:space="preserve">debt management, </w:t>
      </w:r>
      <w:r>
        <w:t>exchange-</w:t>
      </w:r>
      <w:r w:rsidRPr="00106A99">
        <w:t>rate deprecation, and other government obligations</w:t>
      </w:r>
      <w:r>
        <w:t xml:space="preserve">, </w:t>
      </w:r>
      <w:r w:rsidR="00F94F84">
        <w:t>ha</w:t>
      </w:r>
      <w:r w:rsidR="00A37177">
        <w:t>s</w:t>
      </w:r>
      <w:r w:rsidR="00F94F84">
        <w:t xml:space="preserve"> </w:t>
      </w:r>
      <w:r>
        <w:t xml:space="preserve">accounted for </w:t>
      </w:r>
      <w:r>
        <w:lastRenderedPageBreak/>
        <w:t xml:space="preserve">more than two-thirds of total spending. </w:t>
      </w:r>
      <w:r w:rsidR="00F94F84">
        <w:t>These two items</w:t>
      </w:r>
      <w:r>
        <w:t xml:space="preserve"> not only crowded out spending on education and health but also infrastructure, agricultural development</w:t>
      </w:r>
      <w:r w:rsidR="00424BCE">
        <w:t>,</w:t>
      </w:r>
      <w:r>
        <w:t xml:space="preserve"> and public utilities</w:t>
      </w:r>
      <w:r w:rsidRPr="00106A99">
        <w:t>.</w:t>
      </w:r>
      <w:r w:rsidRPr="00FB4B72">
        <w:rPr>
          <w:b/>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514"/>
      </w:tblGrid>
      <w:tr w:rsidR="002B17A3" w:rsidRPr="00AA72CF" w14:paraId="5AFE4A4B" w14:textId="77777777" w:rsidTr="00E07712">
        <w:trPr>
          <w:trHeight w:val="3879"/>
          <w:jc w:val="center"/>
        </w:trPr>
        <w:tc>
          <w:tcPr>
            <w:tcW w:w="4765" w:type="dxa"/>
          </w:tcPr>
          <w:p w14:paraId="72A9CE68" w14:textId="77777777" w:rsidR="004353BA" w:rsidRPr="001E47B7" w:rsidRDefault="004353BA" w:rsidP="001E47B7">
            <w:pPr>
              <w:pStyle w:val="Caption"/>
              <w:spacing w:after="0"/>
              <w:rPr>
                <w:lang w:val="en-US"/>
              </w:rPr>
            </w:pPr>
            <w:bookmarkStart w:id="37" w:name="_Ref472519020"/>
            <w:r w:rsidRPr="005639BC">
              <w:rPr>
                <w:lang w:val="en-US"/>
              </w:rPr>
              <w:t xml:space="preserve">Figure </w:t>
            </w:r>
            <w:r w:rsidRPr="005639BC">
              <w:rPr>
                <w:lang w:val="en-US"/>
              </w:rPr>
              <w:fldChar w:fldCharType="begin"/>
            </w:r>
            <w:r w:rsidRPr="005639BC">
              <w:rPr>
                <w:lang w:val="en-US"/>
              </w:rPr>
              <w:instrText xml:space="preserve"> STYLEREF 1 \s </w:instrText>
            </w:r>
            <w:r w:rsidRPr="005639BC">
              <w:rPr>
                <w:lang w:val="en-US"/>
              </w:rPr>
              <w:fldChar w:fldCharType="separate"/>
            </w:r>
            <w:r w:rsidR="007B1CE6">
              <w:rPr>
                <w:noProof/>
                <w:lang w:val="en-US"/>
              </w:rPr>
              <w:t>1</w:t>
            </w:r>
            <w:r w:rsidRPr="005639BC">
              <w:rPr>
                <w:lang w:val="en-US"/>
              </w:rPr>
              <w:fldChar w:fldCharType="end"/>
            </w:r>
            <w:r w:rsidRPr="005639BC">
              <w:rPr>
                <w:lang w:val="en-US"/>
              </w:rPr>
              <w:t>.</w:t>
            </w:r>
            <w:r w:rsidRPr="005639BC">
              <w:rPr>
                <w:lang w:val="en-US"/>
              </w:rPr>
              <w:fldChar w:fldCharType="begin"/>
            </w:r>
            <w:r w:rsidRPr="005639BC">
              <w:rPr>
                <w:lang w:val="en-US"/>
              </w:rPr>
              <w:instrText xml:space="preserve"> SEQ Figure \* ARABIC \s 1 </w:instrText>
            </w:r>
            <w:r w:rsidRPr="005639BC">
              <w:rPr>
                <w:lang w:val="en-US"/>
              </w:rPr>
              <w:fldChar w:fldCharType="separate"/>
            </w:r>
            <w:r w:rsidR="007B1CE6">
              <w:rPr>
                <w:noProof/>
                <w:lang w:val="en-US"/>
              </w:rPr>
              <w:t>10</w:t>
            </w:r>
            <w:r w:rsidRPr="005639BC">
              <w:rPr>
                <w:lang w:val="en-US"/>
              </w:rPr>
              <w:fldChar w:fldCharType="end"/>
            </w:r>
            <w:bookmarkEnd w:id="37"/>
            <w:r w:rsidRPr="005639BC">
              <w:rPr>
                <w:lang w:val="en-US"/>
              </w:rPr>
              <w:t>: Public Spending by Category, 2011-</w:t>
            </w:r>
            <w:r w:rsidR="00F94F84" w:rsidRPr="005639BC">
              <w:rPr>
                <w:lang w:val="en-US"/>
              </w:rPr>
              <w:t>1</w:t>
            </w:r>
            <w:r w:rsidR="00F94F84">
              <w:rPr>
                <w:lang w:val="en-US"/>
              </w:rPr>
              <w:t>6</w:t>
            </w:r>
            <w:r w:rsidR="00F94F84" w:rsidRPr="005639BC">
              <w:rPr>
                <w:lang w:val="en-US"/>
              </w:rPr>
              <w:t xml:space="preserve"> </w:t>
            </w:r>
            <w:r w:rsidRPr="005639BC">
              <w:rPr>
                <w:lang w:val="en-US"/>
              </w:rPr>
              <w:t>(%)</w:t>
            </w:r>
            <w:r w:rsidR="001E47B7">
              <w:rPr>
                <w:noProof/>
                <w:lang w:val="en-US" w:eastAsia="en-US"/>
              </w:rPr>
              <w:drawing>
                <wp:inline distT="0" distB="0" distL="0" distR="0" wp14:anchorId="43A9A611" wp14:editId="5E54BE0E">
                  <wp:extent cx="2601741" cy="1946031"/>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5944" cy="1949175"/>
                          </a:xfrm>
                          <a:prstGeom prst="rect">
                            <a:avLst/>
                          </a:prstGeom>
                          <a:noFill/>
                        </pic:spPr>
                      </pic:pic>
                    </a:graphicData>
                  </a:graphic>
                </wp:inline>
              </w:drawing>
            </w:r>
          </w:p>
          <w:p w14:paraId="77606A2F" w14:textId="77777777" w:rsidR="004353BA" w:rsidRPr="005604B0" w:rsidRDefault="004353BA" w:rsidP="004353BA">
            <w:pPr>
              <w:keepNext/>
              <w:rPr>
                <w:rFonts w:ascii="Garamond" w:hAnsi="Garamond"/>
                <w:sz w:val="20"/>
                <w:szCs w:val="20"/>
              </w:rPr>
            </w:pPr>
            <w:r w:rsidRPr="005604B0">
              <w:rPr>
                <w:rFonts w:ascii="Garamond" w:hAnsi="Garamond"/>
                <w:i/>
                <w:sz w:val="20"/>
                <w:szCs w:val="20"/>
              </w:rPr>
              <w:t>Source:</w:t>
            </w:r>
            <w:r w:rsidRPr="005604B0">
              <w:rPr>
                <w:rFonts w:ascii="Garamond" w:hAnsi="Garamond"/>
                <w:sz w:val="20"/>
                <w:szCs w:val="20"/>
              </w:rPr>
              <w:t xml:space="preserve"> CAGD</w:t>
            </w:r>
          </w:p>
          <w:p w14:paraId="48D67766" w14:textId="77777777" w:rsidR="004353BA" w:rsidRPr="00662CF4" w:rsidRDefault="004353BA" w:rsidP="006B5D22">
            <w:r w:rsidRPr="005604B0">
              <w:rPr>
                <w:rFonts w:ascii="Garamond" w:hAnsi="Garamond"/>
                <w:i/>
                <w:sz w:val="20"/>
                <w:szCs w:val="20"/>
              </w:rPr>
              <w:t>Note</w:t>
            </w:r>
            <w:r w:rsidRPr="005604B0">
              <w:rPr>
                <w:rFonts w:ascii="Garamond" w:hAnsi="Garamond"/>
                <w:sz w:val="20"/>
                <w:szCs w:val="20"/>
              </w:rPr>
              <w:t>: 201</w:t>
            </w:r>
            <w:r w:rsidR="006B5D22">
              <w:rPr>
                <w:rFonts w:ascii="Garamond" w:hAnsi="Garamond"/>
                <w:sz w:val="20"/>
                <w:szCs w:val="20"/>
              </w:rPr>
              <w:t>6</w:t>
            </w:r>
            <w:r w:rsidRPr="005604B0">
              <w:rPr>
                <w:rFonts w:ascii="Garamond" w:hAnsi="Garamond"/>
                <w:sz w:val="20"/>
                <w:szCs w:val="20"/>
              </w:rPr>
              <w:t xml:space="preserve"> data are preliminary.</w:t>
            </w:r>
          </w:p>
        </w:tc>
        <w:tc>
          <w:tcPr>
            <w:tcW w:w="4514" w:type="dxa"/>
          </w:tcPr>
          <w:p w14:paraId="66AF544D" w14:textId="77777777" w:rsidR="00F03FCE" w:rsidRDefault="004353BA" w:rsidP="005639BC">
            <w:pPr>
              <w:pStyle w:val="Caption"/>
              <w:rPr>
                <w:lang w:val="en-US"/>
              </w:rPr>
            </w:pPr>
            <w:bookmarkStart w:id="38" w:name="_Ref472518999"/>
            <w:bookmarkStart w:id="39" w:name="_Toc479624923"/>
            <w:r w:rsidRPr="005639BC">
              <w:rPr>
                <w:lang w:val="en-US"/>
              </w:rPr>
              <w:t xml:space="preserve">Figure </w:t>
            </w:r>
            <w:r w:rsidRPr="005639BC">
              <w:rPr>
                <w:lang w:val="en-US"/>
              </w:rPr>
              <w:fldChar w:fldCharType="begin"/>
            </w:r>
            <w:r w:rsidRPr="005639BC">
              <w:rPr>
                <w:lang w:val="en-US"/>
              </w:rPr>
              <w:instrText xml:space="preserve"> STYLEREF 1 \s </w:instrText>
            </w:r>
            <w:r w:rsidRPr="005639BC">
              <w:rPr>
                <w:lang w:val="en-US"/>
              </w:rPr>
              <w:fldChar w:fldCharType="separate"/>
            </w:r>
            <w:r w:rsidR="007B1CE6">
              <w:rPr>
                <w:noProof/>
                <w:lang w:val="en-US"/>
              </w:rPr>
              <w:t>1</w:t>
            </w:r>
            <w:r w:rsidRPr="005639BC">
              <w:rPr>
                <w:lang w:val="en-US"/>
              </w:rPr>
              <w:fldChar w:fldCharType="end"/>
            </w:r>
            <w:r w:rsidRPr="005639BC">
              <w:rPr>
                <w:lang w:val="en-US"/>
              </w:rPr>
              <w:t>.</w:t>
            </w:r>
            <w:r w:rsidRPr="005639BC">
              <w:rPr>
                <w:lang w:val="en-US"/>
              </w:rPr>
              <w:fldChar w:fldCharType="begin"/>
            </w:r>
            <w:r w:rsidRPr="005639BC">
              <w:rPr>
                <w:lang w:val="en-US"/>
              </w:rPr>
              <w:instrText xml:space="preserve"> SEQ Figure \* ARABIC \s 1 </w:instrText>
            </w:r>
            <w:r w:rsidRPr="005639BC">
              <w:rPr>
                <w:lang w:val="en-US"/>
              </w:rPr>
              <w:fldChar w:fldCharType="separate"/>
            </w:r>
            <w:r w:rsidR="007B1CE6">
              <w:rPr>
                <w:noProof/>
                <w:lang w:val="en-US"/>
              </w:rPr>
              <w:t>11</w:t>
            </w:r>
            <w:r w:rsidRPr="005639BC">
              <w:rPr>
                <w:lang w:val="en-US"/>
              </w:rPr>
              <w:fldChar w:fldCharType="end"/>
            </w:r>
            <w:bookmarkEnd w:id="38"/>
            <w:r w:rsidRPr="005639BC">
              <w:rPr>
                <w:lang w:val="en-US"/>
              </w:rPr>
              <w:t xml:space="preserve">: Share of the Wage Bill by Category, </w:t>
            </w:r>
            <w:r w:rsidR="00305249">
              <w:rPr>
                <w:lang w:val="en-US"/>
              </w:rPr>
              <w:t>2014-</w:t>
            </w:r>
            <w:r w:rsidR="00F94F84" w:rsidRPr="005639BC">
              <w:rPr>
                <w:lang w:val="en-US"/>
              </w:rPr>
              <w:t>1</w:t>
            </w:r>
            <w:r w:rsidR="005639BC">
              <w:rPr>
                <w:lang w:val="en-US"/>
              </w:rPr>
              <w:t>5</w:t>
            </w:r>
            <w:r w:rsidR="00C125F8">
              <w:rPr>
                <w:lang w:val="en-US"/>
              </w:rPr>
              <w:t xml:space="preserve"> </w:t>
            </w:r>
            <w:r w:rsidRPr="005639BC">
              <w:rPr>
                <w:lang w:val="en-US"/>
              </w:rPr>
              <w:t>(%)</w:t>
            </w:r>
            <w:bookmarkEnd w:id="39"/>
          </w:p>
          <w:p w14:paraId="6F41FC6A" w14:textId="77777777" w:rsidR="004353BA" w:rsidRPr="005639BC" w:rsidRDefault="002B17A3" w:rsidP="005639BC">
            <w:pPr>
              <w:pStyle w:val="Caption"/>
              <w:rPr>
                <w:lang w:val="en-US"/>
              </w:rPr>
            </w:pPr>
            <w:r>
              <w:rPr>
                <w:noProof/>
                <w:lang w:val="en-US" w:eastAsia="en-US"/>
              </w:rPr>
              <w:drawing>
                <wp:inline distT="0" distB="0" distL="0" distR="0" wp14:anchorId="740BFDCB" wp14:editId="0B14455E">
                  <wp:extent cx="2304288" cy="1941272"/>
                  <wp:effectExtent l="0" t="0" r="127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1333" cy="1955632"/>
                          </a:xfrm>
                          <a:prstGeom prst="rect">
                            <a:avLst/>
                          </a:prstGeom>
                          <a:noFill/>
                        </pic:spPr>
                      </pic:pic>
                    </a:graphicData>
                  </a:graphic>
                </wp:inline>
              </w:drawing>
            </w:r>
          </w:p>
          <w:p w14:paraId="517D64AB" w14:textId="77777777" w:rsidR="001E47B7" w:rsidRDefault="001E47B7" w:rsidP="00E07712">
            <w:pPr>
              <w:keepNext/>
              <w:rPr>
                <w:rFonts w:ascii="Garamond" w:eastAsia="Calibri" w:hAnsi="Garamond" w:cs="Times New Roman"/>
                <w:sz w:val="20"/>
                <w:szCs w:val="20"/>
              </w:rPr>
            </w:pPr>
            <w:r w:rsidRPr="005604B0">
              <w:rPr>
                <w:rFonts w:ascii="Garamond" w:hAnsi="Garamond"/>
                <w:i/>
                <w:sz w:val="20"/>
                <w:szCs w:val="20"/>
              </w:rPr>
              <w:t>Source:</w:t>
            </w:r>
            <w:r w:rsidRPr="005604B0">
              <w:rPr>
                <w:rFonts w:ascii="Garamond" w:hAnsi="Garamond"/>
                <w:sz w:val="20"/>
                <w:szCs w:val="20"/>
              </w:rPr>
              <w:t xml:space="preserve"> CAGD</w:t>
            </w:r>
          </w:p>
          <w:p w14:paraId="528BDF31" w14:textId="77777777" w:rsidR="001E47B7" w:rsidRPr="005604B0" w:rsidRDefault="001E47B7" w:rsidP="00E07712">
            <w:pPr>
              <w:keepNext/>
              <w:rPr>
                <w:rFonts w:ascii="Garamond" w:eastAsia="Calibri" w:hAnsi="Garamond" w:cs="Times New Roman"/>
                <w:sz w:val="20"/>
                <w:szCs w:val="20"/>
              </w:rPr>
            </w:pPr>
          </w:p>
        </w:tc>
      </w:tr>
    </w:tbl>
    <w:p w14:paraId="687503DF" w14:textId="77777777" w:rsidR="00113D98" w:rsidRPr="00FC3ABC" w:rsidRDefault="00FB4B72" w:rsidP="00FB4B72">
      <w:pPr>
        <w:pStyle w:val="ListParagraph"/>
        <w:spacing w:before="240"/>
      </w:pPr>
      <w:r w:rsidRPr="00FC3ABC">
        <w:rPr>
          <w:b/>
        </w:rPr>
        <w:t>Spending on the health and education sectors has declined both as a share of the budget and as a share of GDP.</w:t>
      </w:r>
      <w:r w:rsidRPr="00FC3ABC">
        <w:t xml:space="preserve"> The wage bill represents a large share of spending across all sectors, further narrowing the scope for investment (</w:t>
      </w:r>
      <w:r w:rsidR="001A5EBC" w:rsidRPr="00FC3ABC">
        <w:fldChar w:fldCharType="begin"/>
      </w:r>
      <w:r w:rsidR="001A5EBC" w:rsidRPr="00FC3ABC">
        <w:instrText xml:space="preserve"> REF _Ref472518999 \h </w:instrText>
      </w:r>
      <w:r w:rsidR="003945D3" w:rsidRPr="00FC3ABC">
        <w:instrText xml:space="preserve"> \* MERGEFORMAT </w:instrText>
      </w:r>
      <w:r w:rsidR="001A5EBC" w:rsidRPr="00FC3ABC">
        <w:fldChar w:fldCharType="separate"/>
      </w:r>
      <w:r w:rsidR="007B1CE6" w:rsidRPr="00FC3ABC">
        <w:t xml:space="preserve">Figure </w:t>
      </w:r>
      <w:r w:rsidR="007B1CE6" w:rsidRPr="00FC3ABC">
        <w:rPr>
          <w:noProof/>
        </w:rPr>
        <w:t>1</w:t>
      </w:r>
      <w:r w:rsidR="007B1CE6" w:rsidRPr="00FC3ABC">
        <w:t>.</w:t>
      </w:r>
      <w:r w:rsidR="007B1CE6" w:rsidRPr="00FC3ABC">
        <w:rPr>
          <w:noProof/>
        </w:rPr>
        <w:t>11</w:t>
      </w:r>
      <w:r w:rsidR="001A5EBC" w:rsidRPr="00FC3ABC">
        <w:fldChar w:fldCharType="end"/>
      </w:r>
      <w:r w:rsidRPr="00FC3ABC">
        <w:t>)</w:t>
      </w:r>
      <w:r w:rsidR="002774EB" w:rsidRPr="00FC3ABC">
        <w:t>,</w:t>
      </w:r>
      <w:r w:rsidRPr="00FC3ABC">
        <w:t xml:space="preserve"> and the dominance of the wage bill has negative implications for expenditure</w:t>
      </w:r>
      <w:r w:rsidR="00F63B39" w:rsidRPr="00FC3ABC">
        <w:t xml:space="preserve"> effectiveness</w:t>
      </w:r>
      <w:r w:rsidRPr="00FC3ABC">
        <w:t xml:space="preserve">. </w:t>
      </w:r>
    </w:p>
    <w:p w14:paraId="6C22800A" w14:textId="77777777" w:rsidR="000E632C" w:rsidRPr="00E45355" w:rsidRDefault="000E632C" w:rsidP="000E632C">
      <w:pPr>
        <w:pStyle w:val="Heading2"/>
      </w:pPr>
      <w:bookmarkStart w:id="40" w:name="_Toc479624871"/>
      <w:r w:rsidRPr="00E45355">
        <w:t>Revenue Management</w:t>
      </w:r>
      <w:bookmarkEnd w:id="40"/>
    </w:p>
    <w:p w14:paraId="0296ED68" w14:textId="77777777" w:rsidR="00932A6A" w:rsidRPr="000E632C" w:rsidRDefault="00A870B7" w:rsidP="00B5573F">
      <w:pPr>
        <w:pStyle w:val="ListParagraph"/>
        <w:spacing w:before="240"/>
      </w:pPr>
      <w:r w:rsidRPr="000B34A2">
        <w:rPr>
          <w:rFonts w:cs="Times New Roman"/>
          <w:b/>
        </w:rPr>
        <w:t>In contrast to</w:t>
      </w:r>
      <w:r w:rsidR="002938D0" w:rsidRPr="000B34A2">
        <w:rPr>
          <w:rFonts w:cs="Times New Roman"/>
          <w:b/>
        </w:rPr>
        <w:t xml:space="preserve"> the </w:t>
      </w:r>
      <w:r w:rsidRPr="000B34A2">
        <w:rPr>
          <w:rFonts w:cs="Times New Roman"/>
          <w:b/>
        </w:rPr>
        <w:t>rapid</w:t>
      </w:r>
      <w:r w:rsidR="00CD315D" w:rsidRPr="000B34A2">
        <w:rPr>
          <w:rFonts w:cs="Times New Roman"/>
          <w:b/>
        </w:rPr>
        <w:t xml:space="preserve"> </w:t>
      </w:r>
      <w:r w:rsidR="002938D0" w:rsidRPr="000B34A2">
        <w:rPr>
          <w:rFonts w:cs="Times New Roman"/>
          <w:b/>
        </w:rPr>
        <w:t xml:space="preserve">growth </w:t>
      </w:r>
      <w:r w:rsidRPr="000B34A2">
        <w:rPr>
          <w:rFonts w:cs="Times New Roman"/>
          <w:b/>
        </w:rPr>
        <w:t>of</w:t>
      </w:r>
      <w:r w:rsidR="002938D0" w:rsidRPr="000B34A2">
        <w:rPr>
          <w:rFonts w:cs="Times New Roman"/>
          <w:b/>
        </w:rPr>
        <w:t xml:space="preserve"> expenditures, </w:t>
      </w:r>
      <w:r w:rsidRPr="000B34A2">
        <w:rPr>
          <w:rFonts w:cs="Times New Roman"/>
          <w:b/>
        </w:rPr>
        <w:t xml:space="preserve">public </w:t>
      </w:r>
      <w:r w:rsidR="002938D0" w:rsidRPr="000B34A2">
        <w:rPr>
          <w:rFonts w:cs="Times New Roman"/>
          <w:b/>
        </w:rPr>
        <w:t>revenue</w:t>
      </w:r>
      <w:r w:rsidRPr="000B34A2">
        <w:rPr>
          <w:rFonts w:cs="Times New Roman"/>
          <w:b/>
        </w:rPr>
        <w:t>s</w:t>
      </w:r>
      <w:r w:rsidR="002938D0" w:rsidRPr="000B34A2">
        <w:rPr>
          <w:rFonts w:cs="Times New Roman"/>
          <w:b/>
        </w:rPr>
        <w:t xml:space="preserve"> </w:t>
      </w:r>
      <w:r w:rsidRPr="000B34A2">
        <w:rPr>
          <w:rFonts w:cs="Times New Roman"/>
          <w:b/>
        </w:rPr>
        <w:t>have remained essentially unchanged</w:t>
      </w:r>
      <w:r w:rsidR="002938D0" w:rsidRPr="000B34A2">
        <w:rPr>
          <w:rFonts w:cs="Times New Roman"/>
          <w:b/>
        </w:rPr>
        <w:t xml:space="preserve"> as </w:t>
      </w:r>
      <w:r w:rsidRPr="000B34A2">
        <w:rPr>
          <w:rFonts w:cs="Times New Roman"/>
          <w:b/>
        </w:rPr>
        <w:t xml:space="preserve">a share </w:t>
      </w:r>
      <w:r w:rsidR="002938D0" w:rsidRPr="000B34A2">
        <w:rPr>
          <w:rFonts w:cs="Times New Roman"/>
          <w:b/>
        </w:rPr>
        <w:t>of GDP</w:t>
      </w:r>
      <w:r w:rsidR="002938D0" w:rsidRPr="000B34A2">
        <w:rPr>
          <w:b/>
        </w:rPr>
        <w:t xml:space="preserve"> over the last four years.</w:t>
      </w:r>
      <w:r w:rsidR="002938D0" w:rsidRPr="00CD315D">
        <w:t xml:space="preserve"> </w:t>
      </w:r>
      <w:r>
        <w:t>Total</w:t>
      </w:r>
      <w:r w:rsidR="002C41CC" w:rsidRPr="00BE7899">
        <w:t xml:space="preserve"> revenue </w:t>
      </w:r>
      <w:r>
        <w:t>(</w:t>
      </w:r>
      <w:r w:rsidR="002C41CC" w:rsidRPr="00BE7899">
        <w:t xml:space="preserve">including </w:t>
      </w:r>
      <w:r w:rsidR="000E632C">
        <w:t xml:space="preserve">grants) </w:t>
      </w:r>
      <w:r w:rsidR="00704C66">
        <w:t xml:space="preserve">grew </w:t>
      </w:r>
      <w:r>
        <w:t>substantially</w:t>
      </w:r>
      <w:r w:rsidR="002C41CC" w:rsidRPr="00BE7899">
        <w:t xml:space="preserve"> </w:t>
      </w:r>
      <w:r w:rsidR="00BE7899">
        <w:t xml:space="preserve">in 2011 </w:t>
      </w:r>
      <w:r w:rsidR="00F77488">
        <w:t xml:space="preserve">following the start of </w:t>
      </w:r>
      <w:r>
        <w:t xml:space="preserve">oil production, then dipped </w:t>
      </w:r>
      <w:r w:rsidR="0047654A">
        <w:t>in 2013 due to</w:t>
      </w:r>
      <w:r w:rsidR="0047654A" w:rsidRPr="00AA72CF">
        <w:t xml:space="preserve"> shortfall</w:t>
      </w:r>
      <w:r w:rsidR="0047654A">
        <w:t>s</w:t>
      </w:r>
      <w:r w:rsidR="0047654A" w:rsidRPr="00AA72CF">
        <w:t xml:space="preserve"> in tax collection and </w:t>
      </w:r>
      <w:r>
        <w:t xml:space="preserve">grant </w:t>
      </w:r>
      <w:r w:rsidR="0047654A" w:rsidRPr="00AA72CF">
        <w:t>disbursement</w:t>
      </w:r>
      <w:r>
        <w:t>s</w:t>
      </w:r>
      <w:r w:rsidR="0047654A" w:rsidRPr="00AA72CF">
        <w:t xml:space="preserve"> (</w:t>
      </w:r>
      <w:r w:rsidR="004F227D">
        <w:fldChar w:fldCharType="begin"/>
      </w:r>
      <w:r w:rsidR="004F227D">
        <w:instrText xml:space="preserve"> REF _Ref474244237 \h </w:instrText>
      </w:r>
      <w:r w:rsidR="004F227D">
        <w:fldChar w:fldCharType="separate"/>
      </w:r>
      <w:r w:rsidR="007B1CE6" w:rsidRPr="00AE6D38">
        <w:t xml:space="preserve">Figure </w:t>
      </w:r>
      <w:r w:rsidR="007B1CE6">
        <w:rPr>
          <w:noProof/>
        </w:rPr>
        <w:t>1</w:t>
      </w:r>
      <w:r w:rsidR="007B1CE6" w:rsidRPr="00AE6D38">
        <w:t>.</w:t>
      </w:r>
      <w:r w:rsidR="007B1CE6">
        <w:rPr>
          <w:noProof/>
        </w:rPr>
        <w:t>12</w:t>
      </w:r>
      <w:r w:rsidR="004F227D">
        <w:fldChar w:fldCharType="end"/>
      </w:r>
      <w:r w:rsidR="0047654A">
        <w:t>).</w:t>
      </w:r>
      <w:r w:rsidR="002938D0" w:rsidRPr="00AA72CF">
        <w:t xml:space="preserve"> </w:t>
      </w:r>
      <w:r w:rsidR="00C362B6">
        <w:t>Gr</w:t>
      </w:r>
      <w:r w:rsidR="00DC5E1A">
        <w:t xml:space="preserve">ants </w:t>
      </w:r>
      <w:r w:rsidR="006B0087">
        <w:t xml:space="preserve">rose </w:t>
      </w:r>
      <w:r w:rsidR="00DC5E1A">
        <w:t>in 2015</w:t>
      </w:r>
      <w:r w:rsidR="002774EB">
        <w:t>,</w:t>
      </w:r>
      <w:r w:rsidR="00DC5E1A">
        <w:t xml:space="preserve"> a</w:t>
      </w:r>
      <w:r w:rsidR="00C362B6">
        <w:t xml:space="preserve">s </w:t>
      </w:r>
      <w:r w:rsidR="006B0087">
        <w:t xml:space="preserve">Ghana’s development partners </w:t>
      </w:r>
      <w:r w:rsidR="00704C66">
        <w:t xml:space="preserve">provided </w:t>
      </w:r>
      <w:r w:rsidR="006B0087">
        <w:t xml:space="preserve">support </w:t>
      </w:r>
      <w:r w:rsidR="00704C66">
        <w:t xml:space="preserve">to </w:t>
      </w:r>
      <w:r w:rsidR="006B0087">
        <w:t>the government’s</w:t>
      </w:r>
      <w:r w:rsidR="00DC5E1A">
        <w:t xml:space="preserve"> </w:t>
      </w:r>
      <w:r w:rsidR="0047654A">
        <w:t>stabilization program</w:t>
      </w:r>
      <w:r w:rsidR="000B34A2">
        <w:t xml:space="preserve">. But </w:t>
      </w:r>
      <w:r w:rsidR="000B34A2" w:rsidRPr="000B34A2">
        <w:rPr>
          <w:szCs w:val="24"/>
        </w:rPr>
        <w:t>the disbursement of grants was lower</w:t>
      </w:r>
      <w:r w:rsidR="003F6F3A">
        <w:t xml:space="preserve"> </w:t>
      </w:r>
      <w:r w:rsidR="000B34A2" w:rsidRPr="000B34A2">
        <w:rPr>
          <w:szCs w:val="24"/>
        </w:rPr>
        <w:t xml:space="preserve">in 2016 </w:t>
      </w:r>
      <w:r w:rsidR="003F6F3A">
        <w:t xml:space="preserve">as </w:t>
      </w:r>
      <w:r w:rsidR="003F6F3A" w:rsidRPr="000B34A2">
        <w:rPr>
          <w:szCs w:val="24"/>
        </w:rPr>
        <w:t>the December elections slowed down the implementation of the several reforms supported by Ghana’s development partners.</w:t>
      </w:r>
      <w:r w:rsidR="000B34A2" w:rsidRPr="000B34A2">
        <w:rPr>
          <w:szCs w:val="24"/>
        </w:rPr>
        <w:t xml:space="preserve"> </w:t>
      </w:r>
      <w:r w:rsidR="00DC5E1A">
        <w:t>I</w:t>
      </w:r>
      <w:r w:rsidR="005306F4">
        <w:t xml:space="preserve">ndirect tax revenue </w:t>
      </w:r>
      <w:r w:rsidR="00AA024D">
        <w:t xml:space="preserve">has </w:t>
      </w:r>
      <w:r w:rsidR="00DC5E1A">
        <w:t>exceeded</w:t>
      </w:r>
      <w:r w:rsidR="005306F4">
        <w:t xml:space="preserve"> d</w:t>
      </w:r>
      <w:r w:rsidR="00473BC5">
        <w:t>irect tax</w:t>
      </w:r>
      <w:r w:rsidR="005306F4">
        <w:t xml:space="preserve"> revenue </w:t>
      </w:r>
      <w:r w:rsidR="00AA024D">
        <w:t xml:space="preserve">since </w:t>
      </w:r>
      <w:r w:rsidR="005306F4">
        <w:t>2015</w:t>
      </w:r>
      <w:r w:rsidR="000D76D2">
        <w:t xml:space="preserve"> as indirect taxes is projected</w:t>
      </w:r>
      <w:r w:rsidR="00DC5E1A">
        <w:t xml:space="preserve"> to represent the </w:t>
      </w:r>
      <w:r w:rsidR="006B7ACD">
        <w:t xml:space="preserve">bulk </w:t>
      </w:r>
      <w:r w:rsidR="00DC5E1A">
        <w:t>of</w:t>
      </w:r>
      <w:r w:rsidR="00473BC5">
        <w:t xml:space="preserve"> </w:t>
      </w:r>
      <w:r w:rsidR="005306F4">
        <w:t xml:space="preserve">tax revenue </w:t>
      </w:r>
      <w:r w:rsidR="00DC5E1A">
        <w:t>over the near term</w:t>
      </w:r>
      <w:r w:rsidR="005306F4">
        <w:t>.</w:t>
      </w:r>
      <w:r w:rsidR="000D76D2" w:rsidRPr="000D76D2">
        <w:rPr>
          <w:rStyle w:val="FootnoteReference"/>
        </w:rPr>
        <w:t xml:space="preserve"> </w:t>
      </w:r>
      <w:r w:rsidR="000D76D2" w:rsidRPr="00AA72CF">
        <w:rPr>
          <w:rStyle w:val="FootnoteReference"/>
        </w:rPr>
        <w:footnoteReference w:id="22"/>
      </w:r>
    </w:p>
    <w:tbl>
      <w:tblPr>
        <w:tblStyle w:val="TableGrid"/>
        <w:tblpPr w:leftFromText="180" w:rightFromText="180" w:vertAnchor="text" w:tblpXSpec="right" w:tblpY="1"/>
        <w:tblOverlap w:val="never"/>
        <w:tblW w:w="476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5"/>
      </w:tblGrid>
      <w:tr w:rsidR="000E632C" w:rsidRPr="00AA72CF" w14:paraId="0352D9DF" w14:textId="77777777" w:rsidTr="005604B0">
        <w:trPr>
          <w:trHeight w:val="3581"/>
          <w:jc w:val="right"/>
        </w:trPr>
        <w:tc>
          <w:tcPr>
            <w:tcW w:w="4765" w:type="dxa"/>
            <w:vAlign w:val="center"/>
          </w:tcPr>
          <w:p w14:paraId="731E664D" w14:textId="77777777" w:rsidR="000E632C" w:rsidRPr="00AE6D38" w:rsidRDefault="000E632C" w:rsidP="000E632C">
            <w:pPr>
              <w:pStyle w:val="Caption"/>
              <w:rPr>
                <w:lang w:val="en-US"/>
              </w:rPr>
            </w:pPr>
            <w:bookmarkStart w:id="41" w:name="_Ref474244237"/>
            <w:bookmarkStart w:id="42" w:name="_Toc479624924"/>
            <w:r w:rsidRPr="00AE6D38">
              <w:rPr>
                <w:lang w:val="en-US"/>
              </w:rPr>
              <w:lastRenderedPageBreak/>
              <w:t xml:space="preserve">Figure </w:t>
            </w:r>
            <w:r w:rsidRPr="00AE6D38">
              <w:rPr>
                <w:lang w:val="en-US"/>
              </w:rPr>
              <w:fldChar w:fldCharType="begin"/>
            </w:r>
            <w:r w:rsidRPr="00AE6D38">
              <w:rPr>
                <w:lang w:val="en-US"/>
              </w:rPr>
              <w:instrText xml:space="preserve"> STYLEREF 1 \s </w:instrText>
            </w:r>
            <w:r w:rsidRPr="00AE6D38">
              <w:rPr>
                <w:lang w:val="en-US"/>
              </w:rPr>
              <w:fldChar w:fldCharType="separate"/>
            </w:r>
            <w:r w:rsidR="007B1CE6">
              <w:rPr>
                <w:noProof/>
                <w:lang w:val="en-US"/>
              </w:rPr>
              <w:t>1</w:t>
            </w:r>
            <w:r w:rsidRPr="00AE6D38">
              <w:rPr>
                <w:lang w:val="en-US"/>
              </w:rPr>
              <w:fldChar w:fldCharType="end"/>
            </w:r>
            <w:r w:rsidRPr="00AE6D38">
              <w:rPr>
                <w:lang w:val="en-US"/>
              </w:rPr>
              <w:t>.</w:t>
            </w:r>
            <w:r w:rsidRPr="00AE6D38">
              <w:rPr>
                <w:lang w:val="en-US"/>
              </w:rPr>
              <w:fldChar w:fldCharType="begin"/>
            </w:r>
            <w:r w:rsidRPr="00AE6D38">
              <w:rPr>
                <w:lang w:val="en-US"/>
              </w:rPr>
              <w:instrText xml:space="preserve"> SEQ Figure \* ARABIC \s 1 </w:instrText>
            </w:r>
            <w:r w:rsidRPr="00AE6D38">
              <w:rPr>
                <w:lang w:val="en-US"/>
              </w:rPr>
              <w:fldChar w:fldCharType="separate"/>
            </w:r>
            <w:r w:rsidR="007B1CE6">
              <w:rPr>
                <w:noProof/>
                <w:lang w:val="en-US"/>
              </w:rPr>
              <w:t>12</w:t>
            </w:r>
            <w:r w:rsidRPr="00AE6D38">
              <w:rPr>
                <w:lang w:val="en-US"/>
              </w:rPr>
              <w:fldChar w:fldCharType="end"/>
            </w:r>
            <w:bookmarkEnd w:id="41"/>
            <w:r w:rsidRPr="00AE6D38">
              <w:rPr>
                <w:lang w:val="en-US"/>
              </w:rPr>
              <w:t>: Public Revenue by Category, 2008-</w:t>
            </w:r>
            <w:r w:rsidR="000D76D2" w:rsidRPr="00AE6D38">
              <w:rPr>
                <w:lang w:val="en-US"/>
              </w:rPr>
              <w:t>201</w:t>
            </w:r>
            <w:r w:rsidR="000D76D2">
              <w:rPr>
                <w:lang w:val="en-US"/>
              </w:rPr>
              <w:t>6</w:t>
            </w:r>
            <w:r w:rsidR="000D76D2" w:rsidRPr="00AE6D38">
              <w:rPr>
                <w:lang w:val="en-US"/>
              </w:rPr>
              <w:t xml:space="preserve"> </w:t>
            </w:r>
            <w:r w:rsidRPr="00AE6D38">
              <w:rPr>
                <w:lang w:val="en-US"/>
              </w:rPr>
              <w:t>(% of GDP)</w:t>
            </w:r>
            <w:bookmarkEnd w:id="42"/>
          </w:p>
          <w:p w14:paraId="704788AA" w14:textId="77777777" w:rsidR="000E632C" w:rsidRPr="00AA72CF" w:rsidRDefault="00AE6D38" w:rsidP="000E632C">
            <w:pPr>
              <w:rPr>
                <w:rFonts w:eastAsia="Calibri"/>
              </w:rPr>
            </w:pPr>
            <w:r>
              <w:rPr>
                <w:rFonts w:eastAsia="Calibri"/>
                <w:noProof/>
              </w:rPr>
              <w:drawing>
                <wp:inline distT="0" distB="0" distL="0" distR="0" wp14:anchorId="23B5DAED" wp14:editId="129C7D48">
                  <wp:extent cx="2954215" cy="2246473"/>
                  <wp:effectExtent l="0" t="0" r="0" b="1905"/>
                  <wp:docPr id="66571" name="Picture 6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8621" cy="2249824"/>
                          </a:xfrm>
                          <a:prstGeom prst="rect">
                            <a:avLst/>
                          </a:prstGeom>
                          <a:noFill/>
                        </pic:spPr>
                      </pic:pic>
                    </a:graphicData>
                  </a:graphic>
                </wp:inline>
              </w:drawing>
            </w:r>
          </w:p>
        </w:tc>
      </w:tr>
      <w:tr w:rsidR="000E632C" w:rsidRPr="00AA72CF" w14:paraId="0192C8B5" w14:textId="77777777" w:rsidTr="005604B0">
        <w:trPr>
          <w:trHeight w:val="58"/>
          <w:jc w:val="right"/>
        </w:trPr>
        <w:tc>
          <w:tcPr>
            <w:tcW w:w="4765" w:type="dxa"/>
            <w:vAlign w:val="center"/>
          </w:tcPr>
          <w:p w14:paraId="1C7CFA15" w14:textId="77777777" w:rsidR="000E632C" w:rsidRPr="005604B0" w:rsidRDefault="000E632C" w:rsidP="000E632C">
            <w:pPr>
              <w:rPr>
                <w:rFonts w:ascii="Garamond" w:hAnsi="Garamond"/>
                <w:sz w:val="20"/>
                <w:szCs w:val="20"/>
              </w:rPr>
            </w:pPr>
            <w:r w:rsidRPr="005604B0">
              <w:rPr>
                <w:rFonts w:ascii="Garamond" w:hAnsi="Garamond"/>
                <w:i/>
                <w:sz w:val="20"/>
                <w:szCs w:val="20"/>
              </w:rPr>
              <w:t>Source:</w:t>
            </w:r>
            <w:r w:rsidRPr="005604B0">
              <w:rPr>
                <w:rFonts w:ascii="Garamond" w:hAnsi="Garamond"/>
                <w:sz w:val="20"/>
                <w:szCs w:val="20"/>
              </w:rPr>
              <w:t xml:space="preserve"> </w:t>
            </w:r>
            <w:r w:rsidR="000D76D2">
              <w:rPr>
                <w:rFonts w:ascii="Garamond" w:hAnsi="Garamond"/>
                <w:sz w:val="20"/>
                <w:szCs w:val="20"/>
              </w:rPr>
              <w:t xml:space="preserve">IMF; </w:t>
            </w:r>
            <w:r w:rsidRPr="005604B0">
              <w:rPr>
                <w:rFonts w:ascii="Garamond" w:hAnsi="Garamond"/>
                <w:sz w:val="20"/>
                <w:szCs w:val="20"/>
              </w:rPr>
              <w:t>MoF</w:t>
            </w:r>
          </w:p>
        </w:tc>
      </w:tr>
    </w:tbl>
    <w:p w14:paraId="772A8066" w14:textId="77777777" w:rsidR="00FB4B72" w:rsidRPr="000E632C" w:rsidRDefault="00704C66" w:rsidP="000E632C">
      <w:pPr>
        <w:pStyle w:val="ListParagraph"/>
      </w:pPr>
      <w:r>
        <w:rPr>
          <w:rFonts w:cs="Times New Roman"/>
          <w:b/>
        </w:rPr>
        <w:t>T</w:t>
      </w:r>
      <w:r w:rsidR="00FB4B72" w:rsidRPr="00D80E2B">
        <w:rPr>
          <w:b/>
        </w:rPr>
        <w:t>ax revenue</w:t>
      </w:r>
      <w:r>
        <w:rPr>
          <w:b/>
        </w:rPr>
        <w:t xml:space="preserve"> in Ghana is </w:t>
      </w:r>
      <w:r w:rsidR="00FB4B72">
        <w:rPr>
          <w:b/>
        </w:rPr>
        <w:t>low by regional standards</w:t>
      </w:r>
      <w:r w:rsidR="00FB4B72" w:rsidRPr="00D80E2B">
        <w:rPr>
          <w:b/>
        </w:rPr>
        <w:t xml:space="preserve"> and below </w:t>
      </w:r>
      <w:r>
        <w:rPr>
          <w:b/>
        </w:rPr>
        <w:t xml:space="preserve">its </w:t>
      </w:r>
      <w:r w:rsidR="00FB4B72">
        <w:rPr>
          <w:b/>
        </w:rPr>
        <w:t xml:space="preserve">estimated </w:t>
      </w:r>
      <w:r w:rsidR="00FB4B72" w:rsidRPr="00D80E2B">
        <w:rPr>
          <w:b/>
        </w:rPr>
        <w:t>potential.</w:t>
      </w:r>
      <w:r w:rsidR="00FB4B72">
        <w:t xml:space="preserve"> Even at a peak of 15.8 percent of GDP in 2014, G</w:t>
      </w:r>
      <w:r w:rsidR="00FB4B72" w:rsidRPr="00AA72CF">
        <w:t>hana’s</w:t>
      </w:r>
      <w:r>
        <w:t xml:space="preserve"> total</w:t>
      </w:r>
      <w:r w:rsidR="00FB4B72" w:rsidRPr="00AA72CF">
        <w:t xml:space="preserve"> tax </w:t>
      </w:r>
      <w:r w:rsidR="00FB4B72">
        <w:t>revenue remained far below the levels of</w:t>
      </w:r>
      <w:r w:rsidR="00FB4B72" w:rsidRPr="00AA72CF">
        <w:t xml:space="preserve"> regional comparators</w:t>
      </w:r>
      <w:r w:rsidR="002774EB">
        <w:t>,</w:t>
      </w:r>
      <w:r w:rsidR="00FB4B72" w:rsidRPr="00AA72CF">
        <w:t xml:space="preserve"> such as South Africa, Mozambique</w:t>
      </w:r>
      <w:r w:rsidR="00FB4B72">
        <w:t>, Malawi</w:t>
      </w:r>
      <w:r w:rsidR="002774EB">
        <w:t>,</w:t>
      </w:r>
      <w:r w:rsidR="00FB4B72" w:rsidRPr="00AA72CF">
        <w:t xml:space="preserve"> and Senegal</w:t>
      </w:r>
      <w:r w:rsidR="00FB4B72">
        <w:t xml:space="preserve"> </w:t>
      </w:r>
      <w:r w:rsidR="00FB4B72" w:rsidRPr="00AA72CF">
        <w:t>(</w:t>
      </w:r>
      <w:r w:rsidR="00FB4B72">
        <w:fldChar w:fldCharType="begin"/>
      </w:r>
      <w:r w:rsidR="00FB4B72">
        <w:instrText xml:space="preserve"> REF _Ref465771445 \h </w:instrText>
      </w:r>
      <w:r w:rsidR="00FB4B72">
        <w:fldChar w:fldCharType="separate"/>
      </w:r>
      <w:r w:rsidR="007B1CE6" w:rsidRPr="00BE61B5">
        <w:t xml:space="preserve">Figure </w:t>
      </w:r>
      <w:r w:rsidR="007B1CE6">
        <w:rPr>
          <w:noProof/>
        </w:rPr>
        <w:t>1</w:t>
      </w:r>
      <w:r w:rsidR="007B1CE6" w:rsidRPr="00BE61B5">
        <w:t>.</w:t>
      </w:r>
      <w:r w:rsidR="007B1CE6">
        <w:rPr>
          <w:noProof/>
        </w:rPr>
        <w:t>13</w:t>
      </w:r>
      <w:r w:rsidR="00FB4B72">
        <w:fldChar w:fldCharType="end"/>
      </w:r>
      <w:r w:rsidR="00FB4B72">
        <w:t>)</w:t>
      </w:r>
      <w:r w:rsidR="00FB4B72" w:rsidRPr="00D80E2B">
        <w:t xml:space="preserve">. </w:t>
      </w:r>
      <w:r w:rsidR="00FB4B72">
        <w:rPr>
          <w:rFonts w:cs="Times New Roman"/>
        </w:rPr>
        <w:t>Moreover,</w:t>
      </w:r>
      <w:r w:rsidR="00FB4B72" w:rsidRPr="00D80E2B">
        <w:rPr>
          <w:rFonts w:eastAsia="Times New Roman" w:cs="Times New Roman"/>
          <w:color w:val="000000"/>
        </w:rPr>
        <w:t xml:space="preserve"> </w:t>
      </w:r>
      <w:r w:rsidR="00FB4B72">
        <w:rPr>
          <w:rFonts w:eastAsia="Times New Roman" w:cs="Times New Roman"/>
          <w:color w:val="000000"/>
        </w:rPr>
        <w:t>actual</w:t>
      </w:r>
      <w:r w:rsidR="00FB4B72" w:rsidRPr="00D80E2B">
        <w:rPr>
          <w:rFonts w:eastAsia="Times New Roman" w:cs="Times New Roman"/>
          <w:color w:val="000000"/>
        </w:rPr>
        <w:t xml:space="preserve"> tax</w:t>
      </w:r>
      <w:r w:rsidR="00FB4B72">
        <w:rPr>
          <w:rFonts w:eastAsia="Times New Roman" w:cs="Times New Roman"/>
          <w:color w:val="000000"/>
        </w:rPr>
        <w:t>-</w:t>
      </w:r>
      <w:r w:rsidR="00FB4B72" w:rsidRPr="00D80E2B">
        <w:rPr>
          <w:rFonts w:eastAsia="Times New Roman" w:cs="Times New Roman"/>
          <w:color w:val="000000"/>
        </w:rPr>
        <w:t xml:space="preserve">revenue </w:t>
      </w:r>
      <w:r w:rsidR="00FB4B72">
        <w:rPr>
          <w:rFonts w:eastAsia="Times New Roman" w:cs="Times New Roman"/>
          <w:color w:val="000000"/>
        </w:rPr>
        <w:t>collection is far short of what Ghana’s level of economic and institutional development would predict</w:t>
      </w:r>
      <w:r>
        <w:rPr>
          <w:rFonts w:eastAsia="Times New Roman" w:cs="Times New Roman"/>
          <w:color w:val="000000"/>
        </w:rPr>
        <w:t>, and t</w:t>
      </w:r>
      <w:r w:rsidR="00FB4B72">
        <w:rPr>
          <w:rFonts w:eastAsia="Times New Roman" w:cs="Times New Roman"/>
          <w:color w:val="000000"/>
        </w:rPr>
        <w:t>he country’s</w:t>
      </w:r>
      <w:r w:rsidR="00FB4B72" w:rsidRPr="00D80E2B">
        <w:rPr>
          <w:rFonts w:eastAsia="Times New Roman" w:cs="Times New Roman"/>
          <w:color w:val="000000"/>
        </w:rPr>
        <w:t xml:space="preserve"> unexploited tax potential </w:t>
      </w:r>
      <w:r w:rsidR="00FB4B72">
        <w:rPr>
          <w:rFonts w:eastAsia="Times New Roman" w:cs="Times New Roman"/>
          <w:color w:val="000000"/>
        </w:rPr>
        <w:t>was</w:t>
      </w:r>
      <w:r w:rsidR="00FB4B72" w:rsidRPr="00D80E2B">
        <w:rPr>
          <w:rFonts w:eastAsia="Times New Roman" w:cs="Times New Roman"/>
          <w:color w:val="000000"/>
        </w:rPr>
        <w:t xml:space="preserve"> estimated </w:t>
      </w:r>
      <w:r w:rsidR="00FB4B72">
        <w:rPr>
          <w:rFonts w:eastAsia="Times New Roman" w:cs="Times New Roman"/>
          <w:color w:val="000000"/>
        </w:rPr>
        <w:t>at about</w:t>
      </w:r>
      <w:r w:rsidR="00FB4B72" w:rsidRPr="00D80E2B">
        <w:rPr>
          <w:rFonts w:eastAsia="Times New Roman" w:cs="Times New Roman"/>
          <w:color w:val="000000"/>
        </w:rPr>
        <w:t xml:space="preserve"> 5 percent of GDP in 2014.</w:t>
      </w:r>
      <w:r w:rsidR="00FB4B72">
        <w:rPr>
          <w:rStyle w:val="FootnoteReference"/>
          <w:rFonts w:eastAsia="Times New Roman" w:cs="Times New Roman"/>
          <w:color w:val="000000"/>
        </w:rPr>
        <w:footnoteReference w:id="23"/>
      </w:r>
      <w:r w:rsidR="00FB4B72" w:rsidRPr="00D80E2B">
        <w:rPr>
          <w:rFonts w:eastAsia="Times New Roman" w:cs="Times New Roman"/>
          <w:color w:val="000000"/>
        </w:rPr>
        <w:t xml:space="preserve"> </w:t>
      </w:r>
      <w:r w:rsidR="00FB4B72">
        <w:rPr>
          <w:rFonts w:eastAsia="Times New Roman" w:cs="Times New Roman"/>
          <w:color w:val="000000"/>
        </w:rPr>
        <w:t>O</w:t>
      </w:r>
      <w:r w:rsidR="00FB4B72" w:rsidRPr="00D80E2B">
        <w:rPr>
          <w:rFonts w:eastAsia="Times New Roman" w:cs="Times New Roman"/>
          <w:color w:val="000000"/>
        </w:rPr>
        <w:t xml:space="preserve">ver time, Ghana’s potential tax revenue </w:t>
      </w:r>
      <w:r w:rsidR="00FB4B72">
        <w:rPr>
          <w:rFonts w:eastAsia="Times New Roman" w:cs="Times New Roman"/>
          <w:color w:val="000000"/>
        </w:rPr>
        <w:t>is</w:t>
      </w:r>
      <w:r w:rsidR="00FB4B72" w:rsidRPr="00D80E2B">
        <w:rPr>
          <w:rFonts w:eastAsia="Times New Roman" w:cs="Times New Roman"/>
          <w:color w:val="000000"/>
        </w:rPr>
        <w:t xml:space="preserve"> expected to </w:t>
      </w:r>
      <w:r w:rsidR="00FB4B72">
        <w:rPr>
          <w:rFonts w:eastAsia="Times New Roman" w:cs="Times New Roman"/>
          <w:color w:val="000000"/>
        </w:rPr>
        <w:t xml:space="preserve">rise in line with its </w:t>
      </w:r>
      <w:r w:rsidR="00F77F3D">
        <w:rPr>
          <w:rFonts w:eastAsia="Times New Roman" w:cs="Times New Roman"/>
          <w:color w:val="000000"/>
        </w:rPr>
        <w:t xml:space="preserve">rate of </w:t>
      </w:r>
      <w:r w:rsidR="00FB4B72">
        <w:rPr>
          <w:rFonts w:eastAsia="Times New Roman" w:cs="Times New Roman"/>
          <w:color w:val="000000"/>
        </w:rPr>
        <w:t>GDP growth</w:t>
      </w:r>
      <w:r w:rsidR="00FB4B72" w:rsidRPr="00D80E2B">
        <w:rPr>
          <w:rFonts w:eastAsia="Times New Roman" w:cs="Times New Roman"/>
          <w:color w:val="000000"/>
        </w:rPr>
        <w:t xml:space="preserve">. </w:t>
      </w:r>
      <w:r w:rsidR="00FB4B72">
        <w:rPr>
          <w:rFonts w:eastAsia="Times New Roman" w:cs="Times New Roman"/>
          <w:color w:val="000000"/>
        </w:rPr>
        <w:t>In a typical Sub-Saharan African</w:t>
      </w:r>
      <w:r w:rsidR="00E25E19">
        <w:rPr>
          <w:rFonts w:eastAsia="Times New Roman" w:cs="Times New Roman"/>
          <w:color w:val="000000"/>
        </w:rPr>
        <w:t xml:space="preserve"> (SSA)</w:t>
      </w:r>
      <w:r w:rsidR="00FB4B72">
        <w:rPr>
          <w:rFonts w:eastAsia="Times New Roman" w:cs="Times New Roman"/>
          <w:color w:val="000000"/>
        </w:rPr>
        <w:t xml:space="preserve"> country</w:t>
      </w:r>
      <w:r w:rsidR="00014A17">
        <w:rPr>
          <w:rFonts w:eastAsia="Times New Roman" w:cs="Times New Roman"/>
          <w:color w:val="000000"/>
        </w:rPr>
        <w:t>,</w:t>
      </w:r>
      <w:r w:rsidR="00FB4B72">
        <w:rPr>
          <w:rFonts w:eastAsia="Times New Roman" w:cs="Times New Roman"/>
          <w:color w:val="000000"/>
        </w:rPr>
        <w:t xml:space="preserve"> a 2 percent annual GDP growth rate sustained over 10 years would boost potential tax revenue by an estimated 6-7.5 percentage points of GDP.</w:t>
      </w:r>
      <w:r w:rsidR="00030525">
        <w:rPr>
          <w:rStyle w:val="FootnoteReference"/>
          <w:rFonts w:eastAsia="Times New Roman" w:cs="Times New Roman"/>
          <w:color w:val="000000"/>
        </w:rPr>
        <w:footnoteReference w:id="24"/>
      </w:r>
    </w:p>
    <w:tbl>
      <w:tblPr>
        <w:tblStyle w:val="TableGrid"/>
        <w:tblW w:w="9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38"/>
      </w:tblGrid>
      <w:tr w:rsidR="000E632C" w:rsidRPr="001512C8" w14:paraId="14297345" w14:textId="77777777" w:rsidTr="00E07712">
        <w:trPr>
          <w:trHeight w:val="169"/>
        </w:trPr>
        <w:tc>
          <w:tcPr>
            <w:tcW w:w="9538" w:type="dxa"/>
            <w:vAlign w:val="center"/>
          </w:tcPr>
          <w:p w14:paraId="348CAF2F" w14:textId="77777777" w:rsidR="000E632C" w:rsidRPr="00BE61B5" w:rsidRDefault="000E632C" w:rsidP="00E07712">
            <w:pPr>
              <w:pStyle w:val="Caption"/>
              <w:keepLines/>
              <w:contextualSpacing/>
              <w:rPr>
                <w:sz w:val="18"/>
                <w:szCs w:val="18"/>
                <w:lang w:val="en-US"/>
              </w:rPr>
            </w:pPr>
            <w:bookmarkStart w:id="43" w:name="_Ref465771445"/>
            <w:bookmarkStart w:id="44" w:name="_Toc479624925"/>
            <w:r w:rsidRPr="00BE61B5">
              <w:rPr>
                <w:lang w:val="en-US"/>
              </w:rPr>
              <w:t xml:space="preserve">Figure </w:t>
            </w:r>
            <w:r w:rsidRPr="00BE61B5">
              <w:rPr>
                <w:lang w:val="en-US"/>
              </w:rPr>
              <w:fldChar w:fldCharType="begin"/>
            </w:r>
            <w:r w:rsidRPr="00BE61B5">
              <w:rPr>
                <w:lang w:val="en-US"/>
              </w:rPr>
              <w:instrText xml:space="preserve"> STYLEREF 1 \s </w:instrText>
            </w:r>
            <w:r w:rsidRPr="00BE61B5">
              <w:rPr>
                <w:lang w:val="en-US"/>
              </w:rPr>
              <w:fldChar w:fldCharType="separate"/>
            </w:r>
            <w:r w:rsidR="007B1CE6">
              <w:rPr>
                <w:noProof/>
                <w:lang w:val="en-US"/>
              </w:rPr>
              <w:t>1</w:t>
            </w:r>
            <w:r w:rsidRPr="00BE61B5">
              <w:rPr>
                <w:lang w:val="en-US"/>
              </w:rPr>
              <w:fldChar w:fldCharType="end"/>
            </w:r>
            <w:r w:rsidRPr="00BE61B5">
              <w:rPr>
                <w:lang w:val="en-US"/>
              </w:rPr>
              <w:t>.</w:t>
            </w:r>
            <w:r w:rsidRPr="00BE61B5">
              <w:rPr>
                <w:lang w:val="en-US"/>
              </w:rPr>
              <w:fldChar w:fldCharType="begin"/>
            </w:r>
            <w:r w:rsidRPr="00BE61B5">
              <w:rPr>
                <w:lang w:val="en-US"/>
              </w:rPr>
              <w:instrText xml:space="preserve"> SEQ Figure \* ARABIC \s 1 </w:instrText>
            </w:r>
            <w:r w:rsidRPr="00BE61B5">
              <w:rPr>
                <w:lang w:val="en-US"/>
              </w:rPr>
              <w:fldChar w:fldCharType="separate"/>
            </w:r>
            <w:r w:rsidR="007B1CE6">
              <w:rPr>
                <w:noProof/>
                <w:lang w:val="en-US"/>
              </w:rPr>
              <w:t>13</w:t>
            </w:r>
            <w:r w:rsidRPr="00BE61B5">
              <w:rPr>
                <w:lang w:val="en-US"/>
              </w:rPr>
              <w:fldChar w:fldCharType="end"/>
            </w:r>
            <w:bookmarkEnd w:id="43"/>
            <w:r w:rsidRPr="00BE61B5">
              <w:rPr>
                <w:lang w:val="en-US"/>
              </w:rPr>
              <w:t>: Actual and Potential Tax Revenue, Ghana and Comparators, 2014 (% of GDP)</w:t>
            </w:r>
            <w:bookmarkEnd w:id="44"/>
          </w:p>
        </w:tc>
      </w:tr>
      <w:tr w:rsidR="000E632C" w14:paraId="1C73D062" w14:textId="77777777" w:rsidTr="00E07712">
        <w:trPr>
          <w:trHeight w:val="169"/>
        </w:trPr>
        <w:tc>
          <w:tcPr>
            <w:tcW w:w="9538" w:type="dxa"/>
            <w:vAlign w:val="center"/>
          </w:tcPr>
          <w:p w14:paraId="1537E5B3" w14:textId="77777777" w:rsidR="000E632C" w:rsidRDefault="000E632C" w:rsidP="00E07712">
            <w:pPr>
              <w:keepNext/>
              <w:keepLines/>
              <w:contextualSpacing/>
              <w:rPr>
                <w:rFonts w:ascii="Calibri" w:eastAsia="Calibri" w:hAnsi="Calibri" w:cs="Times New Roman"/>
                <w:noProof/>
              </w:rPr>
            </w:pPr>
            <w:r>
              <w:rPr>
                <w:rFonts w:ascii="Calibri" w:eastAsia="Calibri" w:hAnsi="Calibri" w:cs="Times New Roman"/>
                <w:noProof/>
              </w:rPr>
              <w:drawing>
                <wp:inline distT="0" distB="0" distL="0" distR="0" wp14:anchorId="187EFC10" wp14:editId="5A98C189">
                  <wp:extent cx="5907315" cy="301260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4575" cy="3016309"/>
                          </a:xfrm>
                          <a:prstGeom prst="rect">
                            <a:avLst/>
                          </a:prstGeom>
                          <a:noFill/>
                        </pic:spPr>
                      </pic:pic>
                    </a:graphicData>
                  </a:graphic>
                </wp:inline>
              </w:drawing>
            </w:r>
          </w:p>
        </w:tc>
      </w:tr>
      <w:tr w:rsidR="000E632C" w:rsidRPr="001512C8" w14:paraId="0CBA31DD" w14:textId="77777777" w:rsidTr="00E07712">
        <w:trPr>
          <w:trHeight w:val="169"/>
        </w:trPr>
        <w:tc>
          <w:tcPr>
            <w:tcW w:w="9538" w:type="dxa"/>
            <w:vAlign w:val="center"/>
          </w:tcPr>
          <w:p w14:paraId="220DF69A" w14:textId="77777777" w:rsidR="000E632C" w:rsidRPr="007603EC" w:rsidRDefault="000E632C" w:rsidP="00E16894">
            <w:pPr>
              <w:contextualSpacing/>
              <w:rPr>
                <w:rFonts w:ascii="Garamond" w:hAnsi="Garamond"/>
                <w:i/>
                <w:sz w:val="20"/>
                <w:szCs w:val="20"/>
              </w:rPr>
            </w:pPr>
            <w:r w:rsidRPr="007603EC">
              <w:rPr>
                <w:rFonts w:ascii="Garamond" w:hAnsi="Garamond"/>
                <w:i/>
                <w:sz w:val="20"/>
                <w:szCs w:val="20"/>
              </w:rPr>
              <w:t>Source:</w:t>
            </w:r>
            <w:r w:rsidRPr="007603EC">
              <w:rPr>
                <w:rFonts w:ascii="Garamond" w:hAnsi="Garamond"/>
                <w:sz w:val="20"/>
                <w:szCs w:val="20"/>
              </w:rPr>
              <w:t xml:space="preserve">  IMF Regional Economic Outlook: Sub-Saharan Africa October 2015.</w:t>
            </w:r>
          </w:p>
        </w:tc>
      </w:tr>
    </w:tbl>
    <w:p w14:paraId="5E179C70" w14:textId="77777777" w:rsidR="00091F40" w:rsidRPr="00CC46D2" w:rsidRDefault="005D717D" w:rsidP="00CC7892">
      <w:pPr>
        <w:pStyle w:val="ListParagraph"/>
        <w:spacing w:before="240"/>
        <w:rPr>
          <w:rFonts w:eastAsia="Times New Roman"/>
        </w:rPr>
      </w:pPr>
      <w:r>
        <w:rPr>
          <w:rFonts w:eastAsia="Times New Roman"/>
          <w:b/>
        </w:rPr>
        <w:t xml:space="preserve">Narrowing the gap between actual and potential </w:t>
      </w:r>
      <w:r w:rsidR="00A214B2">
        <w:rPr>
          <w:rFonts w:eastAsia="Times New Roman"/>
          <w:b/>
        </w:rPr>
        <w:t xml:space="preserve">tax </w:t>
      </w:r>
      <w:r>
        <w:rPr>
          <w:rFonts w:eastAsia="Times New Roman"/>
          <w:b/>
        </w:rPr>
        <w:t>revenue will be crucial</w:t>
      </w:r>
      <w:r w:rsidR="008503E2" w:rsidRPr="001512C8">
        <w:rPr>
          <w:rFonts w:eastAsia="Times New Roman"/>
          <w:b/>
        </w:rPr>
        <w:t xml:space="preserve"> </w:t>
      </w:r>
      <w:r w:rsidR="00D620FA" w:rsidRPr="001512C8">
        <w:rPr>
          <w:rFonts w:eastAsia="Times New Roman"/>
          <w:b/>
        </w:rPr>
        <w:t xml:space="preserve">to contain borrowing </w:t>
      </w:r>
      <w:r w:rsidR="00704C66">
        <w:rPr>
          <w:rFonts w:eastAsia="Times New Roman"/>
          <w:b/>
        </w:rPr>
        <w:t xml:space="preserve">costs </w:t>
      </w:r>
      <w:r w:rsidRPr="001512C8">
        <w:rPr>
          <w:rFonts w:eastAsia="Times New Roman"/>
          <w:b/>
        </w:rPr>
        <w:t>and manage the growth of the debt stock</w:t>
      </w:r>
      <w:r w:rsidR="00EF066B" w:rsidRPr="001512C8">
        <w:rPr>
          <w:rFonts w:eastAsia="Times New Roman"/>
          <w:b/>
        </w:rPr>
        <w:t xml:space="preserve">. </w:t>
      </w:r>
      <w:r w:rsidR="00041C1D">
        <w:rPr>
          <w:rFonts w:eastAsia="Times New Roman"/>
        </w:rPr>
        <w:t>A thorough</w:t>
      </w:r>
      <w:r w:rsidR="00F04A0E" w:rsidRPr="00006BA6">
        <w:rPr>
          <w:rFonts w:eastAsia="Times New Roman"/>
        </w:rPr>
        <w:t xml:space="preserve"> </w:t>
      </w:r>
      <w:r w:rsidR="00F04A0E" w:rsidRPr="00006BA6">
        <w:t xml:space="preserve">review </w:t>
      </w:r>
      <w:r w:rsidR="00041C1D">
        <w:t>of</w:t>
      </w:r>
      <w:r w:rsidR="00F04A0E" w:rsidRPr="00006BA6">
        <w:t xml:space="preserve"> the tax regime </w:t>
      </w:r>
      <w:r w:rsidR="00041C1D">
        <w:t xml:space="preserve">would provide </w:t>
      </w:r>
      <w:r w:rsidR="00704C66">
        <w:t xml:space="preserve">a sound </w:t>
      </w:r>
      <w:r w:rsidR="00041C1D">
        <w:t xml:space="preserve">analytical foundation for policies </w:t>
      </w:r>
      <w:r w:rsidR="00A214B2">
        <w:t xml:space="preserve">designed </w:t>
      </w:r>
      <w:r w:rsidR="00F04A0E" w:rsidRPr="00006BA6">
        <w:t>to broaden the tax base and enhance tax compliance</w:t>
      </w:r>
      <w:r w:rsidR="00F04A0E" w:rsidRPr="00006BA6">
        <w:rPr>
          <w:rFonts w:eastAsia="Times New Roman"/>
        </w:rPr>
        <w:t>.</w:t>
      </w:r>
      <w:r w:rsidR="00F04A0E">
        <w:rPr>
          <w:rStyle w:val="FootnoteReference"/>
          <w:rFonts w:eastAsia="Times New Roman" w:cs="Times New Roman"/>
          <w:color w:val="000000"/>
        </w:rPr>
        <w:footnoteReference w:id="25"/>
      </w:r>
      <w:r w:rsidR="00F04A0E" w:rsidRPr="00006BA6">
        <w:rPr>
          <w:rFonts w:eastAsia="Times New Roman"/>
        </w:rPr>
        <w:t xml:space="preserve"> </w:t>
      </w:r>
      <w:r w:rsidR="00704C66">
        <w:rPr>
          <w:rFonts w:eastAsia="Times New Roman"/>
        </w:rPr>
        <w:t>M</w:t>
      </w:r>
      <w:r w:rsidR="00041C1D">
        <w:rPr>
          <w:rFonts w:eastAsia="Times New Roman"/>
        </w:rPr>
        <w:t xml:space="preserve">aking </w:t>
      </w:r>
      <w:r w:rsidR="00F04A0E" w:rsidRPr="00006BA6">
        <w:rPr>
          <w:rFonts w:eastAsia="Times New Roman"/>
        </w:rPr>
        <w:t>proper use of withholding</w:t>
      </w:r>
      <w:r w:rsidR="005577F2" w:rsidRPr="00006BA6">
        <w:rPr>
          <w:rFonts w:eastAsia="Times New Roman"/>
        </w:rPr>
        <w:t xml:space="preserve"> </w:t>
      </w:r>
      <w:r w:rsidR="00041C1D">
        <w:rPr>
          <w:rFonts w:eastAsia="Times New Roman"/>
        </w:rPr>
        <w:t xml:space="preserve">systems </w:t>
      </w:r>
      <w:r w:rsidR="005577F2" w:rsidRPr="00006BA6">
        <w:t>and third</w:t>
      </w:r>
      <w:r w:rsidR="00041C1D">
        <w:t>-</w:t>
      </w:r>
      <w:r w:rsidR="005577F2" w:rsidRPr="00006BA6">
        <w:t>party databases</w:t>
      </w:r>
      <w:r w:rsidR="00540196" w:rsidRPr="00006BA6">
        <w:t xml:space="preserve"> </w:t>
      </w:r>
      <w:r w:rsidR="00704C66">
        <w:t xml:space="preserve">would enable the tax administration </w:t>
      </w:r>
      <w:r w:rsidR="00540196" w:rsidRPr="00006BA6">
        <w:t>to better target potential taxpayers</w:t>
      </w:r>
      <w:r w:rsidR="00704C66">
        <w:t>,</w:t>
      </w:r>
      <w:r w:rsidR="00540196" w:rsidRPr="00006BA6">
        <w:t xml:space="preserve"> </w:t>
      </w:r>
      <w:r w:rsidR="00F04A0E" w:rsidRPr="00006BA6">
        <w:rPr>
          <w:rFonts w:eastAsia="Times New Roman"/>
        </w:rPr>
        <w:t xml:space="preserve">and </w:t>
      </w:r>
      <w:r w:rsidR="00540196" w:rsidRPr="00006BA6">
        <w:t>establish</w:t>
      </w:r>
      <w:r w:rsidR="005F31CD">
        <w:t>ing</w:t>
      </w:r>
      <w:r w:rsidR="00F04A0E" w:rsidRPr="00006BA6">
        <w:t xml:space="preserve"> mechanisms to </w:t>
      </w:r>
      <w:r w:rsidR="003B6E5A">
        <w:t>identify</w:t>
      </w:r>
      <w:r w:rsidR="003B6E5A" w:rsidRPr="00006BA6">
        <w:t xml:space="preserve"> </w:t>
      </w:r>
      <w:r w:rsidR="003B6E5A">
        <w:lastRenderedPageBreak/>
        <w:t xml:space="preserve">revenue </w:t>
      </w:r>
      <w:r w:rsidR="00F04A0E" w:rsidRPr="00006BA6">
        <w:t xml:space="preserve">leakages at ports and other </w:t>
      </w:r>
      <w:r w:rsidR="003B6E5A">
        <w:t>tax-</w:t>
      </w:r>
      <w:r w:rsidR="00F04A0E" w:rsidRPr="00006BA6">
        <w:t>collection points</w:t>
      </w:r>
      <w:r w:rsidR="00704C66">
        <w:t xml:space="preserve"> would bolster tax compliance</w:t>
      </w:r>
      <w:r w:rsidR="00F04A0E" w:rsidRPr="00006BA6">
        <w:t xml:space="preserve">. </w:t>
      </w:r>
      <w:r w:rsidR="00091F40">
        <w:rPr>
          <w:rFonts w:eastAsia="Times New Roman"/>
        </w:rPr>
        <w:t>T</w:t>
      </w:r>
      <w:r w:rsidR="003B6E5A">
        <w:rPr>
          <w:rFonts w:eastAsia="Times New Roman"/>
        </w:rPr>
        <w:t>he</w:t>
      </w:r>
      <w:r w:rsidR="005F31CD">
        <w:rPr>
          <w:rFonts w:eastAsia="Times New Roman"/>
        </w:rPr>
        <w:t>s</w:t>
      </w:r>
      <w:r w:rsidR="003B6E5A">
        <w:rPr>
          <w:rFonts w:eastAsia="Times New Roman"/>
        </w:rPr>
        <w:t xml:space="preserve">e measures should be supported by stronger </w:t>
      </w:r>
      <w:r w:rsidR="00540196" w:rsidRPr="00006BA6">
        <w:rPr>
          <w:rFonts w:eastAsia="Times New Roman"/>
        </w:rPr>
        <w:t>ex</w:t>
      </w:r>
      <w:r w:rsidR="005F31CD">
        <w:rPr>
          <w:rFonts w:eastAsia="Times New Roman"/>
        </w:rPr>
        <w:t>-</w:t>
      </w:r>
      <w:r w:rsidR="00540196" w:rsidRPr="00006BA6">
        <w:rPr>
          <w:rFonts w:eastAsia="Times New Roman"/>
        </w:rPr>
        <w:t>post controls</w:t>
      </w:r>
      <w:r w:rsidR="003B6E5A">
        <w:rPr>
          <w:rFonts w:eastAsia="Times New Roman"/>
        </w:rPr>
        <w:t>,</w:t>
      </w:r>
      <w:r w:rsidR="00540196" w:rsidRPr="00006BA6">
        <w:rPr>
          <w:rFonts w:eastAsia="Times New Roman"/>
        </w:rPr>
        <w:t xml:space="preserve"> </w:t>
      </w:r>
      <w:r w:rsidR="003B6E5A">
        <w:rPr>
          <w:rFonts w:eastAsia="Times New Roman"/>
        </w:rPr>
        <w:t>including</w:t>
      </w:r>
      <w:r w:rsidR="00540196" w:rsidRPr="00006BA6">
        <w:rPr>
          <w:rFonts w:eastAsia="Times New Roman"/>
        </w:rPr>
        <w:t xml:space="preserve"> audit, enforcement, and appeals</w:t>
      </w:r>
      <w:r w:rsidR="003B6E5A">
        <w:rPr>
          <w:rFonts w:eastAsia="Times New Roman"/>
        </w:rPr>
        <w:t xml:space="preserve"> mechanisms</w:t>
      </w:r>
      <w:r w:rsidR="00540196" w:rsidRPr="00006BA6">
        <w:rPr>
          <w:rFonts w:eastAsia="Times New Roman"/>
        </w:rPr>
        <w:t xml:space="preserve">. </w:t>
      </w:r>
    </w:p>
    <w:p w14:paraId="4AD95485" w14:textId="77777777" w:rsidR="00441EC2" w:rsidRPr="001A5EBC" w:rsidRDefault="001E7E69">
      <w:pPr>
        <w:pStyle w:val="ListParagraph"/>
        <w:rPr>
          <w:rFonts w:eastAsia="Calibri"/>
        </w:rPr>
      </w:pPr>
      <w:r w:rsidRPr="005604B0">
        <w:rPr>
          <w:rFonts w:eastAsia="Calibri"/>
          <w:b/>
        </w:rPr>
        <w:t xml:space="preserve">There is still considerable scope </w:t>
      </w:r>
      <w:r w:rsidR="003B6E5A" w:rsidRPr="005604B0">
        <w:rPr>
          <w:rFonts w:eastAsia="Calibri"/>
          <w:b/>
        </w:rPr>
        <w:t>to</w:t>
      </w:r>
      <w:r w:rsidRPr="005604B0">
        <w:rPr>
          <w:rFonts w:eastAsia="Calibri"/>
          <w:b/>
        </w:rPr>
        <w:t xml:space="preserve"> streamli</w:t>
      </w:r>
      <w:r w:rsidR="003B6E5A" w:rsidRPr="005604B0">
        <w:rPr>
          <w:rFonts w:eastAsia="Calibri"/>
          <w:b/>
        </w:rPr>
        <w:t>ne</w:t>
      </w:r>
      <w:r w:rsidRPr="005604B0">
        <w:rPr>
          <w:rFonts w:eastAsia="Calibri"/>
          <w:b/>
        </w:rPr>
        <w:t xml:space="preserve"> </w:t>
      </w:r>
      <w:r w:rsidR="001A3099" w:rsidRPr="005604B0">
        <w:rPr>
          <w:rFonts w:eastAsia="Calibri"/>
          <w:b/>
        </w:rPr>
        <w:t xml:space="preserve">tax </w:t>
      </w:r>
      <w:r w:rsidR="000F5E20" w:rsidRPr="005604B0">
        <w:rPr>
          <w:rFonts w:eastAsia="Calibri"/>
          <w:b/>
        </w:rPr>
        <w:t>incentives</w:t>
      </w:r>
      <w:r w:rsidRPr="005604B0">
        <w:rPr>
          <w:rFonts w:eastAsia="Calibri"/>
          <w:b/>
        </w:rPr>
        <w:t xml:space="preserve">. </w:t>
      </w:r>
      <w:r w:rsidR="000A4086" w:rsidRPr="005604B0">
        <w:rPr>
          <w:rFonts w:eastAsia="Times New Roman"/>
        </w:rPr>
        <w:t xml:space="preserve">Ghana’s </w:t>
      </w:r>
      <w:r w:rsidR="000F5E20" w:rsidRPr="005604B0">
        <w:rPr>
          <w:rFonts w:eastAsia="Times New Roman"/>
        </w:rPr>
        <w:t>tax</w:t>
      </w:r>
      <w:r w:rsidR="001A5EBC">
        <w:rPr>
          <w:rFonts w:eastAsia="Times New Roman"/>
        </w:rPr>
        <w:t>-expenditure</w:t>
      </w:r>
      <w:r w:rsidR="000A4086" w:rsidRPr="005604B0">
        <w:rPr>
          <w:rFonts w:eastAsia="Times New Roman"/>
        </w:rPr>
        <w:t xml:space="preserve"> regime, which includes a wide range of tax exemptions and various forms of preferential tax treatment, </w:t>
      </w:r>
      <w:r w:rsidR="001A5EBC">
        <w:rPr>
          <w:rFonts w:eastAsia="Times New Roman"/>
        </w:rPr>
        <w:t>cost the government an</w:t>
      </w:r>
      <w:r w:rsidR="001A5EBC" w:rsidRPr="005604B0">
        <w:rPr>
          <w:rFonts w:eastAsia="Times New Roman"/>
        </w:rPr>
        <w:t xml:space="preserve"> </w:t>
      </w:r>
      <w:r w:rsidR="005F31CD" w:rsidRPr="005604B0">
        <w:rPr>
          <w:rFonts w:eastAsia="Times New Roman"/>
        </w:rPr>
        <w:t xml:space="preserve">estimated </w:t>
      </w:r>
      <w:r w:rsidR="005F31CD" w:rsidRPr="005604B0">
        <w:rPr>
          <w:rFonts w:eastAsia="Calibri"/>
        </w:rPr>
        <w:t>5.2 percent of GDP</w:t>
      </w:r>
      <w:r w:rsidR="005F31CD" w:rsidRPr="005604B0">
        <w:rPr>
          <w:rFonts w:eastAsia="Times New Roman"/>
        </w:rPr>
        <w:t xml:space="preserve"> </w:t>
      </w:r>
      <w:r w:rsidR="001A5EBC">
        <w:rPr>
          <w:rFonts w:eastAsia="Times New Roman"/>
        </w:rPr>
        <w:t xml:space="preserve">in foregone revenue </w:t>
      </w:r>
      <w:r w:rsidR="005F31CD" w:rsidRPr="005604B0">
        <w:rPr>
          <w:rFonts w:eastAsia="Times New Roman"/>
        </w:rPr>
        <w:t>in 2013</w:t>
      </w:r>
      <w:r w:rsidR="001A5EBC">
        <w:rPr>
          <w:rFonts w:eastAsia="Times New Roman"/>
        </w:rPr>
        <w:t xml:space="preserve"> alone</w:t>
      </w:r>
      <w:r w:rsidR="005F31CD" w:rsidRPr="005604B0">
        <w:rPr>
          <w:rFonts w:eastAsia="Calibri"/>
        </w:rPr>
        <w:t xml:space="preserve">. </w:t>
      </w:r>
      <w:r w:rsidR="005F31CD" w:rsidRPr="005604B0">
        <w:rPr>
          <w:rFonts w:eastAsia="Times New Roman"/>
        </w:rPr>
        <w:t>While many countries use t</w:t>
      </w:r>
      <w:r w:rsidRPr="005604B0">
        <w:rPr>
          <w:rFonts w:eastAsia="Times New Roman"/>
        </w:rPr>
        <w:t xml:space="preserve">ax </w:t>
      </w:r>
      <w:r w:rsidR="001A5EBC">
        <w:rPr>
          <w:rFonts w:eastAsia="Times New Roman"/>
        </w:rPr>
        <w:t>expenditures</w:t>
      </w:r>
      <w:r w:rsidR="001A5EBC" w:rsidRPr="005604B0">
        <w:rPr>
          <w:rFonts w:eastAsia="Times New Roman"/>
        </w:rPr>
        <w:t xml:space="preserve"> </w:t>
      </w:r>
      <w:r w:rsidR="003B6E5A" w:rsidRPr="005604B0">
        <w:rPr>
          <w:rFonts w:eastAsia="Times New Roman"/>
        </w:rPr>
        <w:t xml:space="preserve">to support the growth of specific sectors or </w:t>
      </w:r>
      <w:r w:rsidR="001A5EBC">
        <w:rPr>
          <w:rFonts w:eastAsia="Times New Roman"/>
        </w:rPr>
        <w:t>advance</w:t>
      </w:r>
      <w:r w:rsidR="003B6E5A" w:rsidRPr="005604B0">
        <w:rPr>
          <w:rFonts w:eastAsia="Times New Roman"/>
        </w:rPr>
        <w:t xml:space="preserve"> fiscal</w:t>
      </w:r>
      <w:r w:rsidR="000A4086" w:rsidRPr="005604B0">
        <w:rPr>
          <w:rFonts w:eastAsia="Times New Roman"/>
        </w:rPr>
        <w:t>-</w:t>
      </w:r>
      <w:r w:rsidR="003B6E5A" w:rsidRPr="005604B0">
        <w:rPr>
          <w:rFonts w:eastAsia="Times New Roman"/>
        </w:rPr>
        <w:t>equity objectives</w:t>
      </w:r>
      <w:r w:rsidR="005F31CD" w:rsidRPr="005604B0">
        <w:rPr>
          <w:rFonts w:eastAsia="Times New Roman"/>
        </w:rPr>
        <w:t xml:space="preserve">, these policies </w:t>
      </w:r>
      <w:r w:rsidR="003B6E5A" w:rsidRPr="005604B0">
        <w:rPr>
          <w:rFonts w:eastAsia="Times New Roman"/>
        </w:rPr>
        <w:t xml:space="preserve">complicate </w:t>
      </w:r>
      <w:r w:rsidRPr="005604B0">
        <w:rPr>
          <w:rFonts w:eastAsia="Times New Roman"/>
        </w:rPr>
        <w:t xml:space="preserve">revenue </w:t>
      </w:r>
      <w:r w:rsidR="003B6E5A" w:rsidRPr="005604B0">
        <w:rPr>
          <w:rFonts w:eastAsia="Times New Roman"/>
        </w:rPr>
        <w:t xml:space="preserve">collection </w:t>
      </w:r>
      <w:r w:rsidRPr="005604B0">
        <w:rPr>
          <w:rFonts w:eastAsia="Times New Roman"/>
        </w:rPr>
        <w:t xml:space="preserve">and </w:t>
      </w:r>
      <w:r w:rsidR="005F31CD" w:rsidRPr="005604B0">
        <w:rPr>
          <w:rFonts w:eastAsia="Times New Roman"/>
        </w:rPr>
        <w:t xml:space="preserve">may </w:t>
      </w:r>
      <w:r w:rsidR="003B6E5A" w:rsidRPr="005604B0">
        <w:rPr>
          <w:rFonts w:eastAsia="Times New Roman"/>
        </w:rPr>
        <w:t>give rise to perverse incentives</w:t>
      </w:r>
      <w:r w:rsidR="0075739E" w:rsidRPr="005604B0">
        <w:rPr>
          <w:rFonts w:eastAsia="Times New Roman"/>
        </w:rPr>
        <w:t xml:space="preserve">. </w:t>
      </w:r>
      <w:r w:rsidR="000A4086" w:rsidRPr="005604B0">
        <w:rPr>
          <w:rFonts w:eastAsia="Calibri"/>
        </w:rPr>
        <w:t>Chapter 2</w:t>
      </w:r>
      <w:r w:rsidR="000A4086" w:rsidRPr="005604B0">
        <w:rPr>
          <w:rFonts w:eastAsia="Times New Roman"/>
        </w:rPr>
        <w:t xml:space="preserve"> </w:t>
      </w:r>
      <w:r w:rsidR="001A5EBC">
        <w:rPr>
          <w:rFonts w:eastAsia="Times New Roman"/>
        </w:rPr>
        <w:t>provides a detailed look at</w:t>
      </w:r>
      <w:r w:rsidR="001A5EBC" w:rsidRPr="005604B0">
        <w:rPr>
          <w:rFonts w:eastAsia="Times New Roman"/>
        </w:rPr>
        <w:t xml:space="preserve"> </w:t>
      </w:r>
      <w:r w:rsidR="000A4086" w:rsidRPr="005604B0">
        <w:rPr>
          <w:rFonts w:eastAsia="Times New Roman"/>
        </w:rPr>
        <w:t>t</w:t>
      </w:r>
      <w:r w:rsidR="005F31CD" w:rsidRPr="005604B0">
        <w:rPr>
          <w:rFonts w:eastAsia="Times New Roman"/>
        </w:rPr>
        <w:t xml:space="preserve">he </w:t>
      </w:r>
      <w:r w:rsidR="000A4086" w:rsidRPr="005604B0">
        <w:rPr>
          <w:rFonts w:eastAsia="Times New Roman"/>
        </w:rPr>
        <w:t>complex</w:t>
      </w:r>
      <w:r w:rsidR="005F31CD" w:rsidRPr="005604B0">
        <w:rPr>
          <w:rFonts w:eastAsia="Times New Roman"/>
        </w:rPr>
        <w:t xml:space="preserve"> </w:t>
      </w:r>
      <w:r w:rsidR="001A5EBC">
        <w:rPr>
          <w:rFonts w:eastAsia="Times New Roman"/>
        </w:rPr>
        <w:t xml:space="preserve">fiscal and economic </w:t>
      </w:r>
      <w:r w:rsidR="005F31CD" w:rsidRPr="005604B0">
        <w:rPr>
          <w:rFonts w:eastAsia="Times New Roman"/>
        </w:rPr>
        <w:t xml:space="preserve">implications of </w:t>
      </w:r>
      <w:r w:rsidR="001A5EBC">
        <w:rPr>
          <w:rFonts w:eastAsia="Times New Roman"/>
        </w:rPr>
        <w:t xml:space="preserve">tax expenditures in </w:t>
      </w:r>
      <w:r w:rsidR="005F31CD" w:rsidRPr="005604B0">
        <w:rPr>
          <w:rFonts w:eastAsia="Times New Roman"/>
        </w:rPr>
        <w:t>Ghana</w:t>
      </w:r>
      <w:r w:rsidR="005F31CD" w:rsidRPr="001A5EBC">
        <w:rPr>
          <w:rFonts w:eastAsia="Calibri"/>
        </w:rPr>
        <w:t>.</w:t>
      </w:r>
    </w:p>
    <w:p w14:paraId="0E8C585F" w14:textId="77777777" w:rsidR="00441EC2" w:rsidRDefault="001A5EBC" w:rsidP="00441EC2">
      <w:pPr>
        <w:pStyle w:val="ListParagraph"/>
        <w:rPr>
          <w:rFonts w:eastAsia="Times New Roman"/>
        </w:rPr>
      </w:pPr>
      <w:r>
        <w:rPr>
          <w:rFonts w:eastAsia="Times New Roman"/>
          <w:b/>
        </w:rPr>
        <w:t>The government is</w:t>
      </w:r>
      <w:r w:rsidRPr="00441EC2">
        <w:rPr>
          <w:rFonts w:eastAsia="Times New Roman"/>
          <w:b/>
        </w:rPr>
        <w:t xml:space="preserve"> </w:t>
      </w:r>
      <w:r>
        <w:rPr>
          <w:rFonts w:eastAsia="Times New Roman"/>
          <w:b/>
        </w:rPr>
        <w:t xml:space="preserve">striving </w:t>
      </w:r>
      <w:r w:rsidRPr="00441EC2">
        <w:rPr>
          <w:rFonts w:eastAsia="Times New Roman"/>
          <w:b/>
        </w:rPr>
        <w:t>to align domestic tax rules with international best practices</w:t>
      </w:r>
      <w:r>
        <w:rPr>
          <w:rFonts w:eastAsia="Times New Roman"/>
          <w:b/>
        </w:rPr>
        <w:t>, and</w:t>
      </w:r>
      <w:r w:rsidR="00441EC2" w:rsidRPr="00441EC2">
        <w:rPr>
          <w:rFonts w:eastAsia="Calibri"/>
          <w:b/>
        </w:rPr>
        <w:t xml:space="preserve"> </w:t>
      </w:r>
      <w:r>
        <w:rPr>
          <w:rFonts w:eastAsia="Calibri"/>
          <w:b/>
        </w:rPr>
        <w:t xml:space="preserve">an important </w:t>
      </w:r>
      <w:r w:rsidR="00441EC2" w:rsidRPr="00441EC2">
        <w:rPr>
          <w:rFonts w:eastAsia="Calibri"/>
          <w:b/>
        </w:rPr>
        <w:t>set of income</w:t>
      </w:r>
      <w:r>
        <w:rPr>
          <w:rFonts w:eastAsia="Calibri"/>
          <w:b/>
        </w:rPr>
        <w:t xml:space="preserve"> </w:t>
      </w:r>
      <w:r w:rsidR="00441EC2" w:rsidRPr="00441EC2">
        <w:rPr>
          <w:rFonts w:eastAsia="Calibri"/>
          <w:b/>
        </w:rPr>
        <w:t>tax reforms took</w:t>
      </w:r>
      <w:r w:rsidR="00441EC2" w:rsidRPr="00441EC2">
        <w:rPr>
          <w:rFonts w:eastAsia="Times New Roman"/>
          <w:b/>
        </w:rPr>
        <w:t xml:space="preserve"> effect in 2016.</w:t>
      </w:r>
      <w:r w:rsidR="00441EC2">
        <w:rPr>
          <w:rFonts w:eastAsia="Times New Roman"/>
        </w:rPr>
        <w:t xml:space="preserve"> The reforms</w:t>
      </w:r>
      <w:r w:rsidR="00441EC2" w:rsidRPr="00BF3CC3">
        <w:rPr>
          <w:rFonts w:eastAsia="Times New Roman"/>
        </w:rPr>
        <w:t xml:space="preserve"> expand</w:t>
      </w:r>
      <w:r w:rsidR="00441EC2">
        <w:rPr>
          <w:rFonts w:eastAsia="Times New Roman"/>
        </w:rPr>
        <w:t>ed</w:t>
      </w:r>
      <w:r w:rsidR="00441EC2" w:rsidRPr="00BF3CC3">
        <w:rPr>
          <w:rFonts w:eastAsia="Times New Roman"/>
        </w:rPr>
        <w:t xml:space="preserve"> the definition of taxable income to </w:t>
      </w:r>
      <w:r w:rsidR="00441EC2">
        <w:rPr>
          <w:rFonts w:eastAsia="Times New Roman"/>
        </w:rPr>
        <w:t>include all returns on foreign investments,</w:t>
      </w:r>
      <w:r w:rsidR="00441EC2" w:rsidRPr="00BF3CC3">
        <w:rPr>
          <w:rFonts w:eastAsia="Times New Roman"/>
        </w:rPr>
        <w:t xml:space="preserve"> whether or not they are repatriated to Ghana</w:t>
      </w:r>
      <w:r w:rsidR="00441EC2">
        <w:rPr>
          <w:rFonts w:eastAsia="Times New Roman"/>
        </w:rPr>
        <w:t xml:space="preserve">. </w:t>
      </w:r>
      <w:r w:rsidR="00441EC2">
        <w:t xml:space="preserve">The new Income Tax Act introduced several measures to simplify the existing tax regime, </w:t>
      </w:r>
      <w:r w:rsidR="0090679F">
        <w:t xml:space="preserve">expand </w:t>
      </w:r>
      <w:r w:rsidR="00441EC2">
        <w:t xml:space="preserve">tax </w:t>
      </w:r>
      <w:r w:rsidR="0090679F">
        <w:t>collection</w:t>
      </w:r>
      <w:r w:rsidR="007633A0">
        <w:t>,</w:t>
      </w:r>
      <w:r w:rsidR="0022377C">
        <w:t xml:space="preserve"> </w:t>
      </w:r>
      <w:r w:rsidR="00441EC2">
        <w:t xml:space="preserve">and reduce the cost of tax compliance. </w:t>
      </w:r>
      <w:r w:rsidR="00441EC2" w:rsidRPr="00F46805">
        <w:rPr>
          <w:rFonts w:eastAsia="Times New Roman"/>
        </w:rPr>
        <w:t xml:space="preserve">It abolished the capital gains tax, </w:t>
      </w:r>
      <w:r w:rsidR="0090679F">
        <w:rPr>
          <w:rFonts w:eastAsia="Times New Roman"/>
        </w:rPr>
        <w:t>and revenue from the sale of</w:t>
      </w:r>
      <w:r w:rsidR="00441EC2" w:rsidRPr="00F46805">
        <w:rPr>
          <w:rFonts w:eastAsia="Times New Roman"/>
        </w:rPr>
        <w:t xml:space="preserve"> assets</w:t>
      </w:r>
      <w:r w:rsidR="00441EC2">
        <w:rPr>
          <w:rFonts w:eastAsia="Times New Roman"/>
        </w:rPr>
        <w:t xml:space="preserve"> </w:t>
      </w:r>
      <w:r w:rsidR="00441EC2" w:rsidRPr="00F46805">
        <w:rPr>
          <w:rFonts w:eastAsia="Times New Roman"/>
        </w:rPr>
        <w:t xml:space="preserve">will </w:t>
      </w:r>
      <w:r w:rsidR="00E47E66">
        <w:rPr>
          <w:rFonts w:eastAsia="Times New Roman"/>
        </w:rPr>
        <w:t>now be classified as</w:t>
      </w:r>
      <w:r w:rsidR="00441EC2" w:rsidRPr="00F46805">
        <w:rPr>
          <w:rFonts w:eastAsia="Times New Roman"/>
        </w:rPr>
        <w:t xml:space="preserve"> business or investment income and taxed at the applicable rate. </w:t>
      </w:r>
      <w:r w:rsidR="00E47E66">
        <w:rPr>
          <w:rFonts w:eastAsia="Times New Roman"/>
        </w:rPr>
        <w:t>Th</w:t>
      </w:r>
      <w:r w:rsidR="00441EC2" w:rsidRPr="00F46805">
        <w:rPr>
          <w:rFonts w:eastAsia="Times New Roman"/>
        </w:rPr>
        <w:t xml:space="preserve">e </w:t>
      </w:r>
      <w:r w:rsidR="00E47E66">
        <w:rPr>
          <w:rFonts w:eastAsia="Times New Roman"/>
        </w:rPr>
        <w:t>legislation</w:t>
      </w:r>
      <w:r w:rsidR="00E47E66" w:rsidRPr="00F46805">
        <w:rPr>
          <w:rFonts w:eastAsia="Times New Roman"/>
        </w:rPr>
        <w:t xml:space="preserve"> </w:t>
      </w:r>
      <w:r w:rsidR="00441EC2" w:rsidRPr="00F46805">
        <w:rPr>
          <w:rFonts w:eastAsia="Times New Roman"/>
        </w:rPr>
        <w:t>also introduced a new tax regime</w:t>
      </w:r>
      <w:r w:rsidR="00441EC2">
        <w:rPr>
          <w:rFonts w:eastAsia="Times New Roman"/>
        </w:rPr>
        <w:t xml:space="preserve"> </w:t>
      </w:r>
      <w:r w:rsidR="00441EC2" w:rsidRPr="00F46805">
        <w:rPr>
          <w:rFonts w:eastAsia="Times New Roman"/>
        </w:rPr>
        <w:t xml:space="preserve">for small taxpayers. </w:t>
      </w:r>
      <w:r w:rsidR="00E47E66">
        <w:rPr>
          <w:rFonts w:eastAsia="Times New Roman"/>
        </w:rPr>
        <w:t>T</w:t>
      </w:r>
      <w:r w:rsidR="00441EC2" w:rsidRPr="00F46805">
        <w:rPr>
          <w:rFonts w:eastAsia="Times New Roman"/>
        </w:rPr>
        <w:t xml:space="preserve">he threshold for </w:t>
      </w:r>
      <w:r w:rsidR="00D762EA">
        <w:rPr>
          <w:rFonts w:eastAsia="Times New Roman"/>
        </w:rPr>
        <w:t>VAT</w:t>
      </w:r>
      <w:r w:rsidR="002844FD" w:rsidRPr="00F46805">
        <w:rPr>
          <w:rFonts w:eastAsia="Times New Roman"/>
        </w:rPr>
        <w:t xml:space="preserve"> </w:t>
      </w:r>
      <w:r w:rsidR="00441EC2" w:rsidRPr="00F46805">
        <w:rPr>
          <w:rFonts w:eastAsia="Times New Roman"/>
        </w:rPr>
        <w:t xml:space="preserve">registration was increased to </w:t>
      </w:r>
      <w:r w:rsidR="009B35C5">
        <w:t>G</w:t>
      </w:r>
      <w:r>
        <w:t>H</w:t>
      </w:r>
      <w:r w:rsidR="009B35C5">
        <w:rPr>
          <w:rFonts w:cstheme="majorHAnsi"/>
        </w:rPr>
        <w:t>¢</w:t>
      </w:r>
      <w:r w:rsidR="009B35C5">
        <w:t xml:space="preserve"> </w:t>
      </w:r>
      <w:r w:rsidR="00441EC2" w:rsidRPr="00F46805">
        <w:rPr>
          <w:rFonts w:eastAsia="Times New Roman"/>
        </w:rPr>
        <w:t xml:space="preserve">200,000, </w:t>
      </w:r>
      <w:r w:rsidR="00E47E66">
        <w:rPr>
          <w:rFonts w:eastAsia="Times New Roman"/>
        </w:rPr>
        <w:t xml:space="preserve">and a </w:t>
      </w:r>
      <w:r w:rsidR="00441EC2" w:rsidRPr="00F46805">
        <w:rPr>
          <w:rFonts w:eastAsia="Times New Roman"/>
        </w:rPr>
        <w:t>modified tax</w:t>
      </w:r>
      <w:r w:rsidR="00E47E66">
        <w:rPr>
          <w:rFonts w:eastAsia="Times New Roman"/>
        </w:rPr>
        <w:t xml:space="preserve"> regime was established</w:t>
      </w:r>
      <w:r w:rsidR="00441EC2" w:rsidRPr="00F46805">
        <w:rPr>
          <w:rFonts w:eastAsia="Times New Roman"/>
        </w:rPr>
        <w:t xml:space="preserve"> for taxpayers below this threshold</w:t>
      </w:r>
      <w:r w:rsidR="00E47E66">
        <w:rPr>
          <w:rFonts w:eastAsia="Times New Roman"/>
        </w:rPr>
        <w:t xml:space="preserve">, who </w:t>
      </w:r>
      <w:r w:rsidR="00441EC2" w:rsidRPr="00F46805">
        <w:rPr>
          <w:rFonts w:eastAsia="Times New Roman"/>
        </w:rPr>
        <w:t xml:space="preserve">will </w:t>
      </w:r>
      <w:r w:rsidR="00E47E66">
        <w:rPr>
          <w:rFonts w:eastAsia="Times New Roman"/>
        </w:rPr>
        <w:t xml:space="preserve">now </w:t>
      </w:r>
      <w:r w:rsidR="00441EC2" w:rsidRPr="00F46805">
        <w:rPr>
          <w:rFonts w:eastAsia="Times New Roman"/>
        </w:rPr>
        <w:t xml:space="preserve">be subject to a 6 percent </w:t>
      </w:r>
      <w:r w:rsidR="0022377C">
        <w:rPr>
          <w:rFonts w:eastAsia="Times New Roman"/>
        </w:rPr>
        <w:t>turnover-</w:t>
      </w:r>
      <w:r w:rsidR="00441EC2" w:rsidRPr="00F46805">
        <w:rPr>
          <w:rFonts w:eastAsia="Times New Roman"/>
        </w:rPr>
        <w:t>tax</w:t>
      </w:r>
      <w:r w:rsidR="0022377C">
        <w:rPr>
          <w:rFonts w:eastAsia="Times New Roman"/>
        </w:rPr>
        <w:t>.</w:t>
      </w:r>
      <w:r w:rsidR="00441EC2" w:rsidRPr="00BF3CC3">
        <w:rPr>
          <w:rFonts w:eastAsia="Times New Roman"/>
        </w:rPr>
        <w:t xml:space="preserve"> </w:t>
      </w:r>
    </w:p>
    <w:p w14:paraId="3926F720" w14:textId="77777777" w:rsidR="00CD772E" w:rsidRPr="0007125E" w:rsidRDefault="00120A86" w:rsidP="0007125E">
      <w:pPr>
        <w:pStyle w:val="ListParagraph"/>
        <w:rPr>
          <w:rFonts w:eastAsia="Times New Roman"/>
        </w:rPr>
      </w:pPr>
      <w:r w:rsidRPr="001512C8">
        <w:rPr>
          <w:rFonts w:eastAsia="Times New Roman"/>
          <w:b/>
        </w:rPr>
        <w:t xml:space="preserve">The government is currently </w:t>
      </w:r>
      <w:r w:rsidR="00996D14" w:rsidRPr="001512C8">
        <w:rPr>
          <w:rFonts w:eastAsia="Times New Roman"/>
          <w:b/>
        </w:rPr>
        <w:t>develop</w:t>
      </w:r>
      <w:r w:rsidRPr="001512C8">
        <w:rPr>
          <w:rFonts w:eastAsia="Times New Roman"/>
          <w:b/>
        </w:rPr>
        <w:t>ing</w:t>
      </w:r>
      <w:r w:rsidR="0020668D" w:rsidRPr="001512C8">
        <w:rPr>
          <w:rFonts w:eastAsia="Times New Roman"/>
          <w:b/>
        </w:rPr>
        <w:t xml:space="preserve"> </w:t>
      </w:r>
      <w:r w:rsidR="00996D14" w:rsidRPr="001512C8">
        <w:rPr>
          <w:rFonts w:eastAsia="Times New Roman"/>
          <w:b/>
        </w:rPr>
        <w:t>a</w:t>
      </w:r>
      <w:r w:rsidR="0020668D" w:rsidRPr="001512C8">
        <w:rPr>
          <w:rFonts w:eastAsia="Times New Roman"/>
          <w:b/>
        </w:rPr>
        <w:t xml:space="preserve"> business</w:t>
      </w:r>
      <w:r w:rsidR="00E47E66">
        <w:rPr>
          <w:rFonts w:eastAsia="Times New Roman"/>
          <w:b/>
        </w:rPr>
        <w:t>-</w:t>
      </w:r>
      <w:r w:rsidR="0020668D" w:rsidRPr="001512C8">
        <w:rPr>
          <w:rFonts w:eastAsia="Times New Roman"/>
          <w:b/>
        </w:rPr>
        <w:t xml:space="preserve">intelligence system to </w:t>
      </w:r>
      <w:r w:rsidR="00704C66">
        <w:rPr>
          <w:rFonts w:eastAsia="Times New Roman"/>
          <w:b/>
        </w:rPr>
        <w:t>strengthen</w:t>
      </w:r>
      <w:r w:rsidR="00704C66" w:rsidRPr="001512C8">
        <w:rPr>
          <w:rFonts w:eastAsia="Times New Roman"/>
          <w:b/>
        </w:rPr>
        <w:t xml:space="preserve"> </w:t>
      </w:r>
      <w:r w:rsidR="00804E52" w:rsidRPr="001512C8">
        <w:rPr>
          <w:rFonts w:eastAsia="Times New Roman"/>
          <w:b/>
        </w:rPr>
        <w:t xml:space="preserve">tax compliance and </w:t>
      </w:r>
      <w:r w:rsidRPr="001512C8">
        <w:rPr>
          <w:rFonts w:eastAsia="Times New Roman"/>
          <w:b/>
        </w:rPr>
        <w:t xml:space="preserve">broaden the </w:t>
      </w:r>
      <w:r w:rsidR="00804E52" w:rsidRPr="001512C8">
        <w:rPr>
          <w:rFonts w:eastAsia="Times New Roman"/>
          <w:b/>
        </w:rPr>
        <w:t>tax base.</w:t>
      </w:r>
      <w:r w:rsidR="00804E52">
        <w:rPr>
          <w:rFonts w:eastAsia="Times New Roman"/>
        </w:rPr>
        <w:t xml:space="preserve"> </w:t>
      </w:r>
      <w:r w:rsidR="00804E52" w:rsidRPr="00804E52">
        <w:rPr>
          <w:rFonts w:eastAsia="Times New Roman"/>
        </w:rPr>
        <w:t xml:space="preserve">The new </w:t>
      </w:r>
      <w:r w:rsidR="0022224B">
        <w:rPr>
          <w:rFonts w:eastAsia="Times New Roman"/>
        </w:rPr>
        <w:t>system</w:t>
      </w:r>
      <w:r w:rsidR="00804E52">
        <w:rPr>
          <w:rFonts w:eastAsia="Times New Roman"/>
        </w:rPr>
        <w:t>,</w:t>
      </w:r>
      <w:r w:rsidR="00804E52" w:rsidRPr="00804E52">
        <w:rPr>
          <w:rFonts w:eastAsia="Times New Roman"/>
        </w:rPr>
        <w:t xml:space="preserve"> which will be implemented </w:t>
      </w:r>
      <w:r w:rsidR="0022224B">
        <w:rPr>
          <w:rFonts w:eastAsia="Times New Roman"/>
        </w:rPr>
        <w:t>with</w:t>
      </w:r>
      <w:r w:rsidR="00804E52" w:rsidRPr="00804E52">
        <w:rPr>
          <w:rFonts w:eastAsia="Times New Roman"/>
        </w:rPr>
        <w:t xml:space="preserve"> support </w:t>
      </w:r>
      <w:r w:rsidR="0022224B">
        <w:rPr>
          <w:rFonts w:eastAsia="Times New Roman"/>
        </w:rPr>
        <w:t>from</w:t>
      </w:r>
      <w:r w:rsidR="0022224B" w:rsidRPr="00804E52">
        <w:rPr>
          <w:rFonts w:eastAsia="Times New Roman"/>
        </w:rPr>
        <w:t xml:space="preserve"> </w:t>
      </w:r>
      <w:r w:rsidR="00804E52" w:rsidRPr="00804E52">
        <w:rPr>
          <w:rFonts w:eastAsia="Times New Roman"/>
        </w:rPr>
        <w:t>the World Bank</w:t>
      </w:r>
      <w:r w:rsidR="00804E52">
        <w:rPr>
          <w:rFonts w:eastAsia="Times New Roman"/>
        </w:rPr>
        <w:t>,</w:t>
      </w:r>
      <w:r w:rsidR="00804E52" w:rsidRPr="00804E52">
        <w:rPr>
          <w:rFonts w:eastAsia="Times New Roman"/>
        </w:rPr>
        <w:t xml:space="preserve"> </w:t>
      </w:r>
      <w:r w:rsidR="003C3B2D" w:rsidRPr="00804E52">
        <w:rPr>
          <w:rFonts w:eastAsia="Times New Roman"/>
        </w:rPr>
        <w:t xml:space="preserve">will </w:t>
      </w:r>
      <w:r w:rsidR="00804E52">
        <w:rPr>
          <w:rFonts w:eastAsia="Times New Roman"/>
        </w:rPr>
        <w:t>enable</w:t>
      </w:r>
      <w:r w:rsidR="0022224B">
        <w:rPr>
          <w:rFonts w:eastAsia="Times New Roman"/>
        </w:rPr>
        <w:t xml:space="preserve"> the</w:t>
      </w:r>
      <w:r w:rsidR="00804E52">
        <w:rPr>
          <w:rFonts w:eastAsia="Times New Roman"/>
        </w:rPr>
        <w:t xml:space="preserve"> tax authorities to </w:t>
      </w:r>
      <w:r w:rsidR="00704C66">
        <w:rPr>
          <w:rFonts w:eastAsia="Times New Roman"/>
        </w:rPr>
        <w:t>compile detailed analytical reports</w:t>
      </w:r>
      <w:r w:rsidR="00704C66" w:rsidRPr="00804E52">
        <w:rPr>
          <w:rFonts w:eastAsia="Times New Roman"/>
        </w:rPr>
        <w:t xml:space="preserve"> </w:t>
      </w:r>
      <w:r w:rsidR="00704C66">
        <w:rPr>
          <w:rFonts w:eastAsia="Times New Roman"/>
        </w:rPr>
        <w:t xml:space="preserve">based on </w:t>
      </w:r>
      <w:r w:rsidR="003C3B2D" w:rsidRPr="00804E52">
        <w:rPr>
          <w:rFonts w:eastAsia="Times New Roman"/>
        </w:rPr>
        <w:t xml:space="preserve">multiple </w:t>
      </w:r>
      <w:r w:rsidR="00704C66" w:rsidRPr="00804E52">
        <w:rPr>
          <w:rFonts w:eastAsia="Times New Roman"/>
        </w:rPr>
        <w:t xml:space="preserve">data </w:t>
      </w:r>
      <w:r w:rsidR="003C3B2D" w:rsidRPr="00804E52">
        <w:rPr>
          <w:rFonts w:eastAsia="Times New Roman"/>
        </w:rPr>
        <w:t>source</w:t>
      </w:r>
      <w:r w:rsidR="0022224B">
        <w:rPr>
          <w:rFonts w:eastAsia="Times New Roman"/>
        </w:rPr>
        <w:t>s</w:t>
      </w:r>
      <w:r w:rsidR="009A3A0D">
        <w:rPr>
          <w:rFonts w:eastAsia="Times New Roman"/>
        </w:rPr>
        <w:t>.</w:t>
      </w:r>
      <w:r w:rsidR="00996D14">
        <w:rPr>
          <w:rStyle w:val="FootnoteReference"/>
          <w:rFonts w:eastAsia="Times New Roman" w:cs="Times New Roman"/>
          <w:color w:val="000000"/>
        </w:rPr>
        <w:footnoteReference w:id="26"/>
      </w:r>
      <w:r w:rsidR="00996D14">
        <w:rPr>
          <w:rFonts w:eastAsia="Times New Roman"/>
        </w:rPr>
        <w:t xml:space="preserve"> Th</w:t>
      </w:r>
      <w:r w:rsidR="0022224B">
        <w:rPr>
          <w:rFonts w:eastAsia="Times New Roman"/>
        </w:rPr>
        <w:t>is</w:t>
      </w:r>
      <w:r w:rsidR="00996D14">
        <w:rPr>
          <w:rFonts w:eastAsia="Times New Roman"/>
        </w:rPr>
        <w:t xml:space="preserve"> information will </w:t>
      </w:r>
      <w:r w:rsidR="0022224B">
        <w:rPr>
          <w:rFonts w:eastAsia="Times New Roman"/>
        </w:rPr>
        <w:t>strengthen</w:t>
      </w:r>
      <w:r w:rsidR="0022224B" w:rsidRPr="0020668D">
        <w:rPr>
          <w:rFonts w:eastAsia="Times New Roman"/>
        </w:rPr>
        <w:t xml:space="preserve"> </w:t>
      </w:r>
      <w:r w:rsidR="0022224B">
        <w:rPr>
          <w:rFonts w:eastAsia="Times New Roman"/>
        </w:rPr>
        <w:t>key</w:t>
      </w:r>
      <w:r w:rsidR="00804E52" w:rsidRPr="0020668D">
        <w:rPr>
          <w:rFonts w:eastAsia="Times New Roman"/>
        </w:rPr>
        <w:t xml:space="preserve"> tax</w:t>
      </w:r>
      <w:r w:rsidR="0022224B">
        <w:rPr>
          <w:rFonts w:eastAsia="Times New Roman"/>
        </w:rPr>
        <w:t>-</w:t>
      </w:r>
      <w:r w:rsidR="00804E52" w:rsidRPr="0020668D">
        <w:rPr>
          <w:rFonts w:eastAsia="Times New Roman"/>
        </w:rPr>
        <w:t xml:space="preserve">administration processes, </w:t>
      </w:r>
      <w:r w:rsidR="0022224B">
        <w:rPr>
          <w:rFonts w:eastAsia="Times New Roman"/>
        </w:rPr>
        <w:t>especially auditing and enforcement</w:t>
      </w:r>
      <w:r w:rsidR="00B14A27">
        <w:rPr>
          <w:rFonts w:eastAsia="Times New Roman"/>
        </w:rPr>
        <w:t xml:space="preserve">, </w:t>
      </w:r>
      <w:r w:rsidR="00704C66" w:rsidRPr="0020668D">
        <w:rPr>
          <w:rFonts w:eastAsia="Times New Roman"/>
        </w:rPr>
        <w:t>improve risk</w:t>
      </w:r>
      <w:r w:rsidR="00704C66">
        <w:rPr>
          <w:rFonts w:eastAsia="Times New Roman"/>
        </w:rPr>
        <w:t>-management mechanisms</w:t>
      </w:r>
      <w:r w:rsidR="007633A0">
        <w:rPr>
          <w:rFonts w:eastAsia="Times New Roman"/>
        </w:rPr>
        <w:t>,</w:t>
      </w:r>
      <w:r w:rsidR="00704C66" w:rsidRPr="0020668D">
        <w:rPr>
          <w:rFonts w:eastAsia="Times New Roman"/>
        </w:rPr>
        <w:t xml:space="preserve"> and</w:t>
      </w:r>
      <w:r w:rsidR="00704C66">
        <w:rPr>
          <w:rFonts w:eastAsia="Times New Roman"/>
        </w:rPr>
        <w:t xml:space="preserve"> establish a foundation for more effective</w:t>
      </w:r>
      <w:r w:rsidR="00704C66" w:rsidRPr="0020668D">
        <w:rPr>
          <w:rFonts w:eastAsia="Times New Roman"/>
        </w:rPr>
        <w:t xml:space="preserve"> tax policies</w:t>
      </w:r>
      <w:r w:rsidR="00B14A27">
        <w:rPr>
          <w:rFonts w:eastAsia="Times New Roman"/>
        </w:rPr>
        <w:t xml:space="preserve">. It will also </w:t>
      </w:r>
      <w:r w:rsidR="003C3B2D" w:rsidRPr="00804E52">
        <w:rPr>
          <w:rFonts w:eastAsia="Times New Roman"/>
        </w:rPr>
        <w:t>enable</w:t>
      </w:r>
      <w:r w:rsidR="003C3B2D" w:rsidRPr="0020668D">
        <w:rPr>
          <w:rFonts w:eastAsia="Times New Roman"/>
        </w:rPr>
        <w:t xml:space="preserve"> tax officials to </w:t>
      </w:r>
      <w:r w:rsidR="0022224B">
        <w:rPr>
          <w:rFonts w:eastAsia="Times New Roman"/>
        </w:rPr>
        <w:t>identify</w:t>
      </w:r>
      <w:r w:rsidR="0022224B" w:rsidRPr="0020668D">
        <w:rPr>
          <w:rFonts w:eastAsia="Times New Roman"/>
        </w:rPr>
        <w:t xml:space="preserve"> </w:t>
      </w:r>
      <w:r w:rsidR="003C3B2D" w:rsidRPr="0020668D">
        <w:rPr>
          <w:rFonts w:eastAsia="Times New Roman"/>
        </w:rPr>
        <w:t>potential taxpayers in the informal sector</w:t>
      </w:r>
      <w:r w:rsidR="00B14A27">
        <w:rPr>
          <w:rFonts w:eastAsia="Times New Roman"/>
        </w:rPr>
        <w:t>, thereby facilitating efforts to promote formalization and expand the tax base</w:t>
      </w:r>
      <w:r w:rsidR="003C3B2D" w:rsidRPr="0020668D">
        <w:rPr>
          <w:rFonts w:eastAsia="Times New Roman"/>
        </w:rPr>
        <w:t xml:space="preserve">. </w:t>
      </w:r>
    </w:p>
    <w:p w14:paraId="26E34C76" w14:textId="77777777" w:rsidR="001F10CD" w:rsidRDefault="00694F23" w:rsidP="001512C8">
      <w:pPr>
        <w:pStyle w:val="ListParagraph"/>
        <w:spacing w:before="240"/>
      </w:pPr>
      <w:r>
        <w:rPr>
          <w:b/>
        </w:rPr>
        <w:t xml:space="preserve">A projected increase in oil output will boost </w:t>
      </w:r>
      <w:r w:rsidR="00F21E7A" w:rsidRPr="001512C8">
        <w:rPr>
          <w:b/>
        </w:rPr>
        <w:t>domestic revenue over the medium term</w:t>
      </w:r>
      <w:r>
        <w:rPr>
          <w:b/>
        </w:rPr>
        <w:t>,</w:t>
      </w:r>
      <w:r w:rsidR="00F21E7A" w:rsidRPr="001512C8">
        <w:rPr>
          <w:b/>
        </w:rPr>
        <w:t xml:space="preserve"> but </w:t>
      </w:r>
      <w:r w:rsidR="00CF689F" w:rsidRPr="001512C8">
        <w:rPr>
          <w:b/>
        </w:rPr>
        <w:t>th</w:t>
      </w:r>
      <w:r>
        <w:rPr>
          <w:b/>
        </w:rPr>
        <w:t>is</w:t>
      </w:r>
      <w:r w:rsidR="00CF689F" w:rsidRPr="001512C8">
        <w:rPr>
          <w:b/>
        </w:rPr>
        <w:t xml:space="preserve"> </w:t>
      </w:r>
      <w:r>
        <w:rPr>
          <w:b/>
        </w:rPr>
        <w:t>effect</w:t>
      </w:r>
      <w:r w:rsidRPr="001512C8">
        <w:rPr>
          <w:b/>
        </w:rPr>
        <w:t xml:space="preserve"> </w:t>
      </w:r>
      <w:r w:rsidR="00CF689F" w:rsidRPr="001512C8">
        <w:rPr>
          <w:b/>
        </w:rPr>
        <w:t xml:space="preserve">will </w:t>
      </w:r>
      <w:r w:rsidR="00F21E7A" w:rsidRPr="001512C8">
        <w:rPr>
          <w:b/>
        </w:rPr>
        <w:t>likely be short-lived.</w:t>
      </w:r>
      <w:r w:rsidR="00F21E7A">
        <w:t xml:space="preserve"> </w:t>
      </w:r>
      <w:r w:rsidR="00894057" w:rsidRPr="00AA72CF">
        <w:t>Ghana</w:t>
      </w:r>
      <w:r w:rsidR="00EC3D07">
        <w:t xml:space="preserve"> generates its</w:t>
      </w:r>
      <w:r w:rsidR="00894057" w:rsidRPr="00AA72CF">
        <w:t xml:space="preserve"> oil revenue through</w:t>
      </w:r>
      <w:r w:rsidR="00EC3D07">
        <w:t xml:space="preserve"> a combination of</w:t>
      </w:r>
      <w:r w:rsidR="00894057" w:rsidRPr="00AA72CF">
        <w:t xml:space="preserve"> royalties, the national oil company’s carried and participating interest, additional oil entitlements, and corporate income taxes. </w:t>
      </w:r>
      <w:r w:rsidR="003801B8">
        <w:t xml:space="preserve">Based on </w:t>
      </w:r>
      <w:r w:rsidR="003801B8" w:rsidRPr="00F21E7A">
        <w:t>a bottom-up production model and current oil-price forecast</w:t>
      </w:r>
      <w:r w:rsidR="00EC3D07">
        <w:t>s</w:t>
      </w:r>
      <w:r w:rsidR="003801B8" w:rsidRPr="00F21E7A">
        <w:t>,</w:t>
      </w:r>
      <w:r w:rsidR="00DC0F40">
        <w:rPr>
          <w:rStyle w:val="FootnoteReference"/>
        </w:rPr>
        <w:footnoteReference w:id="27"/>
      </w:r>
      <w:r w:rsidR="003801B8" w:rsidRPr="00F21E7A">
        <w:t xml:space="preserve"> </w:t>
      </w:r>
      <w:r w:rsidR="00A02407">
        <w:t xml:space="preserve">Ghana’s oil reserves </w:t>
      </w:r>
      <w:r w:rsidR="00D83254">
        <w:t>are expected to generate a total of US$26 billion in</w:t>
      </w:r>
      <w:r w:rsidR="00A02407">
        <w:t xml:space="preserve"> public revenue</w:t>
      </w:r>
      <w:r w:rsidR="003801B8" w:rsidRPr="00F21E7A">
        <w:t xml:space="preserve">, </w:t>
      </w:r>
      <w:r w:rsidR="001532F6" w:rsidRPr="00F21E7A">
        <w:t xml:space="preserve">of which </w:t>
      </w:r>
      <w:r w:rsidR="00664D97">
        <w:t>US</w:t>
      </w:r>
      <w:r w:rsidR="003801B8" w:rsidRPr="00F21E7A">
        <w:t xml:space="preserve">$3.2 billion </w:t>
      </w:r>
      <w:r w:rsidR="00D83254">
        <w:t>was</w:t>
      </w:r>
      <w:r w:rsidR="00D83254" w:rsidRPr="00F21E7A">
        <w:t xml:space="preserve"> </w:t>
      </w:r>
      <w:r w:rsidR="003801B8" w:rsidRPr="00F21E7A">
        <w:t xml:space="preserve">already </w:t>
      </w:r>
      <w:r w:rsidR="00A02407">
        <w:t>realized</w:t>
      </w:r>
      <w:r w:rsidR="00A02407" w:rsidRPr="00F21E7A">
        <w:t xml:space="preserve"> </w:t>
      </w:r>
      <w:r w:rsidR="00A02407">
        <w:t>between</w:t>
      </w:r>
      <w:r w:rsidR="00A02407" w:rsidRPr="00F21E7A">
        <w:t xml:space="preserve"> </w:t>
      </w:r>
      <w:r w:rsidR="003801B8" w:rsidRPr="00F21E7A">
        <w:t>2009</w:t>
      </w:r>
      <w:r w:rsidR="00A02407">
        <w:t xml:space="preserve"> and </w:t>
      </w:r>
      <w:r w:rsidR="003801B8" w:rsidRPr="00F21E7A">
        <w:t xml:space="preserve">2015. </w:t>
      </w:r>
      <w:r w:rsidR="00A02407">
        <w:t xml:space="preserve">Oil </w:t>
      </w:r>
      <w:r w:rsidR="00481895">
        <w:t>revenue is expected to peak in</w:t>
      </w:r>
      <w:r w:rsidR="003801B8" w:rsidRPr="00F21E7A">
        <w:t xml:space="preserve"> 2023 and </w:t>
      </w:r>
      <w:r w:rsidR="00A02407">
        <w:t>decline thereafter</w:t>
      </w:r>
      <w:r w:rsidR="00B27A2D">
        <w:t xml:space="preserve"> </w:t>
      </w:r>
      <w:r w:rsidR="00B27A2D" w:rsidRPr="00AA72CF">
        <w:t>(</w:t>
      </w:r>
      <w:r w:rsidR="00A02407">
        <w:fldChar w:fldCharType="begin"/>
      </w:r>
      <w:r w:rsidR="00A02407">
        <w:instrText xml:space="preserve"> REF _Ref465776699 \h </w:instrText>
      </w:r>
      <w:r w:rsidR="00A02407">
        <w:fldChar w:fldCharType="separate"/>
      </w:r>
      <w:r w:rsidR="007B1CE6" w:rsidRPr="00BE61B5">
        <w:t xml:space="preserve">Figure </w:t>
      </w:r>
      <w:r w:rsidR="007B1CE6">
        <w:rPr>
          <w:noProof/>
        </w:rPr>
        <w:t>1</w:t>
      </w:r>
      <w:r w:rsidR="007B1CE6" w:rsidRPr="00BE61B5">
        <w:t>.</w:t>
      </w:r>
      <w:r w:rsidR="007B1CE6">
        <w:rPr>
          <w:noProof/>
        </w:rPr>
        <w:t>14</w:t>
      </w:r>
      <w:r w:rsidR="00A02407">
        <w:fldChar w:fldCharType="end"/>
      </w:r>
      <w:r w:rsidR="00B27A2D">
        <w:t>)</w:t>
      </w:r>
      <w:r w:rsidR="003801B8" w:rsidRPr="00F21E7A">
        <w:t xml:space="preserve">. </w:t>
      </w:r>
      <w:r w:rsidR="00A02407">
        <w:t xml:space="preserve">However, </w:t>
      </w:r>
      <w:r w:rsidR="00D83254">
        <w:t>these projections are</w:t>
      </w:r>
      <w:r w:rsidR="00D83254" w:rsidRPr="00F21E7A">
        <w:t xml:space="preserve"> </w:t>
      </w:r>
      <w:r w:rsidR="00334E10">
        <w:t xml:space="preserve">highly sensitive to </w:t>
      </w:r>
      <w:r w:rsidR="00955094">
        <w:t>international oil prices</w:t>
      </w:r>
      <w:r w:rsidR="006F401F">
        <w:t xml:space="preserve">, </w:t>
      </w:r>
      <w:r w:rsidR="00A02407">
        <w:t xml:space="preserve">and if </w:t>
      </w:r>
      <w:r w:rsidR="00F25449">
        <w:t xml:space="preserve">prices </w:t>
      </w:r>
      <w:r w:rsidR="00A02407">
        <w:t xml:space="preserve">were to </w:t>
      </w:r>
      <w:r w:rsidR="00F25449">
        <w:t xml:space="preserve">remain at </w:t>
      </w:r>
      <w:r w:rsidR="00A02407">
        <w:t>their low</w:t>
      </w:r>
      <w:r w:rsidR="00F25449">
        <w:t xml:space="preserve"> 2016 levels for the next two decades,</w:t>
      </w:r>
      <w:r w:rsidR="003801B8" w:rsidRPr="003801B8">
        <w:t xml:space="preserve"> Ghana’s total </w:t>
      </w:r>
      <w:r w:rsidR="00A02407">
        <w:t xml:space="preserve">public </w:t>
      </w:r>
      <w:r w:rsidR="003801B8" w:rsidRPr="003801B8">
        <w:t xml:space="preserve">oil revenue </w:t>
      </w:r>
      <w:r w:rsidR="00A02407">
        <w:t>would drop</w:t>
      </w:r>
      <w:r w:rsidR="00F25449" w:rsidRPr="003801B8">
        <w:t xml:space="preserve"> </w:t>
      </w:r>
      <w:r w:rsidR="003801B8" w:rsidRPr="003801B8">
        <w:t>from US$23 billion to US$10 billion</w:t>
      </w:r>
      <w:r w:rsidR="00B27A2D">
        <w:t xml:space="preserve"> </w:t>
      </w:r>
      <w:r w:rsidR="00B27A2D" w:rsidRPr="00AA72CF">
        <w:t>(</w:t>
      </w:r>
      <w:r w:rsidR="00A02407">
        <w:fldChar w:fldCharType="begin"/>
      </w:r>
      <w:r w:rsidR="00A02407">
        <w:instrText xml:space="preserve"> REF _Ref465776792 \h </w:instrText>
      </w:r>
      <w:r w:rsidR="00A02407">
        <w:fldChar w:fldCharType="separate"/>
      </w:r>
      <w:r w:rsidR="007B1CE6" w:rsidRPr="00BE61B5">
        <w:t xml:space="preserve">Figure </w:t>
      </w:r>
      <w:r w:rsidR="007B1CE6">
        <w:rPr>
          <w:noProof/>
        </w:rPr>
        <w:t>1</w:t>
      </w:r>
      <w:r w:rsidR="007B1CE6" w:rsidRPr="00BE61B5">
        <w:t>.</w:t>
      </w:r>
      <w:r w:rsidR="007B1CE6">
        <w:rPr>
          <w:noProof/>
        </w:rPr>
        <w:t>15</w:t>
      </w:r>
      <w:r w:rsidR="00A02407">
        <w:fldChar w:fldCharType="end"/>
      </w:r>
      <w:r w:rsidR="00B27A2D">
        <w:t>)</w:t>
      </w:r>
      <w:r w:rsidR="003801B8" w:rsidRPr="003801B8">
        <w:t>.</w:t>
      </w:r>
      <w:r w:rsidR="00D83254">
        <w:t xml:space="preserve"> </w:t>
      </w:r>
    </w:p>
    <w:tbl>
      <w:tblPr>
        <w:tblStyle w:val="TableGrid"/>
        <w:tblW w:w="90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9"/>
        <w:gridCol w:w="4607"/>
      </w:tblGrid>
      <w:tr w:rsidR="006B24AB" w:rsidRPr="00AA72CF" w14:paraId="646B1111" w14:textId="77777777" w:rsidTr="00E07712">
        <w:trPr>
          <w:trHeight w:val="3010"/>
          <w:jc w:val="center"/>
        </w:trPr>
        <w:tc>
          <w:tcPr>
            <w:tcW w:w="4459" w:type="dxa"/>
          </w:tcPr>
          <w:p w14:paraId="78F9096E" w14:textId="77777777" w:rsidR="006B24AB" w:rsidRPr="00BE61B5" w:rsidRDefault="006B24AB" w:rsidP="00E07712">
            <w:pPr>
              <w:pStyle w:val="Caption"/>
              <w:rPr>
                <w:lang w:val="en-US"/>
              </w:rPr>
            </w:pPr>
            <w:bookmarkStart w:id="45" w:name="_Ref465776699"/>
            <w:bookmarkStart w:id="46" w:name="_Toc479624926"/>
            <w:r w:rsidRPr="00BE61B5">
              <w:rPr>
                <w:lang w:val="en-US"/>
              </w:rPr>
              <w:lastRenderedPageBreak/>
              <w:t xml:space="preserve">Figure </w:t>
            </w:r>
            <w:r w:rsidRPr="00BE61B5">
              <w:rPr>
                <w:lang w:val="en-US"/>
              </w:rPr>
              <w:fldChar w:fldCharType="begin"/>
            </w:r>
            <w:r w:rsidRPr="00BE61B5">
              <w:rPr>
                <w:lang w:val="en-US"/>
              </w:rPr>
              <w:instrText xml:space="preserve"> STYLEREF 1 \s </w:instrText>
            </w:r>
            <w:r w:rsidRPr="00BE61B5">
              <w:rPr>
                <w:lang w:val="en-US"/>
              </w:rPr>
              <w:fldChar w:fldCharType="separate"/>
            </w:r>
            <w:r w:rsidR="007B1CE6">
              <w:rPr>
                <w:noProof/>
                <w:lang w:val="en-US"/>
              </w:rPr>
              <w:t>1</w:t>
            </w:r>
            <w:r w:rsidRPr="00BE61B5">
              <w:rPr>
                <w:lang w:val="en-US"/>
              </w:rPr>
              <w:fldChar w:fldCharType="end"/>
            </w:r>
            <w:r w:rsidRPr="00BE61B5">
              <w:rPr>
                <w:lang w:val="en-US"/>
              </w:rPr>
              <w:t>.</w:t>
            </w:r>
            <w:r w:rsidRPr="00BE61B5">
              <w:rPr>
                <w:lang w:val="en-US"/>
              </w:rPr>
              <w:fldChar w:fldCharType="begin"/>
            </w:r>
            <w:r w:rsidRPr="00BE61B5">
              <w:rPr>
                <w:lang w:val="en-US"/>
              </w:rPr>
              <w:instrText xml:space="preserve"> SEQ Figure \* ARABIC \s 1 </w:instrText>
            </w:r>
            <w:r w:rsidRPr="00BE61B5">
              <w:rPr>
                <w:lang w:val="en-US"/>
              </w:rPr>
              <w:fldChar w:fldCharType="separate"/>
            </w:r>
            <w:r w:rsidR="007B1CE6">
              <w:rPr>
                <w:noProof/>
                <w:lang w:val="en-US"/>
              </w:rPr>
              <w:t>14</w:t>
            </w:r>
            <w:r w:rsidRPr="00BE61B5">
              <w:rPr>
                <w:lang w:val="en-US"/>
              </w:rPr>
              <w:fldChar w:fldCharType="end"/>
            </w:r>
            <w:bookmarkEnd w:id="45"/>
            <w:r w:rsidRPr="00BE61B5">
              <w:rPr>
                <w:lang w:val="en-US"/>
              </w:rPr>
              <w:t>: Projected Decomposition of Oil Revenues, 2015-2035 (US$ Millions)</w:t>
            </w:r>
            <w:bookmarkEnd w:id="46"/>
          </w:p>
          <w:p w14:paraId="04EBB481" w14:textId="77777777" w:rsidR="006B24AB" w:rsidRPr="00AA72CF" w:rsidRDefault="006B24AB" w:rsidP="00E07712">
            <w:pPr>
              <w:pStyle w:val="Heading5"/>
              <w:spacing w:before="0" w:after="0"/>
              <w:jc w:val="left"/>
              <w:outlineLvl w:val="4"/>
              <w:rPr>
                <w:rFonts w:ascii="Calibri" w:eastAsia="Calibri" w:hAnsi="Calibri" w:cs="Times New Roman"/>
              </w:rPr>
            </w:pPr>
            <w:r>
              <w:rPr>
                <w:rFonts w:ascii="Calibri" w:eastAsia="Calibri" w:hAnsi="Calibri" w:cs="Times New Roman"/>
                <w:noProof/>
              </w:rPr>
              <w:drawing>
                <wp:anchor distT="0" distB="0" distL="114300" distR="114300" simplePos="0" relativeHeight="251668480" behindDoc="0" locked="0" layoutInCell="1" allowOverlap="1" wp14:anchorId="314588CD" wp14:editId="539DE6C1">
                  <wp:simplePos x="0" y="0"/>
                  <wp:positionH relativeFrom="column">
                    <wp:posOffset>-68580</wp:posOffset>
                  </wp:positionH>
                  <wp:positionV relativeFrom="paragraph">
                    <wp:posOffset>-1270</wp:posOffset>
                  </wp:positionV>
                  <wp:extent cx="2758200" cy="2177143"/>
                  <wp:effectExtent l="0" t="0" r="444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8200" cy="2177143"/>
                          </a:xfrm>
                          <a:prstGeom prst="rect">
                            <a:avLst/>
                          </a:prstGeom>
                          <a:noFill/>
                        </pic:spPr>
                      </pic:pic>
                    </a:graphicData>
                  </a:graphic>
                </wp:anchor>
              </w:drawing>
            </w:r>
          </w:p>
        </w:tc>
        <w:tc>
          <w:tcPr>
            <w:tcW w:w="4607" w:type="dxa"/>
          </w:tcPr>
          <w:p w14:paraId="61786FEF" w14:textId="77777777" w:rsidR="006B24AB" w:rsidRPr="00BE61B5" w:rsidRDefault="006B24AB" w:rsidP="007603EC">
            <w:pPr>
              <w:pStyle w:val="Caption"/>
              <w:rPr>
                <w:rFonts w:eastAsia="Calibri"/>
                <w:lang w:val="en-US"/>
              </w:rPr>
            </w:pPr>
            <w:bookmarkStart w:id="47" w:name="_Ref465776792"/>
            <w:bookmarkStart w:id="48" w:name="_Toc479624927"/>
            <w:r w:rsidRPr="004B01A7">
              <w:rPr>
                <w:rFonts w:ascii="Calibri" w:eastAsia="Calibri" w:hAnsi="Calibri" w:cs="Times New Roman"/>
                <w:noProof/>
                <w:lang w:val="en-US" w:eastAsia="en-US"/>
              </w:rPr>
              <w:drawing>
                <wp:anchor distT="0" distB="0" distL="114300" distR="114300" simplePos="0" relativeHeight="251669504" behindDoc="1" locked="0" layoutInCell="1" allowOverlap="1" wp14:anchorId="6BAA627C" wp14:editId="0291303A">
                  <wp:simplePos x="0" y="0"/>
                  <wp:positionH relativeFrom="column">
                    <wp:posOffset>60960</wp:posOffset>
                  </wp:positionH>
                  <wp:positionV relativeFrom="paragraph">
                    <wp:posOffset>556260</wp:posOffset>
                  </wp:positionV>
                  <wp:extent cx="2660015" cy="2197100"/>
                  <wp:effectExtent l="0" t="0" r="6985"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0015" cy="2197100"/>
                          </a:xfrm>
                          <a:prstGeom prst="rect">
                            <a:avLst/>
                          </a:prstGeom>
                          <a:noFill/>
                        </pic:spPr>
                      </pic:pic>
                    </a:graphicData>
                  </a:graphic>
                </wp:anchor>
              </w:drawing>
            </w:r>
            <w:r w:rsidRPr="00BE61B5">
              <w:rPr>
                <w:lang w:val="en-US"/>
              </w:rPr>
              <w:t xml:space="preserve">Figure </w:t>
            </w:r>
            <w:r w:rsidRPr="00BE61B5">
              <w:rPr>
                <w:lang w:val="en-US"/>
              </w:rPr>
              <w:fldChar w:fldCharType="begin"/>
            </w:r>
            <w:r w:rsidRPr="00BE61B5">
              <w:rPr>
                <w:lang w:val="en-US"/>
              </w:rPr>
              <w:instrText xml:space="preserve"> STYLEREF 1 \s </w:instrText>
            </w:r>
            <w:r w:rsidRPr="00BE61B5">
              <w:rPr>
                <w:lang w:val="en-US"/>
              </w:rPr>
              <w:fldChar w:fldCharType="separate"/>
            </w:r>
            <w:r w:rsidR="007B1CE6">
              <w:rPr>
                <w:noProof/>
                <w:lang w:val="en-US"/>
              </w:rPr>
              <w:t>1</w:t>
            </w:r>
            <w:r w:rsidRPr="00BE61B5">
              <w:rPr>
                <w:lang w:val="en-US"/>
              </w:rPr>
              <w:fldChar w:fldCharType="end"/>
            </w:r>
            <w:r w:rsidRPr="00BE61B5">
              <w:rPr>
                <w:lang w:val="en-US"/>
              </w:rPr>
              <w:t>.</w:t>
            </w:r>
            <w:r w:rsidRPr="00BE61B5">
              <w:rPr>
                <w:lang w:val="en-US"/>
              </w:rPr>
              <w:fldChar w:fldCharType="begin"/>
            </w:r>
            <w:r w:rsidRPr="00BE61B5">
              <w:rPr>
                <w:lang w:val="en-US"/>
              </w:rPr>
              <w:instrText xml:space="preserve"> SEQ Figure \* ARABIC \s 1 </w:instrText>
            </w:r>
            <w:r w:rsidRPr="00BE61B5">
              <w:rPr>
                <w:lang w:val="en-US"/>
              </w:rPr>
              <w:fldChar w:fldCharType="separate"/>
            </w:r>
            <w:r w:rsidR="007B1CE6">
              <w:rPr>
                <w:noProof/>
                <w:lang w:val="en-US"/>
              </w:rPr>
              <w:t>15</w:t>
            </w:r>
            <w:r w:rsidRPr="00BE61B5">
              <w:rPr>
                <w:lang w:val="en-US"/>
              </w:rPr>
              <w:fldChar w:fldCharType="end"/>
            </w:r>
            <w:bookmarkEnd w:id="47"/>
            <w:r w:rsidRPr="00BE61B5">
              <w:rPr>
                <w:lang w:val="en-US"/>
              </w:rPr>
              <w:t>: Oil-Revenue Projections, Baseline and Lower-Bound Scenarios, 2012-2033 (US$ Millions)</w:t>
            </w:r>
            <w:bookmarkEnd w:id="48"/>
          </w:p>
        </w:tc>
      </w:tr>
      <w:tr w:rsidR="006B24AB" w:rsidRPr="00AA72CF" w14:paraId="39B35428" w14:textId="77777777" w:rsidTr="00E07712">
        <w:trPr>
          <w:trHeight w:val="801"/>
          <w:jc w:val="center"/>
        </w:trPr>
        <w:tc>
          <w:tcPr>
            <w:tcW w:w="4459" w:type="dxa"/>
          </w:tcPr>
          <w:p w14:paraId="7A7AB2EE" w14:textId="77777777" w:rsidR="006B24AB" w:rsidRPr="00BE61B5" w:rsidRDefault="006B24AB" w:rsidP="00E07712">
            <w:pPr>
              <w:rPr>
                <w:rFonts w:ascii="Garamond" w:hAnsi="Garamond"/>
                <w:sz w:val="20"/>
                <w:szCs w:val="20"/>
                <w:lang w:val="en-US"/>
              </w:rPr>
            </w:pPr>
            <w:r w:rsidRPr="007633A0">
              <w:rPr>
                <w:rFonts w:ascii="Garamond" w:hAnsi="Garamond"/>
                <w:i/>
                <w:sz w:val="20"/>
                <w:szCs w:val="20"/>
              </w:rPr>
              <w:t xml:space="preserve">Note: </w:t>
            </w:r>
            <w:r w:rsidRPr="007633A0">
              <w:rPr>
                <w:rFonts w:ascii="Garamond" w:hAnsi="Garamond"/>
                <w:sz w:val="20"/>
                <w:szCs w:val="20"/>
              </w:rPr>
              <w:t>The baseline scenario reflects World Bank oil-price projections (September 2016).</w:t>
            </w:r>
          </w:p>
          <w:p w14:paraId="502F5B08" w14:textId="77777777" w:rsidR="006B24AB" w:rsidRPr="007603EC" w:rsidRDefault="006B24AB" w:rsidP="00E07712">
            <w:pPr>
              <w:rPr>
                <w:rFonts w:ascii="Garamond" w:hAnsi="Garamond"/>
                <w:sz w:val="20"/>
                <w:szCs w:val="20"/>
              </w:rPr>
            </w:pPr>
            <w:r w:rsidRPr="007633A0">
              <w:rPr>
                <w:rFonts w:ascii="Garamond" w:hAnsi="Garamond"/>
                <w:i/>
                <w:sz w:val="20"/>
                <w:szCs w:val="20"/>
              </w:rPr>
              <w:t>Source:</w:t>
            </w:r>
            <w:r w:rsidRPr="007633A0">
              <w:rPr>
                <w:rFonts w:ascii="Garamond" w:hAnsi="Garamond"/>
                <w:sz w:val="20"/>
                <w:szCs w:val="20"/>
              </w:rPr>
              <w:t xml:space="preserve"> World Bank Ghana Economic Update (2016).</w:t>
            </w:r>
          </w:p>
        </w:tc>
        <w:tc>
          <w:tcPr>
            <w:tcW w:w="4607" w:type="dxa"/>
          </w:tcPr>
          <w:p w14:paraId="43C42470" w14:textId="77777777" w:rsidR="006B24AB" w:rsidRPr="00BE61B5" w:rsidRDefault="006B24AB" w:rsidP="00E07712">
            <w:pPr>
              <w:rPr>
                <w:rFonts w:ascii="Garamond" w:hAnsi="Garamond"/>
                <w:i/>
                <w:sz w:val="20"/>
                <w:szCs w:val="20"/>
                <w:lang w:val="en-US"/>
              </w:rPr>
            </w:pPr>
            <w:r w:rsidRPr="007633A0">
              <w:rPr>
                <w:rFonts w:ascii="Garamond" w:hAnsi="Garamond"/>
                <w:i/>
                <w:sz w:val="20"/>
                <w:szCs w:val="20"/>
              </w:rPr>
              <w:t xml:space="preserve">Note: </w:t>
            </w:r>
            <w:r w:rsidRPr="007633A0">
              <w:rPr>
                <w:rFonts w:ascii="Garamond" w:hAnsi="Garamond"/>
                <w:sz w:val="20"/>
                <w:szCs w:val="20"/>
              </w:rPr>
              <w:t>The baseline scenario reflects World Bank oil-price projections (September 2016); the lower-bound scenario assumes oil prices will remain at their 2016 levels.</w:t>
            </w:r>
          </w:p>
          <w:p w14:paraId="56B6B10E" w14:textId="77777777" w:rsidR="006B24AB" w:rsidRPr="007603EC" w:rsidRDefault="006B24AB" w:rsidP="006B24AB">
            <w:pPr>
              <w:spacing w:after="240"/>
              <w:rPr>
                <w:rFonts w:ascii="Garamond" w:eastAsia="Calibri" w:hAnsi="Garamond" w:cs="Times New Roman"/>
                <w:sz w:val="20"/>
                <w:szCs w:val="20"/>
              </w:rPr>
            </w:pPr>
            <w:r w:rsidRPr="007633A0">
              <w:rPr>
                <w:rFonts w:ascii="Garamond" w:hAnsi="Garamond"/>
                <w:i/>
                <w:sz w:val="20"/>
                <w:szCs w:val="20"/>
              </w:rPr>
              <w:t>Source:</w:t>
            </w:r>
            <w:r w:rsidRPr="007633A0">
              <w:rPr>
                <w:rFonts w:ascii="Garamond" w:hAnsi="Garamond"/>
                <w:sz w:val="20"/>
                <w:szCs w:val="20"/>
              </w:rPr>
              <w:t xml:space="preserve">  World Bank Ghana Economic Update (2016).</w:t>
            </w:r>
          </w:p>
        </w:tc>
      </w:tr>
    </w:tbl>
    <w:p w14:paraId="2FB055DA" w14:textId="77777777" w:rsidR="00E5405C" w:rsidRDefault="00E94E8C" w:rsidP="00C77B99">
      <w:pPr>
        <w:pStyle w:val="ListParagraph"/>
      </w:pPr>
      <w:r>
        <w:rPr>
          <w:b/>
        </w:rPr>
        <w:t xml:space="preserve">Managing </w:t>
      </w:r>
      <w:r w:rsidR="00E13EEB">
        <w:rPr>
          <w:b/>
        </w:rPr>
        <w:t xml:space="preserve">the </w:t>
      </w:r>
      <w:r w:rsidR="00B76C30">
        <w:rPr>
          <w:b/>
        </w:rPr>
        <w:t xml:space="preserve">anticipated </w:t>
      </w:r>
      <w:r w:rsidR="00E13EEB">
        <w:rPr>
          <w:b/>
        </w:rPr>
        <w:t xml:space="preserve">surge in </w:t>
      </w:r>
      <w:r>
        <w:rPr>
          <w:b/>
        </w:rPr>
        <w:t xml:space="preserve">oil revenues </w:t>
      </w:r>
      <w:r w:rsidR="00E13EEB">
        <w:rPr>
          <w:b/>
        </w:rPr>
        <w:t xml:space="preserve">will be </w:t>
      </w:r>
      <w:r>
        <w:rPr>
          <w:b/>
        </w:rPr>
        <w:t>challenging due to v</w:t>
      </w:r>
      <w:r w:rsidR="00334E10" w:rsidRPr="001512C8">
        <w:rPr>
          <w:b/>
        </w:rPr>
        <w:t xml:space="preserve">olatile prices and production </w:t>
      </w:r>
      <w:r w:rsidR="00A02407" w:rsidRPr="001512C8">
        <w:rPr>
          <w:b/>
        </w:rPr>
        <w:t xml:space="preserve">volumes </w:t>
      </w:r>
      <w:r w:rsidR="00334E10" w:rsidRPr="001512C8">
        <w:rPr>
          <w:b/>
        </w:rPr>
        <w:t xml:space="preserve">as well as </w:t>
      </w:r>
      <w:r w:rsidR="00A02407">
        <w:rPr>
          <w:b/>
        </w:rPr>
        <w:t>the</w:t>
      </w:r>
      <w:r w:rsidR="00A02407" w:rsidRPr="001512C8">
        <w:rPr>
          <w:b/>
        </w:rPr>
        <w:t xml:space="preserve"> </w:t>
      </w:r>
      <w:r w:rsidR="00A02407">
        <w:rPr>
          <w:b/>
        </w:rPr>
        <w:t xml:space="preserve">terminal </w:t>
      </w:r>
      <w:r w:rsidR="00334E10" w:rsidRPr="001512C8">
        <w:rPr>
          <w:b/>
        </w:rPr>
        <w:t xml:space="preserve">decline in oil </w:t>
      </w:r>
      <w:r w:rsidR="00A02407">
        <w:rPr>
          <w:b/>
        </w:rPr>
        <w:t>output</w:t>
      </w:r>
      <w:r w:rsidR="00B76C30">
        <w:rPr>
          <w:b/>
        </w:rPr>
        <w:t xml:space="preserve"> that is</w:t>
      </w:r>
      <w:r w:rsidR="00A02407" w:rsidRPr="001512C8">
        <w:rPr>
          <w:b/>
        </w:rPr>
        <w:t xml:space="preserve"> </w:t>
      </w:r>
      <w:r w:rsidR="00B76C30">
        <w:rPr>
          <w:b/>
        </w:rPr>
        <w:t>projected to begin in</w:t>
      </w:r>
      <w:r w:rsidR="00B76C30" w:rsidRPr="001512C8">
        <w:rPr>
          <w:b/>
        </w:rPr>
        <w:t xml:space="preserve"> </w:t>
      </w:r>
      <w:r w:rsidR="00334E10" w:rsidRPr="001512C8">
        <w:rPr>
          <w:b/>
        </w:rPr>
        <w:t>2025.</w:t>
      </w:r>
      <w:r w:rsidR="00334E10" w:rsidRPr="003C77C5">
        <w:t xml:space="preserve"> </w:t>
      </w:r>
      <w:r w:rsidR="001D78CD">
        <w:t>Ghana’s</w:t>
      </w:r>
      <w:r w:rsidR="001D78CD" w:rsidRPr="00AA72CF">
        <w:t xml:space="preserve"> </w:t>
      </w:r>
      <w:r>
        <w:t xml:space="preserve">2011 </w:t>
      </w:r>
      <w:r w:rsidR="001D78CD" w:rsidRPr="00AA72CF">
        <w:t>Petroleum Revenue Management Act defines the methodology for forecast</w:t>
      </w:r>
      <w:r>
        <w:t>ing</w:t>
      </w:r>
      <w:r w:rsidR="001D78CD" w:rsidRPr="00AA72CF">
        <w:t xml:space="preserve"> </w:t>
      </w:r>
      <w:r>
        <w:t>oil revenues based on</w:t>
      </w:r>
      <w:r w:rsidR="001D78CD" w:rsidRPr="00BE5DA9">
        <w:t xml:space="preserve"> moving averages of historical and expected values </w:t>
      </w:r>
      <w:r>
        <w:t>for</w:t>
      </w:r>
      <w:r w:rsidRPr="00BE5DA9">
        <w:t xml:space="preserve"> </w:t>
      </w:r>
      <w:r w:rsidR="001D78CD" w:rsidRPr="00BE5DA9">
        <w:t>both price</w:t>
      </w:r>
      <w:r w:rsidR="00363BCE">
        <w:t>s</w:t>
      </w:r>
      <w:r w:rsidR="001D78CD" w:rsidRPr="00BE5DA9">
        <w:t xml:space="preserve"> and production</w:t>
      </w:r>
      <w:r>
        <w:t xml:space="preserve"> volumes</w:t>
      </w:r>
      <w:r w:rsidR="001D78CD">
        <w:t>.</w:t>
      </w:r>
      <w:r w:rsidR="001F10CD">
        <w:t xml:space="preserve"> </w:t>
      </w:r>
      <w:r>
        <w:t>T</w:t>
      </w:r>
      <w:r w:rsidR="002938D0" w:rsidRPr="003C77C5">
        <w:t xml:space="preserve">he </w:t>
      </w:r>
      <w:r>
        <w:t xml:space="preserve">resulting </w:t>
      </w:r>
      <w:r w:rsidR="002938D0" w:rsidRPr="003C77C5">
        <w:t>forecasts</w:t>
      </w:r>
      <w:r>
        <w:t xml:space="preserve"> form the basis for budget planning</w:t>
      </w:r>
      <w:r w:rsidR="00363BCE">
        <w:t>. However, these forecasts</w:t>
      </w:r>
      <w:r>
        <w:t xml:space="preserve"> are frequently inaccurate,</w:t>
      </w:r>
      <w:r w:rsidR="00363BCE">
        <w:t xml:space="preserve"> </w:t>
      </w:r>
      <w:r>
        <w:t>often by wide margins</w:t>
      </w:r>
      <w:r w:rsidR="002938D0" w:rsidRPr="003C77C5">
        <w:t>.</w:t>
      </w:r>
      <w:r w:rsidR="00EC2495" w:rsidRPr="003C77C5">
        <w:rPr>
          <w:rStyle w:val="FootnoteReference"/>
        </w:rPr>
        <w:footnoteReference w:id="28"/>
      </w:r>
      <w:r w:rsidR="001D78CD" w:rsidRPr="003C77C5">
        <w:t xml:space="preserve"> </w:t>
      </w:r>
      <w:r w:rsidR="00E13EEB">
        <w:t>Ideally, o</w:t>
      </w:r>
      <w:r w:rsidR="00365368">
        <w:t>il</w:t>
      </w:r>
      <w:r w:rsidR="00E13EEB">
        <w:t>-</w:t>
      </w:r>
      <w:r w:rsidR="00365368">
        <w:t xml:space="preserve">revenue projections should err on the side of underestimation, as overestimating future revenues can </w:t>
      </w:r>
      <w:r w:rsidR="00363BCE">
        <w:t>disrupt</w:t>
      </w:r>
      <w:r w:rsidR="00365368">
        <w:t xml:space="preserve"> </w:t>
      </w:r>
      <w:r w:rsidR="009303D3">
        <w:t>investment</w:t>
      </w:r>
      <w:r w:rsidR="00365368">
        <w:t xml:space="preserve"> </w:t>
      </w:r>
      <w:r w:rsidR="009303D3">
        <w:t>execution</w:t>
      </w:r>
      <w:r w:rsidR="00365368">
        <w:t xml:space="preserve"> </w:t>
      </w:r>
      <w:r w:rsidR="008F612C">
        <w:t>and</w:t>
      </w:r>
      <w:r w:rsidR="00365368">
        <w:t xml:space="preserve"> </w:t>
      </w:r>
      <w:r w:rsidR="00363BCE">
        <w:t>undermine</w:t>
      </w:r>
      <w:r w:rsidR="00365368">
        <w:t xml:space="preserve"> debt </w:t>
      </w:r>
      <w:r w:rsidR="00363BCE">
        <w:t>sustainability</w:t>
      </w:r>
      <w:r w:rsidR="00365368">
        <w:t xml:space="preserve">. </w:t>
      </w:r>
    </w:p>
    <w:p w14:paraId="1ADA6570" w14:textId="77777777" w:rsidR="00231A78" w:rsidRDefault="00DC0F40" w:rsidP="00B10BBE">
      <w:pPr>
        <w:pStyle w:val="ListParagraph"/>
      </w:pPr>
      <w:r w:rsidRPr="00B10BBE">
        <w:rPr>
          <w:rFonts w:eastAsia="Times New Roman"/>
          <w:b/>
        </w:rPr>
        <w:t xml:space="preserve">As </w:t>
      </w:r>
      <w:r w:rsidR="00CE6C6C" w:rsidRPr="00B10BBE">
        <w:rPr>
          <w:rFonts w:eastAsia="Times New Roman"/>
          <w:b/>
        </w:rPr>
        <w:t>oil revenue</w:t>
      </w:r>
      <w:r w:rsidRPr="00B10BBE">
        <w:rPr>
          <w:rFonts w:eastAsia="Times New Roman"/>
          <w:b/>
        </w:rPr>
        <w:t>s are expected</w:t>
      </w:r>
      <w:r w:rsidR="00CE6C6C" w:rsidRPr="00B10BBE">
        <w:rPr>
          <w:rFonts w:eastAsia="Times New Roman"/>
          <w:b/>
        </w:rPr>
        <w:t xml:space="preserve"> to decline after 2025</w:t>
      </w:r>
      <w:r w:rsidRPr="00B10BBE">
        <w:rPr>
          <w:rFonts w:eastAsia="Times New Roman"/>
          <w:b/>
        </w:rPr>
        <w:t xml:space="preserve"> and eventually </w:t>
      </w:r>
      <w:r w:rsidR="00E13EEB">
        <w:rPr>
          <w:rFonts w:eastAsia="Times New Roman"/>
          <w:b/>
        </w:rPr>
        <w:t>cease</w:t>
      </w:r>
      <w:r w:rsidR="00E13EEB" w:rsidRPr="00B10BBE">
        <w:rPr>
          <w:rFonts w:eastAsia="Times New Roman"/>
          <w:b/>
        </w:rPr>
        <w:t xml:space="preserve"> </w:t>
      </w:r>
      <w:r w:rsidRPr="00B10BBE">
        <w:rPr>
          <w:rFonts w:eastAsia="Times New Roman"/>
          <w:b/>
        </w:rPr>
        <w:t>altogether</w:t>
      </w:r>
      <w:r w:rsidR="00CE6C6C" w:rsidRPr="00B10BBE">
        <w:rPr>
          <w:rFonts w:eastAsia="Times New Roman"/>
          <w:b/>
        </w:rPr>
        <w:t xml:space="preserve">, </w:t>
      </w:r>
      <w:r w:rsidRPr="00B10BBE">
        <w:rPr>
          <w:rFonts w:eastAsia="Times New Roman"/>
          <w:b/>
        </w:rPr>
        <w:t xml:space="preserve">the government must incorporate the transient nature of </w:t>
      </w:r>
      <w:r w:rsidR="00E13EEB">
        <w:rPr>
          <w:rFonts w:eastAsia="Times New Roman"/>
          <w:b/>
        </w:rPr>
        <w:t>the revenue surge</w:t>
      </w:r>
      <w:r w:rsidRPr="00B10BBE">
        <w:rPr>
          <w:rFonts w:eastAsia="Times New Roman"/>
          <w:b/>
        </w:rPr>
        <w:t xml:space="preserve"> into its medium-term budget strategy</w:t>
      </w:r>
      <w:r w:rsidR="002418C5" w:rsidRPr="00B10BBE">
        <w:rPr>
          <w:rFonts w:eastAsia="Times New Roman"/>
          <w:b/>
        </w:rPr>
        <w:t>.</w:t>
      </w:r>
      <w:r w:rsidR="002418C5" w:rsidRPr="005A69EB">
        <w:rPr>
          <w:rFonts w:eastAsia="Times New Roman"/>
        </w:rPr>
        <w:t xml:space="preserve"> </w:t>
      </w:r>
      <w:r w:rsidR="00D92BFF">
        <w:t xml:space="preserve">By law, </w:t>
      </w:r>
      <w:r w:rsidR="00C41520" w:rsidRPr="00DC12FD">
        <w:t xml:space="preserve">a minimum of 70 percent of </w:t>
      </w:r>
      <w:r w:rsidR="00D92BFF">
        <w:t>budgetary</w:t>
      </w:r>
      <w:r w:rsidR="00D92BFF" w:rsidRPr="00DC12FD">
        <w:t xml:space="preserve"> </w:t>
      </w:r>
      <w:r w:rsidR="00C41520" w:rsidRPr="00DC12FD">
        <w:t xml:space="preserve">oil revenue </w:t>
      </w:r>
      <w:r w:rsidR="00D92BFF">
        <w:t>must finance</w:t>
      </w:r>
      <w:r w:rsidR="003C77C5" w:rsidRPr="00DC12FD">
        <w:t xml:space="preserve"> public investment in priority </w:t>
      </w:r>
      <w:r w:rsidR="00D92BFF">
        <w:t>sectors,</w:t>
      </w:r>
      <w:r w:rsidR="00D92BFF" w:rsidRPr="00DC12FD">
        <w:t xml:space="preserve"> </w:t>
      </w:r>
      <w:r w:rsidR="003C77C5" w:rsidRPr="00DC12FD">
        <w:t>including infrastructure development, institution</w:t>
      </w:r>
      <w:r w:rsidR="00D92BFF">
        <w:t>al capacity-building</w:t>
      </w:r>
      <w:r w:rsidR="003C77C5" w:rsidRPr="00DC12FD">
        <w:t>, and environment</w:t>
      </w:r>
      <w:r w:rsidR="00D92BFF">
        <w:t>al</w:t>
      </w:r>
      <w:r w:rsidR="003C77C5" w:rsidRPr="00DC12FD">
        <w:t xml:space="preserve"> protection.</w:t>
      </w:r>
      <w:r w:rsidR="00C41520" w:rsidRPr="00DC12FD">
        <w:t xml:space="preserve"> </w:t>
      </w:r>
      <w:r w:rsidR="00F45522">
        <w:t xml:space="preserve">The projected rise in budgetary oil revenues over the next decade underscores the importance of enhancing expenditure efficiency, particularly in terms of the capital budget. Sustaining </w:t>
      </w:r>
      <w:r w:rsidR="00E13EEB">
        <w:t xml:space="preserve">economic </w:t>
      </w:r>
      <w:r w:rsidR="00F45522">
        <w:t>growth as oil output declines will require increased competitiveness and progressive diversification in the non-resource sectors.</w:t>
      </w:r>
      <w:r w:rsidR="00E92059">
        <w:rPr>
          <w:rStyle w:val="FootnoteReference"/>
        </w:rPr>
        <w:footnoteReference w:id="29"/>
      </w:r>
      <w:r w:rsidR="00F45522">
        <w:t xml:space="preserve"> </w:t>
      </w:r>
    </w:p>
    <w:p w14:paraId="477239FA" w14:textId="77777777" w:rsidR="008557DB" w:rsidRPr="00E45355" w:rsidRDefault="002418C5" w:rsidP="00894F2B">
      <w:pPr>
        <w:pStyle w:val="Heading2"/>
      </w:pPr>
      <w:bookmarkStart w:id="49" w:name="_Toc479624872"/>
      <w:r w:rsidRPr="00E45355">
        <w:t>Budget Management And Execution</w:t>
      </w:r>
      <w:bookmarkEnd w:id="49"/>
    </w:p>
    <w:p w14:paraId="0426FFD2" w14:textId="77777777" w:rsidR="00B2794A" w:rsidRPr="00CC46D2" w:rsidRDefault="005250C6" w:rsidP="00B10BBE">
      <w:pPr>
        <w:pStyle w:val="ListParagraph"/>
        <w:rPr>
          <w:rFonts w:eastAsia="Times New Roman"/>
        </w:rPr>
      </w:pPr>
      <w:r w:rsidRPr="00B10BBE">
        <w:rPr>
          <w:rFonts w:eastAsia="Times New Roman"/>
          <w:b/>
          <w:color w:val="000000"/>
        </w:rPr>
        <w:t>Inaccurate revenue for</w:t>
      </w:r>
      <w:r w:rsidR="007F403A">
        <w:rPr>
          <w:rFonts w:eastAsia="Times New Roman"/>
          <w:b/>
          <w:color w:val="000000"/>
        </w:rPr>
        <w:t xml:space="preserve">ecasts, </w:t>
      </w:r>
      <w:r w:rsidR="003B52D8">
        <w:rPr>
          <w:rFonts w:eastAsia="Times New Roman"/>
          <w:b/>
          <w:color w:val="000000"/>
        </w:rPr>
        <w:t xml:space="preserve">weak </w:t>
      </w:r>
      <w:r w:rsidR="007F403A">
        <w:rPr>
          <w:rFonts w:eastAsia="Times New Roman"/>
          <w:b/>
          <w:color w:val="000000"/>
        </w:rPr>
        <w:t>fiscal discipline</w:t>
      </w:r>
      <w:r w:rsidR="002D7560">
        <w:rPr>
          <w:rFonts w:eastAsia="Times New Roman"/>
          <w:b/>
          <w:color w:val="000000"/>
        </w:rPr>
        <w:t>,</w:t>
      </w:r>
      <w:r w:rsidR="007F403A">
        <w:rPr>
          <w:rFonts w:eastAsia="Times New Roman"/>
          <w:b/>
          <w:color w:val="000000"/>
        </w:rPr>
        <w:t xml:space="preserve"> and </w:t>
      </w:r>
      <w:r w:rsidR="003B52D8">
        <w:rPr>
          <w:rFonts w:eastAsia="Times New Roman"/>
          <w:b/>
          <w:color w:val="000000"/>
        </w:rPr>
        <w:t>in</w:t>
      </w:r>
      <w:r w:rsidR="007F403A">
        <w:rPr>
          <w:rFonts w:eastAsia="Times New Roman"/>
          <w:b/>
          <w:color w:val="000000"/>
        </w:rPr>
        <w:t xml:space="preserve">effective expenditure controls </w:t>
      </w:r>
      <w:r w:rsidRPr="00B10BBE">
        <w:rPr>
          <w:rFonts w:eastAsia="Times New Roman"/>
          <w:b/>
          <w:color w:val="000000"/>
        </w:rPr>
        <w:t xml:space="preserve">have </w:t>
      </w:r>
      <w:r w:rsidR="00461937">
        <w:rPr>
          <w:rFonts w:eastAsia="Times New Roman"/>
          <w:b/>
          <w:color w:val="000000"/>
        </w:rPr>
        <w:t>eroded</w:t>
      </w:r>
      <w:r w:rsidR="008557DB" w:rsidRPr="00B10BBE">
        <w:rPr>
          <w:b/>
        </w:rPr>
        <w:t xml:space="preserve"> budget</w:t>
      </w:r>
      <w:r w:rsidRPr="00B10BBE">
        <w:rPr>
          <w:b/>
        </w:rPr>
        <w:t>ary</w:t>
      </w:r>
      <w:r w:rsidR="008557DB" w:rsidRPr="00B10BBE">
        <w:rPr>
          <w:b/>
        </w:rPr>
        <w:t xml:space="preserve"> credibility,</w:t>
      </w:r>
      <w:r w:rsidR="007E1173" w:rsidRPr="00B10BBE">
        <w:rPr>
          <w:b/>
        </w:rPr>
        <w:t xml:space="preserve"> </w:t>
      </w:r>
      <w:r w:rsidRPr="00B10BBE">
        <w:rPr>
          <w:b/>
        </w:rPr>
        <w:t xml:space="preserve">resulting in </w:t>
      </w:r>
      <w:r w:rsidR="008557DB" w:rsidRPr="00B10BBE">
        <w:rPr>
          <w:b/>
        </w:rPr>
        <w:t>large in-year budget deviations and the accumulation of arrears.</w:t>
      </w:r>
      <w:r w:rsidR="00781F03" w:rsidRPr="002D26BA">
        <w:t xml:space="preserve"> </w:t>
      </w:r>
      <w:r w:rsidR="007F403A">
        <w:t>Budget</w:t>
      </w:r>
      <w:r w:rsidR="002D26BA" w:rsidRPr="002D26BA">
        <w:t xml:space="preserve"> </w:t>
      </w:r>
      <w:r w:rsidR="00461937">
        <w:t>planning and execution are</w:t>
      </w:r>
      <w:r w:rsidR="007F403A">
        <w:t xml:space="preserve"> weakly linked</w:t>
      </w:r>
      <w:r w:rsidR="002D26BA" w:rsidRPr="002D26BA">
        <w:t>,</w:t>
      </w:r>
      <w:r w:rsidR="003B52D8">
        <w:t xml:space="preserve"> </w:t>
      </w:r>
      <w:r w:rsidR="007F403A">
        <w:t xml:space="preserve">expenditure </w:t>
      </w:r>
      <w:r w:rsidR="007F403A">
        <w:lastRenderedPageBreak/>
        <w:t xml:space="preserve">projections are </w:t>
      </w:r>
      <w:r w:rsidR="00461937">
        <w:t>imprecise</w:t>
      </w:r>
      <w:r w:rsidR="003B52D8">
        <w:t>, and t</w:t>
      </w:r>
      <w:r w:rsidR="00461937">
        <w:t>he</w:t>
      </w:r>
      <w:r w:rsidR="002D26BA" w:rsidRPr="002D26BA">
        <w:t xml:space="preserve"> budget </w:t>
      </w:r>
      <w:r w:rsidR="00461937">
        <w:t>itself is based on an outdated</w:t>
      </w:r>
      <w:r w:rsidR="002D26BA" w:rsidRPr="002D26BA">
        <w:t xml:space="preserve"> economic classification</w:t>
      </w:r>
      <w:r w:rsidR="003B52D8">
        <w:t>. Both f</w:t>
      </w:r>
      <w:r w:rsidR="002D26BA" w:rsidRPr="002D26BA">
        <w:t>iscal and financial report</w:t>
      </w:r>
      <w:r w:rsidR="00461937">
        <w:t>s are frequently late and include data at the aggregate level only</w:t>
      </w:r>
      <w:r w:rsidR="002D26BA" w:rsidRPr="002D26BA">
        <w:t>.</w:t>
      </w:r>
    </w:p>
    <w:p w14:paraId="6730C027" w14:textId="77777777" w:rsidR="00190CB1" w:rsidRPr="00B91C78" w:rsidRDefault="00114FAA" w:rsidP="00B10BBE">
      <w:pPr>
        <w:pStyle w:val="ListParagraph"/>
        <w:rPr>
          <w:rFonts w:eastAsia="Times New Roman"/>
        </w:rPr>
      </w:pPr>
      <w:r w:rsidRPr="00B10BBE">
        <w:rPr>
          <w:rFonts w:eastAsia="Times New Roman"/>
          <w:b/>
        </w:rPr>
        <w:t xml:space="preserve">The </w:t>
      </w:r>
      <w:r w:rsidR="00CA3380">
        <w:rPr>
          <w:rFonts w:eastAsia="Times New Roman"/>
          <w:b/>
        </w:rPr>
        <w:t xml:space="preserve">MoF </w:t>
      </w:r>
      <w:r w:rsidR="00CA3380" w:rsidRPr="00B10BBE">
        <w:rPr>
          <w:rFonts w:eastAsia="Times New Roman"/>
          <w:b/>
        </w:rPr>
        <w:t xml:space="preserve">and </w:t>
      </w:r>
      <w:r w:rsidR="002D7560">
        <w:rPr>
          <w:rFonts w:eastAsia="Times New Roman"/>
          <w:b/>
        </w:rPr>
        <w:t xml:space="preserve">the </w:t>
      </w:r>
      <w:r w:rsidR="00CA3380" w:rsidRPr="00B10BBE">
        <w:rPr>
          <w:rFonts w:eastAsia="Times New Roman"/>
          <w:b/>
        </w:rPr>
        <w:t xml:space="preserve">CAGD share </w:t>
      </w:r>
      <w:r w:rsidRPr="00B10BBE">
        <w:rPr>
          <w:rFonts w:eastAsia="Times New Roman"/>
          <w:b/>
        </w:rPr>
        <w:t xml:space="preserve">responsibility </w:t>
      </w:r>
      <w:r w:rsidR="00CA3380" w:rsidRPr="00B10BBE">
        <w:rPr>
          <w:rFonts w:eastAsia="Times New Roman"/>
          <w:b/>
        </w:rPr>
        <w:t xml:space="preserve">for </w:t>
      </w:r>
      <w:r w:rsidRPr="00B10BBE">
        <w:rPr>
          <w:rFonts w:eastAsia="Times New Roman"/>
          <w:b/>
        </w:rPr>
        <w:t>developing and executing the budget.</w:t>
      </w:r>
      <w:r w:rsidRPr="00114FAA">
        <w:rPr>
          <w:rFonts w:eastAsia="Times New Roman"/>
        </w:rPr>
        <w:t xml:space="preserve"> The </w:t>
      </w:r>
      <w:r w:rsidR="00CA3380">
        <w:rPr>
          <w:rFonts w:eastAsia="Times New Roman"/>
        </w:rPr>
        <w:t>MoF</w:t>
      </w:r>
      <w:r w:rsidRPr="00114FAA">
        <w:rPr>
          <w:rFonts w:eastAsia="Times New Roman"/>
        </w:rPr>
        <w:t xml:space="preserve"> </w:t>
      </w:r>
      <w:r w:rsidR="00CA3380">
        <w:rPr>
          <w:rFonts w:eastAsia="Times New Roman"/>
        </w:rPr>
        <w:t xml:space="preserve">formulates the draft budget in collaboration </w:t>
      </w:r>
      <w:r w:rsidRPr="00114FAA">
        <w:rPr>
          <w:rFonts w:eastAsia="Times New Roman"/>
        </w:rPr>
        <w:t xml:space="preserve">with </w:t>
      </w:r>
      <w:r w:rsidR="00CA3380">
        <w:rPr>
          <w:rFonts w:eastAsia="Times New Roman"/>
        </w:rPr>
        <w:t>the line ministries and other government agencies. O</w:t>
      </w:r>
      <w:r w:rsidRPr="00114FAA">
        <w:rPr>
          <w:rFonts w:eastAsia="Times New Roman"/>
        </w:rPr>
        <w:t xml:space="preserve">nce </w:t>
      </w:r>
      <w:r w:rsidR="00CA3380">
        <w:rPr>
          <w:rFonts w:eastAsia="Times New Roman"/>
        </w:rPr>
        <w:t xml:space="preserve">the budget has been </w:t>
      </w:r>
      <w:r w:rsidRPr="00114FAA">
        <w:rPr>
          <w:rFonts w:eastAsia="Times New Roman"/>
        </w:rPr>
        <w:t xml:space="preserve">approved, </w:t>
      </w:r>
      <w:r w:rsidR="00CA3380">
        <w:rPr>
          <w:rFonts w:eastAsia="Times New Roman"/>
        </w:rPr>
        <w:t xml:space="preserve">the MoF </w:t>
      </w:r>
      <w:r w:rsidRPr="00114FAA">
        <w:rPr>
          <w:rFonts w:eastAsia="Times New Roman"/>
        </w:rPr>
        <w:t>issues general warrants to the CAGD</w:t>
      </w:r>
      <w:r w:rsidR="00A84863">
        <w:rPr>
          <w:rFonts w:eastAsia="Times New Roman"/>
        </w:rPr>
        <w:t>,</w:t>
      </w:r>
      <w:r w:rsidRPr="00114FAA">
        <w:rPr>
          <w:rFonts w:eastAsia="Times New Roman"/>
        </w:rPr>
        <w:t xml:space="preserve"> </w:t>
      </w:r>
      <w:r w:rsidR="00CA3380">
        <w:rPr>
          <w:rFonts w:eastAsia="Times New Roman"/>
        </w:rPr>
        <w:t>allocating personnel</w:t>
      </w:r>
      <w:r w:rsidRPr="00114FAA">
        <w:rPr>
          <w:rFonts w:eastAsia="Times New Roman"/>
        </w:rPr>
        <w:t xml:space="preserve"> fund</w:t>
      </w:r>
      <w:r w:rsidR="00CA3380">
        <w:rPr>
          <w:rFonts w:eastAsia="Times New Roman"/>
        </w:rPr>
        <w:t xml:space="preserve">ing on an annual basis and procurement funding </w:t>
      </w:r>
      <w:r w:rsidRPr="00114FAA">
        <w:rPr>
          <w:rFonts w:eastAsia="Times New Roman"/>
        </w:rPr>
        <w:t xml:space="preserve">on a monthly basis. </w:t>
      </w:r>
      <w:r w:rsidR="003B52D8">
        <w:rPr>
          <w:rFonts w:eastAsia="Times New Roman"/>
        </w:rPr>
        <w:t xml:space="preserve">The </w:t>
      </w:r>
      <w:r w:rsidRPr="00114FAA">
        <w:rPr>
          <w:rFonts w:eastAsia="Times New Roman"/>
        </w:rPr>
        <w:t xml:space="preserve">CAGD then sets </w:t>
      </w:r>
      <w:r w:rsidR="00A731EC">
        <w:rPr>
          <w:rFonts w:eastAsia="Times New Roman"/>
        </w:rPr>
        <w:t>parameters for transferring personnel and procurement funding to line ministries and public agencies</w:t>
      </w:r>
      <w:r w:rsidRPr="00114FAA">
        <w:rPr>
          <w:rFonts w:eastAsia="Times New Roman"/>
        </w:rPr>
        <w:t xml:space="preserve">. </w:t>
      </w:r>
      <w:r w:rsidR="007473A8">
        <w:rPr>
          <w:rFonts w:eastAsia="Times New Roman"/>
        </w:rPr>
        <w:t xml:space="preserve">The MoF’s </w:t>
      </w:r>
      <w:r w:rsidR="007473A8" w:rsidRPr="00114FAA">
        <w:rPr>
          <w:rFonts w:eastAsia="Times New Roman"/>
        </w:rPr>
        <w:t xml:space="preserve">Expenditure Monitoring Unit </w:t>
      </w:r>
      <w:r w:rsidR="007473A8">
        <w:rPr>
          <w:rFonts w:eastAsia="Times New Roman"/>
        </w:rPr>
        <w:t>is responsible for</w:t>
      </w:r>
      <w:r w:rsidRPr="00114FAA">
        <w:rPr>
          <w:rFonts w:eastAsia="Times New Roman"/>
        </w:rPr>
        <w:t xml:space="preserve"> </w:t>
      </w:r>
      <w:r w:rsidR="007473A8">
        <w:rPr>
          <w:rFonts w:eastAsia="Times New Roman"/>
        </w:rPr>
        <w:t>overseeing all ministry and agency</w:t>
      </w:r>
      <w:r w:rsidRPr="00114FAA">
        <w:rPr>
          <w:rFonts w:eastAsia="Times New Roman"/>
        </w:rPr>
        <w:t xml:space="preserve"> budgets.</w:t>
      </w:r>
    </w:p>
    <w:p w14:paraId="54488018" w14:textId="50DFDA40" w:rsidR="00985ECB" w:rsidRDefault="001A5129" w:rsidP="00557FD1">
      <w:pPr>
        <w:pStyle w:val="ListParagraph"/>
      </w:pPr>
      <w:r>
        <w:rPr>
          <w:b/>
        </w:rPr>
        <w:t>Large disparities between allocat</w:t>
      </w:r>
      <w:r w:rsidR="00F067C5">
        <w:rPr>
          <w:b/>
        </w:rPr>
        <w:t>ed resources</w:t>
      </w:r>
      <w:r>
        <w:rPr>
          <w:b/>
        </w:rPr>
        <w:t xml:space="preserve"> and actual spending </w:t>
      </w:r>
      <w:r w:rsidR="00E07712">
        <w:rPr>
          <w:b/>
        </w:rPr>
        <w:t xml:space="preserve">weaken </w:t>
      </w:r>
      <w:r w:rsidR="00F067C5">
        <w:rPr>
          <w:b/>
        </w:rPr>
        <w:t xml:space="preserve">budgetary </w:t>
      </w:r>
      <w:r>
        <w:rPr>
          <w:b/>
        </w:rPr>
        <w:t>c</w:t>
      </w:r>
      <w:r w:rsidR="00B91C78" w:rsidRPr="00B10BBE">
        <w:rPr>
          <w:b/>
        </w:rPr>
        <w:t>redibility.</w:t>
      </w:r>
      <w:r w:rsidR="00B91C78" w:rsidRPr="00D07A1A">
        <w:t xml:space="preserve"> Both revenue and expenditure projections have been </w:t>
      </w:r>
      <w:r w:rsidR="007B06DB">
        <w:t>highly inaccurate</w:t>
      </w:r>
      <w:r w:rsidR="00B91C78" w:rsidRPr="00D07A1A">
        <w:t xml:space="preserve"> in recent years </w:t>
      </w:r>
      <w:r w:rsidR="007B06DB">
        <w:t>due to over</w:t>
      </w:r>
      <w:r w:rsidR="00B91C78" w:rsidRPr="00D07A1A">
        <w:t xml:space="preserve">optimistic revenue projections, </w:t>
      </w:r>
      <w:r w:rsidR="009C561C">
        <w:t>inadequate</w:t>
      </w:r>
      <w:r w:rsidR="009C561C" w:rsidRPr="00D07A1A">
        <w:t xml:space="preserve"> </w:t>
      </w:r>
      <w:r w:rsidR="00B91C78" w:rsidRPr="00D07A1A">
        <w:t>commitment controls</w:t>
      </w:r>
      <w:r w:rsidR="004B01A7">
        <w:t>,</w:t>
      </w:r>
      <w:r w:rsidR="00B91C78" w:rsidRPr="00D07A1A">
        <w:t xml:space="preserve"> and </w:t>
      </w:r>
      <w:r w:rsidR="007B06DB">
        <w:t>limited</w:t>
      </w:r>
      <w:r w:rsidR="007B06DB" w:rsidRPr="00D07A1A">
        <w:t xml:space="preserve"> </w:t>
      </w:r>
      <w:r w:rsidR="007B06DB">
        <w:t xml:space="preserve">monitoring and enforcement of budgetary </w:t>
      </w:r>
      <w:r w:rsidR="00B91C78" w:rsidRPr="00D07A1A">
        <w:t>compliance</w:t>
      </w:r>
      <w:r w:rsidR="00F067C5">
        <w:t xml:space="preserve"> </w:t>
      </w:r>
      <w:r w:rsidR="00F067C5" w:rsidRPr="00D07A1A">
        <w:t>(</w:t>
      </w:r>
      <w:r w:rsidR="00A015A0">
        <w:fldChar w:fldCharType="begin"/>
      </w:r>
      <w:r w:rsidR="00A015A0">
        <w:instrText xml:space="preserve"> REF _Ref472430480 \h </w:instrText>
      </w:r>
      <w:r w:rsidR="00A015A0">
        <w:fldChar w:fldCharType="separate"/>
      </w:r>
      <w:r w:rsidR="007B1CE6" w:rsidRPr="00B5573F">
        <w:t xml:space="preserve">Figure </w:t>
      </w:r>
      <w:r w:rsidR="007B1CE6">
        <w:rPr>
          <w:noProof/>
        </w:rPr>
        <w:t>1</w:t>
      </w:r>
      <w:r w:rsidR="007B1CE6" w:rsidRPr="00B5573F">
        <w:t>.</w:t>
      </w:r>
      <w:r w:rsidR="007B1CE6">
        <w:rPr>
          <w:noProof/>
        </w:rPr>
        <w:t>16</w:t>
      </w:r>
      <w:r w:rsidR="00A015A0">
        <w:fldChar w:fldCharType="end"/>
      </w:r>
      <w:r w:rsidR="00F067C5" w:rsidRPr="00D07A1A">
        <w:t>)</w:t>
      </w:r>
      <w:r w:rsidR="00B91C78" w:rsidRPr="00D07A1A">
        <w:t xml:space="preserve">. Actual </w:t>
      </w:r>
      <w:r w:rsidR="007B06DB">
        <w:t xml:space="preserve">personnel costs </w:t>
      </w:r>
      <w:r w:rsidR="00B91C78" w:rsidRPr="00D07A1A">
        <w:t>have systematically exceed</w:t>
      </w:r>
      <w:r w:rsidR="00F067C5">
        <w:t>ed</w:t>
      </w:r>
      <w:r w:rsidR="00B91C78" w:rsidRPr="00D07A1A">
        <w:t xml:space="preserve"> </w:t>
      </w:r>
      <w:r w:rsidR="007B06DB">
        <w:t>budget</w:t>
      </w:r>
      <w:r w:rsidR="00B91C78" w:rsidRPr="00D07A1A">
        <w:t xml:space="preserve"> </w:t>
      </w:r>
      <w:r w:rsidR="00F067C5">
        <w:t>allocations</w:t>
      </w:r>
      <w:r w:rsidR="00F067C5" w:rsidRPr="00D07A1A">
        <w:t xml:space="preserve"> </w:t>
      </w:r>
      <w:r w:rsidR="00691785">
        <w:t>between</w:t>
      </w:r>
      <w:r w:rsidR="00691785" w:rsidRPr="00D07A1A">
        <w:t xml:space="preserve"> </w:t>
      </w:r>
      <w:r w:rsidR="00B91C78" w:rsidRPr="00D07A1A">
        <w:t>2012</w:t>
      </w:r>
      <w:r w:rsidR="00691785">
        <w:t xml:space="preserve"> and 2014</w:t>
      </w:r>
      <w:r w:rsidR="00B91C78" w:rsidRPr="00D07A1A">
        <w:t xml:space="preserve">, </w:t>
      </w:r>
      <w:r w:rsidR="007B06DB">
        <w:t>with</w:t>
      </w:r>
      <w:r w:rsidR="007B06DB" w:rsidRPr="00D07A1A">
        <w:t xml:space="preserve"> </w:t>
      </w:r>
      <w:r w:rsidR="007B06DB">
        <w:t>a steep</w:t>
      </w:r>
      <w:r w:rsidR="00B91C78" w:rsidRPr="00D07A1A">
        <w:t xml:space="preserve"> drop in investment and</w:t>
      </w:r>
      <w:r w:rsidR="009C561C">
        <w:t xml:space="preserve"> large</w:t>
      </w:r>
      <w:r w:rsidR="00B91C78" w:rsidRPr="00D07A1A">
        <w:t xml:space="preserve"> </w:t>
      </w:r>
      <w:r w:rsidR="007B06DB">
        <w:t xml:space="preserve">intergovernmental fiscal </w:t>
      </w:r>
      <w:r w:rsidR="00B91C78" w:rsidRPr="00D07A1A">
        <w:t>transfer</w:t>
      </w:r>
      <w:r w:rsidR="007B06DB">
        <w:t>s</w:t>
      </w:r>
      <w:r w:rsidR="00B91C78" w:rsidRPr="00D07A1A">
        <w:t xml:space="preserve"> </w:t>
      </w:r>
      <w:r w:rsidR="007B06DB">
        <w:t>covering the difference (</w:t>
      </w:r>
      <w:r w:rsidR="00A015A0">
        <w:fldChar w:fldCharType="begin"/>
      </w:r>
      <w:r w:rsidR="00A015A0">
        <w:instrText xml:space="preserve"> REF _Ref472430488 \h </w:instrText>
      </w:r>
      <w:r w:rsidR="00A015A0">
        <w:fldChar w:fldCharType="separate"/>
      </w:r>
      <w:r w:rsidR="007B1CE6" w:rsidRPr="00B5573F">
        <w:t xml:space="preserve">Figure </w:t>
      </w:r>
      <w:r w:rsidR="007B1CE6">
        <w:rPr>
          <w:noProof/>
        </w:rPr>
        <w:t>1</w:t>
      </w:r>
      <w:r w:rsidR="007B1CE6" w:rsidRPr="00B5573F">
        <w:t>.</w:t>
      </w:r>
      <w:r w:rsidR="007B1CE6">
        <w:rPr>
          <w:noProof/>
        </w:rPr>
        <w:t>17</w:t>
      </w:r>
      <w:r w:rsidR="00A015A0">
        <w:fldChar w:fldCharType="end"/>
      </w:r>
      <w:r w:rsidR="00B91C78" w:rsidRPr="00D07A1A">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0"/>
        <w:gridCol w:w="4514"/>
      </w:tblGrid>
      <w:tr w:rsidR="00E73360" w:rsidRPr="00E33FE3" w14:paraId="7D1B37AE" w14:textId="77777777" w:rsidTr="00E07712">
        <w:trPr>
          <w:trHeight w:val="3581"/>
        </w:trPr>
        <w:tc>
          <w:tcPr>
            <w:tcW w:w="4500" w:type="dxa"/>
          </w:tcPr>
          <w:p w14:paraId="7C66F015" w14:textId="77777777" w:rsidR="00E73360" w:rsidRPr="00B5573F" w:rsidRDefault="00E73360" w:rsidP="00E07712">
            <w:pPr>
              <w:pStyle w:val="Caption"/>
              <w:rPr>
                <w:lang w:val="en-US"/>
              </w:rPr>
            </w:pPr>
            <w:bookmarkStart w:id="50" w:name="_Ref472430480"/>
            <w:bookmarkStart w:id="51" w:name="_Ref472430469"/>
            <w:bookmarkStart w:id="52" w:name="_Toc479624928"/>
            <w:r w:rsidRPr="00B5573F">
              <w:rPr>
                <w:lang w:val="en-US"/>
              </w:rPr>
              <w:t xml:space="preserve">Figure </w:t>
            </w:r>
            <w:r w:rsidRPr="00B5573F">
              <w:rPr>
                <w:lang w:val="en-US"/>
              </w:rPr>
              <w:fldChar w:fldCharType="begin"/>
            </w:r>
            <w:r w:rsidRPr="00B5573F">
              <w:rPr>
                <w:lang w:val="en-US"/>
              </w:rPr>
              <w:instrText xml:space="preserve"> STYLEREF 1 \s </w:instrText>
            </w:r>
            <w:r w:rsidRPr="00B5573F">
              <w:rPr>
                <w:lang w:val="en-US"/>
              </w:rPr>
              <w:fldChar w:fldCharType="separate"/>
            </w:r>
            <w:r w:rsidR="007B1CE6">
              <w:rPr>
                <w:noProof/>
                <w:lang w:val="en-US"/>
              </w:rPr>
              <w:t>1</w:t>
            </w:r>
            <w:r w:rsidRPr="00B5573F">
              <w:rPr>
                <w:lang w:val="en-US"/>
              </w:rPr>
              <w:fldChar w:fldCharType="end"/>
            </w:r>
            <w:r w:rsidRPr="00B5573F">
              <w:rPr>
                <w:lang w:val="en-US"/>
              </w:rPr>
              <w:t>.</w:t>
            </w:r>
            <w:r w:rsidRPr="00B5573F">
              <w:rPr>
                <w:lang w:val="en-US"/>
              </w:rPr>
              <w:fldChar w:fldCharType="begin"/>
            </w:r>
            <w:r w:rsidRPr="00B5573F">
              <w:rPr>
                <w:lang w:val="en-US"/>
              </w:rPr>
              <w:instrText xml:space="preserve"> SEQ Figure \* ARABIC \s 1 </w:instrText>
            </w:r>
            <w:r w:rsidRPr="00B5573F">
              <w:rPr>
                <w:lang w:val="en-US"/>
              </w:rPr>
              <w:fldChar w:fldCharType="separate"/>
            </w:r>
            <w:r w:rsidR="007B1CE6">
              <w:rPr>
                <w:noProof/>
                <w:lang w:val="en-US"/>
              </w:rPr>
              <w:t>16</w:t>
            </w:r>
            <w:r w:rsidRPr="00B5573F">
              <w:rPr>
                <w:lang w:val="en-US"/>
              </w:rPr>
              <w:fldChar w:fldCharType="end"/>
            </w:r>
            <w:bookmarkEnd w:id="50"/>
            <w:r w:rsidRPr="00B5573F">
              <w:rPr>
                <w:lang w:val="en-US"/>
              </w:rPr>
              <w:t>: Revenues and Expenditures, Actual</w:t>
            </w:r>
            <w:r w:rsidR="00C87120">
              <w:rPr>
                <w:lang w:val="en-US"/>
              </w:rPr>
              <w:t xml:space="preserve"> </w:t>
            </w:r>
            <w:r w:rsidR="00C87120" w:rsidRPr="00B5573F">
              <w:rPr>
                <w:lang w:val="en-US"/>
              </w:rPr>
              <w:t>v.</w:t>
            </w:r>
            <w:r w:rsidR="00C87120">
              <w:rPr>
                <w:lang w:val="en-US"/>
              </w:rPr>
              <w:t xml:space="preserve"> </w:t>
            </w:r>
            <w:r w:rsidR="00C87120" w:rsidRPr="00B5573F">
              <w:rPr>
                <w:lang w:val="en-US"/>
              </w:rPr>
              <w:t>Budgeted</w:t>
            </w:r>
            <w:r w:rsidRPr="00B5573F">
              <w:rPr>
                <w:lang w:val="en-US"/>
              </w:rPr>
              <w:t>, 2008-2016</w:t>
            </w:r>
            <w:bookmarkEnd w:id="51"/>
            <w:bookmarkEnd w:id="52"/>
          </w:p>
          <w:p w14:paraId="14154DE4" w14:textId="77777777" w:rsidR="00E73360" w:rsidRPr="00A846FB" w:rsidRDefault="00E73360" w:rsidP="00E07712">
            <w:pPr>
              <w:jc w:val="center"/>
            </w:pPr>
          </w:p>
          <w:p w14:paraId="1059EBD6" w14:textId="77777777" w:rsidR="00E73360" w:rsidRPr="00E33FE3" w:rsidRDefault="005849CC" w:rsidP="00E07712">
            <w:pPr>
              <w:jc w:val="center"/>
              <w:rPr>
                <w:rFonts w:ascii="Calibri" w:eastAsia="Calibri" w:hAnsi="Calibri" w:cs="Times New Roman"/>
              </w:rPr>
            </w:pPr>
            <w:r>
              <w:rPr>
                <w:rFonts w:ascii="Calibri" w:eastAsia="Calibri" w:hAnsi="Calibri" w:cs="Times New Roman"/>
                <w:noProof/>
              </w:rPr>
              <w:drawing>
                <wp:inline distT="0" distB="0" distL="0" distR="0" wp14:anchorId="16F3DA3E" wp14:editId="240846B5">
                  <wp:extent cx="2518137" cy="237978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3813" cy="2385149"/>
                          </a:xfrm>
                          <a:prstGeom prst="rect">
                            <a:avLst/>
                          </a:prstGeom>
                          <a:noFill/>
                        </pic:spPr>
                      </pic:pic>
                    </a:graphicData>
                  </a:graphic>
                </wp:inline>
              </w:drawing>
            </w:r>
          </w:p>
        </w:tc>
        <w:tc>
          <w:tcPr>
            <w:tcW w:w="4514" w:type="dxa"/>
            <w:vAlign w:val="center"/>
          </w:tcPr>
          <w:p w14:paraId="64B93992" w14:textId="77777777" w:rsidR="00E73360" w:rsidRPr="00B5573F" w:rsidRDefault="00E73360" w:rsidP="00E07712">
            <w:pPr>
              <w:pStyle w:val="Caption"/>
              <w:rPr>
                <w:lang w:val="en-US"/>
              </w:rPr>
            </w:pPr>
            <w:bookmarkStart w:id="53" w:name="_Ref472430488"/>
            <w:bookmarkStart w:id="54" w:name="_Toc479624929"/>
            <w:r w:rsidRPr="00B5573F">
              <w:rPr>
                <w:lang w:val="en-US"/>
              </w:rPr>
              <w:t xml:space="preserve">Figure </w:t>
            </w:r>
            <w:r w:rsidRPr="00B5573F">
              <w:rPr>
                <w:lang w:val="en-US"/>
              </w:rPr>
              <w:fldChar w:fldCharType="begin"/>
            </w:r>
            <w:r w:rsidRPr="00B5573F">
              <w:rPr>
                <w:lang w:val="en-US"/>
              </w:rPr>
              <w:instrText xml:space="preserve"> STYLEREF 1 \s </w:instrText>
            </w:r>
            <w:r w:rsidRPr="00B5573F">
              <w:rPr>
                <w:lang w:val="en-US"/>
              </w:rPr>
              <w:fldChar w:fldCharType="separate"/>
            </w:r>
            <w:r w:rsidR="007B1CE6">
              <w:rPr>
                <w:noProof/>
                <w:lang w:val="en-US"/>
              </w:rPr>
              <w:t>1</w:t>
            </w:r>
            <w:r w:rsidRPr="00B5573F">
              <w:rPr>
                <w:lang w:val="en-US"/>
              </w:rPr>
              <w:fldChar w:fldCharType="end"/>
            </w:r>
            <w:r w:rsidRPr="00B5573F">
              <w:rPr>
                <w:lang w:val="en-US"/>
              </w:rPr>
              <w:t>.</w:t>
            </w:r>
            <w:r w:rsidRPr="00B5573F">
              <w:rPr>
                <w:lang w:val="en-US"/>
              </w:rPr>
              <w:fldChar w:fldCharType="begin"/>
            </w:r>
            <w:r w:rsidRPr="00B5573F">
              <w:rPr>
                <w:lang w:val="en-US"/>
              </w:rPr>
              <w:instrText xml:space="preserve"> SEQ Figure \* ARABIC \s 1 </w:instrText>
            </w:r>
            <w:r w:rsidRPr="00B5573F">
              <w:rPr>
                <w:lang w:val="en-US"/>
              </w:rPr>
              <w:fldChar w:fldCharType="separate"/>
            </w:r>
            <w:r w:rsidR="007B1CE6">
              <w:rPr>
                <w:noProof/>
                <w:lang w:val="en-US"/>
              </w:rPr>
              <w:t>17</w:t>
            </w:r>
            <w:r w:rsidRPr="00B5573F">
              <w:rPr>
                <w:lang w:val="en-US"/>
              </w:rPr>
              <w:fldChar w:fldCharType="end"/>
            </w:r>
            <w:bookmarkEnd w:id="53"/>
            <w:r w:rsidRPr="00B5573F">
              <w:rPr>
                <w:lang w:val="en-US"/>
              </w:rPr>
              <w:t xml:space="preserve">: Expenditures by Category, </w:t>
            </w:r>
            <w:r w:rsidR="00C87120" w:rsidRPr="00B5573F">
              <w:rPr>
                <w:lang w:val="en-US"/>
              </w:rPr>
              <w:t>Actual</w:t>
            </w:r>
            <w:r w:rsidR="00C87120">
              <w:rPr>
                <w:lang w:val="en-US"/>
              </w:rPr>
              <w:t xml:space="preserve"> </w:t>
            </w:r>
            <w:r w:rsidR="00C87120" w:rsidRPr="00B5573F">
              <w:rPr>
                <w:lang w:val="en-US"/>
              </w:rPr>
              <w:t>v.</w:t>
            </w:r>
            <w:r w:rsidR="00C87120">
              <w:rPr>
                <w:lang w:val="en-US"/>
              </w:rPr>
              <w:t xml:space="preserve"> </w:t>
            </w:r>
            <w:r w:rsidR="00C87120" w:rsidRPr="00B5573F">
              <w:rPr>
                <w:lang w:val="en-US"/>
              </w:rPr>
              <w:t>Budgeted</w:t>
            </w:r>
            <w:r w:rsidRPr="00B5573F">
              <w:rPr>
                <w:lang w:val="en-US"/>
              </w:rPr>
              <w:t>, 2011-2016</w:t>
            </w:r>
            <w:bookmarkEnd w:id="54"/>
            <w:r w:rsidR="00C87120">
              <w:rPr>
                <w:rFonts w:ascii="Calibri" w:eastAsia="Calibri" w:hAnsi="Calibri" w:cs="Times New Roman"/>
                <w:noProof/>
                <w:lang w:val="en-US" w:eastAsia="en-US"/>
              </w:rPr>
              <w:drawing>
                <wp:inline distT="0" distB="0" distL="0" distR="0" wp14:anchorId="6C8D517D" wp14:editId="047C0A0C">
                  <wp:extent cx="2681133" cy="2426677"/>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6096" cy="2431169"/>
                          </a:xfrm>
                          <a:prstGeom prst="rect">
                            <a:avLst/>
                          </a:prstGeom>
                          <a:noFill/>
                        </pic:spPr>
                      </pic:pic>
                    </a:graphicData>
                  </a:graphic>
                </wp:inline>
              </w:drawing>
            </w:r>
          </w:p>
          <w:p w14:paraId="30E28529" w14:textId="77777777" w:rsidR="00E73360" w:rsidRPr="00E33FE3" w:rsidRDefault="00E73360" w:rsidP="00E07712">
            <w:pPr>
              <w:ind w:left="-14"/>
              <w:jc w:val="both"/>
              <w:rPr>
                <w:rFonts w:ascii="Calibri" w:eastAsia="Calibri" w:hAnsi="Calibri" w:cs="Times New Roman"/>
              </w:rPr>
            </w:pPr>
          </w:p>
        </w:tc>
      </w:tr>
      <w:tr w:rsidR="00E73360" w:rsidRPr="00E33FE3" w14:paraId="0346F90F" w14:textId="77777777" w:rsidTr="00E07712">
        <w:trPr>
          <w:trHeight w:val="58"/>
        </w:trPr>
        <w:tc>
          <w:tcPr>
            <w:tcW w:w="4500" w:type="dxa"/>
            <w:vAlign w:val="center"/>
          </w:tcPr>
          <w:p w14:paraId="1833FA7C" w14:textId="77777777" w:rsidR="00E73360" w:rsidRPr="00B5573F" w:rsidRDefault="00E73360" w:rsidP="00980C61">
            <w:pPr>
              <w:rPr>
                <w:rFonts w:ascii="Garamond" w:hAnsi="Garamond"/>
                <w:sz w:val="20"/>
                <w:szCs w:val="20"/>
                <w:lang w:val="en-US"/>
              </w:rPr>
            </w:pPr>
            <w:r w:rsidRPr="004B01A7">
              <w:rPr>
                <w:rFonts w:ascii="Garamond" w:hAnsi="Garamond"/>
                <w:i/>
                <w:sz w:val="20"/>
                <w:szCs w:val="20"/>
              </w:rPr>
              <w:t>Source:</w:t>
            </w:r>
            <w:r w:rsidRPr="004B01A7">
              <w:rPr>
                <w:rFonts w:ascii="Garamond" w:hAnsi="Garamond"/>
                <w:sz w:val="20"/>
                <w:szCs w:val="20"/>
              </w:rPr>
              <w:t xml:space="preserve"> Ghana Ministry of Finance</w:t>
            </w:r>
          </w:p>
        </w:tc>
        <w:tc>
          <w:tcPr>
            <w:tcW w:w="4514" w:type="dxa"/>
            <w:vAlign w:val="center"/>
          </w:tcPr>
          <w:p w14:paraId="1D1D2CA8" w14:textId="77777777" w:rsidR="00E73360" w:rsidRPr="00B5573F" w:rsidRDefault="00E73360" w:rsidP="00461623">
            <w:pPr>
              <w:rPr>
                <w:rFonts w:ascii="Garamond" w:hAnsi="Garamond"/>
                <w:sz w:val="20"/>
                <w:szCs w:val="20"/>
                <w:lang w:val="en-US"/>
              </w:rPr>
            </w:pPr>
            <w:r w:rsidRPr="004B01A7">
              <w:rPr>
                <w:rFonts w:ascii="Garamond" w:hAnsi="Garamond"/>
                <w:i/>
                <w:sz w:val="20"/>
                <w:szCs w:val="20"/>
              </w:rPr>
              <w:t>Source:</w:t>
            </w:r>
            <w:r w:rsidRPr="004B01A7">
              <w:rPr>
                <w:rFonts w:ascii="Garamond" w:hAnsi="Garamond"/>
                <w:sz w:val="20"/>
                <w:szCs w:val="20"/>
              </w:rPr>
              <w:t xml:space="preserve"> Ghana Ministry of Finance</w:t>
            </w:r>
          </w:p>
        </w:tc>
      </w:tr>
    </w:tbl>
    <w:p w14:paraId="54CD67A0" w14:textId="77777777" w:rsidR="008D0983" w:rsidRPr="008D0983" w:rsidRDefault="00A23D57" w:rsidP="00CA353D">
      <w:pPr>
        <w:pStyle w:val="ListParagraph"/>
        <w:spacing w:before="240"/>
      </w:pPr>
      <w:r>
        <w:rPr>
          <w:b/>
        </w:rPr>
        <w:t xml:space="preserve">The use of multiple </w:t>
      </w:r>
      <w:r w:rsidR="00C02D7C">
        <w:rPr>
          <w:b/>
        </w:rPr>
        <w:t>statutory</w:t>
      </w:r>
      <w:r>
        <w:rPr>
          <w:b/>
        </w:rPr>
        <w:t xml:space="preserve"> funds increases b</w:t>
      </w:r>
      <w:r w:rsidR="00053CB3">
        <w:rPr>
          <w:b/>
        </w:rPr>
        <w:t xml:space="preserve">udgetary rigidity </w:t>
      </w:r>
      <w:r>
        <w:rPr>
          <w:b/>
        </w:rPr>
        <w:t xml:space="preserve">and </w:t>
      </w:r>
      <w:r w:rsidR="00053CB3">
        <w:rPr>
          <w:b/>
        </w:rPr>
        <w:t>limits the scope</w:t>
      </w:r>
      <w:r w:rsidR="006F6720" w:rsidRPr="00985ECB">
        <w:rPr>
          <w:b/>
        </w:rPr>
        <w:t xml:space="preserve"> for discretionary</w:t>
      </w:r>
      <w:r w:rsidR="00985ECB" w:rsidRPr="00985ECB">
        <w:rPr>
          <w:b/>
        </w:rPr>
        <w:t xml:space="preserve"> spending</w:t>
      </w:r>
      <w:r w:rsidR="006F6720" w:rsidRPr="00985ECB">
        <w:rPr>
          <w:b/>
        </w:rPr>
        <w:t>.</w:t>
      </w:r>
      <w:r w:rsidR="00985ECB" w:rsidRPr="00985ECB">
        <w:t xml:space="preserve"> </w:t>
      </w:r>
      <w:r w:rsidR="00CF6BF6">
        <w:t>In principle, the MoF is obliged to transfer a</w:t>
      </w:r>
      <w:r w:rsidR="00A06DB1" w:rsidRPr="00985ECB">
        <w:t xml:space="preserve"> </w:t>
      </w:r>
      <w:r w:rsidR="00CF6BF6">
        <w:t>predetermined</w:t>
      </w:r>
      <w:r w:rsidR="00CF6BF6" w:rsidRPr="00985ECB">
        <w:t xml:space="preserve"> </w:t>
      </w:r>
      <w:r w:rsidR="00CF6BF6">
        <w:t>share</w:t>
      </w:r>
      <w:r w:rsidR="00CF6BF6" w:rsidRPr="00985ECB">
        <w:t xml:space="preserve"> </w:t>
      </w:r>
      <w:r w:rsidR="00A06DB1" w:rsidRPr="00985ECB">
        <w:t xml:space="preserve">of </w:t>
      </w:r>
      <w:r w:rsidR="00B10BBE">
        <w:t xml:space="preserve">certain </w:t>
      </w:r>
      <w:r w:rsidR="00A06DB1" w:rsidRPr="00985ECB">
        <w:t>tax revenue</w:t>
      </w:r>
      <w:r w:rsidR="00005A9F">
        <w:t>s</w:t>
      </w:r>
      <w:r w:rsidR="00CF6BF6">
        <w:t xml:space="preserve"> into the</w:t>
      </w:r>
      <w:r w:rsidR="009C561C">
        <w:t xml:space="preserve"> </w:t>
      </w:r>
      <w:r w:rsidR="00CF6BF6">
        <w:t xml:space="preserve">accounts </w:t>
      </w:r>
      <w:r w:rsidR="009C561C">
        <w:t xml:space="preserve">of statutory funds </w:t>
      </w:r>
      <w:r w:rsidR="00CF6BF6">
        <w:t xml:space="preserve">each year, but in practice repeated delays have led to the </w:t>
      </w:r>
      <w:r w:rsidR="00CF6BF6" w:rsidRPr="00B06F8B">
        <w:t>accumulation</w:t>
      </w:r>
      <w:r w:rsidR="00CF6BF6">
        <w:t xml:space="preserve"> of arrears in </w:t>
      </w:r>
      <w:r w:rsidR="00005A9F">
        <w:t xml:space="preserve">the </w:t>
      </w:r>
      <w:r w:rsidR="00CF6BF6">
        <w:t>earmarked accounts</w:t>
      </w:r>
      <w:r w:rsidR="00A06DB1" w:rsidRPr="00985ECB">
        <w:t>.</w:t>
      </w:r>
      <w:r w:rsidR="00985ECB" w:rsidRPr="00985ECB">
        <w:t xml:space="preserve"> </w:t>
      </w:r>
      <w:r w:rsidR="009C561C">
        <w:t>Together, f</w:t>
      </w:r>
      <w:r w:rsidR="00A06DB1" w:rsidRPr="00985ECB">
        <w:t xml:space="preserve">ive </w:t>
      </w:r>
      <w:r w:rsidR="00C02D7C">
        <w:t xml:space="preserve">of the seven </w:t>
      </w:r>
      <w:r w:rsidR="00A06DB1" w:rsidRPr="00985ECB">
        <w:t>major statutory funds</w:t>
      </w:r>
      <w:r w:rsidR="00C02D7C" w:rsidRPr="006F3929">
        <w:rPr>
          <w:rStyle w:val="FootnoteReference"/>
          <w:rFonts w:cs="Times New Roman"/>
        </w:rPr>
        <w:footnoteReference w:id="30"/>
      </w:r>
      <w:r w:rsidR="00C02D7C">
        <w:t xml:space="preserve"> </w:t>
      </w:r>
      <w:r w:rsidR="00A06DB1" w:rsidRPr="00985ECB">
        <w:t xml:space="preserve">represent about 15 percent of all </w:t>
      </w:r>
      <w:r w:rsidR="00C02D7C">
        <w:t xml:space="preserve">central government </w:t>
      </w:r>
      <w:r w:rsidR="00A06DB1" w:rsidRPr="00985ECB">
        <w:t>revenue</w:t>
      </w:r>
      <w:r w:rsidR="009C561C">
        <w:t>, and specific rules in their governing legislation define how these resources</w:t>
      </w:r>
      <w:r w:rsidR="009C561C" w:rsidRPr="00985ECB">
        <w:t xml:space="preserve"> </w:t>
      </w:r>
      <w:r w:rsidR="009C561C">
        <w:t>are to be spent</w:t>
      </w:r>
      <w:r w:rsidR="00985ECB" w:rsidRPr="00985ECB">
        <w:t xml:space="preserve">. </w:t>
      </w:r>
      <w:r w:rsidR="009C561C">
        <w:t>S</w:t>
      </w:r>
      <w:r w:rsidR="00850225">
        <w:t xml:space="preserve">tatutory </w:t>
      </w:r>
      <w:r w:rsidR="00985ECB">
        <w:t>funds</w:t>
      </w:r>
      <w:r w:rsidR="00850225">
        <w:t xml:space="preserve">, </w:t>
      </w:r>
      <w:r w:rsidR="00005A9F">
        <w:t xml:space="preserve">combined </w:t>
      </w:r>
      <w:r w:rsidR="00832040">
        <w:t>with</w:t>
      </w:r>
      <w:r w:rsidR="00985ECB" w:rsidRPr="00985ECB">
        <w:t xml:space="preserve"> </w:t>
      </w:r>
      <w:r w:rsidR="007C381A" w:rsidRPr="00985ECB">
        <w:lastRenderedPageBreak/>
        <w:t xml:space="preserve">other </w:t>
      </w:r>
      <w:r w:rsidR="009C561C">
        <w:t>formally or</w:t>
      </w:r>
      <w:r w:rsidR="00850225">
        <w:t xml:space="preserve"> effectively nondiscretionary </w:t>
      </w:r>
      <w:r w:rsidR="007C381A" w:rsidRPr="00985ECB">
        <w:t>expenditures</w:t>
      </w:r>
      <w:r w:rsidR="002709F7" w:rsidRPr="00985ECB">
        <w:t xml:space="preserve"> such as </w:t>
      </w:r>
      <w:r w:rsidR="007C381A" w:rsidRPr="00985ECB">
        <w:t>interest payments</w:t>
      </w:r>
      <w:r w:rsidR="00985ECB" w:rsidRPr="00985ECB">
        <w:t xml:space="preserve"> and </w:t>
      </w:r>
      <w:r w:rsidR="00850225">
        <w:t>the wage bill</w:t>
      </w:r>
      <w:r w:rsidR="00985ECB" w:rsidRPr="00985ECB">
        <w:t xml:space="preserve">, </w:t>
      </w:r>
      <w:r w:rsidR="00850225">
        <w:t xml:space="preserve">have </w:t>
      </w:r>
      <w:r w:rsidR="00985ECB">
        <w:t>account</w:t>
      </w:r>
      <w:r w:rsidR="008D0983">
        <w:t>ed</w:t>
      </w:r>
      <w:r w:rsidR="00985ECB">
        <w:t xml:space="preserve"> for more </w:t>
      </w:r>
      <w:r w:rsidR="00EB2D07">
        <w:t xml:space="preserve">two-thirds of </w:t>
      </w:r>
      <w:r w:rsidR="00850225">
        <w:t>public spending</w:t>
      </w:r>
      <w:r w:rsidR="009C561C">
        <w:t xml:space="preserve"> in recent years</w:t>
      </w:r>
      <w:r w:rsidR="002625F1">
        <w:t>.</w:t>
      </w:r>
    </w:p>
    <w:p w14:paraId="670D4149" w14:textId="77777777" w:rsidR="00985ECB" w:rsidRPr="007603EC" w:rsidRDefault="00014A17" w:rsidP="004C61EF">
      <w:pPr>
        <w:pStyle w:val="ListParagraph"/>
      </w:pPr>
      <w:r w:rsidRPr="00461623">
        <w:rPr>
          <w:b/>
        </w:rPr>
        <w:t xml:space="preserve">Budgetary rigidity limits the government’s ability to respond to domestic and external </w:t>
      </w:r>
      <w:r w:rsidRPr="002C3A1C">
        <w:rPr>
          <w:b/>
        </w:rPr>
        <w:t xml:space="preserve">shocks. </w:t>
      </w:r>
      <w:r w:rsidR="00911CB4">
        <w:t>A</w:t>
      </w:r>
      <w:r w:rsidRPr="002C3A1C">
        <w:t xml:space="preserve">s macroeconomic conditions deteriorated </w:t>
      </w:r>
      <w:r w:rsidR="00911CB4">
        <w:t>b</w:t>
      </w:r>
      <w:r w:rsidR="00911CB4" w:rsidRPr="002C3A1C">
        <w:t xml:space="preserve">etween 2012 and 2014, </w:t>
      </w:r>
      <w:r w:rsidRPr="002C3A1C">
        <w:t>government arrears rapidly mounted, reaching</w:t>
      </w:r>
      <w:r w:rsidR="0069483D">
        <w:t xml:space="preserve"> </w:t>
      </w:r>
      <w:r w:rsidR="0069483D" w:rsidRPr="002C3A1C">
        <w:t>GH</w:t>
      </w:r>
      <w:r w:rsidR="0069483D" w:rsidRPr="002C3A1C">
        <w:rPr>
          <w:rFonts w:cstheme="majorHAnsi"/>
        </w:rPr>
        <w:t xml:space="preserve">¢ </w:t>
      </w:r>
      <w:r w:rsidR="0069483D">
        <w:t>6</w:t>
      </w:r>
      <w:r w:rsidR="0069483D" w:rsidRPr="002C3A1C">
        <w:t>.</w:t>
      </w:r>
      <w:r w:rsidR="0069483D">
        <w:t>2</w:t>
      </w:r>
      <w:r w:rsidR="0069483D" w:rsidRPr="002C3A1C">
        <w:t xml:space="preserve"> billion </w:t>
      </w:r>
      <w:r w:rsidR="0069483D">
        <w:t>(5.5 percent of GDP)</w:t>
      </w:r>
      <w:r w:rsidRPr="002C3A1C">
        <w:t xml:space="preserve"> by end-2014. </w:t>
      </w:r>
      <w:r>
        <w:t>A</w:t>
      </w:r>
      <w:r w:rsidRPr="002C3A1C">
        <w:t>rrears are claims on future budgets</w:t>
      </w:r>
      <w:r>
        <w:t xml:space="preserve">, which </w:t>
      </w:r>
      <w:r w:rsidRPr="002C3A1C">
        <w:t>disrupt financial planning</w:t>
      </w:r>
      <w:r>
        <w:t>, inhibit</w:t>
      </w:r>
      <w:r w:rsidRPr="002C3A1C">
        <w:t xml:space="preserve"> budget execution,</w:t>
      </w:r>
      <w:r>
        <w:t xml:space="preserve"> undermine</w:t>
      </w:r>
      <w:r w:rsidRPr="002C3A1C">
        <w:t xml:space="preserve"> </w:t>
      </w:r>
      <w:r w:rsidRPr="00A64E41">
        <w:t>budget</w:t>
      </w:r>
      <w:r>
        <w:t>ary</w:t>
      </w:r>
      <w:r w:rsidRPr="00A64E41">
        <w:t xml:space="preserve"> </w:t>
      </w:r>
      <w:r w:rsidRPr="002C3A1C">
        <w:t>credibility</w:t>
      </w:r>
      <w:r w:rsidR="00911CB4">
        <w:t>,</w:t>
      </w:r>
      <w:r w:rsidRPr="002C3A1C">
        <w:t xml:space="preserve"> and exacerbat</w:t>
      </w:r>
      <w:r>
        <w:t>e</w:t>
      </w:r>
      <w:r w:rsidRPr="002C3A1C">
        <w:t xml:space="preserve"> policy uncertainty. </w:t>
      </w:r>
      <w:r>
        <w:t>Under the</w:t>
      </w:r>
      <w:r w:rsidRPr="002C3A1C">
        <w:t xml:space="preserve"> stabilization program</w:t>
      </w:r>
      <w:r w:rsidR="00911CB4">
        <w:t>,</w:t>
      </w:r>
      <w:r w:rsidRPr="002C3A1C">
        <w:t xml:space="preserve"> the government has been clearing its stock of arrears, which fell to GH</w:t>
      </w:r>
      <w:r w:rsidRPr="002C3A1C">
        <w:rPr>
          <w:rFonts w:cstheme="majorHAnsi"/>
        </w:rPr>
        <w:t xml:space="preserve">¢ </w:t>
      </w:r>
      <w:r w:rsidRPr="002C3A1C">
        <w:t xml:space="preserve">4.3 billion </w:t>
      </w:r>
      <w:r>
        <w:t>(3.1 percent of GDP)</w:t>
      </w:r>
      <w:r w:rsidRPr="002C3A1C">
        <w:t xml:space="preserve"> by end-2015. </w:t>
      </w:r>
      <w:r>
        <w:t xml:space="preserve">Nevertheless, </w:t>
      </w:r>
      <w:r>
        <w:rPr>
          <w:szCs w:val="24"/>
        </w:rPr>
        <w:t>in addition to large fiscal slippage in 2016, n</w:t>
      </w:r>
      <w:r w:rsidRPr="003215D9">
        <w:rPr>
          <w:szCs w:val="24"/>
        </w:rPr>
        <w:t>ew arrears of GH¢5.1 billion (3 percent of GDP) were accumulated during 2016</w:t>
      </w:r>
      <w:r w:rsidR="004B01A7">
        <w:rPr>
          <w:szCs w:val="24"/>
        </w:rPr>
        <w:t>,</w:t>
      </w:r>
      <w:r w:rsidRPr="003215D9">
        <w:rPr>
          <w:szCs w:val="24"/>
        </w:rPr>
        <w:t xml:space="preserve"> pushing the stock of domestic arrears to an estimated GH¢ 7 billion (4 percent of GDP).</w:t>
      </w:r>
    </w:p>
    <w:p w14:paraId="028E8E66" w14:textId="77777777" w:rsidR="00A86AB5" w:rsidRDefault="00BC0879" w:rsidP="00B10BBE">
      <w:pPr>
        <w:pStyle w:val="ListParagraph"/>
      </w:pPr>
      <w:r w:rsidRPr="00B10BBE">
        <w:rPr>
          <w:b/>
        </w:rPr>
        <w:t xml:space="preserve">In addition to budgetary rigidity, the accumulation of </w:t>
      </w:r>
      <w:r w:rsidR="00A307FC" w:rsidRPr="00B10BBE">
        <w:rPr>
          <w:b/>
        </w:rPr>
        <w:t xml:space="preserve">arrears </w:t>
      </w:r>
      <w:r w:rsidRPr="00B10BBE">
        <w:rPr>
          <w:b/>
        </w:rPr>
        <w:t>also reflects</w:t>
      </w:r>
      <w:r w:rsidR="002625F1" w:rsidRPr="00B10BBE">
        <w:rPr>
          <w:b/>
        </w:rPr>
        <w:t xml:space="preserve"> </w:t>
      </w:r>
      <w:r w:rsidR="00294C92" w:rsidRPr="00B10BBE">
        <w:rPr>
          <w:b/>
        </w:rPr>
        <w:t>weak</w:t>
      </w:r>
      <w:r>
        <w:rPr>
          <w:b/>
        </w:rPr>
        <w:t>nesses in</w:t>
      </w:r>
      <w:r w:rsidR="00294C92" w:rsidRPr="00B10BBE">
        <w:rPr>
          <w:b/>
        </w:rPr>
        <w:t xml:space="preserve"> </w:t>
      </w:r>
      <w:r w:rsidR="00190CB1" w:rsidRPr="00B10BBE">
        <w:rPr>
          <w:b/>
        </w:rPr>
        <w:t xml:space="preserve">budget execution and </w:t>
      </w:r>
      <w:r>
        <w:rPr>
          <w:b/>
        </w:rPr>
        <w:t>oversight</w:t>
      </w:r>
      <w:r w:rsidR="00190CB1" w:rsidRPr="00B10BBE">
        <w:rPr>
          <w:b/>
        </w:rPr>
        <w:t>.</w:t>
      </w:r>
      <w:r w:rsidR="009B75A7" w:rsidRPr="004255CF">
        <w:t xml:space="preserve"> </w:t>
      </w:r>
      <w:r>
        <w:t>Inadequate</w:t>
      </w:r>
      <w:r w:rsidR="00A307FC" w:rsidRPr="004255CF">
        <w:t xml:space="preserve"> liquidity</w:t>
      </w:r>
      <w:r>
        <w:t xml:space="preserve">, </w:t>
      </w:r>
      <w:r w:rsidR="00A307FC" w:rsidRPr="004255CF">
        <w:t xml:space="preserve">poor </w:t>
      </w:r>
      <w:r>
        <w:t>t</w:t>
      </w:r>
      <w:r w:rsidR="00A307FC" w:rsidRPr="004255CF">
        <w:t>reasury management</w:t>
      </w:r>
      <w:r>
        <w:t>, limited financial reporting</w:t>
      </w:r>
      <w:r w:rsidR="00A307FC" w:rsidRPr="004255CF">
        <w:t xml:space="preserve">, </w:t>
      </w:r>
      <w:r>
        <w:t xml:space="preserve">and structural inefficiencies in the </w:t>
      </w:r>
      <w:r w:rsidR="00520957">
        <w:t xml:space="preserve">management of </w:t>
      </w:r>
      <w:r>
        <w:t>statutory funds have all contributed to the rise in arrears</w:t>
      </w:r>
      <w:r w:rsidR="00A307FC" w:rsidRPr="004255CF">
        <w:t xml:space="preserve">. </w:t>
      </w:r>
      <w:r>
        <w:t xml:space="preserve">The unpredictability of the budget disrupts expenditure execution </w:t>
      </w:r>
      <w:r w:rsidR="00A86AB5" w:rsidRPr="004255CF">
        <w:t>and</w:t>
      </w:r>
      <w:r>
        <w:t xml:space="preserve"> delays</w:t>
      </w:r>
      <w:r w:rsidR="00A86AB5" w:rsidRPr="004255CF">
        <w:t xml:space="preserve"> payments to contractors and suppliers</w:t>
      </w:r>
      <w:r>
        <w:t>,</w:t>
      </w:r>
      <w:r w:rsidR="00A86AB5" w:rsidRPr="004255CF">
        <w:t xml:space="preserve"> with negative consequences for program implementation and public service delivery. </w:t>
      </w:r>
      <w:r w:rsidR="00A307FC" w:rsidRPr="005D409C">
        <w:t xml:space="preserve">While </w:t>
      </w:r>
      <w:r>
        <w:t>the establishment of a</w:t>
      </w:r>
      <w:r w:rsidR="00A307FC" w:rsidRPr="005D409C">
        <w:t xml:space="preserve"> </w:t>
      </w:r>
      <w:r w:rsidR="00520957">
        <w:t>s</w:t>
      </w:r>
      <w:r w:rsidRPr="005D409C">
        <w:t xml:space="preserve">ingle </w:t>
      </w:r>
      <w:r w:rsidR="00520957">
        <w:t>t</w:t>
      </w:r>
      <w:r w:rsidR="00A307FC" w:rsidRPr="005D409C">
        <w:t xml:space="preserve">reasury </w:t>
      </w:r>
      <w:r w:rsidR="00520957">
        <w:t>a</w:t>
      </w:r>
      <w:r w:rsidR="00A307FC" w:rsidRPr="005D409C">
        <w:t xml:space="preserve">ccount </w:t>
      </w:r>
      <w:r>
        <w:t xml:space="preserve">has </w:t>
      </w:r>
      <w:r w:rsidR="00A307FC" w:rsidRPr="005D409C">
        <w:t>improve</w:t>
      </w:r>
      <w:r>
        <w:t>d</w:t>
      </w:r>
      <w:r w:rsidR="00A307FC" w:rsidRPr="005D409C">
        <w:t xml:space="preserve"> cash management, </w:t>
      </w:r>
      <w:r w:rsidR="009C561C">
        <w:t xml:space="preserve">the account’s </w:t>
      </w:r>
      <w:r w:rsidR="00A307FC">
        <w:t xml:space="preserve">coverage </w:t>
      </w:r>
      <w:r w:rsidR="00A86AB5">
        <w:t xml:space="preserve">is </w:t>
      </w:r>
      <w:r>
        <w:t>not yet comprehensive</w:t>
      </w:r>
      <w:r w:rsidR="00A307FC">
        <w:t xml:space="preserve">. Moreover, </w:t>
      </w:r>
      <w:r w:rsidR="00A307FC" w:rsidRPr="005D409C">
        <w:t>Ghana</w:t>
      </w:r>
      <w:r w:rsidR="00C17CAD">
        <w:t>’s</w:t>
      </w:r>
      <w:r w:rsidR="00A307FC" w:rsidRPr="005D409C">
        <w:t xml:space="preserve"> cash</w:t>
      </w:r>
      <w:r w:rsidR="00C17CAD">
        <w:t>-</w:t>
      </w:r>
      <w:r w:rsidR="00A307FC" w:rsidRPr="005D409C">
        <w:t xml:space="preserve">flow forecasting </w:t>
      </w:r>
      <w:r w:rsidR="00C17CAD">
        <w:t xml:space="preserve">methods </w:t>
      </w:r>
      <w:r w:rsidR="00A307FC" w:rsidRPr="005D409C">
        <w:t>and cash</w:t>
      </w:r>
      <w:r w:rsidR="00C17CAD">
        <w:t>-</w:t>
      </w:r>
      <w:r w:rsidR="00A307FC" w:rsidRPr="005D409C">
        <w:t xml:space="preserve">investment </w:t>
      </w:r>
      <w:r w:rsidR="00520957">
        <w:t>procedures</w:t>
      </w:r>
      <w:r w:rsidR="00520957" w:rsidRPr="005D409C">
        <w:t xml:space="preserve"> </w:t>
      </w:r>
      <w:r w:rsidR="00C17CAD">
        <w:t>continue to fall far short of international best practices</w:t>
      </w:r>
      <w:r w:rsidR="00A307FC" w:rsidRPr="005D409C">
        <w:t xml:space="preserve">. </w:t>
      </w:r>
    </w:p>
    <w:p w14:paraId="31F9A2B7" w14:textId="77777777" w:rsidR="00583BB4" w:rsidRPr="00583BB4" w:rsidRDefault="004A4C38" w:rsidP="00B10BBE">
      <w:pPr>
        <w:pStyle w:val="ListParagraph"/>
      </w:pPr>
      <w:r w:rsidRPr="00B10BBE">
        <w:rPr>
          <w:b/>
        </w:rPr>
        <w:t xml:space="preserve">In </w:t>
      </w:r>
      <w:r w:rsidR="00E84115" w:rsidRPr="00B10BBE">
        <w:rPr>
          <w:b/>
        </w:rPr>
        <w:t xml:space="preserve">an effort to </w:t>
      </w:r>
      <w:r w:rsidR="009C561C">
        <w:rPr>
          <w:b/>
        </w:rPr>
        <w:t>strengthen</w:t>
      </w:r>
      <w:r w:rsidR="009C561C" w:rsidRPr="00B10BBE">
        <w:rPr>
          <w:b/>
        </w:rPr>
        <w:t xml:space="preserve"> </w:t>
      </w:r>
      <w:r w:rsidRPr="00B10BBE">
        <w:rPr>
          <w:b/>
        </w:rPr>
        <w:t>PFM</w:t>
      </w:r>
      <w:r w:rsidR="002D2F08">
        <w:rPr>
          <w:b/>
        </w:rPr>
        <w:t>,</w:t>
      </w:r>
      <w:r w:rsidR="00FD489F">
        <w:rPr>
          <w:b/>
        </w:rPr>
        <w:t xml:space="preserve"> the authorities</w:t>
      </w:r>
      <w:r w:rsidR="00FD489F" w:rsidRPr="00B10BBE">
        <w:rPr>
          <w:b/>
        </w:rPr>
        <w:t xml:space="preserve"> </w:t>
      </w:r>
      <w:r w:rsidR="00183765" w:rsidRPr="00B10BBE">
        <w:rPr>
          <w:b/>
        </w:rPr>
        <w:t>implemented the GIFMIS in 2013.</w:t>
      </w:r>
      <w:r w:rsidR="00183765" w:rsidRPr="00E84115">
        <w:t xml:space="preserve"> </w:t>
      </w:r>
      <w:r>
        <w:t>The t</w:t>
      </w:r>
      <w:r w:rsidR="00183765" w:rsidRPr="00E84115">
        <w:t xml:space="preserve">ransition to </w:t>
      </w:r>
      <w:r w:rsidR="002D2F08">
        <w:t xml:space="preserve">the </w:t>
      </w:r>
      <w:r w:rsidR="00183765" w:rsidRPr="00E84115">
        <w:t xml:space="preserve">GIFMIS </w:t>
      </w:r>
      <w:r>
        <w:t xml:space="preserve">required an updated </w:t>
      </w:r>
      <w:r w:rsidR="00183765" w:rsidRPr="00E84115">
        <w:t>chart of accounts</w:t>
      </w:r>
      <w:r>
        <w:t xml:space="preserve"> and </w:t>
      </w:r>
      <w:r w:rsidR="00FD489F">
        <w:t xml:space="preserve">additional </w:t>
      </w:r>
      <w:r>
        <w:t xml:space="preserve">personnel </w:t>
      </w:r>
      <w:r w:rsidR="00183765" w:rsidRPr="00E84115">
        <w:t xml:space="preserve">training </w:t>
      </w:r>
      <w:r>
        <w:t>in all public agencies</w:t>
      </w:r>
      <w:r w:rsidR="00183765" w:rsidRPr="00E84115">
        <w:t xml:space="preserve">. </w:t>
      </w:r>
      <w:r w:rsidR="002D2F08">
        <w:t xml:space="preserve">The </w:t>
      </w:r>
      <w:r w:rsidR="00183765" w:rsidRPr="00E84115">
        <w:t xml:space="preserve">GIFMIS </w:t>
      </w:r>
      <w:r>
        <w:t xml:space="preserve">was </w:t>
      </w:r>
      <w:r w:rsidR="004821D3">
        <w:t xml:space="preserve">designed </w:t>
      </w:r>
      <w:r w:rsidR="00183765" w:rsidRPr="00E84115">
        <w:t>to address previously identified weaknesses in</w:t>
      </w:r>
      <w:r w:rsidR="004821D3">
        <w:t>volving</w:t>
      </w:r>
      <w:r w:rsidR="00183765" w:rsidRPr="00E84115">
        <w:t xml:space="preserve"> cash management, commitment control</w:t>
      </w:r>
      <w:r>
        <w:t>s</w:t>
      </w:r>
      <w:r w:rsidR="00183765" w:rsidRPr="00E84115">
        <w:t xml:space="preserve">, </w:t>
      </w:r>
      <w:r w:rsidR="00FD489F">
        <w:t xml:space="preserve">and </w:t>
      </w:r>
      <w:r w:rsidR="00183765" w:rsidRPr="00E84115">
        <w:t>budget</w:t>
      </w:r>
      <w:r>
        <w:t>ary</w:t>
      </w:r>
      <w:r w:rsidR="00183765" w:rsidRPr="00E84115">
        <w:t xml:space="preserve"> credibility and coverage. </w:t>
      </w:r>
      <w:r>
        <w:t xml:space="preserve">While adopting </w:t>
      </w:r>
      <w:r w:rsidR="002D2F08">
        <w:t xml:space="preserve">the </w:t>
      </w:r>
      <w:r>
        <w:t>GIFMIS was a positive step, the system has yet to achieve its full potential</w:t>
      </w:r>
      <w:r w:rsidR="00183765" w:rsidRPr="00E84115">
        <w:t>.</w:t>
      </w:r>
      <w:r w:rsidR="00023AF6" w:rsidRPr="00E84115">
        <w:t xml:space="preserve"> </w:t>
      </w:r>
    </w:p>
    <w:p w14:paraId="50E42125" w14:textId="77777777" w:rsidR="00583BB4" w:rsidRPr="000D6D4E" w:rsidRDefault="009A42F9" w:rsidP="00CC46D2">
      <w:pPr>
        <w:pStyle w:val="ListParagraph"/>
      </w:pPr>
      <w:r>
        <w:rPr>
          <w:b/>
        </w:rPr>
        <w:t>M</w:t>
      </w:r>
      <w:r w:rsidR="00583BB4" w:rsidRPr="00183765">
        <w:rPr>
          <w:b/>
        </w:rPr>
        <w:t xml:space="preserve">ultiple </w:t>
      </w:r>
      <w:r>
        <w:rPr>
          <w:b/>
        </w:rPr>
        <w:t xml:space="preserve">budgetary </w:t>
      </w:r>
      <w:r w:rsidR="00583BB4" w:rsidRPr="00183765">
        <w:rPr>
          <w:b/>
        </w:rPr>
        <w:t xml:space="preserve">funds are </w:t>
      </w:r>
      <w:r>
        <w:rPr>
          <w:b/>
        </w:rPr>
        <w:t xml:space="preserve">still </w:t>
      </w:r>
      <w:r w:rsidR="00583BB4" w:rsidRPr="00183765">
        <w:rPr>
          <w:b/>
        </w:rPr>
        <w:t xml:space="preserve">not included in </w:t>
      </w:r>
      <w:r w:rsidR="002D2F08">
        <w:rPr>
          <w:b/>
        </w:rPr>
        <w:t xml:space="preserve">the </w:t>
      </w:r>
      <w:r w:rsidR="00583BB4" w:rsidRPr="00183765">
        <w:rPr>
          <w:b/>
        </w:rPr>
        <w:t>GIFMIS</w:t>
      </w:r>
      <w:r w:rsidR="00583BB4" w:rsidRPr="00183765">
        <w:t xml:space="preserve">. </w:t>
      </w:r>
      <w:r w:rsidR="004616A1">
        <w:t>There are inconsistencies in t</w:t>
      </w:r>
      <w:r w:rsidR="00583BB4" w:rsidRPr="00183765">
        <w:t xml:space="preserve">he scope and coverage of </w:t>
      </w:r>
      <w:r>
        <w:t>the</w:t>
      </w:r>
      <w:r w:rsidRPr="00183765">
        <w:t xml:space="preserve"> </w:t>
      </w:r>
      <w:r w:rsidR="00583BB4" w:rsidRPr="00183765">
        <w:t xml:space="preserve">funds </w:t>
      </w:r>
      <w:r w:rsidR="00FD489F">
        <w:t>on which the</w:t>
      </w:r>
      <w:r w:rsidR="00592117">
        <w:t xml:space="preserve"> system’s </w:t>
      </w:r>
      <w:r w:rsidR="00583BB4" w:rsidRPr="00183765">
        <w:t>budget preparation and execution</w:t>
      </w:r>
      <w:r w:rsidR="00592117">
        <w:t xml:space="preserve"> functions</w:t>
      </w:r>
      <w:r w:rsidR="00FD489F">
        <w:t xml:space="preserve"> are based</w:t>
      </w:r>
      <w:r w:rsidR="00583BB4" w:rsidRPr="00183765">
        <w:t xml:space="preserve">. </w:t>
      </w:r>
      <w:r w:rsidR="004616A1">
        <w:t>Budget preparation</w:t>
      </w:r>
      <w:r w:rsidR="00583BB4" w:rsidRPr="00183765">
        <w:t xml:space="preserve"> is more comprehensive and </w:t>
      </w:r>
      <w:r w:rsidR="004616A1">
        <w:t>includes</w:t>
      </w:r>
      <w:r w:rsidR="004616A1" w:rsidRPr="00183765">
        <w:t xml:space="preserve"> </w:t>
      </w:r>
      <w:r w:rsidR="00583BB4" w:rsidRPr="00183765">
        <w:t>the majority of funds</w:t>
      </w:r>
      <w:r w:rsidR="000302D9">
        <w:t xml:space="preserve">, </w:t>
      </w:r>
      <w:r w:rsidR="00FD489F">
        <w:t xml:space="preserve">yet </w:t>
      </w:r>
      <w:r w:rsidR="000302D9">
        <w:t xml:space="preserve">it excludes </w:t>
      </w:r>
      <w:r w:rsidR="004821D3">
        <w:t xml:space="preserve">resources </w:t>
      </w:r>
      <w:r w:rsidR="000302D9">
        <w:t>allocated to</w:t>
      </w:r>
      <w:r w:rsidR="00583BB4" w:rsidRPr="00183765">
        <w:t xml:space="preserve"> MMDAs</w:t>
      </w:r>
      <w:r w:rsidR="000302D9">
        <w:t xml:space="preserve">, which </w:t>
      </w:r>
      <w:r w:rsidR="004821D3">
        <w:t>are recorded in</w:t>
      </w:r>
      <w:r w:rsidR="004821D3" w:rsidRPr="00183765">
        <w:t xml:space="preserve"> </w:t>
      </w:r>
      <w:r w:rsidR="00583BB4" w:rsidRPr="00183765">
        <w:t>the separate ACTIVATE syste</w:t>
      </w:r>
      <w:r w:rsidR="00592117">
        <w:t>m. W</w:t>
      </w:r>
      <w:r w:rsidR="00583BB4" w:rsidRPr="00183765">
        <w:t xml:space="preserve">ithin </w:t>
      </w:r>
      <w:r w:rsidR="002D2F08">
        <w:t xml:space="preserve">the </w:t>
      </w:r>
      <w:r w:rsidR="00583BB4" w:rsidRPr="00183765">
        <w:t xml:space="preserve">GIFMIS, MMDA budgets are only identified by a single line item. The expenditure side of GIFMIS is </w:t>
      </w:r>
      <w:r w:rsidR="004821D3">
        <w:t xml:space="preserve">even </w:t>
      </w:r>
      <w:r w:rsidR="00FD489F">
        <w:t xml:space="preserve">more limited </w:t>
      </w:r>
      <w:r w:rsidR="00592117">
        <w:t xml:space="preserve">and excludes </w:t>
      </w:r>
      <w:r w:rsidR="00583BB4" w:rsidRPr="00183765">
        <w:t xml:space="preserve">a </w:t>
      </w:r>
      <w:r w:rsidR="00FD489F">
        <w:t xml:space="preserve">larger </w:t>
      </w:r>
      <w:r w:rsidR="00583BB4" w:rsidRPr="00183765">
        <w:t xml:space="preserve">number of funds. </w:t>
      </w:r>
      <w:r w:rsidR="00592117">
        <w:t xml:space="preserve">While </w:t>
      </w:r>
      <w:r w:rsidR="00FD489F">
        <w:t>resources allocated to</w:t>
      </w:r>
      <w:r w:rsidR="00592117">
        <w:t xml:space="preserve"> </w:t>
      </w:r>
      <w:r w:rsidR="00583BB4" w:rsidRPr="00183765">
        <w:t xml:space="preserve">the Government of Ghana </w:t>
      </w:r>
      <w:r w:rsidR="00592117">
        <w:t>F</w:t>
      </w:r>
      <w:r w:rsidR="00583BB4" w:rsidRPr="00183765">
        <w:t>und and MMDA</w:t>
      </w:r>
      <w:r w:rsidR="00592117">
        <w:t xml:space="preserve"> transfers</w:t>
      </w:r>
      <w:r w:rsidR="00583BB4" w:rsidRPr="00183765">
        <w:t xml:space="preserve"> are captured in detail, information on </w:t>
      </w:r>
      <w:r w:rsidR="00AF657B">
        <w:t>IGF</w:t>
      </w:r>
      <w:r w:rsidR="00592117">
        <w:t>, statutory funds</w:t>
      </w:r>
      <w:r w:rsidR="002D2F08">
        <w:t>,</w:t>
      </w:r>
      <w:r w:rsidR="00592117">
        <w:t xml:space="preserve"> and donor support </w:t>
      </w:r>
      <w:r w:rsidR="00583BB4" w:rsidRPr="00183765">
        <w:t xml:space="preserve">are not recorded in the GIFMIS </w:t>
      </w:r>
      <w:r w:rsidR="00583BB4">
        <w:t>e</w:t>
      </w:r>
      <w:r w:rsidR="00583BB4" w:rsidRPr="00183765">
        <w:t xml:space="preserve">xpenditure module.  </w:t>
      </w:r>
    </w:p>
    <w:p w14:paraId="5AD8710A" w14:textId="77777777" w:rsidR="00583BB4" w:rsidRPr="00583BB4" w:rsidRDefault="00583BB4" w:rsidP="00F55E9E">
      <w:pPr>
        <w:pStyle w:val="ListParagraph"/>
      </w:pPr>
      <w:r w:rsidRPr="000D6D4E">
        <w:rPr>
          <w:b/>
        </w:rPr>
        <w:t xml:space="preserve">The </w:t>
      </w:r>
      <w:r w:rsidR="00C02D7C">
        <w:rPr>
          <w:b/>
        </w:rPr>
        <w:t xml:space="preserve">MoF and </w:t>
      </w:r>
      <w:r w:rsidR="002D2F08">
        <w:rPr>
          <w:b/>
        </w:rPr>
        <w:t xml:space="preserve">the </w:t>
      </w:r>
      <w:r w:rsidR="00C02D7C">
        <w:rPr>
          <w:b/>
        </w:rPr>
        <w:t>CAGD</w:t>
      </w:r>
      <w:r w:rsidRPr="000D6D4E">
        <w:rPr>
          <w:b/>
        </w:rPr>
        <w:t xml:space="preserve"> ha</w:t>
      </w:r>
      <w:r w:rsidR="00C02D7C">
        <w:rPr>
          <w:b/>
        </w:rPr>
        <w:t>ve</w:t>
      </w:r>
      <w:r w:rsidRPr="000D6D4E">
        <w:rPr>
          <w:b/>
        </w:rPr>
        <w:t xml:space="preserve"> limited oversight of IGF and </w:t>
      </w:r>
      <w:r w:rsidR="00AF657B">
        <w:rPr>
          <w:b/>
        </w:rPr>
        <w:t>s</w:t>
      </w:r>
      <w:r w:rsidRPr="000D6D4E">
        <w:rPr>
          <w:b/>
        </w:rPr>
        <w:t xml:space="preserve">tatutory </w:t>
      </w:r>
      <w:r w:rsidR="00AF657B">
        <w:rPr>
          <w:b/>
        </w:rPr>
        <w:t>f</w:t>
      </w:r>
      <w:r w:rsidRPr="000D6D4E">
        <w:rPr>
          <w:b/>
        </w:rPr>
        <w:t xml:space="preserve">unds. </w:t>
      </w:r>
      <w:r w:rsidRPr="000D6D4E">
        <w:t xml:space="preserve">Several </w:t>
      </w:r>
      <w:r w:rsidR="00AF657B">
        <w:t xml:space="preserve">ministries and other </w:t>
      </w:r>
      <w:r w:rsidR="004821D3">
        <w:t xml:space="preserve">public </w:t>
      </w:r>
      <w:r w:rsidR="00AF657B">
        <w:t>agencies</w:t>
      </w:r>
      <w:r w:rsidRPr="000D6D4E">
        <w:t xml:space="preserve"> have the legal authority to </w:t>
      </w:r>
      <w:r w:rsidR="00AF657B">
        <w:t>collect</w:t>
      </w:r>
      <w:r w:rsidR="00AF657B" w:rsidRPr="000D6D4E">
        <w:t xml:space="preserve"> </w:t>
      </w:r>
      <w:r w:rsidRPr="000D6D4E">
        <w:t>and spend IGF, however, the</w:t>
      </w:r>
      <w:r w:rsidR="00AF657B">
        <w:t xml:space="preserve">re is no </w:t>
      </w:r>
      <w:r w:rsidRPr="000D6D4E">
        <w:t>clear mechanism for report</w:t>
      </w:r>
      <w:r w:rsidR="00AF657B">
        <w:t>ing these</w:t>
      </w:r>
      <w:r w:rsidRPr="000D6D4E">
        <w:t xml:space="preserve"> </w:t>
      </w:r>
      <w:r w:rsidR="00AF657B">
        <w:t>revenues</w:t>
      </w:r>
      <w:r w:rsidR="00AF657B" w:rsidRPr="000D6D4E">
        <w:t xml:space="preserve"> </w:t>
      </w:r>
      <w:r w:rsidRPr="000D6D4E">
        <w:t xml:space="preserve">and expenditures in </w:t>
      </w:r>
      <w:r w:rsidR="002D2F08">
        <w:t xml:space="preserve">the </w:t>
      </w:r>
      <w:r w:rsidR="00AF657B">
        <w:t>GIFMIS</w:t>
      </w:r>
      <w:r w:rsidRPr="000D6D4E">
        <w:t xml:space="preserve">. Similarly, </w:t>
      </w:r>
      <w:r w:rsidR="00AF657B">
        <w:t xml:space="preserve">transfers from </w:t>
      </w:r>
      <w:r w:rsidRPr="000D6D4E">
        <w:t>statutory fund</w:t>
      </w:r>
      <w:r w:rsidR="00AF657B">
        <w:t>s</w:t>
      </w:r>
      <w:r w:rsidRPr="000D6D4E">
        <w:t xml:space="preserve"> are not under the </w:t>
      </w:r>
      <w:r w:rsidR="0022269D">
        <w:t xml:space="preserve">MoF’s </w:t>
      </w:r>
      <w:r w:rsidR="00AF657B">
        <w:t>discretion</w:t>
      </w:r>
      <w:r w:rsidRPr="000D6D4E">
        <w:t xml:space="preserve"> and do not flow through the GIFMIS expenditure module</w:t>
      </w:r>
      <w:r w:rsidR="004821D3">
        <w:t>, which makes them difficult to monitor</w:t>
      </w:r>
      <w:r>
        <w:t>.</w:t>
      </w:r>
    </w:p>
    <w:p w14:paraId="3C757C5A" w14:textId="77777777" w:rsidR="00ED7C0B" w:rsidRPr="00ED7C0B" w:rsidRDefault="0022269D" w:rsidP="00F55E9E">
      <w:pPr>
        <w:pStyle w:val="ListParagraph"/>
      </w:pPr>
      <w:r>
        <w:rPr>
          <w:b/>
        </w:rPr>
        <w:t>I</w:t>
      </w:r>
      <w:r w:rsidR="00331805">
        <w:rPr>
          <w:b/>
        </w:rPr>
        <w:t>ntegrat</w:t>
      </w:r>
      <w:r>
        <w:rPr>
          <w:b/>
        </w:rPr>
        <w:t>ing</w:t>
      </w:r>
      <w:r w:rsidR="00331805">
        <w:rPr>
          <w:b/>
        </w:rPr>
        <w:t xml:space="preserve"> all sources of budgetary </w:t>
      </w:r>
      <w:r w:rsidR="00583BB4" w:rsidRPr="003527F5">
        <w:rPr>
          <w:b/>
        </w:rPr>
        <w:t>fund</w:t>
      </w:r>
      <w:r w:rsidR="00331805">
        <w:rPr>
          <w:b/>
        </w:rPr>
        <w:t>ing and record</w:t>
      </w:r>
      <w:r>
        <w:rPr>
          <w:b/>
        </w:rPr>
        <w:t>ing</w:t>
      </w:r>
      <w:r w:rsidR="00331805">
        <w:rPr>
          <w:b/>
        </w:rPr>
        <w:t xml:space="preserve"> all expenditures</w:t>
      </w:r>
      <w:r w:rsidR="00583BB4" w:rsidRPr="003527F5">
        <w:rPr>
          <w:b/>
        </w:rPr>
        <w:t xml:space="preserve"> </w:t>
      </w:r>
      <w:r w:rsidR="00331805">
        <w:rPr>
          <w:b/>
        </w:rPr>
        <w:t>in</w:t>
      </w:r>
      <w:r w:rsidR="00583BB4" w:rsidRPr="003527F5">
        <w:rPr>
          <w:b/>
        </w:rPr>
        <w:t xml:space="preserve"> </w:t>
      </w:r>
      <w:r w:rsidR="002D2F08">
        <w:rPr>
          <w:b/>
        </w:rPr>
        <w:t xml:space="preserve">the </w:t>
      </w:r>
      <w:r w:rsidR="00583BB4" w:rsidRPr="003527F5">
        <w:rPr>
          <w:b/>
        </w:rPr>
        <w:t>GIFMIS</w:t>
      </w:r>
      <w:r>
        <w:rPr>
          <w:b/>
        </w:rPr>
        <w:t xml:space="preserve"> would greatly enhance the government’s capacity for strategic budget management</w:t>
      </w:r>
      <w:r w:rsidR="00583BB4" w:rsidRPr="003527F5">
        <w:t xml:space="preserve">. </w:t>
      </w:r>
      <w:r w:rsidR="00331805">
        <w:t>Integrating MMDA transfers, IGF</w:t>
      </w:r>
      <w:r w:rsidR="002D2F08">
        <w:t>,</w:t>
      </w:r>
      <w:r w:rsidR="00331805">
        <w:t xml:space="preserve"> and statutory funds into </w:t>
      </w:r>
      <w:r w:rsidR="002D2F08">
        <w:t xml:space="preserve">the </w:t>
      </w:r>
      <w:r w:rsidR="00583BB4" w:rsidRPr="003527F5">
        <w:t xml:space="preserve">GIFMIS </w:t>
      </w:r>
      <w:r>
        <w:t>w</w:t>
      </w:r>
      <w:r w:rsidR="0079752A">
        <w:t>ill</w:t>
      </w:r>
      <w:r>
        <w:t xml:space="preserve"> improve</w:t>
      </w:r>
      <w:r w:rsidR="00331805">
        <w:t xml:space="preserve"> expenditure monitoring and strengthen PFM controls. </w:t>
      </w:r>
      <w:r>
        <w:t xml:space="preserve">The </w:t>
      </w:r>
      <w:r w:rsidR="00331805">
        <w:t>MoF</w:t>
      </w:r>
      <w:r w:rsidR="00583BB4" w:rsidRPr="003527F5">
        <w:t xml:space="preserve"> </w:t>
      </w:r>
      <w:r w:rsidR="00331805">
        <w:t xml:space="preserve">is </w:t>
      </w:r>
      <w:r w:rsidR="00583BB4" w:rsidRPr="003527F5">
        <w:t xml:space="preserve">planning to </w:t>
      </w:r>
      <w:r w:rsidR="00331805">
        <w:t>phase out</w:t>
      </w:r>
      <w:r w:rsidR="00331805" w:rsidRPr="003527F5">
        <w:t xml:space="preserve"> </w:t>
      </w:r>
      <w:r w:rsidR="00583BB4" w:rsidRPr="003527F5">
        <w:t xml:space="preserve">the ACTIVATE system </w:t>
      </w:r>
      <w:r w:rsidR="00583BB4" w:rsidRPr="003527F5">
        <w:lastRenderedPageBreak/>
        <w:t xml:space="preserve">and create </w:t>
      </w:r>
      <w:r w:rsidR="00331805">
        <w:t>a</w:t>
      </w:r>
      <w:r w:rsidR="00331805" w:rsidRPr="003527F5">
        <w:t xml:space="preserve"> </w:t>
      </w:r>
      <w:r w:rsidR="00583BB4" w:rsidRPr="003527F5">
        <w:t xml:space="preserve">budget for MMDAs in </w:t>
      </w:r>
      <w:r w:rsidR="00EC3E8E">
        <w:t xml:space="preserve">the </w:t>
      </w:r>
      <w:r w:rsidR="00583BB4" w:rsidRPr="003527F5">
        <w:t>GIFMIS</w:t>
      </w:r>
      <w:r>
        <w:t>, and t</w:t>
      </w:r>
      <w:r w:rsidR="00331805">
        <w:t xml:space="preserve">he authorities </w:t>
      </w:r>
      <w:r w:rsidR="00583BB4" w:rsidRPr="003527F5">
        <w:t xml:space="preserve">are also piloting a plan to </w:t>
      </w:r>
      <w:r w:rsidR="00331805">
        <w:t>integrate</w:t>
      </w:r>
      <w:r w:rsidR="00331805" w:rsidRPr="003527F5">
        <w:t xml:space="preserve"> </w:t>
      </w:r>
      <w:r w:rsidR="00583BB4" w:rsidRPr="003527F5">
        <w:t xml:space="preserve">some IGF expenditures into </w:t>
      </w:r>
      <w:r w:rsidR="00EC3E8E">
        <w:t xml:space="preserve">the </w:t>
      </w:r>
      <w:r w:rsidR="00583BB4" w:rsidRPr="003527F5">
        <w:t xml:space="preserve">GIFMIS. </w:t>
      </w:r>
      <w:r w:rsidR="00331805">
        <w:t>Expanding the coverage of</w:t>
      </w:r>
      <w:r w:rsidR="00583BB4" w:rsidRPr="003527F5">
        <w:t xml:space="preserve"> </w:t>
      </w:r>
      <w:r w:rsidR="00EC3E8E">
        <w:t xml:space="preserve">the </w:t>
      </w:r>
      <w:r w:rsidR="00583BB4" w:rsidRPr="003527F5">
        <w:t>GIFMIS</w:t>
      </w:r>
      <w:r w:rsidR="00331805">
        <w:t xml:space="preserve">, </w:t>
      </w:r>
      <w:r w:rsidR="00583BB4" w:rsidRPr="003527F5">
        <w:t>adopti</w:t>
      </w:r>
      <w:r w:rsidR="00331805">
        <w:t xml:space="preserve">ng </w:t>
      </w:r>
      <w:r w:rsidR="00583BB4" w:rsidRPr="003527F5">
        <w:t>the new chart of accounts</w:t>
      </w:r>
      <w:r w:rsidR="00EC3E8E">
        <w:t>,</w:t>
      </w:r>
      <w:r w:rsidR="00583BB4" w:rsidRPr="003527F5">
        <w:t xml:space="preserve"> and </w:t>
      </w:r>
      <w:r w:rsidR="00331805">
        <w:t>consolidating the</w:t>
      </w:r>
      <w:r w:rsidR="00583BB4" w:rsidRPr="003527F5">
        <w:t xml:space="preserve"> </w:t>
      </w:r>
      <w:r w:rsidR="00331805">
        <w:t>single</w:t>
      </w:r>
      <w:r w:rsidR="00331805" w:rsidRPr="003527F5">
        <w:t xml:space="preserve"> </w:t>
      </w:r>
      <w:r w:rsidR="00583BB4" w:rsidRPr="003527F5">
        <w:t xml:space="preserve">treasury account </w:t>
      </w:r>
      <w:r>
        <w:t>should strengthen</w:t>
      </w:r>
      <w:r w:rsidRPr="003527F5">
        <w:t xml:space="preserve"> </w:t>
      </w:r>
      <w:r w:rsidR="00583BB4" w:rsidRPr="003527F5">
        <w:t xml:space="preserve">budget execution and reduce the </w:t>
      </w:r>
      <w:r w:rsidR="00331805">
        <w:t>accumulation</w:t>
      </w:r>
      <w:r w:rsidR="00583BB4" w:rsidRPr="003527F5">
        <w:t xml:space="preserve"> of arrears. </w:t>
      </w:r>
    </w:p>
    <w:p w14:paraId="02305BDF" w14:textId="77777777" w:rsidR="00ED7C0B" w:rsidRDefault="00061B59" w:rsidP="00F55E9E">
      <w:pPr>
        <w:pStyle w:val="ListParagraph"/>
      </w:pPr>
      <w:r>
        <w:rPr>
          <w:b/>
        </w:rPr>
        <w:t>Improving the ability of t</w:t>
      </w:r>
      <w:r w:rsidR="00ED7C0B" w:rsidRPr="00F55E9E">
        <w:rPr>
          <w:b/>
        </w:rPr>
        <w:t xml:space="preserve">he </w:t>
      </w:r>
      <w:r w:rsidR="00F0032A" w:rsidRPr="00F55E9E">
        <w:rPr>
          <w:b/>
        </w:rPr>
        <w:t xml:space="preserve">MoF and the line ministries </w:t>
      </w:r>
      <w:r w:rsidR="00ED7C0B" w:rsidRPr="00F55E9E">
        <w:rPr>
          <w:b/>
        </w:rPr>
        <w:t xml:space="preserve">to </w:t>
      </w:r>
      <w:r w:rsidR="00F0032A" w:rsidRPr="00F55E9E">
        <w:rPr>
          <w:b/>
        </w:rPr>
        <w:t>align actual expenditures with budget allocations</w:t>
      </w:r>
      <w:r>
        <w:rPr>
          <w:b/>
        </w:rPr>
        <w:t xml:space="preserve"> would further strengthen budget management</w:t>
      </w:r>
      <w:r w:rsidR="00ED7C0B" w:rsidRPr="00F55E9E">
        <w:rPr>
          <w:b/>
        </w:rPr>
        <w:t>.</w:t>
      </w:r>
      <w:r w:rsidR="00ED7C0B" w:rsidRPr="000D6D4E">
        <w:t xml:space="preserve"> </w:t>
      </w:r>
      <w:r w:rsidR="004821D3">
        <w:t>B</w:t>
      </w:r>
      <w:r w:rsidR="004821D3" w:rsidRPr="000D6D4E">
        <w:t>udget</w:t>
      </w:r>
      <w:r w:rsidR="004821D3">
        <w:t>ary credibility hinges on m</w:t>
      </w:r>
      <w:r>
        <w:t>inimizing the difference between budgeted and actual expenditures</w:t>
      </w:r>
      <w:r w:rsidR="00ED7C0B" w:rsidRPr="000D6D4E">
        <w:t xml:space="preserve">. </w:t>
      </w:r>
      <w:r w:rsidR="00F0032A">
        <w:t xml:space="preserve">Once all funding sources have been incorporated into </w:t>
      </w:r>
      <w:r w:rsidR="00EC3E8E">
        <w:t xml:space="preserve">the </w:t>
      </w:r>
      <w:r w:rsidR="00F0032A">
        <w:t>GIFMIS, the government should consider adopting the</w:t>
      </w:r>
      <w:r w:rsidR="00ED7C0B" w:rsidRPr="000D6D4E">
        <w:t xml:space="preserve"> BOOST budget and expenditure tool</w:t>
      </w:r>
      <w:r w:rsidR="005A1652">
        <w:t xml:space="preserve"> (</w:t>
      </w:r>
      <w:r w:rsidR="007B3028">
        <w:fldChar w:fldCharType="begin"/>
      </w:r>
      <w:r w:rsidR="007B3028">
        <w:instrText xml:space="preserve"> REF _Ref471819757 \h </w:instrText>
      </w:r>
      <w:r w:rsidR="007B3028">
        <w:fldChar w:fldCharType="separate"/>
      </w:r>
      <w:r w:rsidR="007B1CE6">
        <w:t xml:space="preserve">Box </w:t>
      </w:r>
      <w:r w:rsidR="007B1CE6">
        <w:rPr>
          <w:noProof/>
        </w:rPr>
        <w:t>1</w:t>
      </w:r>
      <w:r w:rsidR="007B1CE6">
        <w:t>.</w:t>
      </w:r>
      <w:r w:rsidR="007B1CE6">
        <w:rPr>
          <w:noProof/>
        </w:rPr>
        <w:t>1</w:t>
      </w:r>
      <w:r w:rsidR="007B3028">
        <w:fldChar w:fldCharType="end"/>
      </w:r>
      <w:r w:rsidR="005A1652">
        <w:t>)</w:t>
      </w:r>
      <w:r w:rsidR="00F0032A">
        <w:t xml:space="preserve">. </w:t>
      </w:r>
    </w:p>
    <w:p w14:paraId="14411EF4" w14:textId="77777777" w:rsidR="007603EC" w:rsidRPr="00855C0A" w:rsidRDefault="007603EC" w:rsidP="007603EC">
      <w:pPr>
        <w:pStyle w:val="ListParagraph"/>
        <w:spacing w:before="240"/>
      </w:pPr>
      <w:r>
        <w:rPr>
          <w:b/>
        </w:rPr>
        <w:t>A</w:t>
      </w:r>
      <w:r w:rsidRPr="00BE06AC">
        <w:rPr>
          <w:b/>
        </w:rPr>
        <w:t xml:space="preserve">n enabling legal framework </w:t>
      </w:r>
      <w:r>
        <w:rPr>
          <w:b/>
        </w:rPr>
        <w:t xml:space="preserve">will be crucial to </w:t>
      </w:r>
      <w:r w:rsidRPr="00BE06AC">
        <w:rPr>
          <w:b/>
        </w:rPr>
        <w:t xml:space="preserve">PFM </w:t>
      </w:r>
      <w:r>
        <w:rPr>
          <w:b/>
        </w:rPr>
        <w:t>reform effort</w:t>
      </w:r>
      <w:r w:rsidR="00EC3E8E">
        <w:rPr>
          <w:b/>
        </w:rPr>
        <w:t>s</w:t>
      </w:r>
      <w:r>
        <w:rPr>
          <w:b/>
        </w:rPr>
        <w:t xml:space="preserve">. </w:t>
      </w:r>
      <w:r>
        <w:t>Legislative changes will be required to strengthen</w:t>
      </w:r>
      <w:r w:rsidRPr="00D702B6">
        <w:t xml:space="preserve"> </w:t>
      </w:r>
      <w:r>
        <w:t xml:space="preserve">fiscal </w:t>
      </w:r>
      <w:r w:rsidRPr="00D702B6">
        <w:t xml:space="preserve">responsibility and </w:t>
      </w:r>
      <w:r>
        <w:t>bolster</w:t>
      </w:r>
      <w:r w:rsidRPr="00D702B6">
        <w:t xml:space="preserve"> the </w:t>
      </w:r>
      <w:r>
        <w:t xml:space="preserve">MoF’s </w:t>
      </w:r>
      <w:r w:rsidRPr="00D702B6">
        <w:t xml:space="preserve">authority </w:t>
      </w:r>
      <w:r>
        <w:t>to enforce PFM discipline. S</w:t>
      </w:r>
      <w:r w:rsidRPr="00D702B6">
        <w:t xml:space="preserve">pecific </w:t>
      </w:r>
      <w:r>
        <w:t xml:space="preserve">legal </w:t>
      </w:r>
      <w:r w:rsidRPr="00D702B6">
        <w:t xml:space="preserve">provisions </w:t>
      </w:r>
      <w:r>
        <w:t xml:space="preserve">will be necessary </w:t>
      </w:r>
      <w:r w:rsidRPr="00D702B6">
        <w:t xml:space="preserve">to </w:t>
      </w:r>
      <w:r>
        <w:t>establish</w:t>
      </w:r>
      <w:r w:rsidRPr="00D702B6">
        <w:t xml:space="preserve"> program</w:t>
      </w:r>
      <w:r>
        <w:t>-</w:t>
      </w:r>
      <w:r w:rsidRPr="00D702B6">
        <w:t xml:space="preserve">based budgeting and </w:t>
      </w:r>
      <w:r>
        <w:t xml:space="preserve">financial </w:t>
      </w:r>
      <w:r w:rsidRPr="00D702B6">
        <w:t>management</w:t>
      </w:r>
      <w:r>
        <w:t xml:space="preserve"> systems.</w:t>
      </w:r>
      <w:r w:rsidRPr="00D702B6">
        <w:t xml:space="preserve"> </w:t>
      </w:r>
      <w:r>
        <w:t>Consistent implementation of fiscal rules and regulations will be vital to their success, and the government and its development partners must work to build and sustain a broad political consensus for reform</w:t>
      </w:r>
      <w:r w:rsidRPr="00D702B6">
        <w:t>.</w:t>
      </w:r>
    </w:p>
    <w:p w14:paraId="214D3F2D" w14:textId="77777777" w:rsidR="007603EC" w:rsidRDefault="007603EC" w:rsidP="007603EC">
      <w:pPr>
        <w:pStyle w:val="ListParagraph"/>
      </w:pPr>
      <w:r w:rsidRPr="00BE06AC">
        <w:rPr>
          <w:b/>
        </w:rPr>
        <w:t xml:space="preserve">In addition to </w:t>
      </w:r>
      <w:r>
        <w:rPr>
          <w:b/>
        </w:rPr>
        <w:t xml:space="preserve">its </w:t>
      </w:r>
      <w:r w:rsidRPr="00BE06AC">
        <w:rPr>
          <w:b/>
        </w:rPr>
        <w:t>fiscal</w:t>
      </w:r>
      <w:r>
        <w:rPr>
          <w:b/>
        </w:rPr>
        <w:t>-</w:t>
      </w:r>
      <w:r w:rsidRPr="00BE06AC">
        <w:rPr>
          <w:b/>
        </w:rPr>
        <w:t xml:space="preserve">consolidation efforts, </w:t>
      </w:r>
      <w:r>
        <w:rPr>
          <w:b/>
        </w:rPr>
        <w:t>the government</w:t>
      </w:r>
      <w:r w:rsidRPr="00BE06AC">
        <w:rPr>
          <w:b/>
        </w:rPr>
        <w:t xml:space="preserve"> has embarked on a</w:t>
      </w:r>
      <w:r>
        <w:rPr>
          <w:b/>
        </w:rPr>
        <w:t xml:space="preserve">n </w:t>
      </w:r>
      <w:r w:rsidRPr="00BE06AC">
        <w:rPr>
          <w:b/>
        </w:rPr>
        <w:t>ambitious structural</w:t>
      </w:r>
      <w:r>
        <w:rPr>
          <w:b/>
        </w:rPr>
        <w:t>-</w:t>
      </w:r>
      <w:r w:rsidRPr="00BE06AC">
        <w:rPr>
          <w:b/>
        </w:rPr>
        <w:t xml:space="preserve">reform </w:t>
      </w:r>
      <w:r>
        <w:rPr>
          <w:b/>
        </w:rPr>
        <w:t>initiative</w:t>
      </w:r>
      <w:r w:rsidRPr="00BE06AC">
        <w:rPr>
          <w:b/>
        </w:rPr>
        <w:t xml:space="preserve"> </w:t>
      </w:r>
      <w:r>
        <w:rPr>
          <w:b/>
        </w:rPr>
        <w:t xml:space="preserve">designed </w:t>
      </w:r>
      <w:r w:rsidRPr="00BE06AC">
        <w:rPr>
          <w:b/>
        </w:rPr>
        <w:t xml:space="preserve">to </w:t>
      </w:r>
      <w:r>
        <w:rPr>
          <w:b/>
        </w:rPr>
        <w:t>reinforce the achievements</w:t>
      </w:r>
      <w:r w:rsidRPr="00BE06AC">
        <w:rPr>
          <w:b/>
        </w:rPr>
        <w:t xml:space="preserve"> of the stabilization </w:t>
      </w:r>
      <w:r>
        <w:rPr>
          <w:b/>
        </w:rPr>
        <w:t>program</w:t>
      </w:r>
      <w:r w:rsidRPr="00BE06AC">
        <w:rPr>
          <w:b/>
        </w:rPr>
        <w:t>.</w:t>
      </w:r>
      <w:r w:rsidRPr="00F80616">
        <w:t xml:space="preserve"> </w:t>
      </w:r>
      <w:r>
        <w:t>T</w:t>
      </w:r>
      <w:r w:rsidRPr="00F80616">
        <w:t xml:space="preserve">he World Bank and </w:t>
      </w:r>
      <w:r>
        <w:t xml:space="preserve">the </w:t>
      </w:r>
      <w:r w:rsidRPr="00F80616">
        <w:t xml:space="preserve">IMF </w:t>
      </w:r>
      <w:r>
        <w:t>are</w:t>
      </w:r>
      <w:r w:rsidRPr="00F80616">
        <w:t xml:space="preserve"> support</w:t>
      </w:r>
      <w:r>
        <w:t>ing</w:t>
      </w:r>
      <w:r w:rsidRPr="00F80616">
        <w:t xml:space="preserve"> </w:t>
      </w:r>
      <w:r>
        <w:t>further</w:t>
      </w:r>
      <w:r w:rsidRPr="00F80616">
        <w:t xml:space="preserve"> measures to </w:t>
      </w:r>
      <w:r>
        <w:t>boost</w:t>
      </w:r>
      <w:r w:rsidRPr="00F80616">
        <w:t xml:space="preserve"> revenues and </w:t>
      </w:r>
      <w:r>
        <w:t>tighten expenditure controls</w:t>
      </w:r>
      <w:r w:rsidRPr="00F80616">
        <w:t xml:space="preserve">. </w:t>
      </w:r>
      <w:r>
        <w:t>However, progress to date</w:t>
      </w:r>
      <w:r w:rsidRPr="002B073A">
        <w:t xml:space="preserve"> has been uneven</w:t>
      </w:r>
      <w:r>
        <w:t>,</w:t>
      </w:r>
      <w:r w:rsidRPr="002B073A">
        <w:t xml:space="preserve"> and </w:t>
      </w:r>
      <w:r>
        <w:t xml:space="preserve">the authorities will need to accelerate the </w:t>
      </w:r>
      <w:r w:rsidRPr="002B073A">
        <w:t xml:space="preserve">implementation of </w:t>
      </w:r>
      <w:r>
        <w:t>key elements</w:t>
      </w:r>
      <w:r w:rsidRPr="002B073A">
        <w:t xml:space="preserve"> of the reform </w:t>
      </w:r>
      <w:r>
        <w:t>agenda</w:t>
      </w:r>
      <w:r w:rsidRPr="002B073A">
        <w:t xml:space="preserve">. </w:t>
      </w:r>
    </w:p>
    <w:p w14:paraId="2B7D653C" w14:textId="77777777" w:rsidR="00061B59" w:rsidRPr="00876DD8" w:rsidRDefault="007B3028" w:rsidP="007B3028">
      <w:pPr>
        <w:pStyle w:val="Caption"/>
      </w:pPr>
      <w:bookmarkStart w:id="55" w:name="_Ref471819757"/>
      <w:bookmarkStart w:id="56" w:name="_Toc479615071"/>
      <w:r>
        <w:t xml:space="preserve">Box </w:t>
      </w:r>
      <w:r w:rsidR="00420CFC">
        <w:fldChar w:fldCharType="begin"/>
      </w:r>
      <w:r w:rsidR="00420CFC">
        <w:instrText xml:space="preserve"> STYLEREF 1 \s </w:instrText>
      </w:r>
      <w:r w:rsidR="00420CFC">
        <w:fldChar w:fldCharType="separate"/>
      </w:r>
      <w:r w:rsidR="007B1CE6">
        <w:rPr>
          <w:noProof/>
        </w:rPr>
        <w:t>1</w:t>
      </w:r>
      <w:r w:rsidR="00420CFC">
        <w:fldChar w:fldCharType="end"/>
      </w:r>
      <w:r w:rsidR="00420CFC">
        <w:t>.</w:t>
      </w:r>
      <w:r w:rsidR="00420CFC">
        <w:fldChar w:fldCharType="begin"/>
      </w:r>
      <w:r w:rsidR="00420CFC">
        <w:instrText xml:space="preserve"> SEQ Box \* ARABIC \s 1 </w:instrText>
      </w:r>
      <w:r w:rsidR="00420CFC">
        <w:fldChar w:fldCharType="separate"/>
      </w:r>
      <w:r w:rsidR="007B1CE6">
        <w:rPr>
          <w:noProof/>
        </w:rPr>
        <w:t>1</w:t>
      </w:r>
      <w:r w:rsidR="00420CFC">
        <w:fldChar w:fldCharType="end"/>
      </w:r>
      <w:bookmarkEnd w:id="55"/>
      <w:r w:rsidR="00061B59" w:rsidRPr="00876DD8">
        <w:t>: The BOOST Budget Tool</w:t>
      </w:r>
      <w:bookmarkEnd w:id="56"/>
    </w:p>
    <w:p w14:paraId="04A17801" w14:textId="77777777" w:rsidR="00061B59" w:rsidRPr="00D3392C" w:rsidRDefault="00061B59" w:rsidP="00061B59">
      <w:pPr>
        <w:pBdr>
          <w:top w:val="single" w:sz="4" w:space="1" w:color="auto"/>
          <w:left w:val="single" w:sz="4" w:space="4" w:color="auto"/>
          <w:bottom w:val="single" w:sz="4" w:space="0" w:color="auto"/>
          <w:right w:val="single" w:sz="4" w:space="4" w:color="auto"/>
        </w:pBdr>
        <w:shd w:val="clear" w:color="auto" w:fill="DBDBDB" w:themeFill="accent3" w:themeFillTint="66"/>
        <w:spacing w:after="120" w:line="240" w:lineRule="auto"/>
        <w:ind w:left="360" w:right="446"/>
        <w:jc w:val="both"/>
        <w:rPr>
          <w:rFonts w:cs="Times New Roman"/>
          <w:sz w:val="20"/>
          <w:szCs w:val="20"/>
        </w:rPr>
      </w:pPr>
      <w:r w:rsidRPr="00D3392C">
        <w:rPr>
          <w:rFonts w:cs="Times New Roman"/>
          <w:sz w:val="20"/>
          <w:szCs w:val="20"/>
        </w:rPr>
        <w:t xml:space="preserve">BOOST is </w:t>
      </w:r>
      <w:r>
        <w:rPr>
          <w:rFonts w:cs="Times New Roman"/>
          <w:sz w:val="20"/>
          <w:szCs w:val="20"/>
        </w:rPr>
        <w:t xml:space="preserve">the product of </w:t>
      </w:r>
      <w:r w:rsidRPr="00D3392C">
        <w:rPr>
          <w:rFonts w:cs="Times New Roman"/>
          <w:sz w:val="20"/>
          <w:szCs w:val="20"/>
        </w:rPr>
        <w:t>a World Bank collaborati</w:t>
      </w:r>
      <w:r>
        <w:rPr>
          <w:rFonts w:cs="Times New Roman"/>
          <w:sz w:val="20"/>
          <w:szCs w:val="20"/>
        </w:rPr>
        <w:t>on</w:t>
      </w:r>
      <w:r w:rsidRPr="00D3392C">
        <w:rPr>
          <w:rFonts w:cs="Times New Roman"/>
          <w:sz w:val="20"/>
          <w:szCs w:val="20"/>
        </w:rPr>
        <w:t xml:space="preserve"> launched in 2010. </w:t>
      </w:r>
      <w:r w:rsidR="009546B0">
        <w:rPr>
          <w:rFonts w:cs="Times New Roman"/>
          <w:sz w:val="20"/>
          <w:szCs w:val="20"/>
        </w:rPr>
        <w:t>It</w:t>
      </w:r>
      <w:r w:rsidRPr="00D3392C">
        <w:rPr>
          <w:rFonts w:cs="Times New Roman"/>
          <w:sz w:val="20"/>
          <w:szCs w:val="20"/>
        </w:rPr>
        <w:t xml:space="preserve"> strives to make highly disaggregated budget data available </w:t>
      </w:r>
      <w:r>
        <w:rPr>
          <w:rFonts w:cs="Times New Roman"/>
          <w:sz w:val="20"/>
          <w:szCs w:val="20"/>
        </w:rPr>
        <w:t>to</w:t>
      </w:r>
      <w:r w:rsidRPr="00D3392C">
        <w:rPr>
          <w:rFonts w:cs="Times New Roman"/>
          <w:sz w:val="20"/>
          <w:szCs w:val="20"/>
        </w:rPr>
        <w:t xml:space="preserve"> policymakers</w:t>
      </w:r>
      <w:r>
        <w:rPr>
          <w:rFonts w:cs="Times New Roman"/>
          <w:sz w:val="20"/>
          <w:szCs w:val="20"/>
        </w:rPr>
        <w:t xml:space="preserve">, researchers, development </w:t>
      </w:r>
      <w:r w:rsidRPr="00D3392C">
        <w:rPr>
          <w:rFonts w:cs="Times New Roman"/>
          <w:sz w:val="20"/>
          <w:szCs w:val="20"/>
        </w:rPr>
        <w:t>practitioners</w:t>
      </w:r>
      <w:r w:rsidR="00EC3E8E">
        <w:rPr>
          <w:rFonts w:cs="Times New Roman"/>
          <w:sz w:val="20"/>
          <w:szCs w:val="20"/>
        </w:rPr>
        <w:t>,</w:t>
      </w:r>
      <w:r w:rsidRPr="00D3392C">
        <w:rPr>
          <w:rFonts w:cs="Times New Roman"/>
          <w:sz w:val="20"/>
          <w:szCs w:val="20"/>
        </w:rPr>
        <w:t xml:space="preserve"> and </w:t>
      </w:r>
      <w:r>
        <w:rPr>
          <w:rFonts w:cs="Times New Roman"/>
          <w:sz w:val="20"/>
          <w:szCs w:val="20"/>
        </w:rPr>
        <w:t xml:space="preserve">members of </w:t>
      </w:r>
      <w:r w:rsidRPr="00D3392C">
        <w:rPr>
          <w:rFonts w:cs="Times New Roman"/>
          <w:sz w:val="20"/>
          <w:szCs w:val="20"/>
        </w:rPr>
        <w:t>civil society</w:t>
      </w:r>
      <w:r w:rsidR="009546B0">
        <w:rPr>
          <w:rFonts w:cs="Times New Roman"/>
          <w:sz w:val="20"/>
          <w:szCs w:val="20"/>
        </w:rPr>
        <w:t xml:space="preserve"> in order to </w:t>
      </w:r>
      <w:r w:rsidRPr="00D3392C">
        <w:rPr>
          <w:rFonts w:cs="Times New Roman"/>
          <w:sz w:val="20"/>
          <w:szCs w:val="20"/>
        </w:rPr>
        <w:t xml:space="preserve">improve budgetary decision-making, </w:t>
      </w:r>
      <w:r>
        <w:rPr>
          <w:rFonts w:cs="Times New Roman"/>
          <w:sz w:val="20"/>
          <w:szCs w:val="20"/>
        </w:rPr>
        <w:t xml:space="preserve">facilitate </w:t>
      </w:r>
      <w:r w:rsidRPr="00D3392C">
        <w:rPr>
          <w:rFonts w:cs="Times New Roman"/>
          <w:sz w:val="20"/>
          <w:szCs w:val="20"/>
        </w:rPr>
        <w:t xml:space="preserve">analysis, </w:t>
      </w:r>
      <w:r>
        <w:rPr>
          <w:rFonts w:cs="Times New Roman"/>
          <w:sz w:val="20"/>
          <w:szCs w:val="20"/>
        </w:rPr>
        <w:t xml:space="preserve">enhance </w:t>
      </w:r>
      <w:r w:rsidRPr="00D3392C">
        <w:rPr>
          <w:rFonts w:cs="Times New Roman"/>
          <w:sz w:val="20"/>
          <w:szCs w:val="20"/>
        </w:rPr>
        <w:t>transparency</w:t>
      </w:r>
      <w:r w:rsidR="00EC3E8E">
        <w:rPr>
          <w:rFonts w:cs="Times New Roman"/>
          <w:sz w:val="20"/>
          <w:szCs w:val="20"/>
        </w:rPr>
        <w:t>,</w:t>
      </w:r>
      <w:r w:rsidRPr="00D3392C">
        <w:rPr>
          <w:rFonts w:cs="Times New Roman"/>
          <w:sz w:val="20"/>
          <w:szCs w:val="20"/>
        </w:rPr>
        <w:t xml:space="preserve"> and </w:t>
      </w:r>
      <w:r>
        <w:rPr>
          <w:rFonts w:cs="Times New Roman"/>
          <w:sz w:val="20"/>
          <w:szCs w:val="20"/>
        </w:rPr>
        <w:t xml:space="preserve">promote </w:t>
      </w:r>
      <w:r w:rsidRPr="00D3392C">
        <w:rPr>
          <w:rFonts w:cs="Times New Roman"/>
          <w:sz w:val="20"/>
          <w:szCs w:val="20"/>
        </w:rPr>
        <w:t xml:space="preserve">accountability. </w:t>
      </w:r>
      <w:r>
        <w:rPr>
          <w:rFonts w:cs="Times New Roman"/>
          <w:sz w:val="20"/>
          <w:szCs w:val="20"/>
        </w:rPr>
        <w:t>BOOST focuses on</w:t>
      </w:r>
      <w:r w:rsidRPr="00D3392C">
        <w:rPr>
          <w:rFonts w:cs="Times New Roman"/>
          <w:sz w:val="20"/>
          <w:szCs w:val="20"/>
        </w:rPr>
        <w:t xml:space="preserve">: (i) supporting expenditure analysis; (ii) </w:t>
      </w:r>
      <w:r w:rsidR="009546B0">
        <w:rPr>
          <w:rFonts w:cs="Times New Roman"/>
          <w:sz w:val="20"/>
          <w:szCs w:val="20"/>
        </w:rPr>
        <w:t>promoting</w:t>
      </w:r>
      <w:r>
        <w:rPr>
          <w:rFonts w:cs="Times New Roman"/>
          <w:sz w:val="20"/>
          <w:szCs w:val="20"/>
        </w:rPr>
        <w:t xml:space="preserve"> the</w:t>
      </w:r>
      <w:r w:rsidRPr="00D3392C">
        <w:rPr>
          <w:rFonts w:cs="Times New Roman"/>
          <w:sz w:val="20"/>
          <w:szCs w:val="20"/>
        </w:rPr>
        <w:t xml:space="preserve"> public dissemination of budget data; and (iii) improving PFM processes and systems.  </w:t>
      </w:r>
    </w:p>
    <w:p w14:paraId="41858399" w14:textId="77777777" w:rsidR="00061B59" w:rsidRPr="00D3392C" w:rsidRDefault="00061B59" w:rsidP="00061B59">
      <w:pPr>
        <w:pBdr>
          <w:top w:val="single" w:sz="4" w:space="1" w:color="auto"/>
          <w:left w:val="single" w:sz="4" w:space="4" w:color="auto"/>
          <w:bottom w:val="single" w:sz="4" w:space="0" w:color="auto"/>
          <w:right w:val="single" w:sz="4" w:space="4" w:color="auto"/>
        </w:pBdr>
        <w:shd w:val="clear" w:color="auto" w:fill="DBDBDB" w:themeFill="accent3" w:themeFillTint="66"/>
        <w:spacing w:after="120" w:line="240" w:lineRule="auto"/>
        <w:ind w:left="360" w:right="446"/>
        <w:jc w:val="both"/>
        <w:rPr>
          <w:rFonts w:cs="Times New Roman"/>
          <w:i/>
          <w:sz w:val="20"/>
          <w:szCs w:val="20"/>
        </w:rPr>
      </w:pPr>
      <w:r>
        <w:rPr>
          <w:rFonts w:cs="Times New Roman"/>
          <w:sz w:val="20"/>
          <w:szCs w:val="20"/>
        </w:rPr>
        <w:t xml:space="preserve">BOOST is designed to be integrated with </w:t>
      </w:r>
      <w:r w:rsidR="00EC3E8E">
        <w:rPr>
          <w:rFonts w:cs="Times New Roman"/>
          <w:sz w:val="20"/>
          <w:szCs w:val="20"/>
        </w:rPr>
        <w:t xml:space="preserve">the </w:t>
      </w:r>
      <w:r>
        <w:rPr>
          <w:rFonts w:cs="Times New Roman"/>
          <w:sz w:val="20"/>
          <w:szCs w:val="20"/>
        </w:rPr>
        <w:t xml:space="preserve">GIFMIS. By analyzing </w:t>
      </w:r>
      <w:r w:rsidRPr="00D3392C">
        <w:rPr>
          <w:rFonts w:cs="Times New Roman"/>
          <w:sz w:val="20"/>
          <w:szCs w:val="20"/>
        </w:rPr>
        <w:t xml:space="preserve">the </w:t>
      </w:r>
      <w:r>
        <w:rPr>
          <w:rFonts w:cs="Times New Roman"/>
          <w:sz w:val="20"/>
          <w:szCs w:val="20"/>
        </w:rPr>
        <w:t>g</w:t>
      </w:r>
      <w:r w:rsidRPr="00D3392C">
        <w:rPr>
          <w:rFonts w:cs="Times New Roman"/>
          <w:sz w:val="20"/>
          <w:szCs w:val="20"/>
        </w:rPr>
        <w:t>overnment</w:t>
      </w:r>
      <w:r>
        <w:rPr>
          <w:rFonts w:cs="Times New Roman"/>
          <w:sz w:val="20"/>
          <w:szCs w:val="20"/>
        </w:rPr>
        <w:t>’</w:t>
      </w:r>
      <w:r w:rsidRPr="00D3392C">
        <w:rPr>
          <w:rFonts w:cs="Times New Roman"/>
          <w:sz w:val="20"/>
          <w:szCs w:val="20"/>
        </w:rPr>
        <w:t xml:space="preserve">s own </w:t>
      </w:r>
      <w:r>
        <w:rPr>
          <w:rFonts w:cs="Times New Roman"/>
          <w:sz w:val="20"/>
          <w:szCs w:val="20"/>
        </w:rPr>
        <w:t>public expenditure information through a</w:t>
      </w:r>
      <w:r w:rsidRPr="00D3392C">
        <w:rPr>
          <w:rFonts w:cs="Times New Roman"/>
          <w:sz w:val="20"/>
          <w:szCs w:val="20"/>
        </w:rPr>
        <w:t xml:space="preserve"> consistent methodology, the program </w:t>
      </w:r>
      <w:r>
        <w:rPr>
          <w:rFonts w:cs="Times New Roman"/>
          <w:sz w:val="20"/>
          <w:szCs w:val="20"/>
        </w:rPr>
        <w:t>presents</w:t>
      </w:r>
      <w:r w:rsidRPr="00D3392C">
        <w:rPr>
          <w:rFonts w:cs="Times New Roman"/>
          <w:sz w:val="20"/>
          <w:szCs w:val="20"/>
        </w:rPr>
        <w:t xml:space="preserve"> highly granular fiscal data </w:t>
      </w:r>
      <w:r>
        <w:rPr>
          <w:rFonts w:cs="Times New Roman"/>
          <w:sz w:val="20"/>
          <w:szCs w:val="20"/>
        </w:rPr>
        <w:t>in a clear and</w:t>
      </w:r>
      <w:r w:rsidRPr="00D3392C">
        <w:rPr>
          <w:rFonts w:cs="Times New Roman"/>
          <w:sz w:val="20"/>
          <w:szCs w:val="20"/>
        </w:rPr>
        <w:t xml:space="preserve"> accessible format. Each </w:t>
      </w:r>
      <w:r>
        <w:rPr>
          <w:rFonts w:cs="Times New Roman"/>
          <w:sz w:val="20"/>
          <w:szCs w:val="20"/>
        </w:rPr>
        <w:t xml:space="preserve">BOOST </w:t>
      </w:r>
      <w:r w:rsidRPr="00D3392C">
        <w:rPr>
          <w:rFonts w:cs="Times New Roman"/>
          <w:sz w:val="20"/>
          <w:szCs w:val="20"/>
        </w:rPr>
        <w:t xml:space="preserve">dataset typically allows </w:t>
      </w:r>
      <w:r>
        <w:rPr>
          <w:rFonts w:cs="Times New Roman"/>
          <w:sz w:val="20"/>
          <w:szCs w:val="20"/>
        </w:rPr>
        <w:t>the</w:t>
      </w:r>
      <w:r w:rsidRPr="00D3392C">
        <w:rPr>
          <w:rFonts w:cs="Times New Roman"/>
          <w:sz w:val="20"/>
          <w:szCs w:val="20"/>
        </w:rPr>
        <w:t xml:space="preserve"> approved, revised, and executed budgets to be cross-referenced across years </w:t>
      </w:r>
      <w:r>
        <w:rPr>
          <w:rFonts w:cs="Times New Roman"/>
          <w:sz w:val="20"/>
          <w:szCs w:val="20"/>
        </w:rPr>
        <w:t>and disaggregated by</w:t>
      </w:r>
      <w:r w:rsidRPr="00D3392C">
        <w:rPr>
          <w:rFonts w:cs="Times New Roman"/>
          <w:sz w:val="20"/>
          <w:szCs w:val="20"/>
        </w:rPr>
        <w:t xml:space="preserve"> government level, administrative unit, subnational authorit</w:t>
      </w:r>
      <w:r>
        <w:rPr>
          <w:rFonts w:cs="Times New Roman"/>
          <w:sz w:val="20"/>
          <w:szCs w:val="20"/>
        </w:rPr>
        <w:t>y</w:t>
      </w:r>
      <w:r w:rsidRPr="00D3392C">
        <w:rPr>
          <w:rFonts w:cs="Times New Roman"/>
          <w:sz w:val="20"/>
          <w:szCs w:val="20"/>
        </w:rPr>
        <w:t xml:space="preserve">, and functional classification.  </w:t>
      </w:r>
    </w:p>
    <w:p w14:paraId="3A165821" w14:textId="77777777" w:rsidR="00061B59" w:rsidRPr="00D3392C" w:rsidRDefault="00061B59" w:rsidP="00061B59">
      <w:pPr>
        <w:pBdr>
          <w:top w:val="single" w:sz="4" w:space="1" w:color="auto"/>
          <w:left w:val="single" w:sz="4" w:space="4" w:color="auto"/>
          <w:bottom w:val="single" w:sz="4" w:space="0" w:color="auto"/>
          <w:right w:val="single" w:sz="4" w:space="4" w:color="auto"/>
        </w:pBdr>
        <w:shd w:val="clear" w:color="auto" w:fill="DBDBDB" w:themeFill="accent3" w:themeFillTint="66"/>
        <w:spacing w:after="0" w:line="240" w:lineRule="auto"/>
        <w:ind w:left="360" w:right="446"/>
        <w:jc w:val="center"/>
        <w:rPr>
          <w:rFonts w:cs="Times New Roman"/>
          <w:sz w:val="20"/>
          <w:szCs w:val="20"/>
        </w:rPr>
      </w:pPr>
      <w:r>
        <w:rPr>
          <w:noProof/>
        </w:rPr>
        <w:drawing>
          <wp:inline distT="0" distB="0" distL="0" distR="0" wp14:anchorId="259A158C" wp14:editId="233975A0">
            <wp:extent cx="5053444" cy="838835"/>
            <wp:effectExtent l="19050" t="19050" r="13970"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666" t="12321" r="648" b="3454"/>
                    <a:stretch/>
                  </pic:blipFill>
                  <pic:spPr bwMode="auto">
                    <a:xfrm>
                      <a:off x="0" y="0"/>
                      <a:ext cx="5062215" cy="84029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63FB1C6" w14:textId="77777777" w:rsidR="00061B59" w:rsidRPr="00C80ECE" w:rsidRDefault="00061B59" w:rsidP="00061B59">
      <w:pPr>
        <w:pBdr>
          <w:top w:val="single" w:sz="4" w:space="1" w:color="auto"/>
          <w:left w:val="single" w:sz="4" w:space="4" w:color="auto"/>
          <w:bottom w:val="single" w:sz="4" w:space="0" w:color="auto"/>
          <w:right w:val="single" w:sz="4" w:space="4" w:color="auto"/>
        </w:pBdr>
        <w:shd w:val="clear" w:color="auto" w:fill="DBDBDB" w:themeFill="accent3" w:themeFillTint="66"/>
        <w:spacing w:after="120" w:line="240" w:lineRule="auto"/>
        <w:ind w:left="360" w:right="446" w:firstLine="360"/>
        <w:rPr>
          <w:rFonts w:cs="Times New Roman"/>
          <w:sz w:val="18"/>
          <w:szCs w:val="18"/>
          <w:lang w:val="fr-CH"/>
        </w:rPr>
      </w:pPr>
      <w:r w:rsidRPr="00C80ECE">
        <w:rPr>
          <w:rFonts w:cs="Times New Roman"/>
          <w:sz w:val="18"/>
          <w:szCs w:val="18"/>
          <w:lang w:val="fr-CH"/>
        </w:rPr>
        <w:t xml:space="preserve">Source: </w:t>
      </w:r>
      <w:hyperlink r:id="rId28" w:history="1">
        <w:r w:rsidRPr="00C80ECE">
          <w:rPr>
            <w:rStyle w:val="Hyperlink"/>
            <w:rFonts w:cs="Times New Roman"/>
            <w:sz w:val="18"/>
            <w:szCs w:val="18"/>
            <w:lang w:val="fr-CH"/>
          </w:rPr>
          <w:t>http://wbi.worldbank.org/boost/</w:t>
        </w:r>
      </w:hyperlink>
      <w:r w:rsidRPr="00C80ECE">
        <w:rPr>
          <w:rFonts w:cs="Times New Roman"/>
          <w:sz w:val="18"/>
          <w:szCs w:val="18"/>
          <w:lang w:val="fr-CH"/>
        </w:rPr>
        <w:t xml:space="preserve"> </w:t>
      </w:r>
    </w:p>
    <w:p w14:paraId="5493ACDB" w14:textId="77777777" w:rsidR="00524EB2" w:rsidRPr="00524EB2" w:rsidRDefault="002D14BE" w:rsidP="000914E7">
      <w:pPr>
        <w:pStyle w:val="ListParagraph"/>
        <w:spacing w:before="240"/>
      </w:pPr>
      <w:r w:rsidRPr="00524EB2">
        <w:rPr>
          <w:b/>
        </w:rPr>
        <w:t xml:space="preserve">The </w:t>
      </w:r>
      <w:r w:rsidR="005A306A">
        <w:rPr>
          <w:b/>
        </w:rPr>
        <w:t>completion</w:t>
      </w:r>
      <w:r w:rsidR="002D2C65">
        <w:rPr>
          <w:b/>
        </w:rPr>
        <w:t xml:space="preserve"> </w:t>
      </w:r>
      <w:r w:rsidR="005A306A">
        <w:rPr>
          <w:b/>
        </w:rPr>
        <w:t xml:space="preserve">of the reform process </w:t>
      </w:r>
      <w:r w:rsidR="002D2C65">
        <w:rPr>
          <w:b/>
        </w:rPr>
        <w:t xml:space="preserve">and </w:t>
      </w:r>
      <w:r w:rsidR="005A306A">
        <w:rPr>
          <w:b/>
        </w:rPr>
        <w:t xml:space="preserve">its </w:t>
      </w:r>
      <w:r w:rsidR="002D2C65">
        <w:rPr>
          <w:b/>
        </w:rPr>
        <w:t xml:space="preserve">long-term sustainability are both subject to </w:t>
      </w:r>
      <w:r w:rsidRPr="00524EB2">
        <w:rPr>
          <w:b/>
        </w:rPr>
        <w:t>significant uncertainty</w:t>
      </w:r>
      <w:r w:rsidR="00F80616" w:rsidRPr="00524EB2">
        <w:rPr>
          <w:b/>
        </w:rPr>
        <w:t>.</w:t>
      </w:r>
      <w:r w:rsidRPr="00524EB2">
        <w:rPr>
          <w:b/>
        </w:rPr>
        <w:t xml:space="preserve"> </w:t>
      </w:r>
      <w:r w:rsidR="002D2C65">
        <w:t>Since the early 2000s</w:t>
      </w:r>
      <w:r w:rsidR="00EC3E8E">
        <w:t>,</w:t>
      </w:r>
      <w:r w:rsidR="002D2C65">
        <w:t xml:space="preserve"> G</w:t>
      </w:r>
      <w:r w:rsidR="004B58C7" w:rsidRPr="00524EB2">
        <w:t>hana ha</w:t>
      </w:r>
      <w:r w:rsidR="002D2C65">
        <w:t xml:space="preserve">s experienced </w:t>
      </w:r>
      <w:r w:rsidR="005A306A">
        <w:t xml:space="preserve">multiple </w:t>
      </w:r>
      <w:r w:rsidR="004B58C7" w:rsidRPr="00524EB2">
        <w:t xml:space="preserve">periods of </w:t>
      </w:r>
      <w:r w:rsidR="002D2C65">
        <w:t xml:space="preserve">extensive PFM </w:t>
      </w:r>
      <w:r w:rsidR="004B58C7" w:rsidRPr="00524EB2">
        <w:t xml:space="preserve">reform planning </w:t>
      </w:r>
      <w:r w:rsidR="002D2C65">
        <w:t xml:space="preserve">that </w:t>
      </w:r>
      <w:r w:rsidR="005A306A">
        <w:t xml:space="preserve">ultimately </w:t>
      </w:r>
      <w:r w:rsidR="002D2C65">
        <w:t>yielded only modest results</w:t>
      </w:r>
      <w:r w:rsidR="004B58C7" w:rsidRPr="00524EB2">
        <w:t xml:space="preserve">. </w:t>
      </w:r>
      <w:r w:rsidR="002D2C65">
        <w:t>P</w:t>
      </w:r>
      <w:r w:rsidR="00D62B7B">
        <w:t xml:space="preserve">olitical commitment </w:t>
      </w:r>
      <w:r w:rsidR="002D2C65">
        <w:t>proved to be a</w:t>
      </w:r>
      <w:r w:rsidR="00D62B7B">
        <w:t xml:space="preserve"> binding constraint </w:t>
      </w:r>
      <w:r w:rsidR="002D2C65">
        <w:t>on the</w:t>
      </w:r>
      <w:r w:rsidR="00D62B7B">
        <w:t xml:space="preserve"> success of </w:t>
      </w:r>
      <w:r w:rsidR="002D2C65">
        <w:t xml:space="preserve">these efforts, as early enthusiasm gave way to </w:t>
      </w:r>
      <w:r w:rsidR="002D2C65">
        <w:lastRenderedPageBreak/>
        <w:t>competing priorities and bureaucratic inertia.</w:t>
      </w:r>
      <w:r w:rsidR="00916A1A">
        <w:rPr>
          <w:rStyle w:val="FootnoteReference"/>
          <w:rFonts w:cs="Times New Roman"/>
        </w:rPr>
        <w:footnoteReference w:id="31"/>
      </w:r>
      <w:r w:rsidR="00D62B7B">
        <w:t xml:space="preserve"> </w:t>
      </w:r>
      <w:r w:rsidR="002D2C65">
        <w:t>The political cycle led to turnover in the</w:t>
      </w:r>
      <w:r w:rsidR="00D62B7B">
        <w:t xml:space="preserve"> senior management </w:t>
      </w:r>
      <w:r w:rsidR="002D2C65">
        <w:t xml:space="preserve">of </w:t>
      </w:r>
      <w:r w:rsidR="00DB2C49">
        <w:t xml:space="preserve">key </w:t>
      </w:r>
      <w:r w:rsidR="002D2C65">
        <w:t xml:space="preserve">ministries and public agencies, and </w:t>
      </w:r>
      <w:r w:rsidR="00DB2C49">
        <w:t xml:space="preserve">election-driven expenditure pressures </w:t>
      </w:r>
      <w:r w:rsidR="002D2C65">
        <w:t xml:space="preserve">generated a </w:t>
      </w:r>
      <w:r w:rsidR="00D62B7B">
        <w:t xml:space="preserve">recurring pattern of rapid fiscal expansion followed by consolidation and the </w:t>
      </w:r>
      <w:r w:rsidR="007D7BED">
        <w:t>tightening of</w:t>
      </w:r>
      <w:r w:rsidR="00D62B7B">
        <w:t xml:space="preserve"> expenditure controls. </w:t>
      </w:r>
      <w:r w:rsidR="007D7BED">
        <w:t xml:space="preserve">Past elections have </w:t>
      </w:r>
      <w:r w:rsidR="00DB2C49">
        <w:t xml:space="preserve">also </w:t>
      </w:r>
      <w:r w:rsidR="007D7BED">
        <w:t xml:space="preserve">repeatedly distracted </w:t>
      </w:r>
      <w:r w:rsidR="00D62B7B">
        <w:t xml:space="preserve">administrative effort and political attention </w:t>
      </w:r>
      <w:r w:rsidR="007D7BED">
        <w:t>away from the reform program</w:t>
      </w:r>
      <w:r w:rsidR="00D62B7B">
        <w:t>.</w:t>
      </w:r>
      <w:r w:rsidR="00524EB2">
        <w:t xml:space="preserve"> </w:t>
      </w:r>
    </w:p>
    <w:p w14:paraId="405B22AD" w14:textId="77777777" w:rsidR="006575B4" w:rsidRPr="00E45355" w:rsidRDefault="00191FC9" w:rsidP="00894F2B">
      <w:pPr>
        <w:pStyle w:val="Heading2"/>
      </w:pPr>
      <w:bookmarkStart w:id="57" w:name="_Toc479624873"/>
      <w:r w:rsidRPr="00E45355">
        <w:t>Conclusions and Recommendations</w:t>
      </w:r>
      <w:bookmarkEnd w:id="57"/>
    </w:p>
    <w:p w14:paraId="034E2DE1" w14:textId="77777777" w:rsidR="00092562" w:rsidRDefault="00216B82" w:rsidP="00BE06AC">
      <w:pPr>
        <w:pStyle w:val="ListParagraph"/>
      </w:pPr>
      <w:r w:rsidRPr="00BE06AC">
        <w:rPr>
          <w:b/>
        </w:rPr>
        <w:t>The</w:t>
      </w:r>
      <w:r w:rsidR="00554FB0" w:rsidRPr="00BE06AC">
        <w:rPr>
          <w:b/>
        </w:rPr>
        <w:t xml:space="preserve"> </w:t>
      </w:r>
      <w:r w:rsidRPr="00BE06AC">
        <w:rPr>
          <w:b/>
        </w:rPr>
        <w:t>revised income tax law</w:t>
      </w:r>
      <w:r w:rsidR="0058655C" w:rsidRPr="00BE06AC">
        <w:rPr>
          <w:b/>
        </w:rPr>
        <w:t xml:space="preserve"> </w:t>
      </w:r>
      <w:r w:rsidRPr="00BE06AC">
        <w:rPr>
          <w:b/>
        </w:rPr>
        <w:t xml:space="preserve">that became </w:t>
      </w:r>
      <w:r w:rsidR="0058655C" w:rsidRPr="00BE06AC">
        <w:rPr>
          <w:b/>
        </w:rPr>
        <w:t>effective in 2016</w:t>
      </w:r>
      <w:r w:rsidRPr="00BE06AC">
        <w:rPr>
          <w:b/>
        </w:rPr>
        <w:t xml:space="preserve"> represent</w:t>
      </w:r>
      <w:r w:rsidR="00DB2C49">
        <w:rPr>
          <w:b/>
        </w:rPr>
        <w:t>s</w:t>
      </w:r>
      <w:r w:rsidRPr="00BE06AC">
        <w:rPr>
          <w:b/>
        </w:rPr>
        <w:t xml:space="preserve"> a significant improvement over the previous legislation</w:t>
      </w:r>
      <w:r w:rsidR="0058655C" w:rsidRPr="00BE06AC">
        <w:rPr>
          <w:b/>
        </w:rPr>
        <w:t>.</w:t>
      </w:r>
      <w:r w:rsidR="0058655C" w:rsidRPr="006373AA">
        <w:t xml:space="preserve"> </w:t>
      </w:r>
      <w:r>
        <w:t xml:space="preserve">The </w:t>
      </w:r>
      <w:r w:rsidR="000A4086">
        <w:t xml:space="preserve">government’s </w:t>
      </w:r>
      <w:r>
        <w:t>plan</w:t>
      </w:r>
      <w:r w:rsidR="000A4086">
        <w:t xml:space="preserve"> to</w:t>
      </w:r>
      <w:r>
        <w:t xml:space="preserve"> creat</w:t>
      </w:r>
      <w:r w:rsidR="000A4086">
        <w:t>e</w:t>
      </w:r>
      <w:r>
        <w:t xml:space="preserve"> a business</w:t>
      </w:r>
      <w:r w:rsidR="000A4086">
        <w:t>-</w:t>
      </w:r>
      <w:r>
        <w:t>information system</w:t>
      </w:r>
      <w:r w:rsidR="0058655C" w:rsidRPr="006373AA">
        <w:t xml:space="preserve"> to improve </w:t>
      </w:r>
      <w:r w:rsidR="00554FB0" w:rsidRPr="006373AA">
        <w:t xml:space="preserve">tax compliance and </w:t>
      </w:r>
      <w:r>
        <w:t xml:space="preserve">broaden </w:t>
      </w:r>
      <w:r w:rsidR="000A4086">
        <w:t xml:space="preserve">the </w:t>
      </w:r>
      <w:r w:rsidR="00554FB0" w:rsidRPr="006373AA">
        <w:t xml:space="preserve">tax base </w:t>
      </w:r>
      <w:r>
        <w:t>is also highly encouraging</w:t>
      </w:r>
      <w:r w:rsidR="00554FB0" w:rsidRPr="006373AA">
        <w:t xml:space="preserve">. </w:t>
      </w:r>
      <w:r w:rsidR="00D606C9">
        <w:t>Nevertheless</w:t>
      </w:r>
      <w:r w:rsidR="00554FB0" w:rsidRPr="006373AA">
        <w:t xml:space="preserve">, </w:t>
      </w:r>
      <w:r w:rsidR="00D606C9">
        <w:t xml:space="preserve">the </w:t>
      </w:r>
      <w:r w:rsidR="000A4086">
        <w:t xml:space="preserve">authorities </w:t>
      </w:r>
      <w:r w:rsidR="00D606C9">
        <w:t xml:space="preserve">will </w:t>
      </w:r>
      <w:r w:rsidR="000A4086">
        <w:t xml:space="preserve">also </w:t>
      </w:r>
      <w:r w:rsidR="00554FB0" w:rsidRPr="006373AA">
        <w:t xml:space="preserve">need to </w:t>
      </w:r>
      <w:r w:rsidR="00D606C9">
        <w:t xml:space="preserve">thoroughly </w:t>
      </w:r>
      <w:r w:rsidR="00554FB0" w:rsidRPr="006373AA">
        <w:t>review</w:t>
      </w:r>
      <w:r w:rsidR="00556D5D" w:rsidRPr="006373AA">
        <w:t xml:space="preserve"> and evaluate </w:t>
      </w:r>
      <w:r w:rsidR="000A4086">
        <w:t xml:space="preserve">the country’s </w:t>
      </w:r>
      <w:r w:rsidR="000F5E20">
        <w:t>tax</w:t>
      </w:r>
      <w:r w:rsidR="000A4086">
        <w:t>-</w:t>
      </w:r>
      <w:r w:rsidR="00D606C9">
        <w:t xml:space="preserve">incentive regime, which imposes a </w:t>
      </w:r>
      <w:r w:rsidR="000A4086">
        <w:t xml:space="preserve">heavy </w:t>
      </w:r>
      <w:r w:rsidR="00D606C9">
        <w:t>cost in terms of foregone revenue</w:t>
      </w:r>
      <w:r w:rsidR="008E13CF" w:rsidRPr="006373AA">
        <w:t>.</w:t>
      </w:r>
      <w:r w:rsidR="00554FB0" w:rsidRPr="006373AA">
        <w:t xml:space="preserve"> </w:t>
      </w:r>
    </w:p>
    <w:p w14:paraId="6942BAD9" w14:textId="77777777" w:rsidR="007D234E" w:rsidRPr="005840D7" w:rsidRDefault="00690E53">
      <w:pPr>
        <w:pStyle w:val="ListParagraph"/>
      </w:pPr>
      <w:r>
        <w:rPr>
          <w:b/>
        </w:rPr>
        <w:t>Effectively managing</w:t>
      </w:r>
      <w:r w:rsidR="00DC4E3D">
        <w:rPr>
          <w:b/>
        </w:rPr>
        <w:t xml:space="preserve"> the country’s </w:t>
      </w:r>
      <w:r w:rsidR="006903B4" w:rsidRPr="00BE06AC">
        <w:rPr>
          <w:b/>
        </w:rPr>
        <w:t xml:space="preserve">oil revenue will </w:t>
      </w:r>
      <w:r w:rsidR="00685777" w:rsidRPr="00BE06AC">
        <w:rPr>
          <w:b/>
        </w:rPr>
        <w:t xml:space="preserve">continue to </w:t>
      </w:r>
      <w:r w:rsidR="00DC4E3D">
        <w:rPr>
          <w:b/>
        </w:rPr>
        <w:t>present</w:t>
      </w:r>
      <w:r w:rsidR="00DC4E3D" w:rsidRPr="00BE06AC">
        <w:rPr>
          <w:b/>
        </w:rPr>
        <w:t xml:space="preserve"> </w:t>
      </w:r>
      <w:r w:rsidR="00685777" w:rsidRPr="00BE06AC">
        <w:rPr>
          <w:b/>
        </w:rPr>
        <w:t xml:space="preserve">a major </w:t>
      </w:r>
      <w:r w:rsidR="00DC4E3D">
        <w:rPr>
          <w:b/>
        </w:rPr>
        <w:t xml:space="preserve">fiscal-policy </w:t>
      </w:r>
      <w:r w:rsidR="00685777" w:rsidRPr="00BE06AC">
        <w:rPr>
          <w:b/>
        </w:rPr>
        <w:t xml:space="preserve">challenge, the importance of which will increase </w:t>
      </w:r>
      <w:r w:rsidR="006903B4" w:rsidRPr="00BE06AC">
        <w:rPr>
          <w:b/>
        </w:rPr>
        <w:t xml:space="preserve">in tandem with </w:t>
      </w:r>
      <w:r w:rsidR="00CD77F3">
        <w:rPr>
          <w:b/>
        </w:rPr>
        <w:t>the</w:t>
      </w:r>
      <w:r w:rsidR="00CD77F3" w:rsidRPr="00BE06AC">
        <w:rPr>
          <w:b/>
        </w:rPr>
        <w:t xml:space="preserve"> </w:t>
      </w:r>
      <w:r w:rsidR="006903B4" w:rsidRPr="00BE06AC">
        <w:rPr>
          <w:b/>
        </w:rPr>
        <w:t xml:space="preserve">rising share </w:t>
      </w:r>
      <w:r w:rsidR="00CD77F3">
        <w:rPr>
          <w:b/>
        </w:rPr>
        <w:t xml:space="preserve">of oil </w:t>
      </w:r>
      <w:r w:rsidR="006903B4" w:rsidRPr="00BE06AC">
        <w:rPr>
          <w:b/>
        </w:rPr>
        <w:t xml:space="preserve">in </w:t>
      </w:r>
      <w:r w:rsidR="00685777" w:rsidRPr="00BE06AC">
        <w:rPr>
          <w:b/>
        </w:rPr>
        <w:t xml:space="preserve">total </w:t>
      </w:r>
      <w:r w:rsidR="006903B4" w:rsidRPr="00BE06AC">
        <w:rPr>
          <w:b/>
        </w:rPr>
        <w:t>public revenue.</w:t>
      </w:r>
      <w:r w:rsidR="006903B4" w:rsidRPr="006D012D">
        <w:t xml:space="preserve"> </w:t>
      </w:r>
      <w:r w:rsidR="005A306A">
        <w:t>S</w:t>
      </w:r>
      <w:r>
        <w:t>ound budget</w:t>
      </w:r>
      <w:r w:rsidR="005A306A">
        <w:t xml:space="preserve"> </w:t>
      </w:r>
      <w:r>
        <w:t xml:space="preserve">management will </w:t>
      </w:r>
      <w:r w:rsidR="00DC4E3D">
        <w:t>require</w:t>
      </w:r>
      <w:r w:rsidR="00CD77F3" w:rsidRPr="00BE06AC">
        <w:t xml:space="preserve"> </w:t>
      </w:r>
      <w:r w:rsidR="00CD77F3">
        <w:t>more accurate revenue forecast</w:t>
      </w:r>
      <w:r w:rsidR="009D22C0">
        <w:t xml:space="preserve">s that limit the risk of </w:t>
      </w:r>
      <w:r w:rsidR="00CD77F3">
        <w:t>overestimation</w:t>
      </w:r>
      <w:r w:rsidR="005A306A">
        <w:t>, as e</w:t>
      </w:r>
      <w:r w:rsidR="00CD77F3">
        <w:t xml:space="preserve">xcessively optimistic </w:t>
      </w:r>
      <w:r w:rsidR="00092562" w:rsidRPr="006903B4">
        <w:t>o</w:t>
      </w:r>
      <w:r w:rsidR="003B25AB" w:rsidRPr="006903B4">
        <w:t>il</w:t>
      </w:r>
      <w:r w:rsidR="005A306A">
        <w:t>-</w:t>
      </w:r>
      <w:r w:rsidR="003B25AB" w:rsidRPr="006903B4">
        <w:t>revenue</w:t>
      </w:r>
      <w:r w:rsidR="006903B4" w:rsidRPr="006903B4">
        <w:t xml:space="preserve"> </w:t>
      </w:r>
      <w:r w:rsidR="005A306A">
        <w:t xml:space="preserve">projections </w:t>
      </w:r>
      <w:r w:rsidR="00CD77F3">
        <w:t xml:space="preserve">can </w:t>
      </w:r>
      <w:r w:rsidR="005A306A">
        <w:t>cause</w:t>
      </w:r>
      <w:r>
        <w:t xml:space="preserve"> </w:t>
      </w:r>
      <w:r w:rsidR="00AD0D91">
        <w:t>budget</w:t>
      </w:r>
      <w:r>
        <w:t>ary</w:t>
      </w:r>
      <w:r w:rsidR="00AD0D91">
        <w:t xml:space="preserve"> shortfalls</w:t>
      </w:r>
      <w:r>
        <w:t xml:space="preserve"> that</w:t>
      </w:r>
      <w:r w:rsidR="00CD77F3">
        <w:t xml:space="preserve"> </w:t>
      </w:r>
      <w:r w:rsidR="005A306A">
        <w:t>contribute to</w:t>
      </w:r>
      <w:r>
        <w:t xml:space="preserve"> </w:t>
      </w:r>
      <w:r w:rsidR="00CD77F3">
        <w:t>the accumulation of arrears and further compromis</w:t>
      </w:r>
      <w:r>
        <w:t>e</w:t>
      </w:r>
      <w:r w:rsidR="00CD77F3">
        <w:t xml:space="preserve"> budgetary credibility</w:t>
      </w:r>
      <w:r w:rsidR="006903B4" w:rsidRPr="006903B4">
        <w:t xml:space="preserve">. </w:t>
      </w:r>
      <w:r w:rsidR="00CD77F3">
        <w:t xml:space="preserve">Over the longer term, the government will need to </w:t>
      </w:r>
      <w:r w:rsidR="005A306A">
        <w:t xml:space="preserve">formulate a detailed </w:t>
      </w:r>
      <w:r w:rsidR="00CD77F3">
        <w:t xml:space="preserve">plan </w:t>
      </w:r>
      <w:r w:rsidR="005A306A">
        <w:t>to manage</w:t>
      </w:r>
      <w:r w:rsidR="00CD77F3">
        <w:t xml:space="preserve"> the fiscal </w:t>
      </w:r>
      <w:r w:rsidR="005A306A">
        <w:t xml:space="preserve">impact </w:t>
      </w:r>
      <w:r w:rsidR="00CD77F3">
        <w:t xml:space="preserve">of the </w:t>
      </w:r>
      <w:r w:rsidR="00134B0F">
        <w:t xml:space="preserve">projected </w:t>
      </w:r>
      <w:r w:rsidR="00CD77F3">
        <w:t>decline in oil revenues expected</w:t>
      </w:r>
      <w:r w:rsidR="006903B4">
        <w:t xml:space="preserve"> after 2025</w:t>
      </w:r>
      <w:r w:rsidR="00AD0D91">
        <w:t>.</w:t>
      </w:r>
    </w:p>
    <w:p w14:paraId="4006F3D2" w14:textId="77777777" w:rsidR="007D234E" w:rsidRDefault="007D234E" w:rsidP="005367B3">
      <w:pPr>
        <w:pStyle w:val="ListParagraph"/>
      </w:pPr>
      <w:r w:rsidRPr="00461623">
        <w:rPr>
          <w:b/>
        </w:rPr>
        <w:t>M</w:t>
      </w:r>
      <w:r w:rsidR="006D012D" w:rsidRPr="00461623">
        <w:rPr>
          <w:b/>
        </w:rPr>
        <w:t xml:space="preserve">ore effective public investment management </w:t>
      </w:r>
      <w:r w:rsidR="00DF5877" w:rsidRPr="00461623">
        <w:rPr>
          <w:b/>
        </w:rPr>
        <w:t>c</w:t>
      </w:r>
      <w:r w:rsidR="006D012D" w:rsidRPr="00DF5877">
        <w:rPr>
          <w:b/>
        </w:rPr>
        <w:t xml:space="preserve">ould </w:t>
      </w:r>
      <w:r w:rsidR="00DF5877" w:rsidRPr="00DF5877">
        <w:rPr>
          <w:b/>
        </w:rPr>
        <w:t xml:space="preserve">enhance </w:t>
      </w:r>
      <w:r w:rsidR="006D012D" w:rsidRPr="00DF5877">
        <w:rPr>
          <w:b/>
        </w:rPr>
        <w:t xml:space="preserve">the impact of capital </w:t>
      </w:r>
      <w:r w:rsidR="00DF5877" w:rsidRPr="00DF5877">
        <w:rPr>
          <w:b/>
        </w:rPr>
        <w:t>spending</w:t>
      </w:r>
      <w:r w:rsidR="00DF5877">
        <w:rPr>
          <w:b/>
        </w:rPr>
        <w:t>, enabling the government to</w:t>
      </w:r>
      <w:r w:rsidR="00DF5877" w:rsidRPr="00461623">
        <w:rPr>
          <w:b/>
        </w:rPr>
        <w:t xml:space="preserve"> </w:t>
      </w:r>
      <w:r w:rsidR="00DF5877">
        <w:rPr>
          <w:b/>
        </w:rPr>
        <w:t>accelerate</w:t>
      </w:r>
      <w:r w:rsidRPr="001D5123">
        <w:rPr>
          <w:b/>
        </w:rPr>
        <w:t xml:space="preserve"> growth even without a substantial increase in </w:t>
      </w:r>
      <w:r w:rsidR="00DF5877" w:rsidRPr="001D5123">
        <w:rPr>
          <w:b/>
        </w:rPr>
        <w:t xml:space="preserve">the </w:t>
      </w:r>
      <w:r w:rsidRPr="001D5123">
        <w:rPr>
          <w:b/>
        </w:rPr>
        <w:t>investment</w:t>
      </w:r>
      <w:r w:rsidR="00DF5877" w:rsidRPr="001D5123">
        <w:rPr>
          <w:b/>
        </w:rPr>
        <w:t xml:space="preserve"> budget</w:t>
      </w:r>
      <w:r w:rsidRPr="001D5123">
        <w:rPr>
          <w:b/>
        </w:rPr>
        <w:t>.</w:t>
      </w:r>
      <w:r w:rsidR="00EF0835">
        <w:t xml:space="preserve"> </w:t>
      </w:r>
      <w:r w:rsidR="00DF5877">
        <w:t>I</w:t>
      </w:r>
      <w:r w:rsidR="001D73EE">
        <w:t>mprov</w:t>
      </w:r>
      <w:r w:rsidR="00DF5877">
        <w:t>ing</w:t>
      </w:r>
      <w:r w:rsidR="001D73EE">
        <w:t xml:space="preserve"> the quality</w:t>
      </w:r>
      <w:r w:rsidR="00DF5877">
        <w:t xml:space="preserve"> of the investment portfolio will require</w:t>
      </w:r>
      <w:r w:rsidR="00EF0835" w:rsidRPr="001D5123">
        <w:t xml:space="preserve"> more rigorous and transparent arrangements for </w:t>
      </w:r>
      <w:r w:rsidR="00DF5877" w:rsidRPr="001D5123">
        <w:t xml:space="preserve">project </w:t>
      </w:r>
      <w:r w:rsidR="00EF0835" w:rsidRPr="001D5123">
        <w:t>appraisal, selection</w:t>
      </w:r>
      <w:r w:rsidR="0023010F">
        <w:t>,</w:t>
      </w:r>
      <w:r w:rsidR="00EF0835" w:rsidRPr="001D5123">
        <w:t xml:space="preserve"> and approval</w:t>
      </w:r>
      <w:r w:rsidR="00DF5877">
        <w:t xml:space="preserve">. Each </w:t>
      </w:r>
      <w:r w:rsidR="00EF0835">
        <w:t>project</w:t>
      </w:r>
      <w:r w:rsidR="00DF5877">
        <w:t>’s</w:t>
      </w:r>
      <w:r w:rsidR="00EF0835">
        <w:t xml:space="preserve"> rationale </w:t>
      </w:r>
      <w:r w:rsidR="00DF5877">
        <w:t>should be carefully w</w:t>
      </w:r>
      <w:r w:rsidR="00AA4048">
        <w:t>eighted,</w:t>
      </w:r>
      <w:r w:rsidR="00DF5877">
        <w:t xml:space="preserve"> </w:t>
      </w:r>
      <w:r w:rsidR="00EF0835">
        <w:t>alternative</w:t>
      </w:r>
      <w:r w:rsidR="00AA4048">
        <w:t xml:space="preserve">s </w:t>
      </w:r>
      <w:r w:rsidR="00DF5877">
        <w:t>should be evaluated</w:t>
      </w:r>
      <w:r w:rsidR="00EF0835">
        <w:t>,</w:t>
      </w:r>
      <w:r w:rsidR="00DF5877">
        <w:t xml:space="preserve"> and all projects should be subject to both</w:t>
      </w:r>
      <w:r w:rsidR="00EF0835">
        <w:t xml:space="preserve"> cost</w:t>
      </w:r>
      <w:r w:rsidR="00DF5877">
        <w:t>-</w:t>
      </w:r>
      <w:r w:rsidR="00EF0835">
        <w:t xml:space="preserve">benefit </w:t>
      </w:r>
      <w:r w:rsidR="00DF5877">
        <w:t xml:space="preserve">and risk </w:t>
      </w:r>
      <w:r w:rsidR="00EF0835">
        <w:t>analys</w:t>
      </w:r>
      <w:r w:rsidR="00DF5877">
        <w:t>e</w:t>
      </w:r>
      <w:r w:rsidR="00EF0835">
        <w:t>s.</w:t>
      </w:r>
      <w:r w:rsidR="00EF0835" w:rsidRPr="001D5123">
        <w:t xml:space="preserve"> </w:t>
      </w:r>
      <w:r>
        <w:t>The projected surge in oil revenues underscores the importance of investing efficiently in strategic sectors to support sustainable poverty reduction and promote shared prosperity</w:t>
      </w:r>
      <w:r w:rsidRPr="007879DC">
        <w:t>.</w:t>
      </w:r>
      <w:r>
        <w:t xml:space="preserve"> The government is currently implementing a public investment management reform program with support from the World Bank, but given</w:t>
      </w:r>
      <w:r w:rsidRPr="004A636F">
        <w:t xml:space="preserve"> Ghana’s large infrastructure and development needs,</w:t>
      </w:r>
      <w:r>
        <w:t xml:space="preserve"> additional policy actions may be necessary to improve the investment climate and encourage greater private sector participation in public investment projects</w:t>
      </w:r>
      <w:r w:rsidRPr="004A636F">
        <w:t xml:space="preserve">. </w:t>
      </w:r>
    </w:p>
    <w:p w14:paraId="65C499BA" w14:textId="77777777" w:rsidR="000932F4" w:rsidRPr="007925A8" w:rsidRDefault="00E1014F" w:rsidP="002C70DE">
      <w:pPr>
        <w:pStyle w:val="ListParagraph"/>
      </w:pPr>
      <w:r>
        <w:rPr>
          <w:b/>
        </w:rPr>
        <w:t>To maintain fiscal stability</w:t>
      </w:r>
      <w:r w:rsidR="0016267C">
        <w:rPr>
          <w:b/>
        </w:rPr>
        <w:t>,</w:t>
      </w:r>
      <w:r>
        <w:rPr>
          <w:b/>
        </w:rPr>
        <w:t xml:space="preserve"> the government</w:t>
      </w:r>
      <w:r w:rsidR="00623BAE" w:rsidRPr="005351B6">
        <w:rPr>
          <w:b/>
        </w:rPr>
        <w:t xml:space="preserve"> </w:t>
      </w:r>
      <w:r>
        <w:rPr>
          <w:b/>
        </w:rPr>
        <w:t>must</w:t>
      </w:r>
      <w:r w:rsidRPr="005351B6">
        <w:rPr>
          <w:b/>
        </w:rPr>
        <w:t xml:space="preserve"> </w:t>
      </w:r>
      <w:r w:rsidR="00D474F9" w:rsidRPr="005351B6">
        <w:rPr>
          <w:b/>
        </w:rPr>
        <w:t>continue</w:t>
      </w:r>
      <w:r>
        <w:rPr>
          <w:b/>
        </w:rPr>
        <w:t xml:space="preserve"> to implement</w:t>
      </w:r>
      <w:r w:rsidR="00D474F9" w:rsidRPr="005351B6">
        <w:rPr>
          <w:b/>
        </w:rPr>
        <w:t xml:space="preserve"> it</w:t>
      </w:r>
      <w:r>
        <w:rPr>
          <w:b/>
        </w:rPr>
        <w:t xml:space="preserve">s </w:t>
      </w:r>
      <w:r w:rsidR="00D474F9" w:rsidRPr="005351B6">
        <w:rPr>
          <w:b/>
        </w:rPr>
        <w:t xml:space="preserve">consolidation </w:t>
      </w:r>
      <w:r>
        <w:rPr>
          <w:b/>
        </w:rPr>
        <w:t>program while</w:t>
      </w:r>
      <w:r w:rsidR="00D474F9" w:rsidRPr="005351B6">
        <w:rPr>
          <w:b/>
        </w:rPr>
        <w:t xml:space="preserve"> </w:t>
      </w:r>
      <w:r w:rsidR="00103419" w:rsidRPr="005351B6">
        <w:rPr>
          <w:b/>
        </w:rPr>
        <w:t>build</w:t>
      </w:r>
      <w:r>
        <w:rPr>
          <w:b/>
        </w:rPr>
        <w:t>ing</w:t>
      </w:r>
      <w:r w:rsidR="00103419" w:rsidRPr="005351B6">
        <w:rPr>
          <w:b/>
        </w:rPr>
        <w:t xml:space="preserve"> its </w:t>
      </w:r>
      <w:r w:rsidR="00A602E1">
        <w:rPr>
          <w:b/>
        </w:rPr>
        <w:t>debt-management</w:t>
      </w:r>
      <w:r w:rsidR="00A602E1" w:rsidRPr="005351B6">
        <w:rPr>
          <w:b/>
        </w:rPr>
        <w:t xml:space="preserve"> </w:t>
      </w:r>
      <w:r w:rsidR="00103419" w:rsidRPr="005351B6">
        <w:rPr>
          <w:b/>
        </w:rPr>
        <w:t>capacity</w:t>
      </w:r>
      <w:r w:rsidR="00974E0D" w:rsidRPr="001D5123">
        <w:rPr>
          <w:b/>
        </w:rPr>
        <w:t>.</w:t>
      </w:r>
      <w:r w:rsidR="00974E0D" w:rsidRPr="00686C8E">
        <w:t xml:space="preserve"> </w:t>
      </w:r>
      <w:r w:rsidR="00641107">
        <w:t>The completion of the</w:t>
      </w:r>
      <w:r w:rsidR="00974E0D" w:rsidRPr="00D474F9">
        <w:t xml:space="preserve"> </w:t>
      </w:r>
      <w:r w:rsidR="00BF360D" w:rsidRPr="00D474F9">
        <w:t xml:space="preserve">planned </w:t>
      </w:r>
      <w:r w:rsidR="00D270F7" w:rsidRPr="00D474F9">
        <w:t>fiscal consolidation</w:t>
      </w:r>
      <w:r w:rsidR="00974E0D" w:rsidRPr="00D474F9">
        <w:t xml:space="preserve"> </w:t>
      </w:r>
      <w:r w:rsidR="00641107">
        <w:t>will be</w:t>
      </w:r>
      <w:r w:rsidR="00D270F7" w:rsidRPr="00D474F9">
        <w:t xml:space="preserve"> essential </w:t>
      </w:r>
      <w:r w:rsidR="007678EC">
        <w:t xml:space="preserve">to the sustainability of the country’s debt dynamics. Tight expenditure controls will limit </w:t>
      </w:r>
      <w:r w:rsidR="00103419">
        <w:t>the accumulation of new debt</w:t>
      </w:r>
      <w:r w:rsidR="007678EC">
        <w:t xml:space="preserve">, while </w:t>
      </w:r>
      <w:r w:rsidR="00D270F7" w:rsidRPr="00BF360D">
        <w:t>improv</w:t>
      </w:r>
      <w:r w:rsidR="00C544E7">
        <w:t>ing</w:t>
      </w:r>
      <w:r w:rsidR="00BC4401">
        <w:t xml:space="preserve"> </w:t>
      </w:r>
      <w:r w:rsidR="00D270F7" w:rsidRPr="00BF360D">
        <w:t>macroeconomic conditions</w:t>
      </w:r>
      <w:r w:rsidR="00BC4401">
        <w:t xml:space="preserve"> </w:t>
      </w:r>
      <w:r w:rsidR="007678EC">
        <w:t xml:space="preserve">will </w:t>
      </w:r>
      <w:r w:rsidR="00D270F7" w:rsidRPr="00BF360D">
        <w:t>reduce financing costs.</w:t>
      </w:r>
      <w:r w:rsidR="00103419">
        <w:t xml:space="preserve"> </w:t>
      </w:r>
      <w:r w:rsidR="007678EC">
        <w:t>P</w:t>
      </w:r>
      <w:r w:rsidR="002C70DE">
        <w:t>roactive manage</w:t>
      </w:r>
      <w:r w:rsidR="007678EC">
        <w:t>ment of the</w:t>
      </w:r>
      <w:r w:rsidR="002C70DE">
        <w:t xml:space="preserve"> </w:t>
      </w:r>
      <w:r w:rsidR="00C544E7">
        <w:t xml:space="preserve">existing </w:t>
      </w:r>
      <w:r w:rsidR="002C70DE">
        <w:t xml:space="preserve">debt </w:t>
      </w:r>
      <w:r w:rsidR="00C544E7">
        <w:t xml:space="preserve">stock </w:t>
      </w:r>
      <w:r w:rsidR="007678EC">
        <w:t xml:space="preserve">will be necessary </w:t>
      </w:r>
      <w:r w:rsidR="00C544E7">
        <w:t>to maintain</w:t>
      </w:r>
      <w:r w:rsidR="002C70DE" w:rsidRPr="002C70DE">
        <w:t xml:space="preserve"> prudent </w:t>
      </w:r>
      <w:r w:rsidR="005C385A" w:rsidRPr="002C70DE">
        <w:t xml:space="preserve">risk </w:t>
      </w:r>
      <w:r w:rsidR="002C70DE" w:rsidRPr="002C70DE">
        <w:t>levels</w:t>
      </w:r>
      <w:r w:rsidR="002C70DE">
        <w:t xml:space="preserve">. </w:t>
      </w:r>
      <w:r w:rsidR="002C70DE" w:rsidRPr="00B27B38">
        <w:t xml:space="preserve">While </w:t>
      </w:r>
      <w:r w:rsidR="005C385A">
        <w:t>the authorities have made</w:t>
      </w:r>
      <w:r w:rsidR="005C385A" w:rsidRPr="00B27B38">
        <w:t xml:space="preserve"> </w:t>
      </w:r>
      <w:r w:rsidR="002C70DE" w:rsidRPr="00B27B38">
        <w:t xml:space="preserve">progress in </w:t>
      </w:r>
      <w:r w:rsidR="002C70DE">
        <w:t>establishing</w:t>
      </w:r>
      <w:r w:rsidR="002C70DE" w:rsidRPr="00B27B38">
        <w:t xml:space="preserve"> buffers for</w:t>
      </w:r>
      <w:r w:rsidR="002C70DE">
        <w:t xml:space="preserve"> </w:t>
      </w:r>
      <w:r w:rsidR="005C385A">
        <w:t xml:space="preserve">certain </w:t>
      </w:r>
      <w:r w:rsidR="002C70DE" w:rsidRPr="00B27B38">
        <w:t>debt obligations,</w:t>
      </w:r>
      <w:r w:rsidR="002C70DE">
        <w:t xml:space="preserve"> </w:t>
      </w:r>
      <w:r w:rsidR="007678EC">
        <w:t>the government will need to strengthen its</w:t>
      </w:r>
      <w:r w:rsidR="005C385A">
        <w:t xml:space="preserve"> </w:t>
      </w:r>
      <w:r w:rsidR="007678EC">
        <w:t>institutional</w:t>
      </w:r>
      <w:r w:rsidR="00103419">
        <w:t xml:space="preserve"> capacity </w:t>
      </w:r>
      <w:r w:rsidR="007678EC">
        <w:t>in order to</w:t>
      </w:r>
      <w:r w:rsidR="002C70DE">
        <w:t xml:space="preserve"> prepare and implement </w:t>
      </w:r>
      <w:r w:rsidR="005C385A">
        <w:t>an effective</w:t>
      </w:r>
      <w:r w:rsidR="00195422">
        <w:t xml:space="preserve"> medium-term debt strategy</w:t>
      </w:r>
      <w:r w:rsidR="002C70DE">
        <w:t xml:space="preserve">. </w:t>
      </w:r>
      <w:r w:rsidR="005C385A">
        <w:t xml:space="preserve">The </w:t>
      </w:r>
      <w:r w:rsidR="00C54D07">
        <w:t xml:space="preserve">successful </w:t>
      </w:r>
      <w:r w:rsidR="005C385A">
        <w:t xml:space="preserve">completion </w:t>
      </w:r>
      <w:r w:rsidR="00C54D07">
        <w:t xml:space="preserve">of the </w:t>
      </w:r>
      <w:r w:rsidR="00C54D07" w:rsidRPr="00C54D07">
        <w:t xml:space="preserve">World Bank technical assistance project </w:t>
      </w:r>
      <w:r w:rsidR="000710CF">
        <w:t xml:space="preserve">launched in November 2016 will </w:t>
      </w:r>
      <w:r w:rsidR="007678EC">
        <w:t xml:space="preserve">build </w:t>
      </w:r>
      <w:r w:rsidR="000710CF">
        <w:t>the government’s</w:t>
      </w:r>
      <w:r w:rsidR="00C54D07" w:rsidRPr="00C54D07">
        <w:t xml:space="preserve"> capacity </w:t>
      </w:r>
      <w:r w:rsidR="000710CF">
        <w:t xml:space="preserve">for </w:t>
      </w:r>
      <w:r w:rsidR="00195422">
        <w:t>strategic debt management</w:t>
      </w:r>
      <w:r w:rsidR="002C70DE">
        <w:t xml:space="preserve">, </w:t>
      </w:r>
      <w:r w:rsidR="007678EC">
        <w:t xml:space="preserve">facilitate the </w:t>
      </w:r>
      <w:r w:rsidR="00A2179F">
        <w:t>preparation of annual borrowing plan</w:t>
      </w:r>
      <w:r w:rsidR="00C54D07" w:rsidRPr="00C54D07">
        <w:t xml:space="preserve">, </w:t>
      </w:r>
      <w:r w:rsidR="007678EC">
        <w:t xml:space="preserve">improve </w:t>
      </w:r>
      <w:r w:rsidR="00C54D07" w:rsidRPr="00C54D07">
        <w:t xml:space="preserve">treasury management and forecasting, </w:t>
      </w:r>
      <w:r w:rsidR="007678EC">
        <w:t xml:space="preserve">enhance </w:t>
      </w:r>
      <w:r w:rsidR="00C54D07" w:rsidRPr="00C54D07">
        <w:t>debt reporting and transparency</w:t>
      </w:r>
      <w:r w:rsidR="006F7A6D">
        <w:t>,</w:t>
      </w:r>
      <w:r w:rsidR="00C54D07" w:rsidRPr="00C54D07">
        <w:t xml:space="preserve"> and </w:t>
      </w:r>
      <w:r w:rsidR="007678EC">
        <w:lastRenderedPageBreak/>
        <w:t>stre</w:t>
      </w:r>
      <w:r w:rsidR="007678EC" w:rsidRPr="007925A8">
        <w:t xml:space="preserve">ngthen </w:t>
      </w:r>
      <w:r w:rsidR="00C54D07" w:rsidRPr="007925A8">
        <w:t xml:space="preserve">operational risk management. </w:t>
      </w:r>
      <w:r w:rsidR="007678EC" w:rsidRPr="007925A8">
        <w:t>Further capacity building will be necessary to ensure that all</w:t>
      </w:r>
      <w:r w:rsidR="004573D2" w:rsidRPr="007925A8">
        <w:t xml:space="preserve"> </w:t>
      </w:r>
      <w:r w:rsidR="00E6657C" w:rsidRPr="007925A8">
        <w:t xml:space="preserve">debt issued by </w:t>
      </w:r>
      <w:r w:rsidR="00DA5227" w:rsidRPr="007925A8">
        <w:t xml:space="preserve">MMDAs and SOEs </w:t>
      </w:r>
      <w:r w:rsidR="007678EC" w:rsidRPr="007925A8">
        <w:t>is closely monitored to</w:t>
      </w:r>
      <w:r w:rsidR="0096784D" w:rsidRPr="007925A8">
        <w:t xml:space="preserve"> </w:t>
      </w:r>
      <w:r w:rsidR="006F7A6D" w:rsidRPr="007925A8">
        <w:t>contain the</w:t>
      </w:r>
      <w:r w:rsidR="004573D2" w:rsidRPr="007925A8">
        <w:t xml:space="preserve"> </w:t>
      </w:r>
      <w:r w:rsidR="000932F4" w:rsidRPr="007925A8">
        <w:t>risk of contingent liabilities.</w:t>
      </w:r>
    </w:p>
    <w:p w14:paraId="424A57A0" w14:textId="77777777" w:rsidR="00744036" w:rsidRPr="007925A8" w:rsidRDefault="006254D8" w:rsidP="00A9691B">
      <w:pPr>
        <w:pStyle w:val="ListParagraph"/>
      </w:pPr>
      <w:r w:rsidRPr="007925A8">
        <w:t>T</w:t>
      </w:r>
      <w:r w:rsidRPr="007925A8">
        <w:rPr>
          <w:b/>
        </w:rPr>
        <w:t>he government launched a far-reaching PFM</w:t>
      </w:r>
      <w:r w:rsidR="008C6CF6" w:rsidRPr="007925A8">
        <w:rPr>
          <w:b/>
        </w:rPr>
        <w:t xml:space="preserve"> reform </w:t>
      </w:r>
      <w:r w:rsidR="00744036" w:rsidRPr="007925A8">
        <w:rPr>
          <w:b/>
        </w:rPr>
        <w:t>strategy</w:t>
      </w:r>
      <w:r w:rsidR="008C6CF6" w:rsidRPr="007925A8">
        <w:rPr>
          <w:b/>
        </w:rPr>
        <w:t xml:space="preserve"> in August 2015</w:t>
      </w:r>
      <w:r w:rsidR="007B2846" w:rsidRPr="007925A8">
        <w:rPr>
          <w:b/>
        </w:rPr>
        <w:t xml:space="preserve">, which </w:t>
      </w:r>
      <w:r w:rsidR="008C6CF6" w:rsidRPr="007925A8">
        <w:rPr>
          <w:b/>
        </w:rPr>
        <w:t>includ</w:t>
      </w:r>
      <w:r w:rsidRPr="007925A8">
        <w:rPr>
          <w:b/>
        </w:rPr>
        <w:t>es implementing</w:t>
      </w:r>
      <w:r w:rsidR="008C6CF6" w:rsidRPr="007925A8">
        <w:rPr>
          <w:b/>
        </w:rPr>
        <w:t xml:space="preserve"> the second phase of </w:t>
      </w:r>
      <w:r w:rsidR="00547C9B">
        <w:rPr>
          <w:b/>
        </w:rPr>
        <w:t xml:space="preserve">the </w:t>
      </w:r>
      <w:r w:rsidR="008C6CF6" w:rsidRPr="007925A8">
        <w:rPr>
          <w:b/>
        </w:rPr>
        <w:t>GIFMIS</w:t>
      </w:r>
      <w:r w:rsidRPr="007925A8">
        <w:rPr>
          <w:b/>
        </w:rPr>
        <w:t xml:space="preserve"> with</w:t>
      </w:r>
      <w:r w:rsidR="008C6CF6" w:rsidRPr="007925A8">
        <w:rPr>
          <w:b/>
        </w:rPr>
        <w:t xml:space="preserve"> suppor</w:t>
      </w:r>
      <w:r w:rsidRPr="007925A8">
        <w:rPr>
          <w:b/>
        </w:rPr>
        <w:t>t from</w:t>
      </w:r>
      <w:r w:rsidR="008C6CF6" w:rsidRPr="007925A8">
        <w:rPr>
          <w:b/>
        </w:rPr>
        <w:t xml:space="preserve"> the World Bank</w:t>
      </w:r>
      <w:r w:rsidR="007B2846" w:rsidRPr="007925A8">
        <w:rPr>
          <w:b/>
        </w:rPr>
        <w:t>.</w:t>
      </w:r>
      <w:r w:rsidR="004B25BF" w:rsidRPr="007925A8">
        <w:rPr>
          <w:rStyle w:val="FootnoteReference"/>
        </w:rPr>
        <w:footnoteReference w:id="32"/>
      </w:r>
      <w:r w:rsidR="00744036" w:rsidRPr="007925A8">
        <w:t xml:space="preserve"> </w:t>
      </w:r>
      <w:r w:rsidR="007B2846" w:rsidRPr="007925A8">
        <w:t>E</w:t>
      </w:r>
      <w:r w:rsidR="00397A05" w:rsidRPr="007925A8">
        <w:t>xpand</w:t>
      </w:r>
      <w:r w:rsidR="007B2846" w:rsidRPr="007925A8">
        <w:t>ing the coverage of</w:t>
      </w:r>
      <w:r w:rsidR="00397A05" w:rsidRPr="007925A8">
        <w:t xml:space="preserve"> </w:t>
      </w:r>
      <w:r w:rsidR="00547C9B">
        <w:t xml:space="preserve">the </w:t>
      </w:r>
      <w:r w:rsidR="00397A05" w:rsidRPr="007925A8">
        <w:t xml:space="preserve">GIFMIS will allow for </w:t>
      </w:r>
      <w:r w:rsidR="007B2846" w:rsidRPr="007925A8">
        <w:t xml:space="preserve">tighter </w:t>
      </w:r>
      <w:r w:rsidR="00397A05" w:rsidRPr="007925A8">
        <w:t xml:space="preserve">budgetary control, more effective cash and debt management, and more timely and accurate expenditure reporting. </w:t>
      </w:r>
      <w:r w:rsidR="008C6CF6" w:rsidRPr="007925A8">
        <w:t>The World Bank</w:t>
      </w:r>
      <w:r w:rsidR="00397A05" w:rsidRPr="007925A8">
        <w:t xml:space="preserve"> is also supporting efforts to</w:t>
      </w:r>
      <w:r w:rsidR="008C6CF6" w:rsidRPr="007925A8">
        <w:t xml:space="preserve"> strengthen budgetary planning</w:t>
      </w:r>
      <w:r w:rsidR="00397A05" w:rsidRPr="007925A8">
        <w:t>, improve</w:t>
      </w:r>
      <w:r w:rsidR="008C6CF6" w:rsidRPr="007925A8">
        <w:t xml:space="preserve"> the budget framework</w:t>
      </w:r>
      <w:r w:rsidR="00397A05" w:rsidRPr="007925A8">
        <w:t>,</w:t>
      </w:r>
      <w:r w:rsidR="008C6CF6" w:rsidRPr="007925A8">
        <w:t xml:space="preserve"> and </w:t>
      </w:r>
      <w:r w:rsidR="00397A05" w:rsidRPr="007925A8">
        <w:t xml:space="preserve">enhance </w:t>
      </w:r>
      <w:r w:rsidR="008C6CF6" w:rsidRPr="007925A8">
        <w:t xml:space="preserve">fiscal risk management and reporting. </w:t>
      </w:r>
      <w:r w:rsidR="00397A05" w:rsidRPr="007925A8">
        <w:t xml:space="preserve">The </w:t>
      </w:r>
      <w:r w:rsidR="007B2846" w:rsidRPr="007925A8">
        <w:t>s</w:t>
      </w:r>
      <w:r w:rsidR="00397A05" w:rsidRPr="007925A8">
        <w:t xml:space="preserve">ingle </w:t>
      </w:r>
      <w:r w:rsidR="007B2846" w:rsidRPr="007925A8">
        <w:t>t</w:t>
      </w:r>
      <w:r w:rsidR="00397A05" w:rsidRPr="007925A8">
        <w:t xml:space="preserve">reasury </w:t>
      </w:r>
      <w:r w:rsidR="007B2846" w:rsidRPr="007925A8">
        <w:t>a</w:t>
      </w:r>
      <w:r w:rsidR="00397A05" w:rsidRPr="007925A8">
        <w:t xml:space="preserve">ccount </w:t>
      </w:r>
      <w:r w:rsidR="00F61C4A" w:rsidRPr="007925A8">
        <w:t xml:space="preserve">currently covers 90 percent of the </w:t>
      </w:r>
      <w:r w:rsidR="00397A05" w:rsidRPr="007925A8">
        <w:t>g</w:t>
      </w:r>
      <w:r w:rsidR="00F61C4A" w:rsidRPr="007925A8">
        <w:t>overnment</w:t>
      </w:r>
      <w:r w:rsidR="00397A05" w:rsidRPr="007925A8">
        <w:t>’s</w:t>
      </w:r>
      <w:r w:rsidR="00F61C4A" w:rsidRPr="007925A8">
        <w:t xml:space="preserve"> accounts at </w:t>
      </w:r>
      <w:r w:rsidR="00397A05" w:rsidRPr="007925A8">
        <w:t>the central bank</w:t>
      </w:r>
      <w:r w:rsidR="00F61C4A" w:rsidRPr="007925A8">
        <w:t xml:space="preserve"> and </w:t>
      </w:r>
      <w:r w:rsidR="00397A05" w:rsidRPr="007925A8">
        <w:t xml:space="preserve">at </w:t>
      </w:r>
      <w:r w:rsidR="00F61C4A" w:rsidRPr="007925A8">
        <w:t>commercial banks</w:t>
      </w:r>
      <w:r w:rsidR="002923FC" w:rsidRPr="007925A8">
        <w:t>, and further reforms will be necessary to make it fully comprehensive</w:t>
      </w:r>
      <w:r w:rsidR="00F61C4A" w:rsidRPr="007925A8">
        <w:t>.</w:t>
      </w:r>
    </w:p>
    <w:p w14:paraId="391073E9" w14:textId="2991B17B" w:rsidR="00B63A66" w:rsidRPr="007925A8" w:rsidRDefault="00744036" w:rsidP="00A9691B">
      <w:pPr>
        <w:pStyle w:val="ListParagraph"/>
      </w:pPr>
      <w:r w:rsidRPr="007925A8">
        <w:rPr>
          <w:b/>
        </w:rPr>
        <w:t xml:space="preserve">The </w:t>
      </w:r>
      <w:r w:rsidR="00397A05" w:rsidRPr="007925A8">
        <w:rPr>
          <w:b/>
        </w:rPr>
        <w:t xml:space="preserve">authorities are attempting to </w:t>
      </w:r>
      <w:r w:rsidR="0012705A" w:rsidRPr="007925A8">
        <w:rPr>
          <w:b/>
        </w:rPr>
        <w:t xml:space="preserve">limit the accumulation of arrears </w:t>
      </w:r>
      <w:r w:rsidR="00397A05" w:rsidRPr="007925A8">
        <w:rPr>
          <w:b/>
        </w:rPr>
        <w:t>by implementing</w:t>
      </w:r>
      <w:r w:rsidRPr="007925A8">
        <w:rPr>
          <w:b/>
        </w:rPr>
        <w:t xml:space="preserve"> a commitment</w:t>
      </w:r>
      <w:r w:rsidR="00DF5E66" w:rsidRPr="007925A8">
        <w:rPr>
          <w:b/>
        </w:rPr>
        <w:t>-</w:t>
      </w:r>
      <w:r w:rsidRPr="007925A8">
        <w:rPr>
          <w:b/>
        </w:rPr>
        <w:t xml:space="preserve">control </w:t>
      </w:r>
      <w:r w:rsidR="00D37761" w:rsidRPr="007925A8">
        <w:rPr>
          <w:b/>
        </w:rPr>
        <w:t xml:space="preserve">mechanism </w:t>
      </w:r>
      <w:r w:rsidR="00397A05" w:rsidRPr="007925A8">
        <w:rPr>
          <w:b/>
        </w:rPr>
        <w:t>and</w:t>
      </w:r>
      <w:r w:rsidRPr="007925A8">
        <w:rPr>
          <w:b/>
        </w:rPr>
        <w:t xml:space="preserve"> </w:t>
      </w:r>
      <w:r w:rsidR="00397A05" w:rsidRPr="007925A8">
        <w:rPr>
          <w:b/>
        </w:rPr>
        <w:t>a pay-to-procure</w:t>
      </w:r>
      <w:r w:rsidRPr="007925A8">
        <w:rPr>
          <w:b/>
        </w:rPr>
        <w:t xml:space="preserve"> system</w:t>
      </w:r>
      <w:r w:rsidR="00397A05" w:rsidRPr="007925A8">
        <w:rPr>
          <w:b/>
        </w:rPr>
        <w:t xml:space="preserve"> across the public administration</w:t>
      </w:r>
      <w:r w:rsidRPr="007925A8">
        <w:rPr>
          <w:b/>
        </w:rPr>
        <w:t>.</w:t>
      </w:r>
      <w:r w:rsidRPr="007925A8">
        <w:t xml:space="preserve"> The </w:t>
      </w:r>
      <w:r w:rsidR="00397A05" w:rsidRPr="007925A8">
        <w:t xml:space="preserve">pay-to-procure </w:t>
      </w:r>
      <w:r w:rsidRPr="007925A8">
        <w:t xml:space="preserve">system was </w:t>
      </w:r>
      <w:r w:rsidR="00397A05" w:rsidRPr="007925A8">
        <w:t>established in</w:t>
      </w:r>
      <w:r w:rsidRPr="007925A8">
        <w:t xml:space="preserve"> June 2015 </w:t>
      </w:r>
      <w:r w:rsidR="00397A05" w:rsidRPr="007925A8">
        <w:t xml:space="preserve">with </w:t>
      </w:r>
      <w:r w:rsidRPr="007925A8">
        <w:t xml:space="preserve">support </w:t>
      </w:r>
      <w:r w:rsidR="00DF5E66" w:rsidRPr="007925A8">
        <w:t xml:space="preserve">from </w:t>
      </w:r>
      <w:r w:rsidRPr="007925A8">
        <w:t>the World Bank</w:t>
      </w:r>
      <w:r w:rsidR="006A7FFA" w:rsidRPr="007925A8">
        <w:t>. When fully implemented, it</w:t>
      </w:r>
      <w:r w:rsidRPr="007925A8">
        <w:t xml:space="preserve"> is expected to cover payments </w:t>
      </w:r>
      <w:r w:rsidR="00397A05" w:rsidRPr="007925A8">
        <w:t xml:space="preserve">from </w:t>
      </w:r>
      <w:r w:rsidRPr="007925A8">
        <w:t xml:space="preserve">all </w:t>
      </w:r>
      <w:r w:rsidR="00397A05" w:rsidRPr="007925A8">
        <w:t>ministries and public agencies</w:t>
      </w:r>
      <w:r w:rsidRPr="007925A8">
        <w:t xml:space="preserve">, </w:t>
      </w:r>
      <w:r w:rsidR="00397A05" w:rsidRPr="007925A8">
        <w:t>s</w:t>
      </w:r>
      <w:r w:rsidRPr="007925A8">
        <w:t xml:space="preserve">tatutory </w:t>
      </w:r>
      <w:r w:rsidR="00397A05" w:rsidRPr="007925A8">
        <w:t>f</w:t>
      </w:r>
      <w:r w:rsidRPr="007925A8">
        <w:t>unds, IGF</w:t>
      </w:r>
      <w:r w:rsidR="00547C9B">
        <w:t>,</w:t>
      </w:r>
      <w:r w:rsidR="00397A05" w:rsidRPr="007925A8">
        <w:t xml:space="preserve"> and </w:t>
      </w:r>
      <w:r w:rsidRPr="007925A8">
        <w:t>donor</w:t>
      </w:r>
      <w:r w:rsidR="00397A05" w:rsidRPr="007925A8">
        <w:t>-</w:t>
      </w:r>
      <w:r w:rsidRPr="007925A8">
        <w:t xml:space="preserve">funded projects. </w:t>
      </w:r>
    </w:p>
    <w:p w14:paraId="473B82DE" w14:textId="77777777" w:rsidR="00BB73B8" w:rsidRPr="007925A8" w:rsidRDefault="00592547" w:rsidP="00187EA3">
      <w:pPr>
        <w:pStyle w:val="ListParagraph"/>
        <w:rPr>
          <w:b/>
        </w:rPr>
      </w:pPr>
      <w:r w:rsidRPr="007925A8">
        <w:rPr>
          <w:b/>
        </w:rPr>
        <w:t>Recent</w:t>
      </w:r>
      <w:r w:rsidR="00196BAA" w:rsidRPr="007925A8">
        <w:rPr>
          <w:b/>
        </w:rPr>
        <w:t xml:space="preserve"> </w:t>
      </w:r>
      <w:r w:rsidR="009D7481" w:rsidRPr="007925A8">
        <w:rPr>
          <w:b/>
        </w:rPr>
        <w:t>legislati</w:t>
      </w:r>
      <w:r w:rsidRPr="007925A8">
        <w:rPr>
          <w:b/>
        </w:rPr>
        <w:t>ve reforms</w:t>
      </w:r>
      <w:r w:rsidR="009D7481" w:rsidRPr="007925A8">
        <w:rPr>
          <w:b/>
        </w:rPr>
        <w:t xml:space="preserve"> represent a significant improvement in the legal framework</w:t>
      </w:r>
      <w:r w:rsidRPr="007925A8">
        <w:rPr>
          <w:b/>
        </w:rPr>
        <w:t xml:space="preserve"> for PFM</w:t>
      </w:r>
      <w:r w:rsidR="009D7481" w:rsidRPr="007925A8">
        <w:rPr>
          <w:b/>
        </w:rPr>
        <w:t>, but important deficiencies remain</w:t>
      </w:r>
      <w:r w:rsidR="0058688E" w:rsidRPr="007925A8">
        <w:rPr>
          <w:b/>
        </w:rPr>
        <w:t>.</w:t>
      </w:r>
      <w:r w:rsidR="0058688E" w:rsidRPr="007925A8">
        <w:t xml:space="preserve"> </w:t>
      </w:r>
      <w:r w:rsidR="008D516C" w:rsidRPr="007925A8">
        <w:t>The new legislation is</w:t>
      </w:r>
      <w:r w:rsidR="009D7481" w:rsidRPr="007925A8">
        <w:t xml:space="preserve"> designed to</w:t>
      </w:r>
      <w:r w:rsidR="001666B4" w:rsidRPr="007925A8">
        <w:t xml:space="preserve"> enhance fiscal reporting</w:t>
      </w:r>
      <w:r w:rsidR="009D7481" w:rsidRPr="007925A8">
        <w:t xml:space="preserve"> and improve </w:t>
      </w:r>
      <w:r w:rsidR="001666B4" w:rsidRPr="007925A8">
        <w:t>transparency</w:t>
      </w:r>
      <w:r w:rsidR="009D7481" w:rsidRPr="007925A8">
        <w:t xml:space="preserve">, streamline the </w:t>
      </w:r>
      <w:r w:rsidR="001666B4" w:rsidRPr="007925A8">
        <w:t xml:space="preserve">budget preparation process, </w:t>
      </w:r>
      <w:r w:rsidR="009D7481" w:rsidRPr="007925A8">
        <w:t xml:space="preserve">strengthen </w:t>
      </w:r>
      <w:r w:rsidR="001666B4" w:rsidRPr="007925A8">
        <w:t>commitment controls</w:t>
      </w:r>
      <w:r w:rsidRPr="007925A8">
        <w:t xml:space="preserve">, </w:t>
      </w:r>
      <w:r w:rsidR="009D7481" w:rsidRPr="007925A8">
        <w:t>bolster the authority</w:t>
      </w:r>
      <w:r w:rsidR="001666B4" w:rsidRPr="007925A8">
        <w:t xml:space="preserve"> of audit committees</w:t>
      </w:r>
      <w:r w:rsidR="009D7481" w:rsidRPr="007925A8">
        <w:t>,</w:t>
      </w:r>
      <w:r w:rsidR="001666B4" w:rsidRPr="007925A8">
        <w:t xml:space="preserve"> and introduce explicit debt</w:t>
      </w:r>
      <w:r w:rsidR="009D7481" w:rsidRPr="007925A8">
        <w:t>-</w:t>
      </w:r>
      <w:r w:rsidR="001666B4" w:rsidRPr="007925A8">
        <w:t xml:space="preserve"> and cash</w:t>
      </w:r>
      <w:r w:rsidR="009D7481" w:rsidRPr="007925A8">
        <w:t>-</w:t>
      </w:r>
      <w:r w:rsidR="001666B4" w:rsidRPr="007925A8">
        <w:t xml:space="preserve">management </w:t>
      </w:r>
      <w:r w:rsidR="009D7481" w:rsidRPr="007925A8">
        <w:t>regulations</w:t>
      </w:r>
      <w:r w:rsidR="001666B4" w:rsidRPr="007925A8">
        <w:t xml:space="preserve">. However, </w:t>
      </w:r>
      <w:r w:rsidR="009D7481" w:rsidRPr="007925A8">
        <w:t>w</w:t>
      </w:r>
      <w:r w:rsidR="001666B4" w:rsidRPr="007925A8">
        <w:t xml:space="preserve">hile </w:t>
      </w:r>
      <w:r w:rsidR="008D516C" w:rsidRPr="007925A8">
        <w:t>these reforms introduce</w:t>
      </w:r>
      <w:r w:rsidR="001666B4" w:rsidRPr="007925A8">
        <w:t xml:space="preserve"> fiscal responsibility principles, </w:t>
      </w:r>
      <w:r w:rsidR="00080662" w:rsidRPr="007925A8">
        <w:t>they omit important technical aspects of a well-functioning PFM system. Further legal reforms should mandate that the fiscal strategy and rules be approved by Parliament</w:t>
      </w:r>
      <w:r w:rsidR="008272B5" w:rsidRPr="007925A8">
        <w:t>,</w:t>
      </w:r>
      <w:r w:rsidR="00080662" w:rsidRPr="007925A8">
        <w:t xml:space="preserve"> and </w:t>
      </w:r>
      <w:r w:rsidR="008272B5" w:rsidRPr="007925A8">
        <w:t xml:space="preserve">that they be </w:t>
      </w:r>
      <w:r w:rsidR="00080662" w:rsidRPr="007925A8">
        <w:t>published in a timely and accessible manner</w:t>
      </w:r>
      <w:r w:rsidR="001666B4" w:rsidRPr="007925A8">
        <w:t>.</w:t>
      </w:r>
      <w:r w:rsidR="009D7481" w:rsidRPr="007925A8">
        <w:rPr>
          <w:rStyle w:val="FootnoteReference"/>
        </w:rPr>
        <w:footnoteReference w:id="33"/>
      </w:r>
    </w:p>
    <w:p w14:paraId="51185497" w14:textId="77777777" w:rsidR="007E4DFB" w:rsidRPr="007925A8" w:rsidRDefault="00BB73B8" w:rsidP="00187EA3">
      <w:pPr>
        <w:pStyle w:val="ListParagraph"/>
        <w:rPr>
          <w:b/>
        </w:rPr>
      </w:pPr>
      <w:r w:rsidRPr="007925A8">
        <w:rPr>
          <w:b/>
        </w:rPr>
        <w:t>Sustaining the fiscal consolidation over the medium term will require concerted efforts on both the revenue and expenditure sides of the budget.</w:t>
      </w:r>
      <w:r w:rsidRPr="007925A8">
        <w:t xml:space="preserve"> </w:t>
      </w:r>
      <w:r w:rsidR="00443F87" w:rsidRPr="007925A8">
        <w:t xml:space="preserve">While efficiency improvements can ease </w:t>
      </w:r>
      <w:r w:rsidR="00801C5A" w:rsidRPr="007925A8">
        <w:t>budget</w:t>
      </w:r>
      <w:r w:rsidR="00443F87" w:rsidRPr="007925A8">
        <w:t xml:space="preserve"> constraints, </w:t>
      </w:r>
      <w:r w:rsidR="007D2314" w:rsidRPr="007925A8">
        <w:t xml:space="preserve">expanding the fiscal envelope and </w:t>
      </w:r>
      <w:r w:rsidR="00443F87" w:rsidRPr="007925A8">
        <w:t xml:space="preserve">broadening the tax base will become increasingly </w:t>
      </w:r>
      <w:r w:rsidR="007D2314" w:rsidRPr="007925A8">
        <w:t>critical as the government strives to mitigate the budgetary impact of volatile oil revenues</w:t>
      </w:r>
      <w:r w:rsidR="00443F87" w:rsidRPr="007925A8">
        <w:t xml:space="preserve">. </w:t>
      </w:r>
      <w:r w:rsidR="007D2314" w:rsidRPr="007925A8">
        <w:t xml:space="preserve">In this context, </w:t>
      </w:r>
      <w:r w:rsidR="00443F87" w:rsidRPr="007925A8">
        <w:t xml:space="preserve">Chapter 2 </w:t>
      </w:r>
      <w:r w:rsidR="007D2314" w:rsidRPr="007925A8">
        <w:t>explores options for streamlining Ghana’s generous system of tax exemptions and incentives</w:t>
      </w:r>
      <w:r w:rsidR="00801C5A" w:rsidRPr="007925A8">
        <w:t>, which not only imposes a steep cost in terms of foregone revenue but also distorts price signals, with negative implications for economic competitiveness</w:t>
      </w:r>
      <w:r w:rsidR="007D2314" w:rsidRPr="007925A8">
        <w:t xml:space="preserve">. On the expenditure side, </w:t>
      </w:r>
      <w:r w:rsidR="00801C5A" w:rsidRPr="007925A8">
        <w:t>personnel spending continues to consume a large share of budgetary resources</w:t>
      </w:r>
      <w:r w:rsidRPr="007925A8">
        <w:t xml:space="preserve">. Chapter 3 examines strategies for </w:t>
      </w:r>
      <w:r w:rsidR="00801C5A" w:rsidRPr="007925A8">
        <w:t>tightening control over</w:t>
      </w:r>
      <w:r w:rsidRPr="007925A8">
        <w:t xml:space="preserve"> the wage bill</w:t>
      </w:r>
      <w:r w:rsidR="00801C5A" w:rsidRPr="007925A8">
        <w:t xml:space="preserve"> and </w:t>
      </w:r>
      <w:r w:rsidRPr="007925A8">
        <w:t>rebalance spending in favor of capital investment to support long-term growth and facilitate the structural transformation of the Ghanaian economy.</w:t>
      </w:r>
    </w:p>
    <w:p w14:paraId="2D720BCF" w14:textId="77777777" w:rsidR="00994F1A" w:rsidRPr="007925A8" w:rsidRDefault="006D144D" w:rsidP="005D610C">
      <w:pPr>
        <w:pStyle w:val="ListParagraph"/>
      </w:pPr>
      <w:r w:rsidRPr="005D610C">
        <w:rPr>
          <w:b/>
        </w:rPr>
        <w:t>To accelerate growth and support sustainable development</w:t>
      </w:r>
      <w:r w:rsidR="007E4DFB">
        <w:rPr>
          <w:b/>
        </w:rPr>
        <w:t>,</w:t>
      </w:r>
      <w:r w:rsidRPr="005D610C">
        <w:rPr>
          <w:b/>
        </w:rPr>
        <w:t xml:space="preserve"> </w:t>
      </w:r>
      <w:r w:rsidR="007E4DFB">
        <w:rPr>
          <w:b/>
        </w:rPr>
        <w:t>the</w:t>
      </w:r>
      <w:r w:rsidR="007E4DFB" w:rsidRPr="005D610C">
        <w:rPr>
          <w:b/>
        </w:rPr>
        <w:t xml:space="preserve"> </w:t>
      </w:r>
      <w:r w:rsidRPr="005D610C">
        <w:rPr>
          <w:b/>
        </w:rPr>
        <w:t>government will need to maintain tight expenditure control, complete the implementation of key structural reforms, and</w:t>
      </w:r>
      <w:r w:rsidR="00AE4ACF" w:rsidRPr="005D610C">
        <w:rPr>
          <w:b/>
        </w:rPr>
        <w:t xml:space="preserve"> </w:t>
      </w:r>
      <w:r w:rsidR="00A44B21" w:rsidRPr="005D610C">
        <w:rPr>
          <w:b/>
        </w:rPr>
        <w:t>sustainably expand the available fiscal space for capital investment and social spending</w:t>
      </w:r>
      <w:r w:rsidR="00AE4ACF" w:rsidRPr="005D610C">
        <w:rPr>
          <w:b/>
        </w:rPr>
        <w:t>.</w:t>
      </w:r>
      <w:r w:rsidR="00A44B21" w:rsidRPr="007925A8">
        <w:t xml:space="preserve"> </w:t>
      </w:r>
      <w:r w:rsidRPr="007925A8">
        <w:t>Increased investment in</w:t>
      </w:r>
      <w:r w:rsidR="00F010F2" w:rsidRPr="007925A8">
        <w:t xml:space="preserve"> </w:t>
      </w:r>
      <w:r w:rsidRPr="007925A8">
        <w:t>the</w:t>
      </w:r>
      <w:r w:rsidR="00F010F2" w:rsidRPr="007925A8">
        <w:t xml:space="preserve"> health and education </w:t>
      </w:r>
      <w:r w:rsidRPr="007925A8">
        <w:t xml:space="preserve">sectors </w:t>
      </w:r>
      <w:r w:rsidR="00F010F2" w:rsidRPr="007925A8">
        <w:t xml:space="preserve">will build the capacity of the national </w:t>
      </w:r>
      <w:r w:rsidR="00F010F2" w:rsidRPr="007925A8">
        <w:lastRenderedPageBreak/>
        <w:t xml:space="preserve">workforce, </w:t>
      </w:r>
      <w:r w:rsidR="00735009">
        <w:t xml:space="preserve">thereby </w:t>
      </w:r>
      <w:r w:rsidR="00F010F2" w:rsidRPr="007925A8">
        <w:t>bolstering economy-wide competitiveness and facilitating diversification beyond the extractive industries.</w:t>
      </w:r>
      <w:r w:rsidRPr="007925A8">
        <w:t xml:space="preserve"> </w:t>
      </w:r>
      <w:r w:rsidR="00DB75B6" w:rsidRPr="007925A8">
        <w:t xml:space="preserve">In this context, </w:t>
      </w:r>
      <w:r w:rsidRPr="007925A8">
        <w:t xml:space="preserve">Chapter 4 examines sectoral expenditure priorities and evaluates strategies for bolstering the effectiveness of public education and health spending. </w:t>
      </w:r>
      <w:r w:rsidR="00F010F2" w:rsidRPr="007925A8">
        <w:t xml:space="preserve">Finally, </w:t>
      </w:r>
      <w:r w:rsidRPr="007925A8">
        <w:t xml:space="preserve">policymakers must </w:t>
      </w:r>
      <w:r w:rsidR="00F010F2" w:rsidRPr="007925A8">
        <w:t xml:space="preserve">continue </w:t>
      </w:r>
      <w:r w:rsidRPr="007925A8">
        <w:t xml:space="preserve">to devote </w:t>
      </w:r>
      <w:r w:rsidR="00F010F2" w:rsidRPr="007925A8">
        <w:t xml:space="preserve">attention </w:t>
      </w:r>
      <w:r w:rsidRPr="007925A8">
        <w:t xml:space="preserve">and resources </w:t>
      </w:r>
      <w:r w:rsidR="00F010F2" w:rsidRPr="007925A8">
        <w:t>to the agricultural sector</w:t>
      </w:r>
      <w:r w:rsidRPr="007925A8">
        <w:t xml:space="preserve">, </w:t>
      </w:r>
      <w:r w:rsidR="001746FA" w:rsidRPr="007925A8">
        <w:t xml:space="preserve">even </w:t>
      </w:r>
      <w:r w:rsidR="00F010F2" w:rsidRPr="007925A8">
        <w:t xml:space="preserve">as the </w:t>
      </w:r>
      <w:r w:rsidRPr="007925A8">
        <w:t xml:space="preserve">rise of the </w:t>
      </w:r>
      <w:r w:rsidR="00F010F2" w:rsidRPr="007925A8">
        <w:t>oil industry and the grow</w:t>
      </w:r>
      <w:r w:rsidRPr="007925A8">
        <w:t>th of</w:t>
      </w:r>
      <w:r w:rsidR="00F010F2" w:rsidRPr="007925A8">
        <w:t xml:space="preserve"> non-tradable service</w:t>
      </w:r>
      <w:r w:rsidRPr="007925A8">
        <w:t>s</w:t>
      </w:r>
      <w:r w:rsidR="00F010F2" w:rsidRPr="007925A8">
        <w:t xml:space="preserve"> temporarily draw labor and capital away from </w:t>
      </w:r>
      <w:r w:rsidR="001746FA" w:rsidRPr="007925A8">
        <w:t>agricultural production</w:t>
      </w:r>
      <w:r w:rsidR="00F010F2" w:rsidRPr="007925A8">
        <w:t xml:space="preserve">. </w:t>
      </w:r>
      <w:r w:rsidR="001746FA" w:rsidRPr="007925A8">
        <w:t>Agricultural spending is structurally pro-poor, and c</w:t>
      </w:r>
      <w:r w:rsidR="00F010F2" w:rsidRPr="007925A8">
        <w:t xml:space="preserve">ontinued investment in both the food and cash-crop subsectors will have a positive impact </w:t>
      </w:r>
      <w:r w:rsidR="001746FA" w:rsidRPr="007925A8">
        <w:t xml:space="preserve">not only </w:t>
      </w:r>
      <w:r w:rsidR="00F010F2" w:rsidRPr="007925A8">
        <w:t xml:space="preserve">on poverty </w:t>
      </w:r>
      <w:r w:rsidR="001746FA" w:rsidRPr="007925A8">
        <w:t xml:space="preserve">and </w:t>
      </w:r>
      <w:r w:rsidR="00DB75B6" w:rsidRPr="007925A8">
        <w:t xml:space="preserve">fiscal </w:t>
      </w:r>
      <w:r w:rsidR="001746FA" w:rsidRPr="007925A8">
        <w:t>equity</w:t>
      </w:r>
      <w:r w:rsidR="00F010F2" w:rsidRPr="007925A8">
        <w:t xml:space="preserve">, but </w:t>
      </w:r>
      <w:r w:rsidR="001746FA" w:rsidRPr="007925A8">
        <w:t xml:space="preserve">also on macroeconomic stability and employment dynamics, as </w:t>
      </w:r>
      <w:r w:rsidR="00F010F2" w:rsidRPr="007925A8">
        <w:t xml:space="preserve">a thriving rural economy will be better equipped to absorb labor and capital after the country’s oil reserves are depleted. </w:t>
      </w:r>
    </w:p>
    <w:p w14:paraId="0B3BCDB5" w14:textId="77777777" w:rsidR="00BC3183" w:rsidRPr="00E45355" w:rsidRDefault="00994F1A" w:rsidP="00894F2B">
      <w:pPr>
        <w:pStyle w:val="Heading2"/>
      </w:pPr>
      <w:r w:rsidRPr="007925A8">
        <w:br w:type="page"/>
      </w:r>
      <w:bookmarkStart w:id="58" w:name="_Toc479624874"/>
      <w:r w:rsidR="00BC3183" w:rsidRPr="00E45355">
        <w:lastRenderedPageBreak/>
        <w:t>References</w:t>
      </w:r>
      <w:bookmarkEnd w:id="58"/>
    </w:p>
    <w:p w14:paraId="104F5380" w14:textId="77777777" w:rsidR="007B1F20" w:rsidRPr="00EC4CA6" w:rsidRDefault="007B1F20" w:rsidP="00CC7892">
      <w:pPr>
        <w:pStyle w:val="ListParagraph"/>
        <w:numPr>
          <w:ilvl w:val="0"/>
          <w:numId w:val="0"/>
        </w:numPr>
        <w:rPr>
          <w:sz w:val="22"/>
        </w:rPr>
      </w:pPr>
      <w:r w:rsidRPr="00EC4CA6">
        <w:rPr>
          <w:sz w:val="22"/>
        </w:rPr>
        <w:t>Aykut, D.</w:t>
      </w:r>
      <w:r w:rsidR="00BE7802" w:rsidRPr="00EC4CA6">
        <w:rPr>
          <w:sz w:val="22"/>
        </w:rPr>
        <w:t>,</w:t>
      </w:r>
      <w:r w:rsidRPr="00EC4CA6">
        <w:rPr>
          <w:sz w:val="22"/>
        </w:rPr>
        <w:t xml:space="preserve"> J. Pradelli and D.J. Stanley</w:t>
      </w:r>
      <w:r w:rsidR="00024284" w:rsidRPr="00EC4CA6">
        <w:rPr>
          <w:sz w:val="22"/>
        </w:rPr>
        <w:t xml:space="preserve">. </w:t>
      </w:r>
      <w:r w:rsidRPr="00EC4CA6">
        <w:rPr>
          <w:sz w:val="22"/>
        </w:rPr>
        <w:t>“Modeling the Uncertainty in Ghana’s Oil Revenues</w:t>
      </w:r>
      <w:r w:rsidR="00024284" w:rsidRPr="00EC4CA6">
        <w:rPr>
          <w:sz w:val="22"/>
        </w:rPr>
        <w:t>.</w:t>
      </w:r>
      <w:r w:rsidRPr="00EC4CA6">
        <w:rPr>
          <w:sz w:val="22"/>
        </w:rPr>
        <w:t xml:space="preserve">” </w:t>
      </w:r>
      <w:r w:rsidR="00024284" w:rsidRPr="00EC4CA6">
        <w:rPr>
          <w:sz w:val="22"/>
        </w:rPr>
        <w:t>Washington, DC: The Worl</w:t>
      </w:r>
      <w:r w:rsidRPr="00EC4CA6">
        <w:rPr>
          <w:sz w:val="22"/>
        </w:rPr>
        <w:t>d Bank</w:t>
      </w:r>
    </w:p>
    <w:p w14:paraId="4E43188F" w14:textId="77777777" w:rsidR="00DD11C0" w:rsidRPr="00EC4CA6" w:rsidRDefault="00DD11C0" w:rsidP="00CC7892">
      <w:pPr>
        <w:pStyle w:val="ListParagraph"/>
        <w:numPr>
          <w:ilvl w:val="0"/>
          <w:numId w:val="0"/>
        </w:numPr>
        <w:rPr>
          <w:sz w:val="22"/>
        </w:rPr>
      </w:pPr>
      <w:r w:rsidRPr="00EC4CA6">
        <w:rPr>
          <w:sz w:val="22"/>
        </w:rPr>
        <w:t>DFID. 2014. “Coffey Report on the Programme Design of a Second Phase Support for Public Investment Management in Ghana.” London: Department for International Development</w:t>
      </w:r>
    </w:p>
    <w:p w14:paraId="7F121597" w14:textId="77777777" w:rsidR="00A6514C" w:rsidRPr="00EC4CA6" w:rsidRDefault="00A6514C" w:rsidP="00CC7892">
      <w:pPr>
        <w:pStyle w:val="ListParagraph"/>
        <w:numPr>
          <w:ilvl w:val="0"/>
          <w:numId w:val="0"/>
        </w:numPr>
        <w:rPr>
          <w:sz w:val="22"/>
        </w:rPr>
      </w:pPr>
      <w:r w:rsidRPr="00EC4CA6">
        <w:rPr>
          <w:sz w:val="22"/>
        </w:rPr>
        <w:t>Fay, Marianne; Toman Michael; Benitez Daniel; and Stefan Csordas. 2010. “Infrastructure and Sustainable Development</w:t>
      </w:r>
      <w:r w:rsidR="00AE41DE">
        <w:rPr>
          <w:sz w:val="22"/>
        </w:rPr>
        <w:t>.</w:t>
      </w:r>
      <w:r w:rsidRPr="00EC4CA6">
        <w:rPr>
          <w:sz w:val="22"/>
        </w:rPr>
        <w:t xml:space="preserve">” </w:t>
      </w:r>
      <w:hyperlink r:id="rId29" w:history="1">
        <w:r w:rsidRPr="00EC4CA6">
          <w:rPr>
            <w:rStyle w:val="Hyperlink"/>
            <w:sz w:val="22"/>
          </w:rPr>
          <w:t>http://siteresources.worldbank.org/DEC/Resources/PCGD_329-382.pdf</w:t>
        </w:r>
      </w:hyperlink>
    </w:p>
    <w:p w14:paraId="73D3346B" w14:textId="77777777" w:rsidR="009654B9" w:rsidRPr="00EC4CA6" w:rsidRDefault="009654B9" w:rsidP="00CC7892">
      <w:pPr>
        <w:pStyle w:val="ListParagraph"/>
        <w:numPr>
          <w:ilvl w:val="0"/>
          <w:numId w:val="0"/>
        </w:numPr>
        <w:rPr>
          <w:sz w:val="22"/>
        </w:rPr>
      </w:pPr>
      <w:r w:rsidRPr="00EC4CA6">
        <w:rPr>
          <w:sz w:val="22"/>
        </w:rPr>
        <w:t xml:space="preserve">IMF. 2011. “Revenue Mobilization in Developing Countries.” Washington, DC: </w:t>
      </w:r>
      <w:r w:rsidR="00CB74DC" w:rsidRPr="00EC4CA6">
        <w:rPr>
          <w:sz w:val="22"/>
        </w:rPr>
        <w:t>The International Monetary Fund</w:t>
      </w:r>
      <w:r w:rsidRPr="00EC4CA6">
        <w:rPr>
          <w:sz w:val="22"/>
        </w:rPr>
        <w:t xml:space="preserve">. </w:t>
      </w:r>
      <w:hyperlink r:id="rId30" w:history="1">
        <w:r w:rsidRPr="00EC4CA6">
          <w:rPr>
            <w:rStyle w:val="Hyperlink"/>
            <w:sz w:val="22"/>
          </w:rPr>
          <w:t>https://www.imf.org/external/np/pp/eng/2011/030811.pdf</w:t>
        </w:r>
      </w:hyperlink>
    </w:p>
    <w:p w14:paraId="088EE2BD" w14:textId="77777777" w:rsidR="00C83EF6" w:rsidRPr="00EC4CA6" w:rsidRDefault="00C83EF6" w:rsidP="00CC7892">
      <w:pPr>
        <w:pStyle w:val="ListParagraph"/>
        <w:numPr>
          <w:ilvl w:val="0"/>
          <w:numId w:val="0"/>
        </w:numPr>
        <w:rPr>
          <w:sz w:val="22"/>
        </w:rPr>
      </w:pPr>
      <w:r w:rsidRPr="00EC4CA6">
        <w:rPr>
          <w:sz w:val="22"/>
        </w:rPr>
        <w:t xml:space="preserve">IMF. 2015a. “Making Public Investment More Efficient”, IMF Staff Report. Washington DC: </w:t>
      </w:r>
      <w:r w:rsidR="00CB74DC" w:rsidRPr="00EC4CA6">
        <w:rPr>
          <w:sz w:val="22"/>
        </w:rPr>
        <w:t>The International Monetary Fund</w:t>
      </w:r>
      <w:r w:rsidRPr="00EC4CA6">
        <w:rPr>
          <w:sz w:val="22"/>
        </w:rPr>
        <w:t xml:space="preserve">. </w:t>
      </w:r>
      <w:hyperlink r:id="rId31" w:history="1">
        <w:r w:rsidRPr="00EC4CA6">
          <w:rPr>
            <w:rStyle w:val="Hyperlink"/>
            <w:sz w:val="22"/>
          </w:rPr>
          <w:t>http://www.imf.org/external/np/pp/eng/2015/061115.pdf</w:t>
        </w:r>
      </w:hyperlink>
    </w:p>
    <w:p w14:paraId="6C9D157E" w14:textId="77777777" w:rsidR="00466181" w:rsidRPr="00EC4CA6" w:rsidRDefault="003630FB" w:rsidP="00CC7892">
      <w:pPr>
        <w:pStyle w:val="ListParagraph"/>
        <w:numPr>
          <w:ilvl w:val="0"/>
          <w:numId w:val="0"/>
        </w:numPr>
        <w:rPr>
          <w:sz w:val="22"/>
        </w:rPr>
      </w:pPr>
      <w:r w:rsidRPr="00EC4CA6">
        <w:rPr>
          <w:sz w:val="22"/>
        </w:rPr>
        <w:t>IMF. 2015</w:t>
      </w:r>
      <w:r w:rsidR="00A42CD2" w:rsidRPr="00EC4CA6">
        <w:rPr>
          <w:sz w:val="22"/>
        </w:rPr>
        <w:t>b</w:t>
      </w:r>
      <w:r w:rsidRPr="00EC4CA6">
        <w:rPr>
          <w:sz w:val="22"/>
        </w:rPr>
        <w:t>. “</w:t>
      </w:r>
      <w:r w:rsidR="00466181" w:rsidRPr="00EC4CA6">
        <w:rPr>
          <w:sz w:val="22"/>
        </w:rPr>
        <w:t>Regional Economic Outlook:</w:t>
      </w:r>
      <w:r w:rsidRPr="00EC4CA6">
        <w:rPr>
          <w:sz w:val="22"/>
        </w:rPr>
        <w:t xml:space="preserve"> Sub-Saharan Africa</w:t>
      </w:r>
      <w:r w:rsidR="00466181" w:rsidRPr="00EC4CA6">
        <w:rPr>
          <w:sz w:val="22"/>
        </w:rPr>
        <w:t>.</w:t>
      </w:r>
      <w:r w:rsidRPr="00EC4CA6">
        <w:rPr>
          <w:sz w:val="22"/>
        </w:rPr>
        <w:t>”</w:t>
      </w:r>
      <w:r w:rsidR="00466181" w:rsidRPr="00EC4CA6">
        <w:rPr>
          <w:sz w:val="22"/>
        </w:rPr>
        <w:t xml:space="preserve"> </w:t>
      </w:r>
      <w:r w:rsidRPr="00EC4CA6">
        <w:rPr>
          <w:sz w:val="22"/>
        </w:rPr>
        <w:t xml:space="preserve">Washington, DC: </w:t>
      </w:r>
      <w:r w:rsidR="00CB74DC" w:rsidRPr="00EC4CA6">
        <w:rPr>
          <w:sz w:val="22"/>
        </w:rPr>
        <w:t>The International Monetary Fund</w:t>
      </w:r>
      <w:r w:rsidRPr="00EC4CA6">
        <w:rPr>
          <w:sz w:val="22"/>
        </w:rPr>
        <w:t xml:space="preserve">. </w:t>
      </w:r>
      <w:hyperlink r:id="rId32" w:history="1">
        <w:r w:rsidRPr="00EC4CA6">
          <w:rPr>
            <w:rStyle w:val="Hyperlink"/>
            <w:sz w:val="22"/>
          </w:rPr>
          <w:t>https://www.imf.org/external/pubs/ft/reo/2015/afr/eng/pdf/sreo1015.pdf</w:t>
        </w:r>
      </w:hyperlink>
      <w:r w:rsidRPr="00EC4CA6">
        <w:rPr>
          <w:sz w:val="22"/>
        </w:rPr>
        <w:t xml:space="preserve"> </w:t>
      </w:r>
    </w:p>
    <w:p w14:paraId="614E82C0" w14:textId="77777777" w:rsidR="00DD11C0" w:rsidRPr="00EC4CA6" w:rsidRDefault="00DD11C0" w:rsidP="00CC7892">
      <w:pPr>
        <w:pStyle w:val="ListParagraph"/>
        <w:numPr>
          <w:ilvl w:val="0"/>
          <w:numId w:val="0"/>
        </w:numPr>
        <w:rPr>
          <w:sz w:val="22"/>
        </w:rPr>
      </w:pPr>
      <w:r w:rsidRPr="00EC4CA6">
        <w:rPr>
          <w:sz w:val="22"/>
        </w:rPr>
        <w:t xml:space="preserve">IMF. 2016a. “Ghana PIM Assessment.” Washington, DC: </w:t>
      </w:r>
      <w:r w:rsidR="00CB74DC" w:rsidRPr="00EC4CA6">
        <w:rPr>
          <w:sz w:val="22"/>
        </w:rPr>
        <w:t>The International Monetary Fund.</w:t>
      </w:r>
    </w:p>
    <w:p w14:paraId="1BFAE2E2" w14:textId="77777777" w:rsidR="005215B2" w:rsidRPr="00EC4CA6" w:rsidRDefault="005215B2" w:rsidP="00CC7892">
      <w:pPr>
        <w:pStyle w:val="ListParagraph"/>
        <w:numPr>
          <w:ilvl w:val="0"/>
          <w:numId w:val="0"/>
        </w:numPr>
        <w:rPr>
          <w:sz w:val="22"/>
        </w:rPr>
      </w:pPr>
      <w:r w:rsidRPr="00EC4CA6">
        <w:rPr>
          <w:sz w:val="22"/>
        </w:rPr>
        <w:t>IMF. 2016</w:t>
      </w:r>
      <w:r w:rsidR="00DD11C0" w:rsidRPr="00EC4CA6">
        <w:rPr>
          <w:sz w:val="22"/>
        </w:rPr>
        <w:t>b</w:t>
      </w:r>
      <w:r w:rsidRPr="00EC4CA6">
        <w:rPr>
          <w:sz w:val="22"/>
        </w:rPr>
        <w:t xml:space="preserve">. </w:t>
      </w:r>
      <w:r w:rsidR="007B1F20" w:rsidRPr="00EC4CA6">
        <w:rPr>
          <w:sz w:val="22"/>
        </w:rPr>
        <w:t>“</w:t>
      </w:r>
      <w:r w:rsidRPr="00EC4CA6">
        <w:rPr>
          <w:sz w:val="22"/>
        </w:rPr>
        <w:t>Third Review under the Extended Credit Facility Arrangement and Request.</w:t>
      </w:r>
      <w:r w:rsidR="007B1F20" w:rsidRPr="00EC4CA6">
        <w:rPr>
          <w:sz w:val="22"/>
        </w:rPr>
        <w:t xml:space="preserve">” Washington, DC: </w:t>
      </w:r>
      <w:r w:rsidR="00CB74DC" w:rsidRPr="00EC4CA6">
        <w:rPr>
          <w:sz w:val="22"/>
        </w:rPr>
        <w:t>The International Monetary Fund</w:t>
      </w:r>
      <w:r w:rsidR="007B1F20" w:rsidRPr="00EC4CA6">
        <w:rPr>
          <w:sz w:val="22"/>
        </w:rPr>
        <w:t>.</w:t>
      </w:r>
      <w:r w:rsidRPr="00EC4CA6">
        <w:rPr>
          <w:sz w:val="22"/>
        </w:rPr>
        <w:t xml:space="preserve"> </w:t>
      </w:r>
    </w:p>
    <w:p w14:paraId="02DEB77F" w14:textId="77777777" w:rsidR="007B1F20" w:rsidRPr="00EC4CA6" w:rsidRDefault="007B1F20" w:rsidP="00CC7892">
      <w:pPr>
        <w:pStyle w:val="ListParagraph"/>
        <w:numPr>
          <w:ilvl w:val="0"/>
          <w:numId w:val="0"/>
        </w:numPr>
        <w:rPr>
          <w:sz w:val="22"/>
        </w:rPr>
      </w:pPr>
      <w:r w:rsidRPr="00EC4CA6">
        <w:rPr>
          <w:sz w:val="22"/>
        </w:rPr>
        <w:t xml:space="preserve">OECD. 2012. “Evaluation of Public Financial Management Reform in Ghana, 2001–2010.” </w:t>
      </w:r>
      <w:hyperlink r:id="rId33" w:history="1">
        <w:r w:rsidRPr="00EC4CA6">
          <w:rPr>
            <w:rStyle w:val="Hyperlink"/>
            <w:sz w:val="22"/>
          </w:rPr>
          <w:t>https://www.oecd.org/countries/ghana/ghana.pdf</w:t>
        </w:r>
      </w:hyperlink>
      <w:r w:rsidRPr="00EC4CA6">
        <w:rPr>
          <w:sz w:val="22"/>
        </w:rPr>
        <w:t xml:space="preserve"> </w:t>
      </w:r>
    </w:p>
    <w:p w14:paraId="353229E0" w14:textId="77777777" w:rsidR="00DA3025" w:rsidRPr="00EC4CA6" w:rsidRDefault="00DA3025" w:rsidP="00DA3025">
      <w:pPr>
        <w:pStyle w:val="ListParagraph"/>
        <w:numPr>
          <w:ilvl w:val="0"/>
          <w:numId w:val="0"/>
        </w:numPr>
        <w:rPr>
          <w:sz w:val="22"/>
        </w:rPr>
      </w:pPr>
      <w:r w:rsidRPr="00EC4CA6">
        <w:rPr>
          <w:sz w:val="22"/>
        </w:rPr>
        <w:t xml:space="preserve">World Bank. 2011. “Ghana - Joint Review of Public Expenditure and Financial Management.” </w:t>
      </w:r>
      <w:hyperlink r:id="rId34" w:history="1">
        <w:r w:rsidRPr="00EC4CA6">
          <w:rPr>
            <w:rStyle w:val="Hyperlink"/>
            <w:sz w:val="22"/>
          </w:rPr>
          <w:t>https://openknowledge.worldbank.org/handle/10986/2833</w:t>
        </w:r>
      </w:hyperlink>
    </w:p>
    <w:p w14:paraId="607D4CB1" w14:textId="77777777" w:rsidR="00DD11C0" w:rsidRPr="00EC4CA6" w:rsidRDefault="00DD11C0" w:rsidP="00DA3025">
      <w:pPr>
        <w:pStyle w:val="ListParagraph"/>
        <w:numPr>
          <w:ilvl w:val="0"/>
          <w:numId w:val="0"/>
        </w:numPr>
        <w:rPr>
          <w:sz w:val="22"/>
        </w:rPr>
      </w:pPr>
      <w:r w:rsidRPr="00EC4CA6">
        <w:rPr>
          <w:sz w:val="22"/>
        </w:rPr>
        <w:t>World Bank. 2012. “Strengthening Public Investment Management in Ghana.” Washington, DC: The World Bank</w:t>
      </w:r>
    </w:p>
    <w:p w14:paraId="41F41CBC" w14:textId="77777777" w:rsidR="008E212C" w:rsidRPr="00EC4CA6" w:rsidRDefault="008E212C" w:rsidP="008E212C">
      <w:pPr>
        <w:pStyle w:val="ListParagraph"/>
        <w:numPr>
          <w:ilvl w:val="0"/>
          <w:numId w:val="0"/>
        </w:numPr>
        <w:jc w:val="left"/>
        <w:rPr>
          <w:sz w:val="22"/>
        </w:rPr>
      </w:pPr>
      <w:r w:rsidRPr="00EC4CA6">
        <w:rPr>
          <w:sz w:val="22"/>
        </w:rPr>
        <w:t xml:space="preserve">World Bank. 2014. “Infrastructure background note for G20,” Papers Presented at the Korea–World Bank High Level Conference on Post-Crisis Growth and Development co-hosted by the Presidential Committee for the G-20 Seoul Summit and the World Bank </w:t>
      </w:r>
      <w:hyperlink r:id="rId35" w:history="1">
        <w:r w:rsidRPr="00EC4CA6">
          <w:rPr>
            <w:rStyle w:val="Hyperlink"/>
            <w:sz w:val="22"/>
          </w:rPr>
          <w:t>http://siteresources.worldbank.org/EXTSDNET/Resources/infrastructure-background-note-G20.pdf</w:t>
        </w:r>
      </w:hyperlink>
    </w:p>
    <w:p w14:paraId="4CFF2A7E" w14:textId="77777777" w:rsidR="00DA3025" w:rsidRPr="00EC4CA6" w:rsidRDefault="00DA3025" w:rsidP="00DA3025">
      <w:pPr>
        <w:pStyle w:val="ListParagraph"/>
        <w:numPr>
          <w:ilvl w:val="0"/>
          <w:numId w:val="0"/>
        </w:numPr>
        <w:rPr>
          <w:sz w:val="22"/>
        </w:rPr>
      </w:pPr>
      <w:r w:rsidRPr="00EC4CA6">
        <w:rPr>
          <w:sz w:val="22"/>
        </w:rPr>
        <w:t>World Bank. 2016a. “Job Assessment Report.” Washington, DC: The World Bank</w:t>
      </w:r>
    </w:p>
    <w:p w14:paraId="740E0793" w14:textId="77777777" w:rsidR="00DA3025" w:rsidRPr="00EC4CA6" w:rsidRDefault="00DA3025" w:rsidP="00CC7892">
      <w:pPr>
        <w:pStyle w:val="ListParagraph"/>
        <w:numPr>
          <w:ilvl w:val="0"/>
          <w:numId w:val="0"/>
        </w:numPr>
        <w:rPr>
          <w:sz w:val="22"/>
        </w:rPr>
      </w:pPr>
      <w:r w:rsidRPr="00EC4CA6">
        <w:rPr>
          <w:sz w:val="22"/>
        </w:rPr>
        <w:t>World Bank. 2016b. “Ghana Economic Update.” Washington, DC: The World Bank</w:t>
      </w:r>
    </w:p>
    <w:p w14:paraId="59459081" w14:textId="77777777" w:rsidR="00DA3025" w:rsidRPr="00EC4CA6" w:rsidRDefault="00DA3025" w:rsidP="00CC7892">
      <w:pPr>
        <w:pStyle w:val="ListParagraph"/>
        <w:numPr>
          <w:ilvl w:val="0"/>
          <w:numId w:val="0"/>
        </w:numPr>
        <w:rPr>
          <w:sz w:val="22"/>
        </w:rPr>
      </w:pPr>
      <w:r w:rsidRPr="00EC4CA6">
        <w:rPr>
          <w:sz w:val="22"/>
        </w:rPr>
        <w:t>World Bank. 2016c</w:t>
      </w:r>
      <w:r w:rsidR="007B1F20" w:rsidRPr="00EC4CA6">
        <w:rPr>
          <w:sz w:val="22"/>
        </w:rPr>
        <w:t>. “Commodity Price Forecasts.” Washington, DC: The World Bank</w:t>
      </w:r>
    </w:p>
    <w:p w14:paraId="5CC599AD" w14:textId="77777777" w:rsidR="00EC4CA6" w:rsidRDefault="001D1E5D" w:rsidP="00CC7892">
      <w:pPr>
        <w:pStyle w:val="ListParagraph"/>
        <w:numPr>
          <w:ilvl w:val="0"/>
          <w:numId w:val="0"/>
        </w:numPr>
      </w:pPr>
      <w:r w:rsidRPr="00EC4CA6">
        <w:rPr>
          <w:sz w:val="22"/>
        </w:rPr>
        <w:t xml:space="preserve">World Bank-IMF. 2016. “Joint Debt Sustainability Analysis for Ghana.” Washington, DC: </w:t>
      </w:r>
      <w:r w:rsidR="00CB74DC" w:rsidRPr="00EC4CA6">
        <w:rPr>
          <w:sz w:val="22"/>
        </w:rPr>
        <w:t>The International Monetary Fund</w:t>
      </w:r>
      <w:r w:rsidRPr="00EC4CA6">
        <w:rPr>
          <w:sz w:val="22"/>
        </w:rPr>
        <w:t xml:space="preserve">. </w:t>
      </w:r>
      <w:hyperlink r:id="rId36" w:history="1">
        <w:r w:rsidRPr="00EC4CA6">
          <w:rPr>
            <w:rStyle w:val="Hyperlink"/>
            <w:sz w:val="22"/>
          </w:rPr>
          <w:t>http://www.imf.org/external/pubs/ft/scr/2016/cr16321.pdf</w:t>
        </w:r>
      </w:hyperlink>
      <w:r>
        <w:t xml:space="preserve"> </w:t>
      </w:r>
    </w:p>
    <w:p w14:paraId="23A56282" w14:textId="77777777" w:rsidR="005335C7" w:rsidRDefault="005335C7">
      <w:pPr>
        <w:rPr>
          <w:rFonts w:ascii="Garamond" w:hAnsi="Garamond"/>
          <w:b/>
          <w:caps/>
          <w:color w:val="5B9BD5" w:themeColor="accent1"/>
          <w:spacing w:val="15"/>
          <w:sz w:val="24"/>
          <w:szCs w:val="24"/>
        </w:rPr>
      </w:pPr>
      <w:r>
        <w:br w:type="page"/>
      </w:r>
    </w:p>
    <w:p w14:paraId="1AC0D4D8" w14:textId="77777777" w:rsidR="005335C7" w:rsidRPr="00B33493" w:rsidRDefault="00B33493" w:rsidP="00B33493">
      <w:pPr>
        <w:pStyle w:val="Heading1"/>
        <w:rPr>
          <w:rFonts w:cs="Times New Roman"/>
        </w:rPr>
      </w:pPr>
      <w:bookmarkStart w:id="59" w:name="_Toc479624875"/>
      <w:r>
        <w:lastRenderedPageBreak/>
        <w:t xml:space="preserve">Reforming </w:t>
      </w:r>
      <w:r w:rsidRPr="00B33493">
        <w:t>Tax</w:t>
      </w:r>
      <w:r>
        <w:t xml:space="preserve"> Expenditures to Boost Domestic Revenue Mobilization</w:t>
      </w:r>
      <w:r w:rsidR="005B1317" w:rsidRPr="00B33493">
        <w:rPr>
          <w:rStyle w:val="FootnoteReference"/>
          <w:vertAlign w:val="baseline"/>
        </w:rPr>
        <w:t xml:space="preserve"> </w:t>
      </w:r>
      <w:r w:rsidR="005335C7" w:rsidRPr="00B33493">
        <w:rPr>
          <w:rStyle w:val="FootnoteReference"/>
        </w:rPr>
        <w:footnoteReference w:id="34"/>
      </w:r>
      <w:bookmarkEnd w:id="59"/>
    </w:p>
    <w:p w14:paraId="72B21E1C" w14:textId="77777777" w:rsidR="00D15C7D" w:rsidRDefault="00D15C7D" w:rsidP="003E6FB3">
      <w:pPr>
        <w:pBdr>
          <w:top w:val="single" w:sz="4" w:space="1" w:color="auto"/>
          <w:left w:val="single" w:sz="4" w:space="4" w:color="auto"/>
          <w:bottom w:val="single" w:sz="4" w:space="1" w:color="auto"/>
          <w:right w:val="single" w:sz="4" w:space="4" w:color="auto"/>
        </w:pBdr>
        <w:shd w:val="clear" w:color="auto" w:fill="D0CECE" w:themeFill="background2" w:themeFillShade="E6"/>
        <w:spacing w:after="140" w:line="240" w:lineRule="auto"/>
        <w:jc w:val="both"/>
        <w:rPr>
          <w:rFonts w:ascii="Garamond" w:hAnsi="Garamond"/>
        </w:rPr>
      </w:pPr>
      <w:bookmarkStart w:id="60" w:name="_Toc432756822"/>
      <w:r w:rsidRPr="00696A40">
        <w:rPr>
          <w:rFonts w:ascii="Garamond" w:hAnsi="Garamond"/>
        </w:rPr>
        <w:t xml:space="preserve">Ghana provides a </w:t>
      </w:r>
      <w:r>
        <w:rPr>
          <w:rFonts w:ascii="Garamond" w:hAnsi="Garamond"/>
        </w:rPr>
        <w:t xml:space="preserve">wide </w:t>
      </w:r>
      <w:r w:rsidRPr="00696A40">
        <w:rPr>
          <w:rFonts w:ascii="Garamond" w:hAnsi="Garamond"/>
        </w:rPr>
        <w:t>range of tax exemptions and incentives</w:t>
      </w:r>
      <w:r>
        <w:rPr>
          <w:rFonts w:ascii="Garamond" w:hAnsi="Garamond"/>
        </w:rPr>
        <w:t>, collectively referred to as “tax expenditures,”</w:t>
      </w:r>
      <w:r>
        <w:rPr>
          <w:rStyle w:val="FootnoteReference"/>
          <w:rFonts w:ascii="Garamond" w:hAnsi="Garamond"/>
        </w:rPr>
        <w:footnoteReference w:id="35"/>
      </w:r>
      <w:r>
        <w:rPr>
          <w:rFonts w:ascii="Garamond" w:hAnsi="Garamond"/>
        </w:rPr>
        <w:t xml:space="preserve"> </w:t>
      </w:r>
      <w:r w:rsidRPr="00696A40">
        <w:rPr>
          <w:rFonts w:ascii="Garamond" w:hAnsi="Garamond"/>
        </w:rPr>
        <w:t xml:space="preserve">designed to encourage private investment and reduce the tax burden on certain economic sectors and income groups. </w:t>
      </w:r>
      <w:r>
        <w:rPr>
          <w:rFonts w:ascii="Garamond" w:hAnsi="Garamond"/>
        </w:rPr>
        <w:t xml:space="preserve">Although they are not fully recorded in the budget and less visible than more traditional forms of public spending, tax expenditures can impose a steep cost in terms of foregone revenue. Moreover, as their purpose is to realign incentives in favor of certain groups of firms and taxpayers, tax expenditures inevitably create economic distortions, and they frequently give rise to vested interests that will seek to protect them regardless of their social or economic value. </w:t>
      </w:r>
    </w:p>
    <w:p w14:paraId="363A087E" w14:textId="77777777" w:rsidR="00D15C7D" w:rsidRPr="009C2240" w:rsidRDefault="00D15C7D" w:rsidP="003E6FB3">
      <w:pPr>
        <w:pBdr>
          <w:top w:val="single" w:sz="4" w:space="1" w:color="auto"/>
          <w:left w:val="single" w:sz="4" w:space="4" w:color="auto"/>
          <w:bottom w:val="single" w:sz="4" w:space="1" w:color="auto"/>
          <w:right w:val="single" w:sz="4" w:space="4" w:color="auto"/>
        </w:pBdr>
        <w:shd w:val="clear" w:color="auto" w:fill="D0CECE" w:themeFill="background2" w:themeFillShade="E6"/>
        <w:spacing w:after="140" w:line="240" w:lineRule="auto"/>
        <w:jc w:val="both"/>
      </w:pPr>
      <w:r>
        <w:rPr>
          <w:rFonts w:ascii="Garamond" w:hAnsi="Garamond"/>
        </w:rPr>
        <w:t>Ghana’s tightening fiscal envelope presents policymakers with a critical opportunity to assess the cost-effectiveness of the country’s tax expenditures and evaluate potential alternatives. D</w:t>
      </w:r>
      <w:r w:rsidRPr="00696A40">
        <w:rPr>
          <w:rFonts w:ascii="Garamond" w:hAnsi="Garamond"/>
        </w:rPr>
        <w:t xml:space="preserve">ata from Ghana’s </w:t>
      </w:r>
      <w:r w:rsidR="00CE1046">
        <w:rPr>
          <w:rFonts w:ascii="Garamond" w:hAnsi="Garamond"/>
        </w:rPr>
        <w:t>MoF</w:t>
      </w:r>
      <w:r w:rsidRPr="00696A40">
        <w:rPr>
          <w:rFonts w:ascii="Garamond" w:hAnsi="Garamond"/>
        </w:rPr>
        <w:t xml:space="preserve"> indicate that the cost of tax expenditures</w:t>
      </w:r>
      <w:r>
        <w:rPr>
          <w:rFonts w:ascii="Garamond" w:hAnsi="Garamond"/>
        </w:rPr>
        <w:t xml:space="preserve"> reached</w:t>
      </w:r>
      <w:r w:rsidRPr="00696A40">
        <w:rPr>
          <w:rFonts w:ascii="Garamond" w:hAnsi="Garamond"/>
        </w:rPr>
        <w:t xml:space="preserve"> 5.2 percent of GDP in 2013. VAT </w:t>
      </w:r>
      <w:r>
        <w:rPr>
          <w:rFonts w:ascii="Garamond" w:hAnsi="Garamond"/>
        </w:rPr>
        <w:t>exemptions and preferential VAT treatment alone amounted to</w:t>
      </w:r>
      <w:r w:rsidRPr="00696A40">
        <w:rPr>
          <w:rFonts w:ascii="Garamond" w:hAnsi="Garamond"/>
        </w:rPr>
        <w:t xml:space="preserve"> 4.2 percent of GDP, with customs exemptions making up</w:t>
      </w:r>
      <w:r>
        <w:rPr>
          <w:rFonts w:ascii="Garamond" w:hAnsi="Garamond"/>
        </w:rPr>
        <w:t xml:space="preserve"> another</w:t>
      </w:r>
      <w:r w:rsidRPr="00696A40">
        <w:rPr>
          <w:rFonts w:ascii="Garamond" w:hAnsi="Garamond"/>
        </w:rPr>
        <w:t xml:space="preserve"> 0.9 percent. </w:t>
      </w:r>
      <w:r w:rsidR="0020153C" w:rsidRPr="0020153C">
        <w:rPr>
          <w:rFonts w:ascii="Garamond" w:hAnsi="Garamond"/>
        </w:rPr>
        <w:t>However, this is itself an underestimate as it does not include exemptions under the personal income tax as well as preferential tax treatments granted in the extractive sector.</w:t>
      </w:r>
      <w:r w:rsidR="0020153C">
        <w:rPr>
          <w:rFonts w:ascii="Garamond" w:hAnsi="Garamond"/>
        </w:rPr>
        <w:t xml:space="preserve"> </w:t>
      </w:r>
      <w:r w:rsidRPr="00696A40">
        <w:rPr>
          <w:rFonts w:ascii="Garamond" w:hAnsi="Garamond"/>
        </w:rPr>
        <w:t>While statistical issues complicate comparisons between years, similar data for 2014 suggest that</w:t>
      </w:r>
      <w:r>
        <w:rPr>
          <w:rFonts w:ascii="Garamond" w:hAnsi="Garamond"/>
        </w:rPr>
        <w:t xml:space="preserve"> </w:t>
      </w:r>
      <w:r w:rsidRPr="00696A40">
        <w:rPr>
          <w:rFonts w:ascii="Garamond" w:hAnsi="Garamond"/>
        </w:rPr>
        <w:t>tax expenditures remained broadly stable at 5.0 percent of GDP.</w:t>
      </w:r>
      <w:r>
        <w:rPr>
          <w:rFonts w:ascii="Garamond" w:hAnsi="Garamond"/>
        </w:rPr>
        <w:t xml:space="preserve"> In the context of Ghana’s ongoing fiscal consolidation, reforming tax expenditures could enable the authorities to boost domestic revenue generation and enhance the efficiency of fiscal policy without compromising the government’s expenditure priorities. </w:t>
      </w:r>
    </w:p>
    <w:p w14:paraId="6B648809" w14:textId="77777777" w:rsidR="00D15C7D" w:rsidRDefault="00D15C7D" w:rsidP="003E6FB3">
      <w:pPr>
        <w:pBdr>
          <w:top w:val="single" w:sz="4" w:space="1" w:color="auto"/>
          <w:left w:val="single" w:sz="4" w:space="4" w:color="auto"/>
          <w:bottom w:val="single" w:sz="4" w:space="1" w:color="auto"/>
          <w:right w:val="single" w:sz="4" w:space="4" w:color="auto"/>
        </w:pBdr>
        <w:shd w:val="clear" w:color="auto" w:fill="D0CECE" w:themeFill="background2" w:themeFillShade="E6"/>
        <w:spacing w:after="140" w:line="240" w:lineRule="auto"/>
        <w:jc w:val="both"/>
        <w:rPr>
          <w:rFonts w:ascii="Garamond" w:hAnsi="Garamond"/>
        </w:rPr>
      </w:pPr>
      <w:r>
        <w:rPr>
          <w:rFonts w:ascii="Garamond" w:hAnsi="Garamond"/>
        </w:rPr>
        <w:t>Tax expenditures that advance key social and economic objectives should be reformed to enhance their effectiveness, while those that serve no clear policy purpose should be eliminated. In reviewing expenditures designed to alleviate the tax burden on lower-income households, the government should begin by evaluating</w:t>
      </w:r>
      <w:r w:rsidRPr="00F75A6D">
        <w:rPr>
          <w:rFonts w:ascii="Garamond" w:hAnsi="Garamond"/>
        </w:rPr>
        <w:t xml:space="preserve"> the impact of </w:t>
      </w:r>
      <w:r>
        <w:rPr>
          <w:rFonts w:ascii="Garamond" w:hAnsi="Garamond"/>
        </w:rPr>
        <w:t>VAT exemptions</w:t>
      </w:r>
      <w:r w:rsidRPr="00F75A6D">
        <w:rPr>
          <w:rFonts w:ascii="Garamond" w:hAnsi="Garamond"/>
        </w:rPr>
        <w:t xml:space="preserve"> </w:t>
      </w:r>
      <w:r>
        <w:rPr>
          <w:rFonts w:ascii="Garamond" w:hAnsi="Garamond"/>
        </w:rPr>
        <w:t>against</w:t>
      </w:r>
      <w:r w:rsidRPr="00F75A6D">
        <w:rPr>
          <w:rFonts w:ascii="Garamond" w:hAnsi="Garamond"/>
        </w:rPr>
        <w:t xml:space="preserve"> zero-rating</w:t>
      </w:r>
      <w:r>
        <w:rPr>
          <w:rFonts w:ascii="Garamond" w:hAnsi="Garamond"/>
        </w:rPr>
        <w:t>, as the latter typically reduces consumer prices more than the former. When assessing tax expenditures designed to incentivize forms of consumption that generate positive externalities, policymakers should estimate</w:t>
      </w:r>
      <w:r w:rsidRPr="00F75A6D">
        <w:rPr>
          <w:rFonts w:ascii="Garamond" w:hAnsi="Garamond"/>
        </w:rPr>
        <w:t xml:space="preserve"> the price elasticity of </w:t>
      </w:r>
      <w:r>
        <w:rPr>
          <w:rFonts w:ascii="Garamond" w:hAnsi="Garamond"/>
        </w:rPr>
        <w:t xml:space="preserve">that consumption </w:t>
      </w:r>
      <w:r w:rsidRPr="00F75A6D">
        <w:rPr>
          <w:rFonts w:ascii="Garamond" w:hAnsi="Garamond"/>
        </w:rPr>
        <w:t xml:space="preserve">in order to </w:t>
      </w:r>
      <w:r>
        <w:rPr>
          <w:rFonts w:ascii="Garamond" w:hAnsi="Garamond"/>
        </w:rPr>
        <w:t>realign price incentives</w:t>
      </w:r>
      <w:r w:rsidRPr="009A7401">
        <w:rPr>
          <w:rFonts w:ascii="Garamond" w:hAnsi="Garamond"/>
        </w:rPr>
        <w:t xml:space="preserve"> </w:t>
      </w:r>
      <w:r>
        <w:rPr>
          <w:rFonts w:ascii="Garamond" w:hAnsi="Garamond"/>
        </w:rPr>
        <w:t>efficiently. Tax expenditures targeting consumer goods that produce no positive social or economic spillovers should be identified and eliminated.</w:t>
      </w:r>
    </w:p>
    <w:p w14:paraId="0AC3BF4D" w14:textId="2A1D9C1B" w:rsidR="00D15C7D" w:rsidRDefault="00D15C7D" w:rsidP="003E6FB3">
      <w:pPr>
        <w:pBdr>
          <w:top w:val="single" w:sz="4" w:space="1" w:color="auto"/>
          <w:left w:val="single" w:sz="4" w:space="4" w:color="auto"/>
          <w:bottom w:val="single" w:sz="4" w:space="1" w:color="auto"/>
          <w:right w:val="single" w:sz="4" w:space="4" w:color="auto"/>
        </w:pBdr>
        <w:shd w:val="clear" w:color="auto" w:fill="D0CECE" w:themeFill="background2" w:themeFillShade="E6"/>
        <w:spacing w:after="140" w:line="240" w:lineRule="auto"/>
        <w:jc w:val="both"/>
        <w:rPr>
          <w:rFonts w:ascii="Garamond" w:hAnsi="Garamond"/>
        </w:rPr>
      </w:pPr>
      <w:r>
        <w:rPr>
          <w:rFonts w:ascii="Garamond" w:hAnsi="Garamond"/>
        </w:rPr>
        <w:t>T</w:t>
      </w:r>
      <w:r w:rsidRPr="00F75A6D">
        <w:rPr>
          <w:rFonts w:ascii="Garamond" w:hAnsi="Garamond"/>
        </w:rPr>
        <w:t xml:space="preserve">rade-related tax expenditures </w:t>
      </w:r>
      <w:r>
        <w:rPr>
          <w:rFonts w:ascii="Garamond" w:hAnsi="Garamond"/>
        </w:rPr>
        <w:t>should be consolidated into a holistic export-</w:t>
      </w:r>
      <w:r w:rsidRPr="00F75A6D">
        <w:rPr>
          <w:rFonts w:ascii="Garamond" w:hAnsi="Garamond"/>
        </w:rPr>
        <w:t xml:space="preserve">promotion strategy </w:t>
      </w:r>
      <w:r>
        <w:rPr>
          <w:rFonts w:ascii="Garamond" w:hAnsi="Garamond"/>
        </w:rPr>
        <w:t xml:space="preserve">that </w:t>
      </w:r>
      <w:r w:rsidRPr="00F75A6D">
        <w:rPr>
          <w:rFonts w:ascii="Garamond" w:hAnsi="Garamond"/>
        </w:rPr>
        <w:t>include</w:t>
      </w:r>
      <w:r>
        <w:rPr>
          <w:rFonts w:ascii="Garamond" w:hAnsi="Garamond"/>
        </w:rPr>
        <w:t>s</w:t>
      </w:r>
      <w:r w:rsidRPr="00F75A6D">
        <w:rPr>
          <w:rFonts w:ascii="Garamond" w:hAnsi="Garamond"/>
        </w:rPr>
        <w:t xml:space="preserve"> </w:t>
      </w:r>
      <w:r>
        <w:rPr>
          <w:rFonts w:ascii="Garamond" w:hAnsi="Garamond"/>
        </w:rPr>
        <w:t>a narrow range of</w:t>
      </w:r>
      <w:r w:rsidRPr="00F75A6D">
        <w:rPr>
          <w:rFonts w:ascii="Garamond" w:hAnsi="Garamond"/>
        </w:rPr>
        <w:t xml:space="preserve"> tax incentives, </w:t>
      </w:r>
      <w:r>
        <w:rPr>
          <w:rFonts w:ascii="Garamond" w:hAnsi="Garamond"/>
        </w:rPr>
        <w:t>but which focuses on measures to promote domestic competition</w:t>
      </w:r>
      <w:r w:rsidRPr="00F75A6D">
        <w:rPr>
          <w:rFonts w:ascii="Garamond" w:hAnsi="Garamond"/>
        </w:rPr>
        <w:t xml:space="preserve"> and</w:t>
      </w:r>
      <w:r>
        <w:rPr>
          <w:rFonts w:ascii="Garamond" w:hAnsi="Garamond"/>
        </w:rPr>
        <w:t xml:space="preserve"> foster regional integration. T</w:t>
      </w:r>
      <w:r w:rsidRPr="00F75A6D">
        <w:rPr>
          <w:rFonts w:ascii="Garamond" w:hAnsi="Garamond"/>
        </w:rPr>
        <w:t xml:space="preserve">ax </w:t>
      </w:r>
      <w:r>
        <w:rPr>
          <w:rFonts w:ascii="Garamond" w:hAnsi="Garamond"/>
        </w:rPr>
        <w:t>expenditures</w:t>
      </w:r>
      <w:r w:rsidRPr="00F75A6D">
        <w:rPr>
          <w:rFonts w:ascii="Garamond" w:hAnsi="Garamond"/>
        </w:rPr>
        <w:t xml:space="preserve"> </w:t>
      </w:r>
      <w:r>
        <w:rPr>
          <w:rFonts w:ascii="Garamond" w:hAnsi="Garamond"/>
        </w:rPr>
        <w:t xml:space="preserve">can boost the export-competitiveness of certain sectors, but they can also artificially sustain industries that are structurally uncompetitive. Moreover, tax expenditures frequently accrue to industries and sectors that would be viable without them. Customs </w:t>
      </w:r>
      <w:r w:rsidRPr="00F75A6D">
        <w:rPr>
          <w:rFonts w:ascii="Garamond" w:hAnsi="Garamond"/>
        </w:rPr>
        <w:t xml:space="preserve">exemptions on manufacturing inputs and capital goods may be retained if they </w:t>
      </w:r>
      <w:r>
        <w:rPr>
          <w:rFonts w:ascii="Garamond" w:hAnsi="Garamond"/>
        </w:rPr>
        <w:t>contribute to</w:t>
      </w:r>
      <w:r w:rsidRPr="00F75A6D">
        <w:rPr>
          <w:rFonts w:ascii="Garamond" w:hAnsi="Garamond"/>
        </w:rPr>
        <w:t xml:space="preserve"> a clear </w:t>
      </w:r>
      <w:r>
        <w:rPr>
          <w:rFonts w:ascii="Garamond" w:hAnsi="Garamond"/>
        </w:rPr>
        <w:t>sectoral development strategy, but exemptions on most consumer goods should be phased out</w:t>
      </w:r>
      <w:r w:rsidRPr="00F75A6D">
        <w:rPr>
          <w:rFonts w:ascii="Garamond" w:hAnsi="Garamond"/>
        </w:rPr>
        <w:t xml:space="preserve">. </w:t>
      </w:r>
      <w:r>
        <w:rPr>
          <w:rFonts w:ascii="Garamond" w:hAnsi="Garamond"/>
        </w:rPr>
        <w:t>Tax exemptions</w:t>
      </w:r>
      <w:r w:rsidRPr="00F75A6D">
        <w:rPr>
          <w:rFonts w:ascii="Garamond" w:hAnsi="Garamond"/>
        </w:rPr>
        <w:t xml:space="preserve"> </w:t>
      </w:r>
      <w:r>
        <w:rPr>
          <w:rFonts w:ascii="Garamond" w:hAnsi="Garamond"/>
        </w:rPr>
        <w:t xml:space="preserve">granted via </w:t>
      </w:r>
      <w:r w:rsidRPr="00F75A6D">
        <w:rPr>
          <w:rFonts w:ascii="Garamond" w:hAnsi="Garamond"/>
        </w:rPr>
        <w:t xml:space="preserve">special permits should </w:t>
      </w:r>
      <w:r>
        <w:rPr>
          <w:rFonts w:ascii="Garamond" w:hAnsi="Garamond"/>
        </w:rPr>
        <w:t xml:space="preserve">also </w:t>
      </w:r>
      <w:r w:rsidRPr="00F75A6D">
        <w:rPr>
          <w:rFonts w:ascii="Garamond" w:hAnsi="Garamond"/>
        </w:rPr>
        <w:t xml:space="preserve">be </w:t>
      </w:r>
      <w:r>
        <w:rPr>
          <w:rFonts w:ascii="Garamond" w:hAnsi="Garamond"/>
        </w:rPr>
        <w:t>eliminated. All remaining e</w:t>
      </w:r>
      <w:r w:rsidRPr="00F75A6D">
        <w:rPr>
          <w:rFonts w:ascii="Garamond" w:hAnsi="Garamond"/>
        </w:rPr>
        <w:t xml:space="preserve">xemptions </w:t>
      </w:r>
      <w:r>
        <w:rPr>
          <w:rFonts w:ascii="Garamond" w:hAnsi="Garamond"/>
        </w:rPr>
        <w:t xml:space="preserve">should be applied </w:t>
      </w:r>
      <w:r w:rsidRPr="00F75A6D">
        <w:rPr>
          <w:rFonts w:ascii="Garamond" w:hAnsi="Garamond"/>
        </w:rPr>
        <w:t>to classes of goods and services</w:t>
      </w:r>
      <w:r>
        <w:rPr>
          <w:rFonts w:ascii="Garamond" w:hAnsi="Garamond"/>
        </w:rPr>
        <w:t>, not to firms</w:t>
      </w:r>
      <w:r w:rsidRPr="00F75A6D">
        <w:rPr>
          <w:rFonts w:ascii="Garamond" w:hAnsi="Garamond"/>
        </w:rPr>
        <w:t xml:space="preserve">. </w:t>
      </w:r>
    </w:p>
    <w:p w14:paraId="128EB488" w14:textId="77777777" w:rsidR="00D15C7D" w:rsidRPr="00187EA3" w:rsidRDefault="00D15C7D" w:rsidP="003E6FB3">
      <w:pPr>
        <w:pBdr>
          <w:top w:val="single" w:sz="4" w:space="1" w:color="auto"/>
          <w:left w:val="single" w:sz="4" w:space="4" w:color="auto"/>
          <w:bottom w:val="single" w:sz="4" w:space="1" w:color="auto"/>
          <w:right w:val="single" w:sz="4" w:space="4" w:color="auto"/>
        </w:pBdr>
        <w:shd w:val="clear" w:color="auto" w:fill="D0CECE"/>
        <w:spacing w:after="140" w:line="240" w:lineRule="auto"/>
        <w:jc w:val="both"/>
      </w:pPr>
      <w:r w:rsidRPr="002F53C3">
        <w:rPr>
          <w:rFonts w:ascii="Garamond" w:hAnsi="Garamond"/>
        </w:rPr>
        <w:t>Policymakers should evaluate the impact of tax holidays and location-based incentives</w:t>
      </w:r>
      <w:r w:rsidR="00902866">
        <w:rPr>
          <w:rFonts w:ascii="Garamond" w:hAnsi="Garamond"/>
        </w:rPr>
        <w:t>,</w:t>
      </w:r>
      <w:r w:rsidRPr="002F53C3">
        <w:rPr>
          <w:rFonts w:ascii="Garamond" w:hAnsi="Garamond"/>
        </w:rPr>
        <w:t xml:space="preserve"> such as “free zones,”</w:t>
      </w:r>
      <w:r w:rsidRPr="00276AE1">
        <w:rPr>
          <w:rFonts w:ascii="Garamond" w:hAnsi="Garamond"/>
        </w:rPr>
        <w:t xml:space="preserve"> as both policy types are inherently inefficient and prone to </w:t>
      </w:r>
      <w:r>
        <w:rPr>
          <w:rFonts w:ascii="Garamond" w:hAnsi="Garamond"/>
        </w:rPr>
        <w:t>abuse</w:t>
      </w:r>
      <w:r w:rsidRPr="00276AE1">
        <w:rPr>
          <w:rFonts w:ascii="Garamond" w:hAnsi="Garamond"/>
        </w:rPr>
        <w:t xml:space="preserve">. The government should </w:t>
      </w:r>
      <w:r w:rsidRPr="002F53C3">
        <w:rPr>
          <w:rFonts w:ascii="Garamond" w:hAnsi="Garamond"/>
        </w:rPr>
        <w:t xml:space="preserve">investigate the behavior of businesses that receive tax holidays </w:t>
      </w:r>
      <w:r>
        <w:rPr>
          <w:rFonts w:ascii="Garamond" w:hAnsi="Garamond"/>
        </w:rPr>
        <w:t>and</w:t>
      </w:r>
      <w:r w:rsidRPr="002F53C3">
        <w:rPr>
          <w:rFonts w:ascii="Garamond" w:hAnsi="Garamond"/>
        </w:rPr>
        <w:t xml:space="preserve"> those located in</w:t>
      </w:r>
      <w:r w:rsidRPr="00F75A6D">
        <w:rPr>
          <w:rFonts w:ascii="Garamond" w:hAnsi="Garamond"/>
        </w:rPr>
        <w:t xml:space="preserve"> </w:t>
      </w:r>
      <w:r>
        <w:rPr>
          <w:rFonts w:ascii="Garamond" w:hAnsi="Garamond"/>
        </w:rPr>
        <w:t xml:space="preserve">special </w:t>
      </w:r>
      <w:r w:rsidRPr="00F75A6D">
        <w:rPr>
          <w:rFonts w:ascii="Garamond" w:hAnsi="Garamond"/>
        </w:rPr>
        <w:t>economic zones and evaluate policy options to reduce distortions and prevent tax avoidanc</w:t>
      </w:r>
      <w:r>
        <w:rPr>
          <w:rFonts w:ascii="Garamond" w:hAnsi="Garamond"/>
        </w:rPr>
        <w:t xml:space="preserve">e. Overall, business tax expenditures should be routinely evaluated to determine </w:t>
      </w:r>
      <w:r w:rsidRPr="00F75A6D">
        <w:rPr>
          <w:rFonts w:ascii="Garamond" w:hAnsi="Garamond"/>
        </w:rPr>
        <w:t xml:space="preserve">which </w:t>
      </w:r>
      <w:r>
        <w:rPr>
          <w:rFonts w:ascii="Garamond" w:hAnsi="Garamond"/>
        </w:rPr>
        <w:t>firms and sectors</w:t>
      </w:r>
      <w:r w:rsidRPr="00F75A6D">
        <w:rPr>
          <w:rFonts w:ascii="Garamond" w:hAnsi="Garamond"/>
        </w:rPr>
        <w:t xml:space="preserve"> are benefitting from preferential tax </w:t>
      </w:r>
      <w:r>
        <w:rPr>
          <w:rFonts w:ascii="Garamond" w:hAnsi="Garamond"/>
        </w:rPr>
        <w:t>treatment</w:t>
      </w:r>
      <w:r w:rsidRPr="00F75A6D">
        <w:rPr>
          <w:rFonts w:ascii="Garamond" w:hAnsi="Garamond"/>
        </w:rPr>
        <w:t xml:space="preserve"> and </w:t>
      </w:r>
      <w:r>
        <w:rPr>
          <w:rFonts w:ascii="Garamond" w:hAnsi="Garamond"/>
        </w:rPr>
        <w:t>to assess the extent to which supporting these industries is consistent with Ghana’s strategic development goals</w:t>
      </w:r>
      <w:r w:rsidRPr="00F75A6D">
        <w:rPr>
          <w:rFonts w:ascii="Garamond" w:hAnsi="Garamond"/>
        </w:rPr>
        <w:t>.</w:t>
      </w:r>
    </w:p>
    <w:p w14:paraId="07B08ACB" w14:textId="77777777" w:rsidR="00D15C7D" w:rsidRPr="00E45355" w:rsidRDefault="00D15C7D" w:rsidP="00D15C7D">
      <w:pPr>
        <w:pStyle w:val="Heading2"/>
      </w:pPr>
      <w:bookmarkStart w:id="61" w:name="_Toc479624876"/>
      <w:r w:rsidRPr="00E45355">
        <w:lastRenderedPageBreak/>
        <w:t>Introduction</w:t>
      </w:r>
      <w:bookmarkEnd w:id="61"/>
    </w:p>
    <w:p w14:paraId="1AC948DE" w14:textId="77777777" w:rsidR="00D15C7D" w:rsidRDefault="00D15C7D" w:rsidP="00D15C7D">
      <w:pPr>
        <w:pStyle w:val="ListParagraph"/>
        <w:numPr>
          <w:ilvl w:val="0"/>
          <w:numId w:val="4"/>
        </w:numPr>
        <w:spacing w:before="240"/>
      </w:pPr>
      <w:r w:rsidRPr="00696A40">
        <w:rPr>
          <w:b/>
        </w:rPr>
        <w:t>Ghana’s tax regime includes a system of exemptions and incentives des</w:t>
      </w:r>
      <w:r w:rsidRPr="00FC2299">
        <w:rPr>
          <w:b/>
        </w:rPr>
        <w:t>i</w:t>
      </w:r>
      <w:r w:rsidRPr="00696A40">
        <w:rPr>
          <w:b/>
        </w:rPr>
        <w:t>gned to achieve specific social and economic objectives.</w:t>
      </w:r>
      <w:r w:rsidRPr="00FC2299">
        <w:t xml:space="preserve"> Some of these “tax expenditures” are intended to promote investment in particular industries, sectors</w:t>
      </w:r>
      <w:r w:rsidR="001F47C8">
        <w:t>,</w:t>
      </w:r>
      <w:r w:rsidRPr="00FC2299">
        <w:t xml:space="preserve"> or geographic regions, whi</w:t>
      </w:r>
      <w:r>
        <w:t>le</w:t>
      </w:r>
      <w:r w:rsidRPr="00FC2299">
        <w:t xml:space="preserve"> others aim to reduce the tax burden on lower-income households. Tax expenditures function by distorting economic incentives, and they impose both direct and indirect fiscal costs. Consequently, measuring the effectiveness of tax expenditures requires comparing the extent to which they advance their stated policy objectives against the revenue losses they entail and the economic inefficiency they create. </w:t>
      </w:r>
    </w:p>
    <w:p w14:paraId="36FD2C30" w14:textId="77777777" w:rsidR="00D15C7D" w:rsidRDefault="00D15C7D" w:rsidP="00D15C7D">
      <w:pPr>
        <w:pStyle w:val="ListParagraph"/>
        <w:numPr>
          <w:ilvl w:val="0"/>
          <w:numId w:val="4"/>
        </w:numPr>
        <w:spacing w:before="240"/>
      </w:pPr>
      <w:r w:rsidRPr="00DA3E0A">
        <w:rPr>
          <w:b/>
        </w:rPr>
        <w:t>T</w:t>
      </w:r>
      <w:r>
        <w:rPr>
          <w:b/>
        </w:rPr>
        <w:t>here are many different types of tax expenditures</w:t>
      </w:r>
      <w:r w:rsidR="00401078">
        <w:rPr>
          <w:b/>
        </w:rPr>
        <w:t xml:space="preserve"> used internationally</w:t>
      </w:r>
      <w:r>
        <w:rPr>
          <w:b/>
        </w:rPr>
        <w:t>, each with its own unique fiscal and economic implications</w:t>
      </w:r>
      <w:r w:rsidRPr="00DA3E0A">
        <w:rPr>
          <w:b/>
        </w:rPr>
        <w:t>.</w:t>
      </w:r>
      <w:r w:rsidRPr="00FC2299">
        <w:t xml:space="preserve"> Some are deductions from corporate or personal income</w:t>
      </w:r>
      <w:r>
        <w:t xml:space="preserve"> tax liability</w:t>
      </w:r>
      <w:r w:rsidRPr="00FC2299">
        <w:t xml:space="preserve">, </w:t>
      </w:r>
      <w:r>
        <w:t>some</w:t>
      </w:r>
      <w:r w:rsidRPr="00FC2299">
        <w:t xml:space="preserve"> are special rates applied to direct or indirect taxes, </w:t>
      </w:r>
      <w:r>
        <w:t>some</w:t>
      </w:r>
      <w:r w:rsidRPr="00FC2299">
        <w:t xml:space="preserve"> fully exempt certain individuals </w:t>
      </w:r>
      <w:r>
        <w:t>or</w:t>
      </w:r>
      <w:r w:rsidRPr="00FC2299">
        <w:t xml:space="preserve"> firms from taxation, </w:t>
      </w:r>
      <w:r>
        <w:t xml:space="preserve">and some defer tax liability on specific assets and transactions, </w:t>
      </w:r>
      <w:r w:rsidRPr="00FC2299">
        <w:t>such as accelerated-depreciation deferrals on investments. The five most common tax expenditures are: (i) e</w:t>
      </w:r>
      <w:r w:rsidRPr="00DA3E0A">
        <w:t>xemptions</w:t>
      </w:r>
      <w:r w:rsidRPr="00FC2299">
        <w:t>, under which income is e</w:t>
      </w:r>
      <w:r>
        <w:t>xcluded from the tax base;</w:t>
      </w:r>
      <w:r w:rsidRPr="00FC2299">
        <w:t xml:space="preserve"> (ii) a</w:t>
      </w:r>
      <w:r w:rsidRPr="00DA3E0A">
        <w:t>llowances</w:t>
      </w:r>
      <w:r w:rsidRPr="00FC2299">
        <w:t>, which are amounts ded</w:t>
      </w:r>
      <w:r>
        <w:t>ucted from gross taxable income;</w:t>
      </w:r>
      <w:r w:rsidRPr="00FC2299">
        <w:t xml:space="preserve"> (iii) c</w:t>
      </w:r>
      <w:r w:rsidRPr="00DA3E0A">
        <w:t>redits</w:t>
      </w:r>
      <w:r w:rsidRPr="00FC2299">
        <w:t>, which are amou</w:t>
      </w:r>
      <w:r>
        <w:t>nts deducted from tax liability;</w:t>
      </w:r>
      <w:r w:rsidRPr="00FC2299">
        <w:t xml:space="preserve"> (iv) r</w:t>
      </w:r>
      <w:r w:rsidRPr="00DA3E0A">
        <w:t>ate relief</w:t>
      </w:r>
      <w:r w:rsidRPr="00FC2299">
        <w:t>, under which a reduced rate is applied to a given class of taxpayers or economi</w:t>
      </w:r>
      <w:r>
        <w:t>c activities;</w:t>
      </w:r>
      <w:r w:rsidRPr="00FC2299">
        <w:t xml:space="preserve"> and (v) t</w:t>
      </w:r>
      <w:r w:rsidRPr="00DA3E0A">
        <w:t>ax deferrals</w:t>
      </w:r>
      <w:r w:rsidRPr="00FC2299">
        <w:t xml:space="preserve">, under which taxpayers </w:t>
      </w:r>
      <w:r>
        <w:t>can</w:t>
      </w:r>
      <w:r w:rsidRPr="00FC2299">
        <w:t xml:space="preserve"> delay payment. A</w:t>
      </w:r>
      <w:r w:rsidRPr="00DA3E0A">
        <w:t xml:space="preserve">ll </w:t>
      </w:r>
      <w:r w:rsidRPr="00FC2299">
        <w:t>types of tax expenditure</w:t>
      </w:r>
      <w:r>
        <w:t>s</w:t>
      </w:r>
      <w:r w:rsidRPr="00FC2299">
        <w:t xml:space="preserve"> reduce the present value of income subject to tax</w:t>
      </w:r>
      <w:r w:rsidRPr="00DA3E0A">
        <w:t>ation</w:t>
      </w:r>
      <w:r w:rsidRPr="00FC2299">
        <w:t>, thereby shifting resources from the government to beneficiary groups or incentivizing certain types of economic activity.</w:t>
      </w:r>
    </w:p>
    <w:p w14:paraId="2995087A" w14:textId="77777777" w:rsidR="00D15C7D" w:rsidRPr="00FC2299" w:rsidRDefault="00D15C7D" w:rsidP="00D15C7D">
      <w:pPr>
        <w:pStyle w:val="ListParagraph"/>
        <w:numPr>
          <w:ilvl w:val="0"/>
          <w:numId w:val="4"/>
        </w:numPr>
        <w:spacing w:before="240"/>
      </w:pPr>
      <w:r w:rsidRPr="00FC2299">
        <w:rPr>
          <w:b/>
        </w:rPr>
        <w:t>While they often impose considerable fiscal costs</w:t>
      </w:r>
      <w:r w:rsidRPr="00696A40">
        <w:rPr>
          <w:b/>
        </w:rPr>
        <w:t xml:space="preserve">, tax expenditures </w:t>
      </w:r>
      <w:r w:rsidRPr="00FC2299">
        <w:rPr>
          <w:b/>
        </w:rPr>
        <w:t>are rarely subject</w:t>
      </w:r>
      <w:r w:rsidRPr="00696A40">
        <w:rPr>
          <w:b/>
        </w:rPr>
        <w:t xml:space="preserve"> </w:t>
      </w:r>
      <w:r>
        <w:rPr>
          <w:b/>
        </w:rPr>
        <w:t xml:space="preserve">to </w:t>
      </w:r>
      <w:r w:rsidRPr="00696A40">
        <w:rPr>
          <w:b/>
        </w:rPr>
        <w:t xml:space="preserve">the same </w:t>
      </w:r>
      <w:r w:rsidRPr="00FC2299">
        <w:rPr>
          <w:b/>
        </w:rPr>
        <w:t>level</w:t>
      </w:r>
      <w:r w:rsidRPr="00696A40">
        <w:rPr>
          <w:b/>
        </w:rPr>
        <w:t xml:space="preserve"> of scrutiny as direct expenditures. </w:t>
      </w:r>
      <w:r w:rsidRPr="00FC2299">
        <w:t>Many tax expenditures are ostensibly designed to improve the progressivity of fiscal policy, yet in practice they tend to systematically favor taxpayers in higher marginal rate brackets. Tax expenditures can erode the tax base, distort the allocation of productive factors, create opportunities for corruption</w:t>
      </w:r>
      <w:r w:rsidR="001F47C8">
        <w:t>,</w:t>
      </w:r>
      <w:r>
        <w:t xml:space="preserve"> </w:t>
      </w:r>
      <w:r w:rsidRPr="00FC2299">
        <w:t>and encourage rent-seeking.</w:t>
      </w:r>
      <w:r w:rsidRPr="00FC2299">
        <w:rPr>
          <w:rStyle w:val="FootnoteReference"/>
        </w:rPr>
        <w:footnoteReference w:id="36"/>
      </w:r>
      <w:r w:rsidRPr="00FC2299">
        <w:t xml:space="preserve"> In the interest of transparency, several countries now publish tax-expenditure reports along with their regular budgets. These reports are standard practice </w:t>
      </w:r>
      <w:r w:rsidR="006E38A0">
        <w:t xml:space="preserve">for countries </w:t>
      </w:r>
      <w:r w:rsidRPr="00FC2299">
        <w:t xml:space="preserve">in the </w:t>
      </w:r>
      <w:r w:rsidR="006E38A0" w:rsidRPr="006E38A0">
        <w:t xml:space="preserve">Organisation for Economic Co-operation and Development </w:t>
      </w:r>
      <w:r w:rsidR="006E38A0">
        <w:t>(</w:t>
      </w:r>
      <w:r w:rsidRPr="00FC2299">
        <w:t>OECD</w:t>
      </w:r>
      <w:r w:rsidR="006E38A0">
        <w:t>)</w:t>
      </w:r>
      <w:r w:rsidRPr="00FC2299">
        <w:t xml:space="preserve"> and are becoming increasingly common in developing countries. At present</w:t>
      </w:r>
      <w:r>
        <w:t>,</w:t>
      </w:r>
      <w:r w:rsidRPr="00FC2299">
        <w:t xml:space="preserve"> nearly 54 countries publish tax-expenditure estimates</w:t>
      </w:r>
      <w:r>
        <w:t xml:space="preserve">, typically on </w:t>
      </w:r>
      <w:r w:rsidRPr="00FC2299">
        <w:t>an annual or biennial basis.</w:t>
      </w:r>
      <w:r w:rsidRPr="00696A40">
        <w:rPr>
          <w:rStyle w:val="FootnoteReference"/>
          <w:rFonts w:cs="Times New Roman"/>
        </w:rPr>
        <w:footnoteReference w:id="37"/>
      </w:r>
      <w:r w:rsidRPr="00FC2299">
        <w:t xml:space="preserve"> Ghana has recently become a member of the OECD Development Centre, </w:t>
      </w:r>
      <w:r w:rsidRPr="00696A40">
        <w:t>and</w:t>
      </w:r>
      <w:r w:rsidRPr="00FC2299">
        <w:t xml:space="preserve"> </w:t>
      </w:r>
      <w:r w:rsidRPr="00696A40">
        <w:t xml:space="preserve">regular </w:t>
      </w:r>
      <w:r w:rsidRPr="00FC2299">
        <w:t>tax</w:t>
      </w:r>
      <w:r w:rsidRPr="00696A40">
        <w:t>-</w:t>
      </w:r>
      <w:r w:rsidRPr="00FC2299">
        <w:t xml:space="preserve">expenditure monitoring </w:t>
      </w:r>
      <w:r w:rsidRPr="00696A40">
        <w:t>will be crucial to achieving the government’s objectives for transparency and accountability</w:t>
      </w:r>
      <w:r w:rsidRPr="00FC2299">
        <w:t xml:space="preserve">. </w:t>
      </w:r>
    </w:p>
    <w:p w14:paraId="5572FE65" w14:textId="77777777" w:rsidR="00D15C7D" w:rsidRPr="00FC2299" w:rsidRDefault="00D15C7D" w:rsidP="00D15C7D">
      <w:pPr>
        <w:pStyle w:val="ListParagraph"/>
        <w:numPr>
          <w:ilvl w:val="0"/>
          <w:numId w:val="4"/>
        </w:numPr>
        <w:spacing w:before="240"/>
      </w:pPr>
      <w:r w:rsidRPr="00FC2299">
        <w:rPr>
          <w:b/>
        </w:rPr>
        <w:t>Accurately calculating</w:t>
      </w:r>
      <w:r w:rsidRPr="00696A40">
        <w:rPr>
          <w:b/>
        </w:rPr>
        <w:t xml:space="preserve"> tax expenditures is </w:t>
      </w:r>
      <w:r w:rsidRPr="00FC2299">
        <w:rPr>
          <w:b/>
        </w:rPr>
        <w:t xml:space="preserve">a </w:t>
      </w:r>
      <w:r w:rsidRPr="00696A40">
        <w:rPr>
          <w:b/>
        </w:rPr>
        <w:t>data-intensive</w:t>
      </w:r>
      <w:r w:rsidRPr="00FC2299">
        <w:rPr>
          <w:b/>
        </w:rPr>
        <w:t xml:space="preserve"> process</w:t>
      </w:r>
      <w:r w:rsidRPr="00696A40">
        <w:rPr>
          <w:b/>
        </w:rPr>
        <w:t xml:space="preserve">, and many countries </w:t>
      </w:r>
      <w:r w:rsidRPr="00FC2299">
        <w:rPr>
          <w:b/>
        </w:rPr>
        <w:t>lack</w:t>
      </w:r>
      <w:r w:rsidRPr="00696A40">
        <w:rPr>
          <w:b/>
        </w:rPr>
        <w:t xml:space="preserve"> the institutional capacity to </w:t>
      </w:r>
      <w:r w:rsidRPr="00FC2299">
        <w:rPr>
          <w:b/>
        </w:rPr>
        <w:t>produce regular estimates</w:t>
      </w:r>
      <w:r w:rsidRPr="00FC2299">
        <w:t xml:space="preserve">. </w:t>
      </w:r>
      <w:r>
        <w:t>Annex</w:t>
      </w:r>
      <w:r w:rsidRPr="00FC2299">
        <w:t xml:space="preserve"> </w:t>
      </w:r>
      <w:r w:rsidR="007B0A1B">
        <w:t>2.1</w:t>
      </w:r>
      <w:r w:rsidRPr="00FC2299">
        <w:t xml:space="preserve"> </w:t>
      </w:r>
      <w:r>
        <w:t>describes d</w:t>
      </w:r>
      <w:r w:rsidRPr="00FC2299">
        <w:t>ifferent methodologies for calculating tax expenditure</w:t>
      </w:r>
      <w:r>
        <w:t>s</w:t>
      </w:r>
      <w:r w:rsidRPr="00FC2299">
        <w:t>, all of which require extensive financial information on taxpayers. The analysis presented in this chapter relies on the “foregone-</w:t>
      </w:r>
      <w:r w:rsidRPr="00696A40">
        <w:t>revenue method</w:t>
      </w:r>
      <w:r w:rsidRPr="00FC2299">
        <w:t>,</w:t>
      </w:r>
      <w:r w:rsidRPr="00696A40">
        <w:t>”</w:t>
      </w:r>
      <w:r w:rsidRPr="00FC2299">
        <w:t xml:space="preserve"> which focuses on the fiscal cost</w:t>
      </w:r>
      <w:r>
        <w:t>s</w:t>
      </w:r>
      <w:r w:rsidRPr="00FC2299">
        <w:t xml:space="preserve"> incurred by the government. While this methodology does </w:t>
      </w:r>
      <w:r w:rsidRPr="00FC2299">
        <w:lastRenderedPageBreak/>
        <w:t xml:space="preserve">not account for the ways in which policy changes can alter taxpayer behavior, its data requirements are most consistent with the tax information available in Ghana. </w:t>
      </w:r>
    </w:p>
    <w:p w14:paraId="37964CDF" w14:textId="77777777" w:rsidR="00D15C7D" w:rsidRPr="00FC2299" w:rsidRDefault="00D15C7D" w:rsidP="00D15C7D">
      <w:pPr>
        <w:pStyle w:val="ListParagraph"/>
        <w:numPr>
          <w:ilvl w:val="0"/>
          <w:numId w:val="4"/>
        </w:numPr>
        <w:spacing w:before="240"/>
      </w:pPr>
      <w:r w:rsidRPr="00696A40">
        <w:rPr>
          <w:b/>
        </w:rPr>
        <w:t xml:space="preserve">Because tax expenditures </w:t>
      </w:r>
      <w:r w:rsidRPr="00FC2299">
        <w:rPr>
          <w:b/>
        </w:rPr>
        <w:t>reflect deviations from the standard</w:t>
      </w:r>
      <w:r w:rsidRPr="00696A40">
        <w:rPr>
          <w:b/>
        </w:rPr>
        <w:t xml:space="preserve"> tax </w:t>
      </w:r>
      <w:r w:rsidRPr="00FC2299">
        <w:rPr>
          <w:b/>
        </w:rPr>
        <w:t>regime</w:t>
      </w:r>
      <w:r w:rsidRPr="00696A40">
        <w:rPr>
          <w:b/>
        </w:rPr>
        <w:t>,</w:t>
      </w:r>
      <w:r w:rsidRPr="00FC2299">
        <w:rPr>
          <w:b/>
        </w:rPr>
        <w:t xml:space="preserve"> </w:t>
      </w:r>
      <w:r>
        <w:rPr>
          <w:b/>
        </w:rPr>
        <w:t xml:space="preserve">the first step in analyzing tax expenditures is to </w:t>
      </w:r>
      <w:r w:rsidRPr="00FC2299">
        <w:rPr>
          <w:b/>
        </w:rPr>
        <w:t>defin</w:t>
      </w:r>
      <w:r>
        <w:rPr>
          <w:b/>
        </w:rPr>
        <w:t>e</w:t>
      </w:r>
      <w:r w:rsidRPr="00FC2299">
        <w:rPr>
          <w:b/>
        </w:rPr>
        <w:t xml:space="preserve"> the standard regime. </w:t>
      </w:r>
      <w:r w:rsidRPr="00696A40">
        <w:t>Maintaining consistency and comparability over time</w:t>
      </w:r>
      <w:r w:rsidRPr="00FC2299">
        <w:t xml:space="preserve"> requires that </w:t>
      </w:r>
      <w:r>
        <w:t>the</w:t>
      </w:r>
      <w:r w:rsidRPr="00FC2299">
        <w:t xml:space="preserve"> standard regime encompass all tax provisions</w:t>
      </w:r>
      <w:r>
        <w:t xml:space="preserve"> and all taxpayers</w:t>
      </w:r>
      <w:r w:rsidRPr="00FC2299">
        <w:t xml:space="preserve">. Defining the standard regime is not only </w:t>
      </w:r>
      <w:r>
        <w:t>necessary</w:t>
      </w:r>
      <w:r w:rsidRPr="00FC2299">
        <w:t xml:space="preserve"> to identify and catalogu</w:t>
      </w:r>
      <w:r>
        <w:t>e</w:t>
      </w:r>
      <w:r w:rsidRPr="00FC2299">
        <w:t xml:space="preserve"> tax expenditures, it also allows policymakers to assess the efficiency and equity of the underlying tax structure and </w:t>
      </w:r>
      <w:r>
        <w:t xml:space="preserve">evaluate </w:t>
      </w:r>
      <w:r w:rsidRPr="00FC2299">
        <w:t xml:space="preserve">its appropriateness </w:t>
      </w:r>
      <w:r>
        <w:t>vis-à-vis</w:t>
      </w:r>
      <w:r w:rsidRPr="00FC2299">
        <w:t xml:space="preserve"> the government’s policy goals. </w:t>
      </w:r>
    </w:p>
    <w:p w14:paraId="1C0FDB3C" w14:textId="77777777" w:rsidR="00D15C7D" w:rsidRPr="00E45355" w:rsidRDefault="00D15C7D" w:rsidP="00D15C7D">
      <w:pPr>
        <w:pStyle w:val="Heading2"/>
      </w:pPr>
      <w:bookmarkStart w:id="62" w:name="_Toc479624877"/>
      <w:r w:rsidRPr="00E45355">
        <w:t>Ghana’s Standard Tax Regime</w:t>
      </w:r>
      <w:bookmarkEnd w:id="62"/>
    </w:p>
    <w:p w14:paraId="275A4692" w14:textId="750A1136" w:rsidR="00D15C7D" w:rsidRDefault="00401078" w:rsidP="00401078">
      <w:pPr>
        <w:pStyle w:val="ListParagraph"/>
        <w:numPr>
          <w:ilvl w:val="0"/>
          <w:numId w:val="4"/>
        </w:numPr>
        <w:spacing w:before="240"/>
      </w:pPr>
      <w:r>
        <w:rPr>
          <w:b/>
        </w:rPr>
        <w:t>For the purposes of this report, t</w:t>
      </w:r>
      <w:r w:rsidR="00D15C7D">
        <w:rPr>
          <w:b/>
        </w:rPr>
        <w:t xml:space="preserve">he </w:t>
      </w:r>
      <w:r w:rsidR="00D15C7D" w:rsidRPr="00696A40">
        <w:rPr>
          <w:b/>
        </w:rPr>
        <w:t xml:space="preserve">Internal Revenue Act of 2000, </w:t>
      </w:r>
      <w:r w:rsidR="00D15C7D">
        <w:rPr>
          <w:b/>
        </w:rPr>
        <w:t xml:space="preserve">the </w:t>
      </w:r>
      <w:r w:rsidR="00D15C7D" w:rsidRPr="00696A40">
        <w:rPr>
          <w:b/>
        </w:rPr>
        <w:t>VAT Act of 2013</w:t>
      </w:r>
      <w:r w:rsidR="002850F3">
        <w:rPr>
          <w:b/>
        </w:rPr>
        <w:t>,</w:t>
      </w:r>
      <w:r w:rsidR="00D15C7D" w:rsidRPr="00696A40">
        <w:rPr>
          <w:b/>
        </w:rPr>
        <w:t xml:space="preserve"> and </w:t>
      </w:r>
      <w:r w:rsidR="00D15C7D">
        <w:rPr>
          <w:b/>
        </w:rPr>
        <w:t xml:space="preserve">the </w:t>
      </w:r>
      <w:r w:rsidR="00D15C7D" w:rsidRPr="00696A40">
        <w:rPr>
          <w:b/>
        </w:rPr>
        <w:t>Customs Act of 2013</w:t>
      </w:r>
      <w:r w:rsidR="00D15C7D">
        <w:rPr>
          <w:b/>
        </w:rPr>
        <w:t xml:space="preserve"> </w:t>
      </w:r>
      <w:r w:rsidR="00D15C7D" w:rsidRPr="00696A40">
        <w:rPr>
          <w:b/>
        </w:rPr>
        <w:t>establish the basis for Ghana’s standard tax regime</w:t>
      </w:r>
      <w:r w:rsidR="00D15C7D">
        <w:rPr>
          <w:b/>
        </w:rPr>
        <w:t>, and each includes a number of important tax expenditures</w:t>
      </w:r>
      <w:r w:rsidR="00D15C7D" w:rsidRPr="00696A40">
        <w:rPr>
          <w:b/>
        </w:rPr>
        <w:t>.</w:t>
      </w:r>
      <w:r w:rsidR="00D15C7D" w:rsidRPr="00FC2299">
        <w:t xml:space="preserve"> </w:t>
      </w:r>
      <w:r w:rsidRPr="00401078">
        <w:t>These laws have subsequently been changed with the relevant law currently under operation being the Income Tax Act, 20</w:t>
      </w:r>
      <w:r w:rsidR="00FE0202">
        <w:t>15 and the Customs Act. Of 2015; and</w:t>
      </w:r>
      <w:r>
        <w:t xml:space="preserve"> they</w:t>
      </w:r>
      <w:r w:rsidR="00D15C7D" w:rsidRPr="00FC2299">
        <w:t xml:space="preserve"> define the personal income taxes applied to both residents and nonresidents, </w:t>
      </w:r>
      <w:r w:rsidR="00D15C7D">
        <w:t>the</w:t>
      </w:r>
      <w:r w:rsidR="00D15C7D" w:rsidRPr="00FC2299">
        <w:t xml:space="preserve"> corporate income tax, </w:t>
      </w:r>
      <w:r w:rsidR="00D15C7D">
        <w:t xml:space="preserve">the </w:t>
      </w:r>
      <w:r w:rsidR="00D15C7D" w:rsidRPr="00FC2299">
        <w:t>gift tax</w:t>
      </w:r>
      <w:r w:rsidR="002850F3">
        <w:t>,</w:t>
      </w:r>
      <w:r w:rsidR="00D15C7D" w:rsidRPr="00FC2299">
        <w:t xml:space="preserve"> and a set of customs duties. The</w:t>
      </w:r>
      <w:r w:rsidR="00D15C7D">
        <w:t>y</w:t>
      </w:r>
      <w:r w:rsidR="00D15C7D" w:rsidRPr="00FC2299">
        <w:t xml:space="preserve"> specify rates and terms for capital allowances, carrying</w:t>
      </w:r>
      <w:r w:rsidR="00D15C7D">
        <w:t xml:space="preserve"> </w:t>
      </w:r>
      <w:r w:rsidR="00D15C7D" w:rsidRPr="00FC2299">
        <w:t>forward losses</w:t>
      </w:r>
      <w:r w:rsidR="00DA448E">
        <w:t>,</w:t>
      </w:r>
      <w:r w:rsidR="00D15C7D" w:rsidRPr="00FC2299">
        <w:t xml:space="preserve"> and zero</w:t>
      </w:r>
      <w:r w:rsidR="00D15C7D">
        <w:t>-</w:t>
      </w:r>
      <w:r w:rsidR="00D15C7D" w:rsidRPr="00FC2299">
        <w:t xml:space="preserve">rating VAT on exports. </w:t>
      </w:r>
      <w:r w:rsidR="00D15C7D" w:rsidRPr="009434FE">
        <w:t>The Income Tax Act establishes a 25 percent tax rate on firm profits</w:t>
      </w:r>
      <w:r w:rsidR="00D15C7D" w:rsidRPr="00FC2299">
        <w:t xml:space="preserve">, </w:t>
      </w:r>
      <w:r w:rsidR="00D15C7D">
        <w:t xml:space="preserve">but </w:t>
      </w:r>
      <w:r w:rsidR="00D15C7D" w:rsidRPr="00FC2299">
        <w:t xml:space="preserve">it also offers </w:t>
      </w:r>
      <w:r w:rsidR="00D15C7D">
        <w:t>numerous</w:t>
      </w:r>
      <w:r w:rsidR="00D15C7D" w:rsidRPr="00FC2299">
        <w:t xml:space="preserve"> tax incentives to specific industries, sectors</w:t>
      </w:r>
      <w:r w:rsidR="00DA448E">
        <w:t>,</w:t>
      </w:r>
      <w:r w:rsidR="00D15C7D" w:rsidRPr="00FC2299">
        <w:t xml:space="preserve"> and economic activities</w:t>
      </w:r>
      <w:r w:rsidR="00D15C7D">
        <w:t xml:space="preserve"> (</w:t>
      </w:r>
      <w:r w:rsidR="00D15C7D">
        <w:fldChar w:fldCharType="begin"/>
      </w:r>
      <w:r w:rsidR="00D15C7D">
        <w:instrText xml:space="preserve"> REF _Ref472429965 \h </w:instrText>
      </w:r>
      <w:r w:rsidR="00D15C7D">
        <w:fldChar w:fldCharType="separate"/>
      </w:r>
      <w:r w:rsidR="007B1CE6" w:rsidRPr="00D75ECF">
        <w:t xml:space="preserve">Table </w:t>
      </w:r>
      <w:r w:rsidR="007B1CE6">
        <w:rPr>
          <w:noProof/>
        </w:rPr>
        <w:t>2</w:t>
      </w:r>
      <w:r w:rsidR="007B1CE6">
        <w:t>.</w:t>
      </w:r>
      <w:r w:rsidR="007B1CE6">
        <w:rPr>
          <w:noProof/>
        </w:rPr>
        <w:t>1</w:t>
      </w:r>
      <w:r w:rsidR="00D15C7D">
        <w:fldChar w:fldCharType="end"/>
      </w:r>
      <w:r w:rsidR="00D15C7D">
        <w:t>)</w:t>
      </w:r>
      <w:r w:rsidR="00D15C7D" w:rsidRPr="00FC2299">
        <w:t xml:space="preserve">. The Customs Act also includes exemptions for diplomatic and international agencies, </w:t>
      </w:r>
      <w:r w:rsidR="00D15C7D">
        <w:t xml:space="preserve">as well as member countries of the </w:t>
      </w:r>
      <w:r w:rsidR="00D15C7D" w:rsidRPr="00FC2299">
        <w:t xml:space="preserve">Economic Community of West African States (ECOWAS), and </w:t>
      </w:r>
      <w:r w:rsidR="00D15C7D">
        <w:t xml:space="preserve">it applies </w:t>
      </w:r>
      <w:r w:rsidR="00D15C7D" w:rsidRPr="00FC2299">
        <w:t xml:space="preserve">special rates to specific </w:t>
      </w:r>
      <w:r w:rsidR="00D15C7D">
        <w:t xml:space="preserve">economic </w:t>
      </w:r>
      <w:r w:rsidR="00D15C7D" w:rsidRPr="00FC2299">
        <w:t>sectors</w:t>
      </w:r>
      <w:r w:rsidR="00D15C7D">
        <w:t xml:space="preserve"> (see </w:t>
      </w:r>
      <w:r w:rsidR="00D15C7D" w:rsidRPr="00FC2299">
        <w:t xml:space="preserve">Annex </w:t>
      </w:r>
      <w:r w:rsidR="00DA448E">
        <w:t>2.3</w:t>
      </w:r>
      <w:r w:rsidR="00D15C7D">
        <w:t>)</w:t>
      </w:r>
      <w:r w:rsidR="00D15C7D" w:rsidRPr="00F315A1">
        <w:t>.</w:t>
      </w:r>
      <w:bookmarkStart w:id="63" w:name="_Toc347922668"/>
      <w:r w:rsidR="00D15C7D" w:rsidRPr="008E1561">
        <w:t xml:space="preserve"> </w:t>
      </w:r>
      <w:r w:rsidR="00D15C7D">
        <w:t>Other legislation</w:t>
      </w:r>
      <w:r w:rsidR="00395629">
        <w:t>s</w:t>
      </w:r>
      <w:r w:rsidR="001153CD">
        <w:t>,</w:t>
      </w:r>
      <w:r w:rsidR="00D15C7D">
        <w:t xml:space="preserve"> including the </w:t>
      </w:r>
      <w:r w:rsidR="00395629">
        <w:t xml:space="preserve">1995 </w:t>
      </w:r>
      <w:r w:rsidR="00D15C7D">
        <w:t>Free Zones Act</w:t>
      </w:r>
      <w:r w:rsidR="00623F1E">
        <w:t>,</w:t>
      </w:r>
      <w:r w:rsidR="00D15C7D">
        <w:t xml:space="preserve"> the </w:t>
      </w:r>
      <w:r w:rsidR="00395629">
        <w:t xml:space="preserve">2006 </w:t>
      </w:r>
      <w:r w:rsidR="00D15C7D">
        <w:t xml:space="preserve">Mines and Minerals Act, </w:t>
      </w:r>
      <w:r w:rsidR="00395629">
        <w:t xml:space="preserve">the 1983 </w:t>
      </w:r>
      <w:r w:rsidR="00D15C7D">
        <w:t xml:space="preserve">Ghana National Petroleum Corporation Act, and the </w:t>
      </w:r>
      <w:r w:rsidR="00395629">
        <w:t xml:space="preserve">2016 </w:t>
      </w:r>
      <w:r w:rsidR="00D15C7D">
        <w:t>Exploration and Production Act, provide special tax treatment in limited cases.</w:t>
      </w:r>
    </w:p>
    <w:p w14:paraId="4D52043D" w14:textId="77777777" w:rsidR="00CB4E32" w:rsidRPr="00FC2299" w:rsidRDefault="00CB4E32" w:rsidP="00CB4E32">
      <w:pPr>
        <w:pStyle w:val="ListParagraph"/>
        <w:numPr>
          <w:ilvl w:val="0"/>
          <w:numId w:val="4"/>
        </w:numPr>
        <w:spacing w:before="240"/>
      </w:pPr>
      <w:r w:rsidRPr="00696A40">
        <w:rPr>
          <w:b/>
        </w:rPr>
        <w:t xml:space="preserve">Customs </w:t>
      </w:r>
      <w:r w:rsidRPr="00FC2299">
        <w:rPr>
          <w:b/>
        </w:rPr>
        <w:t>incentives</w:t>
      </w:r>
      <w:r w:rsidRPr="00696A40">
        <w:rPr>
          <w:b/>
        </w:rPr>
        <w:t xml:space="preserve"> are provided through lower tariff rates</w:t>
      </w:r>
      <w:r w:rsidRPr="00FC2299">
        <w:rPr>
          <w:b/>
        </w:rPr>
        <w:t xml:space="preserve"> and exemptions defined in domestic legislation and international treaties</w:t>
      </w:r>
      <w:r w:rsidRPr="00FC2299">
        <w:t>. ECOWAS agreements and other bilateral and multilateral arrangements</w:t>
      </w:r>
      <w:r>
        <w:t xml:space="preserve"> exempt a range of imports</w:t>
      </w:r>
      <w:r w:rsidRPr="00FC2299">
        <w:t>. In addition, domestic laws provide exemptions for specific sectors</w:t>
      </w:r>
      <w:r>
        <w:t>,</w:t>
      </w:r>
      <w:r w:rsidRPr="00FC2299">
        <w:t xml:space="preserve"> such as mining and petroleum, manufacturing</w:t>
      </w:r>
      <w:r>
        <w:t>,</w:t>
      </w:r>
      <w:r w:rsidRPr="00FC2299">
        <w:t xml:space="preserve"> and livestock production, </w:t>
      </w:r>
      <w:r>
        <w:t>and</w:t>
      </w:r>
      <w:r w:rsidRPr="00FC2299">
        <w:t xml:space="preserve"> for firms located in designated free zones. </w:t>
      </w:r>
    </w:p>
    <w:p w14:paraId="5E7970A6" w14:textId="77777777" w:rsidR="00CB4E32" w:rsidRDefault="00CB4E32" w:rsidP="00CB4E32">
      <w:pPr>
        <w:pStyle w:val="ListParagraph"/>
        <w:numPr>
          <w:ilvl w:val="0"/>
          <w:numId w:val="0"/>
        </w:numPr>
        <w:spacing w:before="240"/>
      </w:pPr>
    </w:p>
    <w:p w14:paraId="73E37DFF" w14:textId="77777777" w:rsidR="00CB4E32" w:rsidRDefault="00CB4E32" w:rsidP="00CB4E32">
      <w:pPr>
        <w:pStyle w:val="ListParagraph"/>
        <w:numPr>
          <w:ilvl w:val="0"/>
          <w:numId w:val="0"/>
        </w:numPr>
        <w:spacing w:before="240"/>
      </w:pPr>
    </w:p>
    <w:p w14:paraId="79659CD7" w14:textId="77777777" w:rsidR="00CB4E32" w:rsidRDefault="00CB4E32" w:rsidP="00CB4E32">
      <w:pPr>
        <w:pStyle w:val="ListParagraph"/>
        <w:numPr>
          <w:ilvl w:val="0"/>
          <w:numId w:val="0"/>
        </w:numPr>
        <w:spacing w:before="240"/>
      </w:pPr>
    </w:p>
    <w:p w14:paraId="4A3ED206" w14:textId="77777777" w:rsidR="00CB4E32" w:rsidRDefault="00CB4E32" w:rsidP="00CB4E32">
      <w:pPr>
        <w:pStyle w:val="ListParagraph"/>
        <w:numPr>
          <w:ilvl w:val="0"/>
          <w:numId w:val="0"/>
        </w:numPr>
        <w:spacing w:before="240"/>
      </w:pPr>
    </w:p>
    <w:p w14:paraId="670C1C00" w14:textId="77777777" w:rsidR="00CB4E32" w:rsidRDefault="00CB4E32" w:rsidP="00CB4E32">
      <w:pPr>
        <w:pStyle w:val="ListParagraph"/>
        <w:numPr>
          <w:ilvl w:val="0"/>
          <w:numId w:val="0"/>
        </w:numPr>
        <w:spacing w:before="240"/>
      </w:pPr>
    </w:p>
    <w:p w14:paraId="569B1473" w14:textId="77777777" w:rsidR="00CB4E32" w:rsidRDefault="00CB4E32" w:rsidP="00CB4E32">
      <w:pPr>
        <w:pStyle w:val="ListParagraph"/>
        <w:numPr>
          <w:ilvl w:val="0"/>
          <w:numId w:val="0"/>
        </w:numPr>
        <w:spacing w:before="240"/>
      </w:pPr>
    </w:p>
    <w:p w14:paraId="166C6190" w14:textId="77777777" w:rsidR="00CB4E32" w:rsidRDefault="00CB4E32" w:rsidP="00CB4E32">
      <w:pPr>
        <w:pStyle w:val="ListParagraph"/>
        <w:numPr>
          <w:ilvl w:val="0"/>
          <w:numId w:val="0"/>
        </w:numPr>
        <w:spacing w:before="240"/>
      </w:pPr>
    </w:p>
    <w:p w14:paraId="56E7865C" w14:textId="77777777" w:rsidR="00CB4E32" w:rsidRPr="00FC2299" w:rsidRDefault="00CB4E32" w:rsidP="00CB4E32">
      <w:pPr>
        <w:pStyle w:val="ListParagraph"/>
        <w:numPr>
          <w:ilvl w:val="0"/>
          <w:numId w:val="0"/>
        </w:numPr>
        <w:spacing w:before="240"/>
      </w:pPr>
    </w:p>
    <w:p w14:paraId="0B1A6858" w14:textId="6AA20F67" w:rsidR="00D15C7D" w:rsidRPr="00D75ECF" w:rsidRDefault="00D15C7D" w:rsidP="00D15C7D">
      <w:pPr>
        <w:pStyle w:val="Caption"/>
        <w:rPr>
          <w:lang w:val="en-US"/>
        </w:rPr>
      </w:pPr>
      <w:bookmarkStart w:id="64" w:name="_Ref472429965"/>
      <w:bookmarkStart w:id="65" w:name="_Toc478837622"/>
      <w:r w:rsidRPr="00D75ECF">
        <w:rPr>
          <w:lang w:val="en-US"/>
        </w:rPr>
        <w:lastRenderedPageBreak/>
        <w:t xml:space="preserve">Table </w:t>
      </w:r>
      <w:r w:rsidR="00500291">
        <w:rPr>
          <w:lang w:val="en-US"/>
        </w:rPr>
        <w:fldChar w:fldCharType="begin"/>
      </w:r>
      <w:r w:rsidR="00500291">
        <w:rPr>
          <w:lang w:val="en-US"/>
        </w:rPr>
        <w:instrText xml:space="preserve"> STYLEREF 1 \s </w:instrText>
      </w:r>
      <w:r w:rsidR="00500291">
        <w:rPr>
          <w:lang w:val="en-US"/>
        </w:rPr>
        <w:fldChar w:fldCharType="separate"/>
      </w:r>
      <w:r w:rsidR="007B1CE6">
        <w:rPr>
          <w:noProof/>
          <w:lang w:val="en-US"/>
        </w:rPr>
        <w:t>2</w:t>
      </w:r>
      <w:r w:rsidR="00500291">
        <w:rPr>
          <w:lang w:val="en-US"/>
        </w:rPr>
        <w:fldChar w:fldCharType="end"/>
      </w:r>
      <w:r w:rsidR="00500291">
        <w:rPr>
          <w:lang w:val="en-US"/>
        </w:rPr>
        <w:t>.</w:t>
      </w:r>
      <w:r w:rsidR="00500291">
        <w:rPr>
          <w:lang w:val="en-US"/>
        </w:rPr>
        <w:fldChar w:fldCharType="begin"/>
      </w:r>
      <w:r w:rsidR="00500291">
        <w:rPr>
          <w:lang w:val="en-US"/>
        </w:rPr>
        <w:instrText xml:space="preserve"> SEQ Table \* ARABIC \s 1 </w:instrText>
      </w:r>
      <w:r w:rsidR="00500291">
        <w:rPr>
          <w:lang w:val="en-US"/>
        </w:rPr>
        <w:fldChar w:fldCharType="separate"/>
      </w:r>
      <w:r w:rsidR="007B1CE6">
        <w:rPr>
          <w:noProof/>
          <w:lang w:val="en-US"/>
        </w:rPr>
        <w:t>1</w:t>
      </w:r>
      <w:r w:rsidR="00500291">
        <w:rPr>
          <w:lang w:val="en-US"/>
        </w:rPr>
        <w:fldChar w:fldCharType="end"/>
      </w:r>
      <w:bookmarkEnd w:id="64"/>
      <w:r w:rsidRPr="00D75ECF">
        <w:rPr>
          <w:lang w:val="en-US"/>
        </w:rPr>
        <w:t xml:space="preserve">: Tax Incentives Provided to Firms under the </w:t>
      </w:r>
      <w:r w:rsidR="00407085">
        <w:rPr>
          <w:lang w:val="en-US"/>
        </w:rPr>
        <w:t>Internal</w:t>
      </w:r>
      <w:r w:rsidR="00FE0202">
        <w:rPr>
          <w:lang w:val="en-US"/>
        </w:rPr>
        <w:t xml:space="preserve"> </w:t>
      </w:r>
      <w:r w:rsidR="00407085">
        <w:rPr>
          <w:lang w:val="en-US"/>
        </w:rPr>
        <w:t>revenue</w:t>
      </w:r>
      <w:r w:rsidR="00FE0202">
        <w:rPr>
          <w:lang w:val="en-US"/>
        </w:rPr>
        <w:t xml:space="preserve"> </w:t>
      </w:r>
      <w:r w:rsidR="00407085">
        <w:rPr>
          <w:lang w:val="en-US"/>
        </w:rPr>
        <w:t>Act</w:t>
      </w:r>
      <w:r w:rsidR="00FE0202">
        <w:rPr>
          <w:lang w:val="en-US"/>
        </w:rPr>
        <w:t xml:space="preserve"> 200</w:t>
      </w:r>
      <w:r w:rsidR="008F38C2">
        <w:rPr>
          <w:lang w:val="en-US"/>
        </w:rPr>
        <w:t>0</w:t>
      </w:r>
      <w:bookmarkEnd w:id="65"/>
    </w:p>
    <w:p w14:paraId="103DC2E4" w14:textId="77777777" w:rsidR="00CB4E32" w:rsidRDefault="00CB4E32" w:rsidP="00D15C7D">
      <w:pPr>
        <w:pStyle w:val="Caption"/>
        <w:rPr>
          <w:lang w:val="en-US"/>
        </w:rPr>
      </w:pPr>
      <w:bookmarkStart w:id="66" w:name="_Toc478837623"/>
    </w:p>
    <w:tbl>
      <w:tblPr>
        <w:tblStyle w:val="GridTable6Colorful"/>
        <w:tblW w:w="0" w:type="auto"/>
        <w:tblLook w:val="04A0" w:firstRow="1" w:lastRow="0" w:firstColumn="1" w:lastColumn="0" w:noHBand="0" w:noVBand="1"/>
      </w:tblPr>
      <w:tblGrid>
        <w:gridCol w:w="3775"/>
        <w:gridCol w:w="5490"/>
      </w:tblGrid>
      <w:tr w:rsidR="00FE0202" w:rsidRPr="00FC2299" w14:paraId="4981F935" w14:textId="77777777" w:rsidTr="00B416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2C6A6EDC" w14:textId="77777777" w:rsidR="00FE0202" w:rsidRPr="00422747" w:rsidRDefault="00FE0202" w:rsidP="00B4169C">
            <w:pPr>
              <w:pStyle w:val="ListParagraph"/>
              <w:numPr>
                <w:ilvl w:val="0"/>
                <w:numId w:val="0"/>
              </w:numPr>
              <w:spacing w:before="60" w:after="60"/>
              <w:jc w:val="center"/>
              <w:rPr>
                <w:sz w:val="22"/>
              </w:rPr>
            </w:pPr>
            <w:r>
              <w:rPr>
                <w:sz w:val="22"/>
              </w:rPr>
              <w:t xml:space="preserve">Income from </w:t>
            </w:r>
            <w:r w:rsidRPr="00422747">
              <w:rPr>
                <w:sz w:val="22"/>
              </w:rPr>
              <w:t>Activity</w:t>
            </w:r>
          </w:p>
        </w:tc>
        <w:tc>
          <w:tcPr>
            <w:tcW w:w="5490" w:type="dxa"/>
          </w:tcPr>
          <w:p w14:paraId="0A2BB316" w14:textId="77777777" w:rsidR="00FE0202" w:rsidRPr="00422747" w:rsidRDefault="00FE0202" w:rsidP="00B4169C">
            <w:pPr>
              <w:pStyle w:val="ListParagraph"/>
              <w:numPr>
                <w:ilvl w:val="0"/>
                <w:numId w:val="0"/>
              </w:numPr>
              <w:spacing w:before="60" w:after="60"/>
              <w:jc w:val="center"/>
              <w:cnfStyle w:val="100000000000" w:firstRow="1" w:lastRow="0" w:firstColumn="0" w:lastColumn="0" w:oddVBand="0" w:evenVBand="0" w:oddHBand="0" w:evenHBand="0" w:firstRowFirstColumn="0" w:firstRowLastColumn="0" w:lastRowFirstColumn="0" w:lastRowLastColumn="0"/>
              <w:rPr>
                <w:sz w:val="22"/>
              </w:rPr>
            </w:pPr>
            <w:r w:rsidRPr="00422747">
              <w:rPr>
                <w:sz w:val="22"/>
              </w:rPr>
              <w:t>Tax Incentive</w:t>
            </w:r>
          </w:p>
        </w:tc>
      </w:tr>
      <w:tr w:rsidR="00FE0202" w:rsidRPr="00FC2299" w14:paraId="07E9A80F" w14:textId="77777777" w:rsidTr="00B41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1A423229" w14:textId="77777777" w:rsidR="00FE0202" w:rsidRPr="00422747" w:rsidRDefault="00FE0202" w:rsidP="00B4169C">
            <w:pPr>
              <w:pStyle w:val="ListParagraph"/>
              <w:numPr>
                <w:ilvl w:val="0"/>
                <w:numId w:val="0"/>
              </w:numPr>
              <w:spacing w:before="60" w:after="60"/>
              <w:rPr>
                <w:b w:val="0"/>
                <w:sz w:val="22"/>
              </w:rPr>
            </w:pPr>
            <w:r w:rsidRPr="00422747">
              <w:rPr>
                <w:sz w:val="22"/>
              </w:rPr>
              <w:t>Cocoa</w:t>
            </w:r>
            <w:r>
              <w:rPr>
                <w:sz w:val="22"/>
              </w:rPr>
              <w:t xml:space="preserve"> farming</w:t>
            </w:r>
          </w:p>
        </w:tc>
        <w:tc>
          <w:tcPr>
            <w:tcW w:w="5490" w:type="dxa"/>
          </w:tcPr>
          <w:p w14:paraId="788B0271" w14:textId="77777777" w:rsidR="00FE0202" w:rsidRPr="00422747" w:rsidRDefault="00FE0202" w:rsidP="00B4169C">
            <w:pPr>
              <w:pStyle w:val="ListParagraph"/>
              <w:numPr>
                <w:ilvl w:val="0"/>
                <w:numId w:val="0"/>
              </w:numPr>
              <w:spacing w:before="60" w:after="60"/>
              <w:cnfStyle w:val="000000100000" w:firstRow="0" w:lastRow="0" w:firstColumn="0" w:lastColumn="0" w:oddVBand="0" w:evenVBand="0" w:oddHBand="1" w:evenHBand="0" w:firstRowFirstColumn="0" w:firstRowLastColumn="0" w:lastRowFirstColumn="0" w:lastRowLastColumn="0"/>
              <w:rPr>
                <w:sz w:val="22"/>
              </w:rPr>
            </w:pPr>
            <w:r w:rsidRPr="00422747">
              <w:rPr>
                <w:sz w:val="22"/>
              </w:rPr>
              <w:t>Indefinite tax holiday</w:t>
            </w:r>
          </w:p>
        </w:tc>
      </w:tr>
      <w:tr w:rsidR="00FE0202" w:rsidRPr="00FC2299" w14:paraId="500CB884" w14:textId="77777777" w:rsidTr="00B4169C">
        <w:tc>
          <w:tcPr>
            <w:cnfStyle w:val="001000000000" w:firstRow="0" w:lastRow="0" w:firstColumn="1" w:lastColumn="0" w:oddVBand="0" w:evenVBand="0" w:oddHBand="0" w:evenHBand="0" w:firstRowFirstColumn="0" w:firstRowLastColumn="0" w:lastRowFirstColumn="0" w:lastRowLastColumn="0"/>
            <w:tcW w:w="3775" w:type="dxa"/>
          </w:tcPr>
          <w:p w14:paraId="29E0F66E" w14:textId="77777777" w:rsidR="00FE0202" w:rsidRPr="00422747" w:rsidRDefault="00FE0202" w:rsidP="00B4169C">
            <w:pPr>
              <w:pStyle w:val="ListParagraph"/>
              <w:numPr>
                <w:ilvl w:val="0"/>
                <w:numId w:val="0"/>
              </w:numPr>
              <w:spacing w:before="60" w:after="60"/>
              <w:rPr>
                <w:b w:val="0"/>
                <w:sz w:val="22"/>
              </w:rPr>
            </w:pPr>
            <w:r w:rsidRPr="00422747">
              <w:rPr>
                <w:sz w:val="22"/>
              </w:rPr>
              <w:t>Farming tree crops</w:t>
            </w:r>
          </w:p>
        </w:tc>
        <w:tc>
          <w:tcPr>
            <w:tcW w:w="5490" w:type="dxa"/>
          </w:tcPr>
          <w:p w14:paraId="365AAF88" w14:textId="77777777" w:rsidR="00FE0202" w:rsidRPr="00422747" w:rsidRDefault="00FE0202" w:rsidP="00B4169C">
            <w:pPr>
              <w:pStyle w:val="ListParagraph"/>
              <w:numPr>
                <w:ilvl w:val="0"/>
                <w:numId w:val="0"/>
              </w:numPr>
              <w:spacing w:before="60" w:after="60"/>
              <w:cnfStyle w:val="000000000000" w:firstRow="0" w:lastRow="0" w:firstColumn="0" w:lastColumn="0" w:oddVBand="0" w:evenVBand="0" w:oddHBand="0" w:evenHBand="0" w:firstRowFirstColumn="0" w:firstRowLastColumn="0" w:lastRowFirstColumn="0" w:lastRowLastColumn="0"/>
              <w:rPr>
                <w:sz w:val="22"/>
              </w:rPr>
            </w:pPr>
            <w:r w:rsidRPr="00422747">
              <w:rPr>
                <w:sz w:val="22"/>
              </w:rPr>
              <w:t>10-year tax holiday</w:t>
            </w:r>
          </w:p>
        </w:tc>
      </w:tr>
      <w:tr w:rsidR="00FE0202" w:rsidRPr="00FC2299" w14:paraId="1D08A008" w14:textId="77777777" w:rsidTr="00B41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130F7E11" w14:textId="77777777" w:rsidR="00FE0202" w:rsidRPr="00422747" w:rsidRDefault="00FE0202" w:rsidP="00B4169C">
            <w:pPr>
              <w:pStyle w:val="ListParagraph"/>
              <w:numPr>
                <w:ilvl w:val="0"/>
                <w:numId w:val="0"/>
              </w:numPr>
              <w:spacing w:before="60" w:after="60"/>
              <w:rPr>
                <w:b w:val="0"/>
                <w:sz w:val="22"/>
              </w:rPr>
            </w:pPr>
            <w:r w:rsidRPr="00422747">
              <w:rPr>
                <w:sz w:val="22"/>
              </w:rPr>
              <w:t>Livestock (other than cattle), fish farming</w:t>
            </w:r>
            <w:r>
              <w:rPr>
                <w:sz w:val="22"/>
              </w:rPr>
              <w:t>,</w:t>
            </w:r>
            <w:r w:rsidRPr="00422747">
              <w:rPr>
                <w:sz w:val="22"/>
              </w:rPr>
              <w:t xml:space="preserve"> and cash-crop production</w:t>
            </w:r>
          </w:p>
        </w:tc>
        <w:tc>
          <w:tcPr>
            <w:tcW w:w="5490" w:type="dxa"/>
          </w:tcPr>
          <w:p w14:paraId="54640B0C" w14:textId="77777777" w:rsidR="00FE0202" w:rsidRPr="00422747" w:rsidRDefault="00FE0202" w:rsidP="00B4169C">
            <w:pPr>
              <w:pStyle w:val="ListParagraph"/>
              <w:numPr>
                <w:ilvl w:val="0"/>
                <w:numId w:val="0"/>
              </w:numPr>
              <w:spacing w:before="60" w:after="60"/>
              <w:cnfStyle w:val="000000100000" w:firstRow="0" w:lastRow="0" w:firstColumn="0" w:lastColumn="0" w:oddVBand="0" w:evenVBand="0" w:oddHBand="1" w:evenHBand="0" w:firstRowFirstColumn="0" w:firstRowLastColumn="0" w:lastRowFirstColumn="0" w:lastRowLastColumn="0"/>
              <w:rPr>
                <w:sz w:val="22"/>
              </w:rPr>
            </w:pPr>
            <w:r>
              <w:rPr>
                <w:sz w:val="22"/>
              </w:rPr>
              <w:t>5</w:t>
            </w:r>
            <w:r w:rsidRPr="00422747">
              <w:rPr>
                <w:sz w:val="22"/>
              </w:rPr>
              <w:t>-year tax holiday</w:t>
            </w:r>
          </w:p>
        </w:tc>
      </w:tr>
      <w:tr w:rsidR="00FE0202" w:rsidRPr="00FC2299" w14:paraId="51DFAF9B" w14:textId="77777777" w:rsidTr="00B4169C">
        <w:tc>
          <w:tcPr>
            <w:cnfStyle w:val="001000000000" w:firstRow="0" w:lastRow="0" w:firstColumn="1" w:lastColumn="0" w:oddVBand="0" w:evenVBand="0" w:oddHBand="0" w:evenHBand="0" w:firstRowFirstColumn="0" w:firstRowLastColumn="0" w:lastRowFirstColumn="0" w:lastRowLastColumn="0"/>
            <w:tcW w:w="3775" w:type="dxa"/>
          </w:tcPr>
          <w:p w14:paraId="6EF0101F" w14:textId="77777777" w:rsidR="00FE0202" w:rsidRPr="00422747" w:rsidRDefault="00FE0202" w:rsidP="00B4169C">
            <w:pPr>
              <w:pStyle w:val="ListParagraph"/>
              <w:numPr>
                <w:ilvl w:val="0"/>
                <w:numId w:val="0"/>
              </w:numPr>
              <w:spacing w:before="60" w:after="60"/>
              <w:rPr>
                <w:b w:val="0"/>
                <w:sz w:val="22"/>
              </w:rPr>
            </w:pPr>
            <w:r w:rsidRPr="00422747">
              <w:rPr>
                <w:sz w:val="22"/>
              </w:rPr>
              <w:t>Cattle farming</w:t>
            </w:r>
          </w:p>
        </w:tc>
        <w:tc>
          <w:tcPr>
            <w:tcW w:w="5490" w:type="dxa"/>
          </w:tcPr>
          <w:p w14:paraId="0AA75E77" w14:textId="77777777" w:rsidR="00FE0202" w:rsidRPr="00422747" w:rsidRDefault="00FE0202" w:rsidP="00B4169C">
            <w:pPr>
              <w:pStyle w:val="ListParagraph"/>
              <w:numPr>
                <w:ilvl w:val="0"/>
                <w:numId w:val="0"/>
              </w:numPr>
              <w:spacing w:before="60" w:after="60"/>
              <w:cnfStyle w:val="000000000000" w:firstRow="0" w:lastRow="0" w:firstColumn="0" w:lastColumn="0" w:oddVBand="0" w:evenVBand="0" w:oddHBand="0" w:evenHBand="0" w:firstRowFirstColumn="0" w:firstRowLastColumn="0" w:lastRowFirstColumn="0" w:lastRowLastColumn="0"/>
              <w:rPr>
                <w:sz w:val="22"/>
              </w:rPr>
            </w:pPr>
            <w:r>
              <w:rPr>
                <w:sz w:val="22"/>
              </w:rPr>
              <w:t>10</w:t>
            </w:r>
            <w:r w:rsidRPr="00422747">
              <w:rPr>
                <w:sz w:val="22"/>
              </w:rPr>
              <w:t>-year tax holiday</w:t>
            </w:r>
          </w:p>
        </w:tc>
      </w:tr>
      <w:tr w:rsidR="00FE0202" w:rsidRPr="00FC2299" w14:paraId="52CBCF91" w14:textId="77777777" w:rsidTr="00B41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0D60A5E1" w14:textId="77777777" w:rsidR="00FE0202" w:rsidRPr="00422747" w:rsidRDefault="00FE0202" w:rsidP="00B4169C">
            <w:pPr>
              <w:pStyle w:val="ListParagraph"/>
              <w:numPr>
                <w:ilvl w:val="0"/>
                <w:numId w:val="0"/>
              </w:numPr>
              <w:spacing w:before="60" w:after="60"/>
              <w:rPr>
                <w:b w:val="0"/>
                <w:sz w:val="22"/>
              </w:rPr>
            </w:pPr>
            <w:r w:rsidRPr="00422747">
              <w:rPr>
                <w:sz w:val="22"/>
              </w:rPr>
              <w:t>Agro-processing</w:t>
            </w:r>
          </w:p>
        </w:tc>
        <w:tc>
          <w:tcPr>
            <w:tcW w:w="5490" w:type="dxa"/>
          </w:tcPr>
          <w:p w14:paraId="4FC850AD" w14:textId="0FF41F22" w:rsidR="00FE0202" w:rsidRPr="00422747" w:rsidRDefault="00FE0202" w:rsidP="00B4169C">
            <w:pPr>
              <w:pStyle w:val="ListParagraph"/>
              <w:numPr>
                <w:ilvl w:val="0"/>
                <w:numId w:val="0"/>
              </w:numPr>
              <w:spacing w:before="60" w:after="60"/>
              <w:cnfStyle w:val="000000100000" w:firstRow="0" w:lastRow="0" w:firstColumn="0" w:lastColumn="0" w:oddVBand="0" w:evenVBand="0" w:oddHBand="1" w:evenHBand="0" w:firstRowFirstColumn="0" w:firstRowLastColumn="0" w:lastRowFirstColumn="0" w:lastRowLastColumn="0"/>
              <w:rPr>
                <w:sz w:val="22"/>
              </w:rPr>
            </w:pPr>
            <w:r w:rsidRPr="00422747">
              <w:rPr>
                <w:sz w:val="22"/>
              </w:rPr>
              <w:t>Indefinite tax holiday for firms located in the Northern, Upper East</w:t>
            </w:r>
            <w:r w:rsidR="00D92CD1">
              <w:rPr>
                <w:sz w:val="22"/>
              </w:rPr>
              <w:t>,</w:t>
            </w:r>
            <w:r w:rsidRPr="00422747">
              <w:rPr>
                <w:sz w:val="22"/>
              </w:rPr>
              <w:t xml:space="preserve"> and Upper West Regions; 5-year tax holiday followed by a reduced rate of 20 percent for five years for firms located in Accra/Tema or 10 percent for firms located in other regional capitals</w:t>
            </w:r>
          </w:p>
        </w:tc>
      </w:tr>
      <w:tr w:rsidR="00FE0202" w:rsidRPr="00FC2299" w14:paraId="2DA029ED" w14:textId="77777777" w:rsidTr="00B4169C">
        <w:tc>
          <w:tcPr>
            <w:cnfStyle w:val="001000000000" w:firstRow="0" w:lastRow="0" w:firstColumn="1" w:lastColumn="0" w:oddVBand="0" w:evenVBand="0" w:oddHBand="0" w:evenHBand="0" w:firstRowFirstColumn="0" w:firstRowLastColumn="0" w:lastRowFirstColumn="0" w:lastRowLastColumn="0"/>
            <w:tcW w:w="3775" w:type="dxa"/>
          </w:tcPr>
          <w:p w14:paraId="6FE6DBE5" w14:textId="77777777" w:rsidR="00FE0202" w:rsidRPr="00422747" w:rsidRDefault="00FE0202" w:rsidP="00B4169C">
            <w:pPr>
              <w:pStyle w:val="ListParagraph"/>
              <w:numPr>
                <w:ilvl w:val="0"/>
                <w:numId w:val="0"/>
              </w:numPr>
              <w:spacing w:before="60" w:after="60"/>
              <w:rPr>
                <w:b w:val="0"/>
                <w:sz w:val="22"/>
              </w:rPr>
            </w:pPr>
            <w:r w:rsidRPr="00422747">
              <w:rPr>
                <w:sz w:val="22"/>
              </w:rPr>
              <w:t xml:space="preserve">Real estate and construction activities </w:t>
            </w:r>
            <w:r>
              <w:rPr>
                <w:sz w:val="22"/>
              </w:rPr>
              <w:t xml:space="preserve">of firms </w:t>
            </w:r>
            <w:r w:rsidRPr="00422747">
              <w:rPr>
                <w:sz w:val="22"/>
              </w:rPr>
              <w:t>associated with the development of low-cost housing</w:t>
            </w:r>
          </w:p>
        </w:tc>
        <w:tc>
          <w:tcPr>
            <w:tcW w:w="5490" w:type="dxa"/>
          </w:tcPr>
          <w:p w14:paraId="068EC174" w14:textId="77777777" w:rsidR="00FE0202" w:rsidRPr="00422747" w:rsidRDefault="00FE0202" w:rsidP="00B4169C">
            <w:pPr>
              <w:pStyle w:val="ListParagraph"/>
              <w:numPr>
                <w:ilvl w:val="0"/>
                <w:numId w:val="0"/>
              </w:numPr>
              <w:spacing w:before="60" w:after="60"/>
              <w:cnfStyle w:val="000000000000" w:firstRow="0" w:lastRow="0" w:firstColumn="0" w:lastColumn="0" w:oddVBand="0" w:evenVBand="0" w:oddHBand="0" w:evenHBand="0" w:firstRowFirstColumn="0" w:firstRowLastColumn="0" w:lastRowFirstColumn="0" w:lastRowLastColumn="0"/>
              <w:rPr>
                <w:sz w:val="22"/>
              </w:rPr>
            </w:pPr>
            <w:r w:rsidRPr="00422747">
              <w:rPr>
                <w:sz w:val="22"/>
              </w:rPr>
              <w:t>5-year tax holiday</w:t>
            </w:r>
          </w:p>
        </w:tc>
      </w:tr>
      <w:tr w:rsidR="00FE0202" w:rsidRPr="00FC2299" w14:paraId="037F513E" w14:textId="77777777" w:rsidTr="00B41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74753812" w14:textId="77777777" w:rsidR="00FE0202" w:rsidRPr="00422747" w:rsidRDefault="00FE0202" w:rsidP="00B4169C">
            <w:pPr>
              <w:pStyle w:val="ListParagraph"/>
              <w:numPr>
                <w:ilvl w:val="0"/>
                <w:numId w:val="0"/>
              </w:numPr>
              <w:spacing w:before="60" w:after="60"/>
              <w:rPr>
                <w:b w:val="0"/>
                <w:sz w:val="22"/>
              </w:rPr>
            </w:pPr>
            <w:r w:rsidRPr="00422747">
              <w:rPr>
                <w:sz w:val="22"/>
              </w:rPr>
              <w:t>Firms located in specified “free zones”</w:t>
            </w:r>
          </w:p>
        </w:tc>
        <w:tc>
          <w:tcPr>
            <w:tcW w:w="5490" w:type="dxa"/>
          </w:tcPr>
          <w:p w14:paraId="4FF4F59C" w14:textId="77777777" w:rsidR="00FE0202" w:rsidRPr="00422747" w:rsidRDefault="00FE0202" w:rsidP="00B4169C">
            <w:pPr>
              <w:pStyle w:val="ListParagraph"/>
              <w:numPr>
                <w:ilvl w:val="0"/>
                <w:numId w:val="0"/>
              </w:numPr>
              <w:spacing w:before="60" w:after="60"/>
              <w:cnfStyle w:val="000000100000" w:firstRow="0" w:lastRow="0" w:firstColumn="0" w:lastColumn="0" w:oddVBand="0" w:evenVBand="0" w:oddHBand="1" w:evenHBand="0" w:firstRowFirstColumn="0" w:firstRowLastColumn="0" w:lastRowFirstColumn="0" w:lastRowLastColumn="0"/>
              <w:rPr>
                <w:sz w:val="22"/>
              </w:rPr>
            </w:pPr>
            <w:r w:rsidRPr="00422747">
              <w:rPr>
                <w:sz w:val="22"/>
              </w:rPr>
              <w:t>Indefinite tax holiday for firms located outside regional capitals and in the Northern, Upper East and Upper West regions;</w:t>
            </w:r>
            <w:r w:rsidRPr="00422747" w:rsidDel="00AB1BD6">
              <w:rPr>
                <w:sz w:val="22"/>
              </w:rPr>
              <w:t xml:space="preserve"> </w:t>
            </w:r>
            <w:r w:rsidRPr="00422747">
              <w:rPr>
                <w:sz w:val="22"/>
              </w:rPr>
              <w:t>10-year tax holiday followed by a rate of 4 percent for agro-processors in Accra/Tema and regional capitals and for garment and textile manufacturers, or 5 percent for other manufacturers located outside regional capitals</w:t>
            </w:r>
            <w:r>
              <w:rPr>
                <w:sz w:val="22"/>
              </w:rPr>
              <w:t xml:space="preserve"> (this provision was subsequently changed in 2013).</w:t>
            </w:r>
          </w:p>
        </w:tc>
      </w:tr>
      <w:tr w:rsidR="00FE0202" w:rsidRPr="00FC2299" w14:paraId="3B9397F6" w14:textId="77777777" w:rsidTr="00B4169C">
        <w:tc>
          <w:tcPr>
            <w:cnfStyle w:val="001000000000" w:firstRow="0" w:lastRow="0" w:firstColumn="1" w:lastColumn="0" w:oddVBand="0" w:evenVBand="0" w:oddHBand="0" w:evenHBand="0" w:firstRowFirstColumn="0" w:firstRowLastColumn="0" w:lastRowFirstColumn="0" w:lastRowLastColumn="0"/>
            <w:tcW w:w="3775" w:type="dxa"/>
          </w:tcPr>
          <w:p w14:paraId="465C7CC2" w14:textId="77777777" w:rsidR="00FE0202" w:rsidRPr="00422747" w:rsidRDefault="00FE0202" w:rsidP="00B4169C">
            <w:pPr>
              <w:pStyle w:val="ListParagraph"/>
              <w:numPr>
                <w:ilvl w:val="0"/>
                <w:numId w:val="0"/>
              </w:numPr>
              <w:spacing w:before="60" w:after="60"/>
              <w:rPr>
                <w:b w:val="0"/>
                <w:sz w:val="22"/>
              </w:rPr>
            </w:pPr>
            <w:r w:rsidRPr="00422747">
              <w:rPr>
                <w:sz w:val="22"/>
              </w:rPr>
              <w:t>Venture Capital Financing Company</w:t>
            </w:r>
          </w:p>
        </w:tc>
        <w:tc>
          <w:tcPr>
            <w:tcW w:w="5490" w:type="dxa"/>
          </w:tcPr>
          <w:p w14:paraId="652AF205" w14:textId="77777777" w:rsidR="00FE0202" w:rsidRPr="00422747" w:rsidRDefault="00FE0202" w:rsidP="00B4169C">
            <w:pPr>
              <w:pStyle w:val="ListParagraph"/>
              <w:numPr>
                <w:ilvl w:val="0"/>
                <w:numId w:val="0"/>
              </w:numPr>
              <w:spacing w:before="60" w:after="60"/>
              <w:cnfStyle w:val="000000000000" w:firstRow="0" w:lastRow="0" w:firstColumn="0" w:lastColumn="0" w:oddVBand="0" w:evenVBand="0" w:oddHBand="0" w:evenHBand="0" w:firstRowFirstColumn="0" w:firstRowLastColumn="0" w:lastRowFirstColumn="0" w:lastRowLastColumn="0"/>
              <w:rPr>
                <w:sz w:val="22"/>
              </w:rPr>
            </w:pPr>
            <w:r w:rsidRPr="00422747">
              <w:rPr>
                <w:sz w:val="22"/>
              </w:rPr>
              <w:t>10-year tax holiday</w:t>
            </w:r>
          </w:p>
        </w:tc>
      </w:tr>
      <w:tr w:rsidR="00FE0202" w:rsidRPr="00FC2299" w14:paraId="202AF4D5" w14:textId="77777777" w:rsidTr="00B41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283992A8" w14:textId="77777777" w:rsidR="00FE0202" w:rsidRPr="00422747" w:rsidRDefault="00FE0202" w:rsidP="00B4169C">
            <w:pPr>
              <w:pStyle w:val="ListParagraph"/>
              <w:numPr>
                <w:ilvl w:val="0"/>
                <w:numId w:val="0"/>
              </w:numPr>
              <w:spacing w:before="60" w:after="60"/>
              <w:rPr>
                <w:b w:val="0"/>
                <w:sz w:val="22"/>
              </w:rPr>
            </w:pPr>
            <w:r w:rsidRPr="00422747">
              <w:rPr>
                <w:sz w:val="22"/>
              </w:rPr>
              <w:t>Rural Banks</w:t>
            </w:r>
          </w:p>
        </w:tc>
        <w:tc>
          <w:tcPr>
            <w:tcW w:w="5490" w:type="dxa"/>
          </w:tcPr>
          <w:p w14:paraId="43BC0C26" w14:textId="77777777" w:rsidR="00FE0202" w:rsidRPr="00422747" w:rsidRDefault="00FE0202" w:rsidP="00B4169C">
            <w:pPr>
              <w:pStyle w:val="ListParagraph"/>
              <w:numPr>
                <w:ilvl w:val="0"/>
                <w:numId w:val="0"/>
              </w:numPr>
              <w:spacing w:before="60" w:after="60"/>
              <w:cnfStyle w:val="000000100000" w:firstRow="0" w:lastRow="0" w:firstColumn="0" w:lastColumn="0" w:oddVBand="0" w:evenVBand="0" w:oddHBand="1" w:evenHBand="0" w:firstRowFirstColumn="0" w:firstRowLastColumn="0" w:lastRowFirstColumn="0" w:lastRowLastColumn="0"/>
              <w:rPr>
                <w:sz w:val="22"/>
              </w:rPr>
            </w:pPr>
            <w:r w:rsidRPr="00422747">
              <w:rPr>
                <w:sz w:val="22"/>
              </w:rPr>
              <w:t>10-year tax holiday</w:t>
            </w:r>
          </w:p>
        </w:tc>
      </w:tr>
      <w:tr w:rsidR="00FE0202" w:rsidRPr="00FC2299" w14:paraId="6972CD82" w14:textId="77777777" w:rsidTr="00B4169C">
        <w:tc>
          <w:tcPr>
            <w:cnfStyle w:val="001000000000" w:firstRow="0" w:lastRow="0" w:firstColumn="1" w:lastColumn="0" w:oddVBand="0" w:evenVBand="0" w:oddHBand="0" w:evenHBand="0" w:firstRowFirstColumn="0" w:firstRowLastColumn="0" w:lastRowFirstColumn="0" w:lastRowLastColumn="0"/>
            <w:tcW w:w="3775" w:type="dxa"/>
          </w:tcPr>
          <w:p w14:paraId="2AFF5FDA" w14:textId="77777777" w:rsidR="00FE0202" w:rsidRPr="00422747" w:rsidRDefault="00FE0202" w:rsidP="00B4169C">
            <w:pPr>
              <w:pStyle w:val="ListParagraph"/>
              <w:numPr>
                <w:ilvl w:val="0"/>
                <w:numId w:val="0"/>
              </w:numPr>
              <w:spacing w:before="60" w:after="60"/>
              <w:rPr>
                <w:b w:val="0"/>
                <w:sz w:val="22"/>
              </w:rPr>
            </w:pPr>
            <w:r w:rsidRPr="00422747">
              <w:rPr>
                <w:sz w:val="22"/>
              </w:rPr>
              <w:t>Waste Processing and Recycling</w:t>
            </w:r>
          </w:p>
        </w:tc>
        <w:tc>
          <w:tcPr>
            <w:tcW w:w="5490" w:type="dxa"/>
          </w:tcPr>
          <w:p w14:paraId="220D0B2F" w14:textId="77777777" w:rsidR="00FE0202" w:rsidRPr="00422747" w:rsidRDefault="00FE0202" w:rsidP="00B4169C">
            <w:pPr>
              <w:pStyle w:val="ListParagraph"/>
              <w:numPr>
                <w:ilvl w:val="0"/>
                <w:numId w:val="0"/>
              </w:numPr>
              <w:spacing w:before="60" w:after="60"/>
              <w:cnfStyle w:val="000000000000" w:firstRow="0" w:lastRow="0" w:firstColumn="0" w:lastColumn="0" w:oddVBand="0" w:evenVBand="0" w:oddHBand="0" w:evenHBand="0" w:firstRowFirstColumn="0" w:firstRowLastColumn="0" w:lastRowFirstColumn="0" w:lastRowLastColumn="0"/>
              <w:rPr>
                <w:sz w:val="22"/>
              </w:rPr>
            </w:pPr>
            <w:r w:rsidRPr="00422747">
              <w:rPr>
                <w:sz w:val="22"/>
              </w:rPr>
              <w:t>7-year tax holiday</w:t>
            </w:r>
          </w:p>
        </w:tc>
      </w:tr>
      <w:tr w:rsidR="00FE0202" w:rsidRPr="00FC2299" w14:paraId="1F36D2B2" w14:textId="77777777" w:rsidTr="00B41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7442E058" w14:textId="77777777" w:rsidR="00FE0202" w:rsidRPr="00422747" w:rsidRDefault="00FE0202" w:rsidP="00B4169C">
            <w:pPr>
              <w:pStyle w:val="ListParagraph"/>
              <w:numPr>
                <w:ilvl w:val="0"/>
                <w:numId w:val="0"/>
              </w:numPr>
              <w:spacing w:before="60" w:after="60"/>
              <w:rPr>
                <w:b w:val="0"/>
                <w:sz w:val="22"/>
              </w:rPr>
            </w:pPr>
            <w:r w:rsidRPr="00422747">
              <w:rPr>
                <w:sz w:val="22"/>
              </w:rPr>
              <w:t>Companies listed on the Ghana Stock Exchange</w:t>
            </w:r>
          </w:p>
        </w:tc>
        <w:tc>
          <w:tcPr>
            <w:tcW w:w="5490" w:type="dxa"/>
          </w:tcPr>
          <w:p w14:paraId="44A5944B" w14:textId="77777777" w:rsidR="00FE0202" w:rsidRPr="00422747" w:rsidRDefault="00FE0202" w:rsidP="00B4169C">
            <w:pPr>
              <w:pStyle w:val="ListParagraph"/>
              <w:numPr>
                <w:ilvl w:val="0"/>
                <w:numId w:val="0"/>
              </w:numPr>
              <w:spacing w:before="60" w:after="60"/>
              <w:cnfStyle w:val="000000100000" w:firstRow="0" w:lastRow="0" w:firstColumn="0" w:lastColumn="0" w:oddVBand="0" w:evenVBand="0" w:oddHBand="1" w:evenHBand="0" w:firstRowFirstColumn="0" w:firstRowLastColumn="0" w:lastRowFirstColumn="0" w:lastRowLastColumn="0"/>
              <w:rPr>
                <w:sz w:val="22"/>
              </w:rPr>
            </w:pPr>
            <w:r w:rsidRPr="00422747">
              <w:rPr>
                <w:sz w:val="22"/>
              </w:rPr>
              <w:t>22 percent tax rate for the first three years after the initial public offer</w:t>
            </w:r>
          </w:p>
        </w:tc>
      </w:tr>
      <w:tr w:rsidR="00FE0202" w:rsidRPr="00FC2299" w14:paraId="77279C51" w14:textId="77777777" w:rsidTr="00B4169C">
        <w:trPr>
          <w:trHeight w:val="593"/>
        </w:trPr>
        <w:tc>
          <w:tcPr>
            <w:cnfStyle w:val="001000000000" w:firstRow="0" w:lastRow="0" w:firstColumn="1" w:lastColumn="0" w:oddVBand="0" w:evenVBand="0" w:oddHBand="0" w:evenHBand="0" w:firstRowFirstColumn="0" w:firstRowLastColumn="0" w:lastRowFirstColumn="0" w:lastRowLastColumn="0"/>
            <w:tcW w:w="0" w:type="dxa"/>
          </w:tcPr>
          <w:p w14:paraId="153DBB27" w14:textId="77777777" w:rsidR="00FE0202" w:rsidRPr="00422747" w:rsidRDefault="00FE0202" w:rsidP="00B4169C">
            <w:pPr>
              <w:pStyle w:val="ListParagraph"/>
              <w:numPr>
                <w:ilvl w:val="0"/>
                <w:numId w:val="0"/>
              </w:numPr>
              <w:spacing w:before="60" w:after="60"/>
              <w:rPr>
                <w:b w:val="0"/>
                <w:sz w:val="22"/>
              </w:rPr>
            </w:pPr>
            <w:r w:rsidRPr="00422747">
              <w:rPr>
                <w:sz w:val="22"/>
              </w:rPr>
              <w:t>Manufacturing companies located outside of Accra/Tema</w:t>
            </w:r>
          </w:p>
        </w:tc>
        <w:tc>
          <w:tcPr>
            <w:tcW w:w="0" w:type="dxa"/>
          </w:tcPr>
          <w:p w14:paraId="7C417B64" w14:textId="77777777" w:rsidR="00FE0202" w:rsidRPr="00422747" w:rsidRDefault="00FE0202" w:rsidP="00B4169C">
            <w:pPr>
              <w:pStyle w:val="ListParagraph"/>
              <w:numPr>
                <w:ilvl w:val="0"/>
                <w:numId w:val="0"/>
              </w:numPr>
              <w:spacing w:before="60" w:after="60"/>
              <w:cnfStyle w:val="000000000000" w:firstRow="0" w:lastRow="0" w:firstColumn="0" w:lastColumn="0" w:oddVBand="0" w:evenVBand="0" w:oddHBand="0" w:evenHBand="0" w:firstRowFirstColumn="0" w:firstRowLastColumn="0" w:lastRowFirstColumn="0" w:lastRowLastColumn="0"/>
              <w:rPr>
                <w:sz w:val="22"/>
              </w:rPr>
            </w:pPr>
            <w:r>
              <w:rPr>
                <w:sz w:val="22"/>
              </w:rPr>
              <w:t xml:space="preserve">75% of the regular rate of Income Tax </w:t>
            </w:r>
            <w:r w:rsidRPr="00422747">
              <w:rPr>
                <w:sz w:val="22"/>
              </w:rPr>
              <w:t xml:space="preserve">for firms located in regional capitals and </w:t>
            </w:r>
            <w:r>
              <w:rPr>
                <w:sz w:val="22"/>
              </w:rPr>
              <w:t>50% of the regular rate of Income Tax</w:t>
            </w:r>
            <w:r w:rsidRPr="00422747">
              <w:rPr>
                <w:sz w:val="22"/>
              </w:rPr>
              <w:t xml:space="preserve"> for firms located elsewhere</w:t>
            </w:r>
          </w:p>
        </w:tc>
      </w:tr>
      <w:tr w:rsidR="00FE0202" w:rsidRPr="00FC2299" w14:paraId="4B8D1BF7" w14:textId="77777777" w:rsidTr="00B41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45A4CC55" w14:textId="77777777" w:rsidR="00FE0202" w:rsidRPr="00422747" w:rsidRDefault="00FE0202" w:rsidP="00B4169C">
            <w:pPr>
              <w:pStyle w:val="ListParagraph"/>
              <w:numPr>
                <w:ilvl w:val="0"/>
                <w:numId w:val="0"/>
              </w:numPr>
              <w:spacing w:before="60" w:after="60"/>
              <w:rPr>
                <w:b w:val="0"/>
                <w:sz w:val="22"/>
              </w:rPr>
            </w:pPr>
            <w:r w:rsidRPr="00422747">
              <w:rPr>
                <w:sz w:val="22"/>
              </w:rPr>
              <w:t>Hotels</w:t>
            </w:r>
          </w:p>
        </w:tc>
        <w:tc>
          <w:tcPr>
            <w:tcW w:w="5490" w:type="dxa"/>
          </w:tcPr>
          <w:p w14:paraId="5E3FAAED" w14:textId="77777777" w:rsidR="00FE0202" w:rsidRPr="00422747" w:rsidRDefault="00FE0202" w:rsidP="00B4169C">
            <w:pPr>
              <w:pStyle w:val="ListParagraph"/>
              <w:numPr>
                <w:ilvl w:val="0"/>
                <w:numId w:val="0"/>
              </w:numPr>
              <w:spacing w:before="60" w:after="60"/>
              <w:cnfStyle w:val="000000100000" w:firstRow="0" w:lastRow="0" w:firstColumn="0" w:lastColumn="0" w:oddVBand="0" w:evenVBand="0" w:oddHBand="1" w:evenHBand="0" w:firstRowFirstColumn="0" w:firstRowLastColumn="0" w:lastRowFirstColumn="0" w:lastRowLastColumn="0"/>
              <w:rPr>
                <w:sz w:val="22"/>
              </w:rPr>
            </w:pPr>
            <w:r w:rsidRPr="00422747">
              <w:rPr>
                <w:sz w:val="22"/>
              </w:rPr>
              <w:t>20 percent tax rate</w:t>
            </w:r>
          </w:p>
        </w:tc>
      </w:tr>
      <w:tr w:rsidR="00FE0202" w:rsidRPr="00FC2299" w14:paraId="74E5C08A" w14:textId="77777777" w:rsidTr="00B4169C">
        <w:tc>
          <w:tcPr>
            <w:cnfStyle w:val="001000000000" w:firstRow="0" w:lastRow="0" w:firstColumn="1" w:lastColumn="0" w:oddVBand="0" w:evenVBand="0" w:oddHBand="0" w:evenHBand="0" w:firstRowFirstColumn="0" w:firstRowLastColumn="0" w:lastRowFirstColumn="0" w:lastRowLastColumn="0"/>
            <w:tcW w:w="3775" w:type="dxa"/>
          </w:tcPr>
          <w:p w14:paraId="7F76B2B6" w14:textId="77777777" w:rsidR="00FE0202" w:rsidRPr="00422747" w:rsidRDefault="00FE0202" w:rsidP="00B4169C">
            <w:pPr>
              <w:pStyle w:val="ListParagraph"/>
              <w:numPr>
                <w:ilvl w:val="0"/>
                <w:numId w:val="0"/>
              </w:numPr>
              <w:spacing w:before="60" w:after="60"/>
              <w:rPr>
                <w:b w:val="0"/>
                <w:sz w:val="22"/>
              </w:rPr>
            </w:pPr>
            <w:r w:rsidRPr="00422747">
              <w:rPr>
                <w:sz w:val="22"/>
              </w:rPr>
              <w:t>Income derived from loans to farming enterprises and leasing companies</w:t>
            </w:r>
            <w:r>
              <w:rPr>
                <w:sz w:val="22"/>
              </w:rPr>
              <w:t xml:space="preserve"> by a financial institution</w:t>
            </w:r>
          </w:p>
        </w:tc>
        <w:tc>
          <w:tcPr>
            <w:tcW w:w="5490" w:type="dxa"/>
          </w:tcPr>
          <w:p w14:paraId="07B2E41C" w14:textId="77777777" w:rsidR="00FE0202" w:rsidRPr="00422747" w:rsidRDefault="00FE0202" w:rsidP="00B4169C">
            <w:pPr>
              <w:pStyle w:val="ListParagraph"/>
              <w:numPr>
                <w:ilvl w:val="0"/>
                <w:numId w:val="0"/>
              </w:numPr>
              <w:spacing w:before="60" w:after="60"/>
              <w:cnfStyle w:val="000000000000" w:firstRow="0" w:lastRow="0" w:firstColumn="0" w:lastColumn="0" w:oddVBand="0" w:evenVBand="0" w:oddHBand="0" w:evenHBand="0" w:firstRowFirstColumn="0" w:firstRowLastColumn="0" w:lastRowFirstColumn="0" w:lastRowLastColumn="0"/>
              <w:rPr>
                <w:sz w:val="22"/>
              </w:rPr>
            </w:pPr>
            <w:r w:rsidRPr="00422747">
              <w:rPr>
                <w:sz w:val="22"/>
              </w:rPr>
              <w:t>20 percent tax rate</w:t>
            </w:r>
          </w:p>
        </w:tc>
      </w:tr>
      <w:tr w:rsidR="00FE0202" w:rsidRPr="00FC2299" w14:paraId="12F81E3E" w14:textId="77777777" w:rsidTr="00B41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2D185B14" w14:textId="77777777" w:rsidR="00FE0202" w:rsidRPr="00422747" w:rsidRDefault="00FE0202" w:rsidP="00B4169C">
            <w:pPr>
              <w:pStyle w:val="ListParagraph"/>
              <w:numPr>
                <w:ilvl w:val="0"/>
                <w:numId w:val="0"/>
              </w:numPr>
              <w:spacing w:before="60" w:after="60"/>
              <w:rPr>
                <w:b w:val="0"/>
                <w:sz w:val="22"/>
              </w:rPr>
            </w:pPr>
            <w:r>
              <w:rPr>
                <w:sz w:val="22"/>
              </w:rPr>
              <w:t xml:space="preserve">Income of exports for </w:t>
            </w:r>
            <w:r w:rsidRPr="00422747">
              <w:rPr>
                <w:sz w:val="22"/>
              </w:rPr>
              <w:t>Companies engaged in nontraditional exports</w:t>
            </w:r>
          </w:p>
        </w:tc>
        <w:tc>
          <w:tcPr>
            <w:tcW w:w="5490" w:type="dxa"/>
          </w:tcPr>
          <w:p w14:paraId="1A6AEC4E" w14:textId="77777777" w:rsidR="00FE0202" w:rsidRPr="00422747" w:rsidRDefault="00FE0202" w:rsidP="00B4169C">
            <w:pPr>
              <w:pStyle w:val="ListParagraph"/>
              <w:numPr>
                <w:ilvl w:val="0"/>
                <w:numId w:val="0"/>
              </w:numPr>
              <w:spacing w:before="60" w:after="60"/>
              <w:cnfStyle w:val="000000100000" w:firstRow="0" w:lastRow="0" w:firstColumn="0" w:lastColumn="0" w:oddVBand="0" w:evenVBand="0" w:oddHBand="1" w:evenHBand="0" w:firstRowFirstColumn="0" w:firstRowLastColumn="0" w:lastRowFirstColumn="0" w:lastRowLastColumn="0"/>
              <w:rPr>
                <w:sz w:val="22"/>
              </w:rPr>
            </w:pPr>
            <w:r w:rsidRPr="00422747">
              <w:rPr>
                <w:sz w:val="22"/>
              </w:rPr>
              <w:t>8 percent tax rate</w:t>
            </w:r>
          </w:p>
        </w:tc>
      </w:tr>
    </w:tbl>
    <w:p w14:paraId="53ACE2F3" w14:textId="77777777" w:rsidR="00FE0202" w:rsidRPr="00B4169C" w:rsidRDefault="00FE0202" w:rsidP="00407085"/>
    <w:p w14:paraId="2A8B677C" w14:textId="77777777" w:rsidR="00CB4E32" w:rsidRDefault="00CB4E32" w:rsidP="00D15C7D">
      <w:pPr>
        <w:pStyle w:val="Caption"/>
        <w:rPr>
          <w:lang w:val="en-US"/>
        </w:rPr>
      </w:pPr>
    </w:p>
    <w:p w14:paraId="09D2CA16" w14:textId="77777777" w:rsidR="003D0D2E" w:rsidRPr="003D0D2E" w:rsidRDefault="003D0D2E" w:rsidP="003D0D2E">
      <w:pPr>
        <w:rPr>
          <w:lang w:eastAsia="pt-BR"/>
        </w:rPr>
      </w:pPr>
    </w:p>
    <w:p w14:paraId="769F6C7B" w14:textId="77777777" w:rsidR="00D15C7D" w:rsidRPr="00D75ECF" w:rsidRDefault="00D15C7D" w:rsidP="00D15C7D">
      <w:pPr>
        <w:pStyle w:val="Caption"/>
        <w:rPr>
          <w:lang w:val="en-US"/>
        </w:rPr>
      </w:pPr>
      <w:r w:rsidRPr="00D75ECF">
        <w:rPr>
          <w:lang w:val="en-US"/>
        </w:rPr>
        <w:lastRenderedPageBreak/>
        <w:t xml:space="preserve">Table </w:t>
      </w:r>
      <w:r w:rsidR="00500291">
        <w:rPr>
          <w:lang w:val="en-US"/>
        </w:rPr>
        <w:fldChar w:fldCharType="begin"/>
      </w:r>
      <w:r w:rsidR="00500291">
        <w:rPr>
          <w:lang w:val="en-US"/>
        </w:rPr>
        <w:instrText xml:space="preserve"> STYLEREF 1 \s </w:instrText>
      </w:r>
      <w:r w:rsidR="00500291">
        <w:rPr>
          <w:lang w:val="en-US"/>
        </w:rPr>
        <w:fldChar w:fldCharType="separate"/>
      </w:r>
      <w:r w:rsidR="007B1CE6">
        <w:rPr>
          <w:noProof/>
          <w:lang w:val="en-US"/>
        </w:rPr>
        <w:t>2</w:t>
      </w:r>
      <w:r w:rsidR="00500291">
        <w:rPr>
          <w:lang w:val="en-US"/>
        </w:rPr>
        <w:fldChar w:fldCharType="end"/>
      </w:r>
      <w:r w:rsidR="00500291">
        <w:rPr>
          <w:lang w:val="en-US"/>
        </w:rPr>
        <w:t>.</w:t>
      </w:r>
      <w:r w:rsidR="00500291">
        <w:rPr>
          <w:lang w:val="en-US"/>
        </w:rPr>
        <w:fldChar w:fldCharType="begin"/>
      </w:r>
      <w:r w:rsidR="00500291">
        <w:rPr>
          <w:lang w:val="en-US"/>
        </w:rPr>
        <w:instrText xml:space="preserve"> SEQ Table \* ARABIC \s 1 </w:instrText>
      </w:r>
      <w:r w:rsidR="00500291">
        <w:rPr>
          <w:lang w:val="en-US"/>
        </w:rPr>
        <w:fldChar w:fldCharType="separate"/>
      </w:r>
      <w:r w:rsidR="007B1CE6">
        <w:rPr>
          <w:noProof/>
          <w:lang w:val="en-US"/>
        </w:rPr>
        <w:t>2</w:t>
      </w:r>
      <w:r w:rsidR="00500291">
        <w:rPr>
          <w:lang w:val="en-US"/>
        </w:rPr>
        <w:fldChar w:fldCharType="end"/>
      </w:r>
      <w:r w:rsidRPr="00D75ECF">
        <w:rPr>
          <w:lang w:val="en-US"/>
        </w:rPr>
        <w:t>: VAT Exemptions on Imports and Exports</w:t>
      </w:r>
      <w:bookmarkEnd w:id="66"/>
    </w:p>
    <w:p w14:paraId="5D119741" w14:textId="77777777" w:rsidR="00D15C7D" w:rsidRPr="00422747" w:rsidRDefault="00D15C7D" w:rsidP="00D15C7D">
      <w:pPr>
        <w:pStyle w:val="ListParagraph"/>
        <w:numPr>
          <w:ilvl w:val="0"/>
          <w:numId w:val="0"/>
        </w:num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E7E6E6" w:themeFill="background2"/>
        <w:spacing w:after="0"/>
        <w:rPr>
          <w:sz w:val="22"/>
        </w:rPr>
      </w:pPr>
      <w:r w:rsidRPr="00422747">
        <w:rPr>
          <w:sz w:val="22"/>
        </w:rPr>
        <w:t xml:space="preserve">Unprocessed domestically produced agricultural goods and food products </w:t>
      </w:r>
    </w:p>
    <w:p w14:paraId="06E47A19" w14:textId="77777777" w:rsidR="00D15C7D" w:rsidRPr="00422747" w:rsidRDefault="00D15C7D" w:rsidP="00D15C7D">
      <w:pPr>
        <w:pStyle w:val="ListParagraph"/>
        <w:numPr>
          <w:ilvl w:val="0"/>
          <w:numId w:val="0"/>
        </w:num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E7E6E6" w:themeFill="background2"/>
        <w:spacing w:after="0"/>
        <w:rPr>
          <w:sz w:val="22"/>
        </w:rPr>
      </w:pPr>
      <w:r w:rsidRPr="00422747">
        <w:rPr>
          <w:sz w:val="22"/>
        </w:rPr>
        <w:t>Live animals bred and raised in Ghana</w:t>
      </w:r>
    </w:p>
    <w:p w14:paraId="062CD0A0" w14:textId="77777777" w:rsidR="00D15C7D" w:rsidRPr="00422747" w:rsidRDefault="00D15C7D" w:rsidP="00D15C7D">
      <w:pPr>
        <w:pStyle w:val="ListParagraph"/>
        <w:numPr>
          <w:ilvl w:val="0"/>
          <w:numId w:val="0"/>
        </w:num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E7E6E6" w:themeFill="background2"/>
        <w:spacing w:after="0"/>
        <w:rPr>
          <w:sz w:val="22"/>
        </w:rPr>
      </w:pPr>
      <w:r w:rsidRPr="00422747">
        <w:rPr>
          <w:sz w:val="22"/>
        </w:rPr>
        <w:t>Agricultural inputs</w:t>
      </w:r>
    </w:p>
    <w:p w14:paraId="004C3ECE" w14:textId="77777777" w:rsidR="00D15C7D" w:rsidRPr="00422747" w:rsidRDefault="00D15C7D" w:rsidP="00D15C7D">
      <w:pPr>
        <w:pStyle w:val="ListParagraph"/>
        <w:numPr>
          <w:ilvl w:val="0"/>
          <w:numId w:val="0"/>
        </w:num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E7E6E6" w:themeFill="background2"/>
        <w:spacing w:after="0"/>
        <w:rPr>
          <w:sz w:val="22"/>
        </w:rPr>
      </w:pPr>
      <w:r w:rsidRPr="00422747">
        <w:rPr>
          <w:sz w:val="22"/>
        </w:rPr>
        <w:t>Fishing equipment and intermediate goods used to produce fishing equipment</w:t>
      </w:r>
    </w:p>
    <w:p w14:paraId="08120C8D" w14:textId="77777777" w:rsidR="00D15C7D" w:rsidRPr="00422747" w:rsidRDefault="00D15C7D" w:rsidP="00D15C7D">
      <w:pPr>
        <w:pStyle w:val="ListParagraph"/>
        <w:numPr>
          <w:ilvl w:val="0"/>
          <w:numId w:val="0"/>
        </w:num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E7E6E6" w:themeFill="background2"/>
        <w:spacing w:after="0"/>
        <w:rPr>
          <w:sz w:val="22"/>
        </w:rPr>
      </w:pPr>
      <w:r w:rsidRPr="00422747">
        <w:rPr>
          <w:sz w:val="22"/>
        </w:rPr>
        <w:t>Water, excluding bottled water</w:t>
      </w:r>
    </w:p>
    <w:p w14:paraId="37783B0A" w14:textId="77777777" w:rsidR="00D15C7D" w:rsidRPr="00422747" w:rsidRDefault="00D15C7D" w:rsidP="00D15C7D">
      <w:pPr>
        <w:pStyle w:val="ListParagraph"/>
        <w:numPr>
          <w:ilvl w:val="0"/>
          <w:numId w:val="0"/>
        </w:num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E7E6E6" w:themeFill="background2"/>
        <w:spacing w:after="0"/>
        <w:rPr>
          <w:sz w:val="22"/>
        </w:rPr>
      </w:pPr>
      <w:r w:rsidRPr="00422747">
        <w:rPr>
          <w:sz w:val="22"/>
        </w:rPr>
        <w:t xml:space="preserve">Household electricity </w:t>
      </w:r>
    </w:p>
    <w:p w14:paraId="1A7DD13B" w14:textId="77777777" w:rsidR="00D15C7D" w:rsidRPr="00422747" w:rsidRDefault="00D15C7D" w:rsidP="00D15C7D">
      <w:pPr>
        <w:pStyle w:val="ListParagraph"/>
        <w:numPr>
          <w:ilvl w:val="0"/>
          <w:numId w:val="0"/>
        </w:num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E7E6E6" w:themeFill="background2"/>
        <w:spacing w:after="0"/>
        <w:rPr>
          <w:sz w:val="22"/>
        </w:rPr>
      </w:pPr>
      <w:r w:rsidRPr="00422747">
        <w:rPr>
          <w:sz w:val="22"/>
        </w:rPr>
        <w:t>Textbooks, newspapers</w:t>
      </w:r>
      <w:r w:rsidR="0094381C">
        <w:rPr>
          <w:sz w:val="22"/>
        </w:rPr>
        <w:t>,</w:t>
      </w:r>
      <w:r w:rsidRPr="00422747">
        <w:rPr>
          <w:sz w:val="22"/>
        </w:rPr>
        <w:t xml:space="preserve"> and other informational materials </w:t>
      </w:r>
    </w:p>
    <w:p w14:paraId="67D0907C" w14:textId="77777777" w:rsidR="00D15C7D" w:rsidRPr="00422747" w:rsidRDefault="00D15C7D" w:rsidP="00D15C7D">
      <w:pPr>
        <w:pStyle w:val="ListParagraph"/>
        <w:numPr>
          <w:ilvl w:val="0"/>
          <w:numId w:val="0"/>
        </w:num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E7E6E6" w:themeFill="background2"/>
        <w:spacing w:after="0"/>
        <w:rPr>
          <w:sz w:val="22"/>
        </w:rPr>
      </w:pPr>
      <w:r w:rsidRPr="00422747">
        <w:rPr>
          <w:sz w:val="22"/>
        </w:rPr>
        <w:t>Educational services</w:t>
      </w:r>
    </w:p>
    <w:p w14:paraId="4743CCE6" w14:textId="77777777" w:rsidR="00D15C7D" w:rsidRPr="00422747" w:rsidRDefault="00D15C7D" w:rsidP="00D15C7D">
      <w:pPr>
        <w:pStyle w:val="ListParagraph"/>
        <w:numPr>
          <w:ilvl w:val="0"/>
          <w:numId w:val="0"/>
        </w:num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E7E6E6" w:themeFill="background2"/>
        <w:spacing w:after="0"/>
        <w:rPr>
          <w:sz w:val="22"/>
        </w:rPr>
      </w:pPr>
      <w:r w:rsidRPr="00422747">
        <w:rPr>
          <w:sz w:val="22"/>
        </w:rPr>
        <w:t>Laboratory and library equipment</w:t>
      </w:r>
    </w:p>
    <w:p w14:paraId="0F1863F5" w14:textId="77777777" w:rsidR="00D15C7D" w:rsidRPr="00422747" w:rsidRDefault="00D15C7D" w:rsidP="00D15C7D">
      <w:pPr>
        <w:pStyle w:val="ListParagraph"/>
        <w:numPr>
          <w:ilvl w:val="0"/>
          <w:numId w:val="0"/>
        </w:num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E7E6E6" w:themeFill="background2"/>
        <w:spacing w:after="0"/>
        <w:rPr>
          <w:sz w:val="22"/>
        </w:rPr>
      </w:pPr>
      <w:r w:rsidRPr="00422747">
        <w:rPr>
          <w:sz w:val="22"/>
        </w:rPr>
        <w:t>Medical services and medical supplies</w:t>
      </w:r>
    </w:p>
    <w:p w14:paraId="35BF5DA9" w14:textId="77777777" w:rsidR="00D15C7D" w:rsidRPr="00422747" w:rsidRDefault="00D15C7D" w:rsidP="00D15C7D">
      <w:pPr>
        <w:pStyle w:val="ListParagraph"/>
        <w:numPr>
          <w:ilvl w:val="0"/>
          <w:numId w:val="0"/>
        </w:num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E7E6E6" w:themeFill="background2"/>
        <w:spacing w:after="0"/>
        <w:rPr>
          <w:sz w:val="22"/>
        </w:rPr>
      </w:pPr>
      <w:r w:rsidRPr="00422747">
        <w:rPr>
          <w:sz w:val="22"/>
        </w:rPr>
        <w:t>Pharmaceuticals listed under Chapter 30 of the Harmonized Standard Code</w:t>
      </w:r>
    </w:p>
    <w:p w14:paraId="0978E3F4" w14:textId="77777777" w:rsidR="00D15C7D" w:rsidRPr="00422747" w:rsidRDefault="00D15C7D" w:rsidP="00D15C7D">
      <w:pPr>
        <w:pStyle w:val="ListParagraph"/>
        <w:numPr>
          <w:ilvl w:val="0"/>
          <w:numId w:val="0"/>
        </w:num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E7E6E6" w:themeFill="background2"/>
        <w:spacing w:after="0"/>
        <w:rPr>
          <w:sz w:val="22"/>
        </w:rPr>
      </w:pPr>
      <w:r w:rsidRPr="00422747">
        <w:rPr>
          <w:sz w:val="22"/>
        </w:rPr>
        <w:t>Domestic transportation</w:t>
      </w:r>
    </w:p>
    <w:p w14:paraId="7DCDCD05" w14:textId="77777777" w:rsidR="00D15C7D" w:rsidRPr="00422747" w:rsidRDefault="00D15C7D" w:rsidP="00D15C7D">
      <w:pPr>
        <w:pStyle w:val="ListParagraph"/>
        <w:numPr>
          <w:ilvl w:val="0"/>
          <w:numId w:val="0"/>
        </w:num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E7E6E6" w:themeFill="background2"/>
        <w:spacing w:after="0"/>
        <w:rPr>
          <w:sz w:val="22"/>
        </w:rPr>
      </w:pPr>
      <w:r w:rsidRPr="00422747">
        <w:rPr>
          <w:sz w:val="22"/>
        </w:rPr>
        <w:t>Machinery and parts for agriculture, fishing, mining, manufacturing, railways, upstream petroleum production</w:t>
      </w:r>
      <w:r w:rsidR="0094381C">
        <w:rPr>
          <w:sz w:val="22"/>
        </w:rPr>
        <w:t>,</w:t>
      </w:r>
      <w:r w:rsidRPr="00422747">
        <w:rPr>
          <w:sz w:val="22"/>
        </w:rPr>
        <w:t xml:space="preserve"> and dredging</w:t>
      </w:r>
    </w:p>
    <w:p w14:paraId="5B3F40A9" w14:textId="77777777" w:rsidR="00D15C7D" w:rsidRPr="00422747" w:rsidRDefault="00D15C7D" w:rsidP="00D15C7D">
      <w:pPr>
        <w:pStyle w:val="ListParagraph"/>
        <w:numPr>
          <w:ilvl w:val="0"/>
          <w:numId w:val="0"/>
        </w:num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E7E6E6" w:themeFill="background2"/>
        <w:spacing w:after="0"/>
        <w:rPr>
          <w:sz w:val="22"/>
        </w:rPr>
      </w:pPr>
      <w:r w:rsidRPr="00422747">
        <w:rPr>
          <w:sz w:val="22"/>
        </w:rPr>
        <w:t>Crude oil and hydrocarbon products</w:t>
      </w:r>
    </w:p>
    <w:p w14:paraId="24A07960" w14:textId="77777777" w:rsidR="00D15C7D" w:rsidRPr="00422747" w:rsidRDefault="00D15C7D" w:rsidP="00D15C7D">
      <w:pPr>
        <w:pStyle w:val="ListParagraph"/>
        <w:numPr>
          <w:ilvl w:val="0"/>
          <w:numId w:val="0"/>
        </w:num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E7E6E6" w:themeFill="background2"/>
        <w:spacing w:after="0"/>
        <w:rPr>
          <w:sz w:val="22"/>
        </w:rPr>
      </w:pPr>
      <w:r w:rsidRPr="00422747">
        <w:rPr>
          <w:sz w:val="22"/>
        </w:rPr>
        <w:t>Certain forms of residential real estate, agricultural land</w:t>
      </w:r>
      <w:r w:rsidR="0094381C">
        <w:rPr>
          <w:sz w:val="22"/>
        </w:rPr>
        <w:t>,</w:t>
      </w:r>
      <w:r w:rsidRPr="00422747">
        <w:rPr>
          <w:sz w:val="22"/>
        </w:rPr>
        <w:t xml:space="preserve"> and public works</w:t>
      </w:r>
    </w:p>
    <w:p w14:paraId="3B5D1385" w14:textId="77777777" w:rsidR="00D15C7D" w:rsidRPr="00422747" w:rsidRDefault="00D15C7D" w:rsidP="00D15C7D">
      <w:pPr>
        <w:pStyle w:val="ListParagraph"/>
        <w:numPr>
          <w:ilvl w:val="0"/>
          <w:numId w:val="0"/>
        </w:num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E7E6E6" w:themeFill="background2"/>
        <w:spacing w:after="0"/>
        <w:rPr>
          <w:sz w:val="22"/>
        </w:rPr>
      </w:pPr>
      <w:r w:rsidRPr="00422747">
        <w:rPr>
          <w:sz w:val="22"/>
        </w:rPr>
        <w:t>Financial and insurance services</w:t>
      </w:r>
    </w:p>
    <w:p w14:paraId="7CC29F44" w14:textId="77777777" w:rsidR="00D15C7D" w:rsidRPr="00422747" w:rsidRDefault="00D15C7D" w:rsidP="00D15C7D">
      <w:pPr>
        <w:pStyle w:val="ListParagraph"/>
        <w:numPr>
          <w:ilvl w:val="0"/>
          <w:numId w:val="0"/>
        </w:num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E7E6E6" w:themeFill="background2"/>
        <w:spacing w:after="0"/>
        <w:rPr>
          <w:sz w:val="22"/>
        </w:rPr>
      </w:pPr>
      <w:r w:rsidRPr="00422747">
        <w:rPr>
          <w:sz w:val="22"/>
        </w:rPr>
        <w:t>Goods designed exclusively for the disabled</w:t>
      </w:r>
    </w:p>
    <w:p w14:paraId="5164FE9F" w14:textId="77777777" w:rsidR="00D15C7D" w:rsidRPr="00422747" w:rsidRDefault="00D15C7D" w:rsidP="00D15C7D">
      <w:pPr>
        <w:pStyle w:val="ListParagraph"/>
        <w:numPr>
          <w:ilvl w:val="0"/>
          <w:numId w:val="0"/>
        </w:num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E7E6E6" w:themeFill="background2"/>
        <w:spacing w:after="0"/>
        <w:rPr>
          <w:sz w:val="22"/>
        </w:rPr>
      </w:pPr>
      <w:r w:rsidRPr="00422747">
        <w:rPr>
          <w:sz w:val="22"/>
        </w:rPr>
        <w:t>Postal services</w:t>
      </w:r>
    </w:p>
    <w:p w14:paraId="2A88EA9C" w14:textId="77777777" w:rsidR="00D15C7D" w:rsidRPr="00422747" w:rsidRDefault="00D15C7D" w:rsidP="00D15C7D">
      <w:pPr>
        <w:pStyle w:val="ListParagraph"/>
        <w:numPr>
          <w:ilvl w:val="0"/>
          <w:numId w:val="0"/>
        </w:num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E7E6E6" w:themeFill="background2"/>
        <w:spacing w:after="0"/>
        <w:rPr>
          <w:sz w:val="22"/>
        </w:rPr>
      </w:pPr>
      <w:r w:rsidRPr="00422747">
        <w:rPr>
          <w:sz w:val="22"/>
        </w:rPr>
        <w:t>Salt</w:t>
      </w:r>
    </w:p>
    <w:p w14:paraId="619D3C22" w14:textId="77777777" w:rsidR="00D15C7D" w:rsidRPr="00422747" w:rsidRDefault="00D15C7D" w:rsidP="00D15C7D">
      <w:pPr>
        <w:pStyle w:val="ListParagraph"/>
        <w:numPr>
          <w:ilvl w:val="0"/>
          <w:numId w:val="0"/>
        </w:numPr>
        <w:pBdr>
          <w:top w:val="single" w:sz="4" w:space="1" w:color="auto"/>
          <w:left w:val="single" w:sz="4" w:space="4" w:color="auto"/>
          <w:bottom w:val="single" w:sz="4" w:space="5" w:color="auto"/>
          <w:right w:val="single" w:sz="4" w:space="4" w:color="auto"/>
          <w:between w:val="single" w:sz="4" w:space="1" w:color="auto"/>
          <w:bar w:val="single" w:sz="4" w:color="auto"/>
        </w:pBdr>
        <w:shd w:val="clear" w:color="auto" w:fill="E7E6E6" w:themeFill="background2"/>
        <w:spacing w:after="0"/>
        <w:rPr>
          <w:sz w:val="22"/>
        </w:rPr>
      </w:pPr>
      <w:r w:rsidRPr="00422747">
        <w:rPr>
          <w:sz w:val="22"/>
        </w:rPr>
        <w:t>Mosquito nets</w:t>
      </w:r>
    </w:p>
    <w:p w14:paraId="6818DFE8" w14:textId="77777777" w:rsidR="00D15C7D" w:rsidRPr="00E45355" w:rsidRDefault="00D15C7D" w:rsidP="0094381C">
      <w:pPr>
        <w:pStyle w:val="Heading2"/>
      </w:pPr>
      <w:bookmarkStart w:id="67" w:name="_Toc479624878"/>
      <w:r w:rsidRPr="00E45355">
        <w:t>Estimat</w:t>
      </w:r>
      <w:r>
        <w:t>ing</w:t>
      </w:r>
      <w:r w:rsidRPr="00E45355">
        <w:t xml:space="preserve"> Tax Expenditures in Ghana</w:t>
      </w:r>
      <w:bookmarkEnd w:id="67"/>
    </w:p>
    <w:p w14:paraId="1D52B547" w14:textId="77777777" w:rsidR="00D15C7D" w:rsidRPr="00301717" w:rsidRDefault="00D15C7D" w:rsidP="00D75ECF">
      <w:pPr>
        <w:pStyle w:val="Heading3"/>
        <w:keepNext/>
      </w:pPr>
      <w:r w:rsidRPr="00301717">
        <w:t>Data and Methodology</w:t>
      </w:r>
    </w:p>
    <w:p w14:paraId="09013126" w14:textId="77777777" w:rsidR="00AC00C1" w:rsidRDefault="00D15C7D" w:rsidP="00BE0264">
      <w:pPr>
        <w:pStyle w:val="ListParagraph"/>
        <w:numPr>
          <w:ilvl w:val="0"/>
          <w:numId w:val="4"/>
        </w:numPr>
        <w:spacing w:before="240"/>
      </w:pPr>
      <w:r w:rsidRPr="00AC00C1">
        <w:rPr>
          <w:b/>
        </w:rPr>
        <w:t>The estimates for customs, VAT</w:t>
      </w:r>
      <w:r w:rsidR="0032693A" w:rsidRPr="00AC00C1">
        <w:rPr>
          <w:b/>
        </w:rPr>
        <w:t>,</w:t>
      </w:r>
      <w:r w:rsidRPr="00AC00C1">
        <w:rPr>
          <w:b/>
        </w:rPr>
        <w:t xml:space="preserve"> and income tax revenue presented below are based on data reported by the Ghana Revenue Authority (GRA).</w:t>
      </w:r>
      <w:r w:rsidRPr="00FC2299">
        <w:t xml:space="preserve"> However, data quality varies across tax categories. While the granularity of the customs data allow</w:t>
      </w:r>
      <w:r>
        <w:t>s</w:t>
      </w:r>
      <w:r w:rsidRPr="00FC2299">
        <w:t xml:space="preserve"> for a detailed analysis of tax expenditures by product and incentive </w:t>
      </w:r>
      <w:r w:rsidRPr="002A7503">
        <w:t>type,</w:t>
      </w:r>
      <w:r w:rsidRPr="002A7503">
        <w:rPr>
          <w:rStyle w:val="FootnoteReference"/>
        </w:rPr>
        <w:footnoteReference w:id="38"/>
      </w:r>
      <w:r w:rsidRPr="002A7503">
        <w:t xml:space="preserve"> </w:t>
      </w:r>
      <w:r>
        <w:t xml:space="preserve">information constraints represent an important caveat to the </w:t>
      </w:r>
      <w:r w:rsidRPr="002A7503">
        <w:t>VAT and income</w:t>
      </w:r>
      <w:r>
        <w:t>-</w:t>
      </w:r>
      <w:r w:rsidRPr="002A7503">
        <w:t xml:space="preserve">tax calculations. Firm-level VAT data from 2013 include sales revenue, purchases of domestic and imported inputs, and lists of exempted and zero-rated goods and services. </w:t>
      </w:r>
      <w:r>
        <w:t xml:space="preserve">A country’s </w:t>
      </w:r>
      <w:r w:rsidRPr="002A7503">
        <w:t>“</w:t>
      </w:r>
      <w:r>
        <w:t>s</w:t>
      </w:r>
      <w:r w:rsidRPr="002A7503">
        <w:t>upply and use</w:t>
      </w:r>
      <w:r>
        <w:t>”</w:t>
      </w:r>
      <w:r w:rsidRPr="002A7503">
        <w:t xml:space="preserve"> table</w:t>
      </w:r>
      <w:r>
        <w:t>s</w:t>
      </w:r>
      <w:r w:rsidRPr="002A7503">
        <w:t xml:space="preserve"> </w:t>
      </w:r>
      <w:r>
        <w:t>are</w:t>
      </w:r>
      <w:r w:rsidRPr="002A7503">
        <w:t xml:space="preserve"> the basis for estimating foregone VAT revenue from domestic value addition. Since an updated table is not available</w:t>
      </w:r>
      <w:r>
        <w:t xml:space="preserve"> for</w:t>
      </w:r>
      <w:r w:rsidRPr="002A7503">
        <w:t xml:space="preserve"> </w:t>
      </w:r>
      <w:r>
        <w:t>Ghana, the</w:t>
      </w:r>
      <w:r w:rsidRPr="002A7503">
        <w:t xml:space="preserve"> 2004 table </w:t>
      </w:r>
      <w:r>
        <w:t>is</w:t>
      </w:r>
      <w:r w:rsidRPr="002A7503">
        <w:t xml:space="preserve"> re-estimated for 2013. However, this implicitly assumes that the structure of the Ghanaian economy remained unchanged between 2004 and 2013, which is highly unlikely given the rise of the oil sector </w:t>
      </w:r>
      <w:r>
        <w:t>during this period (</w:t>
      </w:r>
      <w:r>
        <w:fldChar w:fldCharType="begin"/>
      </w:r>
      <w:r>
        <w:instrText xml:space="preserve"> REF _Ref472430004 \h </w:instrText>
      </w:r>
      <w:r>
        <w:fldChar w:fldCharType="separate"/>
      </w:r>
      <w:r w:rsidR="007B1CE6">
        <w:t xml:space="preserve">Table </w:t>
      </w:r>
      <w:r w:rsidR="007B1CE6">
        <w:rPr>
          <w:noProof/>
        </w:rPr>
        <w:t>2</w:t>
      </w:r>
      <w:r w:rsidR="007B1CE6">
        <w:t>.</w:t>
      </w:r>
      <w:r w:rsidR="007B1CE6">
        <w:rPr>
          <w:noProof/>
        </w:rPr>
        <w:t>3</w:t>
      </w:r>
      <w:r>
        <w:fldChar w:fldCharType="end"/>
      </w:r>
      <w:r>
        <w:t>)</w:t>
      </w:r>
      <w:r w:rsidRPr="002A7503">
        <w:t>.</w:t>
      </w:r>
      <w:r w:rsidRPr="00FC2299">
        <w:t xml:space="preserve"> </w:t>
      </w:r>
    </w:p>
    <w:p w14:paraId="0DC735CE" w14:textId="53A3FA2D" w:rsidR="00D15C7D" w:rsidRPr="00FC2299" w:rsidRDefault="00D15C7D" w:rsidP="00BE0264">
      <w:pPr>
        <w:pStyle w:val="ListParagraph"/>
        <w:numPr>
          <w:ilvl w:val="0"/>
          <w:numId w:val="4"/>
        </w:numPr>
        <w:spacing w:before="240"/>
      </w:pPr>
      <w:r w:rsidRPr="00AC00C1">
        <w:rPr>
          <w:b/>
        </w:rPr>
        <w:lastRenderedPageBreak/>
        <w:t>Data constraints also affect the calculation of income tax exemptions</w:t>
      </w:r>
      <w:r w:rsidRPr="00FC2299">
        <w:t>. The analysis is based on the data for total sales, chargeable income, tax liability</w:t>
      </w:r>
      <w:r w:rsidR="00C20825">
        <w:t>,</w:t>
      </w:r>
      <w:r w:rsidRPr="00FC2299">
        <w:t xml:space="preserve"> and actual taxes paid. However, the</w:t>
      </w:r>
      <w:r>
        <w:t>se</w:t>
      </w:r>
      <w:r w:rsidRPr="00FC2299">
        <w:t xml:space="preserve"> data are subject to errors, omissions</w:t>
      </w:r>
      <w:r w:rsidR="00BC634D">
        <w:t>,</w:t>
      </w:r>
      <w:r w:rsidRPr="00FC2299">
        <w:t xml:space="preserve"> and the discretion of </w:t>
      </w:r>
      <w:r>
        <w:t>enumerators</w:t>
      </w:r>
      <w:r w:rsidRPr="00FC2299">
        <w:t>. In the absence of an automated system for collecting tax</w:t>
      </w:r>
      <w:r>
        <w:t>-</w:t>
      </w:r>
      <w:r w:rsidRPr="00FC2299">
        <w:t xml:space="preserve">return data, the information had to be compiled manually by examining the tax records of the </w:t>
      </w:r>
      <w:r>
        <w:t>GRA’s</w:t>
      </w:r>
      <w:r w:rsidRPr="00FC2299">
        <w:t xml:space="preserve"> Large Taxpayer </w:t>
      </w:r>
      <w:r w:rsidR="00FE0202">
        <w:t>Office</w:t>
      </w:r>
      <w:r w:rsidR="00FE0202" w:rsidRPr="00FC2299">
        <w:t xml:space="preserve"> </w:t>
      </w:r>
      <w:r w:rsidRPr="00FC2299">
        <w:t xml:space="preserve">and Medium Taxpayer </w:t>
      </w:r>
      <w:r w:rsidR="00FE0202">
        <w:t>Office</w:t>
      </w:r>
      <w:r w:rsidRPr="00FC2299">
        <w:t>.</w:t>
      </w:r>
      <w:r w:rsidRPr="00FC2299">
        <w:rPr>
          <w:rStyle w:val="FootnoteReference"/>
        </w:rPr>
        <w:footnoteReference w:id="39"/>
      </w:r>
    </w:p>
    <w:p w14:paraId="2E67DFC0" w14:textId="77777777" w:rsidR="00D15C7D" w:rsidRPr="00696A40" w:rsidRDefault="00D15C7D" w:rsidP="00D15C7D">
      <w:pPr>
        <w:pStyle w:val="Heading3"/>
      </w:pPr>
      <w:r>
        <w:t>Tax-Expenditure Estimates</w:t>
      </w:r>
    </w:p>
    <w:p w14:paraId="61FFA044" w14:textId="77777777" w:rsidR="00D15C7D" w:rsidRDefault="00D15C7D" w:rsidP="00D15C7D">
      <w:pPr>
        <w:pStyle w:val="ListParagraph"/>
        <w:numPr>
          <w:ilvl w:val="0"/>
          <w:numId w:val="4"/>
        </w:numPr>
        <w:spacing w:before="240"/>
      </w:pPr>
      <w:r w:rsidRPr="009D7A30">
        <w:rPr>
          <w:b/>
        </w:rPr>
        <w:t xml:space="preserve">Ghana’s total tax expenditures </w:t>
      </w:r>
      <w:r>
        <w:rPr>
          <w:b/>
        </w:rPr>
        <w:t>are</w:t>
      </w:r>
      <w:r w:rsidRPr="009D7A30">
        <w:rPr>
          <w:b/>
        </w:rPr>
        <w:t xml:space="preserve"> estimated to </w:t>
      </w:r>
      <w:r>
        <w:rPr>
          <w:b/>
        </w:rPr>
        <w:t xml:space="preserve">have reached </w:t>
      </w:r>
      <w:r w:rsidRPr="009D7A30">
        <w:rPr>
          <w:b/>
        </w:rPr>
        <w:t xml:space="preserve">GH¢ 5 billion </w:t>
      </w:r>
      <w:r>
        <w:rPr>
          <w:b/>
        </w:rPr>
        <w:t>in 2013, or</w:t>
      </w:r>
      <w:r w:rsidRPr="009D7A30">
        <w:rPr>
          <w:b/>
        </w:rPr>
        <w:t xml:space="preserve"> 5.2 percent of GDP.</w:t>
      </w:r>
      <w:r w:rsidRPr="00F17B09">
        <w:t xml:space="preserve"> </w:t>
      </w:r>
      <w:r>
        <w:t>Ghana’s tax expenditures are especially large relative to tax revenue, which amounted to about 20 percent of GDP in 2013. Were they accounted in the same way as other forms of public spending, tax expenditures would have been the second largest item in the 2013 budget after the public-sector wage bill.</w:t>
      </w:r>
      <w:r>
        <w:rPr>
          <w:rStyle w:val="FootnoteReference"/>
        </w:rPr>
        <w:footnoteReference w:id="40"/>
      </w:r>
      <w:r>
        <w:t xml:space="preserve"> However, Ghana’s tax expenditures</w:t>
      </w:r>
      <w:r w:rsidRPr="00F17B09">
        <w:t xml:space="preserve"> as a share of GDP </w:t>
      </w:r>
      <w:r>
        <w:t>are close to the average for</w:t>
      </w:r>
      <w:r w:rsidRPr="00F17B09">
        <w:t xml:space="preserve"> the </w:t>
      </w:r>
      <w:r>
        <w:t>28</w:t>
      </w:r>
      <w:r w:rsidRPr="00F17B09">
        <w:t xml:space="preserve"> countries for which </w:t>
      </w:r>
      <w:r>
        <w:t xml:space="preserve">comparable </w:t>
      </w:r>
      <w:r w:rsidRPr="00F17B09">
        <w:t xml:space="preserve">data are available. Among </w:t>
      </w:r>
      <w:r w:rsidR="00E25E19" w:rsidRPr="00F17B09">
        <w:t>countries</w:t>
      </w:r>
      <w:r w:rsidR="00E25E19" w:rsidRPr="00F17B09" w:rsidDel="00E25E19">
        <w:t xml:space="preserve"> </w:t>
      </w:r>
      <w:r w:rsidR="00E25E19">
        <w:t>in SSA</w:t>
      </w:r>
      <w:r w:rsidRPr="00F17B09">
        <w:t>, Ghana’s tax</w:t>
      </w:r>
      <w:r>
        <w:t>-</w:t>
      </w:r>
      <w:r w:rsidRPr="00F17B09">
        <w:t>expenditure</w:t>
      </w:r>
      <w:r>
        <w:t xml:space="preserve"> regime</w:t>
      </w:r>
      <w:r w:rsidRPr="00F17B09">
        <w:t xml:space="preserve"> </w:t>
      </w:r>
      <w:r>
        <w:t>is</w:t>
      </w:r>
      <w:r w:rsidRPr="00F17B09">
        <w:t xml:space="preserve"> most similar to those of Gabon and Guinea (</w:t>
      </w:r>
      <w:r>
        <w:fldChar w:fldCharType="begin"/>
      </w:r>
      <w:r>
        <w:instrText xml:space="preserve"> REF _Ref472430499 \h </w:instrText>
      </w:r>
      <w:r>
        <w:fldChar w:fldCharType="separate"/>
      </w:r>
      <w:r w:rsidR="007B1CE6">
        <w:t xml:space="preserve">Figure </w:t>
      </w:r>
      <w:r w:rsidR="007B1CE6">
        <w:rPr>
          <w:noProof/>
        </w:rPr>
        <w:t>2</w:t>
      </w:r>
      <w:r w:rsidR="007B1CE6">
        <w:t>.</w:t>
      </w:r>
      <w:r w:rsidR="007B1CE6">
        <w:rPr>
          <w:noProof/>
        </w:rPr>
        <w:t>1</w:t>
      </w:r>
      <w:r>
        <w:fldChar w:fldCharType="end"/>
      </w:r>
      <w:r w:rsidRPr="00F17B09">
        <w:t xml:space="preserve">). </w:t>
      </w:r>
      <w:r>
        <w:t xml:space="preserve">In 2013, the overwhelming majority of tax expenditures were related to domestic VAT, which accounted for over 75 percent of total foregone revenue </w:t>
      </w:r>
      <w:r w:rsidRPr="00A5073E">
        <w:t>(</w:t>
      </w:r>
      <w:r>
        <w:fldChar w:fldCharType="begin"/>
      </w:r>
      <w:r>
        <w:instrText xml:space="preserve"> REF _Ref472430004 \h </w:instrText>
      </w:r>
      <w:r>
        <w:fldChar w:fldCharType="separate"/>
      </w:r>
      <w:r w:rsidR="007B1CE6">
        <w:t xml:space="preserve">Table </w:t>
      </w:r>
      <w:r w:rsidR="007B1CE6">
        <w:rPr>
          <w:noProof/>
        </w:rPr>
        <w:t>2</w:t>
      </w:r>
      <w:r w:rsidR="007B1CE6">
        <w:t>.</w:t>
      </w:r>
      <w:r w:rsidR="007B1CE6">
        <w:rPr>
          <w:noProof/>
        </w:rPr>
        <w:t>3</w:t>
      </w:r>
      <w:r>
        <w:fldChar w:fldCharType="end"/>
      </w:r>
      <w:r w:rsidRPr="00A5073E">
        <w:t>)</w:t>
      </w:r>
      <w:r>
        <w:t xml:space="preserve">. </w:t>
      </w:r>
    </w:p>
    <w:p w14:paraId="26B4308A" w14:textId="77777777" w:rsidR="00D15C7D" w:rsidRDefault="00D15C7D" w:rsidP="00D15C7D">
      <w:pPr>
        <w:pStyle w:val="Caption"/>
      </w:pPr>
      <w:bookmarkStart w:id="68" w:name="_Ref472430004"/>
      <w:bookmarkStart w:id="69" w:name="_Toc478837624"/>
      <w:r>
        <w:t xml:space="preserve">Table </w:t>
      </w:r>
      <w:r w:rsidR="00500291">
        <w:fldChar w:fldCharType="begin"/>
      </w:r>
      <w:r w:rsidR="00500291">
        <w:instrText xml:space="preserve"> STYLEREF 1 \s </w:instrText>
      </w:r>
      <w:r w:rsidR="00500291">
        <w:fldChar w:fldCharType="separate"/>
      </w:r>
      <w:r w:rsidR="007B1CE6">
        <w:rPr>
          <w:noProof/>
        </w:rPr>
        <w:t>2</w:t>
      </w:r>
      <w:r w:rsidR="00500291">
        <w:fldChar w:fldCharType="end"/>
      </w:r>
      <w:r w:rsidR="00500291">
        <w:t>.</w:t>
      </w:r>
      <w:r w:rsidR="00500291">
        <w:fldChar w:fldCharType="begin"/>
      </w:r>
      <w:r w:rsidR="00500291">
        <w:instrText xml:space="preserve"> SEQ Table \* ARABIC \s 1 </w:instrText>
      </w:r>
      <w:r w:rsidR="00500291">
        <w:fldChar w:fldCharType="separate"/>
      </w:r>
      <w:r w:rsidR="007B1CE6">
        <w:rPr>
          <w:noProof/>
        </w:rPr>
        <w:t>3</w:t>
      </w:r>
      <w:r w:rsidR="00500291">
        <w:fldChar w:fldCharType="end"/>
      </w:r>
      <w:bookmarkEnd w:id="68"/>
      <w:r>
        <w:t xml:space="preserve">: </w:t>
      </w:r>
      <w:r w:rsidRPr="00F17B09">
        <w:t>Estimated Tax Expenditures</w:t>
      </w:r>
      <w:r>
        <w:t xml:space="preserve"> in Ghana</w:t>
      </w:r>
      <w:r w:rsidRPr="00F17B09">
        <w:t>, 2013</w:t>
      </w:r>
      <w:bookmarkEnd w:id="69"/>
    </w:p>
    <w:tbl>
      <w:tblPr>
        <w:tblStyle w:val="GridTable6Colorful"/>
        <w:tblW w:w="7370" w:type="dxa"/>
        <w:jc w:val="center"/>
        <w:tblLook w:val="04A0" w:firstRow="1" w:lastRow="0" w:firstColumn="1" w:lastColumn="0" w:noHBand="0" w:noVBand="1"/>
      </w:tblPr>
      <w:tblGrid>
        <w:gridCol w:w="3051"/>
        <w:gridCol w:w="1714"/>
        <w:gridCol w:w="1080"/>
        <w:gridCol w:w="1525"/>
      </w:tblGrid>
      <w:tr w:rsidR="00D15C7D" w:rsidRPr="00D40154" w14:paraId="56D45447" w14:textId="77777777" w:rsidTr="001F3C22">
        <w:trPr>
          <w:cnfStyle w:val="100000000000" w:firstRow="1" w:lastRow="0" w:firstColumn="0" w:lastColumn="0" w:oddVBand="0" w:evenVBand="0" w:oddHBand="0" w:evenHBand="0" w:firstRowFirstColumn="0" w:firstRowLastColumn="0" w:lastRowFirstColumn="0" w:lastRowLastColumn="0"/>
          <w:trHeight w:val="197"/>
          <w:jc w:val="center"/>
        </w:trPr>
        <w:tc>
          <w:tcPr>
            <w:cnfStyle w:val="001000000000" w:firstRow="0" w:lastRow="0" w:firstColumn="1" w:lastColumn="0" w:oddVBand="0" w:evenVBand="0" w:oddHBand="0" w:evenHBand="0" w:firstRowFirstColumn="0" w:firstRowLastColumn="0" w:lastRowFirstColumn="0" w:lastRowLastColumn="0"/>
            <w:tcW w:w="3051" w:type="dxa"/>
            <w:noWrap/>
            <w:hideMark/>
          </w:tcPr>
          <w:p w14:paraId="69B6DDD2" w14:textId="77777777" w:rsidR="00D15C7D" w:rsidRPr="00D40154" w:rsidRDefault="00D15C7D" w:rsidP="00D15C7D">
            <w:pPr>
              <w:keepNext/>
              <w:jc w:val="both"/>
              <w:rPr>
                <w:rFonts w:cs="Calibri"/>
                <w:sz w:val="20"/>
                <w:szCs w:val="20"/>
              </w:rPr>
            </w:pPr>
            <w:r w:rsidRPr="00D40154">
              <w:rPr>
                <w:rFonts w:cs="Calibri"/>
                <w:sz w:val="20"/>
                <w:szCs w:val="20"/>
              </w:rPr>
              <w:t> </w:t>
            </w:r>
          </w:p>
        </w:tc>
        <w:tc>
          <w:tcPr>
            <w:tcW w:w="1714" w:type="dxa"/>
            <w:noWrap/>
            <w:hideMark/>
          </w:tcPr>
          <w:p w14:paraId="2768AA44" w14:textId="77777777" w:rsidR="00D15C7D" w:rsidRPr="00D40154" w:rsidRDefault="00D15C7D" w:rsidP="001F3C22">
            <w:pPr>
              <w:keepNext/>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GH¢ Millions</w:t>
            </w:r>
          </w:p>
        </w:tc>
        <w:tc>
          <w:tcPr>
            <w:tcW w:w="1080" w:type="dxa"/>
            <w:noWrap/>
            <w:hideMark/>
          </w:tcPr>
          <w:p w14:paraId="7558B889" w14:textId="77777777" w:rsidR="00D15C7D" w:rsidRPr="00D40154" w:rsidRDefault="00D15C7D" w:rsidP="001F3C22">
            <w:pPr>
              <w:keepNext/>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 of GDP</w:t>
            </w:r>
          </w:p>
        </w:tc>
        <w:tc>
          <w:tcPr>
            <w:tcW w:w="1525" w:type="dxa"/>
          </w:tcPr>
          <w:p w14:paraId="67AC44B2" w14:textId="77777777" w:rsidR="00D15C7D" w:rsidRPr="00D40154" w:rsidRDefault="00D15C7D" w:rsidP="001F3C22">
            <w:pPr>
              <w:keepNext/>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 of Total</w:t>
            </w:r>
          </w:p>
        </w:tc>
      </w:tr>
      <w:tr w:rsidR="00D15C7D" w:rsidRPr="00D40154" w14:paraId="68E4C23E" w14:textId="77777777" w:rsidTr="001F3C22">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051" w:type="dxa"/>
            <w:noWrap/>
            <w:hideMark/>
          </w:tcPr>
          <w:p w14:paraId="2AB20C0C" w14:textId="77777777" w:rsidR="00D15C7D" w:rsidRPr="00D40154" w:rsidRDefault="00D15C7D" w:rsidP="00D15C7D">
            <w:pPr>
              <w:spacing w:after="100" w:afterAutospacing="1"/>
              <w:jc w:val="both"/>
              <w:rPr>
                <w:rFonts w:cs="Calibri"/>
                <w:sz w:val="20"/>
                <w:szCs w:val="20"/>
              </w:rPr>
            </w:pPr>
            <w:r w:rsidRPr="00D40154">
              <w:rPr>
                <w:rFonts w:cs="Calibri"/>
                <w:sz w:val="20"/>
                <w:szCs w:val="20"/>
              </w:rPr>
              <w:t>Customs Duties</w:t>
            </w:r>
          </w:p>
        </w:tc>
        <w:tc>
          <w:tcPr>
            <w:tcW w:w="1714" w:type="dxa"/>
            <w:noWrap/>
            <w:hideMark/>
          </w:tcPr>
          <w:p w14:paraId="0B85038D" w14:textId="77777777" w:rsidR="00D15C7D" w:rsidRPr="00D40154" w:rsidRDefault="00D15C7D" w:rsidP="001F3C22">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797.4</w:t>
            </w:r>
          </w:p>
        </w:tc>
        <w:tc>
          <w:tcPr>
            <w:tcW w:w="1080" w:type="dxa"/>
            <w:noWrap/>
            <w:hideMark/>
          </w:tcPr>
          <w:p w14:paraId="08E5EDE0" w14:textId="77777777" w:rsidR="00D15C7D" w:rsidRPr="00D40154" w:rsidRDefault="00D15C7D" w:rsidP="001F3C22">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0.9%</w:t>
            </w:r>
          </w:p>
        </w:tc>
        <w:tc>
          <w:tcPr>
            <w:tcW w:w="1525" w:type="dxa"/>
            <w:tcBorders>
              <w:top w:val="nil"/>
              <w:left w:val="nil"/>
              <w:bottom w:val="single" w:sz="8" w:space="0" w:color="666666"/>
              <w:right w:val="single" w:sz="8" w:space="0" w:color="666666"/>
            </w:tcBorders>
            <w:shd w:val="clear" w:color="000000" w:fill="CCCCCC"/>
            <w:vAlign w:val="center"/>
          </w:tcPr>
          <w:p w14:paraId="77E35FF2" w14:textId="77777777" w:rsidR="00D15C7D" w:rsidRPr="00D40154" w:rsidRDefault="00D15C7D" w:rsidP="001F3C22">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16.3%</w:t>
            </w:r>
          </w:p>
        </w:tc>
      </w:tr>
      <w:tr w:rsidR="00D15C7D" w:rsidRPr="00D40154" w14:paraId="1B11059A" w14:textId="77777777" w:rsidTr="001F3C22">
        <w:trPr>
          <w:trHeight w:val="287"/>
          <w:jc w:val="center"/>
        </w:trPr>
        <w:tc>
          <w:tcPr>
            <w:cnfStyle w:val="001000000000" w:firstRow="0" w:lastRow="0" w:firstColumn="1" w:lastColumn="0" w:oddVBand="0" w:evenVBand="0" w:oddHBand="0" w:evenHBand="0" w:firstRowFirstColumn="0" w:firstRowLastColumn="0" w:lastRowFirstColumn="0" w:lastRowLastColumn="0"/>
            <w:tcW w:w="3051" w:type="dxa"/>
            <w:noWrap/>
            <w:hideMark/>
          </w:tcPr>
          <w:p w14:paraId="2AFCC421" w14:textId="77777777" w:rsidR="00D15C7D" w:rsidRPr="00D40154" w:rsidRDefault="00D15C7D" w:rsidP="00D15C7D">
            <w:pPr>
              <w:spacing w:after="100" w:afterAutospacing="1"/>
              <w:jc w:val="both"/>
              <w:rPr>
                <w:rFonts w:cs="Calibri"/>
                <w:sz w:val="20"/>
                <w:szCs w:val="20"/>
              </w:rPr>
            </w:pPr>
            <w:r w:rsidRPr="00D40154">
              <w:rPr>
                <w:rFonts w:cs="Calibri"/>
                <w:sz w:val="20"/>
                <w:szCs w:val="20"/>
              </w:rPr>
              <w:t>VAT</w:t>
            </w:r>
          </w:p>
        </w:tc>
        <w:tc>
          <w:tcPr>
            <w:tcW w:w="1714" w:type="dxa"/>
            <w:noWrap/>
            <w:hideMark/>
          </w:tcPr>
          <w:p w14:paraId="3DFCE647" w14:textId="77777777" w:rsidR="00D15C7D" w:rsidRPr="00D40154" w:rsidRDefault="00D15C7D" w:rsidP="001F3C22">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1080" w:type="dxa"/>
            <w:shd w:val="clear" w:color="auto" w:fill="FFFFFF" w:themeFill="background1"/>
            <w:noWrap/>
            <w:hideMark/>
          </w:tcPr>
          <w:p w14:paraId="2A1B05CA" w14:textId="77777777" w:rsidR="00D15C7D" w:rsidRPr="00D40154" w:rsidRDefault="00D15C7D" w:rsidP="001F3C22">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1525" w:type="dxa"/>
            <w:tcBorders>
              <w:top w:val="nil"/>
              <w:left w:val="nil"/>
              <w:bottom w:val="single" w:sz="8" w:space="0" w:color="666666"/>
              <w:right w:val="single" w:sz="8" w:space="0" w:color="666666"/>
            </w:tcBorders>
            <w:shd w:val="clear" w:color="auto" w:fill="FFFFFF" w:themeFill="background1"/>
            <w:vAlign w:val="center"/>
          </w:tcPr>
          <w:p w14:paraId="69B9E19C" w14:textId="77777777" w:rsidR="00D15C7D" w:rsidRPr="00D40154" w:rsidRDefault="00D15C7D" w:rsidP="001F3C22">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00D15C7D" w:rsidRPr="00D40154" w14:paraId="793ED995" w14:textId="77777777" w:rsidTr="001F3C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1" w:type="dxa"/>
            <w:noWrap/>
            <w:hideMark/>
          </w:tcPr>
          <w:p w14:paraId="771095F2" w14:textId="77777777" w:rsidR="00D15C7D" w:rsidRPr="00D40154" w:rsidRDefault="00D15C7D" w:rsidP="00D15C7D">
            <w:pPr>
              <w:spacing w:after="100" w:afterAutospacing="1"/>
              <w:jc w:val="both"/>
              <w:rPr>
                <w:rFonts w:cs="Calibri"/>
                <w:sz w:val="20"/>
                <w:szCs w:val="20"/>
              </w:rPr>
            </w:pPr>
            <w:r w:rsidRPr="00D40154">
              <w:rPr>
                <w:rFonts w:cs="Calibri"/>
                <w:sz w:val="20"/>
                <w:szCs w:val="20"/>
              </w:rPr>
              <w:t xml:space="preserve">     on Imports</w:t>
            </w:r>
          </w:p>
        </w:tc>
        <w:tc>
          <w:tcPr>
            <w:tcW w:w="1714" w:type="dxa"/>
            <w:noWrap/>
            <w:hideMark/>
          </w:tcPr>
          <w:p w14:paraId="52555D2C" w14:textId="77777777" w:rsidR="00D15C7D" w:rsidRPr="00D40154" w:rsidRDefault="00D15C7D" w:rsidP="001F3C22">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321.5</w:t>
            </w:r>
          </w:p>
        </w:tc>
        <w:tc>
          <w:tcPr>
            <w:tcW w:w="1080" w:type="dxa"/>
            <w:noWrap/>
            <w:hideMark/>
          </w:tcPr>
          <w:p w14:paraId="2FE44F5B" w14:textId="77777777" w:rsidR="00D15C7D" w:rsidRPr="00D40154" w:rsidRDefault="00D15C7D" w:rsidP="001F3C22">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0.3%</w:t>
            </w:r>
          </w:p>
        </w:tc>
        <w:tc>
          <w:tcPr>
            <w:tcW w:w="1525" w:type="dxa"/>
            <w:tcBorders>
              <w:top w:val="nil"/>
              <w:left w:val="nil"/>
              <w:bottom w:val="single" w:sz="8" w:space="0" w:color="666666"/>
              <w:right w:val="single" w:sz="8" w:space="0" w:color="666666"/>
            </w:tcBorders>
            <w:shd w:val="clear" w:color="000000" w:fill="CCCCCC"/>
            <w:vAlign w:val="center"/>
          </w:tcPr>
          <w:p w14:paraId="64C51EE3" w14:textId="77777777" w:rsidR="00D15C7D" w:rsidRPr="00D40154" w:rsidRDefault="00D15C7D" w:rsidP="001F3C22">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6.6%</w:t>
            </w:r>
          </w:p>
        </w:tc>
      </w:tr>
      <w:tr w:rsidR="00D15C7D" w:rsidRPr="00D40154" w14:paraId="35F63CF1" w14:textId="77777777" w:rsidTr="001F3C22">
        <w:trPr>
          <w:trHeight w:val="300"/>
          <w:jc w:val="center"/>
        </w:trPr>
        <w:tc>
          <w:tcPr>
            <w:cnfStyle w:val="001000000000" w:firstRow="0" w:lastRow="0" w:firstColumn="1" w:lastColumn="0" w:oddVBand="0" w:evenVBand="0" w:oddHBand="0" w:evenHBand="0" w:firstRowFirstColumn="0" w:firstRowLastColumn="0" w:lastRowFirstColumn="0" w:lastRowLastColumn="0"/>
            <w:tcW w:w="3051" w:type="dxa"/>
            <w:noWrap/>
            <w:hideMark/>
          </w:tcPr>
          <w:p w14:paraId="7B2E1147" w14:textId="77777777" w:rsidR="00D15C7D" w:rsidRPr="00D40154" w:rsidRDefault="00D15C7D" w:rsidP="00D15C7D">
            <w:pPr>
              <w:spacing w:after="100" w:afterAutospacing="1"/>
              <w:jc w:val="both"/>
              <w:rPr>
                <w:rFonts w:cs="Calibri"/>
                <w:sz w:val="20"/>
                <w:szCs w:val="20"/>
              </w:rPr>
            </w:pPr>
            <w:r w:rsidRPr="00D40154">
              <w:rPr>
                <w:rFonts w:cs="Calibri"/>
                <w:sz w:val="20"/>
                <w:szCs w:val="20"/>
              </w:rPr>
              <w:t xml:space="preserve">     on Domestic Value Addition</w:t>
            </w:r>
          </w:p>
        </w:tc>
        <w:tc>
          <w:tcPr>
            <w:tcW w:w="1714" w:type="dxa"/>
            <w:noWrap/>
            <w:hideMark/>
          </w:tcPr>
          <w:p w14:paraId="3159BD37" w14:textId="77777777" w:rsidR="00D15C7D" w:rsidRPr="00D40154" w:rsidRDefault="00D15C7D" w:rsidP="001F3C22">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3,665.8</w:t>
            </w:r>
          </w:p>
        </w:tc>
        <w:tc>
          <w:tcPr>
            <w:tcW w:w="1080" w:type="dxa"/>
            <w:shd w:val="clear" w:color="auto" w:fill="FFFFFF" w:themeFill="background1"/>
            <w:noWrap/>
            <w:hideMark/>
          </w:tcPr>
          <w:p w14:paraId="5ABCBA86" w14:textId="77777777" w:rsidR="00D15C7D" w:rsidRPr="00D40154" w:rsidRDefault="00D15C7D" w:rsidP="001F3C22">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3.9%</w:t>
            </w:r>
          </w:p>
        </w:tc>
        <w:tc>
          <w:tcPr>
            <w:tcW w:w="1525" w:type="dxa"/>
            <w:tcBorders>
              <w:top w:val="nil"/>
              <w:left w:val="nil"/>
              <w:bottom w:val="single" w:sz="8" w:space="0" w:color="666666"/>
              <w:right w:val="single" w:sz="8" w:space="0" w:color="666666"/>
            </w:tcBorders>
            <w:shd w:val="clear" w:color="auto" w:fill="FFFFFF" w:themeFill="background1"/>
            <w:vAlign w:val="center"/>
          </w:tcPr>
          <w:p w14:paraId="154C94D4" w14:textId="77777777" w:rsidR="00D15C7D" w:rsidRPr="00D40154" w:rsidRDefault="00D15C7D" w:rsidP="001F3C22">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75.1%</w:t>
            </w:r>
          </w:p>
        </w:tc>
      </w:tr>
      <w:tr w:rsidR="00D15C7D" w:rsidRPr="00D40154" w14:paraId="74C80F17" w14:textId="77777777" w:rsidTr="001F3C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1" w:type="dxa"/>
            <w:noWrap/>
            <w:hideMark/>
          </w:tcPr>
          <w:p w14:paraId="428CBEAB" w14:textId="77777777" w:rsidR="00D15C7D" w:rsidRPr="00D40154" w:rsidRDefault="00D15C7D" w:rsidP="00D15C7D">
            <w:pPr>
              <w:spacing w:after="100" w:afterAutospacing="1"/>
              <w:jc w:val="both"/>
              <w:rPr>
                <w:rFonts w:cs="Calibri"/>
                <w:sz w:val="20"/>
                <w:szCs w:val="20"/>
              </w:rPr>
            </w:pPr>
            <w:r w:rsidRPr="00D40154">
              <w:rPr>
                <w:rFonts w:cs="Calibri"/>
                <w:sz w:val="20"/>
                <w:szCs w:val="20"/>
              </w:rPr>
              <w:t>Income Tax</w:t>
            </w:r>
          </w:p>
        </w:tc>
        <w:tc>
          <w:tcPr>
            <w:tcW w:w="1714" w:type="dxa"/>
            <w:noWrap/>
            <w:hideMark/>
          </w:tcPr>
          <w:p w14:paraId="2C7B8D26" w14:textId="77777777" w:rsidR="00D15C7D" w:rsidRPr="00D40154" w:rsidRDefault="00D15C7D" w:rsidP="001F3C22">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93.8</w:t>
            </w:r>
          </w:p>
        </w:tc>
        <w:tc>
          <w:tcPr>
            <w:tcW w:w="1080" w:type="dxa"/>
            <w:noWrap/>
            <w:hideMark/>
          </w:tcPr>
          <w:p w14:paraId="1AE2BB48" w14:textId="77777777" w:rsidR="00D15C7D" w:rsidRPr="00D40154" w:rsidRDefault="00D15C7D" w:rsidP="001F3C22">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0.1%</w:t>
            </w:r>
          </w:p>
        </w:tc>
        <w:tc>
          <w:tcPr>
            <w:tcW w:w="1525" w:type="dxa"/>
            <w:tcBorders>
              <w:top w:val="nil"/>
              <w:left w:val="nil"/>
              <w:bottom w:val="single" w:sz="8" w:space="0" w:color="666666"/>
              <w:right w:val="single" w:sz="8" w:space="0" w:color="666666"/>
            </w:tcBorders>
            <w:shd w:val="clear" w:color="000000" w:fill="CCCCCC"/>
            <w:vAlign w:val="center"/>
          </w:tcPr>
          <w:p w14:paraId="07376FC8" w14:textId="77777777" w:rsidR="00D15C7D" w:rsidRPr="00D40154" w:rsidRDefault="00D15C7D" w:rsidP="001F3C22">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1.9%</w:t>
            </w:r>
          </w:p>
        </w:tc>
      </w:tr>
      <w:tr w:rsidR="00D15C7D" w:rsidRPr="00D40154" w14:paraId="2563DA93" w14:textId="77777777" w:rsidTr="001F3C22">
        <w:trPr>
          <w:trHeight w:val="300"/>
          <w:jc w:val="center"/>
        </w:trPr>
        <w:tc>
          <w:tcPr>
            <w:cnfStyle w:val="001000000000" w:firstRow="0" w:lastRow="0" w:firstColumn="1" w:lastColumn="0" w:oddVBand="0" w:evenVBand="0" w:oddHBand="0" w:evenHBand="0" w:firstRowFirstColumn="0" w:firstRowLastColumn="0" w:lastRowFirstColumn="0" w:lastRowLastColumn="0"/>
            <w:tcW w:w="3051" w:type="dxa"/>
            <w:noWrap/>
            <w:hideMark/>
          </w:tcPr>
          <w:p w14:paraId="39F7D17A" w14:textId="77777777" w:rsidR="00D15C7D" w:rsidRPr="00D40154" w:rsidRDefault="00D15C7D" w:rsidP="00D15C7D">
            <w:pPr>
              <w:spacing w:after="100" w:afterAutospacing="1"/>
              <w:jc w:val="both"/>
              <w:rPr>
                <w:rFonts w:cs="Calibri"/>
                <w:sz w:val="20"/>
                <w:szCs w:val="20"/>
              </w:rPr>
            </w:pPr>
            <w:r w:rsidRPr="00D40154">
              <w:rPr>
                <w:rFonts w:cs="Calibri"/>
                <w:sz w:val="20"/>
                <w:szCs w:val="20"/>
              </w:rPr>
              <w:t> </w:t>
            </w:r>
          </w:p>
        </w:tc>
        <w:tc>
          <w:tcPr>
            <w:tcW w:w="1714" w:type="dxa"/>
            <w:noWrap/>
            <w:hideMark/>
          </w:tcPr>
          <w:p w14:paraId="732C135A" w14:textId="77777777" w:rsidR="00D15C7D" w:rsidRPr="00D40154" w:rsidRDefault="00D15C7D" w:rsidP="001F3C22">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1080" w:type="dxa"/>
            <w:shd w:val="clear" w:color="auto" w:fill="FFFFFF" w:themeFill="background1"/>
            <w:noWrap/>
            <w:hideMark/>
          </w:tcPr>
          <w:p w14:paraId="7CEF6252" w14:textId="77777777" w:rsidR="00D15C7D" w:rsidRPr="00D40154" w:rsidRDefault="00D15C7D" w:rsidP="001F3C22">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1525" w:type="dxa"/>
            <w:tcBorders>
              <w:top w:val="nil"/>
              <w:left w:val="nil"/>
              <w:bottom w:val="single" w:sz="8" w:space="0" w:color="666666"/>
              <w:right w:val="single" w:sz="8" w:space="0" w:color="666666"/>
            </w:tcBorders>
            <w:shd w:val="clear" w:color="auto" w:fill="FFFFFF" w:themeFill="background1"/>
            <w:vAlign w:val="center"/>
          </w:tcPr>
          <w:p w14:paraId="069BE319" w14:textId="77777777" w:rsidR="00D15C7D" w:rsidRPr="00D40154" w:rsidRDefault="00D15C7D" w:rsidP="001F3C22">
            <w:pPr>
              <w:spacing w:after="100" w:afterAutospacing="1"/>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00D15C7D" w:rsidRPr="00D40154" w14:paraId="5C206566" w14:textId="77777777" w:rsidTr="001F3C2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051" w:type="dxa"/>
            <w:noWrap/>
            <w:hideMark/>
          </w:tcPr>
          <w:p w14:paraId="02C4FE7E" w14:textId="77777777" w:rsidR="00D15C7D" w:rsidRPr="00D40154" w:rsidRDefault="00D15C7D" w:rsidP="00D15C7D">
            <w:pPr>
              <w:spacing w:after="100" w:afterAutospacing="1"/>
              <w:jc w:val="both"/>
              <w:rPr>
                <w:rFonts w:cs="Calibri"/>
                <w:sz w:val="20"/>
                <w:szCs w:val="20"/>
              </w:rPr>
            </w:pPr>
            <w:r w:rsidRPr="00D40154">
              <w:rPr>
                <w:rFonts w:cs="Calibri"/>
                <w:sz w:val="20"/>
                <w:szCs w:val="20"/>
              </w:rPr>
              <w:t>Total</w:t>
            </w:r>
          </w:p>
        </w:tc>
        <w:tc>
          <w:tcPr>
            <w:tcW w:w="1714" w:type="dxa"/>
            <w:noWrap/>
            <w:hideMark/>
          </w:tcPr>
          <w:p w14:paraId="5A63C704" w14:textId="77777777" w:rsidR="00D15C7D" w:rsidRPr="00D40154" w:rsidRDefault="00D15C7D" w:rsidP="001F3C22">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5,044.4</w:t>
            </w:r>
          </w:p>
        </w:tc>
        <w:tc>
          <w:tcPr>
            <w:tcW w:w="1080" w:type="dxa"/>
            <w:noWrap/>
            <w:hideMark/>
          </w:tcPr>
          <w:p w14:paraId="40D6DAD8" w14:textId="77777777" w:rsidR="00D15C7D" w:rsidRPr="00D40154" w:rsidRDefault="00D15C7D" w:rsidP="001F3C22">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5.2%</w:t>
            </w:r>
          </w:p>
        </w:tc>
        <w:tc>
          <w:tcPr>
            <w:tcW w:w="1525" w:type="dxa"/>
            <w:tcBorders>
              <w:top w:val="nil"/>
              <w:left w:val="nil"/>
              <w:bottom w:val="single" w:sz="8" w:space="0" w:color="666666"/>
              <w:right w:val="single" w:sz="8" w:space="0" w:color="666666"/>
            </w:tcBorders>
            <w:shd w:val="clear" w:color="000000" w:fill="CCCCCC"/>
            <w:vAlign w:val="center"/>
          </w:tcPr>
          <w:p w14:paraId="0D965AA7" w14:textId="77777777" w:rsidR="00D15C7D" w:rsidRPr="00D40154" w:rsidRDefault="00D15C7D" w:rsidP="001F3C22">
            <w:pPr>
              <w:spacing w:after="100" w:afterAutospacing="1"/>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100%</w:t>
            </w:r>
          </w:p>
        </w:tc>
      </w:tr>
    </w:tbl>
    <w:p w14:paraId="61DEE4C0" w14:textId="77777777" w:rsidR="00D15C7D" w:rsidRDefault="00D15C7D" w:rsidP="001F3C22">
      <w:pPr>
        <w:tabs>
          <w:tab w:val="left" w:pos="990"/>
        </w:tabs>
        <w:spacing w:after="100" w:afterAutospacing="1"/>
        <w:ind w:left="990"/>
        <w:jc w:val="both"/>
        <w:rPr>
          <w:rFonts w:ascii="Garamond" w:hAnsi="Garamond" w:cs="Calibri"/>
          <w:sz w:val="20"/>
          <w:szCs w:val="20"/>
        </w:rPr>
      </w:pPr>
      <w:r w:rsidRPr="00696A40">
        <w:rPr>
          <w:rFonts w:ascii="Garamond" w:hAnsi="Garamond" w:cs="Calibri"/>
          <w:sz w:val="20"/>
          <w:szCs w:val="20"/>
        </w:rPr>
        <w:t xml:space="preserve">Source: World Bank </w:t>
      </w:r>
      <w:r>
        <w:rPr>
          <w:rFonts w:ascii="Garamond" w:hAnsi="Garamond" w:cs="Calibri"/>
          <w:sz w:val="20"/>
          <w:szCs w:val="20"/>
        </w:rPr>
        <w:t>s</w:t>
      </w:r>
      <w:r w:rsidRPr="00696A40">
        <w:rPr>
          <w:rFonts w:ascii="Garamond" w:hAnsi="Garamond" w:cs="Calibri"/>
          <w:sz w:val="20"/>
          <w:szCs w:val="20"/>
        </w:rPr>
        <w:t xml:space="preserve">taff </w:t>
      </w:r>
      <w:r>
        <w:rPr>
          <w:rFonts w:ascii="Garamond" w:hAnsi="Garamond" w:cs="Calibri"/>
          <w:sz w:val="20"/>
          <w:szCs w:val="20"/>
        </w:rPr>
        <w:t>c</w:t>
      </w:r>
      <w:r w:rsidRPr="00696A40">
        <w:rPr>
          <w:rFonts w:ascii="Garamond" w:hAnsi="Garamond" w:cs="Calibri"/>
          <w:sz w:val="20"/>
          <w:szCs w:val="20"/>
        </w:rPr>
        <w:t>alculations</w:t>
      </w:r>
    </w:p>
    <w:p w14:paraId="3EFA8CC4" w14:textId="77777777" w:rsidR="00D15C7D" w:rsidRPr="00F17B09" w:rsidRDefault="00D15C7D" w:rsidP="00D15C7D">
      <w:pPr>
        <w:pStyle w:val="Caption"/>
      </w:pPr>
      <w:bookmarkStart w:id="70" w:name="_Ref472430499"/>
      <w:bookmarkStart w:id="71" w:name="_Toc479624930"/>
      <w:r>
        <w:lastRenderedPageBreak/>
        <w:t xml:space="preserve">Figure </w:t>
      </w:r>
      <w:r>
        <w:fldChar w:fldCharType="begin"/>
      </w:r>
      <w:r>
        <w:instrText xml:space="preserve"> STYLEREF 1 \s </w:instrText>
      </w:r>
      <w:r>
        <w:fldChar w:fldCharType="separate"/>
      </w:r>
      <w:r w:rsidR="007B1CE6">
        <w:rPr>
          <w:noProof/>
        </w:rPr>
        <w:t>2</w:t>
      </w:r>
      <w:r>
        <w:fldChar w:fldCharType="end"/>
      </w:r>
      <w:r>
        <w:t>.</w:t>
      </w:r>
      <w:r>
        <w:fldChar w:fldCharType="begin"/>
      </w:r>
      <w:r>
        <w:instrText xml:space="preserve"> SEQ Figure \* ARABIC \s 1 </w:instrText>
      </w:r>
      <w:r>
        <w:fldChar w:fldCharType="separate"/>
      </w:r>
      <w:r w:rsidR="007B1CE6">
        <w:rPr>
          <w:noProof/>
        </w:rPr>
        <w:t>1</w:t>
      </w:r>
      <w:r>
        <w:fldChar w:fldCharType="end"/>
      </w:r>
      <w:bookmarkEnd w:id="70"/>
      <w:r>
        <w:t xml:space="preserve">: </w:t>
      </w:r>
      <w:r w:rsidRPr="00F17B09">
        <w:t>Tax E</w:t>
      </w:r>
      <w:r w:rsidRPr="00696A40">
        <w:t>xpenditure</w:t>
      </w:r>
      <w:r w:rsidRPr="00F17B09">
        <w:t>s</w:t>
      </w:r>
      <w:r w:rsidRPr="00696A40">
        <w:t xml:space="preserve"> </w:t>
      </w:r>
      <w:r w:rsidRPr="00F17B09">
        <w:t>by Country (</w:t>
      </w:r>
      <w:r w:rsidRPr="00696A40">
        <w:t>% of GDP)</w:t>
      </w:r>
      <w:bookmarkEnd w:id="71"/>
    </w:p>
    <w:p w14:paraId="2CF70E13" w14:textId="77777777" w:rsidR="00D15C7D" w:rsidRPr="007925A8" w:rsidRDefault="00D15C7D" w:rsidP="00D15C7D">
      <w:pPr>
        <w:keepNext/>
        <w:spacing w:after="0"/>
        <w:rPr>
          <w:rFonts w:ascii="Garamond" w:hAnsi="Garamond" w:cs="Times New Roman"/>
          <w:b/>
        </w:rPr>
      </w:pPr>
      <w:r w:rsidRPr="007925A8">
        <w:rPr>
          <w:rFonts w:ascii="Garamond" w:hAnsi="Garamond"/>
          <w:noProof/>
        </w:rPr>
        <w:drawing>
          <wp:inline distT="0" distB="0" distL="0" distR="0" wp14:anchorId="6E6245D3" wp14:editId="4B1DB387">
            <wp:extent cx="5943600" cy="1974850"/>
            <wp:effectExtent l="0" t="0" r="0"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CE3C4B3" w14:textId="77777777" w:rsidR="00D15C7D" w:rsidRPr="007925A8" w:rsidRDefault="00D15C7D" w:rsidP="00D15C7D">
      <w:pPr>
        <w:jc w:val="both"/>
        <w:rPr>
          <w:rFonts w:ascii="Garamond" w:hAnsi="Garamond" w:cs="Times New Roman"/>
          <w:sz w:val="20"/>
          <w:szCs w:val="20"/>
        </w:rPr>
      </w:pPr>
      <w:r w:rsidRPr="007925A8">
        <w:rPr>
          <w:rFonts w:ascii="Garamond" w:hAnsi="Garamond" w:cs="Times New Roman"/>
          <w:i/>
          <w:sz w:val="20"/>
          <w:szCs w:val="20"/>
        </w:rPr>
        <w:t>Source</w:t>
      </w:r>
      <w:r w:rsidRPr="007925A8">
        <w:rPr>
          <w:rFonts w:ascii="Garamond" w:hAnsi="Garamond" w:cs="Times New Roman"/>
          <w:sz w:val="20"/>
          <w:szCs w:val="20"/>
        </w:rPr>
        <w:t>: World Bank Staff calculations.</w:t>
      </w:r>
    </w:p>
    <w:p w14:paraId="68FDB9AD" w14:textId="77777777" w:rsidR="00D15C7D" w:rsidRPr="007925A8" w:rsidRDefault="00D15C7D" w:rsidP="00D15C7D">
      <w:pPr>
        <w:pStyle w:val="ListParagraph"/>
        <w:numPr>
          <w:ilvl w:val="0"/>
          <w:numId w:val="4"/>
        </w:numPr>
        <w:spacing w:before="240"/>
      </w:pPr>
      <w:r w:rsidRPr="007925A8">
        <w:rPr>
          <w:b/>
        </w:rPr>
        <w:t>While international comparisons can help put the cost of Ghana’s tax expenditures into context, differences in statistical coverage and methodological assumptions at the country level may affect the comparability of tax-expenditure estimates.</w:t>
      </w:r>
      <w:r w:rsidRPr="007925A8">
        <w:t xml:space="preserve"> While a comprehensive estimate should include all taxes—personal and business income taxes, trade-related taxes, sales taxes</w:t>
      </w:r>
      <w:r w:rsidR="0037505F">
        <w:t>,</w:t>
      </w:r>
      <w:r w:rsidRPr="007925A8">
        <w:t xml:space="preserve"> and VAT, etc.—most countries suffer from data limitations that prevent a thorough accounting of tax expenditures. Moreover, tax-expenditure estimates hinge on the method used to define the “standard” tax regime against </w:t>
      </w:r>
      <w:r w:rsidR="0037505F">
        <w:t xml:space="preserve">which </w:t>
      </w:r>
      <w:r w:rsidRPr="007925A8">
        <w:t>tax expenditures are measured. For example, some countries use a share of carried-forward losses to set the benchmark, while others regard all carried-forward as tax expenditures. Some countries use the World Trade Organization’s bound rate—the highest import duty allowable under World Trade Organization agreements—as the benchmark and consider any rate below that to be a tax expenditure, but most only define specific import-duty exemptions as tax expenditures.</w:t>
      </w:r>
    </w:p>
    <w:p w14:paraId="68C919F5" w14:textId="77777777" w:rsidR="00D15C7D" w:rsidRPr="00E45355" w:rsidRDefault="00D15C7D" w:rsidP="00D15C7D">
      <w:pPr>
        <w:pStyle w:val="Heading2"/>
      </w:pPr>
      <w:bookmarkStart w:id="72" w:name="_Toc479624879"/>
      <w:bookmarkEnd w:id="63"/>
      <w:r w:rsidRPr="00E45355">
        <w:t>VAT Expenditures</w:t>
      </w:r>
      <w:bookmarkEnd w:id="72"/>
    </w:p>
    <w:p w14:paraId="05F5AC5E" w14:textId="77777777" w:rsidR="00D15C7D" w:rsidRDefault="00D15C7D" w:rsidP="00D15C7D">
      <w:pPr>
        <w:pStyle w:val="ListParagraph"/>
        <w:numPr>
          <w:ilvl w:val="0"/>
          <w:numId w:val="4"/>
        </w:numPr>
        <w:spacing w:before="240"/>
      </w:pPr>
      <w:r>
        <w:rPr>
          <w:b/>
        </w:rPr>
        <w:t xml:space="preserve">In 2013, </w:t>
      </w:r>
      <w:r w:rsidRPr="00A01A07">
        <w:rPr>
          <w:b/>
        </w:rPr>
        <w:t>VAT expenditures cost</w:t>
      </w:r>
      <w:r>
        <w:rPr>
          <w:b/>
        </w:rPr>
        <w:t xml:space="preserve"> </w:t>
      </w:r>
      <w:r w:rsidRPr="00A01A07">
        <w:rPr>
          <w:b/>
        </w:rPr>
        <w:t>the government 4.2 percent of GDP in foregone revenue.</w:t>
      </w:r>
      <w:r w:rsidRPr="00F17B09">
        <w:t xml:space="preserve"> </w:t>
      </w:r>
      <w:r w:rsidRPr="00A01A07">
        <w:t>VAT exemptions, zero-rating</w:t>
      </w:r>
      <w:r w:rsidR="002D170D">
        <w:t>,</w:t>
      </w:r>
      <w:r w:rsidRPr="00A01A07">
        <w:t xml:space="preserve"> and related incentives are common worldwide and most often apply to inputs for the education, healthcare, transportation, media</w:t>
      </w:r>
      <w:r w:rsidR="002D170D">
        <w:t>,</w:t>
      </w:r>
      <w:r w:rsidRPr="00A01A07">
        <w:t xml:space="preserve"> and agricultural sectors</w:t>
      </w:r>
      <w:r w:rsidR="00E321FD">
        <w:t xml:space="preserve"> (</w:t>
      </w:r>
      <w:r w:rsidR="00E321FD">
        <w:fldChar w:fldCharType="begin"/>
      </w:r>
      <w:r w:rsidR="00E321FD">
        <w:instrText xml:space="preserve"> REF _Ref478837729 \h </w:instrText>
      </w:r>
      <w:r w:rsidR="00E321FD">
        <w:fldChar w:fldCharType="separate"/>
      </w:r>
      <w:r w:rsidR="007B1CE6" w:rsidRPr="00BF58C2">
        <w:t xml:space="preserve">Table </w:t>
      </w:r>
      <w:r w:rsidR="007B1CE6">
        <w:rPr>
          <w:noProof/>
        </w:rPr>
        <w:t>2</w:t>
      </w:r>
      <w:r w:rsidR="007B1CE6" w:rsidRPr="00BF58C2">
        <w:t>.</w:t>
      </w:r>
      <w:r w:rsidR="007B1CE6">
        <w:rPr>
          <w:noProof/>
        </w:rPr>
        <w:t>4</w:t>
      </w:r>
      <w:r w:rsidR="00E321FD">
        <w:fldChar w:fldCharType="end"/>
      </w:r>
      <w:r w:rsidR="00E321FD">
        <w:t>)</w:t>
      </w:r>
      <w:r w:rsidRPr="00FC2299">
        <w:rPr>
          <w:rStyle w:val="FootnoteReference"/>
        </w:rPr>
        <w:footnoteReference w:id="41"/>
      </w:r>
      <w:r w:rsidRPr="00FC2299">
        <w:t xml:space="preserve"> VAT exemptions for financial services and real estate are sometimes classified as measures designed to streamline tax administration, rather than as tax expenditures, due to the complexity of calculating value addition in these sectors.</w:t>
      </w:r>
      <w:r>
        <w:t xml:space="preserve"> </w:t>
      </w:r>
    </w:p>
    <w:p w14:paraId="3CE235E4" w14:textId="77777777" w:rsidR="004862E7" w:rsidRPr="00CA5BBC" w:rsidRDefault="004862E7" w:rsidP="004862E7">
      <w:pPr>
        <w:pStyle w:val="ListParagraph"/>
        <w:numPr>
          <w:ilvl w:val="0"/>
          <w:numId w:val="4"/>
        </w:numPr>
        <w:spacing w:before="240"/>
      </w:pPr>
      <w:r w:rsidRPr="0003560A">
        <w:rPr>
          <w:b/>
        </w:rPr>
        <w:t xml:space="preserve">VAT expenditures </w:t>
      </w:r>
      <w:r>
        <w:rPr>
          <w:b/>
        </w:rPr>
        <w:t>effectively reduce</w:t>
      </w:r>
      <w:r w:rsidRPr="0003560A">
        <w:rPr>
          <w:b/>
        </w:rPr>
        <w:t xml:space="preserve"> the sale price of goods and services, and in some cases they eliminate the administrative </w:t>
      </w:r>
      <w:r>
        <w:rPr>
          <w:b/>
        </w:rPr>
        <w:t>burden</w:t>
      </w:r>
      <w:r w:rsidRPr="0003560A">
        <w:rPr>
          <w:b/>
        </w:rPr>
        <w:t xml:space="preserve"> of VAT</w:t>
      </w:r>
      <w:r>
        <w:rPr>
          <w:b/>
        </w:rPr>
        <w:t xml:space="preserve"> compliance</w:t>
      </w:r>
      <w:r w:rsidRPr="0003560A">
        <w:rPr>
          <w:b/>
        </w:rPr>
        <w:t xml:space="preserve">. </w:t>
      </w:r>
      <w:r w:rsidRPr="00CA5BBC">
        <w:t>However</w:t>
      </w:r>
      <w:r w:rsidRPr="0037514E">
        <w:t xml:space="preserve">, tax exemptions and zero-rating can increase administrative costs for </w:t>
      </w:r>
      <w:r w:rsidRPr="00CA5BBC">
        <w:t xml:space="preserve">firms that deal in both exempt and non-exempt items. Moreover, VAT exemptions that only apply to certain levels of the value chain can weaken tax reporting, as VAT-exempt firms are also exempt from the corresponding reporting requirements. Incomplete price information for the entire value chain can greatly complicate VAT enforcement. Ghana’s limited use of zero-rating is consistent with international good practices for VAT design, as </w:t>
      </w:r>
      <w:r w:rsidRPr="00CA5BBC">
        <w:lastRenderedPageBreak/>
        <w:t>it reduces price distortions and minimizes the pressure that refund requests can impose on the revenue administration.</w:t>
      </w:r>
    </w:p>
    <w:p w14:paraId="4D3A37F4" w14:textId="77777777" w:rsidR="00D15C7D" w:rsidRPr="00BF58C2" w:rsidRDefault="00500291" w:rsidP="00BF58C2">
      <w:pPr>
        <w:pStyle w:val="Caption"/>
        <w:rPr>
          <w:b w:val="0"/>
        </w:rPr>
      </w:pPr>
      <w:bookmarkStart w:id="73" w:name="_Ref478837729"/>
      <w:bookmarkStart w:id="74" w:name="_Toc478837625"/>
      <w:r w:rsidRPr="00BF58C2">
        <w:rPr>
          <w:lang w:val="en-US"/>
        </w:rPr>
        <w:t xml:space="preserve">Table </w:t>
      </w:r>
      <w:r w:rsidRPr="00BF58C2">
        <w:rPr>
          <w:lang w:val="en-US"/>
        </w:rPr>
        <w:fldChar w:fldCharType="begin"/>
      </w:r>
      <w:r w:rsidRPr="00BF58C2">
        <w:rPr>
          <w:lang w:val="en-US"/>
        </w:rPr>
        <w:instrText xml:space="preserve"> STYLEREF 1 \s </w:instrText>
      </w:r>
      <w:r w:rsidRPr="00BF58C2">
        <w:rPr>
          <w:lang w:val="en-US"/>
        </w:rPr>
        <w:fldChar w:fldCharType="separate"/>
      </w:r>
      <w:r w:rsidR="007B1CE6">
        <w:rPr>
          <w:noProof/>
          <w:lang w:val="en-US"/>
        </w:rPr>
        <w:t>2</w:t>
      </w:r>
      <w:r w:rsidRPr="00BF58C2">
        <w:rPr>
          <w:lang w:val="en-US"/>
        </w:rPr>
        <w:fldChar w:fldCharType="end"/>
      </w:r>
      <w:r w:rsidRPr="00BF58C2">
        <w:rPr>
          <w:lang w:val="en-US"/>
        </w:rPr>
        <w:t>.</w:t>
      </w:r>
      <w:r w:rsidRPr="00BF58C2">
        <w:rPr>
          <w:lang w:val="en-US"/>
        </w:rPr>
        <w:fldChar w:fldCharType="begin"/>
      </w:r>
      <w:r w:rsidRPr="00BF58C2">
        <w:rPr>
          <w:lang w:val="en-US"/>
        </w:rPr>
        <w:instrText xml:space="preserve"> SEQ Table \* ARABIC \s 1 </w:instrText>
      </w:r>
      <w:r w:rsidRPr="00BF58C2">
        <w:rPr>
          <w:lang w:val="en-US"/>
        </w:rPr>
        <w:fldChar w:fldCharType="separate"/>
      </w:r>
      <w:r w:rsidR="007B1CE6">
        <w:rPr>
          <w:noProof/>
          <w:lang w:val="en-US"/>
        </w:rPr>
        <w:t>4</w:t>
      </w:r>
      <w:r w:rsidRPr="00BF58C2">
        <w:rPr>
          <w:lang w:val="en-US"/>
        </w:rPr>
        <w:fldChar w:fldCharType="end"/>
      </w:r>
      <w:bookmarkEnd w:id="73"/>
      <w:r w:rsidRPr="00BF58C2">
        <w:rPr>
          <w:b w:val="0"/>
          <w:lang w:val="en-US"/>
        </w:rPr>
        <w:t>: VAT Exemptions and Zero-Rating in Ghana, Africa &amp; the OECD</w:t>
      </w:r>
      <w:bookmarkEnd w:id="74"/>
    </w:p>
    <w:tbl>
      <w:tblPr>
        <w:tblStyle w:val="GridTable6Colorful"/>
        <w:tblW w:w="9256" w:type="dxa"/>
        <w:tblLook w:val="04A0" w:firstRow="1" w:lastRow="0" w:firstColumn="1" w:lastColumn="0" w:noHBand="0" w:noVBand="1"/>
      </w:tblPr>
      <w:tblGrid>
        <w:gridCol w:w="2236"/>
        <w:gridCol w:w="819"/>
        <w:gridCol w:w="1080"/>
        <w:gridCol w:w="1440"/>
        <w:gridCol w:w="1260"/>
        <w:gridCol w:w="1158"/>
        <w:gridCol w:w="1263"/>
      </w:tblGrid>
      <w:tr w:rsidR="00D15C7D" w:rsidRPr="00D40154" w14:paraId="7EBD20A6" w14:textId="77777777" w:rsidTr="00D15C7D">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2236" w:type="dxa"/>
            <w:noWrap/>
            <w:hideMark/>
          </w:tcPr>
          <w:p w14:paraId="4D817A76" w14:textId="77777777" w:rsidR="00D15C7D" w:rsidRPr="00D40154" w:rsidRDefault="00D15C7D" w:rsidP="00D15C7D">
            <w:pPr>
              <w:spacing w:before="60" w:after="60"/>
              <w:jc w:val="both"/>
              <w:rPr>
                <w:rFonts w:cs="Calibri"/>
                <w:sz w:val="20"/>
                <w:szCs w:val="20"/>
              </w:rPr>
            </w:pPr>
            <w:r w:rsidRPr="00D40154">
              <w:rPr>
                <w:rFonts w:cs="Calibri"/>
                <w:sz w:val="20"/>
                <w:szCs w:val="20"/>
              </w:rPr>
              <w:t> </w:t>
            </w:r>
          </w:p>
          <w:p w14:paraId="7B43CD24" w14:textId="77777777" w:rsidR="00D15C7D" w:rsidRPr="00D40154" w:rsidRDefault="00D15C7D" w:rsidP="00D15C7D">
            <w:pPr>
              <w:spacing w:before="60" w:after="60"/>
              <w:jc w:val="both"/>
              <w:rPr>
                <w:rFonts w:cs="Calibri"/>
                <w:sz w:val="20"/>
                <w:szCs w:val="20"/>
              </w:rPr>
            </w:pPr>
          </w:p>
        </w:tc>
        <w:tc>
          <w:tcPr>
            <w:tcW w:w="1899" w:type="dxa"/>
            <w:gridSpan w:val="2"/>
            <w:noWrap/>
            <w:hideMark/>
          </w:tcPr>
          <w:p w14:paraId="7321DAD5" w14:textId="77777777" w:rsidR="00D15C7D" w:rsidRPr="00D40154" w:rsidRDefault="00D15C7D" w:rsidP="00D15C7D">
            <w:pPr>
              <w:spacing w:before="6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 xml:space="preserve">Prevalence of VAT Exemptions </w:t>
            </w:r>
          </w:p>
          <w:p w14:paraId="74D507D9" w14:textId="77777777" w:rsidR="00D15C7D" w:rsidRPr="00D40154" w:rsidRDefault="00D15C7D" w:rsidP="00D15C7D">
            <w:pPr>
              <w:spacing w:after="6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 of Countries)</w:t>
            </w:r>
          </w:p>
        </w:tc>
        <w:tc>
          <w:tcPr>
            <w:tcW w:w="1440" w:type="dxa"/>
            <w:noWrap/>
            <w:hideMark/>
          </w:tcPr>
          <w:p w14:paraId="2B9B1462" w14:textId="77777777" w:rsidR="00D15C7D" w:rsidRPr="00D40154" w:rsidRDefault="00D15C7D" w:rsidP="00D15C7D">
            <w:pPr>
              <w:spacing w:before="60" w:after="6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VAT Exemptions (Yes/No)</w:t>
            </w:r>
          </w:p>
        </w:tc>
        <w:tc>
          <w:tcPr>
            <w:tcW w:w="2418" w:type="dxa"/>
            <w:gridSpan w:val="2"/>
            <w:noWrap/>
            <w:hideMark/>
          </w:tcPr>
          <w:p w14:paraId="7769B383" w14:textId="77777777" w:rsidR="00D15C7D" w:rsidRPr="00D40154" w:rsidRDefault="00D15C7D" w:rsidP="00D15C7D">
            <w:pPr>
              <w:spacing w:before="6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 xml:space="preserve">Prevalence of VAT Zero-Rating </w:t>
            </w:r>
          </w:p>
          <w:p w14:paraId="2D18A679" w14:textId="77777777" w:rsidR="00D15C7D" w:rsidRPr="00D40154" w:rsidRDefault="00D15C7D" w:rsidP="00D15C7D">
            <w:pPr>
              <w:spacing w:after="6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 of Countries)</w:t>
            </w:r>
          </w:p>
        </w:tc>
        <w:tc>
          <w:tcPr>
            <w:tcW w:w="1263" w:type="dxa"/>
          </w:tcPr>
          <w:p w14:paraId="25B7296E" w14:textId="77777777" w:rsidR="00D15C7D" w:rsidRPr="00D40154" w:rsidRDefault="00D15C7D" w:rsidP="00D15C7D">
            <w:pPr>
              <w:spacing w:before="60" w:after="6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VAT Zero-Rating (Yes/No)</w:t>
            </w:r>
          </w:p>
        </w:tc>
      </w:tr>
      <w:tr w:rsidR="00D15C7D" w:rsidRPr="00D40154" w14:paraId="55611002" w14:textId="77777777" w:rsidTr="00D15C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36" w:type="dxa"/>
            <w:noWrap/>
            <w:hideMark/>
          </w:tcPr>
          <w:p w14:paraId="389A6948" w14:textId="77777777" w:rsidR="00D15C7D" w:rsidRPr="00D40154" w:rsidRDefault="00D15C7D" w:rsidP="00D15C7D">
            <w:pPr>
              <w:spacing w:before="60" w:after="60"/>
              <w:jc w:val="both"/>
              <w:rPr>
                <w:rFonts w:cs="Calibri"/>
                <w:sz w:val="20"/>
                <w:szCs w:val="20"/>
              </w:rPr>
            </w:pPr>
            <w:r w:rsidRPr="00D40154">
              <w:rPr>
                <w:rFonts w:cs="Calibri"/>
                <w:sz w:val="20"/>
                <w:szCs w:val="20"/>
              </w:rPr>
              <w:t> </w:t>
            </w:r>
          </w:p>
        </w:tc>
        <w:tc>
          <w:tcPr>
            <w:tcW w:w="819" w:type="dxa"/>
            <w:noWrap/>
            <w:hideMark/>
          </w:tcPr>
          <w:p w14:paraId="16C5B511"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Pr>
            </w:pPr>
            <w:r w:rsidRPr="00D40154">
              <w:rPr>
                <w:rFonts w:cs="Calibri"/>
                <w:b/>
                <w:bCs/>
                <w:sz w:val="20"/>
                <w:szCs w:val="20"/>
              </w:rPr>
              <w:t>Africa</w:t>
            </w:r>
          </w:p>
        </w:tc>
        <w:tc>
          <w:tcPr>
            <w:tcW w:w="1080" w:type="dxa"/>
            <w:noWrap/>
            <w:hideMark/>
          </w:tcPr>
          <w:p w14:paraId="39C012B6"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Pr>
            </w:pPr>
            <w:r w:rsidRPr="00D40154">
              <w:rPr>
                <w:rFonts w:cs="Calibri"/>
                <w:b/>
                <w:bCs/>
                <w:sz w:val="20"/>
                <w:szCs w:val="20"/>
              </w:rPr>
              <w:t>OECD</w:t>
            </w:r>
          </w:p>
        </w:tc>
        <w:tc>
          <w:tcPr>
            <w:tcW w:w="1440" w:type="dxa"/>
            <w:noWrap/>
            <w:hideMark/>
          </w:tcPr>
          <w:p w14:paraId="189A992D"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Pr>
            </w:pPr>
            <w:r w:rsidRPr="00D40154">
              <w:rPr>
                <w:rFonts w:cs="Calibri"/>
                <w:b/>
                <w:bCs/>
                <w:sz w:val="20"/>
                <w:szCs w:val="20"/>
              </w:rPr>
              <w:t>Ghana</w:t>
            </w:r>
          </w:p>
        </w:tc>
        <w:tc>
          <w:tcPr>
            <w:tcW w:w="1260" w:type="dxa"/>
            <w:noWrap/>
            <w:hideMark/>
          </w:tcPr>
          <w:p w14:paraId="7DF30AA4"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Pr>
            </w:pPr>
            <w:r w:rsidRPr="00D40154">
              <w:rPr>
                <w:rFonts w:cs="Calibri"/>
                <w:b/>
                <w:bCs/>
                <w:sz w:val="20"/>
                <w:szCs w:val="20"/>
              </w:rPr>
              <w:t>Africa</w:t>
            </w:r>
          </w:p>
        </w:tc>
        <w:tc>
          <w:tcPr>
            <w:tcW w:w="1158" w:type="dxa"/>
            <w:noWrap/>
            <w:hideMark/>
          </w:tcPr>
          <w:p w14:paraId="6FEC37BA"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Pr>
            </w:pPr>
            <w:r w:rsidRPr="00D40154">
              <w:rPr>
                <w:rFonts w:cs="Calibri"/>
                <w:b/>
                <w:bCs/>
                <w:sz w:val="20"/>
                <w:szCs w:val="20"/>
              </w:rPr>
              <w:t>OECD</w:t>
            </w:r>
          </w:p>
        </w:tc>
        <w:tc>
          <w:tcPr>
            <w:tcW w:w="1263" w:type="dxa"/>
          </w:tcPr>
          <w:p w14:paraId="5422C80A"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b/>
                <w:bCs/>
                <w:sz w:val="20"/>
                <w:szCs w:val="20"/>
              </w:rPr>
            </w:pPr>
            <w:r w:rsidRPr="00D40154">
              <w:rPr>
                <w:rFonts w:cs="Calibri"/>
                <w:b/>
                <w:bCs/>
                <w:sz w:val="20"/>
                <w:szCs w:val="20"/>
              </w:rPr>
              <w:t>Ghana</w:t>
            </w:r>
          </w:p>
        </w:tc>
      </w:tr>
      <w:tr w:rsidR="00D15C7D" w:rsidRPr="00D40154" w14:paraId="19C1EE4E" w14:textId="77777777" w:rsidTr="00D15C7D">
        <w:trPr>
          <w:trHeight w:val="288"/>
        </w:trPr>
        <w:tc>
          <w:tcPr>
            <w:cnfStyle w:val="001000000000" w:firstRow="0" w:lastRow="0" w:firstColumn="1" w:lastColumn="0" w:oddVBand="0" w:evenVBand="0" w:oddHBand="0" w:evenHBand="0" w:firstRowFirstColumn="0" w:firstRowLastColumn="0" w:lastRowFirstColumn="0" w:lastRowLastColumn="0"/>
            <w:tcW w:w="2236" w:type="dxa"/>
            <w:noWrap/>
            <w:hideMark/>
          </w:tcPr>
          <w:p w14:paraId="07AFF78B" w14:textId="77777777" w:rsidR="00D15C7D" w:rsidRPr="00D40154" w:rsidRDefault="00D15C7D" w:rsidP="00D15C7D">
            <w:pPr>
              <w:spacing w:before="60" w:after="60"/>
              <w:rPr>
                <w:rFonts w:cs="Calibri"/>
                <w:sz w:val="20"/>
                <w:szCs w:val="20"/>
              </w:rPr>
            </w:pPr>
            <w:r w:rsidRPr="00D40154">
              <w:rPr>
                <w:rFonts w:cs="Calibri"/>
                <w:sz w:val="20"/>
                <w:szCs w:val="20"/>
              </w:rPr>
              <w:t>Agricultural Inputs</w:t>
            </w:r>
          </w:p>
        </w:tc>
        <w:tc>
          <w:tcPr>
            <w:tcW w:w="819" w:type="dxa"/>
            <w:noWrap/>
            <w:hideMark/>
          </w:tcPr>
          <w:p w14:paraId="04B848AC"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50%</w:t>
            </w:r>
          </w:p>
        </w:tc>
        <w:tc>
          <w:tcPr>
            <w:tcW w:w="1080" w:type="dxa"/>
            <w:noWrap/>
            <w:hideMark/>
          </w:tcPr>
          <w:p w14:paraId="2CC8924D"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9%</w:t>
            </w:r>
          </w:p>
        </w:tc>
        <w:tc>
          <w:tcPr>
            <w:tcW w:w="1440" w:type="dxa"/>
            <w:noWrap/>
            <w:hideMark/>
          </w:tcPr>
          <w:p w14:paraId="25A16712"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Yes</w:t>
            </w:r>
          </w:p>
        </w:tc>
        <w:tc>
          <w:tcPr>
            <w:tcW w:w="1260" w:type="dxa"/>
            <w:noWrap/>
            <w:hideMark/>
          </w:tcPr>
          <w:p w14:paraId="3BFBE1E0"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32%</w:t>
            </w:r>
          </w:p>
        </w:tc>
        <w:tc>
          <w:tcPr>
            <w:tcW w:w="1158" w:type="dxa"/>
            <w:noWrap/>
            <w:hideMark/>
          </w:tcPr>
          <w:p w14:paraId="49151B07"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15%</w:t>
            </w:r>
          </w:p>
        </w:tc>
        <w:tc>
          <w:tcPr>
            <w:tcW w:w="1263" w:type="dxa"/>
          </w:tcPr>
          <w:p w14:paraId="49BAAE6A"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No</w:t>
            </w:r>
          </w:p>
        </w:tc>
      </w:tr>
      <w:tr w:rsidR="00D15C7D" w:rsidRPr="00D40154" w14:paraId="29D7CD51" w14:textId="77777777" w:rsidTr="00D15C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36" w:type="dxa"/>
            <w:noWrap/>
            <w:hideMark/>
          </w:tcPr>
          <w:p w14:paraId="3FDFD8FD" w14:textId="77777777" w:rsidR="00D15C7D" w:rsidRPr="00D40154" w:rsidRDefault="00D15C7D" w:rsidP="00D15C7D">
            <w:pPr>
              <w:spacing w:before="60" w:after="60"/>
              <w:rPr>
                <w:rFonts w:cs="Calibri"/>
                <w:sz w:val="20"/>
                <w:szCs w:val="20"/>
              </w:rPr>
            </w:pPr>
            <w:r w:rsidRPr="00D40154">
              <w:rPr>
                <w:rFonts w:cs="Calibri"/>
                <w:sz w:val="20"/>
                <w:szCs w:val="20"/>
              </w:rPr>
              <w:t>Agricultural Produce</w:t>
            </w:r>
          </w:p>
        </w:tc>
        <w:tc>
          <w:tcPr>
            <w:tcW w:w="819" w:type="dxa"/>
            <w:noWrap/>
            <w:hideMark/>
          </w:tcPr>
          <w:p w14:paraId="099433A9"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71%</w:t>
            </w:r>
          </w:p>
        </w:tc>
        <w:tc>
          <w:tcPr>
            <w:tcW w:w="1080" w:type="dxa"/>
            <w:noWrap/>
            <w:hideMark/>
          </w:tcPr>
          <w:p w14:paraId="158E9464"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6%</w:t>
            </w:r>
          </w:p>
        </w:tc>
        <w:tc>
          <w:tcPr>
            <w:tcW w:w="1440" w:type="dxa"/>
            <w:noWrap/>
            <w:hideMark/>
          </w:tcPr>
          <w:p w14:paraId="19DF8A6F"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Yes</w:t>
            </w:r>
            <w:r w:rsidR="00FE0202">
              <w:rPr>
                <w:rFonts w:cs="Calibri"/>
                <w:sz w:val="20"/>
                <w:szCs w:val="20"/>
              </w:rPr>
              <w:t>*</w:t>
            </w:r>
          </w:p>
        </w:tc>
        <w:tc>
          <w:tcPr>
            <w:tcW w:w="1260" w:type="dxa"/>
            <w:noWrap/>
            <w:hideMark/>
          </w:tcPr>
          <w:p w14:paraId="2FCE9074"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50%</w:t>
            </w:r>
          </w:p>
        </w:tc>
        <w:tc>
          <w:tcPr>
            <w:tcW w:w="1158" w:type="dxa"/>
            <w:noWrap/>
            <w:hideMark/>
          </w:tcPr>
          <w:p w14:paraId="22887A99"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27%</w:t>
            </w:r>
          </w:p>
        </w:tc>
        <w:tc>
          <w:tcPr>
            <w:tcW w:w="1263" w:type="dxa"/>
          </w:tcPr>
          <w:p w14:paraId="68D40BDB"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No</w:t>
            </w:r>
          </w:p>
        </w:tc>
      </w:tr>
      <w:tr w:rsidR="00D15C7D" w:rsidRPr="00D40154" w14:paraId="27062C3C" w14:textId="77777777" w:rsidTr="00D15C7D">
        <w:trPr>
          <w:trHeight w:val="288"/>
        </w:trPr>
        <w:tc>
          <w:tcPr>
            <w:cnfStyle w:val="001000000000" w:firstRow="0" w:lastRow="0" w:firstColumn="1" w:lastColumn="0" w:oddVBand="0" w:evenVBand="0" w:oddHBand="0" w:evenHBand="0" w:firstRowFirstColumn="0" w:firstRowLastColumn="0" w:lastRowFirstColumn="0" w:lastRowLastColumn="0"/>
            <w:tcW w:w="2236" w:type="dxa"/>
            <w:noWrap/>
            <w:hideMark/>
          </w:tcPr>
          <w:p w14:paraId="56EC6076" w14:textId="77777777" w:rsidR="00D15C7D" w:rsidRPr="00D40154" w:rsidRDefault="00D15C7D" w:rsidP="00D15C7D">
            <w:pPr>
              <w:spacing w:before="60" w:after="60"/>
              <w:rPr>
                <w:rFonts w:cs="Calibri"/>
                <w:sz w:val="20"/>
                <w:szCs w:val="20"/>
              </w:rPr>
            </w:pPr>
            <w:r w:rsidRPr="00D40154">
              <w:rPr>
                <w:rFonts w:cs="Calibri"/>
                <w:sz w:val="20"/>
                <w:szCs w:val="20"/>
              </w:rPr>
              <w:t>Transportation</w:t>
            </w:r>
          </w:p>
        </w:tc>
        <w:tc>
          <w:tcPr>
            <w:tcW w:w="819" w:type="dxa"/>
            <w:noWrap/>
            <w:hideMark/>
          </w:tcPr>
          <w:p w14:paraId="453D6602"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68%</w:t>
            </w:r>
          </w:p>
        </w:tc>
        <w:tc>
          <w:tcPr>
            <w:tcW w:w="1080" w:type="dxa"/>
            <w:noWrap/>
            <w:hideMark/>
          </w:tcPr>
          <w:p w14:paraId="5F7F3E14"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24%</w:t>
            </w:r>
          </w:p>
        </w:tc>
        <w:tc>
          <w:tcPr>
            <w:tcW w:w="1440" w:type="dxa"/>
            <w:noWrap/>
            <w:hideMark/>
          </w:tcPr>
          <w:p w14:paraId="2F7D7FED"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Yes</w:t>
            </w:r>
          </w:p>
        </w:tc>
        <w:tc>
          <w:tcPr>
            <w:tcW w:w="1260" w:type="dxa"/>
            <w:noWrap/>
            <w:hideMark/>
          </w:tcPr>
          <w:p w14:paraId="7CA167D5"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39%</w:t>
            </w:r>
          </w:p>
        </w:tc>
        <w:tc>
          <w:tcPr>
            <w:tcW w:w="1158" w:type="dxa"/>
            <w:noWrap/>
            <w:hideMark/>
          </w:tcPr>
          <w:p w14:paraId="5719542F"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30%</w:t>
            </w:r>
          </w:p>
        </w:tc>
        <w:tc>
          <w:tcPr>
            <w:tcW w:w="1263" w:type="dxa"/>
          </w:tcPr>
          <w:p w14:paraId="01BF6805"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Yes</w:t>
            </w:r>
          </w:p>
        </w:tc>
      </w:tr>
      <w:tr w:rsidR="00D15C7D" w:rsidRPr="00D40154" w14:paraId="660258CB" w14:textId="77777777" w:rsidTr="00D15C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36" w:type="dxa"/>
            <w:noWrap/>
            <w:hideMark/>
          </w:tcPr>
          <w:p w14:paraId="32DBB7EA" w14:textId="77777777" w:rsidR="00D15C7D" w:rsidRPr="00D40154" w:rsidRDefault="00D15C7D" w:rsidP="00D15C7D">
            <w:pPr>
              <w:spacing w:before="60" w:after="60"/>
              <w:rPr>
                <w:rFonts w:cs="Calibri"/>
                <w:sz w:val="20"/>
                <w:szCs w:val="20"/>
              </w:rPr>
            </w:pPr>
            <w:r w:rsidRPr="00D40154">
              <w:rPr>
                <w:rFonts w:cs="Calibri"/>
                <w:sz w:val="20"/>
                <w:szCs w:val="20"/>
              </w:rPr>
              <w:t>Real Estate</w:t>
            </w:r>
          </w:p>
        </w:tc>
        <w:tc>
          <w:tcPr>
            <w:tcW w:w="819" w:type="dxa"/>
            <w:noWrap/>
            <w:hideMark/>
          </w:tcPr>
          <w:p w14:paraId="322B6CBE"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71%</w:t>
            </w:r>
          </w:p>
        </w:tc>
        <w:tc>
          <w:tcPr>
            <w:tcW w:w="1080" w:type="dxa"/>
            <w:noWrap/>
            <w:hideMark/>
          </w:tcPr>
          <w:p w14:paraId="46F77B9B"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100%</w:t>
            </w:r>
          </w:p>
        </w:tc>
        <w:tc>
          <w:tcPr>
            <w:tcW w:w="1440" w:type="dxa"/>
            <w:noWrap/>
            <w:hideMark/>
          </w:tcPr>
          <w:p w14:paraId="1F4DC732"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No</w:t>
            </w:r>
          </w:p>
        </w:tc>
        <w:tc>
          <w:tcPr>
            <w:tcW w:w="1260" w:type="dxa"/>
            <w:noWrap/>
            <w:hideMark/>
          </w:tcPr>
          <w:p w14:paraId="05DF937F"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7%</w:t>
            </w:r>
          </w:p>
        </w:tc>
        <w:tc>
          <w:tcPr>
            <w:tcW w:w="1158" w:type="dxa"/>
            <w:noWrap/>
            <w:hideMark/>
          </w:tcPr>
          <w:p w14:paraId="6D2A29CE"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3%</w:t>
            </w:r>
          </w:p>
        </w:tc>
        <w:tc>
          <w:tcPr>
            <w:tcW w:w="1263" w:type="dxa"/>
          </w:tcPr>
          <w:p w14:paraId="0592A64C"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No</w:t>
            </w:r>
          </w:p>
        </w:tc>
      </w:tr>
      <w:tr w:rsidR="00D15C7D" w:rsidRPr="00D40154" w14:paraId="477A56D8" w14:textId="77777777" w:rsidTr="00D15C7D">
        <w:trPr>
          <w:trHeight w:val="288"/>
        </w:trPr>
        <w:tc>
          <w:tcPr>
            <w:cnfStyle w:val="001000000000" w:firstRow="0" w:lastRow="0" w:firstColumn="1" w:lastColumn="0" w:oddVBand="0" w:evenVBand="0" w:oddHBand="0" w:evenHBand="0" w:firstRowFirstColumn="0" w:firstRowLastColumn="0" w:lastRowFirstColumn="0" w:lastRowLastColumn="0"/>
            <w:tcW w:w="2236" w:type="dxa"/>
            <w:noWrap/>
            <w:hideMark/>
          </w:tcPr>
          <w:p w14:paraId="031563E1" w14:textId="77777777" w:rsidR="00D15C7D" w:rsidRPr="00D40154" w:rsidRDefault="00D15C7D" w:rsidP="00D15C7D">
            <w:pPr>
              <w:spacing w:before="60" w:after="60"/>
              <w:rPr>
                <w:rFonts w:cs="Calibri"/>
                <w:sz w:val="20"/>
                <w:szCs w:val="20"/>
              </w:rPr>
            </w:pPr>
            <w:r w:rsidRPr="00D40154">
              <w:rPr>
                <w:rFonts w:cs="Calibri"/>
                <w:sz w:val="20"/>
                <w:szCs w:val="20"/>
              </w:rPr>
              <w:t>Education</w:t>
            </w:r>
          </w:p>
        </w:tc>
        <w:tc>
          <w:tcPr>
            <w:tcW w:w="819" w:type="dxa"/>
            <w:noWrap/>
            <w:hideMark/>
          </w:tcPr>
          <w:p w14:paraId="66A55314"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93%</w:t>
            </w:r>
          </w:p>
        </w:tc>
        <w:tc>
          <w:tcPr>
            <w:tcW w:w="1080" w:type="dxa"/>
            <w:noWrap/>
            <w:hideMark/>
          </w:tcPr>
          <w:p w14:paraId="6F7103C7"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12%</w:t>
            </w:r>
          </w:p>
        </w:tc>
        <w:tc>
          <w:tcPr>
            <w:tcW w:w="1440" w:type="dxa"/>
            <w:noWrap/>
            <w:hideMark/>
          </w:tcPr>
          <w:p w14:paraId="5DAACE25"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Yes</w:t>
            </w:r>
          </w:p>
        </w:tc>
        <w:tc>
          <w:tcPr>
            <w:tcW w:w="1260" w:type="dxa"/>
            <w:noWrap/>
            <w:hideMark/>
          </w:tcPr>
          <w:p w14:paraId="7CB34E29"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18%</w:t>
            </w:r>
          </w:p>
        </w:tc>
        <w:tc>
          <w:tcPr>
            <w:tcW w:w="1158" w:type="dxa"/>
            <w:noWrap/>
            <w:hideMark/>
          </w:tcPr>
          <w:p w14:paraId="05CA6A3E"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w:t>
            </w:r>
          </w:p>
        </w:tc>
        <w:tc>
          <w:tcPr>
            <w:tcW w:w="1263" w:type="dxa"/>
          </w:tcPr>
          <w:p w14:paraId="415A7D01"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No</w:t>
            </w:r>
          </w:p>
        </w:tc>
      </w:tr>
      <w:tr w:rsidR="00D15C7D" w:rsidRPr="00D40154" w14:paraId="38F6E1A9" w14:textId="77777777" w:rsidTr="00D15C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36" w:type="dxa"/>
            <w:noWrap/>
            <w:hideMark/>
          </w:tcPr>
          <w:p w14:paraId="3B62813F" w14:textId="77777777" w:rsidR="00D15C7D" w:rsidRPr="00D40154" w:rsidRDefault="00D15C7D" w:rsidP="00D15C7D">
            <w:pPr>
              <w:spacing w:before="60" w:after="60"/>
              <w:rPr>
                <w:rFonts w:cs="Calibri"/>
                <w:sz w:val="20"/>
                <w:szCs w:val="20"/>
              </w:rPr>
            </w:pPr>
            <w:r w:rsidRPr="00D40154">
              <w:rPr>
                <w:rFonts w:cs="Calibri"/>
                <w:sz w:val="20"/>
                <w:szCs w:val="20"/>
              </w:rPr>
              <w:t>Health/Pharma</w:t>
            </w:r>
          </w:p>
        </w:tc>
        <w:tc>
          <w:tcPr>
            <w:tcW w:w="819" w:type="dxa"/>
            <w:noWrap/>
            <w:hideMark/>
          </w:tcPr>
          <w:p w14:paraId="4D05337D"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79%</w:t>
            </w:r>
          </w:p>
        </w:tc>
        <w:tc>
          <w:tcPr>
            <w:tcW w:w="1080" w:type="dxa"/>
            <w:noWrap/>
            <w:hideMark/>
          </w:tcPr>
          <w:p w14:paraId="5B9527F0"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94%</w:t>
            </w:r>
          </w:p>
        </w:tc>
        <w:tc>
          <w:tcPr>
            <w:tcW w:w="1440" w:type="dxa"/>
            <w:noWrap/>
            <w:hideMark/>
          </w:tcPr>
          <w:p w14:paraId="042A00C0"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Yes</w:t>
            </w:r>
          </w:p>
        </w:tc>
        <w:tc>
          <w:tcPr>
            <w:tcW w:w="1260" w:type="dxa"/>
            <w:noWrap/>
            <w:hideMark/>
          </w:tcPr>
          <w:p w14:paraId="5A6B8211"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29%</w:t>
            </w:r>
          </w:p>
        </w:tc>
        <w:tc>
          <w:tcPr>
            <w:tcW w:w="1158" w:type="dxa"/>
            <w:noWrap/>
            <w:hideMark/>
          </w:tcPr>
          <w:p w14:paraId="6969A87B"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27%</w:t>
            </w:r>
          </w:p>
        </w:tc>
        <w:tc>
          <w:tcPr>
            <w:tcW w:w="1263" w:type="dxa"/>
          </w:tcPr>
          <w:p w14:paraId="15715C84"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No</w:t>
            </w:r>
          </w:p>
        </w:tc>
      </w:tr>
      <w:tr w:rsidR="00D15C7D" w:rsidRPr="00D40154" w14:paraId="6B11AD52" w14:textId="77777777" w:rsidTr="00D15C7D">
        <w:trPr>
          <w:trHeight w:val="288"/>
        </w:trPr>
        <w:tc>
          <w:tcPr>
            <w:cnfStyle w:val="001000000000" w:firstRow="0" w:lastRow="0" w:firstColumn="1" w:lastColumn="0" w:oddVBand="0" w:evenVBand="0" w:oddHBand="0" w:evenHBand="0" w:firstRowFirstColumn="0" w:firstRowLastColumn="0" w:lastRowFirstColumn="0" w:lastRowLastColumn="0"/>
            <w:tcW w:w="2236" w:type="dxa"/>
            <w:noWrap/>
            <w:hideMark/>
          </w:tcPr>
          <w:p w14:paraId="723BE297" w14:textId="77777777" w:rsidR="00D15C7D" w:rsidRPr="00D40154" w:rsidRDefault="00D15C7D" w:rsidP="00D15C7D">
            <w:pPr>
              <w:spacing w:before="60" w:after="60"/>
              <w:rPr>
                <w:rFonts w:cs="Calibri"/>
                <w:sz w:val="20"/>
                <w:szCs w:val="20"/>
              </w:rPr>
            </w:pPr>
            <w:r w:rsidRPr="00D40154">
              <w:rPr>
                <w:rFonts w:cs="Calibri"/>
                <w:sz w:val="20"/>
                <w:szCs w:val="20"/>
              </w:rPr>
              <w:t>Capital Goods</w:t>
            </w:r>
          </w:p>
        </w:tc>
        <w:tc>
          <w:tcPr>
            <w:tcW w:w="819" w:type="dxa"/>
            <w:noWrap/>
            <w:hideMark/>
          </w:tcPr>
          <w:p w14:paraId="7E709EA8"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11%</w:t>
            </w:r>
          </w:p>
        </w:tc>
        <w:tc>
          <w:tcPr>
            <w:tcW w:w="1080" w:type="dxa"/>
            <w:noWrap/>
            <w:hideMark/>
          </w:tcPr>
          <w:p w14:paraId="41839123"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w:t>
            </w:r>
          </w:p>
        </w:tc>
        <w:tc>
          <w:tcPr>
            <w:tcW w:w="1440" w:type="dxa"/>
            <w:noWrap/>
            <w:hideMark/>
          </w:tcPr>
          <w:p w14:paraId="6F63BA2A"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No</w:t>
            </w:r>
          </w:p>
        </w:tc>
        <w:tc>
          <w:tcPr>
            <w:tcW w:w="1260" w:type="dxa"/>
            <w:noWrap/>
            <w:hideMark/>
          </w:tcPr>
          <w:p w14:paraId="5FE9BDEA"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4%</w:t>
            </w:r>
          </w:p>
        </w:tc>
        <w:tc>
          <w:tcPr>
            <w:tcW w:w="1158" w:type="dxa"/>
            <w:noWrap/>
            <w:hideMark/>
          </w:tcPr>
          <w:p w14:paraId="2527A023"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9%</w:t>
            </w:r>
          </w:p>
        </w:tc>
        <w:tc>
          <w:tcPr>
            <w:tcW w:w="1263" w:type="dxa"/>
          </w:tcPr>
          <w:p w14:paraId="7C37284B"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No</w:t>
            </w:r>
          </w:p>
        </w:tc>
      </w:tr>
      <w:tr w:rsidR="00D15C7D" w:rsidRPr="00D40154" w14:paraId="52A42FB5" w14:textId="77777777" w:rsidTr="00D15C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36" w:type="dxa"/>
            <w:noWrap/>
            <w:hideMark/>
          </w:tcPr>
          <w:p w14:paraId="2033082B" w14:textId="77777777" w:rsidR="00D15C7D" w:rsidRPr="00D40154" w:rsidRDefault="00D15C7D" w:rsidP="00D15C7D">
            <w:pPr>
              <w:spacing w:before="60" w:after="60"/>
              <w:rPr>
                <w:rFonts w:cs="Calibri"/>
                <w:sz w:val="20"/>
                <w:szCs w:val="20"/>
              </w:rPr>
            </w:pPr>
            <w:r w:rsidRPr="00D40154">
              <w:rPr>
                <w:rFonts w:cs="Calibri"/>
                <w:sz w:val="20"/>
                <w:szCs w:val="20"/>
              </w:rPr>
              <w:t>Fuel</w:t>
            </w:r>
          </w:p>
        </w:tc>
        <w:tc>
          <w:tcPr>
            <w:tcW w:w="819" w:type="dxa"/>
            <w:noWrap/>
            <w:hideMark/>
          </w:tcPr>
          <w:p w14:paraId="60CD2A51"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7%</w:t>
            </w:r>
          </w:p>
        </w:tc>
        <w:tc>
          <w:tcPr>
            <w:tcW w:w="1080" w:type="dxa"/>
            <w:noWrap/>
            <w:hideMark/>
          </w:tcPr>
          <w:p w14:paraId="39DD5751"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w:t>
            </w:r>
          </w:p>
        </w:tc>
        <w:tc>
          <w:tcPr>
            <w:tcW w:w="1440" w:type="dxa"/>
            <w:noWrap/>
            <w:hideMark/>
          </w:tcPr>
          <w:p w14:paraId="7B6B9BDC"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Yes</w:t>
            </w:r>
          </w:p>
        </w:tc>
        <w:tc>
          <w:tcPr>
            <w:tcW w:w="1260" w:type="dxa"/>
            <w:noWrap/>
            <w:hideMark/>
          </w:tcPr>
          <w:p w14:paraId="6A47342A"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w:t>
            </w:r>
          </w:p>
        </w:tc>
        <w:tc>
          <w:tcPr>
            <w:tcW w:w="1158" w:type="dxa"/>
            <w:noWrap/>
            <w:hideMark/>
          </w:tcPr>
          <w:p w14:paraId="48A9292A"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3%</w:t>
            </w:r>
          </w:p>
        </w:tc>
        <w:tc>
          <w:tcPr>
            <w:tcW w:w="1263" w:type="dxa"/>
          </w:tcPr>
          <w:p w14:paraId="1C9D1E68"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No</w:t>
            </w:r>
          </w:p>
        </w:tc>
      </w:tr>
      <w:tr w:rsidR="00D15C7D" w:rsidRPr="00D40154" w14:paraId="35B1D2A0" w14:textId="77777777" w:rsidTr="00D15C7D">
        <w:trPr>
          <w:trHeight w:val="288"/>
        </w:trPr>
        <w:tc>
          <w:tcPr>
            <w:cnfStyle w:val="001000000000" w:firstRow="0" w:lastRow="0" w:firstColumn="1" w:lastColumn="0" w:oddVBand="0" w:evenVBand="0" w:oddHBand="0" w:evenHBand="0" w:firstRowFirstColumn="0" w:firstRowLastColumn="0" w:lastRowFirstColumn="0" w:lastRowLastColumn="0"/>
            <w:tcW w:w="2236" w:type="dxa"/>
            <w:noWrap/>
            <w:hideMark/>
          </w:tcPr>
          <w:p w14:paraId="7FC707DE" w14:textId="77777777" w:rsidR="00D15C7D" w:rsidRPr="00D40154" w:rsidRDefault="00D15C7D" w:rsidP="00D15C7D">
            <w:pPr>
              <w:spacing w:before="60" w:after="60"/>
              <w:rPr>
                <w:rFonts w:cs="Calibri"/>
                <w:sz w:val="20"/>
                <w:szCs w:val="20"/>
              </w:rPr>
            </w:pPr>
            <w:r w:rsidRPr="00D40154">
              <w:rPr>
                <w:rFonts w:cs="Calibri"/>
                <w:sz w:val="20"/>
                <w:szCs w:val="20"/>
              </w:rPr>
              <w:t>Cultural</w:t>
            </w:r>
          </w:p>
        </w:tc>
        <w:tc>
          <w:tcPr>
            <w:tcW w:w="819" w:type="dxa"/>
            <w:noWrap/>
            <w:hideMark/>
          </w:tcPr>
          <w:p w14:paraId="1185DD0B"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64%</w:t>
            </w:r>
          </w:p>
        </w:tc>
        <w:tc>
          <w:tcPr>
            <w:tcW w:w="1080" w:type="dxa"/>
            <w:noWrap/>
            <w:hideMark/>
          </w:tcPr>
          <w:p w14:paraId="577D992E"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97%</w:t>
            </w:r>
          </w:p>
        </w:tc>
        <w:tc>
          <w:tcPr>
            <w:tcW w:w="1440" w:type="dxa"/>
            <w:noWrap/>
            <w:hideMark/>
          </w:tcPr>
          <w:p w14:paraId="086A5DAB"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Yes</w:t>
            </w:r>
          </w:p>
        </w:tc>
        <w:tc>
          <w:tcPr>
            <w:tcW w:w="1260" w:type="dxa"/>
            <w:noWrap/>
            <w:hideMark/>
          </w:tcPr>
          <w:p w14:paraId="7398286F"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4%</w:t>
            </w:r>
          </w:p>
        </w:tc>
        <w:tc>
          <w:tcPr>
            <w:tcW w:w="1158" w:type="dxa"/>
            <w:noWrap/>
            <w:hideMark/>
          </w:tcPr>
          <w:p w14:paraId="2F5416D2"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27%</w:t>
            </w:r>
          </w:p>
        </w:tc>
        <w:tc>
          <w:tcPr>
            <w:tcW w:w="1263" w:type="dxa"/>
          </w:tcPr>
          <w:p w14:paraId="47FC50BA"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No</w:t>
            </w:r>
          </w:p>
        </w:tc>
      </w:tr>
      <w:tr w:rsidR="00D15C7D" w:rsidRPr="00D40154" w14:paraId="18D396BF" w14:textId="77777777" w:rsidTr="00D15C7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36" w:type="dxa"/>
            <w:noWrap/>
            <w:hideMark/>
          </w:tcPr>
          <w:p w14:paraId="01EA22EA" w14:textId="77777777" w:rsidR="00D15C7D" w:rsidRPr="00D40154" w:rsidRDefault="00D15C7D" w:rsidP="00D15C7D">
            <w:pPr>
              <w:spacing w:before="60" w:after="60"/>
              <w:rPr>
                <w:rFonts w:cs="Calibri"/>
                <w:sz w:val="20"/>
                <w:szCs w:val="20"/>
              </w:rPr>
            </w:pPr>
            <w:r w:rsidRPr="00D40154">
              <w:rPr>
                <w:rFonts w:cs="Calibri"/>
                <w:sz w:val="20"/>
                <w:szCs w:val="20"/>
              </w:rPr>
              <w:t>Finance (Excluding Insurance)</w:t>
            </w:r>
          </w:p>
        </w:tc>
        <w:tc>
          <w:tcPr>
            <w:tcW w:w="819" w:type="dxa"/>
            <w:noWrap/>
            <w:hideMark/>
          </w:tcPr>
          <w:p w14:paraId="0E4A15DF"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82%</w:t>
            </w:r>
          </w:p>
        </w:tc>
        <w:tc>
          <w:tcPr>
            <w:tcW w:w="1080" w:type="dxa"/>
            <w:noWrap/>
            <w:hideMark/>
          </w:tcPr>
          <w:p w14:paraId="4B35BB98"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100%</w:t>
            </w:r>
          </w:p>
        </w:tc>
        <w:tc>
          <w:tcPr>
            <w:tcW w:w="1440" w:type="dxa"/>
            <w:noWrap/>
            <w:hideMark/>
          </w:tcPr>
          <w:p w14:paraId="676A8DCF"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Yes</w:t>
            </w:r>
          </w:p>
        </w:tc>
        <w:tc>
          <w:tcPr>
            <w:tcW w:w="1260" w:type="dxa"/>
            <w:noWrap/>
            <w:hideMark/>
          </w:tcPr>
          <w:p w14:paraId="7DCF24FF"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7%</w:t>
            </w:r>
          </w:p>
        </w:tc>
        <w:tc>
          <w:tcPr>
            <w:tcW w:w="1158" w:type="dxa"/>
            <w:noWrap/>
            <w:hideMark/>
          </w:tcPr>
          <w:p w14:paraId="0ECB52EF"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6%</w:t>
            </w:r>
          </w:p>
        </w:tc>
        <w:tc>
          <w:tcPr>
            <w:tcW w:w="1263" w:type="dxa"/>
          </w:tcPr>
          <w:p w14:paraId="29395DE3"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No</w:t>
            </w:r>
          </w:p>
        </w:tc>
      </w:tr>
      <w:tr w:rsidR="00D15C7D" w:rsidRPr="00D40154" w14:paraId="343C6B29" w14:textId="77777777" w:rsidTr="00D15C7D">
        <w:trPr>
          <w:trHeight w:val="278"/>
        </w:trPr>
        <w:tc>
          <w:tcPr>
            <w:cnfStyle w:val="001000000000" w:firstRow="0" w:lastRow="0" w:firstColumn="1" w:lastColumn="0" w:oddVBand="0" w:evenVBand="0" w:oddHBand="0" w:evenHBand="0" w:firstRowFirstColumn="0" w:firstRowLastColumn="0" w:lastRowFirstColumn="0" w:lastRowLastColumn="0"/>
            <w:tcW w:w="2236" w:type="dxa"/>
            <w:hideMark/>
          </w:tcPr>
          <w:p w14:paraId="084AE998" w14:textId="77777777" w:rsidR="00D15C7D" w:rsidRPr="00D40154" w:rsidRDefault="00D15C7D" w:rsidP="00D15C7D">
            <w:pPr>
              <w:spacing w:before="60" w:after="60"/>
              <w:rPr>
                <w:rFonts w:cs="Calibri"/>
                <w:sz w:val="20"/>
                <w:szCs w:val="20"/>
              </w:rPr>
            </w:pPr>
            <w:r w:rsidRPr="00D40154">
              <w:rPr>
                <w:rFonts w:cs="Calibri"/>
                <w:sz w:val="20"/>
                <w:szCs w:val="20"/>
              </w:rPr>
              <w:t>Mining and Petroleum</w:t>
            </w:r>
            <w:r w:rsidR="00FE0202">
              <w:rPr>
                <w:rFonts w:cs="Calibri"/>
                <w:sz w:val="20"/>
                <w:szCs w:val="20"/>
              </w:rPr>
              <w:t>**</w:t>
            </w:r>
          </w:p>
        </w:tc>
        <w:tc>
          <w:tcPr>
            <w:tcW w:w="819" w:type="dxa"/>
            <w:hideMark/>
          </w:tcPr>
          <w:p w14:paraId="3CF01548"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36%</w:t>
            </w:r>
          </w:p>
        </w:tc>
        <w:tc>
          <w:tcPr>
            <w:tcW w:w="1080" w:type="dxa"/>
            <w:noWrap/>
            <w:hideMark/>
          </w:tcPr>
          <w:p w14:paraId="616D334F"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w:t>
            </w:r>
          </w:p>
        </w:tc>
        <w:tc>
          <w:tcPr>
            <w:tcW w:w="1440" w:type="dxa"/>
            <w:noWrap/>
            <w:hideMark/>
          </w:tcPr>
          <w:p w14:paraId="35565AD5"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Yes</w:t>
            </w:r>
          </w:p>
        </w:tc>
        <w:tc>
          <w:tcPr>
            <w:tcW w:w="1260" w:type="dxa"/>
            <w:noWrap/>
            <w:hideMark/>
          </w:tcPr>
          <w:p w14:paraId="4CE75DE4"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11%</w:t>
            </w:r>
          </w:p>
        </w:tc>
        <w:tc>
          <w:tcPr>
            <w:tcW w:w="1158" w:type="dxa"/>
            <w:noWrap/>
            <w:hideMark/>
          </w:tcPr>
          <w:p w14:paraId="6309DCBA"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w:t>
            </w:r>
          </w:p>
        </w:tc>
        <w:tc>
          <w:tcPr>
            <w:tcW w:w="1263" w:type="dxa"/>
          </w:tcPr>
          <w:p w14:paraId="0C65B0CD"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No</w:t>
            </w:r>
          </w:p>
        </w:tc>
      </w:tr>
      <w:tr w:rsidR="00D15C7D" w:rsidRPr="00D40154" w14:paraId="6BBAD935" w14:textId="77777777" w:rsidTr="00D15C7D">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236" w:type="dxa"/>
            <w:hideMark/>
          </w:tcPr>
          <w:p w14:paraId="0CE7D0B3" w14:textId="77777777" w:rsidR="00D15C7D" w:rsidRPr="00D40154" w:rsidRDefault="00D15C7D" w:rsidP="00D15C7D">
            <w:pPr>
              <w:spacing w:before="60" w:after="60"/>
              <w:rPr>
                <w:rFonts w:cs="Calibri"/>
                <w:sz w:val="20"/>
                <w:szCs w:val="20"/>
              </w:rPr>
            </w:pPr>
            <w:r w:rsidRPr="00D40154">
              <w:rPr>
                <w:rFonts w:cs="Calibri"/>
                <w:sz w:val="20"/>
                <w:szCs w:val="20"/>
              </w:rPr>
              <w:t>Charitable</w:t>
            </w:r>
          </w:p>
        </w:tc>
        <w:tc>
          <w:tcPr>
            <w:tcW w:w="819" w:type="dxa"/>
            <w:noWrap/>
            <w:hideMark/>
          </w:tcPr>
          <w:p w14:paraId="343E1D79"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7%</w:t>
            </w:r>
          </w:p>
        </w:tc>
        <w:tc>
          <w:tcPr>
            <w:tcW w:w="1080" w:type="dxa"/>
            <w:noWrap/>
            <w:hideMark/>
          </w:tcPr>
          <w:p w14:paraId="4DFD7882"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97%</w:t>
            </w:r>
          </w:p>
        </w:tc>
        <w:tc>
          <w:tcPr>
            <w:tcW w:w="1440" w:type="dxa"/>
            <w:noWrap/>
            <w:hideMark/>
          </w:tcPr>
          <w:p w14:paraId="1004ECFE"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No</w:t>
            </w:r>
          </w:p>
        </w:tc>
        <w:tc>
          <w:tcPr>
            <w:tcW w:w="1260" w:type="dxa"/>
            <w:noWrap/>
            <w:hideMark/>
          </w:tcPr>
          <w:p w14:paraId="280496FB"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4%</w:t>
            </w:r>
          </w:p>
        </w:tc>
        <w:tc>
          <w:tcPr>
            <w:tcW w:w="1158" w:type="dxa"/>
            <w:noWrap/>
            <w:hideMark/>
          </w:tcPr>
          <w:p w14:paraId="5320D254"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6%</w:t>
            </w:r>
          </w:p>
        </w:tc>
        <w:tc>
          <w:tcPr>
            <w:tcW w:w="1263" w:type="dxa"/>
          </w:tcPr>
          <w:p w14:paraId="2D31D4BB"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No</w:t>
            </w:r>
          </w:p>
        </w:tc>
      </w:tr>
      <w:tr w:rsidR="00D15C7D" w:rsidRPr="00D40154" w14:paraId="678A6859" w14:textId="77777777" w:rsidTr="00D15C7D">
        <w:trPr>
          <w:trHeight w:val="288"/>
        </w:trPr>
        <w:tc>
          <w:tcPr>
            <w:cnfStyle w:val="001000000000" w:firstRow="0" w:lastRow="0" w:firstColumn="1" w:lastColumn="0" w:oddVBand="0" w:evenVBand="0" w:oddHBand="0" w:evenHBand="0" w:firstRowFirstColumn="0" w:firstRowLastColumn="0" w:lastRowFirstColumn="0" w:lastRowLastColumn="0"/>
            <w:tcW w:w="2236" w:type="dxa"/>
            <w:hideMark/>
          </w:tcPr>
          <w:p w14:paraId="7A2BA6D5" w14:textId="77777777" w:rsidR="00D15C7D" w:rsidRPr="00D40154" w:rsidRDefault="00D15C7D" w:rsidP="00D15C7D">
            <w:pPr>
              <w:spacing w:before="60" w:after="60"/>
              <w:rPr>
                <w:rFonts w:cs="Calibri"/>
                <w:sz w:val="20"/>
                <w:szCs w:val="20"/>
              </w:rPr>
            </w:pPr>
            <w:r w:rsidRPr="00D40154">
              <w:rPr>
                <w:rFonts w:cs="Calibri"/>
                <w:sz w:val="20"/>
                <w:szCs w:val="20"/>
              </w:rPr>
              <w:t>Construction</w:t>
            </w:r>
          </w:p>
        </w:tc>
        <w:tc>
          <w:tcPr>
            <w:tcW w:w="819" w:type="dxa"/>
            <w:noWrap/>
            <w:hideMark/>
          </w:tcPr>
          <w:p w14:paraId="77AC3ED3"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7%</w:t>
            </w:r>
          </w:p>
        </w:tc>
        <w:tc>
          <w:tcPr>
            <w:tcW w:w="1080" w:type="dxa"/>
            <w:noWrap/>
            <w:hideMark/>
          </w:tcPr>
          <w:p w14:paraId="25F311D3"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12%</w:t>
            </w:r>
          </w:p>
        </w:tc>
        <w:tc>
          <w:tcPr>
            <w:tcW w:w="1440" w:type="dxa"/>
            <w:noWrap/>
            <w:hideMark/>
          </w:tcPr>
          <w:p w14:paraId="78FF9827"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No</w:t>
            </w:r>
          </w:p>
        </w:tc>
        <w:tc>
          <w:tcPr>
            <w:tcW w:w="1260" w:type="dxa"/>
            <w:noWrap/>
            <w:hideMark/>
          </w:tcPr>
          <w:p w14:paraId="007CFB78"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w:t>
            </w:r>
          </w:p>
        </w:tc>
        <w:tc>
          <w:tcPr>
            <w:tcW w:w="1158" w:type="dxa"/>
            <w:noWrap/>
            <w:hideMark/>
          </w:tcPr>
          <w:p w14:paraId="55C7E244"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6%</w:t>
            </w:r>
          </w:p>
        </w:tc>
        <w:tc>
          <w:tcPr>
            <w:tcW w:w="1263" w:type="dxa"/>
          </w:tcPr>
          <w:p w14:paraId="704022F8"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No</w:t>
            </w:r>
          </w:p>
        </w:tc>
      </w:tr>
      <w:tr w:rsidR="00D15C7D" w:rsidRPr="00D40154" w14:paraId="34F89F7A" w14:textId="77777777" w:rsidTr="00D15C7D">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36" w:type="dxa"/>
            <w:hideMark/>
          </w:tcPr>
          <w:p w14:paraId="43D1F9AB" w14:textId="77777777" w:rsidR="00D15C7D" w:rsidRPr="00D40154" w:rsidRDefault="00D15C7D" w:rsidP="00D15C7D">
            <w:pPr>
              <w:spacing w:before="60" w:after="60"/>
              <w:rPr>
                <w:rFonts w:cs="Calibri"/>
                <w:sz w:val="20"/>
                <w:szCs w:val="20"/>
              </w:rPr>
            </w:pPr>
            <w:r w:rsidRPr="00D40154">
              <w:rPr>
                <w:rFonts w:cs="Calibri"/>
                <w:sz w:val="20"/>
                <w:szCs w:val="20"/>
              </w:rPr>
              <w:t>Tourism</w:t>
            </w:r>
          </w:p>
        </w:tc>
        <w:tc>
          <w:tcPr>
            <w:tcW w:w="819" w:type="dxa"/>
            <w:noWrap/>
            <w:hideMark/>
          </w:tcPr>
          <w:p w14:paraId="6963FF11"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18%</w:t>
            </w:r>
          </w:p>
        </w:tc>
        <w:tc>
          <w:tcPr>
            <w:tcW w:w="1080" w:type="dxa"/>
            <w:noWrap/>
            <w:hideMark/>
          </w:tcPr>
          <w:p w14:paraId="3C3D293C"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6%</w:t>
            </w:r>
          </w:p>
        </w:tc>
        <w:tc>
          <w:tcPr>
            <w:tcW w:w="1440" w:type="dxa"/>
            <w:noWrap/>
            <w:hideMark/>
          </w:tcPr>
          <w:p w14:paraId="1163B885"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No</w:t>
            </w:r>
          </w:p>
        </w:tc>
        <w:tc>
          <w:tcPr>
            <w:tcW w:w="1260" w:type="dxa"/>
            <w:noWrap/>
            <w:hideMark/>
          </w:tcPr>
          <w:p w14:paraId="39AA7200"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4%</w:t>
            </w:r>
          </w:p>
        </w:tc>
        <w:tc>
          <w:tcPr>
            <w:tcW w:w="1158" w:type="dxa"/>
            <w:noWrap/>
            <w:hideMark/>
          </w:tcPr>
          <w:p w14:paraId="5AE43FDE"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9%</w:t>
            </w:r>
          </w:p>
        </w:tc>
        <w:tc>
          <w:tcPr>
            <w:tcW w:w="1263" w:type="dxa"/>
          </w:tcPr>
          <w:p w14:paraId="017307A3"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No</w:t>
            </w:r>
          </w:p>
        </w:tc>
      </w:tr>
    </w:tbl>
    <w:p w14:paraId="410AEC0E" w14:textId="77777777" w:rsidR="00D15C7D" w:rsidRPr="00696A40" w:rsidRDefault="00FE0202" w:rsidP="000E2B96">
      <w:pPr>
        <w:spacing w:after="100" w:afterAutospacing="1"/>
        <w:rPr>
          <w:rFonts w:ascii="Garamond" w:hAnsi="Garamond" w:cs="Calibri"/>
          <w:sz w:val="20"/>
          <w:szCs w:val="20"/>
        </w:rPr>
      </w:pPr>
      <w:r>
        <w:rPr>
          <w:rFonts w:ascii="Garamond" w:hAnsi="Garamond" w:cs="Calibri"/>
          <w:sz w:val="20"/>
          <w:szCs w:val="20"/>
        </w:rPr>
        <w:t xml:space="preserve">*: In the raw state; **: zero rated if exported                                                                                                                                                   </w:t>
      </w:r>
      <w:r w:rsidR="00D15C7D" w:rsidRPr="00696A40">
        <w:rPr>
          <w:rFonts w:ascii="Garamond" w:hAnsi="Garamond" w:cs="Calibri"/>
          <w:sz w:val="20"/>
          <w:szCs w:val="20"/>
        </w:rPr>
        <w:t xml:space="preserve">Source: PWC </w:t>
      </w:r>
      <w:r w:rsidR="00D15C7D">
        <w:rPr>
          <w:rFonts w:ascii="Garamond" w:hAnsi="Garamond" w:cs="Calibri"/>
          <w:sz w:val="20"/>
          <w:szCs w:val="20"/>
        </w:rPr>
        <w:t>(</w:t>
      </w:r>
      <w:r w:rsidR="00D15C7D" w:rsidRPr="00696A40">
        <w:rPr>
          <w:rFonts w:ascii="Garamond" w:hAnsi="Garamond" w:cs="Calibri"/>
          <w:sz w:val="20"/>
          <w:szCs w:val="20"/>
        </w:rPr>
        <w:t>2014</w:t>
      </w:r>
      <w:r w:rsidR="00D15C7D">
        <w:rPr>
          <w:rFonts w:ascii="Garamond" w:hAnsi="Garamond" w:cs="Calibri"/>
          <w:sz w:val="20"/>
          <w:szCs w:val="20"/>
        </w:rPr>
        <w:t>),</w:t>
      </w:r>
      <w:r w:rsidR="00D15C7D" w:rsidRPr="00696A40">
        <w:rPr>
          <w:rFonts w:ascii="Garamond" w:hAnsi="Garamond" w:cs="Calibri"/>
          <w:sz w:val="20"/>
          <w:szCs w:val="20"/>
        </w:rPr>
        <w:t xml:space="preserve"> OECD </w:t>
      </w:r>
      <w:r w:rsidR="00D15C7D">
        <w:rPr>
          <w:rFonts w:ascii="Garamond" w:hAnsi="Garamond" w:cs="Calibri"/>
          <w:sz w:val="20"/>
          <w:szCs w:val="20"/>
        </w:rPr>
        <w:t>(</w:t>
      </w:r>
      <w:r w:rsidR="00D15C7D" w:rsidRPr="00696A40">
        <w:rPr>
          <w:rFonts w:ascii="Garamond" w:hAnsi="Garamond" w:cs="Calibri"/>
          <w:sz w:val="20"/>
          <w:szCs w:val="20"/>
        </w:rPr>
        <w:t>2012</w:t>
      </w:r>
      <w:r w:rsidR="00D15C7D">
        <w:rPr>
          <w:rFonts w:ascii="Garamond" w:hAnsi="Garamond" w:cs="Calibri"/>
          <w:sz w:val="20"/>
          <w:szCs w:val="20"/>
        </w:rPr>
        <w:t>)</w:t>
      </w:r>
      <w:r w:rsidR="00D15C7D" w:rsidRPr="00696A40">
        <w:rPr>
          <w:rFonts w:ascii="Garamond" w:hAnsi="Garamond" w:cs="Calibri"/>
          <w:sz w:val="20"/>
          <w:szCs w:val="20"/>
        </w:rPr>
        <w:t xml:space="preserve"> and James (2014) </w:t>
      </w:r>
    </w:p>
    <w:p w14:paraId="5B0EA72B" w14:textId="77777777" w:rsidR="00D15C7D" w:rsidRPr="00356DB0" w:rsidRDefault="00D15C7D" w:rsidP="00D15C7D">
      <w:pPr>
        <w:pStyle w:val="ListParagraph"/>
        <w:numPr>
          <w:ilvl w:val="0"/>
          <w:numId w:val="4"/>
        </w:numPr>
        <w:spacing w:before="240"/>
      </w:pPr>
      <w:r w:rsidRPr="00CA5BBC">
        <w:rPr>
          <w:b/>
        </w:rPr>
        <w:t>VAT zero-rating is much less common in Ghana than it is in other African countries.</w:t>
      </w:r>
      <w:r w:rsidRPr="00CA5BBC">
        <w:t xml:space="preserve"> It is also less common than in the OECD, where more than 54 percent of member states zero</w:t>
      </w:r>
      <w:r>
        <w:t>-</w:t>
      </w:r>
      <w:r w:rsidRPr="00CA5BBC">
        <w:t>rated certain goods in 2015. Only</w:t>
      </w:r>
      <w:r>
        <w:t xml:space="preserve"> exports and international</w:t>
      </w:r>
      <w:r w:rsidRPr="00CA5BBC">
        <w:t xml:space="preserve"> transportation services qualify for zero-rating in Ghana, which means that international transportation is treated as consumption abroad and is not subject to VAT</w:t>
      </w:r>
      <w:r>
        <w:t xml:space="preserve">. Supplies to the </w:t>
      </w:r>
      <w:r w:rsidR="00623F1E">
        <w:t>f</w:t>
      </w:r>
      <w:r>
        <w:t xml:space="preserve">ree </w:t>
      </w:r>
      <w:r w:rsidR="00623F1E">
        <w:t>z</w:t>
      </w:r>
      <w:r>
        <w:t>ones are also zero rated as such supplies are treated as exports</w:t>
      </w:r>
      <w:r w:rsidRPr="00CA5BBC">
        <w:t xml:space="preserve">. Ghana’s health sector receives </w:t>
      </w:r>
      <w:r w:rsidRPr="00955281">
        <w:t xml:space="preserve">similar </w:t>
      </w:r>
      <w:r>
        <w:t xml:space="preserve">tax </w:t>
      </w:r>
      <w:r w:rsidRPr="007F4BD0">
        <w:t xml:space="preserve">treatment </w:t>
      </w:r>
      <w:r>
        <w:t>as</w:t>
      </w:r>
      <w:r w:rsidRPr="00CA5BBC">
        <w:t xml:space="preserve"> health sectors in other African and OECD countries. However, education exemptions and zero-rating are far more common </w:t>
      </w:r>
      <w:r>
        <w:t>elsewhere in Africa</w:t>
      </w:r>
      <w:r w:rsidRPr="00CA5BBC">
        <w:t xml:space="preserve"> than they are in Ghana.</w:t>
      </w:r>
    </w:p>
    <w:p w14:paraId="5C30091E" w14:textId="77777777" w:rsidR="00D15C7D" w:rsidRPr="00356DB0" w:rsidRDefault="00D15C7D" w:rsidP="00D15C7D">
      <w:pPr>
        <w:pStyle w:val="ListParagraph"/>
        <w:numPr>
          <w:ilvl w:val="0"/>
          <w:numId w:val="4"/>
        </w:numPr>
        <w:spacing w:before="240"/>
      </w:pPr>
      <w:r>
        <w:rPr>
          <w:b/>
        </w:rPr>
        <w:t>The use of</w:t>
      </w:r>
      <w:r w:rsidRPr="00356DB0">
        <w:rPr>
          <w:b/>
        </w:rPr>
        <w:t xml:space="preserve"> VAT exemptions, as opposed to VAT zero-rating</w:t>
      </w:r>
      <w:r w:rsidR="00623F1E">
        <w:rPr>
          <w:b/>
        </w:rPr>
        <w:t>,</w:t>
      </w:r>
      <w:r>
        <w:rPr>
          <w:b/>
        </w:rPr>
        <w:t xml:space="preserve"> is a reflection of the difficulty in implementing zero rating</w:t>
      </w:r>
      <w:r w:rsidR="00623F1E">
        <w:rPr>
          <w:b/>
        </w:rPr>
        <w:t xml:space="preserve"> in Ghana</w:t>
      </w:r>
      <w:r w:rsidRPr="00356DB0">
        <w:rPr>
          <w:b/>
        </w:rPr>
        <w:t>.</w:t>
      </w:r>
      <w:r w:rsidRPr="00356DB0">
        <w:t xml:space="preserve"> </w:t>
      </w:r>
      <w:r>
        <w:t>VAT exemptions apply to transactions between retailers and consumers</w:t>
      </w:r>
      <w:r w:rsidRPr="00301717">
        <w:t xml:space="preserve">, </w:t>
      </w:r>
      <w:r>
        <w:t>and</w:t>
      </w:r>
      <w:r w:rsidRPr="00301717">
        <w:t xml:space="preserve"> producers are not able to claim </w:t>
      </w:r>
      <w:r>
        <w:t>tax</w:t>
      </w:r>
      <w:r w:rsidRPr="00301717">
        <w:t xml:space="preserve"> credits for the inputs used to produce </w:t>
      </w:r>
      <w:r>
        <w:t>VAT-exempt goods and services</w:t>
      </w:r>
      <w:r w:rsidRPr="00301717">
        <w:t xml:space="preserve">. </w:t>
      </w:r>
      <w:r w:rsidRPr="0037514E">
        <w:t>By contrast, zero-rated products are still technically subject to VAT, but at a rate of zero percent</w:t>
      </w:r>
      <w:r w:rsidRPr="00301717">
        <w:t xml:space="preserve">. </w:t>
      </w:r>
      <w:r>
        <w:t>As a result,</w:t>
      </w:r>
      <w:r w:rsidRPr="00301717">
        <w:t xml:space="preserve"> </w:t>
      </w:r>
      <w:r>
        <w:t xml:space="preserve">not only are consumers exempt from VAT liability, but </w:t>
      </w:r>
      <w:r w:rsidRPr="00301717">
        <w:t xml:space="preserve">producers </w:t>
      </w:r>
      <w:r w:rsidRPr="00356DB0">
        <w:t xml:space="preserve">are </w:t>
      </w:r>
      <w:r>
        <w:t xml:space="preserve">also </w:t>
      </w:r>
      <w:r w:rsidRPr="00356DB0">
        <w:t xml:space="preserve">able </w:t>
      </w:r>
      <w:r w:rsidRPr="00301717">
        <w:t xml:space="preserve">to claim credits for inputs used in the production of zero-rated goods and </w:t>
      </w:r>
      <w:r w:rsidRPr="00301717">
        <w:lastRenderedPageBreak/>
        <w:t>services.</w:t>
      </w:r>
      <w:r w:rsidRPr="00301717">
        <w:rPr>
          <w:rStyle w:val="FootnoteReference"/>
        </w:rPr>
        <w:footnoteReference w:id="42"/>
      </w:r>
      <w:r w:rsidRPr="00301717">
        <w:t xml:space="preserve"> </w:t>
      </w:r>
      <w:r w:rsidRPr="00356DB0">
        <w:t xml:space="preserve">As </w:t>
      </w:r>
      <w:r>
        <w:t>a result</w:t>
      </w:r>
      <w:r w:rsidR="00DC7039">
        <w:t>,</w:t>
      </w:r>
      <w:r>
        <w:t xml:space="preserve"> zero-rating lowers the retail prices of goods and services more than </w:t>
      </w:r>
      <w:r w:rsidRPr="00356DB0">
        <w:t>VAT exemptions</w:t>
      </w:r>
      <w:r>
        <w:t>. However</w:t>
      </w:r>
      <w:r w:rsidR="00DC7039">
        <w:t>,</w:t>
      </w:r>
      <w:r>
        <w:t xml:space="preserve"> zero rating is difficult to implement as it implies that several producers would be in a refund position and the tax administration would be burdened in implementing such </w:t>
      </w:r>
      <w:r w:rsidR="00DC7039">
        <w:t xml:space="preserve">a </w:t>
      </w:r>
      <w:r>
        <w:t>large</w:t>
      </w:r>
      <w:r w:rsidR="00DC7039">
        <w:t>-</w:t>
      </w:r>
      <w:r>
        <w:t>scale refund scheme.</w:t>
      </w:r>
    </w:p>
    <w:p w14:paraId="39DA9E56" w14:textId="77777777" w:rsidR="00D15C7D" w:rsidRPr="0037514E" w:rsidRDefault="00D15C7D" w:rsidP="00D15C7D">
      <w:pPr>
        <w:pStyle w:val="ListParagraph"/>
        <w:numPr>
          <w:ilvl w:val="0"/>
          <w:numId w:val="4"/>
        </w:numPr>
        <w:spacing w:before="240"/>
        <w:rPr>
          <w:b/>
        </w:rPr>
      </w:pPr>
      <w:r w:rsidRPr="00301717">
        <w:rPr>
          <w:b/>
        </w:rPr>
        <w:t xml:space="preserve">Some products, such as mosquito nets, </w:t>
      </w:r>
      <w:r>
        <w:rPr>
          <w:b/>
        </w:rPr>
        <w:t>receive</w:t>
      </w:r>
      <w:r w:rsidRPr="00301717">
        <w:rPr>
          <w:b/>
        </w:rPr>
        <w:t xml:space="preserve"> VAT exemptions because they generate social benefits, but zero-rating would be a more appropriate means of encouraging their sale and use. </w:t>
      </w:r>
      <w:r w:rsidRPr="00301717">
        <w:t xml:space="preserve">Insecticide-treated </w:t>
      </w:r>
      <w:r w:rsidRPr="00765325">
        <w:t>bed nets are exempt from VAT in Ghana. VAT exemptions are intended to lower the price</w:t>
      </w:r>
      <w:r>
        <w:t xml:space="preserve"> of bed nets</w:t>
      </w:r>
      <w:r w:rsidRPr="00765325">
        <w:t>, thereby increasing their use and decreasing the prevalence of insect-borne diseases like malaria</w:t>
      </w:r>
      <w:r w:rsidRPr="0037514E">
        <w:t>.</w:t>
      </w:r>
      <w:r w:rsidRPr="0037514E">
        <w:rPr>
          <w:rStyle w:val="FootnoteReference"/>
        </w:rPr>
        <w:footnoteReference w:id="43"/>
      </w:r>
      <w:r w:rsidRPr="0037514E">
        <w:t xml:space="preserve"> In </w:t>
      </w:r>
      <w:r w:rsidRPr="00765325">
        <w:t>Nigeria, zero</w:t>
      </w:r>
      <w:r w:rsidRPr="0037514E">
        <w:t xml:space="preserve">-rating the insecticides used to treat </w:t>
      </w:r>
      <w:r w:rsidRPr="00765325">
        <w:t xml:space="preserve">bed nets </w:t>
      </w:r>
      <w:r w:rsidRPr="0037514E">
        <w:t>increased sales by an estimated 9-27 percent.</w:t>
      </w:r>
      <w:r w:rsidRPr="0037514E">
        <w:rPr>
          <w:rStyle w:val="FootnoteReference"/>
        </w:rPr>
        <w:footnoteReference w:id="44"/>
      </w:r>
      <w:r w:rsidRPr="0037514E">
        <w:t xml:space="preserve"> </w:t>
      </w:r>
      <w:r>
        <w:t>A</w:t>
      </w:r>
      <w:r w:rsidRPr="00765325">
        <w:t>s with other goods, exempting bed nets from VAT results in higher retail prices than zero-rating</w:t>
      </w:r>
      <w:r>
        <w:t xml:space="preserve"> them</w:t>
      </w:r>
      <w:r w:rsidRPr="00765325">
        <w:t>, as producers remain liable for VAT on insecticides and other inputs, and these costs are passed on to consumers.</w:t>
      </w:r>
      <w:r w:rsidRPr="00765325">
        <w:rPr>
          <w:rStyle w:val="FootnoteReference"/>
        </w:rPr>
        <w:footnoteReference w:id="45"/>
      </w:r>
      <w:r w:rsidRPr="00765325">
        <w:t xml:space="preserve"> </w:t>
      </w:r>
      <w:r>
        <w:t xml:space="preserve">As opposed to the argument in the previous paragraph, sickness is a negative externality on society as a whole and it is appropriate that not only the poor but also the rich benefit from the use of mosquito nets and hence lower tax burden may be appropriate in such a case.  </w:t>
      </w:r>
    </w:p>
    <w:p w14:paraId="12F92C4D" w14:textId="77777777" w:rsidR="00D15C7D" w:rsidRPr="0037514E" w:rsidRDefault="00D15C7D" w:rsidP="00D15C7D">
      <w:pPr>
        <w:pStyle w:val="ListParagraph"/>
        <w:numPr>
          <w:ilvl w:val="0"/>
          <w:numId w:val="4"/>
        </w:numPr>
        <w:spacing w:before="240"/>
        <w:rPr>
          <w:b/>
        </w:rPr>
      </w:pPr>
      <w:r w:rsidRPr="00317C61">
        <w:rPr>
          <w:b/>
        </w:rPr>
        <w:t xml:space="preserve">Goods and services that are disproportionately consumed by </w:t>
      </w:r>
      <w:r>
        <w:rPr>
          <w:b/>
        </w:rPr>
        <w:t>lower-income</w:t>
      </w:r>
      <w:r w:rsidRPr="00317C61">
        <w:rPr>
          <w:b/>
        </w:rPr>
        <w:t xml:space="preserve"> households may be exempt from VAT to </w:t>
      </w:r>
      <w:r>
        <w:rPr>
          <w:b/>
        </w:rPr>
        <w:t xml:space="preserve">alleviate </w:t>
      </w:r>
      <w:r w:rsidRPr="00317C61">
        <w:rPr>
          <w:b/>
        </w:rPr>
        <w:t>the tax burden</w:t>
      </w:r>
      <w:r>
        <w:rPr>
          <w:b/>
        </w:rPr>
        <w:t xml:space="preserve"> on the poor</w:t>
      </w:r>
      <w:r w:rsidRPr="00317C61">
        <w:rPr>
          <w:b/>
        </w:rPr>
        <w:t xml:space="preserve">, </w:t>
      </w:r>
      <w:r w:rsidRPr="0037514E">
        <w:rPr>
          <w:b/>
        </w:rPr>
        <w:t>but these exemptions must be carefully targeted.</w:t>
      </w:r>
      <w:r w:rsidRPr="0037514E" w:rsidDel="00891E7F">
        <w:t xml:space="preserve"> </w:t>
      </w:r>
      <w:r w:rsidRPr="00317C61">
        <w:t xml:space="preserve">Ghana exempts agricultural produce from VAT because food represents a large share of the consumption of poor households. However, not </w:t>
      </w:r>
      <w:r w:rsidRPr="00DA055D">
        <w:t xml:space="preserve">all </w:t>
      </w:r>
      <w:r w:rsidRPr="00317C61">
        <w:t xml:space="preserve">VAT exemptions on </w:t>
      </w:r>
      <w:r w:rsidRPr="0037514E">
        <w:t xml:space="preserve">agricultural produce are necessarily progressive or pro-poor, as households at different income levels consume different types of food. In South Africa, poor households were found to </w:t>
      </w:r>
      <w:r w:rsidRPr="00317C61">
        <w:t>spend far more of their income on local staple vegetables</w:t>
      </w:r>
      <w:r w:rsidR="00B44206">
        <w:t>,</w:t>
      </w:r>
      <w:r w:rsidRPr="00317C61">
        <w:t xml:space="preserve"> such as potatoes, tomatoes</w:t>
      </w:r>
      <w:r w:rsidR="00B44206">
        <w:t>,</w:t>
      </w:r>
      <w:r w:rsidRPr="00317C61">
        <w:t xml:space="preserve"> and spinach</w:t>
      </w:r>
      <w:r w:rsidR="00B44206">
        <w:t>,</w:t>
      </w:r>
      <w:r w:rsidRPr="00317C61">
        <w:t xml:space="preserve"> than they did on specialty produce</w:t>
      </w:r>
      <w:r w:rsidR="00B44206">
        <w:t>,</w:t>
      </w:r>
      <w:r w:rsidRPr="00317C61">
        <w:t xml:space="preserve"> such as broccoli and mushrooms.</w:t>
      </w:r>
      <w:r w:rsidRPr="00317C61">
        <w:rPr>
          <w:rStyle w:val="FootnoteReference"/>
        </w:rPr>
        <w:footnoteReference w:id="46"/>
      </w:r>
      <w:r w:rsidRPr="00317C61">
        <w:t xml:space="preserve"> The government responded by zero</w:t>
      </w:r>
      <w:r>
        <w:t>-</w:t>
      </w:r>
      <w:r w:rsidRPr="00317C61">
        <w:t>rating VAT for staple vegetables only, which benefitted poor families more than their wealthier counterparts.</w:t>
      </w:r>
      <w:r>
        <w:t xml:space="preserve"> Despite this targeting improvement, the revised system remained subject to significant leakages, as wealthy households also consumed a large amount of VAT-exempt staple foods. Such exemptions should not apply to imported agriculture products just as in the case of domestic production. </w:t>
      </w:r>
    </w:p>
    <w:p w14:paraId="7C253E64" w14:textId="77777777" w:rsidR="00D15C7D" w:rsidRPr="00BF58C2" w:rsidRDefault="00D15C7D" w:rsidP="00D15C7D">
      <w:pPr>
        <w:pStyle w:val="Caption"/>
        <w:rPr>
          <w:lang w:val="en-US"/>
        </w:rPr>
      </w:pPr>
      <w:bookmarkStart w:id="75" w:name="_Ref471819800"/>
      <w:r w:rsidRPr="00BF58C2">
        <w:rPr>
          <w:lang w:val="en-US"/>
        </w:rPr>
        <w:t xml:space="preserve">Box </w:t>
      </w:r>
      <w:r w:rsidR="00420CFC">
        <w:rPr>
          <w:lang w:val="en-US"/>
        </w:rPr>
        <w:fldChar w:fldCharType="begin"/>
      </w:r>
      <w:r w:rsidR="00420CFC">
        <w:rPr>
          <w:lang w:val="en-US"/>
        </w:rPr>
        <w:instrText xml:space="preserve"> STYLEREF 1 \s </w:instrText>
      </w:r>
      <w:r w:rsidR="00420CFC">
        <w:rPr>
          <w:lang w:val="en-US"/>
        </w:rPr>
        <w:fldChar w:fldCharType="separate"/>
      </w:r>
      <w:r w:rsidR="007B1CE6">
        <w:rPr>
          <w:noProof/>
          <w:lang w:val="en-US"/>
        </w:rPr>
        <w:t>2</w:t>
      </w:r>
      <w:r w:rsidR="00420CFC">
        <w:rPr>
          <w:lang w:val="en-US"/>
        </w:rPr>
        <w:fldChar w:fldCharType="end"/>
      </w:r>
      <w:r w:rsidR="00420CFC">
        <w:rPr>
          <w:lang w:val="en-US"/>
        </w:rPr>
        <w:t>.</w:t>
      </w:r>
      <w:r w:rsidR="00420CFC">
        <w:rPr>
          <w:lang w:val="en-US"/>
        </w:rPr>
        <w:fldChar w:fldCharType="begin"/>
      </w:r>
      <w:r w:rsidR="00420CFC">
        <w:rPr>
          <w:lang w:val="en-US"/>
        </w:rPr>
        <w:instrText xml:space="preserve"> SEQ Box \* ARABIC \s 1 </w:instrText>
      </w:r>
      <w:r w:rsidR="00420CFC">
        <w:rPr>
          <w:lang w:val="en-US"/>
        </w:rPr>
        <w:fldChar w:fldCharType="separate"/>
      </w:r>
      <w:r w:rsidR="007B1CE6">
        <w:rPr>
          <w:noProof/>
          <w:lang w:val="en-US"/>
        </w:rPr>
        <w:t>1</w:t>
      </w:r>
      <w:r w:rsidR="00420CFC">
        <w:rPr>
          <w:lang w:val="en-US"/>
        </w:rPr>
        <w:fldChar w:fldCharType="end"/>
      </w:r>
      <w:bookmarkEnd w:id="75"/>
      <w:r w:rsidRPr="00BF58C2">
        <w:rPr>
          <w:lang w:val="en-US"/>
        </w:rPr>
        <w:t>: A Note on the Methodology for Calculating VAT Expenditures</w:t>
      </w:r>
    </w:p>
    <w:p w14:paraId="3BD779EA" w14:textId="77777777" w:rsidR="00D15C7D" w:rsidRPr="00317C61" w:rsidRDefault="00D15C7D" w:rsidP="00D15C7D">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before="120" w:after="120" w:line="240" w:lineRule="auto"/>
        <w:jc w:val="both"/>
        <w:rPr>
          <w:rFonts w:ascii="Garamond" w:hAnsi="Garamond" w:cs="AGaramondPro-Regular"/>
          <w:szCs w:val="20"/>
        </w:rPr>
      </w:pPr>
      <w:r w:rsidRPr="00317C61">
        <w:rPr>
          <w:rFonts w:ascii="Garamond" w:hAnsi="Garamond" w:cs="AGaramondPro-Regular"/>
          <w:szCs w:val="20"/>
        </w:rPr>
        <w:t xml:space="preserve">The most commonly used method for calculating VAT expenditures relies on a given country’s “supply and use” tables, which record the inputs supplied to each sector of the economy and the products each sector produces. These tables provide all the information necessary to estimate the potential VAT base and determine the revenue loss incurred </w:t>
      </w:r>
      <w:r>
        <w:rPr>
          <w:rFonts w:ascii="Garamond" w:hAnsi="Garamond" w:cs="AGaramondPro-Regular"/>
          <w:szCs w:val="20"/>
        </w:rPr>
        <w:t>through</w:t>
      </w:r>
      <w:r w:rsidRPr="00317C61">
        <w:rPr>
          <w:rFonts w:ascii="Garamond" w:hAnsi="Garamond" w:cs="AGaramondPro-Regular"/>
          <w:szCs w:val="20"/>
        </w:rPr>
        <w:t xml:space="preserve"> VAT exemptions and zero-rating. Unfortunately, Ghana’s most recent supply and use tables date from 2004. While those tables have been scaled to reflect GDP growth between 2004 and 2013, changes in the sectoral composition of the economy could not be accounted for, and the resulting estimates should be regarded with caution. </w:t>
      </w:r>
    </w:p>
    <w:p w14:paraId="546CDBF3" w14:textId="77777777" w:rsidR="00D15C7D" w:rsidRPr="00317C61" w:rsidRDefault="00D15C7D" w:rsidP="00D15C7D">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after="240" w:line="240" w:lineRule="auto"/>
        <w:jc w:val="both"/>
        <w:rPr>
          <w:rFonts w:ascii="Garamond" w:hAnsi="Garamond" w:cs="AGaramondPro-Regular"/>
          <w:sz w:val="20"/>
          <w:szCs w:val="18"/>
        </w:rPr>
      </w:pPr>
      <w:r w:rsidRPr="00317C61">
        <w:rPr>
          <w:rFonts w:ascii="Garamond" w:hAnsi="Garamond" w:cs="AGaramondPro-Regular"/>
          <w:sz w:val="20"/>
          <w:szCs w:val="18"/>
        </w:rPr>
        <w:t>Source: Hutton (2010)</w:t>
      </w:r>
    </w:p>
    <w:p w14:paraId="6F3EE03A" w14:textId="77777777" w:rsidR="00D15C7D" w:rsidRPr="00F17B09" w:rsidRDefault="00D15C7D" w:rsidP="00D15C7D">
      <w:pPr>
        <w:pStyle w:val="ListParagraph"/>
        <w:numPr>
          <w:ilvl w:val="0"/>
          <w:numId w:val="4"/>
        </w:numPr>
        <w:spacing w:before="240"/>
      </w:pPr>
      <w:r>
        <w:rPr>
          <w:b/>
        </w:rPr>
        <w:lastRenderedPageBreak/>
        <w:t>A specific subset of</w:t>
      </w:r>
      <w:r w:rsidRPr="00696A40">
        <w:rPr>
          <w:b/>
        </w:rPr>
        <w:t xml:space="preserve"> VAT expenditures appl</w:t>
      </w:r>
      <w:r>
        <w:rPr>
          <w:b/>
        </w:rPr>
        <w:t>ies</w:t>
      </w:r>
      <w:r w:rsidRPr="00696A40">
        <w:rPr>
          <w:b/>
        </w:rPr>
        <w:t xml:space="preserve"> to imported inputs</w:t>
      </w:r>
      <w:r>
        <w:rPr>
          <w:b/>
        </w:rPr>
        <w:t xml:space="preserve"> rather than</w:t>
      </w:r>
      <w:r w:rsidRPr="00696A40">
        <w:rPr>
          <w:b/>
        </w:rPr>
        <w:t xml:space="preserve"> domestic sales. </w:t>
      </w:r>
      <w:r w:rsidRPr="00F17B09">
        <w:t xml:space="preserve">Ghana’s customs service </w:t>
      </w:r>
      <w:r>
        <w:t>collects d</w:t>
      </w:r>
      <w:r w:rsidRPr="00F17B09">
        <w:t xml:space="preserve">ata on import exemptions and the firms that receive them. VAT expenditures on imports reached </w:t>
      </w:r>
      <w:r>
        <w:t xml:space="preserve">an estimated </w:t>
      </w:r>
      <w:r w:rsidRPr="00F17B09">
        <w:t>GH¢ 659 million in 2013, or 0.7 percent of GDP (</w:t>
      </w:r>
      <w:r>
        <w:fldChar w:fldCharType="begin"/>
      </w:r>
      <w:r>
        <w:instrText xml:space="preserve"> REF _Ref472430031 \h </w:instrText>
      </w:r>
      <w:r>
        <w:fldChar w:fldCharType="separate"/>
      </w:r>
      <w:r w:rsidR="007B1CE6">
        <w:t xml:space="preserve">Table </w:t>
      </w:r>
      <w:r w:rsidR="007B1CE6">
        <w:rPr>
          <w:noProof/>
        </w:rPr>
        <w:t>2</w:t>
      </w:r>
      <w:r w:rsidR="007B1CE6">
        <w:t>.</w:t>
      </w:r>
      <w:r w:rsidR="007B1CE6">
        <w:rPr>
          <w:noProof/>
        </w:rPr>
        <w:t>5</w:t>
      </w:r>
      <w:r>
        <w:fldChar w:fldCharType="end"/>
      </w:r>
      <w:r w:rsidRPr="00F17B09">
        <w:t>). Almost half of this amount—GH¢</w:t>
      </w:r>
      <w:r>
        <w:t xml:space="preserve"> </w:t>
      </w:r>
      <w:r w:rsidRPr="00F17B09">
        <w:t xml:space="preserve">321.5 million—went to final consumers or to businesses that either were not registered for VAT or </w:t>
      </w:r>
      <w:r>
        <w:t xml:space="preserve">that </w:t>
      </w:r>
      <w:r w:rsidRPr="00F17B09">
        <w:t xml:space="preserve">did not file tax returns, and thus the government was unable to recapture the exempted VAT revenue through subsequent domestic sales. </w:t>
      </w:r>
      <w:r>
        <w:t>T</w:t>
      </w:r>
      <w:r w:rsidRPr="00F17B09">
        <w:t xml:space="preserve">his amount </w:t>
      </w:r>
      <w:r>
        <w:t xml:space="preserve">therefore </w:t>
      </w:r>
      <w:r w:rsidRPr="00F17B09">
        <w:t>represents the total foregone revenue due to import VAT exemptions, since the remaining GH¢</w:t>
      </w:r>
      <w:r>
        <w:t xml:space="preserve"> </w:t>
      </w:r>
      <w:r w:rsidRPr="00F17B09">
        <w:t xml:space="preserve">337.6 million was ultimately recovered through VAT applied to the domestic value chain. </w:t>
      </w:r>
    </w:p>
    <w:p w14:paraId="5A2D00F0" w14:textId="77777777" w:rsidR="00D15C7D" w:rsidRDefault="00D15C7D" w:rsidP="00D15C7D">
      <w:pPr>
        <w:pStyle w:val="ListParagraph"/>
        <w:numPr>
          <w:ilvl w:val="0"/>
          <w:numId w:val="4"/>
        </w:numPr>
        <w:spacing w:before="240"/>
      </w:pPr>
      <w:r w:rsidRPr="00EA74D8">
        <w:rPr>
          <w:b/>
        </w:rPr>
        <w:t>The fiscal cost of VAT expenditures on domestic sales is difficult to estimate, as tax forms</w:t>
      </w:r>
      <w:r w:rsidRPr="00EA74D8" w:rsidDel="00557112">
        <w:rPr>
          <w:b/>
        </w:rPr>
        <w:t xml:space="preserve"> </w:t>
      </w:r>
      <w:r>
        <w:rPr>
          <w:b/>
        </w:rPr>
        <w:t>do not capture the necessary</w:t>
      </w:r>
      <w:r w:rsidRPr="00EA74D8">
        <w:rPr>
          <w:b/>
        </w:rPr>
        <w:t xml:space="preserve"> data.</w:t>
      </w:r>
      <w:r w:rsidRPr="00EA74D8">
        <w:t xml:space="preserve"> </w:t>
      </w:r>
      <w:r>
        <w:t>A</w:t>
      </w:r>
      <w:r w:rsidRPr="00EA74D8">
        <w:t xml:space="preserve"> thorough analysis </w:t>
      </w:r>
      <w:r>
        <w:t xml:space="preserve">would also </w:t>
      </w:r>
      <w:r w:rsidRPr="00EA74D8">
        <w:t xml:space="preserve">require </w:t>
      </w:r>
      <w:r>
        <w:t>information</w:t>
      </w:r>
      <w:r w:rsidRPr="00EA74D8">
        <w:t xml:space="preserve"> on exempt purchases as well as exempt sales, and </w:t>
      </w:r>
      <w:r>
        <w:t xml:space="preserve">on </w:t>
      </w:r>
      <w:r w:rsidRPr="00EA74D8">
        <w:t>whether each sale was made to a final consumer or an intermediate firm (</w:t>
      </w:r>
      <w:r>
        <w:fldChar w:fldCharType="begin"/>
      </w:r>
      <w:r>
        <w:instrText xml:space="preserve"> REF _Ref471819800 \h </w:instrText>
      </w:r>
      <w:r>
        <w:fldChar w:fldCharType="separate"/>
      </w:r>
      <w:r w:rsidR="007B1CE6" w:rsidRPr="00BF58C2">
        <w:t xml:space="preserve">Box </w:t>
      </w:r>
      <w:r w:rsidR="007B1CE6">
        <w:rPr>
          <w:noProof/>
        </w:rPr>
        <w:t>2</w:t>
      </w:r>
      <w:r w:rsidR="007B1CE6">
        <w:t>.</w:t>
      </w:r>
      <w:r w:rsidR="007B1CE6">
        <w:rPr>
          <w:noProof/>
        </w:rPr>
        <w:t>1</w:t>
      </w:r>
      <w:r>
        <w:fldChar w:fldCharType="end"/>
      </w:r>
      <w:r w:rsidRPr="00EA74D8">
        <w:t>). This information is necessary because, as is the case with imports, exempted VAT revenue on domestic sales may be recovered at higher levels of the value chain</w:t>
      </w:r>
      <w:r w:rsidRPr="00F17B09">
        <w:t>.</w:t>
      </w:r>
    </w:p>
    <w:p w14:paraId="0B89D85F" w14:textId="77777777" w:rsidR="00D15C7D" w:rsidRDefault="00D15C7D" w:rsidP="00D15C7D">
      <w:pPr>
        <w:pStyle w:val="Caption"/>
      </w:pPr>
      <w:bookmarkStart w:id="76" w:name="_Ref472430031"/>
      <w:bookmarkStart w:id="77" w:name="_Toc478837626"/>
      <w:r>
        <w:t xml:space="preserve">Table </w:t>
      </w:r>
      <w:r w:rsidR="00500291">
        <w:fldChar w:fldCharType="begin"/>
      </w:r>
      <w:r w:rsidR="00500291">
        <w:instrText xml:space="preserve"> STYLEREF 1 \s </w:instrText>
      </w:r>
      <w:r w:rsidR="00500291">
        <w:fldChar w:fldCharType="separate"/>
      </w:r>
      <w:r w:rsidR="007B1CE6">
        <w:rPr>
          <w:noProof/>
        </w:rPr>
        <w:t>2</w:t>
      </w:r>
      <w:r w:rsidR="00500291">
        <w:fldChar w:fldCharType="end"/>
      </w:r>
      <w:r w:rsidR="00500291">
        <w:t>.</w:t>
      </w:r>
      <w:r w:rsidR="00500291">
        <w:fldChar w:fldCharType="begin"/>
      </w:r>
      <w:r w:rsidR="00500291">
        <w:instrText xml:space="preserve"> SEQ Table \* ARABIC \s 1 </w:instrText>
      </w:r>
      <w:r w:rsidR="00500291">
        <w:fldChar w:fldCharType="separate"/>
      </w:r>
      <w:r w:rsidR="007B1CE6">
        <w:rPr>
          <w:noProof/>
        </w:rPr>
        <w:t>5</w:t>
      </w:r>
      <w:r w:rsidR="00500291">
        <w:fldChar w:fldCharType="end"/>
      </w:r>
      <w:bookmarkEnd w:id="76"/>
      <w:r>
        <w:t xml:space="preserve">: </w:t>
      </w:r>
      <w:r w:rsidRPr="00F17B09">
        <w:t>Tax-Expenditure Treatment for Import VAT Exemptions (GH¢ millions)</w:t>
      </w:r>
      <w:bookmarkEnd w:id="77"/>
    </w:p>
    <w:tbl>
      <w:tblPr>
        <w:tblStyle w:val="GridTable6Colorful"/>
        <w:tblW w:w="9328" w:type="dxa"/>
        <w:jc w:val="center"/>
        <w:tblLook w:val="04A0" w:firstRow="1" w:lastRow="0" w:firstColumn="1" w:lastColumn="0" w:noHBand="0" w:noVBand="1"/>
      </w:tblPr>
      <w:tblGrid>
        <w:gridCol w:w="4675"/>
        <w:gridCol w:w="1080"/>
        <w:gridCol w:w="1620"/>
        <w:gridCol w:w="990"/>
        <w:gridCol w:w="963"/>
      </w:tblGrid>
      <w:tr w:rsidR="00D15C7D" w:rsidRPr="00D40154" w14:paraId="38D84EDA" w14:textId="77777777" w:rsidTr="00D15C7D">
        <w:trPr>
          <w:cnfStyle w:val="100000000000" w:firstRow="1" w:lastRow="0" w:firstColumn="0" w:lastColumn="0" w:oddVBand="0" w:evenVBand="0" w:oddHBand="0"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4675" w:type="dxa"/>
            <w:noWrap/>
            <w:hideMark/>
          </w:tcPr>
          <w:p w14:paraId="423E7E8B" w14:textId="77777777" w:rsidR="00D15C7D" w:rsidRPr="00D40154" w:rsidRDefault="00D15C7D" w:rsidP="00D15C7D">
            <w:pPr>
              <w:spacing w:before="60" w:after="60"/>
              <w:jc w:val="both"/>
              <w:rPr>
                <w:rFonts w:cs="Calibri"/>
                <w:sz w:val="20"/>
                <w:szCs w:val="20"/>
              </w:rPr>
            </w:pPr>
          </w:p>
        </w:tc>
        <w:tc>
          <w:tcPr>
            <w:tcW w:w="1080" w:type="dxa"/>
            <w:noWrap/>
            <w:vAlign w:val="center"/>
            <w:hideMark/>
          </w:tcPr>
          <w:p w14:paraId="72895FA7" w14:textId="77777777" w:rsidR="00D15C7D" w:rsidRPr="00D40154" w:rsidRDefault="00D15C7D" w:rsidP="00D15C7D">
            <w:pPr>
              <w:spacing w:before="60" w:after="6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Import VAT</w:t>
            </w:r>
          </w:p>
        </w:tc>
        <w:tc>
          <w:tcPr>
            <w:tcW w:w="1620" w:type="dxa"/>
            <w:vAlign w:val="center"/>
            <w:hideMark/>
          </w:tcPr>
          <w:p w14:paraId="1B277C9C" w14:textId="77777777" w:rsidR="006B7BA1" w:rsidRDefault="00D15C7D" w:rsidP="00D15C7D">
            <w:pPr>
              <w:spacing w:before="60" w:after="6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 xml:space="preserve">Import </w:t>
            </w:r>
          </w:p>
          <w:p w14:paraId="54E438B9" w14:textId="77777777" w:rsidR="00D15C7D" w:rsidRPr="00D40154" w:rsidRDefault="00D15C7D" w:rsidP="00D15C7D">
            <w:pPr>
              <w:spacing w:before="60" w:after="6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National</w:t>
            </w:r>
            <w:r w:rsidR="00FE0202">
              <w:rPr>
                <w:rFonts w:cs="Calibri"/>
                <w:sz w:val="20"/>
                <w:szCs w:val="20"/>
              </w:rPr>
              <w:t xml:space="preserve"> Health</w:t>
            </w:r>
            <w:r w:rsidRPr="00D40154">
              <w:rPr>
                <w:rFonts w:cs="Calibri"/>
                <w:sz w:val="20"/>
                <w:szCs w:val="20"/>
              </w:rPr>
              <w:t xml:space="preserve"> Insurance Levy</w:t>
            </w:r>
          </w:p>
        </w:tc>
        <w:tc>
          <w:tcPr>
            <w:tcW w:w="990" w:type="dxa"/>
            <w:vAlign w:val="center"/>
          </w:tcPr>
          <w:p w14:paraId="5260F90F" w14:textId="77777777" w:rsidR="00D15C7D" w:rsidRPr="00D40154" w:rsidRDefault="00D15C7D" w:rsidP="00D15C7D">
            <w:pPr>
              <w:spacing w:before="60" w:after="6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Total</w:t>
            </w:r>
          </w:p>
        </w:tc>
        <w:tc>
          <w:tcPr>
            <w:tcW w:w="963" w:type="dxa"/>
            <w:vAlign w:val="center"/>
          </w:tcPr>
          <w:p w14:paraId="6D3F84D8" w14:textId="77777777" w:rsidR="00D15C7D" w:rsidRPr="00D40154" w:rsidRDefault="00D15C7D" w:rsidP="00D15C7D">
            <w:pPr>
              <w:spacing w:before="60" w:after="6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Share</w:t>
            </w:r>
          </w:p>
        </w:tc>
      </w:tr>
      <w:tr w:rsidR="00D15C7D" w:rsidRPr="00D40154" w14:paraId="7A589329" w14:textId="77777777" w:rsidTr="00D15C7D">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4675" w:type="dxa"/>
            <w:hideMark/>
          </w:tcPr>
          <w:p w14:paraId="5D55C8C0" w14:textId="77777777" w:rsidR="00D15C7D" w:rsidRPr="00D40154" w:rsidRDefault="00D15C7D" w:rsidP="00D15C7D">
            <w:pPr>
              <w:spacing w:before="60" w:after="60"/>
              <w:jc w:val="both"/>
              <w:rPr>
                <w:rFonts w:cs="Calibri"/>
                <w:sz w:val="20"/>
                <w:szCs w:val="20"/>
              </w:rPr>
            </w:pPr>
            <w:r w:rsidRPr="00D40154">
              <w:rPr>
                <w:rFonts w:cs="Calibri"/>
                <w:sz w:val="20"/>
                <w:szCs w:val="20"/>
              </w:rPr>
              <w:t>Government agencies, exempt individuals and organizations</w:t>
            </w:r>
          </w:p>
        </w:tc>
        <w:tc>
          <w:tcPr>
            <w:tcW w:w="1080" w:type="dxa"/>
            <w:noWrap/>
            <w:hideMark/>
          </w:tcPr>
          <w:p w14:paraId="3F03597F"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120.2</w:t>
            </w:r>
          </w:p>
        </w:tc>
        <w:tc>
          <w:tcPr>
            <w:tcW w:w="1620" w:type="dxa"/>
            <w:noWrap/>
            <w:hideMark/>
          </w:tcPr>
          <w:p w14:paraId="7E8D3E9D"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16.2</w:t>
            </w:r>
          </w:p>
        </w:tc>
        <w:tc>
          <w:tcPr>
            <w:tcW w:w="990" w:type="dxa"/>
          </w:tcPr>
          <w:p w14:paraId="0BA8194E"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136.3</w:t>
            </w:r>
          </w:p>
        </w:tc>
        <w:tc>
          <w:tcPr>
            <w:tcW w:w="963" w:type="dxa"/>
          </w:tcPr>
          <w:p w14:paraId="4ADF7A03"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20.7%</w:t>
            </w:r>
          </w:p>
        </w:tc>
      </w:tr>
      <w:tr w:rsidR="00D15C7D" w:rsidRPr="00D40154" w14:paraId="6428EC9B" w14:textId="77777777" w:rsidTr="00D15C7D">
        <w:trPr>
          <w:trHeight w:val="281"/>
          <w:jc w:val="center"/>
        </w:trPr>
        <w:tc>
          <w:tcPr>
            <w:cnfStyle w:val="001000000000" w:firstRow="0" w:lastRow="0" w:firstColumn="1" w:lastColumn="0" w:oddVBand="0" w:evenVBand="0" w:oddHBand="0" w:evenHBand="0" w:firstRowFirstColumn="0" w:firstRowLastColumn="0" w:lastRowFirstColumn="0" w:lastRowLastColumn="0"/>
            <w:tcW w:w="4675" w:type="dxa"/>
            <w:hideMark/>
          </w:tcPr>
          <w:p w14:paraId="33129670" w14:textId="77777777" w:rsidR="00D15C7D" w:rsidRPr="00D40154" w:rsidRDefault="00D15C7D" w:rsidP="00D15C7D">
            <w:pPr>
              <w:spacing w:before="60" w:after="60"/>
              <w:jc w:val="both"/>
              <w:rPr>
                <w:rFonts w:cs="Calibri"/>
                <w:sz w:val="20"/>
                <w:szCs w:val="20"/>
              </w:rPr>
            </w:pPr>
            <w:r w:rsidRPr="00D40154">
              <w:rPr>
                <w:rFonts w:cs="Calibri"/>
                <w:sz w:val="20"/>
                <w:szCs w:val="20"/>
              </w:rPr>
              <w:t>Special permits pending Parliamentary approval</w:t>
            </w:r>
          </w:p>
        </w:tc>
        <w:tc>
          <w:tcPr>
            <w:tcW w:w="1080" w:type="dxa"/>
            <w:noWrap/>
            <w:hideMark/>
          </w:tcPr>
          <w:p w14:paraId="6B221AFB"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103.6</w:t>
            </w:r>
          </w:p>
        </w:tc>
        <w:tc>
          <w:tcPr>
            <w:tcW w:w="1620" w:type="dxa"/>
            <w:noWrap/>
            <w:hideMark/>
          </w:tcPr>
          <w:p w14:paraId="1671F64A"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20.1</w:t>
            </w:r>
          </w:p>
        </w:tc>
        <w:tc>
          <w:tcPr>
            <w:tcW w:w="990" w:type="dxa"/>
          </w:tcPr>
          <w:p w14:paraId="2D0225F6"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123.7</w:t>
            </w:r>
          </w:p>
        </w:tc>
        <w:tc>
          <w:tcPr>
            <w:tcW w:w="963" w:type="dxa"/>
          </w:tcPr>
          <w:p w14:paraId="4677273B"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18.8%</w:t>
            </w:r>
          </w:p>
        </w:tc>
      </w:tr>
      <w:tr w:rsidR="00D15C7D" w:rsidRPr="00D40154" w14:paraId="2ED30CC1" w14:textId="77777777" w:rsidTr="00D15C7D">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675" w:type="dxa"/>
            <w:noWrap/>
            <w:hideMark/>
          </w:tcPr>
          <w:p w14:paraId="1109DEE9" w14:textId="77777777" w:rsidR="00D15C7D" w:rsidRPr="00D40154" w:rsidRDefault="00D15C7D" w:rsidP="00D15C7D">
            <w:pPr>
              <w:spacing w:before="60" w:after="60"/>
              <w:jc w:val="both"/>
              <w:rPr>
                <w:rFonts w:cs="Calibri"/>
                <w:sz w:val="20"/>
                <w:szCs w:val="20"/>
              </w:rPr>
            </w:pPr>
            <w:r w:rsidRPr="00D40154">
              <w:rPr>
                <w:rFonts w:cs="Calibri"/>
                <w:sz w:val="20"/>
                <w:szCs w:val="20"/>
              </w:rPr>
              <w:t>Mining concessions</w:t>
            </w:r>
          </w:p>
        </w:tc>
        <w:tc>
          <w:tcPr>
            <w:tcW w:w="1080" w:type="dxa"/>
            <w:noWrap/>
            <w:hideMark/>
          </w:tcPr>
          <w:p w14:paraId="42B95A00"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93.4</w:t>
            </w:r>
          </w:p>
        </w:tc>
        <w:tc>
          <w:tcPr>
            <w:tcW w:w="1620" w:type="dxa"/>
            <w:noWrap/>
            <w:hideMark/>
          </w:tcPr>
          <w:p w14:paraId="5BBE852B"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18.6</w:t>
            </w:r>
          </w:p>
        </w:tc>
        <w:tc>
          <w:tcPr>
            <w:tcW w:w="990" w:type="dxa"/>
          </w:tcPr>
          <w:p w14:paraId="3707B44A"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112.0</w:t>
            </w:r>
          </w:p>
        </w:tc>
        <w:tc>
          <w:tcPr>
            <w:tcW w:w="963" w:type="dxa"/>
          </w:tcPr>
          <w:p w14:paraId="3D9C436A"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17.0%</w:t>
            </w:r>
          </w:p>
        </w:tc>
      </w:tr>
      <w:tr w:rsidR="00D15C7D" w:rsidRPr="00D40154" w14:paraId="6B8F7E9F" w14:textId="77777777" w:rsidTr="00D15C7D">
        <w:trPr>
          <w:trHeight w:val="299"/>
          <w:jc w:val="center"/>
        </w:trPr>
        <w:tc>
          <w:tcPr>
            <w:cnfStyle w:val="001000000000" w:firstRow="0" w:lastRow="0" w:firstColumn="1" w:lastColumn="0" w:oddVBand="0" w:evenVBand="0" w:oddHBand="0" w:evenHBand="0" w:firstRowFirstColumn="0" w:firstRowLastColumn="0" w:lastRowFirstColumn="0" w:lastRowLastColumn="0"/>
            <w:tcW w:w="4675" w:type="dxa"/>
            <w:noWrap/>
            <w:hideMark/>
          </w:tcPr>
          <w:p w14:paraId="719D1A62" w14:textId="77777777" w:rsidR="00D15C7D" w:rsidRPr="00D40154" w:rsidRDefault="00D15C7D" w:rsidP="00D15C7D">
            <w:pPr>
              <w:spacing w:before="60" w:after="60"/>
              <w:jc w:val="both"/>
              <w:rPr>
                <w:rFonts w:cs="Calibri"/>
                <w:sz w:val="20"/>
                <w:szCs w:val="20"/>
              </w:rPr>
            </w:pPr>
            <w:r w:rsidRPr="00D40154">
              <w:rPr>
                <w:rFonts w:cs="Calibri"/>
                <w:sz w:val="20"/>
                <w:szCs w:val="20"/>
              </w:rPr>
              <w:t>Manufacturing concessions</w:t>
            </w:r>
          </w:p>
        </w:tc>
        <w:tc>
          <w:tcPr>
            <w:tcW w:w="1080" w:type="dxa"/>
            <w:noWrap/>
            <w:hideMark/>
          </w:tcPr>
          <w:p w14:paraId="330A0C60"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61.6</w:t>
            </w:r>
          </w:p>
        </w:tc>
        <w:tc>
          <w:tcPr>
            <w:tcW w:w="1620" w:type="dxa"/>
            <w:noWrap/>
            <w:hideMark/>
          </w:tcPr>
          <w:p w14:paraId="23899292"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12.1</w:t>
            </w:r>
          </w:p>
        </w:tc>
        <w:tc>
          <w:tcPr>
            <w:tcW w:w="990" w:type="dxa"/>
          </w:tcPr>
          <w:p w14:paraId="6FC8C0C1"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73.7</w:t>
            </w:r>
          </w:p>
        </w:tc>
        <w:tc>
          <w:tcPr>
            <w:tcW w:w="963" w:type="dxa"/>
          </w:tcPr>
          <w:p w14:paraId="0397A487"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11.2%</w:t>
            </w:r>
          </w:p>
        </w:tc>
      </w:tr>
      <w:tr w:rsidR="00D15C7D" w:rsidRPr="00D40154" w14:paraId="5DBB2A7F" w14:textId="77777777" w:rsidTr="00D15C7D">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675" w:type="dxa"/>
            <w:noWrap/>
            <w:hideMark/>
          </w:tcPr>
          <w:p w14:paraId="7AF980B6" w14:textId="77777777" w:rsidR="00D15C7D" w:rsidRDefault="00D15C7D" w:rsidP="00D15C7D">
            <w:pPr>
              <w:spacing w:before="60" w:after="60"/>
              <w:jc w:val="both"/>
              <w:rPr>
                <w:rFonts w:cs="Calibri"/>
                <w:sz w:val="20"/>
                <w:szCs w:val="20"/>
              </w:rPr>
            </w:pPr>
            <w:r w:rsidRPr="00D40154">
              <w:rPr>
                <w:rFonts w:cs="Calibri"/>
                <w:sz w:val="20"/>
                <w:szCs w:val="20"/>
              </w:rPr>
              <w:t>Parliament-approved exemptions</w:t>
            </w:r>
            <w:r w:rsidR="00FE0202">
              <w:rPr>
                <w:rFonts w:cs="Calibri"/>
                <w:sz w:val="20"/>
                <w:szCs w:val="20"/>
              </w:rPr>
              <w:t xml:space="preserve"> </w:t>
            </w:r>
          </w:p>
          <w:p w14:paraId="50CBB622" w14:textId="77777777" w:rsidR="00FE0202" w:rsidRPr="00D40154" w:rsidRDefault="00FE0202" w:rsidP="00D15C7D">
            <w:pPr>
              <w:spacing w:before="60" w:after="60"/>
              <w:jc w:val="both"/>
              <w:rPr>
                <w:rFonts w:cs="Calibri"/>
                <w:sz w:val="20"/>
                <w:szCs w:val="20"/>
              </w:rPr>
            </w:pPr>
            <w:r>
              <w:rPr>
                <w:rFonts w:cs="Calibri"/>
                <w:sz w:val="20"/>
                <w:szCs w:val="20"/>
              </w:rPr>
              <w:t>(agreements, priority projects, bi-lateral agreements</w:t>
            </w:r>
          </w:p>
        </w:tc>
        <w:tc>
          <w:tcPr>
            <w:tcW w:w="1080" w:type="dxa"/>
            <w:noWrap/>
            <w:hideMark/>
          </w:tcPr>
          <w:p w14:paraId="32172579"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61.1</w:t>
            </w:r>
          </w:p>
        </w:tc>
        <w:tc>
          <w:tcPr>
            <w:tcW w:w="1620" w:type="dxa"/>
            <w:noWrap/>
            <w:hideMark/>
          </w:tcPr>
          <w:p w14:paraId="3D0554BF"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12.2</w:t>
            </w:r>
          </w:p>
        </w:tc>
        <w:tc>
          <w:tcPr>
            <w:tcW w:w="990" w:type="dxa"/>
          </w:tcPr>
          <w:p w14:paraId="1090E94C"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73.4</w:t>
            </w:r>
          </w:p>
        </w:tc>
        <w:tc>
          <w:tcPr>
            <w:tcW w:w="963" w:type="dxa"/>
          </w:tcPr>
          <w:p w14:paraId="2252CE25"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11.1%</w:t>
            </w:r>
          </w:p>
        </w:tc>
      </w:tr>
      <w:tr w:rsidR="00D15C7D" w:rsidRPr="00D40154" w14:paraId="70D27FF4" w14:textId="77777777" w:rsidTr="00D15C7D">
        <w:trPr>
          <w:trHeight w:val="418"/>
          <w:jc w:val="center"/>
        </w:trPr>
        <w:tc>
          <w:tcPr>
            <w:cnfStyle w:val="001000000000" w:firstRow="0" w:lastRow="0" w:firstColumn="1" w:lastColumn="0" w:oddVBand="0" w:evenVBand="0" w:oddHBand="0" w:evenHBand="0" w:firstRowFirstColumn="0" w:firstRowLastColumn="0" w:lastRowFirstColumn="0" w:lastRowLastColumn="0"/>
            <w:tcW w:w="4675" w:type="dxa"/>
            <w:noWrap/>
            <w:hideMark/>
          </w:tcPr>
          <w:p w14:paraId="705A27CB" w14:textId="77777777" w:rsidR="00D15C7D" w:rsidRPr="00D40154" w:rsidRDefault="00D15C7D" w:rsidP="00D15C7D">
            <w:pPr>
              <w:spacing w:before="60" w:after="60"/>
              <w:jc w:val="both"/>
              <w:rPr>
                <w:rFonts w:cs="Calibri"/>
                <w:sz w:val="20"/>
                <w:szCs w:val="20"/>
              </w:rPr>
            </w:pPr>
            <w:r w:rsidRPr="00D40154">
              <w:rPr>
                <w:rFonts w:cs="Calibri"/>
                <w:sz w:val="20"/>
                <w:szCs w:val="20"/>
              </w:rPr>
              <w:t>General tariff exemptions</w:t>
            </w:r>
          </w:p>
        </w:tc>
        <w:tc>
          <w:tcPr>
            <w:tcW w:w="1080" w:type="dxa"/>
            <w:noWrap/>
            <w:hideMark/>
          </w:tcPr>
          <w:p w14:paraId="4DB598E5"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50.6</w:t>
            </w:r>
          </w:p>
        </w:tc>
        <w:tc>
          <w:tcPr>
            <w:tcW w:w="1620" w:type="dxa"/>
            <w:noWrap/>
            <w:hideMark/>
          </w:tcPr>
          <w:p w14:paraId="4AB776A9"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9.7</w:t>
            </w:r>
          </w:p>
        </w:tc>
        <w:tc>
          <w:tcPr>
            <w:tcW w:w="990" w:type="dxa"/>
          </w:tcPr>
          <w:p w14:paraId="7B5019B1"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60.3</w:t>
            </w:r>
          </w:p>
        </w:tc>
        <w:tc>
          <w:tcPr>
            <w:tcW w:w="963" w:type="dxa"/>
          </w:tcPr>
          <w:p w14:paraId="4AF69582"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9.1%</w:t>
            </w:r>
          </w:p>
        </w:tc>
      </w:tr>
      <w:tr w:rsidR="00D15C7D" w:rsidRPr="00D40154" w14:paraId="17182309" w14:textId="77777777" w:rsidTr="00D15C7D">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4675" w:type="dxa"/>
            <w:noWrap/>
            <w:hideMark/>
          </w:tcPr>
          <w:p w14:paraId="5683AAC7" w14:textId="77777777" w:rsidR="00D15C7D" w:rsidRPr="00D40154" w:rsidRDefault="00D15C7D" w:rsidP="00D15C7D">
            <w:pPr>
              <w:spacing w:before="60" w:after="60"/>
              <w:jc w:val="both"/>
              <w:rPr>
                <w:rFonts w:cs="Calibri"/>
                <w:sz w:val="20"/>
                <w:szCs w:val="20"/>
              </w:rPr>
            </w:pPr>
            <w:r w:rsidRPr="00D40154">
              <w:rPr>
                <w:rFonts w:cs="Calibri"/>
                <w:sz w:val="20"/>
                <w:szCs w:val="20"/>
              </w:rPr>
              <w:t>The Ghana National Petroleum Company</w:t>
            </w:r>
          </w:p>
        </w:tc>
        <w:tc>
          <w:tcPr>
            <w:tcW w:w="1080" w:type="dxa"/>
            <w:noWrap/>
            <w:hideMark/>
          </w:tcPr>
          <w:p w14:paraId="143B66F1"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39.1</w:t>
            </w:r>
          </w:p>
        </w:tc>
        <w:tc>
          <w:tcPr>
            <w:tcW w:w="1620" w:type="dxa"/>
            <w:noWrap/>
            <w:hideMark/>
          </w:tcPr>
          <w:p w14:paraId="45E8EC70"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7.6</w:t>
            </w:r>
          </w:p>
        </w:tc>
        <w:tc>
          <w:tcPr>
            <w:tcW w:w="990" w:type="dxa"/>
          </w:tcPr>
          <w:p w14:paraId="13C36A12"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46.6</w:t>
            </w:r>
          </w:p>
        </w:tc>
        <w:tc>
          <w:tcPr>
            <w:tcW w:w="963" w:type="dxa"/>
          </w:tcPr>
          <w:p w14:paraId="4AC8DECC"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7.1%</w:t>
            </w:r>
          </w:p>
        </w:tc>
      </w:tr>
      <w:tr w:rsidR="00D15C7D" w:rsidRPr="00D40154" w14:paraId="117C5C32" w14:textId="77777777" w:rsidTr="00D15C7D">
        <w:trPr>
          <w:trHeight w:val="299"/>
          <w:jc w:val="center"/>
        </w:trPr>
        <w:tc>
          <w:tcPr>
            <w:cnfStyle w:val="001000000000" w:firstRow="0" w:lastRow="0" w:firstColumn="1" w:lastColumn="0" w:oddVBand="0" w:evenVBand="0" w:oddHBand="0" w:evenHBand="0" w:firstRowFirstColumn="0" w:firstRowLastColumn="0" w:lastRowFirstColumn="0" w:lastRowLastColumn="0"/>
            <w:tcW w:w="4675" w:type="dxa"/>
            <w:noWrap/>
            <w:hideMark/>
          </w:tcPr>
          <w:p w14:paraId="1404CB77" w14:textId="77777777" w:rsidR="00D15C7D" w:rsidRPr="00D40154" w:rsidRDefault="00D15C7D" w:rsidP="00D15C7D">
            <w:pPr>
              <w:spacing w:before="60" w:after="60"/>
              <w:jc w:val="both"/>
              <w:rPr>
                <w:rFonts w:cs="Calibri"/>
                <w:sz w:val="20"/>
                <w:szCs w:val="20"/>
              </w:rPr>
            </w:pPr>
            <w:r w:rsidRPr="00D40154">
              <w:rPr>
                <w:rFonts w:cs="Calibri"/>
                <w:sz w:val="20"/>
                <w:szCs w:val="20"/>
              </w:rPr>
              <w:t>The Ghana Investment Promotion Centre</w:t>
            </w:r>
          </w:p>
        </w:tc>
        <w:tc>
          <w:tcPr>
            <w:tcW w:w="1080" w:type="dxa"/>
            <w:noWrap/>
            <w:hideMark/>
          </w:tcPr>
          <w:p w14:paraId="16FE5ABE"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16.4</w:t>
            </w:r>
          </w:p>
        </w:tc>
        <w:tc>
          <w:tcPr>
            <w:tcW w:w="1620" w:type="dxa"/>
            <w:noWrap/>
            <w:hideMark/>
          </w:tcPr>
          <w:p w14:paraId="36EBDB94"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3.3</w:t>
            </w:r>
          </w:p>
        </w:tc>
        <w:tc>
          <w:tcPr>
            <w:tcW w:w="990" w:type="dxa"/>
          </w:tcPr>
          <w:p w14:paraId="11538B38"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19.6</w:t>
            </w:r>
          </w:p>
        </w:tc>
        <w:tc>
          <w:tcPr>
            <w:tcW w:w="963" w:type="dxa"/>
          </w:tcPr>
          <w:p w14:paraId="4D109DA3"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3.0%</w:t>
            </w:r>
          </w:p>
        </w:tc>
      </w:tr>
      <w:tr w:rsidR="00D15C7D" w:rsidRPr="00D40154" w14:paraId="07B622EB" w14:textId="77777777" w:rsidTr="00D15C7D">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4675" w:type="dxa"/>
            <w:noWrap/>
            <w:hideMark/>
          </w:tcPr>
          <w:p w14:paraId="6AE9A5CE" w14:textId="77777777" w:rsidR="00D15C7D" w:rsidRPr="00D40154" w:rsidRDefault="00D15C7D" w:rsidP="00D15C7D">
            <w:pPr>
              <w:spacing w:before="60" w:after="60"/>
              <w:jc w:val="both"/>
              <w:rPr>
                <w:rFonts w:cs="Calibri"/>
                <w:sz w:val="20"/>
                <w:szCs w:val="20"/>
              </w:rPr>
            </w:pPr>
            <w:r w:rsidRPr="00D40154">
              <w:rPr>
                <w:rFonts w:cs="Calibri"/>
                <w:sz w:val="20"/>
                <w:szCs w:val="20"/>
              </w:rPr>
              <w:t>ECOWAS</w:t>
            </w:r>
          </w:p>
        </w:tc>
        <w:tc>
          <w:tcPr>
            <w:tcW w:w="1080" w:type="dxa"/>
            <w:noWrap/>
            <w:hideMark/>
          </w:tcPr>
          <w:p w14:paraId="208AC028"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11.2</w:t>
            </w:r>
          </w:p>
        </w:tc>
        <w:tc>
          <w:tcPr>
            <w:tcW w:w="1620" w:type="dxa"/>
            <w:noWrap/>
            <w:hideMark/>
          </w:tcPr>
          <w:p w14:paraId="05FA7CCD"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2.2</w:t>
            </w:r>
          </w:p>
        </w:tc>
        <w:tc>
          <w:tcPr>
            <w:tcW w:w="990" w:type="dxa"/>
          </w:tcPr>
          <w:p w14:paraId="759275C6"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13.4</w:t>
            </w:r>
          </w:p>
        </w:tc>
        <w:tc>
          <w:tcPr>
            <w:tcW w:w="963" w:type="dxa"/>
          </w:tcPr>
          <w:p w14:paraId="0EBD1AB4"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2.0%</w:t>
            </w:r>
          </w:p>
        </w:tc>
      </w:tr>
      <w:tr w:rsidR="00D15C7D" w:rsidRPr="00D40154" w14:paraId="3EF9AE5C" w14:textId="77777777" w:rsidTr="00D15C7D">
        <w:trPr>
          <w:trHeight w:val="285"/>
          <w:jc w:val="center"/>
        </w:trPr>
        <w:tc>
          <w:tcPr>
            <w:cnfStyle w:val="001000000000" w:firstRow="0" w:lastRow="0" w:firstColumn="1" w:lastColumn="0" w:oddVBand="0" w:evenVBand="0" w:oddHBand="0" w:evenHBand="0" w:firstRowFirstColumn="0" w:firstRowLastColumn="0" w:lastRowFirstColumn="0" w:lastRowLastColumn="0"/>
            <w:tcW w:w="4675" w:type="dxa"/>
            <w:noWrap/>
          </w:tcPr>
          <w:p w14:paraId="71663556" w14:textId="77777777" w:rsidR="00D15C7D" w:rsidRPr="00D40154" w:rsidRDefault="00D15C7D" w:rsidP="00D15C7D">
            <w:pPr>
              <w:spacing w:before="60" w:after="60"/>
              <w:jc w:val="both"/>
              <w:rPr>
                <w:rFonts w:cs="Calibri"/>
                <w:sz w:val="20"/>
                <w:szCs w:val="20"/>
              </w:rPr>
            </w:pPr>
            <w:r w:rsidRPr="00D40154">
              <w:rPr>
                <w:rFonts w:cs="Calibri"/>
                <w:sz w:val="20"/>
                <w:szCs w:val="20"/>
              </w:rPr>
              <w:t>Tax expenditures on import VAT</w:t>
            </w:r>
          </w:p>
        </w:tc>
        <w:tc>
          <w:tcPr>
            <w:tcW w:w="1080" w:type="dxa"/>
            <w:noWrap/>
          </w:tcPr>
          <w:p w14:paraId="79190545"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557.1</w:t>
            </w:r>
          </w:p>
        </w:tc>
        <w:tc>
          <w:tcPr>
            <w:tcW w:w="1620" w:type="dxa"/>
            <w:noWrap/>
          </w:tcPr>
          <w:p w14:paraId="4FEC30F6"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102.0</w:t>
            </w:r>
          </w:p>
        </w:tc>
        <w:tc>
          <w:tcPr>
            <w:tcW w:w="990" w:type="dxa"/>
          </w:tcPr>
          <w:p w14:paraId="331F21D0"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659.1</w:t>
            </w:r>
          </w:p>
        </w:tc>
        <w:tc>
          <w:tcPr>
            <w:tcW w:w="963" w:type="dxa"/>
          </w:tcPr>
          <w:p w14:paraId="4C60F73D" w14:textId="77777777" w:rsidR="00D15C7D" w:rsidRPr="00D40154" w:rsidRDefault="00D15C7D" w:rsidP="00D15C7D">
            <w:pPr>
              <w:spacing w:before="60" w:after="6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100.0%</w:t>
            </w:r>
          </w:p>
        </w:tc>
      </w:tr>
      <w:tr w:rsidR="00D15C7D" w:rsidRPr="00D40154" w14:paraId="11BB4F9B" w14:textId="77777777" w:rsidTr="00D15C7D">
        <w:trPr>
          <w:cnfStyle w:val="000000100000" w:firstRow="0" w:lastRow="0" w:firstColumn="0" w:lastColumn="0" w:oddVBand="0" w:evenVBand="0" w:oddHBand="1" w:evenHBand="0" w:firstRowFirstColumn="0" w:firstRowLastColumn="0" w:lastRowFirstColumn="0" w:lastRowLastColumn="0"/>
          <w:trHeight w:val="683"/>
          <w:jc w:val="center"/>
        </w:trPr>
        <w:tc>
          <w:tcPr>
            <w:cnfStyle w:val="001000000000" w:firstRow="0" w:lastRow="0" w:firstColumn="1" w:lastColumn="0" w:oddVBand="0" w:evenVBand="0" w:oddHBand="0" w:evenHBand="0" w:firstRowFirstColumn="0" w:firstRowLastColumn="0" w:lastRowFirstColumn="0" w:lastRowLastColumn="0"/>
            <w:tcW w:w="4675" w:type="dxa"/>
            <w:noWrap/>
          </w:tcPr>
          <w:p w14:paraId="0BA2D90A" w14:textId="77777777" w:rsidR="00D15C7D" w:rsidRPr="00D40154" w:rsidRDefault="00D15C7D" w:rsidP="00D15C7D">
            <w:pPr>
              <w:ind w:left="158"/>
              <w:rPr>
                <w:rFonts w:cs="Calibri"/>
                <w:b w:val="0"/>
                <w:sz w:val="20"/>
                <w:szCs w:val="20"/>
              </w:rPr>
            </w:pPr>
            <w:r w:rsidRPr="00D40154">
              <w:rPr>
                <w:rFonts w:cs="Calibri"/>
                <w:b w:val="0"/>
                <w:sz w:val="20"/>
                <w:szCs w:val="20"/>
              </w:rPr>
              <w:t>A. Unrecoverable VAT exemptions received by final consumers, businesses in exempt sectors and taxable businesses not registered for VAT</w:t>
            </w:r>
          </w:p>
        </w:tc>
        <w:tc>
          <w:tcPr>
            <w:tcW w:w="1080" w:type="dxa"/>
            <w:noWrap/>
            <w:vAlign w:val="center"/>
          </w:tcPr>
          <w:p w14:paraId="016D1167"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275.0</w:t>
            </w:r>
          </w:p>
        </w:tc>
        <w:tc>
          <w:tcPr>
            <w:tcW w:w="1620" w:type="dxa"/>
            <w:noWrap/>
            <w:vAlign w:val="center"/>
          </w:tcPr>
          <w:p w14:paraId="50415BCE"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46.5</w:t>
            </w:r>
          </w:p>
        </w:tc>
        <w:tc>
          <w:tcPr>
            <w:tcW w:w="990" w:type="dxa"/>
            <w:vAlign w:val="center"/>
          </w:tcPr>
          <w:p w14:paraId="766BE14C"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321.5</w:t>
            </w:r>
          </w:p>
        </w:tc>
        <w:tc>
          <w:tcPr>
            <w:tcW w:w="963" w:type="dxa"/>
            <w:vAlign w:val="center"/>
          </w:tcPr>
          <w:p w14:paraId="23AF28C2"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48.8%</w:t>
            </w:r>
          </w:p>
        </w:tc>
      </w:tr>
      <w:tr w:rsidR="00D15C7D" w:rsidRPr="00D40154" w14:paraId="76901C1F" w14:textId="77777777" w:rsidTr="00D15C7D">
        <w:trPr>
          <w:trHeight w:val="440"/>
          <w:jc w:val="center"/>
        </w:trPr>
        <w:tc>
          <w:tcPr>
            <w:cnfStyle w:val="001000000000" w:firstRow="0" w:lastRow="0" w:firstColumn="1" w:lastColumn="0" w:oddVBand="0" w:evenVBand="0" w:oddHBand="0" w:evenHBand="0" w:firstRowFirstColumn="0" w:firstRowLastColumn="0" w:lastRowFirstColumn="0" w:lastRowLastColumn="0"/>
            <w:tcW w:w="4675" w:type="dxa"/>
            <w:noWrap/>
          </w:tcPr>
          <w:p w14:paraId="59E99877" w14:textId="77777777" w:rsidR="00D15C7D" w:rsidRPr="00D40154" w:rsidRDefault="00D15C7D" w:rsidP="00D15C7D">
            <w:pPr>
              <w:ind w:left="158"/>
              <w:rPr>
                <w:rFonts w:cs="Calibri"/>
                <w:b w:val="0"/>
                <w:sz w:val="20"/>
                <w:szCs w:val="20"/>
              </w:rPr>
            </w:pPr>
            <w:r w:rsidRPr="00D40154">
              <w:rPr>
                <w:rFonts w:cs="Calibri"/>
                <w:b w:val="0"/>
                <w:sz w:val="20"/>
                <w:szCs w:val="20"/>
              </w:rPr>
              <w:t>B. Recoverable VAT exemptions received by taxable businesses registered for VAT</w:t>
            </w:r>
          </w:p>
        </w:tc>
        <w:tc>
          <w:tcPr>
            <w:tcW w:w="1080" w:type="dxa"/>
            <w:noWrap/>
            <w:vAlign w:val="center"/>
          </w:tcPr>
          <w:p w14:paraId="718AFF0B"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282.1</w:t>
            </w:r>
          </w:p>
        </w:tc>
        <w:tc>
          <w:tcPr>
            <w:tcW w:w="1620" w:type="dxa"/>
            <w:noWrap/>
            <w:vAlign w:val="center"/>
          </w:tcPr>
          <w:p w14:paraId="7C6745D3"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55.5</w:t>
            </w:r>
          </w:p>
        </w:tc>
        <w:tc>
          <w:tcPr>
            <w:tcW w:w="990" w:type="dxa"/>
            <w:vAlign w:val="center"/>
          </w:tcPr>
          <w:p w14:paraId="20EEA12C"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337.6</w:t>
            </w:r>
          </w:p>
        </w:tc>
        <w:tc>
          <w:tcPr>
            <w:tcW w:w="963" w:type="dxa"/>
            <w:vAlign w:val="center"/>
          </w:tcPr>
          <w:p w14:paraId="7DA9CFA6"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51.2%</w:t>
            </w:r>
          </w:p>
        </w:tc>
      </w:tr>
    </w:tbl>
    <w:p w14:paraId="1193C52E" w14:textId="77777777" w:rsidR="00D15C7D" w:rsidRDefault="00D15C7D" w:rsidP="00D15C7D">
      <w:pPr>
        <w:pStyle w:val="ListParagraph"/>
        <w:numPr>
          <w:ilvl w:val="0"/>
          <w:numId w:val="0"/>
        </w:numPr>
        <w:spacing w:after="0"/>
        <w:rPr>
          <w:sz w:val="20"/>
          <w:szCs w:val="20"/>
        </w:rPr>
      </w:pPr>
      <w:r w:rsidRPr="007925A8">
        <w:rPr>
          <w:i/>
          <w:sz w:val="20"/>
          <w:szCs w:val="20"/>
        </w:rPr>
        <w:t>Source</w:t>
      </w:r>
      <w:r w:rsidRPr="00696A40">
        <w:rPr>
          <w:sz w:val="20"/>
          <w:szCs w:val="20"/>
        </w:rPr>
        <w:t xml:space="preserve">: World Bank </w:t>
      </w:r>
      <w:r>
        <w:rPr>
          <w:sz w:val="20"/>
          <w:szCs w:val="20"/>
        </w:rPr>
        <w:t>s</w:t>
      </w:r>
      <w:r w:rsidRPr="00696A40">
        <w:rPr>
          <w:sz w:val="20"/>
          <w:szCs w:val="20"/>
        </w:rPr>
        <w:t xml:space="preserve">taff </w:t>
      </w:r>
      <w:r>
        <w:rPr>
          <w:sz w:val="20"/>
          <w:szCs w:val="20"/>
        </w:rPr>
        <w:t>c</w:t>
      </w:r>
      <w:r w:rsidRPr="00696A40">
        <w:rPr>
          <w:sz w:val="20"/>
          <w:szCs w:val="20"/>
        </w:rPr>
        <w:t xml:space="preserve">alculations </w:t>
      </w:r>
      <w:r>
        <w:rPr>
          <w:sz w:val="20"/>
          <w:szCs w:val="20"/>
        </w:rPr>
        <w:t xml:space="preserve">based on </w:t>
      </w:r>
      <w:r w:rsidRPr="00696A40">
        <w:rPr>
          <w:sz w:val="20"/>
          <w:szCs w:val="20"/>
        </w:rPr>
        <w:t>G</w:t>
      </w:r>
      <w:r>
        <w:rPr>
          <w:sz w:val="20"/>
          <w:szCs w:val="20"/>
        </w:rPr>
        <w:t xml:space="preserve">hana </w:t>
      </w:r>
      <w:r w:rsidRPr="00696A40">
        <w:rPr>
          <w:sz w:val="20"/>
          <w:szCs w:val="20"/>
        </w:rPr>
        <w:t>S</w:t>
      </w:r>
      <w:r>
        <w:rPr>
          <w:sz w:val="20"/>
          <w:szCs w:val="20"/>
        </w:rPr>
        <w:t xml:space="preserve">tatistical </w:t>
      </w:r>
      <w:r w:rsidRPr="00696A40">
        <w:rPr>
          <w:sz w:val="20"/>
          <w:szCs w:val="20"/>
        </w:rPr>
        <w:t>S</w:t>
      </w:r>
      <w:r>
        <w:rPr>
          <w:sz w:val="20"/>
          <w:szCs w:val="20"/>
        </w:rPr>
        <w:t>ervice (GSS)</w:t>
      </w:r>
      <w:r w:rsidRPr="00696A40">
        <w:rPr>
          <w:sz w:val="20"/>
          <w:szCs w:val="20"/>
        </w:rPr>
        <w:t xml:space="preserve"> data</w:t>
      </w:r>
    </w:p>
    <w:p w14:paraId="6D00292F" w14:textId="4E0A6404" w:rsidR="00D15C7D" w:rsidRDefault="00D15C7D" w:rsidP="00D15C7D">
      <w:pPr>
        <w:pStyle w:val="ListParagraph"/>
        <w:numPr>
          <w:ilvl w:val="0"/>
          <w:numId w:val="4"/>
        </w:numPr>
        <w:spacing w:before="240"/>
      </w:pPr>
      <w:r w:rsidRPr="00284543">
        <w:rPr>
          <w:b/>
        </w:rPr>
        <w:t xml:space="preserve">Data limitations notwithstanding, Ghana’s VAT expenditures on domestic sales appear to be extremely high, reaching an estimated 3.9 percent of GDP in 2013. </w:t>
      </w:r>
      <w:r>
        <w:t>Total u</w:t>
      </w:r>
      <w:r w:rsidRPr="00284543">
        <w:t>nrecoverable expenditures on final sales, exempt sectors</w:t>
      </w:r>
      <w:r w:rsidR="001E5B6A">
        <w:t>,</w:t>
      </w:r>
      <w:r w:rsidRPr="00284543">
        <w:t xml:space="preserve"> or businesses not registered for VAT amounted to GH¢ 321.5 million, or 20 percent of government revenue in 2013. Moreover, VAT </w:t>
      </w:r>
      <w:r w:rsidRPr="00284543">
        <w:lastRenderedPageBreak/>
        <w:t xml:space="preserve">expenditures likely increased in 2014 when the VAT rate was raised from </w:t>
      </w:r>
      <w:r w:rsidR="00C35FB5">
        <w:t xml:space="preserve">12.5 to </w:t>
      </w:r>
      <w:r w:rsidRPr="00284543">
        <w:t>15 percent</w:t>
      </w:r>
      <w:r>
        <w:t xml:space="preserve"> </w:t>
      </w:r>
      <w:r w:rsidRPr="002C69E5">
        <w:t>(</w:t>
      </w:r>
      <w:r>
        <w:fldChar w:fldCharType="begin"/>
      </w:r>
      <w:r>
        <w:instrText xml:space="preserve"> REF _Ref472430041 \h </w:instrText>
      </w:r>
      <w:r>
        <w:fldChar w:fldCharType="separate"/>
      </w:r>
      <w:r w:rsidR="007B1CE6" w:rsidRPr="000A5B80">
        <w:t xml:space="preserve">Table </w:t>
      </w:r>
      <w:r w:rsidR="007B1CE6">
        <w:rPr>
          <w:noProof/>
        </w:rPr>
        <w:t>2</w:t>
      </w:r>
      <w:r w:rsidR="007B1CE6" w:rsidRPr="000A5B80">
        <w:t>.</w:t>
      </w:r>
      <w:r w:rsidR="007B1CE6">
        <w:rPr>
          <w:noProof/>
        </w:rPr>
        <w:t>6</w:t>
      </w:r>
      <w:r>
        <w:fldChar w:fldCharType="end"/>
      </w:r>
      <w:r w:rsidRPr="002C69E5">
        <w:t>)</w:t>
      </w:r>
      <w:r w:rsidRPr="00284543">
        <w:t xml:space="preserve">.  </w:t>
      </w:r>
    </w:p>
    <w:p w14:paraId="3A38E81C" w14:textId="77777777" w:rsidR="00D15C7D" w:rsidRPr="000A5B80" w:rsidRDefault="00D15C7D" w:rsidP="00D15C7D">
      <w:pPr>
        <w:pStyle w:val="Caption"/>
        <w:rPr>
          <w:lang w:val="en-US"/>
        </w:rPr>
      </w:pPr>
      <w:bookmarkStart w:id="78" w:name="_Ref472430041"/>
      <w:bookmarkStart w:id="79" w:name="_Toc478837627"/>
      <w:r w:rsidRPr="000A5B80">
        <w:rPr>
          <w:lang w:val="en-US"/>
        </w:rPr>
        <w:t xml:space="preserve">Table </w:t>
      </w:r>
      <w:r w:rsidR="00500291" w:rsidRPr="000A5B80">
        <w:rPr>
          <w:lang w:val="en-US"/>
        </w:rPr>
        <w:fldChar w:fldCharType="begin"/>
      </w:r>
      <w:r w:rsidR="00500291" w:rsidRPr="000A5B80">
        <w:rPr>
          <w:lang w:val="en-US"/>
        </w:rPr>
        <w:instrText xml:space="preserve"> STYLEREF 1 \s </w:instrText>
      </w:r>
      <w:r w:rsidR="00500291" w:rsidRPr="000A5B80">
        <w:rPr>
          <w:lang w:val="en-US"/>
        </w:rPr>
        <w:fldChar w:fldCharType="separate"/>
      </w:r>
      <w:r w:rsidR="007B1CE6">
        <w:rPr>
          <w:noProof/>
          <w:lang w:val="en-US"/>
        </w:rPr>
        <w:t>2</w:t>
      </w:r>
      <w:r w:rsidR="00500291" w:rsidRPr="000A5B80">
        <w:rPr>
          <w:lang w:val="en-US"/>
        </w:rPr>
        <w:fldChar w:fldCharType="end"/>
      </w:r>
      <w:r w:rsidR="00500291" w:rsidRPr="000A5B80">
        <w:rPr>
          <w:lang w:val="en-US"/>
        </w:rPr>
        <w:t>.</w:t>
      </w:r>
      <w:r w:rsidR="00500291" w:rsidRPr="000A5B80">
        <w:rPr>
          <w:lang w:val="en-US"/>
        </w:rPr>
        <w:fldChar w:fldCharType="begin"/>
      </w:r>
      <w:r w:rsidR="00500291" w:rsidRPr="000A5B80">
        <w:rPr>
          <w:lang w:val="en-US"/>
        </w:rPr>
        <w:instrText xml:space="preserve"> SEQ Table \* ARABIC \s 1 </w:instrText>
      </w:r>
      <w:r w:rsidR="00500291" w:rsidRPr="000A5B80">
        <w:rPr>
          <w:lang w:val="en-US"/>
        </w:rPr>
        <w:fldChar w:fldCharType="separate"/>
      </w:r>
      <w:r w:rsidR="007B1CE6">
        <w:rPr>
          <w:noProof/>
          <w:lang w:val="en-US"/>
        </w:rPr>
        <w:t>6</w:t>
      </w:r>
      <w:r w:rsidR="00500291" w:rsidRPr="000A5B80">
        <w:rPr>
          <w:lang w:val="en-US"/>
        </w:rPr>
        <w:fldChar w:fldCharType="end"/>
      </w:r>
      <w:bookmarkEnd w:id="78"/>
      <w:r w:rsidRPr="000A5B80">
        <w:rPr>
          <w:lang w:val="en-US"/>
        </w:rPr>
        <w:t>: Tax Expenditures on Domestic VAT (GH¢ millions)</w:t>
      </w:r>
      <w:bookmarkEnd w:id="79"/>
    </w:p>
    <w:tbl>
      <w:tblPr>
        <w:tblStyle w:val="GridTable6Colorful"/>
        <w:tblW w:w="5000" w:type="pct"/>
        <w:tblLayout w:type="fixed"/>
        <w:tblLook w:val="04A0" w:firstRow="1" w:lastRow="0" w:firstColumn="1" w:lastColumn="0" w:noHBand="0" w:noVBand="1"/>
      </w:tblPr>
      <w:tblGrid>
        <w:gridCol w:w="1596"/>
        <w:gridCol w:w="1354"/>
        <w:gridCol w:w="1498"/>
        <w:gridCol w:w="1425"/>
        <w:gridCol w:w="1427"/>
        <w:gridCol w:w="980"/>
        <w:gridCol w:w="1070"/>
      </w:tblGrid>
      <w:tr w:rsidR="00D15C7D" w:rsidRPr="00D40154" w14:paraId="44886C07" w14:textId="77777777" w:rsidTr="00D15C7D">
        <w:trPr>
          <w:cnfStyle w:val="100000000000" w:firstRow="1" w:lastRow="0" w:firstColumn="0" w:lastColumn="0" w:oddVBand="0" w:evenVBand="0" w:oddHBand="0" w:evenHBand="0" w:firstRowFirstColumn="0" w:firstRowLastColumn="0" w:lastRowFirstColumn="0" w:lastRowLastColumn="0"/>
          <w:trHeight w:val="1484"/>
        </w:trPr>
        <w:tc>
          <w:tcPr>
            <w:cnfStyle w:val="001000000000" w:firstRow="0" w:lastRow="0" w:firstColumn="1" w:lastColumn="0" w:oddVBand="0" w:evenVBand="0" w:oddHBand="0" w:evenHBand="0" w:firstRowFirstColumn="0" w:firstRowLastColumn="0" w:lastRowFirstColumn="0" w:lastRowLastColumn="0"/>
            <w:tcW w:w="854" w:type="pct"/>
            <w:vAlign w:val="center"/>
            <w:hideMark/>
          </w:tcPr>
          <w:p w14:paraId="342D53B6" w14:textId="77777777" w:rsidR="00D15C7D" w:rsidRPr="00D40154" w:rsidRDefault="00D15C7D" w:rsidP="00D15C7D">
            <w:pPr>
              <w:spacing w:before="30" w:after="30"/>
              <w:jc w:val="center"/>
              <w:rPr>
                <w:rFonts w:cs="Calibri"/>
                <w:sz w:val="20"/>
                <w:szCs w:val="20"/>
              </w:rPr>
            </w:pPr>
            <w:r w:rsidRPr="00D40154">
              <w:rPr>
                <w:rFonts w:cs="Calibri"/>
                <w:sz w:val="20"/>
                <w:szCs w:val="20"/>
              </w:rPr>
              <w:t>Industry or Sector</w:t>
            </w:r>
          </w:p>
        </w:tc>
        <w:tc>
          <w:tcPr>
            <w:tcW w:w="724" w:type="pct"/>
            <w:vAlign w:val="center"/>
            <w:hideMark/>
          </w:tcPr>
          <w:p w14:paraId="49F14947" w14:textId="77777777" w:rsidR="00D15C7D" w:rsidRPr="00D40154" w:rsidRDefault="00D15C7D" w:rsidP="00D15C7D">
            <w:pPr>
              <w:spacing w:before="30" w:after="3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Tax Expenditure</w:t>
            </w:r>
          </w:p>
          <w:p w14:paraId="489512AB" w14:textId="77777777" w:rsidR="00D15C7D" w:rsidRPr="00D40154" w:rsidRDefault="00D15C7D" w:rsidP="00D15C7D">
            <w:pPr>
              <w:spacing w:before="30" w:after="3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TE= A+B+C+D+E</w:t>
            </w:r>
          </w:p>
        </w:tc>
        <w:tc>
          <w:tcPr>
            <w:tcW w:w="801" w:type="pct"/>
            <w:vAlign w:val="center"/>
            <w:hideMark/>
          </w:tcPr>
          <w:p w14:paraId="19F9F6DA" w14:textId="77777777" w:rsidR="00D15C7D" w:rsidRPr="00D40154" w:rsidRDefault="00D15C7D" w:rsidP="00D15C7D">
            <w:pPr>
              <w:spacing w:before="30" w:after="3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Final consumption of exempt goods by registered firms</w:t>
            </w:r>
          </w:p>
          <w:p w14:paraId="257FBCAC" w14:textId="77777777" w:rsidR="00D15C7D" w:rsidRPr="00D40154" w:rsidRDefault="00D15C7D" w:rsidP="00D15C7D">
            <w:pPr>
              <w:spacing w:before="30" w:after="3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(A)</w:t>
            </w:r>
          </w:p>
        </w:tc>
        <w:tc>
          <w:tcPr>
            <w:tcW w:w="762" w:type="pct"/>
            <w:vAlign w:val="center"/>
            <w:hideMark/>
          </w:tcPr>
          <w:p w14:paraId="3075E428" w14:textId="77777777" w:rsidR="00D15C7D" w:rsidRPr="00D40154" w:rsidRDefault="00D15C7D" w:rsidP="00D15C7D">
            <w:pPr>
              <w:spacing w:before="30" w:after="3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Consumption of exempt goods from registered firms by unregistered firms</w:t>
            </w:r>
          </w:p>
          <w:p w14:paraId="35BEABEC" w14:textId="77777777" w:rsidR="00D15C7D" w:rsidRPr="00D40154" w:rsidRDefault="00D15C7D" w:rsidP="00D15C7D">
            <w:pPr>
              <w:spacing w:before="30" w:after="3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(B)</w:t>
            </w:r>
          </w:p>
        </w:tc>
        <w:tc>
          <w:tcPr>
            <w:tcW w:w="763" w:type="pct"/>
            <w:vAlign w:val="center"/>
            <w:hideMark/>
          </w:tcPr>
          <w:p w14:paraId="6ED64AF5" w14:textId="77777777" w:rsidR="00D15C7D" w:rsidRPr="00D40154" w:rsidRDefault="00D15C7D" w:rsidP="00D15C7D">
            <w:pPr>
              <w:spacing w:before="30" w:after="3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Additional input tax credit for purchasers</w:t>
            </w:r>
          </w:p>
          <w:p w14:paraId="2E068B1F" w14:textId="77777777" w:rsidR="00D15C7D" w:rsidRPr="00D40154" w:rsidRDefault="00D15C7D" w:rsidP="00D15C7D">
            <w:pPr>
              <w:spacing w:before="30" w:after="3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(C)</w:t>
            </w:r>
          </w:p>
        </w:tc>
        <w:tc>
          <w:tcPr>
            <w:tcW w:w="524" w:type="pct"/>
            <w:vAlign w:val="center"/>
            <w:hideMark/>
          </w:tcPr>
          <w:p w14:paraId="4C13F050" w14:textId="77777777" w:rsidR="00D15C7D" w:rsidRPr="00D40154" w:rsidRDefault="00D15C7D" w:rsidP="00D15C7D">
            <w:pPr>
              <w:spacing w:before="30" w:after="3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Input tax disallowance</w:t>
            </w:r>
          </w:p>
          <w:p w14:paraId="33F714EA" w14:textId="77777777" w:rsidR="00D15C7D" w:rsidRPr="00D40154" w:rsidRDefault="00D15C7D" w:rsidP="00D15C7D">
            <w:pPr>
              <w:spacing w:before="30" w:after="3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(D)</w:t>
            </w:r>
          </w:p>
        </w:tc>
        <w:tc>
          <w:tcPr>
            <w:tcW w:w="572" w:type="pct"/>
            <w:vAlign w:val="center"/>
            <w:hideMark/>
          </w:tcPr>
          <w:p w14:paraId="28EA2568" w14:textId="77777777" w:rsidR="00D15C7D" w:rsidRPr="00D40154" w:rsidRDefault="00D15C7D" w:rsidP="00D15C7D">
            <w:pPr>
              <w:spacing w:before="30" w:after="3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Cascading</w:t>
            </w:r>
          </w:p>
          <w:p w14:paraId="39A9DCCD" w14:textId="77777777" w:rsidR="00D15C7D" w:rsidRPr="00D40154" w:rsidRDefault="00D15C7D" w:rsidP="00D15C7D">
            <w:pPr>
              <w:spacing w:before="30" w:after="3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(E)</w:t>
            </w:r>
          </w:p>
        </w:tc>
      </w:tr>
      <w:tr w:rsidR="00D15C7D" w:rsidRPr="00D40154" w14:paraId="13BAAE12" w14:textId="77777777" w:rsidTr="00D15C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4" w:type="pct"/>
            <w:tcBorders>
              <w:top w:val="single" w:sz="12" w:space="0" w:color="666666" w:themeColor="text1" w:themeTint="99"/>
            </w:tcBorders>
            <w:shd w:val="clear" w:color="auto" w:fill="FFFFFF" w:themeFill="background1"/>
            <w:noWrap/>
            <w:hideMark/>
          </w:tcPr>
          <w:p w14:paraId="40A5344A" w14:textId="77777777" w:rsidR="00D15C7D" w:rsidRPr="00D40154" w:rsidRDefault="00D15C7D" w:rsidP="00D15C7D">
            <w:pPr>
              <w:spacing w:before="30" w:after="30"/>
              <w:rPr>
                <w:rFonts w:cs="Calibri"/>
                <w:sz w:val="20"/>
                <w:szCs w:val="20"/>
              </w:rPr>
            </w:pPr>
            <w:r w:rsidRPr="00D40154">
              <w:rPr>
                <w:rFonts w:cs="Calibri"/>
                <w:sz w:val="20"/>
                <w:szCs w:val="20"/>
              </w:rPr>
              <w:t xml:space="preserve">Cocoa and Other Crops </w:t>
            </w:r>
          </w:p>
        </w:tc>
        <w:tc>
          <w:tcPr>
            <w:tcW w:w="724" w:type="pct"/>
            <w:tcBorders>
              <w:top w:val="single" w:sz="12" w:space="0" w:color="666666" w:themeColor="text1" w:themeTint="99"/>
            </w:tcBorders>
            <w:shd w:val="clear" w:color="auto" w:fill="FFFFFF" w:themeFill="background1"/>
            <w:noWrap/>
            <w:vAlign w:val="center"/>
            <w:hideMark/>
          </w:tcPr>
          <w:p w14:paraId="1CD3DC5E"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1012.7</w:t>
            </w:r>
          </w:p>
        </w:tc>
        <w:tc>
          <w:tcPr>
            <w:tcW w:w="801" w:type="pct"/>
            <w:tcBorders>
              <w:top w:val="single" w:sz="12" w:space="0" w:color="666666" w:themeColor="text1" w:themeTint="99"/>
            </w:tcBorders>
            <w:shd w:val="clear" w:color="auto" w:fill="FFFFFF" w:themeFill="background1"/>
            <w:noWrap/>
            <w:vAlign w:val="center"/>
            <w:hideMark/>
          </w:tcPr>
          <w:p w14:paraId="06B9C1B1"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930.5</w:t>
            </w:r>
          </w:p>
        </w:tc>
        <w:tc>
          <w:tcPr>
            <w:tcW w:w="762" w:type="pct"/>
            <w:tcBorders>
              <w:top w:val="single" w:sz="12" w:space="0" w:color="666666" w:themeColor="text1" w:themeTint="99"/>
            </w:tcBorders>
            <w:shd w:val="clear" w:color="auto" w:fill="FFFFFF" w:themeFill="background1"/>
            <w:noWrap/>
            <w:vAlign w:val="center"/>
            <w:hideMark/>
          </w:tcPr>
          <w:p w14:paraId="1F4857FA"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74.7</w:t>
            </w:r>
          </w:p>
        </w:tc>
        <w:tc>
          <w:tcPr>
            <w:tcW w:w="763" w:type="pct"/>
            <w:tcBorders>
              <w:top w:val="single" w:sz="12" w:space="0" w:color="666666" w:themeColor="text1" w:themeTint="99"/>
            </w:tcBorders>
            <w:shd w:val="clear" w:color="auto" w:fill="FFFFFF" w:themeFill="background1"/>
            <w:noWrap/>
            <w:vAlign w:val="center"/>
            <w:hideMark/>
          </w:tcPr>
          <w:p w14:paraId="3563DFE6"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74.7</w:t>
            </w:r>
          </w:p>
        </w:tc>
        <w:tc>
          <w:tcPr>
            <w:tcW w:w="524" w:type="pct"/>
            <w:tcBorders>
              <w:top w:val="single" w:sz="12" w:space="0" w:color="666666" w:themeColor="text1" w:themeTint="99"/>
            </w:tcBorders>
            <w:shd w:val="clear" w:color="auto" w:fill="FFFFFF" w:themeFill="background1"/>
            <w:noWrap/>
            <w:vAlign w:val="center"/>
            <w:hideMark/>
          </w:tcPr>
          <w:p w14:paraId="5391385F"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-61.6</w:t>
            </w:r>
          </w:p>
        </w:tc>
        <w:tc>
          <w:tcPr>
            <w:tcW w:w="572" w:type="pct"/>
            <w:tcBorders>
              <w:top w:val="single" w:sz="12" w:space="0" w:color="666666" w:themeColor="text1" w:themeTint="99"/>
            </w:tcBorders>
            <w:shd w:val="clear" w:color="auto" w:fill="FFFFFF" w:themeFill="background1"/>
            <w:noWrap/>
            <w:vAlign w:val="center"/>
            <w:hideMark/>
          </w:tcPr>
          <w:p w14:paraId="052C68BC"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-5.6</w:t>
            </w:r>
          </w:p>
        </w:tc>
      </w:tr>
      <w:tr w:rsidR="00D15C7D" w:rsidRPr="00D40154" w14:paraId="56FB6BC3" w14:textId="77777777" w:rsidTr="00D15C7D">
        <w:trPr>
          <w:trHeight w:val="240"/>
        </w:trPr>
        <w:tc>
          <w:tcPr>
            <w:cnfStyle w:val="001000000000" w:firstRow="0" w:lastRow="0" w:firstColumn="1" w:lastColumn="0" w:oddVBand="0" w:evenVBand="0" w:oddHBand="0" w:evenHBand="0" w:firstRowFirstColumn="0" w:firstRowLastColumn="0" w:lastRowFirstColumn="0" w:lastRowLastColumn="0"/>
            <w:tcW w:w="854" w:type="pct"/>
            <w:shd w:val="clear" w:color="auto" w:fill="FFFFFF" w:themeFill="background1"/>
            <w:noWrap/>
            <w:hideMark/>
          </w:tcPr>
          <w:p w14:paraId="7BB49DBC" w14:textId="77777777" w:rsidR="00D15C7D" w:rsidRPr="00D40154" w:rsidRDefault="00D15C7D" w:rsidP="00D15C7D">
            <w:pPr>
              <w:spacing w:before="30" w:after="30"/>
              <w:rPr>
                <w:rFonts w:cs="Calibri"/>
                <w:sz w:val="20"/>
                <w:szCs w:val="20"/>
              </w:rPr>
            </w:pPr>
            <w:r w:rsidRPr="00D40154">
              <w:rPr>
                <w:rFonts w:cs="Calibri"/>
                <w:sz w:val="20"/>
                <w:szCs w:val="20"/>
              </w:rPr>
              <w:t>Agro-Processing</w:t>
            </w:r>
          </w:p>
        </w:tc>
        <w:tc>
          <w:tcPr>
            <w:tcW w:w="724" w:type="pct"/>
            <w:shd w:val="clear" w:color="auto" w:fill="FFFFFF" w:themeFill="background1"/>
            <w:noWrap/>
            <w:vAlign w:val="center"/>
            <w:hideMark/>
          </w:tcPr>
          <w:p w14:paraId="5B143426"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936.5</w:t>
            </w:r>
          </w:p>
        </w:tc>
        <w:tc>
          <w:tcPr>
            <w:tcW w:w="801" w:type="pct"/>
            <w:shd w:val="clear" w:color="auto" w:fill="FFFFFF" w:themeFill="background1"/>
            <w:noWrap/>
            <w:vAlign w:val="center"/>
            <w:hideMark/>
          </w:tcPr>
          <w:p w14:paraId="31218393"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655.9</w:t>
            </w:r>
          </w:p>
        </w:tc>
        <w:tc>
          <w:tcPr>
            <w:tcW w:w="762" w:type="pct"/>
            <w:shd w:val="clear" w:color="auto" w:fill="FFFFFF" w:themeFill="background1"/>
            <w:noWrap/>
            <w:vAlign w:val="center"/>
            <w:hideMark/>
          </w:tcPr>
          <w:p w14:paraId="6DC17C36"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0.0</w:t>
            </w:r>
          </w:p>
        </w:tc>
        <w:tc>
          <w:tcPr>
            <w:tcW w:w="763" w:type="pct"/>
            <w:shd w:val="clear" w:color="auto" w:fill="FFFFFF" w:themeFill="background1"/>
            <w:noWrap/>
            <w:vAlign w:val="center"/>
            <w:hideMark/>
          </w:tcPr>
          <w:p w14:paraId="32C70D58"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337.7</w:t>
            </w:r>
          </w:p>
        </w:tc>
        <w:tc>
          <w:tcPr>
            <w:tcW w:w="524" w:type="pct"/>
            <w:shd w:val="clear" w:color="auto" w:fill="FFFFFF" w:themeFill="background1"/>
            <w:noWrap/>
            <w:vAlign w:val="center"/>
            <w:hideMark/>
          </w:tcPr>
          <w:p w14:paraId="1957A7D6"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-54.3</w:t>
            </w:r>
          </w:p>
        </w:tc>
        <w:tc>
          <w:tcPr>
            <w:tcW w:w="572" w:type="pct"/>
            <w:shd w:val="clear" w:color="auto" w:fill="FFFFFF" w:themeFill="background1"/>
            <w:noWrap/>
            <w:vAlign w:val="center"/>
            <w:hideMark/>
          </w:tcPr>
          <w:p w14:paraId="52CE7F6D"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-2.8</w:t>
            </w:r>
          </w:p>
        </w:tc>
      </w:tr>
      <w:tr w:rsidR="00D15C7D" w:rsidRPr="00D40154" w14:paraId="23CD8378" w14:textId="77777777" w:rsidTr="00D15C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4" w:type="pct"/>
            <w:shd w:val="clear" w:color="auto" w:fill="FFFFFF" w:themeFill="background1"/>
            <w:noWrap/>
            <w:hideMark/>
          </w:tcPr>
          <w:p w14:paraId="0661F8A7" w14:textId="77777777" w:rsidR="00D15C7D" w:rsidRPr="00D40154" w:rsidRDefault="00D15C7D" w:rsidP="00D15C7D">
            <w:pPr>
              <w:spacing w:before="30" w:after="30"/>
              <w:rPr>
                <w:rFonts w:cs="Calibri"/>
                <w:sz w:val="20"/>
                <w:szCs w:val="20"/>
              </w:rPr>
            </w:pPr>
            <w:r w:rsidRPr="00D40154">
              <w:rPr>
                <w:rFonts w:cs="Calibri"/>
                <w:sz w:val="20"/>
                <w:szCs w:val="20"/>
              </w:rPr>
              <w:t>Transportation and Logistics</w:t>
            </w:r>
          </w:p>
        </w:tc>
        <w:tc>
          <w:tcPr>
            <w:tcW w:w="724" w:type="pct"/>
            <w:shd w:val="clear" w:color="auto" w:fill="FFFFFF" w:themeFill="background1"/>
            <w:noWrap/>
            <w:vAlign w:val="center"/>
            <w:hideMark/>
          </w:tcPr>
          <w:p w14:paraId="778CC5DA"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779.9</w:t>
            </w:r>
          </w:p>
        </w:tc>
        <w:tc>
          <w:tcPr>
            <w:tcW w:w="801" w:type="pct"/>
            <w:shd w:val="clear" w:color="auto" w:fill="FFFFFF" w:themeFill="background1"/>
            <w:noWrap/>
            <w:vAlign w:val="center"/>
            <w:hideMark/>
          </w:tcPr>
          <w:p w14:paraId="6E8F3C52"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1290.2</w:t>
            </w:r>
          </w:p>
        </w:tc>
        <w:tc>
          <w:tcPr>
            <w:tcW w:w="762" w:type="pct"/>
            <w:shd w:val="clear" w:color="auto" w:fill="FFFFFF" w:themeFill="background1"/>
            <w:noWrap/>
            <w:vAlign w:val="center"/>
            <w:hideMark/>
          </w:tcPr>
          <w:p w14:paraId="080A0702"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6.6</w:t>
            </w:r>
          </w:p>
        </w:tc>
        <w:tc>
          <w:tcPr>
            <w:tcW w:w="763" w:type="pct"/>
            <w:shd w:val="clear" w:color="auto" w:fill="FFFFFF" w:themeFill="background1"/>
            <w:noWrap/>
            <w:vAlign w:val="center"/>
            <w:hideMark/>
          </w:tcPr>
          <w:p w14:paraId="03BB9CE4"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18.8</w:t>
            </w:r>
          </w:p>
        </w:tc>
        <w:tc>
          <w:tcPr>
            <w:tcW w:w="524" w:type="pct"/>
            <w:shd w:val="clear" w:color="auto" w:fill="FFFFFF" w:themeFill="background1"/>
            <w:noWrap/>
            <w:vAlign w:val="center"/>
            <w:hideMark/>
          </w:tcPr>
          <w:p w14:paraId="4F7E7D0A"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-513.0</w:t>
            </w:r>
          </w:p>
        </w:tc>
        <w:tc>
          <w:tcPr>
            <w:tcW w:w="572" w:type="pct"/>
            <w:shd w:val="clear" w:color="auto" w:fill="FFFFFF" w:themeFill="background1"/>
            <w:noWrap/>
            <w:vAlign w:val="center"/>
            <w:hideMark/>
          </w:tcPr>
          <w:p w14:paraId="428FDAE6"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-22.8</w:t>
            </w:r>
          </w:p>
        </w:tc>
      </w:tr>
      <w:tr w:rsidR="00D15C7D" w:rsidRPr="00D40154" w14:paraId="5AA184BE" w14:textId="77777777" w:rsidTr="00D15C7D">
        <w:trPr>
          <w:trHeight w:val="240"/>
        </w:trPr>
        <w:tc>
          <w:tcPr>
            <w:cnfStyle w:val="001000000000" w:firstRow="0" w:lastRow="0" w:firstColumn="1" w:lastColumn="0" w:oddVBand="0" w:evenVBand="0" w:oddHBand="0" w:evenHBand="0" w:firstRowFirstColumn="0" w:firstRowLastColumn="0" w:lastRowFirstColumn="0" w:lastRowLastColumn="0"/>
            <w:tcW w:w="854" w:type="pct"/>
            <w:shd w:val="clear" w:color="auto" w:fill="FFFFFF" w:themeFill="background1"/>
            <w:noWrap/>
            <w:hideMark/>
          </w:tcPr>
          <w:p w14:paraId="1E396B3C" w14:textId="77777777" w:rsidR="00D15C7D" w:rsidRPr="00D40154" w:rsidRDefault="00D15C7D" w:rsidP="00D15C7D">
            <w:pPr>
              <w:spacing w:before="30" w:after="30"/>
              <w:rPr>
                <w:rFonts w:cs="Calibri"/>
                <w:sz w:val="20"/>
                <w:szCs w:val="20"/>
              </w:rPr>
            </w:pPr>
            <w:r w:rsidRPr="00D40154">
              <w:rPr>
                <w:rFonts w:cs="Calibri"/>
                <w:sz w:val="20"/>
                <w:szCs w:val="20"/>
              </w:rPr>
              <w:t>Education</w:t>
            </w:r>
          </w:p>
        </w:tc>
        <w:tc>
          <w:tcPr>
            <w:tcW w:w="724" w:type="pct"/>
            <w:shd w:val="clear" w:color="auto" w:fill="FFFFFF" w:themeFill="background1"/>
            <w:noWrap/>
            <w:vAlign w:val="center"/>
            <w:hideMark/>
          </w:tcPr>
          <w:p w14:paraId="1BD3B211"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344.2</w:t>
            </w:r>
          </w:p>
        </w:tc>
        <w:tc>
          <w:tcPr>
            <w:tcW w:w="801" w:type="pct"/>
            <w:shd w:val="clear" w:color="auto" w:fill="FFFFFF" w:themeFill="background1"/>
            <w:noWrap/>
            <w:vAlign w:val="center"/>
            <w:hideMark/>
          </w:tcPr>
          <w:p w14:paraId="236304C7"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355.4</w:t>
            </w:r>
          </w:p>
        </w:tc>
        <w:tc>
          <w:tcPr>
            <w:tcW w:w="762" w:type="pct"/>
            <w:shd w:val="clear" w:color="auto" w:fill="FFFFFF" w:themeFill="background1"/>
            <w:noWrap/>
            <w:vAlign w:val="center"/>
            <w:hideMark/>
          </w:tcPr>
          <w:p w14:paraId="28BB0E87"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0.0</w:t>
            </w:r>
          </w:p>
        </w:tc>
        <w:tc>
          <w:tcPr>
            <w:tcW w:w="763" w:type="pct"/>
            <w:shd w:val="clear" w:color="auto" w:fill="FFFFFF" w:themeFill="background1"/>
            <w:noWrap/>
            <w:vAlign w:val="center"/>
            <w:hideMark/>
          </w:tcPr>
          <w:p w14:paraId="2B29086B"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10.1</w:t>
            </w:r>
          </w:p>
        </w:tc>
        <w:tc>
          <w:tcPr>
            <w:tcW w:w="524" w:type="pct"/>
            <w:shd w:val="clear" w:color="auto" w:fill="FFFFFF" w:themeFill="background1"/>
            <w:noWrap/>
            <w:vAlign w:val="center"/>
            <w:hideMark/>
          </w:tcPr>
          <w:p w14:paraId="6034AD43"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-21.0</w:t>
            </w:r>
          </w:p>
        </w:tc>
        <w:tc>
          <w:tcPr>
            <w:tcW w:w="572" w:type="pct"/>
            <w:shd w:val="clear" w:color="auto" w:fill="FFFFFF" w:themeFill="background1"/>
            <w:noWrap/>
            <w:vAlign w:val="center"/>
            <w:hideMark/>
          </w:tcPr>
          <w:p w14:paraId="5FE7CC9D"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-0.3</w:t>
            </w:r>
          </w:p>
        </w:tc>
      </w:tr>
      <w:tr w:rsidR="00D15C7D" w:rsidRPr="00D40154" w14:paraId="3A53F444" w14:textId="77777777" w:rsidTr="00D15C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4" w:type="pct"/>
            <w:shd w:val="clear" w:color="auto" w:fill="FFFFFF" w:themeFill="background1"/>
            <w:noWrap/>
            <w:hideMark/>
          </w:tcPr>
          <w:p w14:paraId="016E4179" w14:textId="77777777" w:rsidR="00D15C7D" w:rsidRPr="00D40154" w:rsidRDefault="00D15C7D" w:rsidP="00D15C7D">
            <w:pPr>
              <w:spacing w:before="30" w:after="30"/>
              <w:rPr>
                <w:rFonts w:cs="Calibri"/>
                <w:sz w:val="20"/>
                <w:szCs w:val="20"/>
              </w:rPr>
            </w:pPr>
            <w:r w:rsidRPr="00D40154">
              <w:rPr>
                <w:rFonts w:cs="Calibri"/>
                <w:sz w:val="20"/>
                <w:szCs w:val="20"/>
              </w:rPr>
              <w:t>Health</w:t>
            </w:r>
          </w:p>
        </w:tc>
        <w:tc>
          <w:tcPr>
            <w:tcW w:w="724" w:type="pct"/>
            <w:shd w:val="clear" w:color="auto" w:fill="FFFFFF" w:themeFill="background1"/>
            <w:noWrap/>
            <w:vAlign w:val="center"/>
            <w:hideMark/>
          </w:tcPr>
          <w:p w14:paraId="7DD26744"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223.6</w:t>
            </w:r>
          </w:p>
        </w:tc>
        <w:tc>
          <w:tcPr>
            <w:tcW w:w="801" w:type="pct"/>
            <w:shd w:val="clear" w:color="auto" w:fill="FFFFFF" w:themeFill="background1"/>
            <w:noWrap/>
            <w:vAlign w:val="center"/>
            <w:hideMark/>
          </w:tcPr>
          <w:p w14:paraId="0BD09145"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205.5</w:t>
            </w:r>
          </w:p>
        </w:tc>
        <w:tc>
          <w:tcPr>
            <w:tcW w:w="762" w:type="pct"/>
            <w:shd w:val="clear" w:color="auto" w:fill="FFFFFF" w:themeFill="background1"/>
            <w:noWrap/>
            <w:vAlign w:val="center"/>
            <w:hideMark/>
          </w:tcPr>
          <w:p w14:paraId="5B61C2EE"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0.0</w:t>
            </w:r>
          </w:p>
        </w:tc>
        <w:tc>
          <w:tcPr>
            <w:tcW w:w="763" w:type="pct"/>
            <w:shd w:val="clear" w:color="auto" w:fill="FFFFFF" w:themeFill="background1"/>
            <w:noWrap/>
            <w:vAlign w:val="center"/>
            <w:hideMark/>
          </w:tcPr>
          <w:p w14:paraId="50800D82"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42.6</w:t>
            </w:r>
          </w:p>
        </w:tc>
        <w:tc>
          <w:tcPr>
            <w:tcW w:w="524" w:type="pct"/>
            <w:shd w:val="clear" w:color="auto" w:fill="FFFFFF" w:themeFill="background1"/>
            <w:noWrap/>
            <w:vAlign w:val="center"/>
            <w:hideMark/>
          </w:tcPr>
          <w:p w14:paraId="5B932764"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-23.5</w:t>
            </w:r>
          </w:p>
        </w:tc>
        <w:tc>
          <w:tcPr>
            <w:tcW w:w="572" w:type="pct"/>
            <w:shd w:val="clear" w:color="auto" w:fill="FFFFFF" w:themeFill="background1"/>
            <w:noWrap/>
            <w:vAlign w:val="center"/>
            <w:hideMark/>
          </w:tcPr>
          <w:p w14:paraId="375B0823"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-0.9</w:t>
            </w:r>
          </w:p>
        </w:tc>
      </w:tr>
      <w:tr w:rsidR="00D15C7D" w:rsidRPr="00D40154" w14:paraId="21BE8AAB" w14:textId="77777777" w:rsidTr="00D15C7D">
        <w:trPr>
          <w:trHeight w:val="240"/>
        </w:trPr>
        <w:tc>
          <w:tcPr>
            <w:cnfStyle w:val="001000000000" w:firstRow="0" w:lastRow="0" w:firstColumn="1" w:lastColumn="0" w:oddVBand="0" w:evenVBand="0" w:oddHBand="0" w:evenHBand="0" w:firstRowFirstColumn="0" w:firstRowLastColumn="0" w:lastRowFirstColumn="0" w:lastRowLastColumn="0"/>
            <w:tcW w:w="854" w:type="pct"/>
            <w:shd w:val="clear" w:color="auto" w:fill="FFFFFF" w:themeFill="background1"/>
            <w:noWrap/>
            <w:hideMark/>
          </w:tcPr>
          <w:p w14:paraId="41CEAE78" w14:textId="77777777" w:rsidR="00D15C7D" w:rsidRPr="00D40154" w:rsidRDefault="00D15C7D" w:rsidP="00D15C7D">
            <w:pPr>
              <w:spacing w:before="30" w:after="30"/>
              <w:rPr>
                <w:rFonts w:cs="Calibri"/>
                <w:sz w:val="20"/>
                <w:szCs w:val="20"/>
              </w:rPr>
            </w:pPr>
            <w:r w:rsidRPr="00D40154">
              <w:rPr>
                <w:rFonts w:cs="Calibri"/>
                <w:sz w:val="20"/>
                <w:szCs w:val="20"/>
              </w:rPr>
              <w:t>Water</w:t>
            </w:r>
          </w:p>
        </w:tc>
        <w:tc>
          <w:tcPr>
            <w:tcW w:w="724" w:type="pct"/>
            <w:shd w:val="clear" w:color="auto" w:fill="FFFFFF" w:themeFill="background1"/>
            <w:noWrap/>
            <w:vAlign w:val="center"/>
            <w:hideMark/>
          </w:tcPr>
          <w:p w14:paraId="3107FC4C"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198.1</w:t>
            </w:r>
          </w:p>
        </w:tc>
        <w:tc>
          <w:tcPr>
            <w:tcW w:w="801" w:type="pct"/>
            <w:shd w:val="clear" w:color="auto" w:fill="FFFFFF" w:themeFill="background1"/>
            <w:noWrap/>
            <w:vAlign w:val="center"/>
            <w:hideMark/>
          </w:tcPr>
          <w:p w14:paraId="1A66CD1F"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200.2</w:t>
            </w:r>
          </w:p>
        </w:tc>
        <w:tc>
          <w:tcPr>
            <w:tcW w:w="762" w:type="pct"/>
            <w:shd w:val="clear" w:color="auto" w:fill="FFFFFF" w:themeFill="background1"/>
            <w:noWrap/>
            <w:vAlign w:val="center"/>
            <w:hideMark/>
          </w:tcPr>
          <w:p w14:paraId="74D7EC1C"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0.0</w:t>
            </w:r>
          </w:p>
        </w:tc>
        <w:tc>
          <w:tcPr>
            <w:tcW w:w="763" w:type="pct"/>
            <w:shd w:val="clear" w:color="auto" w:fill="FFFFFF" w:themeFill="background1"/>
            <w:noWrap/>
            <w:vAlign w:val="center"/>
            <w:hideMark/>
          </w:tcPr>
          <w:p w14:paraId="1A89E3D0"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20.6</w:t>
            </w:r>
          </w:p>
        </w:tc>
        <w:tc>
          <w:tcPr>
            <w:tcW w:w="524" w:type="pct"/>
            <w:shd w:val="clear" w:color="auto" w:fill="FFFFFF" w:themeFill="background1"/>
            <w:noWrap/>
            <w:vAlign w:val="center"/>
            <w:hideMark/>
          </w:tcPr>
          <w:p w14:paraId="36F55CEF"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-22.2</w:t>
            </w:r>
          </w:p>
        </w:tc>
        <w:tc>
          <w:tcPr>
            <w:tcW w:w="572" w:type="pct"/>
            <w:shd w:val="clear" w:color="auto" w:fill="FFFFFF" w:themeFill="background1"/>
            <w:noWrap/>
            <w:vAlign w:val="center"/>
            <w:hideMark/>
          </w:tcPr>
          <w:p w14:paraId="7DFB0367"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-0.6</w:t>
            </w:r>
          </w:p>
        </w:tc>
      </w:tr>
      <w:tr w:rsidR="00D15C7D" w:rsidRPr="00D40154" w14:paraId="6562BC6D" w14:textId="77777777" w:rsidTr="00D15C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4" w:type="pct"/>
            <w:shd w:val="clear" w:color="auto" w:fill="FFFFFF" w:themeFill="background1"/>
            <w:noWrap/>
            <w:hideMark/>
          </w:tcPr>
          <w:p w14:paraId="25DA8C87" w14:textId="77777777" w:rsidR="00D15C7D" w:rsidRPr="00D40154" w:rsidRDefault="00D15C7D" w:rsidP="00D15C7D">
            <w:pPr>
              <w:spacing w:before="30" w:after="30"/>
              <w:rPr>
                <w:rFonts w:cs="Calibri"/>
                <w:sz w:val="20"/>
                <w:szCs w:val="20"/>
              </w:rPr>
            </w:pPr>
            <w:r w:rsidRPr="00D40154">
              <w:rPr>
                <w:rFonts w:cs="Calibri"/>
                <w:sz w:val="20"/>
                <w:szCs w:val="20"/>
              </w:rPr>
              <w:t>Forestry</w:t>
            </w:r>
          </w:p>
        </w:tc>
        <w:tc>
          <w:tcPr>
            <w:tcW w:w="724" w:type="pct"/>
            <w:shd w:val="clear" w:color="auto" w:fill="FFFFFF" w:themeFill="background1"/>
            <w:noWrap/>
            <w:vAlign w:val="center"/>
            <w:hideMark/>
          </w:tcPr>
          <w:p w14:paraId="4C4DD8AE"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116.3</w:t>
            </w:r>
          </w:p>
        </w:tc>
        <w:tc>
          <w:tcPr>
            <w:tcW w:w="801" w:type="pct"/>
            <w:shd w:val="clear" w:color="auto" w:fill="FFFFFF" w:themeFill="background1"/>
            <w:noWrap/>
            <w:vAlign w:val="center"/>
            <w:hideMark/>
          </w:tcPr>
          <w:p w14:paraId="617E698B"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144.6</w:t>
            </w:r>
          </w:p>
        </w:tc>
        <w:tc>
          <w:tcPr>
            <w:tcW w:w="762" w:type="pct"/>
            <w:shd w:val="clear" w:color="auto" w:fill="FFFFFF" w:themeFill="background1"/>
            <w:noWrap/>
            <w:vAlign w:val="center"/>
            <w:hideMark/>
          </w:tcPr>
          <w:p w14:paraId="49A3EDA2"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4.6</w:t>
            </w:r>
          </w:p>
        </w:tc>
        <w:tc>
          <w:tcPr>
            <w:tcW w:w="763" w:type="pct"/>
            <w:shd w:val="clear" w:color="auto" w:fill="FFFFFF" w:themeFill="background1"/>
            <w:noWrap/>
            <w:vAlign w:val="center"/>
            <w:hideMark/>
          </w:tcPr>
          <w:p w14:paraId="30E04E86"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3.8</w:t>
            </w:r>
          </w:p>
        </w:tc>
        <w:tc>
          <w:tcPr>
            <w:tcW w:w="524" w:type="pct"/>
            <w:shd w:val="clear" w:color="auto" w:fill="FFFFFF" w:themeFill="background1"/>
            <w:noWrap/>
            <w:vAlign w:val="center"/>
            <w:hideMark/>
          </w:tcPr>
          <w:p w14:paraId="28312906"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-35.5</w:t>
            </w:r>
          </w:p>
        </w:tc>
        <w:tc>
          <w:tcPr>
            <w:tcW w:w="572" w:type="pct"/>
            <w:shd w:val="clear" w:color="auto" w:fill="FFFFFF" w:themeFill="background1"/>
            <w:noWrap/>
            <w:vAlign w:val="center"/>
            <w:hideMark/>
          </w:tcPr>
          <w:p w14:paraId="00FF8374"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-1.1</w:t>
            </w:r>
          </w:p>
        </w:tc>
      </w:tr>
      <w:tr w:rsidR="00D15C7D" w:rsidRPr="00D40154" w14:paraId="3BA4E2C4" w14:textId="77777777" w:rsidTr="00D15C7D">
        <w:trPr>
          <w:trHeight w:val="240"/>
        </w:trPr>
        <w:tc>
          <w:tcPr>
            <w:cnfStyle w:val="001000000000" w:firstRow="0" w:lastRow="0" w:firstColumn="1" w:lastColumn="0" w:oddVBand="0" w:evenVBand="0" w:oddHBand="0" w:evenHBand="0" w:firstRowFirstColumn="0" w:firstRowLastColumn="0" w:lastRowFirstColumn="0" w:lastRowLastColumn="0"/>
            <w:tcW w:w="854" w:type="pct"/>
            <w:shd w:val="clear" w:color="auto" w:fill="FFFFFF" w:themeFill="background1"/>
            <w:noWrap/>
            <w:hideMark/>
          </w:tcPr>
          <w:p w14:paraId="17E37FC9" w14:textId="77777777" w:rsidR="00D15C7D" w:rsidRPr="00D40154" w:rsidRDefault="00D15C7D" w:rsidP="00D15C7D">
            <w:pPr>
              <w:spacing w:before="30" w:after="30"/>
              <w:rPr>
                <w:rFonts w:cs="Calibri"/>
                <w:sz w:val="20"/>
                <w:szCs w:val="20"/>
              </w:rPr>
            </w:pPr>
            <w:r w:rsidRPr="00D40154">
              <w:rPr>
                <w:rFonts w:cs="Calibri"/>
                <w:sz w:val="20"/>
                <w:szCs w:val="20"/>
              </w:rPr>
              <w:t>Tourism</w:t>
            </w:r>
          </w:p>
        </w:tc>
        <w:tc>
          <w:tcPr>
            <w:tcW w:w="724" w:type="pct"/>
            <w:shd w:val="clear" w:color="auto" w:fill="FFFFFF" w:themeFill="background1"/>
            <w:noWrap/>
            <w:vAlign w:val="center"/>
            <w:hideMark/>
          </w:tcPr>
          <w:p w14:paraId="0DAA0D53"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109.8</w:t>
            </w:r>
          </w:p>
        </w:tc>
        <w:tc>
          <w:tcPr>
            <w:tcW w:w="801" w:type="pct"/>
            <w:shd w:val="clear" w:color="auto" w:fill="FFFFFF" w:themeFill="background1"/>
            <w:noWrap/>
            <w:vAlign w:val="center"/>
            <w:hideMark/>
          </w:tcPr>
          <w:p w14:paraId="4FCDF1AF"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1.7</w:t>
            </w:r>
          </w:p>
        </w:tc>
        <w:tc>
          <w:tcPr>
            <w:tcW w:w="762" w:type="pct"/>
            <w:shd w:val="clear" w:color="auto" w:fill="FFFFFF" w:themeFill="background1"/>
            <w:noWrap/>
            <w:vAlign w:val="center"/>
            <w:hideMark/>
          </w:tcPr>
          <w:p w14:paraId="2ABD99D2"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108.0</w:t>
            </w:r>
          </w:p>
        </w:tc>
        <w:tc>
          <w:tcPr>
            <w:tcW w:w="763" w:type="pct"/>
            <w:shd w:val="clear" w:color="auto" w:fill="FFFFFF" w:themeFill="background1"/>
            <w:noWrap/>
            <w:vAlign w:val="center"/>
            <w:hideMark/>
          </w:tcPr>
          <w:p w14:paraId="46C2DF8F"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0.5</w:t>
            </w:r>
          </w:p>
        </w:tc>
        <w:tc>
          <w:tcPr>
            <w:tcW w:w="524" w:type="pct"/>
            <w:shd w:val="clear" w:color="auto" w:fill="FFFFFF" w:themeFill="background1"/>
            <w:noWrap/>
            <w:vAlign w:val="center"/>
            <w:hideMark/>
          </w:tcPr>
          <w:p w14:paraId="3D075BB9"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-0.4</w:t>
            </w:r>
          </w:p>
        </w:tc>
        <w:tc>
          <w:tcPr>
            <w:tcW w:w="572" w:type="pct"/>
            <w:shd w:val="clear" w:color="auto" w:fill="FFFFFF" w:themeFill="background1"/>
            <w:noWrap/>
            <w:vAlign w:val="center"/>
            <w:hideMark/>
          </w:tcPr>
          <w:p w14:paraId="5E569BD3"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0.0</w:t>
            </w:r>
          </w:p>
        </w:tc>
      </w:tr>
      <w:tr w:rsidR="00D15C7D" w:rsidRPr="00D40154" w14:paraId="39E34914" w14:textId="77777777" w:rsidTr="00D15C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4" w:type="pct"/>
            <w:shd w:val="clear" w:color="auto" w:fill="FFFFFF" w:themeFill="background1"/>
            <w:noWrap/>
            <w:hideMark/>
          </w:tcPr>
          <w:p w14:paraId="3F9C4F5F" w14:textId="77777777" w:rsidR="00D15C7D" w:rsidRPr="00D40154" w:rsidRDefault="00D15C7D" w:rsidP="00D15C7D">
            <w:pPr>
              <w:spacing w:before="30" w:after="30"/>
              <w:rPr>
                <w:rFonts w:cs="Calibri"/>
                <w:sz w:val="20"/>
                <w:szCs w:val="20"/>
              </w:rPr>
            </w:pPr>
            <w:r w:rsidRPr="00D40154">
              <w:rPr>
                <w:rFonts w:cs="Calibri"/>
                <w:sz w:val="20"/>
                <w:szCs w:val="20"/>
              </w:rPr>
              <w:t>Electricity</w:t>
            </w:r>
          </w:p>
        </w:tc>
        <w:tc>
          <w:tcPr>
            <w:tcW w:w="724" w:type="pct"/>
            <w:shd w:val="clear" w:color="auto" w:fill="FFFFFF" w:themeFill="background1"/>
            <w:noWrap/>
            <w:vAlign w:val="center"/>
            <w:hideMark/>
          </w:tcPr>
          <w:p w14:paraId="6A9DC501"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99.0</w:t>
            </w:r>
          </w:p>
        </w:tc>
        <w:tc>
          <w:tcPr>
            <w:tcW w:w="801" w:type="pct"/>
            <w:shd w:val="clear" w:color="auto" w:fill="FFFFFF" w:themeFill="background1"/>
            <w:noWrap/>
            <w:vAlign w:val="center"/>
            <w:hideMark/>
          </w:tcPr>
          <w:p w14:paraId="419B9ADE"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61.4</w:t>
            </w:r>
          </w:p>
        </w:tc>
        <w:tc>
          <w:tcPr>
            <w:tcW w:w="762" w:type="pct"/>
            <w:shd w:val="clear" w:color="auto" w:fill="FFFFFF" w:themeFill="background1"/>
            <w:noWrap/>
            <w:vAlign w:val="center"/>
            <w:hideMark/>
          </w:tcPr>
          <w:p w14:paraId="099118E2"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0.0</w:t>
            </w:r>
          </w:p>
        </w:tc>
        <w:tc>
          <w:tcPr>
            <w:tcW w:w="763" w:type="pct"/>
            <w:shd w:val="clear" w:color="auto" w:fill="FFFFFF" w:themeFill="background1"/>
            <w:noWrap/>
            <w:vAlign w:val="center"/>
            <w:hideMark/>
          </w:tcPr>
          <w:p w14:paraId="1E744E9A"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282.3</w:t>
            </w:r>
          </w:p>
        </w:tc>
        <w:tc>
          <w:tcPr>
            <w:tcW w:w="524" w:type="pct"/>
            <w:shd w:val="clear" w:color="auto" w:fill="FFFFFF" w:themeFill="background1"/>
            <w:noWrap/>
            <w:vAlign w:val="center"/>
            <w:hideMark/>
          </w:tcPr>
          <w:p w14:paraId="6EF81BC5"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-215.9</w:t>
            </w:r>
          </w:p>
        </w:tc>
        <w:tc>
          <w:tcPr>
            <w:tcW w:w="572" w:type="pct"/>
            <w:shd w:val="clear" w:color="auto" w:fill="FFFFFF" w:themeFill="background1"/>
            <w:noWrap/>
            <w:vAlign w:val="center"/>
            <w:hideMark/>
          </w:tcPr>
          <w:p w14:paraId="3F4E4CC0"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-28.8</w:t>
            </w:r>
          </w:p>
        </w:tc>
      </w:tr>
      <w:tr w:rsidR="00D15C7D" w:rsidRPr="00D40154" w14:paraId="1A208346" w14:textId="77777777" w:rsidTr="00D15C7D">
        <w:trPr>
          <w:trHeight w:val="240"/>
        </w:trPr>
        <w:tc>
          <w:tcPr>
            <w:cnfStyle w:val="001000000000" w:firstRow="0" w:lastRow="0" w:firstColumn="1" w:lastColumn="0" w:oddVBand="0" w:evenVBand="0" w:oddHBand="0" w:evenHBand="0" w:firstRowFirstColumn="0" w:firstRowLastColumn="0" w:lastRowFirstColumn="0" w:lastRowLastColumn="0"/>
            <w:tcW w:w="854" w:type="pct"/>
            <w:shd w:val="clear" w:color="auto" w:fill="FFFFFF" w:themeFill="background1"/>
            <w:noWrap/>
            <w:hideMark/>
          </w:tcPr>
          <w:p w14:paraId="5F774A3F" w14:textId="77777777" w:rsidR="00D15C7D" w:rsidRPr="00D40154" w:rsidRDefault="00D15C7D" w:rsidP="00D15C7D">
            <w:pPr>
              <w:spacing w:before="30" w:after="30"/>
              <w:rPr>
                <w:rFonts w:cs="Calibri"/>
                <w:sz w:val="20"/>
                <w:szCs w:val="20"/>
              </w:rPr>
            </w:pPr>
            <w:r w:rsidRPr="00D40154">
              <w:rPr>
                <w:rFonts w:cs="Calibri"/>
                <w:sz w:val="20"/>
                <w:szCs w:val="20"/>
              </w:rPr>
              <w:t>Livestock</w:t>
            </w:r>
          </w:p>
        </w:tc>
        <w:tc>
          <w:tcPr>
            <w:tcW w:w="724" w:type="pct"/>
            <w:shd w:val="clear" w:color="auto" w:fill="FFFFFF" w:themeFill="background1"/>
            <w:noWrap/>
            <w:vAlign w:val="center"/>
            <w:hideMark/>
          </w:tcPr>
          <w:p w14:paraId="7E6845C0"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60.4</w:t>
            </w:r>
          </w:p>
        </w:tc>
        <w:tc>
          <w:tcPr>
            <w:tcW w:w="801" w:type="pct"/>
            <w:shd w:val="clear" w:color="auto" w:fill="FFFFFF" w:themeFill="background1"/>
            <w:noWrap/>
            <w:vAlign w:val="center"/>
            <w:hideMark/>
          </w:tcPr>
          <w:p w14:paraId="0148C20D"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57.1</w:t>
            </w:r>
          </w:p>
        </w:tc>
        <w:tc>
          <w:tcPr>
            <w:tcW w:w="762" w:type="pct"/>
            <w:shd w:val="clear" w:color="auto" w:fill="FFFFFF" w:themeFill="background1"/>
            <w:noWrap/>
            <w:vAlign w:val="center"/>
            <w:hideMark/>
          </w:tcPr>
          <w:p w14:paraId="5F492465"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8.2</w:t>
            </w:r>
          </w:p>
        </w:tc>
        <w:tc>
          <w:tcPr>
            <w:tcW w:w="763" w:type="pct"/>
            <w:shd w:val="clear" w:color="auto" w:fill="FFFFFF" w:themeFill="background1"/>
            <w:noWrap/>
            <w:vAlign w:val="center"/>
            <w:hideMark/>
          </w:tcPr>
          <w:p w14:paraId="14060EF6"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8.2</w:t>
            </w:r>
          </w:p>
        </w:tc>
        <w:tc>
          <w:tcPr>
            <w:tcW w:w="524" w:type="pct"/>
            <w:shd w:val="clear" w:color="auto" w:fill="FFFFFF" w:themeFill="background1"/>
            <w:noWrap/>
            <w:vAlign w:val="center"/>
            <w:hideMark/>
          </w:tcPr>
          <w:p w14:paraId="4778B142"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-11.8</w:t>
            </w:r>
          </w:p>
        </w:tc>
        <w:tc>
          <w:tcPr>
            <w:tcW w:w="572" w:type="pct"/>
            <w:shd w:val="clear" w:color="auto" w:fill="FFFFFF" w:themeFill="background1"/>
            <w:noWrap/>
            <w:vAlign w:val="center"/>
            <w:hideMark/>
          </w:tcPr>
          <w:p w14:paraId="7C350C29"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-1.2</w:t>
            </w:r>
          </w:p>
        </w:tc>
      </w:tr>
      <w:tr w:rsidR="00D15C7D" w:rsidRPr="00D40154" w14:paraId="056C9B1A" w14:textId="77777777" w:rsidTr="00D15C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4" w:type="pct"/>
            <w:shd w:val="clear" w:color="auto" w:fill="FFFFFF" w:themeFill="background1"/>
            <w:noWrap/>
            <w:hideMark/>
          </w:tcPr>
          <w:p w14:paraId="6C58CA00" w14:textId="77777777" w:rsidR="00D15C7D" w:rsidRPr="00D40154" w:rsidRDefault="00D15C7D" w:rsidP="00D15C7D">
            <w:pPr>
              <w:spacing w:before="30" w:after="30"/>
              <w:rPr>
                <w:rFonts w:cs="Calibri"/>
                <w:sz w:val="20"/>
                <w:szCs w:val="20"/>
              </w:rPr>
            </w:pPr>
            <w:r w:rsidRPr="00D40154">
              <w:rPr>
                <w:rFonts w:cs="Calibri"/>
                <w:sz w:val="20"/>
                <w:szCs w:val="20"/>
              </w:rPr>
              <w:t>Manufacturing</w:t>
            </w:r>
          </w:p>
        </w:tc>
        <w:tc>
          <w:tcPr>
            <w:tcW w:w="724" w:type="pct"/>
            <w:shd w:val="clear" w:color="auto" w:fill="FFFFFF" w:themeFill="background1"/>
            <w:noWrap/>
            <w:vAlign w:val="center"/>
            <w:hideMark/>
          </w:tcPr>
          <w:p w14:paraId="254A5D55"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59.0</w:t>
            </w:r>
          </w:p>
        </w:tc>
        <w:tc>
          <w:tcPr>
            <w:tcW w:w="801" w:type="pct"/>
            <w:shd w:val="clear" w:color="auto" w:fill="FFFFFF" w:themeFill="background1"/>
            <w:noWrap/>
            <w:vAlign w:val="center"/>
            <w:hideMark/>
          </w:tcPr>
          <w:p w14:paraId="30EB5F1F"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93.9</w:t>
            </w:r>
          </w:p>
        </w:tc>
        <w:tc>
          <w:tcPr>
            <w:tcW w:w="762" w:type="pct"/>
            <w:shd w:val="clear" w:color="auto" w:fill="FFFFFF" w:themeFill="background1"/>
            <w:noWrap/>
            <w:vAlign w:val="center"/>
            <w:hideMark/>
          </w:tcPr>
          <w:p w14:paraId="50ACE88D"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0.0</w:t>
            </w:r>
          </w:p>
        </w:tc>
        <w:tc>
          <w:tcPr>
            <w:tcW w:w="763" w:type="pct"/>
            <w:shd w:val="clear" w:color="auto" w:fill="FFFFFF" w:themeFill="background1"/>
            <w:noWrap/>
            <w:vAlign w:val="center"/>
            <w:hideMark/>
          </w:tcPr>
          <w:p w14:paraId="14623D38"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24.4</w:t>
            </w:r>
          </w:p>
        </w:tc>
        <w:tc>
          <w:tcPr>
            <w:tcW w:w="524" w:type="pct"/>
            <w:shd w:val="clear" w:color="auto" w:fill="FFFFFF" w:themeFill="background1"/>
            <w:noWrap/>
            <w:vAlign w:val="center"/>
            <w:hideMark/>
          </w:tcPr>
          <w:p w14:paraId="17D35893"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-53.9</w:t>
            </w:r>
          </w:p>
        </w:tc>
        <w:tc>
          <w:tcPr>
            <w:tcW w:w="572" w:type="pct"/>
            <w:shd w:val="clear" w:color="auto" w:fill="FFFFFF" w:themeFill="background1"/>
            <w:noWrap/>
            <w:vAlign w:val="center"/>
            <w:hideMark/>
          </w:tcPr>
          <w:p w14:paraId="21F9C0F7"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-5.5</w:t>
            </w:r>
          </w:p>
        </w:tc>
      </w:tr>
      <w:tr w:rsidR="00D15C7D" w:rsidRPr="00D40154" w14:paraId="54B92528" w14:textId="77777777" w:rsidTr="00D15C7D">
        <w:trPr>
          <w:trHeight w:val="240"/>
        </w:trPr>
        <w:tc>
          <w:tcPr>
            <w:cnfStyle w:val="001000000000" w:firstRow="0" w:lastRow="0" w:firstColumn="1" w:lastColumn="0" w:oddVBand="0" w:evenVBand="0" w:oddHBand="0" w:evenHBand="0" w:firstRowFirstColumn="0" w:firstRowLastColumn="0" w:lastRowFirstColumn="0" w:lastRowLastColumn="0"/>
            <w:tcW w:w="854" w:type="pct"/>
            <w:shd w:val="clear" w:color="auto" w:fill="FFFFFF" w:themeFill="background1"/>
            <w:noWrap/>
            <w:hideMark/>
          </w:tcPr>
          <w:p w14:paraId="3286DFFB" w14:textId="77777777" w:rsidR="00D15C7D" w:rsidRPr="00D40154" w:rsidRDefault="00D15C7D" w:rsidP="00D15C7D">
            <w:pPr>
              <w:spacing w:before="30" w:after="30"/>
              <w:rPr>
                <w:rFonts w:cs="Calibri"/>
                <w:sz w:val="20"/>
                <w:szCs w:val="20"/>
              </w:rPr>
            </w:pPr>
            <w:r w:rsidRPr="00D40154">
              <w:rPr>
                <w:rFonts w:cs="Calibri"/>
                <w:sz w:val="20"/>
                <w:szCs w:val="20"/>
              </w:rPr>
              <w:t>Trade</w:t>
            </w:r>
          </w:p>
        </w:tc>
        <w:tc>
          <w:tcPr>
            <w:tcW w:w="724" w:type="pct"/>
            <w:shd w:val="clear" w:color="auto" w:fill="FFFFFF" w:themeFill="background1"/>
            <w:noWrap/>
            <w:vAlign w:val="center"/>
            <w:hideMark/>
          </w:tcPr>
          <w:p w14:paraId="7B4B681D"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20.9</w:t>
            </w:r>
          </w:p>
        </w:tc>
        <w:tc>
          <w:tcPr>
            <w:tcW w:w="801" w:type="pct"/>
            <w:shd w:val="clear" w:color="auto" w:fill="FFFFFF" w:themeFill="background1"/>
            <w:noWrap/>
            <w:vAlign w:val="center"/>
            <w:hideMark/>
          </w:tcPr>
          <w:p w14:paraId="16E608C3"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29.4</w:t>
            </w:r>
          </w:p>
        </w:tc>
        <w:tc>
          <w:tcPr>
            <w:tcW w:w="762" w:type="pct"/>
            <w:shd w:val="clear" w:color="auto" w:fill="FFFFFF" w:themeFill="background1"/>
            <w:noWrap/>
            <w:vAlign w:val="center"/>
            <w:hideMark/>
          </w:tcPr>
          <w:p w14:paraId="11EAEDCB"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3.0</w:t>
            </w:r>
          </w:p>
        </w:tc>
        <w:tc>
          <w:tcPr>
            <w:tcW w:w="763" w:type="pct"/>
            <w:shd w:val="clear" w:color="auto" w:fill="FFFFFF" w:themeFill="background1"/>
            <w:noWrap/>
            <w:vAlign w:val="center"/>
            <w:hideMark/>
          </w:tcPr>
          <w:p w14:paraId="7CB14D20"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6.0</w:t>
            </w:r>
          </w:p>
        </w:tc>
        <w:tc>
          <w:tcPr>
            <w:tcW w:w="524" w:type="pct"/>
            <w:shd w:val="clear" w:color="auto" w:fill="FFFFFF" w:themeFill="background1"/>
            <w:noWrap/>
            <w:vAlign w:val="center"/>
            <w:hideMark/>
          </w:tcPr>
          <w:p w14:paraId="38E8B04C"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-15.3</w:t>
            </w:r>
          </w:p>
        </w:tc>
        <w:tc>
          <w:tcPr>
            <w:tcW w:w="572" w:type="pct"/>
            <w:shd w:val="clear" w:color="auto" w:fill="FFFFFF" w:themeFill="background1"/>
            <w:noWrap/>
            <w:vAlign w:val="center"/>
            <w:hideMark/>
          </w:tcPr>
          <w:p w14:paraId="51C02E32"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-2.1</w:t>
            </w:r>
          </w:p>
        </w:tc>
      </w:tr>
      <w:tr w:rsidR="00D15C7D" w:rsidRPr="00D40154" w14:paraId="3FB7CAA8" w14:textId="77777777" w:rsidTr="00D15C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4" w:type="pct"/>
            <w:shd w:val="clear" w:color="auto" w:fill="FFFFFF" w:themeFill="background1"/>
            <w:noWrap/>
            <w:hideMark/>
          </w:tcPr>
          <w:p w14:paraId="5DD34612" w14:textId="77777777" w:rsidR="00D15C7D" w:rsidRPr="00D40154" w:rsidRDefault="00D15C7D" w:rsidP="00D15C7D">
            <w:pPr>
              <w:spacing w:before="30" w:after="30"/>
              <w:rPr>
                <w:rFonts w:cs="Calibri"/>
                <w:sz w:val="20"/>
                <w:szCs w:val="20"/>
              </w:rPr>
            </w:pPr>
            <w:r w:rsidRPr="00D40154">
              <w:rPr>
                <w:rFonts w:cs="Calibri"/>
                <w:sz w:val="20"/>
                <w:szCs w:val="20"/>
              </w:rPr>
              <w:t>Fishing</w:t>
            </w:r>
          </w:p>
        </w:tc>
        <w:tc>
          <w:tcPr>
            <w:tcW w:w="724" w:type="pct"/>
            <w:shd w:val="clear" w:color="auto" w:fill="FFFFFF" w:themeFill="background1"/>
            <w:noWrap/>
            <w:vAlign w:val="center"/>
            <w:hideMark/>
          </w:tcPr>
          <w:p w14:paraId="0D3418E1"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15.3</w:t>
            </w:r>
          </w:p>
        </w:tc>
        <w:tc>
          <w:tcPr>
            <w:tcW w:w="801" w:type="pct"/>
            <w:shd w:val="clear" w:color="auto" w:fill="FFFFFF" w:themeFill="background1"/>
            <w:noWrap/>
            <w:vAlign w:val="center"/>
            <w:hideMark/>
          </w:tcPr>
          <w:p w14:paraId="22AB1847"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16.1</w:t>
            </w:r>
          </w:p>
        </w:tc>
        <w:tc>
          <w:tcPr>
            <w:tcW w:w="762" w:type="pct"/>
            <w:shd w:val="clear" w:color="auto" w:fill="FFFFFF" w:themeFill="background1"/>
            <w:noWrap/>
            <w:vAlign w:val="center"/>
            <w:hideMark/>
          </w:tcPr>
          <w:p w14:paraId="18CF1989"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5.0</w:t>
            </w:r>
          </w:p>
        </w:tc>
        <w:tc>
          <w:tcPr>
            <w:tcW w:w="763" w:type="pct"/>
            <w:shd w:val="clear" w:color="auto" w:fill="FFFFFF" w:themeFill="background1"/>
            <w:noWrap/>
            <w:vAlign w:val="center"/>
            <w:hideMark/>
          </w:tcPr>
          <w:p w14:paraId="5C136A05"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0.6</w:t>
            </w:r>
          </w:p>
        </w:tc>
        <w:tc>
          <w:tcPr>
            <w:tcW w:w="524" w:type="pct"/>
            <w:shd w:val="clear" w:color="auto" w:fill="FFFFFF" w:themeFill="background1"/>
            <w:noWrap/>
            <w:vAlign w:val="center"/>
            <w:hideMark/>
          </w:tcPr>
          <w:p w14:paraId="6FD72611"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-5.9</w:t>
            </w:r>
          </w:p>
        </w:tc>
        <w:tc>
          <w:tcPr>
            <w:tcW w:w="572" w:type="pct"/>
            <w:shd w:val="clear" w:color="auto" w:fill="FFFFFF" w:themeFill="background1"/>
            <w:noWrap/>
            <w:vAlign w:val="center"/>
            <w:hideMark/>
          </w:tcPr>
          <w:p w14:paraId="2BDC5BBA"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-0.4</w:t>
            </w:r>
          </w:p>
        </w:tc>
      </w:tr>
      <w:tr w:rsidR="00D15C7D" w:rsidRPr="00D40154" w14:paraId="501C548B" w14:textId="77777777" w:rsidTr="00D15C7D">
        <w:trPr>
          <w:trHeight w:val="240"/>
        </w:trPr>
        <w:tc>
          <w:tcPr>
            <w:cnfStyle w:val="001000000000" w:firstRow="0" w:lastRow="0" w:firstColumn="1" w:lastColumn="0" w:oddVBand="0" w:evenVBand="0" w:oddHBand="0" w:evenHBand="0" w:firstRowFirstColumn="0" w:firstRowLastColumn="0" w:lastRowFirstColumn="0" w:lastRowLastColumn="0"/>
            <w:tcW w:w="854" w:type="pct"/>
            <w:shd w:val="clear" w:color="auto" w:fill="FFFFFF" w:themeFill="background1"/>
            <w:noWrap/>
            <w:hideMark/>
          </w:tcPr>
          <w:p w14:paraId="08E671F1" w14:textId="77777777" w:rsidR="00D15C7D" w:rsidRPr="00D40154" w:rsidRDefault="00D15C7D" w:rsidP="00D15C7D">
            <w:pPr>
              <w:spacing w:before="30" w:after="30"/>
              <w:rPr>
                <w:rFonts w:cs="Calibri"/>
                <w:sz w:val="20"/>
                <w:szCs w:val="20"/>
              </w:rPr>
            </w:pPr>
            <w:r w:rsidRPr="00D40154">
              <w:rPr>
                <w:rFonts w:cs="Calibri"/>
                <w:sz w:val="20"/>
                <w:szCs w:val="20"/>
              </w:rPr>
              <w:t>Mining</w:t>
            </w:r>
          </w:p>
        </w:tc>
        <w:tc>
          <w:tcPr>
            <w:tcW w:w="724" w:type="pct"/>
            <w:shd w:val="clear" w:color="auto" w:fill="FFFFFF" w:themeFill="background1"/>
            <w:noWrap/>
            <w:vAlign w:val="center"/>
            <w:hideMark/>
          </w:tcPr>
          <w:p w14:paraId="0BADD50A"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11.9</w:t>
            </w:r>
          </w:p>
        </w:tc>
        <w:tc>
          <w:tcPr>
            <w:tcW w:w="801" w:type="pct"/>
            <w:shd w:val="clear" w:color="auto" w:fill="FFFFFF" w:themeFill="background1"/>
            <w:noWrap/>
            <w:vAlign w:val="center"/>
            <w:hideMark/>
          </w:tcPr>
          <w:p w14:paraId="26D293BC"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16.2</w:t>
            </w:r>
          </w:p>
        </w:tc>
        <w:tc>
          <w:tcPr>
            <w:tcW w:w="762" w:type="pct"/>
            <w:shd w:val="clear" w:color="auto" w:fill="FFFFFF" w:themeFill="background1"/>
            <w:noWrap/>
            <w:vAlign w:val="center"/>
            <w:hideMark/>
          </w:tcPr>
          <w:p w14:paraId="777A687D"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0.0</w:t>
            </w:r>
          </w:p>
        </w:tc>
        <w:tc>
          <w:tcPr>
            <w:tcW w:w="763" w:type="pct"/>
            <w:shd w:val="clear" w:color="auto" w:fill="FFFFFF" w:themeFill="background1"/>
            <w:noWrap/>
            <w:vAlign w:val="center"/>
            <w:hideMark/>
          </w:tcPr>
          <w:p w14:paraId="2E077168"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0.7</w:t>
            </w:r>
          </w:p>
        </w:tc>
        <w:tc>
          <w:tcPr>
            <w:tcW w:w="524" w:type="pct"/>
            <w:shd w:val="clear" w:color="auto" w:fill="FFFFFF" w:themeFill="background1"/>
            <w:noWrap/>
            <w:vAlign w:val="center"/>
            <w:hideMark/>
          </w:tcPr>
          <w:p w14:paraId="6E966F21"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-4.9</w:t>
            </w:r>
          </w:p>
        </w:tc>
        <w:tc>
          <w:tcPr>
            <w:tcW w:w="572" w:type="pct"/>
            <w:shd w:val="clear" w:color="auto" w:fill="FFFFFF" w:themeFill="background1"/>
            <w:noWrap/>
            <w:vAlign w:val="center"/>
            <w:hideMark/>
          </w:tcPr>
          <w:p w14:paraId="1C3248B7"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-0.2</w:t>
            </w:r>
          </w:p>
        </w:tc>
      </w:tr>
      <w:tr w:rsidR="00D15C7D" w:rsidRPr="00D40154" w14:paraId="5C009B7C" w14:textId="77777777" w:rsidTr="00D15C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4" w:type="pct"/>
            <w:shd w:val="clear" w:color="auto" w:fill="FFFFFF" w:themeFill="background1"/>
            <w:noWrap/>
            <w:hideMark/>
          </w:tcPr>
          <w:p w14:paraId="69E43DF2" w14:textId="77777777" w:rsidR="00D15C7D" w:rsidRPr="00D40154" w:rsidRDefault="00D15C7D" w:rsidP="00D15C7D">
            <w:pPr>
              <w:spacing w:before="30" w:after="30"/>
              <w:rPr>
                <w:rFonts w:cs="Calibri"/>
                <w:sz w:val="20"/>
                <w:szCs w:val="20"/>
              </w:rPr>
            </w:pPr>
            <w:r w:rsidRPr="00D40154">
              <w:rPr>
                <w:rFonts w:cs="Calibri"/>
                <w:sz w:val="20"/>
                <w:szCs w:val="20"/>
              </w:rPr>
              <w:t>Services</w:t>
            </w:r>
          </w:p>
        </w:tc>
        <w:tc>
          <w:tcPr>
            <w:tcW w:w="724" w:type="pct"/>
            <w:shd w:val="clear" w:color="auto" w:fill="FFFFFF" w:themeFill="background1"/>
            <w:noWrap/>
            <w:vAlign w:val="center"/>
            <w:hideMark/>
          </w:tcPr>
          <w:p w14:paraId="74296ADE"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0.6</w:t>
            </w:r>
          </w:p>
        </w:tc>
        <w:tc>
          <w:tcPr>
            <w:tcW w:w="801" w:type="pct"/>
            <w:shd w:val="clear" w:color="auto" w:fill="FFFFFF" w:themeFill="background1"/>
            <w:noWrap/>
            <w:vAlign w:val="center"/>
            <w:hideMark/>
          </w:tcPr>
          <w:p w14:paraId="73F5AD72"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0.8</w:t>
            </w:r>
          </w:p>
        </w:tc>
        <w:tc>
          <w:tcPr>
            <w:tcW w:w="762" w:type="pct"/>
            <w:shd w:val="clear" w:color="auto" w:fill="FFFFFF" w:themeFill="background1"/>
            <w:noWrap/>
            <w:vAlign w:val="center"/>
            <w:hideMark/>
          </w:tcPr>
          <w:p w14:paraId="330BF6B6"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0.5</w:t>
            </w:r>
          </w:p>
        </w:tc>
        <w:tc>
          <w:tcPr>
            <w:tcW w:w="763" w:type="pct"/>
            <w:shd w:val="clear" w:color="auto" w:fill="FFFFFF" w:themeFill="background1"/>
            <w:noWrap/>
            <w:vAlign w:val="center"/>
            <w:hideMark/>
          </w:tcPr>
          <w:p w14:paraId="6D04672D"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0.5</w:t>
            </w:r>
          </w:p>
        </w:tc>
        <w:tc>
          <w:tcPr>
            <w:tcW w:w="524" w:type="pct"/>
            <w:shd w:val="clear" w:color="auto" w:fill="FFFFFF" w:themeFill="background1"/>
            <w:noWrap/>
            <w:vAlign w:val="center"/>
            <w:hideMark/>
          </w:tcPr>
          <w:p w14:paraId="5CF718FD"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-1.0</w:t>
            </w:r>
          </w:p>
        </w:tc>
        <w:tc>
          <w:tcPr>
            <w:tcW w:w="572" w:type="pct"/>
            <w:shd w:val="clear" w:color="auto" w:fill="FFFFFF" w:themeFill="background1"/>
            <w:noWrap/>
            <w:vAlign w:val="center"/>
            <w:hideMark/>
          </w:tcPr>
          <w:p w14:paraId="0E8694A1"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-0.1</w:t>
            </w:r>
          </w:p>
        </w:tc>
      </w:tr>
      <w:tr w:rsidR="00D15C7D" w:rsidRPr="00D40154" w14:paraId="0830C6A3" w14:textId="77777777" w:rsidTr="00D15C7D">
        <w:trPr>
          <w:trHeight w:val="240"/>
        </w:trPr>
        <w:tc>
          <w:tcPr>
            <w:cnfStyle w:val="001000000000" w:firstRow="0" w:lastRow="0" w:firstColumn="1" w:lastColumn="0" w:oddVBand="0" w:evenVBand="0" w:oddHBand="0" w:evenHBand="0" w:firstRowFirstColumn="0" w:firstRowLastColumn="0" w:lastRowFirstColumn="0" w:lastRowLastColumn="0"/>
            <w:tcW w:w="854" w:type="pct"/>
            <w:shd w:val="clear" w:color="auto" w:fill="FFFFFF" w:themeFill="background1"/>
            <w:noWrap/>
            <w:hideMark/>
          </w:tcPr>
          <w:p w14:paraId="1E59CA54" w14:textId="77777777" w:rsidR="00D15C7D" w:rsidRPr="00D40154" w:rsidRDefault="00D15C7D" w:rsidP="00D15C7D">
            <w:pPr>
              <w:spacing w:before="30" w:after="30"/>
              <w:rPr>
                <w:rFonts w:cs="Calibri"/>
                <w:sz w:val="20"/>
                <w:szCs w:val="20"/>
              </w:rPr>
            </w:pPr>
            <w:r w:rsidRPr="00D40154">
              <w:rPr>
                <w:rFonts w:cs="Calibri"/>
                <w:sz w:val="20"/>
                <w:szCs w:val="20"/>
              </w:rPr>
              <w:t>Government</w:t>
            </w:r>
          </w:p>
        </w:tc>
        <w:tc>
          <w:tcPr>
            <w:tcW w:w="724" w:type="pct"/>
            <w:shd w:val="clear" w:color="auto" w:fill="FFFFFF" w:themeFill="background1"/>
            <w:noWrap/>
            <w:vAlign w:val="center"/>
            <w:hideMark/>
          </w:tcPr>
          <w:p w14:paraId="75B3A9AA"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0.0</w:t>
            </w:r>
          </w:p>
        </w:tc>
        <w:tc>
          <w:tcPr>
            <w:tcW w:w="801" w:type="pct"/>
            <w:shd w:val="clear" w:color="auto" w:fill="FFFFFF" w:themeFill="background1"/>
            <w:noWrap/>
            <w:vAlign w:val="center"/>
            <w:hideMark/>
          </w:tcPr>
          <w:p w14:paraId="0880E4F5"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0.0</w:t>
            </w:r>
          </w:p>
        </w:tc>
        <w:tc>
          <w:tcPr>
            <w:tcW w:w="762" w:type="pct"/>
            <w:shd w:val="clear" w:color="auto" w:fill="FFFFFF" w:themeFill="background1"/>
            <w:noWrap/>
            <w:vAlign w:val="center"/>
            <w:hideMark/>
          </w:tcPr>
          <w:p w14:paraId="53DC4AC4"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0.0</w:t>
            </w:r>
          </w:p>
        </w:tc>
        <w:tc>
          <w:tcPr>
            <w:tcW w:w="763" w:type="pct"/>
            <w:shd w:val="clear" w:color="auto" w:fill="FFFFFF" w:themeFill="background1"/>
            <w:noWrap/>
            <w:vAlign w:val="center"/>
            <w:hideMark/>
          </w:tcPr>
          <w:p w14:paraId="452D3125"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0.0</w:t>
            </w:r>
          </w:p>
        </w:tc>
        <w:tc>
          <w:tcPr>
            <w:tcW w:w="524" w:type="pct"/>
            <w:shd w:val="clear" w:color="auto" w:fill="FFFFFF" w:themeFill="background1"/>
            <w:noWrap/>
            <w:vAlign w:val="center"/>
            <w:hideMark/>
          </w:tcPr>
          <w:p w14:paraId="71C34084"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0.0</w:t>
            </w:r>
          </w:p>
        </w:tc>
        <w:tc>
          <w:tcPr>
            <w:tcW w:w="572" w:type="pct"/>
            <w:shd w:val="clear" w:color="auto" w:fill="FFFFFF" w:themeFill="background1"/>
            <w:noWrap/>
            <w:vAlign w:val="center"/>
            <w:hideMark/>
          </w:tcPr>
          <w:p w14:paraId="6A8EED41"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0.0</w:t>
            </w:r>
          </w:p>
        </w:tc>
      </w:tr>
      <w:tr w:rsidR="00D15C7D" w:rsidRPr="00D40154" w14:paraId="39495189" w14:textId="77777777" w:rsidTr="00D15C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4" w:type="pct"/>
            <w:shd w:val="clear" w:color="auto" w:fill="FFFFFF" w:themeFill="background1"/>
            <w:noWrap/>
            <w:hideMark/>
          </w:tcPr>
          <w:p w14:paraId="5240FD88" w14:textId="77777777" w:rsidR="00D15C7D" w:rsidRPr="00D40154" w:rsidRDefault="00D15C7D" w:rsidP="00D15C7D">
            <w:pPr>
              <w:spacing w:before="30" w:after="30"/>
              <w:rPr>
                <w:rFonts w:cs="Calibri"/>
                <w:sz w:val="20"/>
                <w:szCs w:val="20"/>
              </w:rPr>
            </w:pPr>
            <w:r w:rsidRPr="00D40154">
              <w:rPr>
                <w:rFonts w:cs="Calibri"/>
                <w:sz w:val="20"/>
                <w:szCs w:val="20"/>
              </w:rPr>
              <w:t>Information Technology</w:t>
            </w:r>
          </w:p>
        </w:tc>
        <w:tc>
          <w:tcPr>
            <w:tcW w:w="724" w:type="pct"/>
            <w:shd w:val="clear" w:color="auto" w:fill="FFFFFF" w:themeFill="background1"/>
            <w:noWrap/>
            <w:vAlign w:val="center"/>
            <w:hideMark/>
          </w:tcPr>
          <w:p w14:paraId="224B2B97"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0.0</w:t>
            </w:r>
          </w:p>
        </w:tc>
        <w:tc>
          <w:tcPr>
            <w:tcW w:w="801" w:type="pct"/>
            <w:shd w:val="clear" w:color="auto" w:fill="FFFFFF" w:themeFill="background1"/>
            <w:noWrap/>
            <w:vAlign w:val="center"/>
            <w:hideMark/>
          </w:tcPr>
          <w:p w14:paraId="38D409E3"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0.0</w:t>
            </w:r>
          </w:p>
        </w:tc>
        <w:tc>
          <w:tcPr>
            <w:tcW w:w="762" w:type="pct"/>
            <w:shd w:val="clear" w:color="auto" w:fill="FFFFFF" w:themeFill="background1"/>
            <w:noWrap/>
            <w:vAlign w:val="center"/>
            <w:hideMark/>
          </w:tcPr>
          <w:p w14:paraId="398C0EA0"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0.0</w:t>
            </w:r>
          </w:p>
        </w:tc>
        <w:tc>
          <w:tcPr>
            <w:tcW w:w="763" w:type="pct"/>
            <w:shd w:val="clear" w:color="auto" w:fill="FFFFFF" w:themeFill="background1"/>
            <w:noWrap/>
            <w:vAlign w:val="center"/>
            <w:hideMark/>
          </w:tcPr>
          <w:p w14:paraId="4D19DCB4"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0.0</w:t>
            </w:r>
          </w:p>
        </w:tc>
        <w:tc>
          <w:tcPr>
            <w:tcW w:w="524" w:type="pct"/>
            <w:shd w:val="clear" w:color="auto" w:fill="FFFFFF" w:themeFill="background1"/>
            <w:noWrap/>
            <w:vAlign w:val="center"/>
            <w:hideMark/>
          </w:tcPr>
          <w:p w14:paraId="7434B14A"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0.0</w:t>
            </w:r>
          </w:p>
        </w:tc>
        <w:tc>
          <w:tcPr>
            <w:tcW w:w="572" w:type="pct"/>
            <w:shd w:val="clear" w:color="auto" w:fill="FFFFFF" w:themeFill="background1"/>
            <w:noWrap/>
            <w:vAlign w:val="center"/>
            <w:hideMark/>
          </w:tcPr>
          <w:p w14:paraId="24826429"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0.0</w:t>
            </w:r>
          </w:p>
        </w:tc>
      </w:tr>
      <w:tr w:rsidR="00D15C7D" w:rsidRPr="00D40154" w14:paraId="54840FE4" w14:textId="77777777" w:rsidTr="00D15C7D">
        <w:trPr>
          <w:trHeight w:val="240"/>
        </w:trPr>
        <w:tc>
          <w:tcPr>
            <w:cnfStyle w:val="001000000000" w:firstRow="0" w:lastRow="0" w:firstColumn="1" w:lastColumn="0" w:oddVBand="0" w:evenVBand="0" w:oddHBand="0" w:evenHBand="0" w:firstRowFirstColumn="0" w:firstRowLastColumn="0" w:lastRowFirstColumn="0" w:lastRowLastColumn="0"/>
            <w:tcW w:w="854" w:type="pct"/>
            <w:shd w:val="clear" w:color="auto" w:fill="FFFFFF" w:themeFill="background1"/>
            <w:noWrap/>
            <w:hideMark/>
          </w:tcPr>
          <w:p w14:paraId="4CC9CA0A" w14:textId="77777777" w:rsidR="00D15C7D" w:rsidRPr="00D40154" w:rsidRDefault="00D15C7D" w:rsidP="00D15C7D">
            <w:pPr>
              <w:spacing w:before="30" w:after="30"/>
              <w:rPr>
                <w:rFonts w:cs="Calibri"/>
                <w:sz w:val="20"/>
                <w:szCs w:val="20"/>
              </w:rPr>
            </w:pPr>
            <w:r w:rsidRPr="00D40154">
              <w:rPr>
                <w:rFonts w:cs="Calibri"/>
                <w:sz w:val="20"/>
                <w:szCs w:val="20"/>
              </w:rPr>
              <w:t>Finance</w:t>
            </w:r>
          </w:p>
        </w:tc>
        <w:tc>
          <w:tcPr>
            <w:tcW w:w="724" w:type="pct"/>
            <w:shd w:val="clear" w:color="auto" w:fill="FFFFFF" w:themeFill="background1"/>
            <w:noWrap/>
            <w:vAlign w:val="center"/>
            <w:hideMark/>
          </w:tcPr>
          <w:p w14:paraId="7458B03B"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-18.1</w:t>
            </w:r>
          </w:p>
        </w:tc>
        <w:tc>
          <w:tcPr>
            <w:tcW w:w="801" w:type="pct"/>
            <w:shd w:val="clear" w:color="auto" w:fill="FFFFFF" w:themeFill="background1"/>
            <w:noWrap/>
            <w:vAlign w:val="center"/>
            <w:hideMark/>
          </w:tcPr>
          <w:p w14:paraId="096DB608"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45.3</w:t>
            </w:r>
          </w:p>
        </w:tc>
        <w:tc>
          <w:tcPr>
            <w:tcW w:w="762" w:type="pct"/>
            <w:shd w:val="clear" w:color="auto" w:fill="FFFFFF" w:themeFill="background1"/>
            <w:noWrap/>
            <w:vAlign w:val="center"/>
            <w:hideMark/>
          </w:tcPr>
          <w:p w14:paraId="50ED0847"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0.0</w:t>
            </w:r>
          </w:p>
        </w:tc>
        <w:tc>
          <w:tcPr>
            <w:tcW w:w="763" w:type="pct"/>
            <w:shd w:val="clear" w:color="auto" w:fill="FFFFFF" w:themeFill="background1"/>
            <w:noWrap/>
            <w:vAlign w:val="center"/>
            <w:hideMark/>
          </w:tcPr>
          <w:p w14:paraId="30636E8D"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42.6</w:t>
            </w:r>
          </w:p>
        </w:tc>
        <w:tc>
          <w:tcPr>
            <w:tcW w:w="524" w:type="pct"/>
            <w:shd w:val="clear" w:color="auto" w:fill="FFFFFF" w:themeFill="background1"/>
            <w:noWrap/>
            <w:vAlign w:val="center"/>
            <w:hideMark/>
          </w:tcPr>
          <w:p w14:paraId="7194DA22"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-94.0</w:t>
            </w:r>
          </w:p>
        </w:tc>
        <w:tc>
          <w:tcPr>
            <w:tcW w:w="572" w:type="pct"/>
            <w:shd w:val="clear" w:color="auto" w:fill="FFFFFF" w:themeFill="background1"/>
            <w:noWrap/>
            <w:vAlign w:val="center"/>
            <w:hideMark/>
          </w:tcPr>
          <w:p w14:paraId="76812C0E"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-12.0</w:t>
            </w:r>
          </w:p>
        </w:tc>
      </w:tr>
      <w:tr w:rsidR="00D15C7D" w:rsidRPr="00D40154" w14:paraId="54BBA384" w14:textId="77777777" w:rsidTr="00D15C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4" w:type="pct"/>
            <w:shd w:val="clear" w:color="auto" w:fill="FFFFFF" w:themeFill="background1"/>
            <w:noWrap/>
            <w:hideMark/>
          </w:tcPr>
          <w:p w14:paraId="696292F0" w14:textId="77777777" w:rsidR="00D15C7D" w:rsidRPr="00D40154" w:rsidRDefault="00D15C7D" w:rsidP="00D15C7D">
            <w:pPr>
              <w:spacing w:before="30" w:after="30"/>
              <w:rPr>
                <w:rFonts w:cs="Calibri"/>
                <w:sz w:val="20"/>
                <w:szCs w:val="20"/>
              </w:rPr>
            </w:pPr>
            <w:r w:rsidRPr="00D40154">
              <w:rPr>
                <w:rFonts w:cs="Calibri"/>
                <w:sz w:val="20"/>
                <w:szCs w:val="20"/>
              </w:rPr>
              <w:t>Construction and Real Estate</w:t>
            </w:r>
          </w:p>
        </w:tc>
        <w:tc>
          <w:tcPr>
            <w:tcW w:w="724" w:type="pct"/>
            <w:shd w:val="clear" w:color="auto" w:fill="FFFFFF" w:themeFill="background1"/>
            <w:noWrap/>
            <w:vAlign w:val="center"/>
            <w:hideMark/>
          </w:tcPr>
          <w:p w14:paraId="05ABFDB9"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-304.2</w:t>
            </w:r>
          </w:p>
        </w:tc>
        <w:tc>
          <w:tcPr>
            <w:tcW w:w="801" w:type="pct"/>
            <w:shd w:val="clear" w:color="auto" w:fill="FFFFFF" w:themeFill="background1"/>
            <w:noWrap/>
            <w:vAlign w:val="center"/>
            <w:hideMark/>
          </w:tcPr>
          <w:p w14:paraId="32315157"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111.5</w:t>
            </w:r>
          </w:p>
        </w:tc>
        <w:tc>
          <w:tcPr>
            <w:tcW w:w="762" w:type="pct"/>
            <w:shd w:val="clear" w:color="auto" w:fill="FFFFFF" w:themeFill="background1"/>
            <w:noWrap/>
            <w:vAlign w:val="center"/>
            <w:hideMark/>
          </w:tcPr>
          <w:p w14:paraId="290A33C0"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0.7</w:t>
            </w:r>
          </w:p>
        </w:tc>
        <w:tc>
          <w:tcPr>
            <w:tcW w:w="763" w:type="pct"/>
            <w:shd w:val="clear" w:color="auto" w:fill="FFFFFF" w:themeFill="background1"/>
            <w:noWrap/>
            <w:vAlign w:val="center"/>
            <w:hideMark/>
          </w:tcPr>
          <w:p w14:paraId="0770089F"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2.0</w:t>
            </w:r>
          </w:p>
        </w:tc>
        <w:tc>
          <w:tcPr>
            <w:tcW w:w="524" w:type="pct"/>
            <w:shd w:val="clear" w:color="auto" w:fill="FFFFFF" w:themeFill="background1"/>
            <w:noWrap/>
            <w:vAlign w:val="center"/>
            <w:hideMark/>
          </w:tcPr>
          <w:p w14:paraId="70077441"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-372.2</w:t>
            </w:r>
          </w:p>
        </w:tc>
        <w:tc>
          <w:tcPr>
            <w:tcW w:w="572" w:type="pct"/>
            <w:shd w:val="clear" w:color="auto" w:fill="FFFFFF" w:themeFill="background1"/>
            <w:noWrap/>
            <w:vAlign w:val="center"/>
            <w:hideMark/>
          </w:tcPr>
          <w:p w14:paraId="6903E02A"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-46.2</w:t>
            </w:r>
          </w:p>
        </w:tc>
      </w:tr>
      <w:tr w:rsidR="00D15C7D" w:rsidRPr="00D40154" w14:paraId="6D8DB1CD" w14:textId="77777777" w:rsidTr="00D15C7D">
        <w:trPr>
          <w:trHeight w:val="240"/>
        </w:trPr>
        <w:tc>
          <w:tcPr>
            <w:cnfStyle w:val="001000000000" w:firstRow="0" w:lastRow="0" w:firstColumn="1" w:lastColumn="0" w:oddVBand="0" w:evenVBand="0" w:oddHBand="0" w:evenHBand="0" w:firstRowFirstColumn="0" w:firstRowLastColumn="0" w:lastRowFirstColumn="0" w:lastRowLastColumn="0"/>
            <w:tcW w:w="854" w:type="pct"/>
            <w:noWrap/>
            <w:hideMark/>
          </w:tcPr>
          <w:p w14:paraId="3D7CED40" w14:textId="77777777" w:rsidR="00D15C7D" w:rsidRPr="00D40154" w:rsidRDefault="00D15C7D" w:rsidP="00D15C7D">
            <w:pPr>
              <w:spacing w:before="30" w:after="30"/>
              <w:rPr>
                <w:rFonts w:cs="Calibri"/>
                <w:sz w:val="20"/>
                <w:szCs w:val="20"/>
              </w:rPr>
            </w:pPr>
            <w:r w:rsidRPr="00D40154">
              <w:rPr>
                <w:rFonts w:cs="Calibri"/>
                <w:sz w:val="20"/>
                <w:szCs w:val="20"/>
              </w:rPr>
              <w:t>Total (GH¢)</w:t>
            </w:r>
          </w:p>
        </w:tc>
        <w:tc>
          <w:tcPr>
            <w:tcW w:w="724" w:type="pct"/>
            <w:noWrap/>
            <w:vAlign w:val="center"/>
            <w:hideMark/>
          </w:tcPr>
          <w:p w14:paraId="7CA6721C"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3665.8</w:t>
            </w:r>
          </w:p>
        </w:tc>
        <w:tc>
          <w:tcPr>
            <w:tcW w:w="801" w:type="pct"/>
            <w:noWrap/>
            <w:vAlign w:val="center"/>
            <w:hideMark/>
          </w:tcPr>
          <w:p w14:paraId="18748F6A"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4215.8</w:t>
            </w:r>
          </w:p>
        </w:tc>
        <w:tc>
          <w:tcPr>
            <w:tcW w:w="762" w:type="pct"/>
            <w:noWrap/>
            <w:vAlign w:val="center"/>
            <w:hideMark/>
          </w:tcPr>
          <w:p w14:paraId="4AAE9712"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211.2</w:t>
            </w:r>
          </w:p>
        </w:tc>
        <w:tc>
          <w:tcPr>
            <w:tcW w:w="763" w:type="pct"/>
            <w:noWrap/>
            <w:vAlign w:val="center"/>
            <w:hideMark/>
          </w:tcPr>
          <w:p w14:paraId="26E664E8"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875.9</w:t>
            </w:r>
          </w:p>
        </w:tc>
        <w:tc>
          <w:tcPr>
            <w:tcW w:w="524" w:type="pct"/>
            <w:noWrap/>
            <w:vAlign w:val="center"/>
            <w:hideMark/>
          </w:tcPr>
          <w:p w14:paraId="6FB9EA2D"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-1506.6</w:t>
            </w:r>
          </w:p>
        </w:tc>
        <w:tc>
          <w:tcPr>
            <w:tcW w:w="572" w:type="pct"/>
            <w:noWrap/>
            <w:vAlign w:val="center"/>
            <w:hideMark/>
          </w:tcPr>
          <w:p w14:paraId="4A59AEA4" w14:textId="77777777" w:rsidR="00D15C7D" w:rsidRPr="00D40154" w:rsidRDefault="00D15C7D" w:rsidP="00D15C7D">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-130.5</w:t>
            </w:r>
          </w:p>
        </w:tc>
      </w:tr>
      <w:tr w:rsidR="00D15C7D" w:rsidRPr="00D40154" w14:paraId="1F6FEF31" w14:textId="77777777" w:rsidTr="00D15C7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54" w:type="pct"/>
            <w:noWrap/>
          </w:tcPr>
          <w:p w14:paraId="6FEAF8B6" w14:textId="77777777" w:rsidR="00D15C7D" w:rsidRPr="00D40154" w:rsidRDefault="00D15C7D" w:rsidP="00D15C7D">
            <w:pPr>
              <w:spacing w:before="30" w:after="30"/>
              <w:rPr>
                <w:rFonts w:cs="Calibri"/>
                <w:sz w:val="20"/>
                <w:szCs w:val="20"/>
              </w:rPr>
            </w:pPr>
            <w:r w:rsidRPr="00D40154">
              <w:rPr>
                <w:rFonts w:cs="Calibri"/>
                <w:sz w:val="20"/>
                <w:szCs w:val="20"/>
              </w:rPr>
              <w:t>Total (% of GDP</w:t>
            </w:r>
          </w:p>
        </w:tc>
        <w:tc>
          <w:tcPr>
            <w:tcW w:w="724" w:type="pct"/>
            <w:noWrap/>
          </w:tcPr>
          <w:p w14:paraId="2454460B"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D40154">
              <w:rPr>
                <w:rFonts w:cs="Calibri"/>
                <w:b/>
                <w:sz w:val="20"/>
                <w:szCs w:val="20"/>
              </w:rPr>
              <w:t>3.9</w:t>
            </w:r>
          </w:p>
        </w:tc>
        <w:tc>
          <w:tcPr>
            <w:tcW w:w="801" w:type="pct"/>
            <w:noWrap/>
          </w:tcPr>
          <w:p w14:paraId="500FEB70"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D40154">
              <w:rPr>
                <w:rFonts w:cs="Calibri"/>
                <w:b/>
                <w:sz w:val="20"/>
                <w:szCs w:val="20"/>
              </w:rPr>
              <w:t>4.5</w:t>
            </w:r>
          </w:p>
        </w:tc>
        <w:tc>
          <w:tcPr>
            <w:tcW w:w="762" w:type="pct"/>
            <w:noWrap/>
          </w:tcPr>
          <w:p w14:paraId="0DC8008E"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D40154">
              <w:rPr>
                <w:rFonts w:cs="Calibri"/>
                <w:b/>
                <w:sz w:val="20"/>
                <w:szCs w:val="20"/>
              </w:rPr>
              <w:t>0.2</w:t>
            </w:r>
          </w:p>
        </w:tc>
        <w:tc>
          <w:tcPr>
            <w:tcW w:w="763" w:type="pct"/>
            <w:noWrap/>
          </w:tcPr>
          <w:p w14:paraId="4CCA0B65"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D40154">
              <w:rPr>
                <w:rFonts w:cs="Calibri"/>
                <w:b/>
                <w:sz w:val="20"/>
                <w:szCs w:val="20"/>
              </w:rPr>
              <w:t>0.9</w:t>
            </w:r>
          </w:p>
        </w:tc>
        <w:tc>
          <w:tcPr>
            <w:tcW w:w="524" w:type="pct"/>
            <w:noWrap/>
          </w:tcPr>
          <w:p w14:paraId="7E240A4A"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D40154">
              <w:rPr>
                <w:rFonts w:cs="Calibri"/>
                <w:b/>
                <w:sz w:val="20"/>
                <w:szCs w:val="20"/>
              </w:rPr>
              <w:t>-1.6</w:t>
            </w:r>
          </w:p>
        </w:tc>
        <w:tc>
          <w:tcPr>
            <w:tcW w:w="572" w:type="pct"/>
            <w:noWrap/>
          </w:tcPr>
          <w:p w14:paraId="47ABA89A" w14:textId="77777777" w:rsidR="00D15C7D" w:rsidRPr="00D40154" w:rsidRDefault="00D15C7D" w:rsidP="00D15C7D">
            <w:pPr>
              <w:spacing w:before="30" w:after="30"/>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D40154">
              <w:rPr>
                <w:rFonts w:cs="Calibri"/>
                <w:b/>
                <w:sz w:val="20"/>
                <w:szCs w:val="20"/>
              </w:rPr>
              <w:t>-0.1</w:t>
            </w:r>
          </w:p>
        </w:tc>
      </w:tr>
    </w:tbl>
    <w:p w14:paraId="2437FD13" w14:textId="77777777" w:rsidR="00D15C7D" w:rsidRPr="00F17B09" w:rsidRDefault="00D15C7D" w:rsidP="00D15C7D">
      <w:pPr>
        <w:pStyle w:val="ListParagraph"/>
        <w:numPr>
          <w:ilvl w:val="0"/>
          <w:numId w:val="4"/>
        </w:numPr>
        <w:spacing w:before="240"/>
      </w:pPr>
      <w:r>
        <w:rPr>
          <w:b/>
        </w:rPr>
        <w:t>E</w:t>
      </w:r>
      <w:r w:rsidRPr="00696A40">
        <w:rPr>
          <w:b/>
        </w:rPr>
        <w:t xml:space="preserve">xemptions for cocoa and other crops </w:t>
      </w:r>
      <w:r>
        <w:rPr>
          <w:b/>
        </w:rPr>
        <w:t>comprise t</w:t>
      </w:r>
      <w:r w:rsidRPr="00696A40">
        <w:rPr>
          <w:b/>
        </w:rPr>
        <w:t xml:space="preserve">he largest VAT expenditures on domestic value addition, followed by </w:t>
      </w:r>
      <w:r>
        <w:rPr>
          <w:b/>
        </w:rPr>
        <w:t xml:space="preserve">exemptions for </w:t>
      </w:r>
      <w:r w:rsidRPr="00696A40">
        <w:rPr>
          <w:b/>
        </w:rPr>
        <w:t>agro-processing and transportation.</w:t>
      </w:r>
      <w:r w:rsidRPr="00F17B09">
        <w:t xml:space="preserve"> The water and healthcare sectors also benefit from significant exemptions. However, the manufacturing sector </w:t>
      </w:r>
      <w:r>
        <w:t>receives</w:t>
      </w:r>
      <w:r w:rsidRPr="00F17B09">
        <w:t xml:space="preserve"> limited</w:t>
      </w:r>
      <w:r>
        <w:t xml:space="preserve"> exemptions</w:t>
      </w:r>
      <w:r w:rsidRPr="00F17B09">
        <w:t xml:space="preserve">, as most apply to intermediate inputs rather than finished products, and foregone revenues are recouped later in the </w:t>
      </w:r>
      <w:r>
        <w:t xml:space="preserve">domestic </w:t>
      </w:r>
      <w:r w:rsidRPr="00F17B09">
        <w:t>value chain.</w:t>
      </w:r>
      <w:r>
        <w:t xml:space="preserve"> Similar patterns are observed in</w:t>
      </w:r>
      <w:r w:rsidRPr="00F17B09">
        <w:t xml:space="preserve"> the finance and construction sectors.</w:t>
      </w:r>
    </w:p>
    <w:p w14:paraId="12F48651" w14:textId="77777777" w:rsidR="00D15C7D" w:rsidRPr="0037514E" w:rsidRDefault="00D15C7D" w:rsidP="00D15C7D">
      <w:pPr>
        <w:pStyle w:val="ListParagraph"/>
        <w:numPr>
          <w:ilvl w:val="0"/>
          <w:numId w:val="4"/>
        </w:numPr>
        <w:spacing w:before="240"/>
      </w:pPr>
      <w:r w:rsidRPr="00301717">
        <w:rPr>
          <w:b/>
        </w:rPr>
        <w:lastRenderedPageBreak/>
        <w:t>Ghana’s VAT expenditures impose a</w:t>
      </w:r>
      <w:r>
        <w:rPr>
          <w:b/>
        </w:rPr>
        <w:t xml:space="preserve"> heavy fiscal </w:t>
      </w:r>
      <w:r w:rsidRPr="00301717">
        <w:rPr>
          <w:b/>
        </w:rPr>
        <w:t>cost</w:t>
      </w:r>
      <w:r>
        <w:rPr>
          <w:b/>
        </w:rPr>
        <w:t xml:space="preserve">, </w:t>
      </w:r>
      <w:r w:rsidRPr="00F75A6D">
        <w:rPr>
          <w:b/>
        </w:rPr>
        <w:t>and i</w:t>
      </w:r>
      <w:r w:rsidRPr="00301717">
        <w:rPr>
          <w:b/>
        </w:rPr>
        <w:t xml:space="preserve">n the context of </w:t>
      </w:r>
      <w:r>
        <w:rPr>
          <w:b/>
        </w:rPr>
        <w:t>the country’s</w:t>
      </w:r>
      <w:r w:rsidRPr="00301717">
        <w:rPr>
          <w:b/>
        </w:rPr>
        <w:t xml:space="preserve"> current fiscal</w:t>
      </w:r>
      <w:r>
        <w:rPr>
          <w:b/>
        </w:rPr>
        <w:t>-</w:t>
      </w:r>
      <w:r w:rsidRPr="00301717">
        <w:rPr>
          <w:b/>
        </w:rPr>
        <w:t>consolidation</w:t>
      </w:r>
      <w:r>
        <w:rPr>
          <w:b/>
        </w:rPr>
        <w:t xml:space="preserve"> effort</w:t>
      </w:r>
      <w:r w:rsidRPr="00301717">
        <w:rPr>
          <w:b/>
        </w:rPr>
        <w:t>, policymakers should consider eliminating VAT expenditures</w:t>
      </w:r>
      <w:r>
        <w:rPr>
          <w:b/>
        </w:rPr>
        <w:t xml:space="preserve"> </w:t>
      </w:r>
      <w:r w:rsidRPr="00301717">
        <w:rPr>
          <w:b/>
        </w:rPr>
        <w:t>entirely.</w:t>
      </w:r>
      <w:r w:rsidRPr="00301717">
        <w:t xml:space="preserve"> </w:t>
      </w:r>
      <w:r>
        <w:t>Applying VAT evenly to all goods and services would expand</w:t>
      </w:r>
      <w:r w:rsidRPr="0037514E">
        <w:t xml:space="preserve"> the tax base, and a portion of the additional revenue</w:t>
      </w:r>
      <w:r>
        <w:t xml:space="preserve"> </w:t>
      </w:r>
      <w:r w:rsidRPr="0037514E">
        <w:t>could be used to compensate poor households for any increase in their net tax burden. Moreover, ending VAT expenditures would eliminate important fiscal</w:t>
      </w:r>
      <w:r>
        <w:t>-</w:t>
      </w:r>
      <w:r w:rsidRPr="0037514E">
        <w:t>policy leakages. For example, rice is currently VAT</w:t>
      </w:r>
      <w:r>
        <w:t xml:space="preserve"> </w:t>
      </w:r>
      <w:r w:rsidRPr="0037514E">
        <w:t>exempt, as it represents a significant share of the consumption of poor households. Yet wealthy households also consume rice</w:t>
      </w:r>
      <w:r>
        <w:t>,</w:t>
      </w:r>
      <w:r w:rsidRPr="0037514E">
        <w:t xml:space="preserve"> and </w:t>
      </w:r>
      <w:r>
        <w:t xml:space="preserve">they too </w:t>
      </w:r>
      <w:r w:rsidRPr="0037514E">
        <w:t xml:space="preserve">benefit from the VAT exemption. Removing the exemption and replacing it with targeted cash transfers or other forms of pro-poor spending would enhance the </w:t>
      </w:r>
      <w:r>
        <w:t>efficiency</w:t>
      </w:r>
      <w:r w:rsidRPr="0037514E">
        <w:t xml:space="preserve"> of fiscal policy while protecting the welfare of low-income households. Ending </w:t>
      </w:r>
      <w:r w:rsidRPr="00A03D1E">
        <w:t>VAT expenditures on private education and health services would have an especially strong progressive impact, as these services are overwhelmingly consumed by wealthier households, while the poor tend to rely on government schools and hospitals.</w:t>
      </w:r>
    </w:p>
    <w:p w14:paraId="49D17EAF" w14:textId="77777777" w:rsidR="00D15C7D" w:rsidRPr="00E45355" w:rsidRDefault="00D15C7D" w:rsidP="00D15C7D">
      <w:pPr>
        <w:pStyle w:val="Heading2"/>
      </w:pPr>
      <w:bookmarkStart w:id="80" w:name="_Toc479624880"/>
      <w:r w:rsidRPr="00E45355">
        <w:t>Trade-Related Tax Expenditures</w:t>
      </w:r>
      <w:bookmarkEnd w:id="80"/>
    </w:p>
    <w:p w14:paraId="04F5CE54" w14:textId="77777777" w:rsidR="00D15C7D" w:rsidRPr="00F17B09" w:rsidRDefault="00D15C7D" w:rsidP="00D15C7D">
      <w:pPr>
        <w:pStyle w:val="ListParagraph"/>
        <w:numPr>
          <w:ilvl w:val="0"/>
          <w:numId w:val="4"/>
        </w:numPr>
        <w:spacing w:before="240"/>
      </w:pPr>
      <w:r w:rsidRPr="00696A40">
        <w:rPr>
          <w:b/>
        </w:rPr>
        <w:t>Tax exemptions established under the Customs Code cost the government approximately GH¢ 800 million, or 0.9 percent of GDP, in 2013.</w:t>
      </w:r>
      <w:r w:rsidRPr="00F17B09">
        <w:t xml:space="preserve"> Exemptions </w:t>
      </w:r>
      <w:r>
        <w:t>for</w:t>
      </w:r>
      <w:r w:rsidRPr="00F17B09">
        <w:t xml:space="preserve"> manufacturing-</w:t>
      </w:r>
      <w:r>
        <w:t>related</w:t>
      </w:r>
      <w:r w:rsidRPr="00F17B09">
        <w:t xml:space="preserve"> imports comprised the largest share, amounting to a full 0.2 percent of GDP (</w:t>
      </w:r>
      <w:r>
        <w:fldChar w:fldCharType="begin"/>
      </w:r>
      <w:r>
        <w:instrText xml:space="preserve"> REF _Ref472430050 \h </w:instrText>
      </w:r>
      <w:r>
        <w:fldChar w:fldCharType="separate"/>
      </w:r>
      <w:r w:rsidR="007B1CE6" w:rsidRPr="000A5B80">
        <w:t xml:space="preserve">Table </w:t>
      </w:r>
      <w:r w:rsidR="007B1CE6">
        <w:rPr>
          <w:noProof/>
        </w:rPr>
        <w:t>2</w:t>
      </w:r>
      <w:r w:rsidR="007B1CE6" w:rsidRPr="000A5B80">
        <w:t>.</w:t>
      </w:r>
      <w:r w:rsidR="007B1CE6">
        <w:rPr>
          <w:noProof/>
        </w:rPr>
        <w:t>7</w:t>
      </w:r>
      <w:r>
        <w:fldChar w:fldCharType="end"/>
      </w:r>
      <w:r w:rsidRPr="00F17B09">
        <w:t xml:space="preserve">). Special permits pending </w:t>
      </w:r>
      <w:r w:rsidR="00C9562C">
        <w:t>p</w:t>
      </w:r>
      <w:r w:rsidRPr="00F17B09">
        <w:t>arliamentary approval</w:t>
      </w:r>
      <w:r w:rsidRPr="00F17B09">
        <w:rPr>
          <w:rStyle w:val="FootnoteReference"/>
        </w:rPr>
        <w:footnoteReference w:id="47"/>
      </w:r>
      <w:r w:rsidRPr="00F17B09">
        <w:t xml:space="preserve"> represented the second-largest share at 0.15 percent of GDP. </w:t>
      </w:r>
    </w:p>
    <w:p w14:paraId="64F91C51" w14:textId="77777777" w:rsidR="00D15C7D" w:rsidRPr="000A5B80" w:rsidRDefault="00D15C7D" w:rsidP="00D15C7D">
      <w:pPr>
        <w:pStyle w:val="Caption"/>
        <w:rPr>
          <w:lang w:val="en-US"/>
        </w:rPr>
      </w:pPr>
      <w:bookmarkStart w:id="81" w:name="_Ref472430050"/>
      <w:bookmarkStart w:id="82" w:name="_Toc478837628"/>
      <w:r w:rsidRPr="000A5B80">
        <w:rPr>
          <w:lang w:val="en-US"/>
        </w:rPr>
        <w:t xml:space="preserve">Table </w:t>
      </w:r>
      <w:r w:rsidR="00500291" w:rsidRPr="000A5B80">
        <w:rPr>
          <w:lang w:val="en-US"/>
        </w:rPr>
        <w:fldChar w:fldCharType="begin"/>
      </w:r>
      <w:r w:rsidR="00500291" w:rsidRPr="000A5B80">
        <w:rPr>
          <w:lang w:val="en-US"/>
        </w:rPr>
        <w:instrText xml:space="preserve"> STYLEREF 1 \s </w:instrText>
      </w:r>
      <w:r w:rsidR="00500291" w:rsidRPr="000A5B80">
        <w:rPr>
          <w:lang w:val="en-US"/>
        </w:rPr>
        <w:fldChar w:fldCharType="separate"/>
      </w:r>
      <w:r w:rsidR="007B1CE6">
        <w:rPr>
          <w:noProof/>
          <w:lang w:val="en-US"/>
        </w:rPr>
        <w:t>2</w:t>
      </w:r>
      <w:r w:rsidR="00500291" w:rsidRPr="000A5B80">
        <w:rPr>
          <w:lang w:val="en-US"/>
        </w:rPr>
        <w:fldChar w:fldCharType="end"/>
      </w:r>
      <w:r w:rsidR="00500291" w:rsidRPr="000A5B80">
        <w:rPr>
          <w:lang w:val="en-US"/>
        </w:rPr>
        <w:t>.</w:t>
      </w:r>
      <w:r w:rsidR="00500291" w:rsidRPr="000A5B80">
        <w:rPr>
          <w:lang w:val="en-US"/>
        </w:rPr>
        <w:fldChar w:fldCharType="begin"/>
      </w:r>
      <w:r w:rsidR="00500291" w:rsidRPr="000A5B80">
        <w:rPr>
          <w:lang w:val="en-US"/>
        </w:rPr>
        <w:instrText xml:space="preserve"> SEQ Table \* ARABIC \s 1 </w:instrText>
      </w:r>
      <w:r w:rsidR="00500291" w:rsidRPr="000A5B80">
        <w:rPr>
          <w:lang w:val="en-US"/>
        </w:rPr>
        <w:fldChar w:fldCharType="separate"/>
      </w:r>
      <w:r w:rsidR="007B1CE6">
        <w:rPr>
          <w:noProof/>
          <w:lang w:val="en-US"/>
        </w:rPr>
        <w:t>7</w:t>
      </w:r>
      <w:r w:rsidR="00500291" w:rsidRPr="000A5B80">
        <w:rPr>
          <w:lang w:val="en-US"/>
        </w:rPr>
        <w:fldChar w:fldCharType="end"/>
      </w:r>
      <w:bookmarkEnd w:id="81"/>
      <w:r w:rsidRPr="000A5B80">
        <w:rPr>
          <w:lang w:val="en-US"/>
        </w:rPr>
        <w:t>: Customs Exemptions, 2013 (GH¢ millions)</w:t>
      </w:r>
      <w:bookmarkEnd w:id="82"/>
    </w:p>
    <w:tbl>
      <w:tblPr>
        <w:tblStyle w:val="GridTable6Colorful"/>
        <w:tblW w:w="9445" w:type="dxa"/>
        <w:tblLook w:val="04A0" w:firstRow="1" w:lastRow="0" w:firstColumn="1" w:lastColumn="0" w:noHBand="0" w:noVBand="1"/>
      </w:tblPr>
      <w:tblGrid>
        <w:gridCol w:w="3500"/>
        <w:gridCol w:w="815"/>
        <w:gridCol w:w="1072"/>
        <w:gridCol w:w="1358"/>
        <w:gridCol w:w="990"/>
        <w:gridCol w:w="810"/>
        <w:gridCol w:w="900"/>
      </w:tblGrid>
      <w:tr w:rsidR="00D15C7D" w:rsidRPr="00D40154" w14:paraId="593C3712" w14:textId="77777777" w:rsidTr="00D15C7D">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3500" w:type="dxa"/>
            <w:vAlign w:val="center"/>
            <w:hideMark/>
          </w:tcPr>
          <w:p w14:paraId="43C04B48" w14:textId="77777777" w:rsidR="00D15C7D" w:rsidRPr="00D40154" w:rsidRDefault="00D15C7D" w:rsidP="00D15C7D">
            <w:pPr>
              <w:spacing w:before="6" w:after="6"/>
              <w:jc w:val="center"/>
              <w:rPr>
                <w:rFonts w:cs="Calibri"/>
                <w:sz w:val="20"/>
                <w:szCs w:val="20"/>
              </w:rPr>
            </w:pPr>
            <w:r w:rsidRPr="00D40154">
              <w:rPr>
                <w:rFonts w:cs="Calibri"/>
                <w:sz w:val="20"/>
                <w:szCs w:val="20"/>
              </w:rPr>
              <w:t>Category</w:t>
            </w:r>
          </w:p>
        </w:tc>
        <w:tc>
          <w:tcPr>
            <w:tcW w:w="815" w:type="dxa"/>
            <w:vAlign w:val="center"/>
            <w:hideMark/>
          </w:tcPr>
          <w:p w14:paraId="4314ECA9" w14:textId="77777777" w:rsidR="00D15C7D" w:rsidRPr="00D40154" w:rsidRDefault="00D15C7D" w:rsidP="00D15C7D">
            <w:pPr>
              <w:spacing w:before="6" w:after="6"/>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Import Duty</w:t>
            </w:r>
          </w:p>
        </w:tc>
        <w:tc>
          <w:tcPr>
            <w:tcW w:w="1072" w:type="dxa"/>
            <w:vAlign w:val="center"/>
            <w:hideMark/>
          </w:tcPr>
          <w:p w14:paraId="14C7F1A1" w14:textId="77777777" w:rsidR="00D15C7D" w:rsidRPr="00D40154" w:rsidRDefault="00D15C7D" w:rsidP="00D15C7D">
            <w:pPr>
              <w:spacing w:before="6" w:after="6"/>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ECOWAS Levy</w:t>
            </w:r>
          </w:p>
        </w:tc>
        <w:tc>
          <w:tcPr>
            <w:tcW w:w="1358" w:type="dxa"/>
            <w:vAlign w:val="center"/>
            <w:hideMark/>
          </w:tcPr>
          <w:p w14:paraId="558D65FC" w14:textId="77777777" w:rsidR="00D15C7D" w:rsidRPr="00D40154" w:rsidRDefault="00D15C7D" w:rsidP="00D15C7D">
            <w:pPr>
              <w:spacing w:before="6" w:after="6"/>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Export Development Levy</w:t>
            </w:r>
          </w:p>
        </w:tc>
        <w:tc>
          <w:tcPr>
            <w:tcW w:w="990" w:type="dxa"/>
            <w:vAlign w:val="center"/>
            <w:hideMark/>
          </w:tcPr>
          <w:p w14:paraId="2C8E4CBD" w14:textId="77777777" w:rsidR="00D15C7D" w:rsidRPr="00D40154" w:rsidRDefault="00D15C7D" w:rsidP="00D15C7D">
            <w:pPr>
              <w:spacing w:before="6" w:after="6"/>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Other Fees and Levies</w:t>
            </w:r>
          </w:p>
        </w:tc>
        <w:tc>
          <w:tcPr>
            <w:tcW w:w="810" w:type="dxa"/>
            <w:vAlign w:val="center"/>
            <w:hideMark/>
          </w:tcPr>
          <w:p w14:paraId="6A22C07B" w14:textId="77777777" w:rsidR="00D15C7D" w:rsidRPr="00D40154" w:rsidRDefault="00D15C7D" w:rsidP="00D15C7D">
            <w:pPr>
              <w:spacing w:before="6" w:after="6"/>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Total</w:t>
            </w:r>
          </w:p>
        </w:tc>
        <w:tc>
          <w:tcPr>
            <w:tcW w:w="900" w:type="dxa"/>
            <w:vAlign w:val="center"/>
          </w:tcPr>
          <w:p w14:paraId="523F1602" w14:textId="77777777" w:rsidR="00D15C7D" w:rsidRPr="00D40154" w:rsidRDefault="00D15C7D" w:rsidP="00D15C7D">
            <w:pPr>
              <w:spacing w:before="6" w:after="6"/>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 Total</w:t>
            </w:r>
          </w:p>
        </w:tc>
      </w:tr>
      <w:tr w:rsidR="00D15C7D" w:rsidRPr="00D40154" w14:paraId="12C2D3AF" w14:textId="77777777" w:rsidTr="00D15C7D">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500" w:type="dxa"/>
            <w:tcBorders>
              <w:top w:val="single" w:sz="12" w:space="0" w:color="666666" w:themeColor="text1" w:themeTint="99"/>
            </w:tcBorders>
            <w:shd w:val="clear" w:color="auto" w:fill="auto"/>
            <w:hideMark/>
          </w:tcPr>
          <w:p w14:paraId="7619A067" w14:textId="77777777" w:rsidR="00D15C7D" w:rsidRPr="00D40154" w:rsidRDefault="00D15C7D" w:rsidP="00D15C7D">
            <w:pPr>
              <w:spacing w:before="6" w:after="6"/>
              <w:rPr>
                <w:rFonts w:cs="Calibri"/>
                <w:b w:val="0"/>
                <w:sz w:val="20"/>
                <w:szCs w:val="20"/>
              </w:rPr>
            </w:pPr>
            <w:r w:rsidRPr="00D40154">
              <w:rPr>
                <w:rFonts w:cs="Calibri"/>
                <w:sz w:val="20"/>
                <w:szCs w:val="20"/>
              </w:rPr>
              <w:t>Manufacturing</w:t>
            </w:r>
          </w:p>
        </w:tc>
        <w:tc>
          <w:tcPr>
            <w:tcW w:w="815" w:type="dxa"/>
            <w:tcBorders>
              <w:top w:val="single" w:sz="12" w:space="0" w:color="666666" w:themeColor="text1" w:themeTint="99"/>
            </w:tcBorders>
            <w:shd w:val="clear" w:color="auto" w:fill="auto"/>
            <w:noWrap/>
            <w:hideMark/>
          </w:tcPr>
          <w:p w14:paraId="502B7AB7"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187.9</w:t>
            </w:r>
          </w:p>
        </w:tc>
        <w:tc>
          <w:tcPr>
            <w:tcW w:w="1072" w:type="dxa"/>
            <w:tcBorders>
              <w:top w:val="single" w:sz="12" w:space="0" w:color="666666" w:themeColor="text1" w:themeTint="99"/>
            </w:tcBorders>
            <w:shd w:val="clear" w:color="auto" w:fill="auto"/>
            <w:noWrap/>
            <w:hideMark/>
          </w:tcPr>
          <w:p w14:paraId="2F0F9C84"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0.0</w:t>
            </w:r>
          </w:p>
        </w:tc>
        <w:tc>
          <w:tcPr>
            <w:tcW w:w="1358" w:type="dxa"/>
            <w:tcBorders>
              <w:top w:val="single" w:sz="12" w:space="0" w:color="666666" w:themeColor="text1" w:themeTint="99"/>
            </w:tcBorders>
            <w:shd w:val="clear" w:color="auto" w:fill="auto"/>
            <w:noWrap/>
            <w:hideMark/>
          </w:tcPr>
          <w:p w14:paraId="04F44C39"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0.0</w:t>
            </w:r>
          </w:p>
        </w:tc>
        <w:tc>
          <w:tcPr>
            <w:tcW w:w="990" w:type="dxa"/>
            <w:tcBorders>
              <w:top w:val="single" w:sz="12" w:space="0" w:color="666666" w:themeColor="text1" w:themeTint="99"/>
            </w:tcBorders>
            <w:shd w:val="clear" w:color="auto" w:fill="auto"/>
            <w:noWrap/>
            <w:hideMark/>
          </w:tcPr>
          <w:p w14:paraId="2B1CD923"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6.0</w:t>
            </w:r>
          </w:p>
        </w:tc>
        <w:tc>
          <w:tcPr>
            <w:tcW w:w="810" w:type="dxa"/>
            <w:tcBorders>
              <w:top w:val="single" w:sz="12" w:space="0" w:color="666666" w:themeColor="text1" w:themeTint="99"/>
            </w:tcBorders>
            <w:shd w:val="clear" w:color="auto" w:fill="auto"/>
            <w:noWrap/>
            <w:hideMark/>
          </w:tcPr>
          <w:p w14:paraId="0CC2D08F"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193.9</w:t>
            </w:r>
          </w:p>
        </w:tc>
        <w:tc>
          <w:tcPr>
            <w:tcW w:w="900" w:type="dxa"/>
            <w:tcBorders>
              <w:top w:val="single" w:sz="12" w:space="0" w:color="666666" w:themeColor="text1" w:themeTint="99"/>
            </w:tcBorders>
            <w:shd w:val="clear" w:color="auto" w:fill="auto"/>
          </w:tcPr>
          <w:p w14:paraId="28C7C44F"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24%</w:t>
            </w:r>
          </w:p>
        </w:tc>
      </w:tr>
      <w:tr w:rsidR="00D15C7D" w:rsidRPr="00D40154" w14:paraId="6BC4F6B3" w14:textId="77777777" w:rsidTr="00D15C7D">
        <w:trPr>
          <w:trHeight w:val="386"/>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hideMark/>
          </w:tcPr>
          <w:p w14:paraId="573F90E7" w14:textId="77777777" w:rsidR="00D15C7D" w:rsidRPr="00D40154" w:rsidRDefault="00D15C7D" w:rsidP="00D15C7D">
            <w:pPr>
              <w:spacing w:before="6" w:after="6"/>
              <w:rPr>
                <w:rFonts w:cs="Calibri"/>
                <w:b w:val="0"/>
                <w:sz w:val="20"/>
                <w:szCs w:val="20"/>
              </w:rPr>
            </w:pPr>
            <w:r w:rsidRPr="00D40154">
              <w:rPr>
                <w:rFonts w:cs="Calibri"/>
                <w:sz w:val="20"/>
                <w:szCs w:val="20"/>
              </w:rPr>
              <w:t>Special permits pending Parliamentary approval</w:t>
            </w:r>
          </w:p>
        </w:tc>
        <w:tc>
          <w:tcPr>
            <w:tcW w:w="815" w:type="dxa"/>
            <w:shd w:val="clear" w:color="auto" w:fill="auto"/>
            <w:noWrap/>
            <w:hideMark/>
          </w:tcPr>
          <w:p w14:paraId="3CA6CDD4"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107.2</w:t>
            </w:r>
          </w:p>
        </w:tc>
        <w:tc>
          <w:tcPr>
            <w:tcW w:w="1072" w:type="dxa"/>
            <w:shd w:val="clear" w:color="auto" w:fill="auto"/>
            <w:noWrap/>
            <w:hideMark/>
          </w:tcPr>
          <w:p w14:paraId="663304AC"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5.8</w:t>
            </w:r>
          </w:p>
        </w:tc>
        <w:tc>
          <w:tcPr>
            <w:tcW w:w="1358" w:type="dxa"/>
            <w:shd w:val="clear" w:color="auto" w:fill="auto"/>
            <w:noWrap/>
            <w:hideMark/>
          </w:tcPr>
          <w:p w14:paraId="4E471F56"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5.8</w:t>
            </w:r>
          </w:p>
        </w:tc>
        <w:tc>
          <w:tcPr>
            <w:tcW w:w="990" w:type="dxa"/>
            <w:shd w:val="clear" w:color="auto" w:fill="auto"/>
            <w:noWrap/>
            <w:hideMark/>
          </w:tcPr>
          <w:p w14:paraId="198A12D1"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18.1</w:t>
            </w:r>
          </w:p>
        </w:tc>
        <w:tc>
          <w:tcPr>
            <w:tcW w:w="810" w:type="dxa"/>
            <w:shd w:val="clear" w:color="auto" w:fill="auto"/>
            <w:noWrap/>
            <w:hideMark/>
          </w:tcPr>
          <w:p w14:paraId="610096F8"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137.0</w:t>
            </w:r>
          </w:p>
        </w:tc>
        <w:tc>
          <w:tcPr>
            <w:tcW w:w="900" w:type="dxa"/>
            <w:shd w:val="clear" w:color="auto" w:fill="auto"/>
          </w:tcPr>
          <w:p w14:paraId="6EAC8706"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17%</w:t>
            </w:r>
          </w:p>
        </w:tc>
      </w:tr>
      <w:tr w:rsidR="00D15C7D" w:rsidRPr="00D40154" w14:paraId="4BA232FB" w14:textId="77777777" w:rsidTr="00D15C7D">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hideMark/>
          </w:tcPr>
          <w:p w14:paraId="7E39253D" w14:textId="77777777" w:rsidR="00D15C7D" w:rsidRPr="00D40154" w:rsidRDefault="00D15C7D" w:rsidP="00D15C7D">
            <w:pPr>
              <w:spacing w:before="6" w:after="6"/>
              <w:rPr>
                <w:rFonts w:cs="Calibri"/>
                <w:b w:val="0"/>
                <w:sz w:val="20"/>
                <w:szCs w:val="20"/>
              </w:rPr>
            </w:pPr>
            <w:r w:rsidRPr="00D40154">
              <w:rPr>
                <w:rFonts w:cs="Calibri"/>
                <w:sz w:val="20"/>
                <w:szCs w:val="20"/>
              </w:rPr>
              <w:t>Mining</w:t>
            </w:r>
          </w:p>
        </w:tc>
        <w:tc>
          <w:tcPr>
            <w:tcW w:w="815" w:type="dxa"/>
            <w:shd w:val="clear" w:color="auto" w:fill="auto"/>
            <w:noWrap/>
            <w:hideMark/>
          </w:tcPr>
          <w:p w14:paraId="71568ADF"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49.5</w:t>
            </w:r>
          </w:p>
        </w:tc>
        <w:tc>
          <w:tcPr>
            <w:tcW w:w="1072" w:type="dxa"/>
            <w:shd w:val="clear" w:color="auto" w:fill="auto"/>
            <w:noWrap/>
            <w:hideMark/>
          </w:tcPr>
          <w:p w14:paraId="201A74A4"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0.0</w:t>
            </w:r>
          </w:p>
        </w:tc>
        <w:tc>
          <w:tcPr>
            <w:tcW w:w="1358" w:type="dxa"/>
            <w:shd w:val="clear" w:color="auto" w:fill="auto"/>
            <w:noWrap/>
            <w:hideMark/>
          </w:tcPr>
          <w:p w14:paraId="31F97326"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0.0</w:t>
            </w:r>
          </w:p>
        </w:tc>
        <w:tc>
          <w:tcPr>
            <w:tcW w:w="990" w:type="dxa"/>
            <w:shd w:val="clear" w:color="auto" w:fill="auto"/>
            <w:noWrap/>
            <w:hideMark/>
          </w:tcPr>
          <w:p w14:paraId="49C33BCA"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0.7</w:t>
            </w:r>
          </w:p>
        </w:tc>
        <w:tc>
          <w:tcPr>
            <w:tcW w:w="810" w:type="dxa"/>
            <w:shd w:val="clear" w:color="auto" w:fill="auto"/>
            <w:noWrap/>
            <w:hideMark/>
          </w:tcPr>
          <w:p w14:paraId="61D99D0E"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50.2</w:t>
            </w:r>
          </w:p>
        </w:tc>
        <w:tc>
          <w:tcPr>
            <w:tcW w:w="900" w:type="dxa"/>
            <w:shd w:val="clear" w:color="auto" w:fill="auto"/>
          </w:tcPr>
          <w:p w14:paraId="746B18C5"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6%</w:t>
            </w:r>
          </w:p>
        </w:tc>
      </w:tr>
      <w:tr w:rsidR="00D15C7D" w:rsidRPr="00D40154" w14:paraId="51EFB7A7" w14:textId="77777777" w:rsidTr="00D15C7D">
        <w:trPr>
          <w:trHeight w:val="404"/>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hideMark/>
          </w:tcPr>
          <w:p w14:paraId="288A92F0" w14:textId="77777777" w:rsidR="00D15C7D" w:rsidRPr="00D40154" w:rsidRDefault="00D15C7D" w:rsidP="00D15C7D">
            <w:pPr>
              <w:spacing w:before="6" w:after="6"/>
              <w:rPr>
                <w:rFonts w:cs="Calibri"/>
                <w:b w:val="0"/>
                <w:sz w:val="20"/>
                <w:szCs w:val="20"/>
              </w:rPr>
            </w:pPr>
            <w:r w:rsidRPr="00D40154">
              <w:rPr>
                <w:rFonts w:cs="Calibri"/>
                <w:sz w:val="20"/>
                <w:szCs w:val="20"/>
              </w:rPr>
              <w:t>Special permits approved by Parliament</w:t>
            </w:r>
          </w:p>
        </w:tc>
        <w:tc>
          <w:tcPr>
            <w:tcW w:w="815" w:type="dxa"/>
            <w:shd w:val="clear" w:color="auto" w:fill="auto"/>
            <w:noWrap/>
            <w:hideMark/>
          </w:tcPr>
          <w:p w14:paraId="6733CD2A"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59.9</w:t>
            </w:r>
          </w:p>
        </w:tc>
        <w:tc>
          <w:tcPr>
            <w:tcW w:w="1072" w:type="dxa"/>
            <w:shd w:val="clear" w:color="auto" w:fill="auto"/>
            <w:noWrap/>
            <w:hideMark/>
          </w:tcPr>
          <w:p w14:paraId="4952A524"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3.5</w:t>
            </w:r>
          </w:p>
        </w:tc>
        <w:tc>
          <w:tcPr>
            <w:tcW w:w="1358" w:type="dxa"/>
            <w:shd w:val="clear" w:color="auto" w:fill="auto"/>
            <w:noWrap/>
            <w:hideMark/>
          </w:tcPr>
          <w:p w14:paraId="02962A9A"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3.5</w:t>
            </w:r>
          </w:p>
        </w:tc>
        <w:tc>
          <w:tcPr>
            <w:tcW w:w="990" w:type="dxa"/>
            <w:shd w:val="clear" w:color="auto" w:fill="auto"/>
            <w:noWrap/>
            <w:hideMark/>
          </w:tcPr>
          <w:p w14:paraId="55ED0539"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6.9</w:t>
            </w:r>
          </w:p>
        </w:tc>
        <w:tc>
          <w:tcPr>
            <w:tcW w:w="810" w:type="dxa"/>
            <w:shd w:val="clear" w:color="auto" w:fill="auto"/>
            <w:noWrap/>
            <w:hideMark/>
          </w:tcPr>
          <w:p w14:paraId="00EE4D28"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73.6</w:t>
            </w:r>
          </w:p>
        </w:tc>
        <w:tc>
          <w:tcPr>
            <w:tcW w:w="900" w:type="dxa"/>
            <w:shd w:val="clear" w:color="auto" w:fill="auto"/>
          </w:tcPr>
          <w:p w14:paraId="51129BCC"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9%</w:t>
            </w:r>
          </w:p>
        </w:tc>
      </w:tr>
      <w:tr w:rsidR="00D15C7D" w:rsidRPr="00D40154" w14:paraId="476B4A36" w14:textId="77777777" w:rsidTr="00D15C7D">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hideMark/>
          </w:tcPr>
          <w:p w14:paraId="74655F1A" w14:textId="77777777" w:rsidR="00D15C7D" w:rsidRPr="00D40154" w:rsidRDefault="00D15C7D" w:rsidP="00D15C7D">
            <w:pPr>
              <w:spacing w:before="6" w:after="6"/>
              <w:rPr>
                <w:rFonts w:cs="Calibri"/>
                <w:b w:val="0"/>
                <w:sz w:val="20"/>
                <w:szCs w:val="20"/>
              </w:rPr>
            </w:pPr>
            <w:r w:rsidRPr="00D40154">
              <w:rPr>
                <w:rFonts w:cs="Calibri"/>
                <w:sz w:val="20"/>
                <w:szCs w:val="20"/>
              </w:rPr>
              <w:t>Public Electricity and water utilities</w:t>
            </w:r>
          </w:p>
        </w:tc>
        <w:tc>
          <w:tcPr>
            <w:tcW w:w="815" w:type="dxa"/>
            <w:shd w:val="clear" w:color="auto" w:fill="auto"/>
            <w:noWrap/>
            <w:hideMark/>
          </w:tcPr>
          <w:p w14:paraId="6FFE55B0"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43.8</w:t>
            </w:r>
          </w:p>
        </w:tc>
        <w:tc>
          <w:tcPr>
            <w:tcW w:w="1072" w:type="dxa"/>
            <w:shd w:val="clear" w:color="auto" w:fill="auto"/>
            <w:noWrap/>
            <w:hideMark/>
          </w:tcPr>
          <w:p w14:paraId="0B2A3AD9"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2.0</w:t>
            </w:r>
          </w:p>
        </w:tc>
        <w:tc>
          <w:tcPr>
            <w:tcW w:w="1358" w:type="dxa"/>
            <w:shd w:val="clear" w:color="auto" w:fill="auto"/>
            <w:noWrap/>
            <w:hideMark/>
          </w:tcPr>
          <w:p w14:paraId="6E205EB0"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2.1</w:t>
            </w:r>
          </w:p>
        </w:tc>
        <w:tc>
          <w:tcPr>
            <w:tcW w:w="990" w:type="dxa"/>
            <w:shd w:val="clear" w:color="auto" w:fill="auto"/>
            <w:noWrap/>
            <w:hideMark/>
          </w:tcPr>
          <w:p w14:paraId="6ADD6731"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4.9</w:t>
            </w:r>
          </w:p>
        </w:tc>
        <w:tc>
          <w:tcPr>
            <w:tcW w:w="810" w:type="dxa"/>
            <w:shd w:val="clear" w:color="auto" w:fill="auto"/>
            <w:noWrap/>
            <w:hideMark/>
          </w:tcPr>
          <w:p w14:paraId="4ACCBA50"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52.9</w:t>
            </w:r>
          </w:p>
        </w:tc>
        <w:tc>
          <w:tcPr>
            <w:tcW w:w="900" w:type="dxa"/>
            <w:shd w:val="clear" w:color="auto" w:fill="auto"/>
          </w:tcPr>
          <w:p w14:paraId="2B145E1D"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7%</w:t>
            </w:r>
          </w:p>
        </w:tc>
      </w:tr>
      <w:tr w:rsidR="00D15C7D" w:rsidRPr="00D40154" w14:paraId="1C3E6301" w14:textId="77777777" w:rsidTr="00D15C7D">
        <w:trPr>
          <w:trHeight w:val="233"/>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hideMark/>
          </w:tcPr>
          <w:p w14:paraId="7A0AE4FC" w14:textId="77777777" w:rsidR="00D15C7D" w:rsidRPr="00D40154" w:rsidRDefault="00D15C7D" w:rsidP="00D15C7D">
            <w:pPr>
              <w:spacing w:before="6" w:after="6"/>
              <w:rPr>
                <w:rFonts w:cs="Calibri"/>
                <w:b w:val="0"/>
                <w:sz w:val="20"/>
                <w:szCs w:val="20"/>
              </w:rPr>
            </w:pPr>
            <w:r w:rsidRPr="00D40154">
              <w:rPr>
                <w:rFonts w:cs="Calibri"/>
                <w:sz w:val="20"/>
                <w:szCs w:val="20"/>
              </w:rPr>
              <w:t>ECOWAS trade</w:t>
            </w:r>
          </w:p>
        </w:tc>
        <w:tc>
          <w:tcPr>
            <w:tcW w:w="815" w:type="dxa"/>
            <w:shd w:val="clear" w:color="auto" w:fill="auto"/>
            <w:noWrap/>
            <w:hideMark/>
          </w:tcPr>
          <w:p w14:paraId="0EFFA2EB"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92.0</w:t>
            </w:r>
          </w:p>
        </w:tc>
        <w:tc>
          <w:tcPr>
            <w:tcW w:w="1072" w:type="dxa"/>
            <w:shd w:val="clear" w:color="auto" w:fill="auto"/>
            <w:noWrap/>
            <w:hideMark/>
          </w:tcPr>
          <w:p w14:paraId="0019BF28"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1.4</w:t>
            </w:r>
          </w:p>
        </w:tc>
        <w:tc>
          <w:tcPr>
            <w:tcW w:w="1358" w:type="dxa"/>
            <w:shd w:val="clear" w:color="auto" w:fill="auto"/>
            <w:noWrap/>
            <w:hideMark/>
          </w:tcPr>
          <w:p w14:paraId="76C71454"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0.0</w:t>
            </w:r>
          </w:p>
        </w:tc>
        <w:tc>
          <w:tcPr>
            <w:tcW w:w="990" w:type="dxa"/>
            <w:shd w:val="clear" w:color="auto" w:fill="auto"/>
            <w:noWrap/>
            <w:hideMark/>
          </w:tcPr>
          <w:p w14:paraId="4E63E090"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3.6</w:t>
            </w:r>
          </w:p>
        </w:tc>
        <w:tc>
          <w:tcPr>
            <w:tcW w:w="810" w:type="dxa"/>
            <w:shd w:val="clear" w:color="auto" w:fill="auto"/>
            <w:noWrap/>
            <w:hideMark/>
          </w:tcPr>
          <w:p w14:paraId="68AADA23"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96.9</w:t>
            </w:r>
          </w:p>
        </w:tc>
        <w:tc>
          <w:tcPr>
            <w:tcW w:w="900" w:type="dxa"/>
            <w:shd w:val="clear" w:color="auto" w:fill="auto"/>
          </w:tcPr>
          <w:p w14:paraId="7D7F6B25"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12%</w:t>
            </w:r>
          </w:p>
        </w:tc>
      </w:tr>
      <w:tr w:rsidR="00D15C7D" w:rsidRPr="00D40154" w14:paraId="0651031C" w14:textId="77777777" w:rsidTr="00D15C7D">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hideMark/>
          </w:tcPr>
          <w:p w14:paraId="2068DAE2" w14:textId="77777777" w:rsidR="00D15C7D" w:rsidRPr="00D40154" w:rsidRDefault="00D15C7D" w:rsidP="00D15C7D">
            <w:pPr>
              <w:spacing w:before="6" w:after="6"/>
              <w:rPr>
                <w:rFonts w:cs="Calibri"/>
                <w:b w:val="0"/>
                <w:sz w:val="20"/>
                <w:szCs w:val="20"/>
              </w:rPr>
            </w:pPr>
            <w:r w:rsidRPr="00D40154">
              <w:rPr>
                <w:rFonts w:cs="Calibri"/>
                <w:sz w:val="20"/>
                <w:szCs w:val="20"/>
              </w:rPr>
              <w:t>The Ghana National Petroleum Corporation</w:t>
            </w:r>
          </w:p>
        </w:tc>
        <w:tc>
          <w:tcPr>
            <w:tcW w:w="815" w:type="dxa"/>
            <w:shd w:val="clear" w:color="auto" w:fill="auto"/>
            <w:noWrap/>
            <w:hideMark/>
          </w:tcPr>
          <w:p w14:paraId="71A1C872"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31.3</w:t>
            </w:r>
          </w:p>
        </w:tc>
        <w:tc>
          <w:tcPr>
            <w:tcW w:w="1072" w:type="dxa"/>
            <w:shd w:val="clear" w:color="auto" w:fill="auto"/>
            <w:noWrap/>
            <w:hideMark/>
          </w:tcPr>
          <w:p w14:paraId="6693AE07"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1.8</w:t>
            </w:r>
          </w:p>
        </w:tc>
        <w:tc>
          <w:tcPr>
            <w:tcW w:w="1358" w:type="dxa"/>
            <w:shd w:val="clear" w:color="auto" w:fill="auto"/>
            <w:noWrap/>
            <w:hideMark/>
          </w:tcPr>
          <w:p w14:paraId="4A88430B"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1.8</w:t>
            </w:r>
          </w:p>
        </w:tc>
        <w:tc>
          <w:tcPr>
            <w:tcW w:w="990" w:type="dxa"/>
            <w:shd w:val="clear" w:color="auto" w:fill="auto"/>
            <w:noWrap/>
            <w:hideMark/>
          </w:tcPr>
          <w:p w14:paraId="6880EA8A"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1.8</w:t>
            </w:r>
          </w:p>
        </w:tc>
        <w:tc>
          <w:tcPr>
            <w:tcW w:w="810" w:type="dxa"/>
            <w:shd w:val="clear" w:color="auto" w:fill="auto"/>
            <w:noWrap/>
            <w:hideMark/>
          </w:tcPr>
          <w:p w14:paraId="34B29F67"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36.7</w:t>
            </w:r>
          </w:p>
        </w:tc>
        <w:tc>
          <w:tcPr>
            <w:tcW w:w="900" w:type="dxa"/>
            <w:shd w:val="clear" w:color="auto" w:fill="auto"/>
          </w:tcPr>
          <w:p w14:paraId="439A0224"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5%</w:t>
            </w:r>
          </w:p>
        </w:tc>
      </w:tr>
      <w:tr w:rsidR="00D15C7D" w:rsidRPr="00D40154" w14:paraId="7814A6F1" w14:textId="77777777" w:rsidTr="00D15C7D">
        <w:trPr>
          <w:trHeight w:val="269"/>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hideMark/>
          </w:tcPr>
          <w:p w14:paraId="6CF10F74" w14:textId="77777777" w:rsidR="00D15C7D" w:rsidRPr="00D40154" w:rsidRDefault="00D15C7D" w:rsidP="00D15C7D">
            <w:pPr>
              <w:spacing w:before="6" w:after="6"/>
              <w:rPr>
                <w:rFonts w:cs="Calibri"/>
                <w:b w:val="0"/>
                <w:sz w:val="20"/>
                <w:szCs w:val="20"/>
              </w:rPr>
            </w:pPr>
            <w:r w:rsidRPr="00D40154">
              <w:rPr>
                <w:rFonts w:cs="Calibri"/>
                <w:sz w:val="20"/>
                <w:szCs w:val="20"/>
              </w:rPr>
              <w:t>Diplomatic missions</w:t>
            </w:r>
          </w:p>
        </w:tc>
        <w:tc>
          <w:tcPr>
            <w:tcW w:w="815" w:type="dxa"/>
            <w:shd w:val="clear" w:color="auto" w:fill="auto"/>
            <w:noWrap/>
            <w:hideMark/>
          </w:tcPr>
          <w:p w14:paraId="76EABD83"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29.3</w:t>
            </w:r>
          </w:p>
        </w:tc>
        <w:tc>
          <w:tcPr>
            <w:tcW w:w="1072" w:type="dxa"/>
            <w:shd w:val="clear" w:color="auto" w:fill="auto"/>
            <w:noWrap/>
            <w:hideMark/>
          </w:tcPr>
          <w:p w14:paraId="26754BD8"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1.3</w:t>
            </w:r>
          </w:p>
        </w:tc>
        <w:tc>
          <w:tcPr>
            <w:tcW w:w="1358" w:type="dxa"/>
            <w:shd w:val="clear" w:color="auto" w:fill="auto"/>
            <w:noWrap/>
            <w:hideMark/>
          </w:tcPr>
          <w:p w14:paraId="7CEB5DAE"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1.3</w:t>
            </w:r>
          </w:p>
        </w:tc>
        <w:tc>
          <w:tcPr>
            <w:tcW w:w="990" w:type="dxa"/>
            <w:shd w:val="clear" w:color="auto" w:fill="auto"/>
            <w:noWrap/>
            <w:hideMark/>
          </w:tcPr>
          <w:p w14:paraId="6C75CF99"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7.9</w:t>
            </w:r>
          </w:p>
        </w:tc>
        <w:tc>
          <w:tcPr>
            <w:tcW w:w="810" w:type="dxa"/>
            <w:shd w:val="clear" w:color="auto" w:fill="auto"/>
            <w:noWrap/>
            <w:hideMark/>
          </w:tcPr>
          <w:p w14:paraId="7EAA164A"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39.7</w:t>
            </w:r>
          </w:p>
        </w:tc>
        <w:tc>
          <w:tcPr>
            <w:tcW w:w="900" w:type="dxa"/>
            <w:shd w:val="clear" w:color="auto" w:fill="auto"/>
          </w:tcPr>
          <w:p w14:paraId="5E2622DF"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5%</w:t>
            </w:r>
          </w:p>
        </w:tc>
      </w:tr>
      <w:tr w:rsidR="00D15C7D" w:rsidRPr="00D40154" w14:paraId="362F0E00" w14:textId="77777777" w:rsidTr="00D15C7D">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hideMark/>
          </w:tcPr>
          <w:p w14:paraId="4B5554E6" w14:textId="77777777" w:rsidR="00D15C7D" w:rsidRPr="00D40154" w:rsidRDefault="00D15C7D" w:rsidP="00D15C7D">
            <w:pPr>
              <w:spacing w:before="6" w:after="6"/>
              <w:rPr>
                <w:rFonts w:cs="Calibri"/>
                <w:b w:val="0"/>
                <w:sz w:val="20"/>
                <w:szCs w:val="20"/>
              </w:rPr>
            </w:pPr>
            <w:r w:rsidRPr="00D40154">
              <w:rPr>
                <w:rFonts w:cs="Calibri"/>
                <w:sz w:val="20"/>
                <w:szCs w:val="20"/>
              </w:rPr>
              <w:t>Agriculture and livestock inputs</w:t>
            </w:r>
          </w:p>
        </w:tc>
        <w:tc>
          <w:tcPr>
            <w:tcW w:w="815" w:type="dxa"/>
            <w:shd w:val="clear" w:color="auto" w:fill="auto"/>
            <w:noWrap/>
            <w:hideMark/>
          </w:tcPr>
          <w:p w14:paraId="23A6E462"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23.3</w:t>
            </w:r>
          </w:p>
        </w:tc>
        <w:tc>
          <w:tcPr>
            <w:tcW w:w="1072" w:type="dxa"/>
            <w:shd w:val="clear" w:color="auto" w:fill="auto"/>
            <w:noWrap/>
            <w:hideMark/>
          </w:tcPr>
          <w:p w14:paraId="54943B7F"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0.5</w:t>
            </w:r>
          </w:p>
        </w:tc>
        <w:tc>
          <w:tcPr>
            <w:tcW w:w="1358" w:type="dxa"/>
            <w:shd w:val="clear" w:color="auto" w:fill="auto"/>
            <w:noWrap/>
            <w:hideMark/>
          </w:tcPr>
          <w:p w14:paraId="55BB644E"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0.6</w:t>
            </w:r>
          </w:p>
        </w:tc>
        <w:tc>
          <w:tcPr>
            <w:tcW w:w="990" w:type="dxa"/>
            <w:shd w:val="clear" w:color="auto" w:fill="auto"/>
            <w:noWrap/>
            <w:hideMark/>
          </w:tcPr>
          <w:p w14:paraId="1103F721"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3.7</w:t>
            </w:r>
          </w:p>
        </w:tc>
        <w:tc>
          <w:tcPr>
            <w:tcW w:w="810" w:type="dxa"/>
            <w:shd w:val="clear" w:color="auto" w:fill="auto"/>
            <w:noWrap/>
            <w:hideMark/>
          </w:tcPr>
          <w:p w14:paraId="602C6AF4"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28.1</w:t>
            </w:r>
          </w:p>
        </w:tc>
        <w:tc>
          <w:tcPr>
            <w:tcW w:w="900" w:type="dxa"/>
            <w:shd w:val="clear" w:color="auto" w:fill="auto"/>
          </w:tcPr>
          <w:p w14:paraId="230FF4CC"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4%</w:t>
            </w:r>
          </w:p>
        </w:tc>
      </w:tr>
      <w:tr w:rsidR="00D15C7D" w:rsidRPr="00D40154" w14:paraId="36247D82" w14:textId="77777777" w:rsidTr="00D15C7D">
        <w:trPr>
          <w:trHeight w:val="251"/>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hideMark/>
          </w:tcPr>
          <w:p w14:paraId="4638F250" w14:textId="77777777" w:rsidR="00D15C7D" w:rsidRPr="00D40154" w:rsidRDefault="00D15C7D" w:rsidP="00D15C7D">
            <w:pPr>
              <w:spacing w:before="6" w:after="6"/>
              <w:rPr>
                <w:rFonts w:cs="Calibri"/>
                <w:b w:val="0"/>
                <w:sz w:val="20"/>
                <w:szCs w:val="20"/>
              </w:rPr>
            </w:pPr>
            <w:r w:rsidRPr="00D40154">
              <w:rPr>
                <w:rFonts w:cs="Calibri"/>
                <w:sz w:val="20"/>
                <w:szCs w:val="20"/>
              </w:rPr>
              <w:t>Ghana Investment Promotion Centre</w:t>
            </w:r>
          </w:p>
        </w:tc>
        <w:tc>
          <w:tcPr>
            <w:tcW w:w="815" w:type="dxa"/>
            <w:shd w:val="clear" w:color="auto" w:fill="auto"/>
            <w:noWrap/>
            <w:hideMark/>
          </w:tcPr>
          <w:p w14:paraId="11B4B883"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17.1</w:t>
            </w:r>
          </w:p>
        </w:tc>
        <w:tc>
          <w:tcPr>
            <w:tcW w:w="1072" w:type="dxa"/>
            <w:shd w:val="clear" w:color="auto" w:fill="auto"/>
            <w:noWrap/>
            <w:hideMark/>
          </w:tcPr>
          <w:p w14:paraId="5D173E13"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0.3</w:t>
            </w:r>
          </w:p>
        </w:tc>
        <w:tc>
          <w:tcPr>
            <w:tcW w:w="1358" w:type="dxa"/>
            <w:shd w:val="clear" w:color="auto" w:fill="auto"/>
            <w:noWrap/>
            <w:hideMark/>
          </w:tcPr>
          <w:p w14:paraId="5FB5397D"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0.3</w:t>
            </w:r>
          </w:p>
        </w:tc>
        <w:tc>
          <w:tcPr>
            <w:tcW w:w="990" w:type="dxa"/>
            <w:shd w:val="clear" w:color="auto" w:fill="auto"/>
            <w:noWrap/>
            <w:hideMark/>
          </w:tcPr>
          <w:p w14:paraId="466B6167"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1.3</w:t>
            </w:r>
          </w:p>
        </w:tc>
        <w:tc>
          <w:tcPr>
            <w:tcW w:w="810" w:type="dxa"/>
            <w:shd w:val="clear" w:color="auto" w:fill="auto"/>
            <w:noWrap/>
            <w:hideMark/>
          </w:tcPr>
          <w:p w14:paraId="208482F6"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18.9</w:t>
            </w:r>
          </w:p>
        </w:tc>
        <w:tc>
          <w:tcPr>
            <w:tcW w:w="900" w:type="dxa"/>
            <w:shd w:val="clear" w:color="auto" w:fill="auto"/>
          </w:tcPr>
          <w:p w14:paraId="16A0E957"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w:t>
            </w:r>
          </w:p>
        </w:tc>
      </w:tr>
      <w:tr w:rsidR="00D15C7D" w:rsidRPr="00D40154" w14:paraId="340D6460" w14:textId="77777777" w:rsidTr="00D15C7D">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hideMark/>
          </w:tcPr>
          <w:p w14:paraId="30EFA1F8" w14:textId="77777777" w:rsidR="00D15C7D" w:rsidRPr="00D40154" w:rsidRDefault="00D15C7D" w:rsidP="00D15C7D">
            <w:pPr>
              <w:spacing w:before="6" w:after="6"/>
              <w:rPr>
                <w:rFonts w:cs="Calibri"/>
                <w:b w:val="0"/>
                <w:sz w:val="20"/>
                <w:szCs w:val="20"/>
              </w:rPr>
            </w:pPr>
            <w:r w:rsidRPr="00D40154">
              <w:rPr>
                <w:rFonts w:cs="Calibri"/>
                <w:sz w:val="20"/>
                <w:szCs w:val="20"/>
              </w:rPr>
              <w:t>Jute bags</w:t>
            </w:r>
          </w:p>
        </w:tc>
        <w:tc>
          <w:tcPr>
            <w:tcW w:w="815" w:type="dxa"/>
            <w:shd w:val="clear" w:color="auto" w:fill="auto"/>
            <w:noWrap/>
            <w:hideMark/>
          </w:tcPr>
          <w:p w14:paraId="74257458"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12.5</w:t>
            </w:r>
          </w:p>
        </w:tc>
        <w:tc>
          <w:tcPr>
            <w:tcW w:w="1072" w:type="dxa"/>
            <w:shd w:val="clear" w:color="auto" w:fill="auto"/>
            <w:noWrap/>
            <w:hideMark/>
          </w:tcPr>
          <w:p w14:paraId="5BED3839"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0.3</w:t>
            </w:r>
          </w:p>
        </w:tc>
        <w:tc>
          <w:tcPr>
            <w:tcW w:w="1358" w:type="dxa"/>
            <w:shd w:val="clear" w:color="auto" w:fill="auto"/>
            <w:noWrap/>
            <w:hideMark/>
          </w:tcPr>
          <w:p w14:paraId="3692BE0C"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0.3</w:t>
            </w:r>
          </w:p>
        </w:tc>
        <w:tc>
          <w:tcPr>
            <w:tcW w:w="990" w:type="dxa"/>
            <w:shd w:val="clear" w:color="auto" w:fill="auto"/>
            <w:noWrap/>
            <w:hideMark/>
          </w:tcPr>
          <w:p w14:paraId="369195F2"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4.5</w:t>
            </w:r>
          </w:p>
        </w:tc>
        <w:tc>
          <w:tcPr>
            <w:tcW w:w="810" w:type="dxa"/>
            <w:shd w:val="clear" w:color="auto" w:fill="auto"/>
            <w:noWrap/>
            <w:hideMark/>
          </w:tcPr>
          <w:p w14:paraId="0A32389D"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17.6</w:t>
            </w:r>
          </w:p>
        </w:tc>
        <w:tc>
          <w:tcPr>
            <w:tcW w:w="900" w:type="dxa"/>
            <w:shd w:val="clear" w:color="auto" w:fill="auto"/>
          </w:tcPr>
          <w:p w14:paraId="43B28E64"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w:t>
            </w:r>
          </w:p>
        </w:tc>
      </w:tr>
      <w:tr w:rsidR="00D15C7D" w:rsidRPr="00D40154" w14:paraId="4C5FB9B6" w14:textId="77777777" w:rsidTr="00D15C7D">
        <w:trPr>
          <w:trHeight w:val="44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hideMark/>
          </w:tcPr>
          <w:p w14:paraId="00D08CBF" w14:textId="77777777" w:rsidR="00D15C7D" w:rsidRPr="00D40154" w:rsidRDefault="00D15C7D" w:rsidP="00D15C7D">
            <w:pPr>
              <w:spacing w:before="6" w:after="6"/>
              <w:rPr>
                <w:rFonts w:cs="Calibri"/>
                <w:b w:val="0"/>
                <w:sz w:val="20"/>
                <w:szCs w:val="20"/>
              </w:rPr>
            </w:pPr>
            <w:r w:rsidRPr="00D40154">
              <w:rPr>
                <w:rFonts w:cs="Calibri"/>
                <w:sz w:val="20"/>
                <w:szCs w:val="20"/>
              </w:rPr>
              <w:t>Other government agencies, privileged persons and organizations</w:t>
            </w:r>
          </w:p>
        </w:tc>
        <w:tc>
          <w:tcPr>
            <w:tcW w:w="815" w:type="dxa"/>
            <w:shd w:val="clear" w:color="auto" w:fill="auto"/>
            <w:noWrap/>
            <w:hideMark/>
          </w:tcPr>
          <w:p w14:paraId="5BB43501"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19.0</w:t>
            </w:r>
          </w:p>
        </w:tc>
        <w:tc>
          <w:tcPr>
            <w:tcW w:w="1072" w:type="dxa"/>
            <w:shd w:val="clear" w:color="auto" w:fill="auto"/>
            <w:noWrap/>
            <w:hideMark/>
          </w:tcPr>
          <w:p w14:paraId="2B625B5B"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1.8</w:t>
            </w:r>
          </w:p>
        </w:tc>
        <w:tc>
          <w:tcPr>
            <w:tcW w:w="1358" w:type="dxa"/>
            <w:shd w:val="clear" w:color="auto" w:fill="auto"/>
            <w:noWrap/>
            <w:hideMark/>
          </w:tcPr>
          <w:p w14:paraId="775777E4"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1.8</w:t>
            </w:r>
          </w:p>
        </w:tc>
        <w:tc>
          <w:tcPr>
            <w:tcW w:w="990" w:type="dxa"/>
            <w:shd w:val="clear" w:color="auto" w:fill="auto"/>
            <w:noWrap/>
            <w:hideMark/>
          </w:tcPr>
          <w:p w14:paraId="719F4AC1"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6.6</w:t>
            </w:r>
          </w:p>
        </w:tc>
        <w:tc>
          <w:tcPr>
            <w:tcW w:w="810" w:type="dxa"/>
            <w:shd w:val="clear" w:color="auto" w:fill="auto"/>
            <w:noWrap/>
            <w:hideMark/>
          </w:tcPr>
          <w:p w14:paraId="0703C1BB"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29.2</w:t>
            </w:r>
          </w:p>
        </w:tc>
        <w:tc>
          <w:tcPr>
            <w:tcW w:w="900" w:type="dxa"/>
            <w:shd w:val="clear" w:color="auto" w:fill="auto"/>
          </w:tcPr>
          <w:p w14:paraId="362BE0E6"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4%</w:t>
            </w:r>
          </w:p>
        </w:tc>
      </w:tr>
      <w:tr w:rsidR="00D15C7D" w:rsidRPr="00D40154" w14:paraId="31E990A7" w14:textId="77777777" w:rsidTr="00D15C7D">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hideMark/>
          </w:tcPr>
          <w:p w14:paraId="0F645303" w14:textId="77777777" w:rsidR="00D15C7D" w:rsidRPr="00D40154" w:rsidRDefault="00D15C7D" w:rsidP="00D15C7D">
            <w:pPr>
              <w:spacing w:before="6" w:after="6"/>
              <w:rPr>
                <w:rFonts w:cs="Calibri"/>
                <w:b w:val="0"/>
                <w:sz w:val="20"/>
                <w:szCs w:val="20"/>
              </w:rPr>
            </w:pPr>
            <w:r w:rsidRPr="00D40154">
              <w:rPr>
                <w:rFonts w:cs="Calibri"/>
                <w:sz w:val="20"/>
                <w:szCs w:val="20"/>
              </w:rPr>
              <w:t>Other general tariff exemptions</w:t>
            </w:r>
          </w:p>
        </w:tc>
        <w:tc>
          <w:tcPr>
            <w:tcW w:w="815" w:type="dxa"/>
            <w:shd w:val="clear" w:color="auto" w:fill="auto"/>
            <w:noWrap/>
            <w:hideMark/>
          </w:tcPr>
          <w:p w14:paraId="16D1500B"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20.6</w:t>
            </w:r>
          </w:p>
        </w:tc>
        <w:tc>
          <w:tcPr>
            <w:tcW w:w="1072" w:type="dxa"/>
            <w:shd w:val="clear" w:color="auto" w:fill="auto"/>
            <w:noWrap/>
            <w:hideMark/>
          </w:tcPr>
          <w:p w14:paraId="76F86114"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0.2</w:t>
            </w:r>
          </w:p>
        </w:tc>
        <w:tc>
          <w:tcPr>
            <w:tcW w:w="1358" w:type="dxa"/>
            <w:shd w:val="clear" w:color="auto" w:fill="auto"/>
            <w:noWrap/>
            <w:hideMark/>
          </w:tcPr>
          <w:p w14:paraId="31B1271D"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0.2</w:t>
            </w:r>
          </w:p>
        </w:tc>
        <w:tc>
          <w:tcPr>
            <w:tcW w:w="990" w:type="dxa"/>
            <w:shd w:val="clear" w:color="auto" w:fill="auto"/>
            <w:noWrap/>
            <w:hideMark/>
          </w:tcPr>
          <w:p w14:paraId="74365E45"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1.4</w:t>
            </w:r>
          </w:p>
        </w:tc>
        <w:tc>
          <w:tcPr>
            <w:tcW w:w="810" w:type="dxa"/>
            <w:shd w:val="clear" w:color="auto" w:fill="auto"/>
            <w:noWrap/>
            <w:hideMark/>
          </w:tcPr>
          <w:p w14:paraId="64CB7BFE"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22.3</w:t>
            </w:r>
          </w:p>
        </w:tc>
        <w:tc>
          <w:tcPr>
            <w:tcW w:w="900" w:type="dxa"/>
            <w:shd w:val="clear" w:color="auto" w:fill="auto"/>
          </w:tcPr>
          <w:p w14:paraId="6D60B416" w14:textId="77777777" w:rsidR="00D15C7D" w:rsidRPr="00D40154" w:rsidRDefault="00D15C7D" w:rsidP="00D15C7D">
            <w:pPr>
              <w:spacing w:before="6" w:after="6"/>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3%</w:t>
            </w:r>
          </w:p>
        </w:tc>
      </w:tr>
      <w:tr w:rsidR="00D15C7D" w:rsidRPr="00D40154" w14:paraId="536834E7" w14:textId="77777777" w:rsidTr="00D15C7D">
        <w:trPr>
          <w:trHeight w:val="125"/>
        </w:trPr>
        <w:tc>
          <w:tcPr>
            <w:cnfStyle w:val="001000000000" w:firstRow="0" w:lastRow="0" w:firstColumn="1" w:lastColumn="0" w:oddVBand="0" w:evenVBand="0" w:oddHBand="0" w:evenHBand="0" w:firstRowFirstColumn="0" w:firstRowLastColumn="0" w:lastRowFirstColumn="0" w:lastRowLastColumn="0"/>
            <w:tcW w:w="3500" w:type="dxa"/>
            <w:vAlign w:val="center"/>
            <w:hideMark/>
          </w:tcPr>
          <w:p w14:paraId="685F166E" w14:textId="77777777" w:rsidR="00D15C7D" w:rsidRPr="00D40154" w:rsidRDefault="00D15C7D" w:rsidP="00D15C7D">
            <w:pPr>
              <w:spacing w:before="6" w:after="6"/>
              <w:rPr>
                <w:rFonts w:cs="Calibri"/>
                <w:sz w:val="20"/>
                <w:szCs w:val="20"/>
              </w:rPr>
            </w:pPr>
            <w:r w:rsidRPr="00D40154">
              <w:rPr>
                <w:rFonts w:cs="Calibri"/>
                <w:sz w:val="20"/>
                <w:szCs w:val="20"/>
              </w:rPr>
              <w:t>Total</w:t>
            </w:r>
          </w:p>
        </w:tc>
        <w:tc>
          <w:tcPr>
            <w:tcW w:w="815" w:type="dxa"/>
            <w:noWrap/>
            <w:vAlign w:val="center"/>
            <w:hideMark/>
          </w:tcPr>
          <w:p w14:paraId="22EC69E8"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D40154">
              <w:rPr>
                <w:rFonts w:cs="Calibri"/>
                <w:b/>
                <w:sz w:val="20"/>
                <w:szCs w:val="20"/>
              </w:rPr>
              <w:t>693.3</w:t>
            </w:r>
          </w:p>
        </w:tc>
        <w:tc>
          <w:tcPr>
            <w:tcW w:w="1072" w:type="dxa"/>
            <w:noWrap/>
            <w:vAlign w:val="center"/>
            <w:hideMark/>
          </w:tcPr>
          <w:p w14:paraId="62A7AAFE"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D40154">
              <w:rPr>
                <w:rFonts w:cs="Calibri"/>
                <w:b/>
                <w:sz w:val="20"/>
                <w:szCs w:val="20"/>
              </w:rPr>
              <w:t>18.9</w:t>
            </w:r>
          </w:p>
        </w:tc>
        <w:tc>
          <w:tcPr>
            <w:tcW w:w="1358" w:type="dxa"/>
            <w:noWrap/>
            <w:vAlign w:val="center"/>
            <w:hideMark/>
          </w:tcPr>
          <w:p w14:paraId="5557B793"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D40154">
              <w:rPr>
                <w:rFonts w:cs="Calibri"/>
                <w:b/>
                <w:sz w:val="20"/>
                <w:szCs w:val="20"/>
              </w:rPr>
              <w:t>17.6</w:t>
            </w:r>
          </w:p>
        </w:tc>
        <w:tc>
          <w:tcPr>
            <w:tcW w:w="990" w:type="dxa"/>
            <w:noWrap/>
            <w:vAlign w:val="center"/>
            <w:hideMark/>
          </w:tcPr>
          <w:p w14:paraId="212A726C"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D40154">
              <w:rPr>
                <w:rFonts w:cs="Calibri"/>
                <w:b/>
                <w:sz w:val="20"/>
                <w:szCs w:val="20"/>
              </w:rPr>
              <w:t>67.2</w:t>
            </w:r>
          </w:p>
        </w:tc>
        <w:tc>
          <w:tcPr>
            <w:tcW w:w="810" w:type="dxa"/>
            <w:noWrap/>
            <w:vAlign w:val="center"/>
            <w:hideMark/>
          </w:tcPr>
          <w:p w14:paraId="747461E9"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D40154">
              <w:rPr>
                <w:rFonts w:cs="Calibri"/>
                <w:b/>
                <w:sz w:val="20"/>
                <w:szCs w:val="20"/>
              </w:rPr>
              <w:t>797.0</w:t>
            </w:r>
          </w:p>
        </w:tc>
        <w:tc>
          <w:tcPr>
            <w:tcW w:w="900" w:type="dxa"/>
            <w:vAlign w:val="center"/>
          </w:tcPr>
          <w:p w14:paraId="2FDD2F31" w14:textId="77777777" w:rsidR="00D15C7D" w:rsidRPr="00D40154" w:rsidRDefault="00D15C7D" w:rsidP="00D15C7D">
            <w:pPr>
              <w:spacing w:before="6" w:after="6"/>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D40154">
              <w:rPr>
                <w:rFonts w:cs="Calibri"/>
                <w:b/>
                <w:sz w:val="20"/>
                <w:szCs w:val="20"/>
              </w:rPr>
              <w:t>100%</w:t>
            </w:r>
          </w:p>
        </w:tc>
      </w:tr>
    </w:tbl>
    <w:p w14:paraId="5FC27468" w14:textId="77777777" w:rsidR="00D15C7D" w:rsidRPr="00696A40" w:rsidRDefault="00D15C7D" w:rsidP="00D15C7D">
      <w:pPr>
        <w:spacing w:after="100" w:afterAutospacing="1"/>
        <w:jc w:val="both"/>
        <w:rPr>
          <w:rFonts w:ascii="Garamond" w:hAnsi="Garamond" w:cs="Calibri"/>
          <w:sz w:val="20"/>
          <w:szCs w:val="20"/>
        </w:rPr>
      </w:pPr>
      <w:r w:rsidRPr="00696A40">
        <w:rPr>
          <w:rFonts w:ascii="Garamond" w:hAnsi="Garamond" w:cs="Calibri"/>
          <w:sz w:val="20"/>
          <w:szCs w:val="20"/>
        </w:rPr>
        <w:t xml:space="preserve">Source: World Bank </w:t>
      </w:r>
      <w:r>
        <w:rPr>
          <w:rFonts w:ascii="Garamond" w:hAnsi="Garamond" w:cs="Calibri"/>
          <w:sz w:val="20"/>
          <w:szCs w:val="20"/>
        </w:rPr>
        <w:t>s</w:t>
      </w:r>
      <w:r w:rsidRPr="00696A40">
        <w:rPr>
          <w:rFonts w:ascii="Garamond" w:hAnsi="Garamond" w:cs="Calibri"/>
          <w:sz w:val="20"/>
          <w:szCs w:val="20"/>
        </w:rPr>
        <w:t xml:space="preserve">taff </w:t>
      </w:r>
      <w:r>
        <w:rPr>
          <w:rFonts w:ascii="Garamond" w:hAnsi="Garamond" w:cs="Calibri"/>
          <w:sz w:val="20"/>
          <w:szCs w:val="20"/>
        </w:rPr>
        <w:t>c</w:t>
      </w:r>
      <w:r w:rsidRPr="00696A40">
        <w:rPr>
          <w:rFonts w:ascii="Garamond" w:hAnsi="Garamond" w:cs="Calibri"/>
          <w:sz w:val="20"/>
          <w:szCs w:val="20"/>
        </w:rPr>
        <w:t>alculations</w:t>
      </w:r>
    </w:p>
    <w:p w14:paraId="41F8A89A" w14:textId="77777777" w:rsidR="00D15C7D" w:rsidRDefault="00D15C7D" w:rsidP="00D15C7D">
      <w:pPr>
        <w:pStyle w:val="ListParagraph"/>
        <w:numPr>
          <w:ilvl w:val="0"/>
          <w:numId w:val="4"/>
        </w:numPr>
        <w:spacing w:before="240"/>
      </w:pPr>
      <w:r w:rsidRPr="00F17B09">
        <w:rPr>
          <w:b/>
        </w:rPr>
        <w:lastRenderedPageBreak/>
        <w:t xml:space="preserve">Trade-related tax expenditures have increased </w:t>
      </w:r>
      <w:r>
        <w:rPr>
          <w:b/>
        </w:rPr>
        <w:t>considerably</w:t>
      </w:r>
      <w:r w:rsidRPr="00F17B09">
        <w:rPr>
          <w:b/>
        </w:rPr>
        <w:t xml:space="preserve"> since 2010.</w:t>
      </w:r>
      <w:r w:rsidRPr="00F17B09">
        <w:t xml:space="preserve"> While data constraints are significant,</w:t>
      </w:r>
      <w:r w:rsidRPr="00F17B09">
        <w:rPr>
          <w:rStyle w:val="FootnoteReference"/>
        </w:rPr>
        <w:footnoteReference w:id="48"/>
      </w:r>
      <w:r w:rsidRPr="00F17B09">
        <w:t xml:space="preserve"> import</w:t>
      </w:r>
      <w:r>
        <w:t>-</w:t>
      </w:r>
      <w:r w:rsidRPr="00F17B09">
        <w:t>duty exemptions under the special permits and manufacturing categories appear to have risen dramatically</w:t>
      </w:r>
      <w:r>
        <w:t xml:space="preserve"> (</w:t>
      </w:r>
      <w:r>
        <w:fldChar w:fldCharType="begin"/>
      </w:r>
      <w:r>
        <w:instrText xml:space="preserve"> REF _Ref472430059 \h </w:instrText>
      </w:r>
      <w:r>
        <w:fldChar w:fldCharType="separate"/>
      </w:r>
      <w:r w:rsidR="007B1CE6" w:rsidRPr="000A5B80">
        <w:t xml:space="preserve">Table </w:t>
      </w:r>
      <w:r w:rsidR="007B1CE6">
        <w:rPr>
          <w:noProof/>
        </w:rPr>
        <w:t>2</w:t>
      </w:r>
      <w:r w:rsidR="007B1CE6" w:rsidRPr="000A5B80">
        <w:t>.</w:t>
      </w:r>
      <w:r w:rsidR="007B1CE6">
        <w:rPr>
          <w:noProof/>
        </w:rPr>
        <w:t>8</w:t>
      </w:r>
      <w:r>
        <w:fldChar w:fldCharType="end"/>
      </w:r>
      <w:r>
        <w:t>)</w:t>
      </w:r>
      <w:r w:rsidRPr="00F17B09">
        <w:t xml:space="preserve">. Meanwhile, mining sector exemptions have remained relatively stable. </w:t>
      </w:r>
      <w:r>
        <w:t xml:space="preserve">GRA data indicate that </w:t>
      </w:r>
      <w:r w:rsidRPr="00F66808">
        <w:t xml:space="preserve">customs exemptions (including </w:t>
      </w:r>
      <w:r>
        <w:t xml:space="preserve">import </w:t>
      </w:r>
      <w:r w:rsidRPr="00F66808">
        <w:t>VAT</w:t>
      </w:r>
      <w:r>
        <w:t xml:space="preserve"> exemptions</w:t>
      </w:r>
      <w:r w:rsidRPr="00F66808">
        <w:t xml:space="preserve">) have increased significantly </w:t>
      </w:r>
      <w:r>
        <w:t>since 2013.</w:t>
      </w:r>
      <w:r>
        <w:rPr>
          <w:rStyle w:val="FootnoteReference"/>
        </w:rPr>
        <w:footnoteReference w:id="49"/>
      </w:r>
    </w:p>
    <w:p w14:paraId="7B68E838" w14:textId="77777777" w:rsidR="00D15C7D" w:rsidRPr="000A5B80" w:rsidRDefault="00D15C7D" w:rsidP="00D15C7D">
      <w:pPr>
        <w:pStyle w:val="Caption"/>
        <w:rPr>
          <w:lang w:val="en-US"/>
        </w:rPr>
      </w:pPr>
      <w:bookmarkStart w:id="83" w:name="_Ref472430059"/>
      <w:bookmarkStart w:id="84" w:name="_Toc478837629"/>
      <w:r w:rsidRPr="000A5B80">
        <w:rPr>
          <w:lang w:val="en-US"/>
        </w:rPr>
        <w:t xml:space="preserve">Table </w:t>
      </w:r>
      <w:r w:rsidR="00500291" w:rsidRPr="000A5B80">
        <w:rPr>
          <w:lang w:val="en-US"/>
        </w:rPr>
        <w:fldChar w:fldCharType="begin"/>
      </w:r>
      <w:r w:rsidR="00500291" w:rsidRPr="000A5B80">
        <w:rPr>
          <w:lang w:val="en-US"/>
        </w:rPr>
        <w:instrText xml:space="preserve"> STYLEREF 1 \s </w:instrText>
      </w:r>
      <w:r w:rsidR="00500291" w:rsidRPr="000A5B80">
        <w:rPr>
          <w:lang w:val="en-US"/>
        </w:rPr>
        <w:fldChar w:fldCharType="separate"/>
      </w:r>
      <w:r w:rsidR="007B1CE6">
        <w:rPr>
          <w:noProof/>
          <w:lang w:val="en-US"/>
        </w:rPr>
        <w:t>2</w:t>
      </w:r>
      <w:r w:rsidR="00500291" w:rsidRPr="000A5B80">
        <w:rPr>
          <w:lang w:val="en-US"/>
        </w:rPr>
        <w:fldChar w:fldCharType="end"/>
      </w:r>
      <w:r w:rsidR="00500291" w:rsidRPr="000A5B80">
        <w:rPr>
          <w:lang w:val="en-US"/>
        </w:rPr>
        <w:t>.</w:t>
      </w:r>
      <w:r w:rsidR="00500291" w:rsidRPr="000A5B80">
        <w:rPr>
          <w:lang w:val="en-US"/>
        </w:rPr>
        <w:fldChar w:fldCharType="begin"/>
      </w:r>
      <w:r w:rsidR="00500291" w:rsidRPr="000A5B80">
        <w:rPr>
          <w:lang w:val="en-US"/>
        </w:rPr>
        <w:instrText xml:space="preserve"> SEQ Table \* ARABIC \s 1 </w:instrText>
      </w:r>
      <w:r w:rsidR="00500291" w:rsidRPr="000A5B80">
        <w:rPr>
          <w:lang w:val="en-US"/>
        </w:rPr>
        <w:fldChar w:fldCharType="separate"/>
      </w:r>
      <w:r w:rsidR="007B1CE6">
        <w:rPr>
          <w:noProof/>
          <w:lang w:val="en-US"/>
        </w:rPr>
        <w:t>8</w:t>
      </w:r>
      <w:r w:rsidR="00500291" w:rsidRPr="000A5B80">
        <w:rPr>
          <w:lang w:val="en-US"/>
        </w:rPr>
        <w:fldChar w:fldCharType="end"/>
      </w:r>
      <w:bookmarkEnd w:id="83"/>
      <w:r w:rsidRPr="000A5B80">
        <w:rPr>
          <w:lang w:val="en-US"/>
        </w:rPr>
        <w:t>: Import Duty Exemptions, 2010-2013 (GH¢ millions)</w:t>
      </w:r>
      <w:bookmarkEnd w:id="84"/>
    </w:p>
    <w:tbl>
      <w:tblPr>
        <w:tblW w:w="8060" w:type="dxa"/>
        <w:jc w:val="center"/>
        <w:tblLook w:val="04A0" w:firstRow="1" w:lastRow="0" w:firstColumn="1" w:lastColumn="0" w:noHBand="0" w:noVBand="1"/>
      </w:tblPr>
      <w:tblGrid>
        <w:gridCol w:w="4310"/>
        <w:gridCol w:w="900"/>
        <w:gridCol w:w="990"/>
        <w:gridCol w:w="990"/>
        <w:gridCol w:w="870"/>
      </w:tblGrid>
      <w:tr w:rsidR="00D15C7D" w:rsidRPr="00D40154" w14:paraId="1D9F1077" w14:textId="77777777" w:rsidTr="00D15C7D">
        <w:trPr>
          <w:trHeight w:val="300"/>
          <w:jc w:val="center"/>
        </w:trPr>
        <w:tc>
          <w:tcPr>
            <w:tcW w:w="4310" w:type="dxa"/>
            <w:tcBorders>
              <w:top w:val="single" w:sz="8" w:space="0" w:color="auto"/>
              <w:left w:val="single" w:sz="8" w:space="0" w:color="auto"/>
              <w:bottom w:val="nil"/>
              <w:right w:val="single" w:sz="8" w:space="0" w:color="auto"/>
            </w:tcBorders>
            <w:shd w:val="clear" w:color="auto" w:fill="auto"/>
            <w:noWrap/>
            <w:vAlign w:val="center"/>
            <w:hideMark/>
          </w:tcPr>
          <w:p w14:paraId="02A1A91A" w14:textId="77777777" w:rsidR="00D15C7D" w:rsidRPr="00D40154" w:rsidRDefault="00D15C7D" w:rsidP="00D15C7D">
            <w:pPr>
              <w:keepNext/>
              <w:spacing w:after="0" w:line="240" w:lineRule="auto"/>
              <w:jc w:val="both"/>
              <w:rPr>
                <w:rFonts w:asciiTheme="minorHAnsi" w:eastAsia="Times New Roman" w:hAnsiTheme="minorHAnsi" w:cs="Times New Roman"/>
                <w:color w:val="000000"/>
              </w:rPr>
            </w:pPr>
            <w:r w:rsidRPr="00D40154">
              <w:rPr>
                <w:rFonts w:asciiTheme="minorHAnsi" w:eastAsia="Times New Roman" w:hAnsiTheme="minorHAnsi" w:cs="Calibri"/>
                <w:color w:val="000000"/>
              </w:rPr>
              <w:t> </w:t>
            </w:r>
          </w:p>
        </w:tc>
        <w:tc>
          <w:tcPr>
            <w:tcW w:w="900" w:type="dxa"/>
            <w:tcBorders>
              <w:top w:val="single" w:sz="8" w:space="0" w:color="auto"/>
              <w:left w:val="nil"/>
              <w:bottom w:val="nil"/>
              <w:right w:val="single" w:sz="8" w:space="0" w:color="auto"/>
            </w:tcBorders>
            <w:shd w:val="clear" w:color="auto" w:fill="auto"/>
            <w:vAlign w:val="center"/>
            <w:hideMark/>
          </w:tcPr>
          <w:p w14:paraId="0EE10E8F" w14:textId="77777777" w:rsidR="00D15C7D" w:rsidRPr="00D40154" w:rsidRDefault="00D15C7D" w:rsidP="00D15C7D">
            <w:pPr>
              <w:keepNext/>
              <w:spacing w:after="0" w:line="240" w:lineRule="auto"/>
              <w:jc w:val="center"/>
              <w:rPr>
                <w:rFonts w:asciiTheme="minorHAnsi" w:eastAsia="Times New Roman" w:hAnsiTheme="minorHAnsi" w:cs="Times New Roman"/>
                <w:b/>
                <w:bCs/>
                <w:color w:val="000000"/>
              </w:rPr>
            </w:pPr>
            <w:r w:rsidRPr="00D40154">
              <w:rPr>
                <w:rFonts w:asciiTheme="minorHAnsi" w:eastAsia="Times New Roman" w:hAnsiTheme="minorHAnsi" w:cs="Calibri"/>
                <w:b/>
                <w:bCs/>
                <w:color w:val="000000"/>
              </w:rPr>
              <w:t>2010</w:t>
            </w:r>
          </w:p>
        </w:tc>
        <w:tc>
          <w:tcPr>
            <w:tcW w:w="990" w:type="dxa"/>
            <w:tcBorders>
              <w:top w:val="single" w:sz="8" w:space="0" w:color="auto"/>
              <w:left w:val="nil"/>
              <w:bottom w:val="nil"/>
              <w:right w:val="single" w:sz="8" w:space="0" w:color="auto"/>
            </w:tcBorders>
            <w:shd w:val="clear" w:color="auto" w:fill="auto"/>
            <w:noWrap/>
            <w:vAlign w:val="center"/>
            <w:hideMark/>
          </w:tcPr>
          <w:p w14:paraId="6AF83BB2" w14:textId="77777777" w:rsidR="00D15C7D" w:rsidRPr="00D40154" w:rsidRDefault="00D15C7D" w:rsidP="00D15C7D">
            <w:pPr>
              <w:keepNext/>
              <w:spacing w:after="0" w:line="240" w:lineRule="auto"/>
              <w:jc w:val="center"/>
              <w:rPr>
                <w:rFonts w:asciiTheme="minorHAnsi" w:eastAsia="Times New Roman" w:hAnsiTheme="minorHAnsi" w:cs="Times New Roman"/>
                <w:b/>
                <w:bCs/>
                <w:color w:val="000000"/>
              </w:rPr>
            </w:pPr>
            <w:r w:rsidRPr="00D40154">
              <w:rPr>
                <w:rFonts w:asciiTheme="minorHAnsi" w:eastAsia="Times New Roman" w:hAnsiTheme="minorHAnsi" w:cs="Calibri"/>
                <w:b/>
                <w:bCs/>
                <w:color w:val="000000"/>
              </w:rPr>
              <w:t>2011</w:t>
            </w:r>
          </w:p>
        </w:tc>
        <w:tc>
          <w:tcPr>
            <w:tcW w:w="990" w:type="dxa"/>
            <w:tcBorders>
              <w:top w:val="single" w:sz="8" w:space="0" w:color="auto"/>
              <w:left w:val="nil"/>
              <w:bottom w:val="nil"/>
              <w:right w:val="single" w:sz="8" w:space="0" w:color="auto"/>
            </w:tcBorders>
            <w:shd w:val="clear" w:color="auto" w:fill="auto"/>
            <w:vAlign w:val="center"/>
            <w:hideMark/>
          </w:tcPr>
          <w:p w14:paraId="501711E6" w14:textId="77777777" w:rsidR="00D15C7D" w:rsidRPr="00D40154" w:rsidRDefault="00D15C7D" w:rsidP="00D15C7D">
            <w:pPr>
              <w:keepNext/>
              <w:spacing w:after="0" w:line="240" w:lineRule="auto"/>
              <w:jc w:val="center"/>
              <w:rPr>
                <w:rFonts w:asciiTheme="minorHAnsi" w:eastAsia="Times New Roman" w:hAnsiTheme="minorHAnsi" w:cs="Times New Roman"/>
                <w:b/>
                <w:bCs/>
                <w:color w:val="000000"/>
              </w:rPr>
            </w:pPr>
            <w:r w:rsidRPr="00D40154">
              <w:rPr>
                <w:rFonts w:asciiTheme="minorHAnsi" w:eastAsia="Times New Roman" w:hAnsiTheme="minorHAnsi" w:cs="Calibri"/>
                <w:b/>
                <w:bCs/>
                <w:color w:val="000000"/>
              </w:rPr>
              <w:t>2012</w:t>
            </w:r>
          </w:p>
        </w:tc>
        <w:tc>
          <w:tcPr>
            <w:tcW w:w="870" w:type="dxa"/>
            <w:tcBorders>
              <w:top w:val="single" w:sz="8" w:space="0" w:color="auto"/>
              <w:left w:val="nil"/>
              <w:bottom w:val="nil"/>
              <w:right w:val="single" w:sz="8" w:space="0" w:color="auto"/>
            </w:tcBorders>
            <w:shd w:val="clear" w:color="auto" w:fill="auto"/>
            <w:noWrap/>
            <w:vAlign w:val="center"/>
            <w:hideMark/>
          </w:tcPr>
          <w:p w14:paraId="201696AC" w14:textId="77777777" w:rsidR="00D15C7D" w:rsidRPr="00D40154" w:rsidRDefault="00D15C7D" w:rsidP="00D15C7D">
            <w:pPr>
              <w:keepNext/>
              <w:spacing w:after="0" w:line="240" w:lineRule="auto"/>
              <w:jc w:val="center"/>
              <w:rPr>
                <w:rFonts w:asciiTheme="minorHAnsi" w:eastAsia="Times New Roman" w:hAnsiTheme="minorHAnsi" w:cs="Times New Roman"/>
                <w:b/>
                <w:bCs/>
                <w:color w:val="000000"/>
              </w:rPr>
            </w:pPr>
            <w:r w:rsidRPr="00D40154">
              <w:rPr>
                <w:rFonts w:asciiTheme="minorHAnsi" w:eastAsia="Times New Roman" w:hAnsiTheme="minorHAnsi" w:cs="Calibri"/>
                <w:b/>
                <w:bCs/>
                <w:color w:val="000000"/>
              </w:rPr>
              <w:t>2013</w:t>
            </w:r>
          </w:p>
        </w:tc>
      </w:tr>
      <w:tr w:rsidR="00D15C7D" w:rsidRPr="00D40154" w14:paraId="4C2091C7" w14:textId="77777777" w:rsidTr="00D15C7D">
        <w:trPr>
          <w:trHeight w:val="288"/>
          <w:jc w:val="center"/>
        </w:trPr>
        <w:tc>
          <w:tcPr>
            <w:tcW w:w="4310" w:type="dxa"/>
            <w:tcBorders>
              <w:top w:val="single" w:sz="8" w:space="0" w:color="auto"/>
              <w:left w:val="single" w:sz="8" w:space="0" w:color="auto"/>
              <w:bottom w:val="nil"/>
              <w:right w:val="single" w:sz="8" w:space="0" w:color="auto"/>
            </w:tcBorders>
            <w:shd w:val="clear" w:color="000000" w:fill="FFFFFF"/>
            <w:noWrap/>
            <w:vAlign w:val="center"/>
            <w:hideMark/>
          </w:tcPr>
          <w:p w14:paraId="7A475FBF" w14:textId="77777777" w:rsidR="00D15C7D" w:rsidRPr="00D40154" w:rsidRDefault="00D15C7D" w:rsidP="00D15C7D">
            <w:pPr>
              <w:spacing w:after="0" w:line="240" w:lineRule="auto"/>
              <w:rPr>
                <w:rFonts w:asciiTheme="minorHAnsi" w:eastAsia="Times New Roman" w:hAnsiTheme="minorHAnsi" w:cs="Times New Roman"/>
                <w:color w:val="000000"/>
              </w:rPr>
            </w:pPr>
            <w:r w:rsidRPr="00D40154">
              <w:rPr>
                <w:rFonts w:asciiTheme="minorHAnsi" w:eastAsia="Times New Roman" w:hAnsiTheme="minorHAnsi" w:cs="Calibri"/>
                <w:color w:val="000000"/>
              </w:rPr>
              <w:t>Manufacturing</w:t>
            </w:r>
          </w:p>
        </w:tc>
        <w:tc>
          <w:tcPr>
            <w:tcW w:w="900" w:type="dxa"/>
            <w:tcBorders>
              <w:top w:val="single" w:sz="8" w:space="0" w:color="auto"/>
              <w:left w:val="nil"/>
              <w:bottom w:val="nil"/>
              <w:right w:val="single" w:sz="8" w:space="0" w:color="auto"/>
            </w:tcBorders>
            <w:shd w:val="clear" w:color="000000" w:fill="FFFFFF"/>
            <w:vAlign w:val="center"/>
            <w:hideMark/>
          </w:tcPr>
          <w:p w14:paraId="1F311D45"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107.9</w:t>
            </w:r>
          </w:p>
        </w:tc>
        <w:tc>
          <w:tcPr>
            <w:tcW w:w="990" w:type="dxa"/>
            <w:tcBorders>
              <w:top w:val="single" w:sz="8" w:space="0" w:color="auto"/>
              <w:left w:val="nil"/>
              <w:bottom w:val="nil"/>
              <w:right w:val="single" w:sz="8" w:space="0" w:color="auto"/>
            </w:tcBorders>
            <w:shd w:val="clear" w:color="000000" w:fill="FFFFFF"/>
            <w:noWrap/>
            <w:vAlign w:val="center"/>
            <w:hideMark/>
          </w:tcPr>
          <w:p w14:paraId="3A3CB5B6"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134.3</w:t>
            </w:r>
          </w:p>
        </w:tc>
        <w:tc>
          <w:tcPr>
            <w:tcW w:w="990" w:type="dxa"/>
            <w:tcBorders>
              <w:top w:val="single" w:sz="8" w:space="0" w:color="auto"/>
              <w:left w:val="nil"/>
              <w:bottom w:val="nil"/>
              <w:right w:val="single" w:sz="8" w:space="0" w:color="auto"/>
            </w:tcBorders>
            <w:shd w:val="clear" w:color="000000" w:fill="FFFFFF"/>
            <w:vAlign w:val="center"/>
            <w:hideMark/>
          </w:tcPr>
          <w:p w14:paraId="4613D232"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208.5*</w:t>
            </w:r>
          </w:p>
        </w:tc>
        <w:tc>
          <w:tcPr>
            <w:tcW w:w="870" w:type="dxa"/>
            <w:tcBorders>
              <w:top w:val="single" w:sz="8" w:space="0" w:color="auto"/>
              <w:left w:val="nil"/>
              <w:bottom w:val="nil"/>
              <w:right w:val="single" w:sz="8" w:space="0" w:color="auto"/>
            </w:tcBorders>
            <w:shd w:val="clear" w:color="000000" w:fill="FFFFFF"/>
            <w:vAlign w:val="center"/>
            <w:hideMark/>
          </w:tcPr>
          <w:p w14:paraId="0173A228"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187.9</w:t>
            </w:r>
          </w:p>
        </w:tc>
      </w:tr>
      <w:tr w:rsidR="00D15C7D" w:rsidRPr="00D40154" w14:paraId="5D2AD7CA" w14:textId="77777777" w:rsidTr="00D15C7D">
        <w:trPr>
          <w:trHeight w:val="288"/>
          <w:jc w:val="center"/>
        </w:trPr>
        <w:tc>
          <w:tcPr>
            <w:tcW w:w="4310" w:type="dxa"/>
            <w:tcBorders>
              <w:top w:val="nil"/>
              <w:left w:val="single" w:sz="8" w:space="0" w:color="auto"/>
              <w:bottom w:val="nil"/>
              <w:right w:val="single" w:sz="8" w:space="0" w:color="auto"/>
            </w:tcBorders>
            <w:shd w:val="clear" w:color="000000" w:fill="FFFFFF"/>
            <w:noWrap/>
            <w:vAlign w:val="center"/>
            <w:hideMark/>
          </w:tcPr>
          <w:p w14:paraId="18855072" w14:textId="77777777" w:rsidR="00D15C7D" w:rsidRPr="00D40154" w:rsidRDefault="00D15C7D" w:rsidP="00D15C7D">
            <w:pPr>
              <w:spacing w:after="0" w:line="240" w:lineRule="auto"/>
              <w:rPr>
                <w:rFonts w:asciiTheme="minorHAnsi" w:eastAsia="Times New Roman" w:hAnsiTheme="minorHAnsi" w:cs="Times New Roman"/>
                <w:color w:val="000000"/>
              </w:rPr>
            </w:pPr>
            <w:r w:rsidRPr="00D40154">
              <w:rPr>
                <w:rFonts w:asciiTheme="minorHAnsi" w:eastAsia="Times New Roman" w:hAnsiTheme="minorHAnsi" w:cs="Calibri"/>
                <w:color w:val="000000"/>
              </w:rPr>
              <w:t>Special permits pending Parliamentary approval</w:t>
            </w:r>
          </w:p>
        </w:tc>
        <w:tc>
          <w:tcPr>
            <w:tcW w:w="900" w:type="dxa"/>
            <w:tcBorders>
              <w:top w:val="nil"/>
              <w:left w:val="nil"/>
              <w:bottom w:val="nil"/>
              <w:right w:val="single" w:sz="8" w:space="0" w:color="auto"/>
            </w:tcBorders>
            <w:shd w:val="clear" w:color="000000" w:fill="FFFFFF"/>
            <w:vAlign w:val="center"/>
            <w:hideMark/>
          </w:tcPr>
          <w:p w14:paraId="4D6BD97D"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5</w:t>
            </w:r>
          </w:p>
        </w:tc>
        <w:tc>
          <w:tcPr>
            <w:tcW w:w="990" w:type="dxa"/>
            <w:tcBorders>
              <w:top w:val="nil"/>
              <w:left w:val="nil"/>
              <w:bottom w:val="nil"/>
              <w:right w:val="single" w:sz="8" w:space="0" w:color="auto"/>
            </w:tcBorders>
            <w:shd w:val="clear" w:color="000000" w:fill="FFFFFF"/>
            <w:noWrap/>
            <w:vAlign w:val="center"/>
            <w:hideMark/>
          </w:tcPr>
          <w:p w14:paraId="3D837377"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10.1</w:t>
            </w:r>
          </w:p>
        </w:tc>
        <w:tc>
          <w:tcPr>
            <w:tcW w:w="990" w:type="dxa"/>
            <w:tcBorders>
              <w:top w:val="nil"/>
              <w:left w:val="nil"/>
              <w:bottom w:val="nil"/>
              <w:right w:val="single" w:sz="8" w:space="0" w:color="auto"/>
            </w:tcBorders>
            <w:shd w:val="clear" w:color="000000" w:fill="FFFFFF"/>
            <w:vAlign w:val="center"/>
            <w:hideMark/>
          </w:tcPr>
          <w:p w14:paraId="76F17B03"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68.8*</w:t>
            </w:r>
          </w:p>
        </w:tc>
        <w:tc>
          <w:tcPr>
            <w:tcW w:w="870" w:type="dxa"/>
            <w:tcBorders>
              <w:top w:val="nil"/>
              <w:left w:val="nil"/>
              <w:bottom w:val="nil"/>
              <w:right w:val="single" w:sz="8" w:space="0" w:color="auto"/>
            </w:tcBorders>
            <w:shd w:val="clear" w:color="000000" w:fill="FFFFFF"/>
            <w:vAlign w:val="center"/>
            <w:hideMark/>
          </w:tcPr>
          <w:p w14:paraId="290919AD"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107.2</w:t>
            </w:r>
          </w:p>
        </w:tc>
      </w:tr>
      <w:tr w:rsidR="00D15C7D" w:rsidRPr="00D40154" w14:paraId="79BA7466" w14:textId="77777777" w:rsidTr="00D15C7D">
        <w:trPr>
          <w:trHeight w:val="288"/>
          <w:jc w:val="center"/>
        </w:trPr>
        <w:tc>
          <w:tcPr>
            <w:tcW w:w="4310" w:type="dxa"/>
            <w:tcBorders>
              <w:top w:val="nil"/>
              <w:left w:val="single" w:sz="8" w:space="0" w:color="auto"/>
              <w:bottom w:val="nil"/>
              <w:right w:val="single" w:sz="8" w:space="0" w:color="auto"/>
            </w:tcBorders>
            <w:shd w:val="clear" w:color="000000" w:fill="FFFFFF"/>
            <w:noWrap/>
            <w:vAlign w:val="center"/>
            <w:hideMark/>
          </w:tcPr>
          <w:p w14:paraId="4FA54755" w14:textId="77777777" w:rsidR="00D15C7D" w:rsidRPr="00D40154" w:rsidRDefault="00D15C7D" w:rsidP="00D15C7D">
            <w:pPr>
              <w:spacing w:after="0" w:line="240" w:lineRule="auto"/>
              <w:rPr>
                <w:rFonts w:asciiTheme="minorHAnsi" w:eastAsia="Times New Roman" w:hAnsiTheme="minorHAnsi" w:cs="Times New Roman"/>
                <w:color w:val="000000"/>
              </w:rPr>
            </w:pPr>
            <w:r w:rsidRPr="00D40154">
              <w:rPr>
                <w:rFonts w:asciiTheme="minorHAnsi" w:eastAsia="Times New Roman" w:hAnsiTheme="minorHAnsi" w:cs="Calibri"/>
                <w:color w:val="000000"/>
              </w:rPr>
              <w:t>Government agencies, privileged persons and organizations</w:t>
            </w:r>
          </w:p>
        </w:tc>
        <w:tc>
          <w:tcPr>
            <w:tcW w:w="900" w:type="dxa"/>
            <w:tcBorders>
              <w:top w:val="nil"/>
              <w:left w:val="nil"/>
              <w:bottom w:val="nil"/>
              <w:right w:val="single" w:sz="8" w:space="0" w:color="auto"/>
            </w:tcBorders>
            <w:shd w:val="clear" w:color="000000" w:fill="FFFFFF"/>
            <w:vAlign w:val="center"/>
            <w:hideMark/>
          </w:tcPr>
          <w:p w14:paraId="12AE77C0"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59.7</w:t>
            </w:r>
          </w:p>
        </w:tc>
        <w:tc>
          <w:tcPr>
            <w:tcW w:w="990" w:type="dxa"/>
            <w:tcBorders>
              <w:top w:val="nil"/>
              <w:left w:val="nil"/>
              <w:bottom w:val="nil"/>
              <w:right w:val="single" w:sz="8" w:space="0" w:color="auto"/>
            </w:tcBorders>
            <w:shd w:val="clear" w:color="000000" w:fill="FFFFFF"/>
            <w:noWrap/>
            <w:vAlign w:val="center"/>
            <w:hideMark/>
          </w:tcPr>
          <w:p w14:paraId="4A34BB7E"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57.8</w:t>
            </w:r>
          </w:p>
        </w:tc>
        <w:tc>
          <w:tcPr>
            <w:tcW w:w="990" w:type="dxa"/>
            <w:tcBorders>
              <w:top w:val="nil"/>
              <w:left w:val="nil"/>
              <w:bottom w:val="nil"/>
              <w:right w:val="single" w:sz="8" w:space="0" w:color="auto"/>
            </w:tcBorders>
            <w:shd w:val="clear" w:color="000000" w:fill="FFFFFF"/>
            <w:vAlign w:val="center"/>
            <w:hideMark/>
          </w:tcPr>
          <w:p w14:paraId="6409BA32"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105.5*</w:t>
            </w:r>
          </w:p>
        </w:tc>
        <w:tc>
          <w:tcPr>
            <w:tcW w:w="870" w:type="dxa"/>
            <w:tcBorders>
              <w:top w:val="nil"/>
              <w:left w:val="nil"/>
              <w:bottom w:val="nil"/>
              <w:right w:val="single" w:sz="8" w:space="0" w:color="auto"/>
            </w:tcBorders>
            <w:shd w:val="clear" w:color="000000" w:fill="FFFFFF"/>
            <w:vAlign w:val="center"/>
            <w:hideMark/>
          </w:tcPr>
          <w:p w14:paraId="6438FFCE"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92.1</w:t>
            </w:r>
          </w:p>
        </w:tc>
      </w:tr>
      <w:tr w:rsidR="00D15C7D" w:rsidRPr="00D40154" w14:paraId="757EF245" w14:textId="77777777" w:rsidTr="00D15C7D">
        <w:trPr>
          <w:trHeight w:val="288"/>
          <w:jc w:val="center"/>
        </w:trPr>
        <w:tc>
          <w:tcPr>
            <w:tcW w:w="4310" w:type="dxa"/>
            <w:tcBorders>
              <w:top w:val="nil"/>
              <w:left w:val="single" w:sz="8" w:space="0" w:color="auto"/>
              <w:bottom w:val="nil"/>
              <w:right w:val="single" w:sz="8" w:space="0" w:color="auto"/>
            </w:tcBorders>
            <w:shd w:val="clear" w:color="000000" w:fill="FFFFFF"/>
            <w:noWrap/>
            <w:vAlign w:val="center"/>
            <w:hideMark/>
          </w:tcPr>
          <w:p w14:paraId="011062D9" w14:textId="77777777" w:rsidR="00D15C7D" w:rsidRPr="00D40154" w:rsidRDefault="00D15C7D" w:rsidP="00D15C7D">
            <w:pPr>
              <w:spacing w:after="0" w:line="240" w:lineRule="auto"/>
              <w:rPr>
                <w:rFonts w:asciiTheme="minorHAnsi" w:eastAsia="Times New Roman" w:hAnsiTheme="minorHAnsi" w:cs="Times New Roman"/>
                <w:color w:val="000000"/>
              </w:rPr>
            </w:pPr>
            <w:r w:rsidRPr="00D40154">
              <w:rPr>
                <w:rFonts w:asciiTheme="minorHAnsi" w:eastAsia="Times New Roman" w:hAnsiTheme="minorHAnsi" w:cs="Calibri"/>
                <w:color w:val="000000"/>
              </w:rPr>
              <w:t>ECOWAS trade</w:t>
            </w:r>
          </w:p>
        </w:tc>
        <w:tc>
          <w:tcPr>
            <w:tcW w:w="900" w:type="dxa"/>
            <w:tcBorders>
              <w:top w:val="nil"/>
              <w:left w:val="nil"/>
              <w:bottom w:val="nil"/>
              <w:right w:val="single" w:sz="8" w:space="0" w:color="auto"/>
            </w:tcBorders>
            <w:shd w:val="clear" w:color="000000" w:fill="FFFFFF"/>
            <w:vAlign w:val="center"/>
            <w:hideMark/>
          </w:tcPr>
          <w:p w14:paraId="6CACC09F"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36.6</w:t>
            </w:r>
          </w:p>
        </w:tc>
        <w:tc>
          <w:tcPr>
            <w:tcW w:w="990" w:type="dxa"/>
            <w:tcBorders>
              <w:top w:val="nil"/>
              <w:left w:val="nil"/>
              <w:bottom w:val="nil"/>
              <w:right w:val="single" w:sz="8" w:space="0" w:color="auto"/>
            </w:tcBorders>
            <w:shd w:val="clear" w:color="000000" w:fill="FFFFFF"/>
            <w:noWrap/>
            <w:vAlign w:val="center"/>
            <w:hideMark/>
          </w:tcPr>
          <w:p w14:paraId="3A6690E5"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48.5</w:t>
            </w:r>
          </w:p>
        </w:tc>
        <w:tc>
          <w:tcPr>
            <w:tcW w:w="990" w:type="dxa"/>
            <w:tcBorders>
              <w:top w:val="nil"/>
              <w:left w:val="nil"/>
              <w:bottom w:val="nil"/>
              <w:right w:val="single" w:sz="8" w:space="0" w:color="auto"/>
            </w:tcBorders>
            <w:shd w:val="clear" w:color="000000" w:fill="FFFFFF"/>
            <w:vAlign w:val="center"/>
            <w:hideMark/>
          </w:tcPr>
          <w:p w14:paraId="0BD16D3F"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89.1</w:t>
            </w:r>
          </w:p>
        </w:tc>
        <w:tc>
          <w:tcPr>
            <w:tcW w:w="870" w:type="dxa"/>
            <w:tcBorders>
              <w:top w:val="nil"/>
              <w:left w:val="nil"/>
              <w:bottom w:val="nil"/>
              <w:right w:val="single" w:sz="8" w:space="0" w:color="auto"/>
            </w:tcBorders>
            <w:shd w:val="clear" w:color="000000" w:fill="FFFFFF"/>
            <w:vAlign w:val="center"/>
            <w:hideMark/>
          </w:tcPr>
          <w:p w14:paraId="7C58CB5F"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92</w:t>
            </w:r>
          </w:p>
        </w:tc>
      </w:tr>
      <w:tr w:rsidR="00D15C7D" w:rsidRPr="00D40154" w14:paraId="26A1D3EF" w14:textId="77777777" w:rsidTr="00D15C7D">
        <w:trPr>
          <w:trHeight w:val="288"/>
          <w:jc w:val="center"/>
        </w:trPr>
        <w:tc>
          <w:tcPr>
            <w:tcW w:w="4310" w:type="dxa"/>
            <w:tcBorders>
              <w:top w:val="nil"/>
              <w:left w:val="single" w:sz="8" w:space="0" w:color="auto"/>
              <w:bottom w:val="nil"/>
              <w:right w:val="single" w:sz="8" w:space="0" w:color="auto"/>
            </w:tcBorders>
            <w:shd w:val="clear" w:color="000000" w:fill="FFFFFF"/>
            <w:noWrap/>
            <w:vAlign w:val="center"/>
            <w:hideMark/>
          </w:tcPr>
          <w:p w14:paraId="22213D86" w14:textId="77777777" w:rsidR="00D15C7D" w:rsidRPr="00D40154" w:rsidRDefault="00D15C7D" w:rsidP="00D15C7D">
            <w:pPr>
              <w:spacing w:after="0" w:line="240" w:lineRule="auto"/>
              <w:rPr>
                <w:rFonts w:asciiTheme="minorHAnsi" w:eastAsia="Times New Roman" w:hAnsiTheme="minorHAnsi" w:cs="Times New Roman"/>
                <w:color w:val="000000"/>
              </w:rPr>
            </w:pPr>
            <w:r w:rsidRPr="00D40154">
              <w:rPr>
                <w:rFonts w:asciiTheme="minorHAnsi" w:eastAsia="Times New Roman" w:hAnsiTheme="minorHAnsi" w:cs="Calibri"/>
                <w:color w:val="000000"/>
              </w:rPr>
              <w:t>Exemptions by Parliament</w:t>
            </w:r>
          </w:p>
        </w:tc>
        <w:tc>
          <w:tcPr>
            <w:tcW w:w="900" w:type="dxa"/>
            <w:tcBorders>
              <w:top w:val="nil"/>
              <w:left w:val="nil"/>
              <w:bottom w:val="nil"/>
              <w:right w:val="single" w:sz="8" w:space="0" w:color="auto"/>
            </w:tcBorders>
            <w:shd w:val="clear" w:color="000000" w:fill="FFFFFF"/>
            <w:vAlign w:val="center"/>
            <w:hideMark/>
          </w:tcPr>
          <w:p w14:paraId="70420C47"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70.7</w:t>
            </w:r>
          </w:p>
        </w:tc>
        <w:tc>
          <w:tcPr>
            <w:tcW w:w="990" w:type="dxa"/>
            <w:tcBorders>
              <w:top w:val="nil"/>
              <w:left w:val="nil"/>
              <w:bottom w:val="nil"/>
              <w:right w:val="single" w:sz="8" w:space="0" w:color="auto"/>
            </w:tcBorders>
            <w:shd w:val="clear" w:color="000000" w:fill="FFFFFF"/>
            <w:noWrap/>
            <w:vAlign w:val="center"/>
            <w:hideMark/>
          </w:tcPr>
          <w:p w14:paraId="30DDEE63"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33.7</w:t>
            </w:r>
          </w:p>
        </w:tc>
        <w:tc>
          <w:tcPr>
            <w:tcW w:w="990" w:type="dxa"/>
            <w:tcBorders>
              <w:top w:val="nil"/>
              <w:left w:val="nil"/>
              <w:bottom w:val="nil"/>
              <w:right w:val="single" w:sz="8" w:space="0" w:color="auto"/>
            </w:tcBorders>
            <w:shd w:val="clear" w:color="000000" w:fill="FFFFFF"/>
            <w:vAlign w:val="center"/>
            <w:hideMark/>
          </w:tcPr>
          <w:p w14:paraId="4D0F29B3"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60.7</w:t>
            </w:r>
          </w:p>
        </w:tc>
        <w:tc>
          <w:tcPr>
            <w:tcW w:w="870" w:type="dxa"/>
            <w:tcBorders>
              <w:top w:val="nil"/>
              <w:left w:val="nil"/>
              <w:bottom w:val="nil"/>
              <w:right w:val="single" w:sz="8" w:space="0" w:color="auto"/>
            </w:tcBorders>
            <w:shd w:val="clear" w:color="000000" w:fill="FFFFFF"/>
            <w:vAlign w:val="center"/>
            <w:hideMark/>
          </w:tcPr>
          <w:p w14:paraId="59BF9AC8"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59.9</w:t>
            </w:r>
          </w:p>
        </w:tc>
      </w:tr>
      <w:tr w:rsidR="00D15C7D" w:rsidRPr="00D40154" w14:paraId="1280DC40" w14:textId="77777777" w:rsidTr="00D15C7D">
        <w:trPr>
          <w:trHeight w:val="288"/>
          <w:jc w:val="center"/>
        </w:trPr>
        <w:tc>
          <w:tcPr>
            <w:tcW w:w="4310" w:type="dxa"/>
            <w:tcBorders>
              <w:top w:val="nil"/>
              <w:left w:val="single" w:sz="8" w:space="0" w:color="auto"/>
              <w:bottom w:val="nil"/>
              <w:right w:val="single" w:sz="8" w:space="0" w:color="auto"/>
            </w:tcBorders>
            <w:shd w:val="clear" w:color="000000" w:fill="FFFFFF"/>
            <w:noWrap/>
            <w:vAlign w:val="center"/>
            <w:hideMark/>
          </w:tcPr>
          <w:p w14:paraId="294C332B" w14:textId="77777777" w:rsidR="00D15C7D" w:rsidRPr="00D40154" w:rsidRDefault="00D15C7D" w:rsidP="00D15C7D">
            <w:pPr>
              <w:spacing w:after="0" w:line="240" w:lineRule="auto"/>
              <w:rPr>
                <w:rFonts w:asciiTheme="minorHAnsi" w:eastAsia="Times New Roman" w:hAnsiTheme="minorHAnsi" w:cs="Times New Roman"/>
                <w:color w:val="000000"/>
              </w:rPr>
            </w:pPr>
            <w:r w:rsidRPr="00D40154">
              <w:rPr>
                <w:rFonts w:asciiTheme="minorHAnsi" w:eastAsia="Times New Roman" w:hAnsiTheme="minorHAnsi" w:cs="Calibri"/>
                <w:color w:val="000000"/>
              </w:rPr>
              <w:t>General exemptions</w:t>
            </w:r>
          </w:p>
        </w:tc>
        <w:tc>
          <w:tcPr>
            <w:tcW w:w="900" w:type="dxa"/>
            <w:tcBorders>
              <w:top w:val="nil"/>
              <w:left w:val="nil"/>
              <w:bottom w:val="nil"/>
              <w:right w:val="single" w:sz="8" w:space="0" w:color="auto"/>
            </w:tcBorders>
            <w:shd w:val="clear" w:color="000000" w:fill="FFFFFF"/>
            <w:vAlign w:val="center"/>
            <w:hideMark/>
          </w:tcPr>
          <w:p w14:paraId="6B53CD10"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47.2**</w:t>
            </w:r>
          </w:p>
        </w:tc>
        <w:tc>
          <w:tcPr>
            <w:tcW w:w="990" w:type="dxa"/>
            <w:tcBorders>
              <w:top w:val="nil"/>
              <w:left w:val="nil"/>
              <w:bottom w:val="nil"/>
              <w:right w:val="single" w:sz="8" w:space="0" w:color="auto"/>
            </w:tcBorders>
            <w:shd w:val="clear" w:color="000000" w:fill="FFFFFF"/>
            <w:noWrap/>
            <w:vAlign w:val="center"/>
            <w:hideMark/>
          </w:tcPr>
          <w:p w14:paraId="08EED3DB"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42.8**</w:t>
            </w:r>
          </w:p>
        </w:tc>
        <w:tc>
          <w:tcPr>
            <w:tcW w:w="990" w:type="dxa"/>
            <w:tcBorders>
              <w:top w:val="nil"/>
              <w:left w:val="nil"/>
              <w:bottom w:val="nil"/>
              <w:right w:val="single" w:sz="8" w:space="0" w:color="auto"/>
            </w:tcBorders>
            <w:shd w:val="clear" w:color="000000" w:fill="FFFFFF"/>
            <w:vAlign w:val="center"/>
            <w:hideMark/>
          </w:tcPr>
          <w:p w14:paraId="4D42218B"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64.4**</w:t>
            </w:r>
          </w:p>
        </w:tc>
        <w:tc>
          <w:tcPr>
            <w:tcW w:w="870" w:type="dxa"/>
            <w:tcBorders>
              <w:top w:val="nil"/>
              <w:left w:val="nil"/>
              <w:bottom w:val="nil"/>
              <w:right w:val="single" w:sz="8" w:space="0" w:color="auto"/>
            </w:tcBorders>
            <w:shd w:val="clear" w:color="000000" w:fill="FFFFFF"/>
            <w:vAlign w:val="center"/>
            <w:hideMark/>
          </w:tcPr>
          <w:p w14:paraId="7D0DB90B"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56.4</w:t>
            </w:r>
          </w:p>
        </w:tc>
      </w:tr>
      <w:tr w:rsidR="00D15C7D" w:rsidRPr="00D40154" w14:paraId="3589A54C" w14:textId="77777777" w:rsidTr="00D15C7D">
        <w:trPr>
          <w:trHeight w:val="288"/>
          <w:jc w:val="center"/>
        </w:trPr>
        <w:tc>
          <w:tcPr>
            <w:tcW w:w="4310" w:type="dxa"/>
            <w:tcBorders>
              <w:top w:val="nil"/>
              <w:left w:val="single" w:sz="8" w:space="0" w:color="auto"/>
              <w:bottom w:val="nil"/>
              <w:right w:val="single" w:sz="8" w:space="0" w:color="auto"/>
            </w:tcBorders>
            <w:shd w:val="clear" w:color="000000" w:fill="FFFFFF"/>
            <w:noWrap/>
            <w:vAlign w:val="center"/>
            <w:hideMark/>
          </w:tcPr>
          <w:p w14:paraId="748E4376" w14:textId="77777777" w:rsidR="00D15C7D" w:rsidRPr="00D40154" w:rsidRDefault="00D15C7D" w:rsidP="00D15C7D">
            <w:pPr>
              <w:spacing w:after="0" w:line="240" w:lineRule="auto"/>
              <w:rPr>
                <w:rFonts w:asciiTheme="minorHAnsi" w:eastAsia="Times New Roman" w:hAnsiTheme="minorHAnsi" w:cs="Times New Roman"/>
                <w:color w:val="000000"/>
              </w:rPr>
            </w:pPr>
            <w:r w:rsidRPr="00D40154">
              <w:rPr>
                <w:rFonts w:asciiTheme="minorHAnsi" w:eastAsia="Times New Roman" w:hAnsiTheme="minorHAnsi" w:cs="Calibri"/>
                <w:color w:val="000000"/>
              </w:rPr>
              <w:t>Mining</w:t>
            </w:r>
          </w:p>
        </w:tc>
        <w:tc>
          <w:tcPr>
            <w:tcW w:w="900" w:type="dxa"/>
            <w:tcBorders>
              <w:top w:val="nil"/>
              <w:left w:val="nil"/>
              <w:bottom w:val="nil"/>
              <w:right w:val="single" w:sz="8" w:space="0" w:color="auto"/>
            </w:tcBorders>
            <w:shd w:val="clear" w:color="000000" w:fill="FFFFFF"/>
            <w:vAlign w:val="center"/>
            <w:hideMark/>
          </w:tcPr>
          <w:p w14:paraId="10BEF943"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36</w:t>
            </w:r>
          </w:p>
        </w:tc>
        <w:tc>
          <w:tcPr>
            <w:tcW w:w="990" w:type="dxa"/>
            <w:tcBorders>
              <w:top w:val="nil"/>
              <w:left w:val="nil"/>
              <w:bottom w:val="nil"/>
              <w:right w:val="single" w:sz="8" w:space="0" w:color="auto"/>
            </w:tcBorders>
            <w:shd w:val="clear" w:color="000000" w:fill="FFFFFF"/>
            <w:noWrap/>
            <w:vAlign w:val="center"/>
            <w:hideMark/>
          </w:tcPr>
          <w:p w14:paraId="096D2854"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47.5</w:t>
            </w:r>
          </w:p>
        </w:tc>
        <w:tc>
          <w:tcPr>
            <w:tcW w:w="990" w:type="dxa"/>
            <w:tcBorders>
              <w:top w:val="nil"/>
              <w:left w:val="nil"/>
              <w:bottom w:val="nil"/>
              <w:right w:val="single" w:sz="8" w:space="0" w:color="auto"/>
            </w:tcBorders>
            <w:shd w:val="clear" w:color="000000" w:fill="FFFFFF"/>
            <w:vAlign w:val="center"/>
            <w:hideMark/>
          </w:tcPr>
          <w:p w14:paraId="3BB0DFB4"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65.3</w:t>
            </w:r>
          </w:p>
        </w:tc>
        <w:tc>
          <w:tcPr>
            <w:tcW w:w="870" w:type="dxa"/>
            <w:tcBorders>
              <w:top w:val="nil"/>
              <w:left w:val="nil"/>
              <w:bottom w:val="nil"/>
              <w:right w:val="single" w:sz="8" w:space="0" w:color="auto"/>
            </w:tcBorders>
            <w:shd w:val="clear" w:color="000000" w:fill="FFFFFF"/>
            <w:vAlign w:val="center"/>
            <w:hideMark/>
          </w:tcPr>
          <w:p w14:paraId="0B82D748"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49.5</w:t>
            </w:r>
          </w:p>
        </w:tc>
      </w:tr>
      <w:tr w:rsidR="00D15C7D" w:rsidRPr="00D40154" w14:paraId="5DC1CA51" w14:textId="77777777" w:rsidTr="00D15C7D">
        <w:trPr>
          <w:trHeight w:val="288"/>
          <w:jc w:val="center"/>
        </w:trPr>
        <w:tc>
          <w:tcPr>
            <w:tcW w:w="4310" w:type="dxa"/>
            <w:tcBorders>
              <w:top w:val="nil"/>
              <w:left w:val="single" w:sz="8" w:space="0" w:color="auto"/>
              <w:bottom w:val="nil"/>
              <w:right w:val="single" w:sz="8" w:space="0" w:color="auto"/>
            </w:tcBorders>
            <w:shd w:val="clear" w:color="000000" w:fill="FFFFFF"/>
            <w:noWrap/>
            <w:vAlign w:val="center"/>
            <w:hideMark/>
          </w:tcPr>
          <w:p w14:paraId="7C971AAA" w14:textId="77777777" w:rsidR="00D15C7D" w:rsidRPr="00D40154" w:rsidRDefault="00D15C7D" w:rsidP="00D15C7D">
            <w:pPr>
              <w:spacing w:after="0" w:line="240" w:lineRule="auto"/>
              <w:rPr>
                <w:rFonts w:asciiTheme="minorHAnsi" w:eastAsia="Times New Roman" w:hAnsiTheme="minorHAnsi" w:cs="Times New Roman"/>
                <w:color w:val="000000"/>
              </w:rPr>
            </w:pPr>
            <w:r w:rsidRPr="00D40154">
              <w:rPr>
                <w:rFonts w:asciiTheme="minorHAnsi" w:eastAsia="Times New Roman" w:hAnsiTheme="minorHAnsi" w:cs="Calibri"/>
                <w:color w:val="000000"/>
              </w:rPr>
              <w:t>The Ghana National Petroleum Corporation</w:t>
            </w:r>
          </w:p>
        </w:tc>
        <w:tc>
          <w:tcPr>
            <w:tcW w:w="900" w:type="dxa"/>
            <w:tcBorders>
              <w:top w:val="nil"/>
              <w:left w:val="nil"/>
              <w:bottom w:val="nil"/>
              <w:right w:val="single" w:sz="8" w:space="0" w:color="auto"/>
            </w:tcBorders>
            <w:shd w:val="clear" w:color="000000" w:fill="FFFFFF"/>
            <w:vAlign w:val="center"/>
            <w:hideMark/>
          </w:tcPr>
          <w:p w14:paraId="4BE6E597"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52.2</w:t>
            </w:r>
          </w:p>
        </w:tc>
        <w:tc>
          <w:tcPr>
            <w:tcW w:w="990" w:type="dxa"/>
            <w:tcBorders>
              <w:top w:val="nil"/>
              <w:left w:val="nil"/>
              <w:bottom w:val="nil"/>
              <w:right w:val="single" w:sz="8" w:space="0" w:color="auto"/>
            </w:tcBorders>
            <w:shd w:val="clear" w:color="000000" w:fill="FFFFFF"/>
            <w:noWrap/>
            <w:vAlign w:val="center"/>
            <w:hideMark/>
          </w:tcPr>
          <w:p w14:paraId="7402B92E"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32.5</w:t>
            </w:r>
          </w:p>
        </w:tc>
        <w:tc>
          <w:tcPr>
            <w:tcW w:w="990" w:type="dxa"/>
            <w:tcBorders>
              <w:top w:val="nil"/>
              <w:left w:val="nil"/>
              <w:bottom w:val="nil"/>
              <w:right w:val="single" w:sz="8" w:space="0" w:color="auto"/>
            </w:tcBorders>
            <w:shd w:val="clear" w:color="000000" w:fill="FFFFFF"/>
            <w:vAlign w:val="center"/>
            <w:hideMark/>
          </w:tcPr>
          <w:p w14:paraId="2787060F"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42.4</w:t>
            </w:r>
          </w:p>
        </w:tc>
        <w:tc>
          <w:tcPr>
            <w:tcW w:w="870" w:type="dxa"/>
            <w:tcBorders>
              <w:top w:val="nil"/>
              <w:left w:val="nil"/>
              <w:bottom w:val="nil"/>
              <w:right w:val="single" w:sz="8" w:space="0" w:color="auto"/>
            </w:tcBorders>
            <w:shd w:val="clear" w:color="000000" w:fill="FFFFFF"/>
            <w:vAlign w:val="center"/>
            <w:hideMark/>
          </w:tcPr>
          <w:p w14:paraId="02003A1B"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31.3</w:t>
            </w:r>
          </w:p>
        </w:tc>
      </w:tr>
      <w:tr w:rsidR="00D15C7D" w:rsidRPr="00D40154" w14:paraId="745D907E" w14:textId="77777777" w:rsidTr="00D15C7D">
        <w:trPr>
          <w:trHeight w:val="300"/>
          <w:jc w:val="center"/>
        </w:trPr>
        <w:tc>
          <w:tcPr>
            <w:tcW w:w="4310" w:type="dxa"/>
            <w:tcBorders>
              <w:top w:val="nil"/>
              <w:left w:val="single" w:sz="8" w:space="0" w:color="auto"/>
              <w:bottom w:val="single" w:sz="8" w:space="0" w:color="auto"/>
              <w:right w:val="single" w:sz="8" w:space="0" w:color="auto"/>
            </w:tcBorders>
            <w:shd w:val="clear" w:color="000000" w:fill="FFFFFF"/>
            <w:noWrap/>
            <w:vAlign w:val="center"/>
            <w:hideMark/>
          </w:tcPr>
          <w:p w14:paraId="6E7B5B38" w14:textId="77777777" w:rsidR="00D15C7D" w:rsidRPr="00D40154" w:rsidRDefault="00D15C7D" w:rsidP="00D15C7D">
            <w:pPr>
              <w:spacing w:after="0" w:line="240" w:lineRule="auto"/>
              <w:rPr>
                <w:rFonts w:asciiTheme="minorHAnsi" w:eastAsia="Times New Roman" w:hAnsiTheme="minorHAnsi" w:cs="Times New Roman"/>
                <w:color w:val="000000"/>
              </w:rPr>
            </w:pPr>
            <w:r w:rsidRPr="00D40154">
              <w:rPr>
                <w:rFonts w:asciiTheme="minorHAnsi" w:eastAsia="Times New Roman" w:hAnsiTheme="minorHAnsi" w:cs="Calibri"/>
                <w:color w:val="000000"/>
              </w:rPr>
              <w:t>The Ghana Investment Promotion Centre</w:t>
            </w:r>
          </w:p>
        </w:tc>
        <w:tc>
          <w:tcPr>
            <w:tcW w:w="900" w:type="dxa"/>
            <w:tcBorders>
              <w:top w:val="nil"/>
              <w:left w:val="nil"/>
              <w:bottom w:val="single" w:sz="8" w:space="0" w:color="auto"/>
              <w:right w:val="single" w:sz="8" w:space="0" w:color="auto"/>
            </w:tcBorders>
            <w:shd w:val="clear" w:color="000000" w:fill="FFFFFF"/>
            <w:vAlign w:val="center"/>
            <w:hideMark/>
          </w:tcPr>
          <w:p w14:paraId="0D67635D"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16.8</w:t>
            </w:r>
          </w:p>
        </w:tc>
        <w:tc>
          <w:tcPr>
            <w:tcW w:w="990" w:type="dxa"/>
            <w:tcBorders>
              <w:top w:val="nil"/>
              <w:left w:val="nil"/>
              <w:bottom w:val="single" w:sz="8" w:space="0" w:color="auto"/>
              <w:right w:val="single" w:sz="8" w:space="0" w:color="auto"/>
            </w:tcBorders>
            <w:shd w:val="clear" w:color="000000" w:fill="FFFFFF"/>
            <w:noWrap/>
            <w:vAlign w:val="center"/>
            <w:hideMark/>
          </w:tcPr>
          <w:p w14:paraId="525BAF8A"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26.7</w:t>
            </w:r>
          </w:p>
        </w:tc>
        <w:tc>
          <w:tcPr>
            <w:tcW w:w="990" w:type="dxa"/>
            <w:tcBorders>
              <w:top w:val="nil"/>
              <w:left w:val="nil"/>
              <w:bottom w:val="single" w:sz="8" w:space="0" w:color="auto"/>
              <w:right w:val="single" w:sz="8" w:space="0" w:color="auto"/>
            </w:tcBorders>
            <w:shd w:val="clear" w:color="000000" w:fill="FFFFFF"/>
            <w:vAlign w:val="center"/>
            <w:hideMark/>
          </w:tcPr>
          <w:p w14:paraId="226A2949"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18.2</w:t>
            </w:r>
          </w:p>
        </w:tc>
        <w:tc>
          <w:tcPr>
            <w:tcW w:w="870" w:type="dxa"/>
            <w:tcBorders>
              <w:top w:val="nil"/>
              <w:left w:val="nil"/>
              <w:bottom w:val="single" w:sz="8" w:space="0" w:color="auto"/>
              <w:right w:val="single" w:sz="8" w:space="0" w:color="auto"/>
            </w:tcBorders>
            <w:shd w:val="clear" w:color="000000" w:fill="FFFFFF"/>
            <w:vAlign w:val="center"/>
            <w:hideMark/>
          </w:tcPr>
          <w:p w14:paraId="5DBE9B6D" w14:textId="77777777" w:rsidR="00D15C7D" w:rsidRPr="00D40154" w:rsidRDefault="00D15C7D" w:rsidP="00D15C7D">
            <w:pPr>
              <w:spacing w:after="0" w:line="240" w:lineRule="auto"/>
              <w:jc w:val="right"/>
              <w:rPr>
                <w:rFonts w:asciiTheme="minorHAnsi" w:eastAsia="Times New Roman" w:hAnsiTheme="minorHAnsi" w:cs="Times New Roman"/>
                <w:color w:val="000000"/>
              </w:rPr>
            </w:pPr>
            <w:r w:rsidRPr="00D40154">
              <w:rPr>
                <w:rFonts w:asciiTheme="minorHAnsi" w:eastAsia="Times New Roman" w:hAnsiTheme="minorHAnsi" w:cs="Calibri"/>
                <w:color w:val="000000"/>
              </w:rPr>
              <w:t>17.1</w:t>
            </w:r>
          </w:p>
        </w:tc>
      </w:tr>
      <w:tr w:rsidR="00D15C7D" w:rsidRPr="00D40154" w14:paraId="55091DC6" w14:textId="77777777" w:rsidTr="00D15C7D">
        <w:trPr>
          <w:trHeight w:val="300"/>
          <w:jc w:val="center"/>
        </w:trPr>
        <w:tc>
          <w:tcPr>
            <w:tcW w:w="4310" w:type="dxa"/>
            <w:tcBorders>
              <w:top w:val="nil"/>
              <w:left w:val="single" w:sz="8" w:space="0" w:color="auto"/>
              <w:bottom w:val="single" w:sz="8" w:space="0" w:color="auto"/>
              <w:right w:val="single" w:sz="8" w:space="0" w:color="auto"/>
            </w:tcBorders>
            <w:shd w:val="clear" w:color="auto" w:fill="auto"/>
            <w:noWrap/>
            <w:vAlign w:val="center"/>
            <w:hideMark/>
          </w:tcPr>
          <w:p w14:paraId="447D2131" w14:textId="77777777" w:rsidR="00D15C7D" w:rsidRPr="00D40154" w:rsidRDefault="00D15C7D" w:rsidP="00D15C7D">
            <w:pPr>
              <w:spacing w:after="0" w:line="240" w:lineRule="auto"/>
              <w:rPr>
                <w:rFonts w:asciiTheme="minorHAnsi" w:eastAsia="Times New Roman" w:hAnsiTheme="minorHAnsi" w:cs="Times New Roman"/>
                <w:b/>
                <w:bCs/>
                <w:color w:val="000000"/>
              </w:rPr>
            </w:pPr>
            <w:r w:rsidRPr="00D40154">
              <w:rPr>
                <w:rFonts w:asciiTheme="minorHAnsi" w:eastAsia="Times New Roman" w:hAnsiTheme="minorHAnsi" w:cs="Calibri"/>
                <w:b/>
                <w:bCs/>
                <w:color w:val="000000"/>
              </w:rPr>
              <w:t>Total</w:t>
            </w:r>
          </w:p>
        </w:tc>
        <w:tc>
          <w:tcPr>
            <w:tcW w:w="900" w:type="dxa"/>
            <w:tcBorders>
              <w:top w:val="nil"/>
              <w:left w:val="nil"/>
              <w:bottom w:val="single" w:sz="8" w:space="0" w:color="auto"/>
              <w:right w:val="single" w:sz="8" w:space="0" w:color="auto"/>
            </w:tcBorders>
            <w:shd w:val="clear" w:color="auto" w:fill="auto"/>
            <w:vAlign w:val="center"/>
            <w:hideMark/>
          </w:tcPr>
          <w:p w14:paraId="0F6F328A" w14:textId="77777777" w:rsidR="00D15C7D" w:rsidRPr="00D40154" w:rsidRDefault="00D15C7D" w:rsidP="00D15C7D">
            <w:pPr>
              <w:spacing w:after="0" w:line="240" w:lineRule="auto"/>
              <w:jc w:val="right"/>
              <w:rPr>
                <w:rFonts w:asciiTheme="minorHAnsi" w:eastAsia="Times New Roman" w:hAnsiTheme="minorHAnsi" w:cs="Times New Roman"/>
                <w:b/>
                <w:bCs/>
                <w:color w:val="000000"/>
              </w:rPr>
            </w:pPr>
            <w:r w:rsidRPr="00D40154">
              <w:rPr>
                <w:rFonts w:asciiTheme="minorHAnsi" w:eastAsia="Times New Roman" w:hAnsiTheme="minorHAnsi" w:cs="Calibri"/>
                <w:b/>
                <w:bCs/>
                <w:color w:val="000000"/>
              </w:rPr>
              <w:t>432.1</w:t>
            </w:r>
          </w:p>
        </w:tc>
        <w:tc>
          <w:tcPr>
            <w:tcW w:w="990" w:type="dxa"/>
            <w:tcBorders>
              <w:top w:val="nil"/>
              <w:left w:val="nil"/>
              <w:bottom w:val="single" w:sz="8" w:space="0" w:color="auto"/>
              <w:right w:val="single" w:sz="8" w:space="0" w:color="auto"/>
            </w:tcBorders>
            <w:shd w:val="clear" w:color="auto" w:fill="auto"/>
            <w:noWrap/>
            <w:vAlign w:val="center"/>
            <w:hideMark/>
          </w:tcPr>
          <w:p w14:paraId="37F29487" w14:textId="77777777" w:rsidR="00D15C7D" w:rsidRPr="00D40154" w:rsidRDefault="00D15C7D" w:rsidP="00D15C7D">
            <w:pPr>
              <w:spacing w:after="0" w:line="240" w:lineRule="auto"/>
              <w:jc w:val="right"/>
              <w:rPr>
                <w:rFonts w:asciiTheme="minorHAnsi" w:eastAsia="Times New Roman" w:hAnsiTheme="minorHAnsi" w:cs="Times New Roman"/>
                <w:b/>
                <w:bCs/>
                <w:color w:val="000000"/>
              </w:rPr>
            </w:pPr>
            <w:r w:rsidRPr="00D40154">
              <w:rPr>
                <w:rFonts w:asciiTheme="minorHAnsi" w:eastAsia="Times New Roman" w:hAnsiTheme="minorHAnsi" w:cs="Calibri"/>
                <w:b/>
                <w:bCs/>
                <w:color w:val="000000"/>
              </w:rPr>
              <w:t>433.9</w:t>
            </w:r>
          </w:p>
        </w:tc>
        <w:tc>
          <w:tcPr>
            <w:tcW w:w="990" w:type="dxa"/>
            <w:tcBorders>
              <w:top w:val="nil"/>
              <w:left w:val="nil"/>
              <w:bottom w:val="single" w:sz="8" w:space="0" w:color="auto"/>
              <w:right w:val="single" w:sz="8" w:space="0" w:color="auto"/>
            </w:tcBorders>
            <w:shd w:val="clear" w:color="auto" w:fill="auto"/>
            <w:vAlign w:val="center"/>
            <w:hideMark/>
          </w:tcPr>
          <w:p w14:paraId="7038C1F4" w14:textId="77777777" w:rsidR="00D15C7D" w:rsidRPr="00D40154" w:rsidRDefault="00D15C7D" w:rsidP="00D15C7D">
            <w:pPr>
              <w:spacing w:after="0" w:line="240" w:lineRule="auto"/>
              <w:jc w:val="right"/>
              <w:rPr>
                <w:rFonts w:asciiTheme="minorHAnsi" w:eastAsia="Times New Roman" w:hAnsiTheme="minorHAnsi" w:cs="Times New Roman"/>
                <w:b/>
                <w:bCs/>
                <w:color w:val="000000"/>
              </w:rPr>
            </w:pPr>
            <w:r w:rsidRPr="00D40154">
              <w:rPr>
                <w:rFonts w:asciiTheme="minorHAnsi" w:eastAsia="Times New Roman" w:hAnsiTheme="minorHAnsi" w:cs="Calibri"/>
                <w:b/>
                <w:bCs/>
                <w:color w:val="000000"/>
              </w:rPr>
              <w:t>722.9</w:t>
            </w:r>
          </w:p>
        </w:tc>
        <w:tc>
          <w:tcPr>
            <w:tcW w:w="870" w:type="dxa"/>
            <w:tcBorders>
              <w:top w:val="nil"/>
              <w:left w:val="nil"/>
              <w:bottom w:val="single" w:sz="8" w:space="0" w:color="auto"/>
              <w:right w:val="single" w:sz="8" w:space="0" w:color="auto"/>
            </w:tcBorders>
            <w:shd w:val="clear" w:color="auto" w:fill="auto"/>
            <w:vAlign w:val="center"/>
            <w:hideMark/>
          </w:tcPr>
          <w:p w14:paraId="4C758F59" w14:textId="77777777" w:rsidR="00D15C7D" w:rsidRPr="00D40154" w:rsidRDefault="00D15C7D" w:rsidP="00D15C7D">
            <w:pPr>
              <w:spacing w:after="0" w:line="240" w:lineRule="auto"/>
              <w:jc w:val="right"/>
              <w:rPr>
                <w:rFonts w:asciiTheme="minorHAnsi" w:eastAsia="Times New Roman" w:hAnsiTheme="minorHAnsi" w:cs="Times New Roman"/>
                <w:b/>
                <w:bCs/>
                <w:color w:val="000000"/>
              </w:rPr>
            </w:pPr>
            <w:r w:rsidRPr="00D40154">
              <w:rPr>
                <w:rFonts w:asciiTheme="minorHAnsi" w:eastAsia="Times New Roman" w:hAnsiTheme="minorHAnsi" w:cs="Calibri"/>
                <w:b/>
                <w:bCs/>
                <w:color w:val="000000"/>
              </w:rPr>
              <w:t>693.4</w:t>
            </w:r>
          </w:p>
        </w:tc>
      </w:tr>
    </w:tbl>
    <w:p w14:paraId="59C829F7" w14:textId="77777777" w:rsidR="00D15C7D" w:rsidRPr="00F17B09" w:rsidRDefault="00D15C7D" w:rsidP="00D15C7D">
      <w:pPr>
        <w:spacing w:after="0" w:line="240" w:lineRule="auto"/>
        <w:ind w:left="720" w:right="720"/>
        <w:jc w:val="both"/>
        <w:rPr>
          <w:rFonts w:ascii="Garamond" w:hAnsi="Garamond" w:cs="Calibri"/>
          <w:sz w:val="20"/>
          <w:szCs w:val="20"/>
        </w:rPr>
      </w:pPr>
      <w:r w:rsidRPr="00696A40">
        <w:rPr>
          <w:rFonts w:ascii="Garamond" w:hAnsi="Garamond" w:cs="Calibri"/>
          <w:sz w:val="20"/>
          <w:szCs w:val="20"/>
        </w:rPr>
        <w:t xml:space="preserve">Source: World Bank </w:t>
      </w:r>
      <w:r>
        <w:rPr>
          <w:rFonts w:ascii="Garamond" w:hAnsi="Garamond" w:cs="Calibri"/>
          <w:sz w:val="20"/>
          <w:szCs w:val="20"/>
        </w:rPr>
        <w:t>s</w:t>
      </w:r>
      <w:r w:rsidRPr="00696A40">
        <w:rPr>
          <w:rFonts w:ascii="Garamond" w:hAnsi="Garamond" w:cs="Calibri"/>
          <w:sz w:val="20"/>
          <w:szCs w:val="20"/>
        </w:rPr>
        <w:t xml:space="preserve">taff </w:t>
      </w:r>
      <w:r>
        <w:rPr>
          <w:rFonts w:ascii="Garamond" w:hAnsi="Garamond" w:cs="Calibri"/>
          <w:sz w:val="20"/>
          <w:szCs w:val="20"/>
        </w:rPr>
        <w:t>c</w:t>
      </w:r>
      <w:r w:rsidRPr="00696A40">
        <w:rPr>
          <w:rFonts w:ascii="Garamond" w:hAnsi="Garamond" w:cs="Calibri"/>
          <w:sz w:val="20"/>
          <w:szCs w:val="20"/>
        </w:rPr>
        <w:t xml:space="preserve">alculations. </w:t>
      </w:r>
    </w:p>
    <w:p w14:paraId="6EFEDE4A" w14:textId="77777777" w:rsidR="00D15C7D" w:rsidRPr="00696A40" w:rsidRDefault="00D15C7D" w:rsidP="00D15C7D">
      <w:pPr>
        <w:spacing w:after="240" w:line="240" w:lineRule="auto"/>
        <w:ind w:left="720" w:right="720"/>
        <w:jc w:val="both"/>
        <w:rPr>
          <w:rFonts w:ascii="Garamond" w:hAnsi="Garamond" w:cs="Calibri"/>
          <w:sz w:val="20"/>
          <w:szCs w:val="20"/>
        </w:rPr>
      </w:pPr>
      <w:r w:rsidRPr="00F17B09">
        <w:rPr>
          <w:rFonts w:ascii="Garamond" w:hAnsi="Garamond" w:cs="Calibri"/>
          <w:sz w:val="20"/>
          <w:szCs w:val="20"/>
        </w:rPr>
        <w:t xml:space="preserve">Note: </w:t>
      </w:r>
      <w:r w:rsidRPr="00696A40">
        <w:rPr>
          <w:rFonts w:ascii="Garamond" w:hAnsi="Garamond" w:cs="Calibri"/>
          <w:sz w:val="20"/>
          <w:szCs w:val="20"/>
        </w:rPr>
        <w:t>*Estimated based on ratios for 2011 and 2013. **Estimated based on ratios in 2013</w:t>
      </w:r>
    </w:p>
    <w:p w14:paraId="42A2BCDC" w14:textId="7EA71BC8" w:rsidR="00D15C7D" w:rsidRPr="0017656F" w:rsidRDefault="00D15C7D" w:rsidP="00D15C7D">
      <w:pPr>
        <w:pStyle w:val="ListParagraph"/>
        <w:numPr>
          <w:ilvl w:val="0"/>
          <w:numId w:val="4"/>
        </w:numPr>
        <w:spacing w:before="240"/>
      </w:pPr>
      <w:r w:rsidRPr="00F75A6D">
        <w:rPr>
          <w:b/>
        </w:rPr>
        <w:t>Between</w:t>
      </w:r>
      <w:r w:rsidRPr="0017656F">
        <w:rPr>
          <w:b/>
        </w:rPr>
        <w:t xml:space="preserve"> 2010 and 2013</w:t>
      </w:r>
      <w:r w:rsidR="00085DD9">
        <w:rPr>
          <w:b/>
        </w:rPr>
        <w:t>,</w:t>
      </w:r>
      <w:r w:rsidRPr="0017656F">
        <w:rPr>
          <w:b/>
        </w:rPr>
        <w:t xml:space="preserve"> Ghana’s manufacturing sector received an average of 28 percent of all import</w:t>
      </w:r>
      <w:r>
        <w:rPr>
          <w:b/>
        </w:rPr>
        <w:t>-</w:t>
      </w:r>
      <w:r w:rsidRPr="0017656F">
        <w:rPr>
          <w:b/>
        </w:rPr>
        <w:t>duty exemptions, representing a total of GH¢ 10 million in foregone revenue.</w:t>
      </w:r>
      <w:r w:rsidRPr="0017656F">
        <w:t xml:space="preserve"> Some of these exemptions are controversial and should be reviewed. For instance, Ghana continues to exempt personal automobiles, which are a finished consumer good, not an input</w:t>
      </w:r>
      <w:r w:rsidR="00C35FB5">
        <w:t>.</w:t>
      </w:r>
      <w:r w:rsidR="00C35FB5" w:rsidRPr="0017656F">
        <w:t xml:space="preserve"> </w:t>
      </w:r>
      <w:r w:rsidRPr="0017656F">
        <w:t>The rationale for this exemption is unclear, as it does not appear to serve any identifiable social or economic policy objective.</w:t>
      </w:r>
    </w:p>
    <w:p w14:paraId="7834270D" w14:textId="77777777" w:rsidR="00D15C7D" w:rsidRPr="007A2B57" w:rsidRDefault="00D15C7D" w:rsidP="00D15C7D">
      <w:pPr>
        <w:pStyle w:val="ListParagraph"/>
        <w:numPr>
          <w:ilvl w:val="0"/>
          <w:numId w:val="4"/>
        </w:numPr>
        <w:spacing w:before="240"/>
      </w:pPr>
      <w:r w:rsidRPr="00A03D1E">
        <w:rPr>
          <w:b/>
        </w:rPr>
        <w:t xml:space="preserve">Trade-related tax expenditures are often part of a larger export-promotion strategy, and while they have proven </w:t>
      </w:r>
      <w:r w:rsidRPr="007A2B57">
        <w:rPr>
          <w:b/>
        </w:rPr>
        <w:t>effective in some countries, in others they have either had little impact or have given rise to perverse incentives</w:t>
      </w:r>
      <w:r w:rsidRPr="00A03D1E">
        <w:rPr>
          <w:b/>
        </w:rPr>
        <w:t>.</w:t>
      </w:r>
      <w:r w:rsidRPr="00A03D1E">
        <w:t xml:space="preserve"> South Africa’s Motor Industry Development Programme—which reduced import tariffs on auto parts, generating a significant increase in auto exports—is widely cited as a successful example of export-oriented tax incentives.</w:t>
      </w:r>
      <w:r w:rsidRPr="00A03D1E">
        <w:rPr>
          <w:rStyle w:val="FootnoteReference"/>
        </w:rPr>
        <w:footnoteReference w:id="50"/>
      </w:r>
      <w:r w:rsidRPr="00A03D1E">
        <w:t xml:space="preserve"> </w:t>
      </w:r>
      <w:r w:rsidRPr="007A2B57">
        <w:t xml:space="preserve">Similarly, Lesotho’s application of a 15 percent </w:t>
      </w:r>
      <w:r>
        <w:t xml:space="preserve">corporate income tax </w:t>
      </w:r>
      <w:r w:rsidRPr="007A2B57">
        <w:t xml:space="preserve">rate to its export-oriented manufacturing sector is credited with creating tens of thousands of jobs. </w:t>
      </w:r>
      <w:r w:rsidRPr="00A03D1E">
        <w:t>However, Tanzania’s export incentives have created far fewer jobs, while Bolivia’s use of tax credits for exporters gave rise to the phenomenon of “tourist cows,” in which cattle were moved back and forth across the border in order to generate export receipts.</w:t>
      </w:r>
      <w:r w:rsidRPr="00A03D1E">
        <w:rPr>
          <w:rStyle w:val="FootnoteReference"/>
        </w:rPr>
        <w:footnoteReference w:id="51"/>
      </w:r>
      <w:r w:rsidRPr="00A03D1E">
        <w:t xml:space="preserve"> In 2000</w:t>
      </w:r>
      <w:r>
        <w:t>,</w:t>
      </w:r>
      <w:r w:rsidRPr="00A03D1E">
        <w:t xml:space="preserve"> India removed export incentives for all firms except those located in export-processing zones, and while this had little effect on sales or investment behavior, a significant change </w:t>
      </w:r>
      <w:r w:rsidRPr="00A03D1E">
        <w:lastRenderedPageBreak/>
        <w:t xml:space="preserve">in profit reporting strongly suggested that profits were being diverted to firms in </w:t>
      </w:r>
      <w:r w:rsidRPr="007A2B57">
        <w:t xml:space="preserve">export-processing zones to take advantage of their favorable tax treatment. </w:t>
      </w:r>
      <w:r w:rsidRPr="00A03D1E">
        <w:t>Overall, the international experience shows that trade-related tax expenditures are most likely to succeed when they are part of a wider strategy that includes promoting competition in the domestic market and encouraging regional coordination.</w:t>
      </w:r>
      <w:r w:rsidRPr="00A03D1E">
        <w:rPr>
          <w:rStyle w:val="FootnoteReference"/>
        </w:rPr>
        <w:footnoteReference w:id="52"/>
      </w:r>
      <w:r w:rsidRPr="00A03D1E">
        <w:t xml:space="preserve"> Tax incentives</w:t>
      </w:r>
      <w:r>
        <w:t xml:space="preserve"> tend</w:t>
      </w:r>
      <w:r w:rsidRPr="00A03D1E">
        <w:t xml:space="preserve"> to be most effective in countries </w:t>
      </w:r>
      <w:r>
        <w:t>where</w:t>
      </w:r>
      <w:r w:rsidRPr="007A2B57">
        <w:t xml:space="preserve"> export industries are not dominated by a few large firms and where companies can easily operate across regional borders.</w:t>
      </w:r>
      <w:r w:rsidRPr="007A2B57">
        <w:rPr>
          <w:rStyle w:val="FootnoteReference"/>
        </w:rPr>
        <w:footnoteReference w:id="53"/>
      </w:r>
      <w:r w:rsidRPr="007A2B57">
        <w:t xml:space="preserve"> </w:t>
      </w:r>
    </w:p>
    <w:p w14:paraId="03CB037B" w14:textId="6BE1C65C" w:rsidR="00D15C7D" w:rsidRPr="007A2B57" w:rsidRDefault="00D15C7D" w:rsidP="00D15C7D">
      <w:pPr>
        <w:pStyle w:val="ListParagraph"/>
        <w:numPr>
          <w:ilvl w:val="0"/>
          <w:numId w:val="4"/>
        </w:numPr>
        <w:spacing w:before="240"/>
      </w:pPr>
      <w:r w:rsidRPr="00A03D1E">
        <w:rPr>
          <w:b/>
        </w:rPr>
        <w:t>The authorities should review and rationalize the exemptions regime for imports.</w:t>
      </w:r>
      <w:r w:rsidRPr="00A03D1E">
        <w:t xml:space="preserve"> While exemptions on final consumption </w:t>
      </w:r>
      <w:r w:rsidRPr="007A2B57">
        <w:t>items should be removed, those applied to manufacturing inputs and capital goods may be retained if they serve a clear policy purpose</w:t>
      </w:r>
      <w:r w:rsidRPr="00A03D1E">
        <w:t xml:space="preserve">. Meanwhile, the special permits should be phased out, and exemptions should only be applied to entire classes of goods and services as </w:t>
      </w:r>
      <w:r w:rsidRPr="007A2B57">
        <w:t xml:space="preserve">defined </w:t>
      </w:r>
      <w:r>
        <w:t xml:space="preserve">in </w:t>
      </w:r>
      <w:r w:rsidRPr="007A2B57">
        <w:t>the Harmonized Standard Code. This would reduce political discretion over exemptions and minimize opportunities for abuse.</w:t>
      </w:r>
    </w:p>
    <w:p w14:paraId="1E512C93" w14:textId="77777777" w:rsidR="00D15C7D" w:rsidRPr="00E45355" w:rsidRDefault="00D15C7D" w:rsidP="00D15C7D">
      <w:pPr>
        <w:pStyle w:val="Heading2"/>
      </w:pPr>
      <w:bookmarkStart w:id="85" w:name="_Toc479624881"/>
      <w:r w:rsidRPr="00E45355">
        <w:t>Corporate Income Tax Expenditures</w:t>
      </w:r>
      <w:bookmarkEnd w:id="85"/>
    </w:p>
    <w:p w14:paraId="2B27C14B" w14:textId="77777777" w:rsidR="00D15C7D" w:rsidRPr="00FC2299" w:rsidRDefault="00D15C7D" w:rsidP="00D15C7D">
      <w:pPr>
        <w:pStyle w:val="ListParagraph"/>
        <w:numPr>
          <w:ilvl w:val="0"/>
          <w:numId w:val="4"/>
        </w:numPr>
      </w:pPr>
      <w:r>
        <w:rPr>
          <w:b/>
        </w:rPr>
        <w:t>Corporate i</w:t>
      </w:r>
      <w:r w:rsidRPr="00FC2299">
        <w:rPr>
          <w:b/>
        </w:rPr>
        <w:t>ncome tax expenditures</w:t>
      </w:r>
      <w:r w:rsidRPr="00696A40">
        <w:rPr>
          <w:b/>
        </w:rPr>
        <w:t xml:space="preserve"> </w:t>
      </w:r>
      <w:r>
        <w:rPr>
          <w:b/>
        </w:rPr>
        <w:t>appear to have amounted to</w:t>
      </w:r>
      <w:r w:rsidRPr="00FC2299">
        <w:rPr>
          <w:b/>
        </w:rPr>
        <w:t xml:space="preserve"> GH¢</w:t>
      </w:r>
      <w:r>
        <w:rPr>
          <w:b/>
        </w:rPr>
        <w:t xml:space="preserve"> </w:t>
      </w:r>
      <w:r w:rsidRPr="00FC2299">
        <w:rPr>
          <w:b/>
        </w:rPr>
        <w:t>93 million</w:t>
      </w:r>
      <w:r w:rsidRPr="0017656F">
        <w:rPr>
          <w:b/>
        </w:rPr>
        <w:t xml:space="preserve"> </w:t>
      </w:r>
      <w:r w:rsidRPr="00FC2299">
        <w:rPr>
          <w:b/>
        </w:rPr>
        <w:t>in 2013, or 0.1</w:t>
      </w:r>
      <w:r>
        <w:rPr>
          <w:b/>
        </w:rPr>
        <w:t xml:space="preserve"> percent</w:t>
      </w:r>
      <w:r w:rsidRPr="00FC2299">
        <w:rPr>
          <w:b/>
        </w:rPr>
        <w:t xml:space="preserve"> of GDP,</w:t>
      </w:r>
      <w:r>
        <w:rPr>
          <w:b/>
        </w:rPr>
        <w:t xml:space="preserve"> but this figure may be significantly underestimated</w:t>
      </w:r>
      <w:r w:rsidRPr="00FC2299">
        <w:rPr>
          <w:b/>
        </w:rPr>
        <w:t xml:space="preserve">. </w:t>
      </w:r>
      <w:r w:rsidRPr="00FC2299">
        <w:t xml:space="preserve">This estimate </w:t>
      </w:r>
      <w:r>
        <w:t>was</w:t>
      </w:r>
      <w:r w:rsidRPr="00FC2299">
        <w:t xml:space="preserve"> based on income tax data collected from 516 companies</w:t>
      </w:r>
      <w:r>
        <w:t xml:space="preserve"> and may</w:t>
      </w:r>
      <w:r w:rsidRPr="00FC2299">
        <w:t xml:space="preserve"> not </w:t>
      </w:r>
      <w:r>
        <w:t>cover all relevant firms</w:t>
      </w:r>
      <w:r w:rsidRPr="00FC2299">
        <w:t xml:space="preserve"> (see Annex </w:t>
      </w:r>
      <w:r w:rsidR="00C20DC6">
        <w:t>2.5</w:t>
      </w:r>
      <w:r w:rsidRPr="00FC2299">
        <w:t>). Beneficiaries of income tax expenditures include hotels (137), free-zone developers (104)</w:t>
      </w:r>
      <w:r w:rsidR="00D53EB5">
        <w:rPr>
          <w:rStyle w:val="FootnoteReference"/>
        </w:rPr>
        <w:footnoteReference w:id="54"/>
      </w:r>
      <w:r w:rsidRPr="00FC2299">
        <w:t>, rural banks (87), cocoa-related agricultural firms, tree</w:t>
      </w:r>
      <w:r>
        <w:t>-</w:t>
      </w:r>
      <w:r w:rsidRPr="00FC2299">
        <w:t>crop farmers and livestock producers (64)</w:t>
      </w:r>
      <w:r w:rsidR="00405DDD">
        <w:t>,</w:t>
      </w:r>
      <w:r w:rsidRPr="00FC2299">
        <w:t xml:space="preserve"> and manufacturing companies located outside Accra and Tema (32). Free-zone developers received the largest share of income tax expenditures (GH¢</w:t>
      </w:r>
      <w:r>
        <w:t xml:space="preserve"> </w:t>
      </w:r>
      <w:r w:rsidRPr="00FC2299">
        <w:t xml:space="preserve">42.3 million), followed by manufacturing companies </w:t>
      </w:r>
      <w:r>
        <w:t xml:space="preserve">located </w:t>
      </w:r>
      <w:r w:rsidRPr="00FC2299">
        <w:t>outside Accra and Tema (GH¢</w:t>
      </w:r>
      <w:r>
        <w:t xml:space="preserve"> </w:t>
      </w:r>
      <w:r w:rsidRPr="00FC2299">
        <w:t>26.6 million) and rural banks (GH¢</w:t>
      </w:r>
      <w:r>
        <w:t xml:space="preserve"> </w:t>
      </w:r>
      <w:r w:rsidRPr="00FC2299">
        <w:t xml:space="preserve">11.7 million). </w:t>
      </w:r>
    </w:p>
    <w:p w14:paraId="2F2F356F" w14:textId="77777777" w:rsidR="00D15C7D" w:rsidRDefault="00D15C7D" w:rsidP="00D15C7D">
      <w:pPr>
        <w:pStyle w:val="Caption"/>
      </w:pPr>
      <w:bookmarkStart w:id="86" w:name="_Ref472430071"/>
      <w:bookmarkStart w:id="87" w:name="_Toc478837630"/>
      <w:r>
        <w:t xml:space="preserve">Table </w:t>
      </w:r>
      <w:r w:rsidR="00500291">
        <w:fldChar w:fldCharType="begin"/>
      </w:r>
      <w:r w:rsidR="00500291">
        <w:instrText xml:space="preserve"> STYLEREF 1 \s </w:instrText>
      </w:r>
      <w:r w:rsidR="00500291">
        <w:fldChar w:fldCharType="separate"/>
      </w:r>
      <w:r w:rsidR="007B1CE6">
        <w:rPr>
          <w:noProof/>
        </w:rPr>
        <w:t>2</w:t>
      </w:r>
      <w:r w:rsidR="00500291">
        <w:fldChar w:fldCharType="end"/>
      </w:r>
      <w:r w:rsidR="00500291">
        <w:t>.</w:t>
      </w:r>
      <w:r w:rsidR="00500291">
        <w:fldChar w:fldCharType="begin"/>
      </w:r>
      <w:r w:rsidR="00500291">
        <w:instrText xml:space="preserve"> SEQ Table \* ARABIC \s 1 </w:instrText>
      </w:r>
      <w:r w:rsidR="00500291">
        <w:fldChar w:fldCharType="separate"/>
      </w:r>
      <w:r w:rsidR="007B1CE6">
        <w:rPr>
          <w:noProof/>
        </w:rPr>
        <w:t>9</w:t>
      </w:r>
      <w:r w:rsidR="00500291">
        <w:fldChar w:fldCharType="end"/>
      </w:r>
      <w:bookmarkEnd w:id="86"/>
      <w:r>
        <w:t xml:space="preserve">: </w:t>
      </w:r>
      <w:r w:rsidRPr="00FC2299">
        <w:t>Income Tax Expenditures in Ghana, 2008-2013 (GH¢)</w:t>
      </w:r>
      <w:bookmarkEnd w:id="87"/>
    </w:p>
    <w:tbl>
      <w:tblPr>
        <w:tblStyle w:val="GridTable6Colorful"/>
        <w:tblW w:w="9350" w:type="dxa"/>
        <w:tblLook w:val="04A0" w:firstRow="1" w:lastRow="0" w:firstColumn="1" w:lastColumn="0" w:noHBand="0" w:noVBand="1"/>
      </w:tblPr>
      <w:tblGrid>
        <w:gridCol w:w="1867"/>
        <w:gridCol w:w="1273"/>
        <w:gridCol w:w="1198"/>
        <w:gridCol w:w="1198"/>
        <w:gridCol w:w="1306"/>
        <w:gridCol w:w="1306"/>
        <w:gridCol w:w="1202"/>
      </w:tblGrid>
      <w:tr w:rsidR="00D15C7D" w:rsidRPr="00D40154" w14:paraId="6ADB3E9E" w14:textId="77777777" w:rsidTr="00D15C7D">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67" w:type="dxa"/>
            <w:hideMark/>
          </w:tcPr>
          <w:p w14:paraId="4121BF56" w14:textId="77777777" w:rsidR="00D15C7D" w:rsidRPr="00D40154" w:rsidRDefault="00D15C7D" w:rsidP="00D15C7D">
            <w:pPr>
              <w:keepNext/>
              <w:spacing w:before="60" w:after="60"/>
              <w:rPr>
                <w:rFonts w:cs="Calibri"/>
                <w:sz w:val="20"/>
                <w:szCs w:val="20"/>
              </w:rPr>
            </w:pPr>
          </w:p>
        </w:tc>
        <w:tc>
          <w:tcPr>
            <w:tcW w:w="1273" w:type="dxa"/>
            <w:noWrap/>
            <w:hideMark/>
          </w:tcPr>
          <w:p w14:paraId="46B6222E" w14:textId="77777777" w:rsidR="00D15C7D" w:rsidRPr="00D40154" w:rsidRDefault="00D15C7D" w:rsidP="00D15C7D">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2008</w:t>
            </w:r>
          </w:p>
        </w:tc>
        <w:tc>
          <w:tcPr>
            <w:tcW w:w="1198" w:type="dxa"/>
            <w:hideMark/>
          </w:tcPr>
          <w:p w14:paraId="544A13AE" w14:textId="77777777" w:rsidR="00D15C7D" w:rsidRPr="00D40154" w:rsidRDefault="00D15C7D" w:rsidP="00D15C7D">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2009</w:t>
            </w:r>
          </w:p>
        </w:tc>
        <w:tc>
          <w:tcPr>
            <w:tcW w:w="1198" w:type="dxa"/>
            <w:noWrap/>
            <w:hideMark/>
          </w:tcPr>
          <w:p w14:paraId="38E1D34D" w14:textId="77777777" w:rsidR="00D15C7D" w:rsidRPr="00D40154" w:rsidRDefault="00D15C7D" w:rsidP="00D15C7D">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2010</w:t>
            </w:r>
          </w:p>
        </w:tc>
        <w:tc>
          <w:tcPr>
            <w:tcW w:w="1306" w:type="dxa"/>
            <w:noWrap/>
            <w:hideMark/>
          </w:tcPr>
          <w:p w14:paraId="4A7409B0" w14:textId="77777777" w:rsidR="00D15C7D" w:rsidRPr="00D40154" w:rsidRDefault="00D15C7D" w:rsidP="00D15C7D">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2011</w:t>
            </w:r>
          </w:p>
        </w:tc>
        <w:tc>
          <w:tcPr>
            <w:tcW w:w="1306" w:type="dxa"/>
            <w:noWrap/>
            <w:hideMark/>
          </w:tcPr>
          <w:p w14:paraId="60A4812C" w14:textId="77777777" w:rsidR="00D15C7D" w:rsidRPr="00D40154" w:rsidRDefault="00D15C7D" w:rsidP="00D15C7D">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2012</w:t>
            </w:r>
          </w:p>
        </w:tc>
        <w:tc>
          <w:tcPr>
            <w:tcW w:w="1202" w:type="dxa"/>
            <w:noWrap/>
            <w:hideMark/>
          </w:tcPr>
          <w:p w14:paraId="21FC65D4" w14:textId="77777777" w:rsidR="00D15C7D" w:rsidRPr="00D40154" w:rsidRDefault="00D15C7D" w:rsidP="00D15C7D">
            <w:pPr>
              <w:keepNext/>
              <w:spacing w:before="60" w:after="6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2013</w:t>
            </w:r>
          </w:p>
        </w:tc>
      </w:tr>
      <w:tr w:rsidR="00D15C7D" w:rsidRPr="00D40154" w14:paraId="610C69EE" w14:textId="77777777" w:rsidTr="00D15C7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67" w:type="dxa"/>
            <w:hideMark/>
          </w:tcPr>
          <w:p w14:paraId="77FE33F9" w14:textId="77777777" w:rsidR="00D15C7D" w:rsidRPr="00D40154" w:rsidRDefault="00D15C7D" w:rsidP="00D15C7D">
            <w:pPr>
              <w:spacing w:before="60" w:after="60"/>
              <w:rPr>
                <w:rFonts w:cs="Calibri"/>
                <w:sz w:val="20"/>
                <w:szCs w:val="20"/>
              </w:rPr>
            </w:pPr>
            <w:r w:rsidRPr="00D40154">
              <w:rPr>
                <w:rFonts w:cs="Calibri"/>
                <w:sz w:val="20"/>
                <w:szCs w:val="20"/>
              </w:rPr>
              <w:t>Agro-Processors*</w:t>
            </w:r>
          </w:p>
        </w:tc>
        <w:tc>
          <w:tcPr>
            <w:tcW w:w="1273" w:type="dxa"/>
            <w:noWrap/>
            <w:hideMark/>
          </w:tcPr>
          <w:p w14:paraId="6E1CCBF8"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w:t>
            </w:r>
          </w:p>
        </w:tc>
        <w:tc>
          <w:tcPr>
            <w:tcW w:w="1198" w:type="dxa"/>
            <w:noWrap/>
            <w:hideMark/>
          </w:tcPr>
          <w:p w14:paraId="61C9D450"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w:t>
            </w:r>
          </w:p>
        </w:tc>
        <w:tc>
          <w:tcPr>
            <w:tcW w:w="1198" w:type="dxa"/>
            <w:noWrap/>
            <w:hideMark/>
          </w:tcPr>
          <w:p w14:paraId="16E2FE92"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w:t>
            </w:r>
          </w:p>
        </w:tc>
        <w:tc>
          <w:tcPr>
            <w:tcW w:w="1306" w:type="dxa"/>
            <w:noWrap/>
            <w:hideMark/>
          </w:tcPr>
          <w:p w14:paraId="1D4CE408"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41,047</w:t>
            </w:r>
          </w:p>
        </w:tc>
        <w:tc>
          <w:tcPr>
            <w:tcW w:w="1306" w:type="dxa"/>
            <w:noWrap/>
            <w:hideMark/>
          </w:tcPr>
          <w:p w14:paraId="29D4DB34"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222,806</w:t>
            </w:r>
          </w:p>
        </w:tc>
        <w:tc>
          <w:tcPr>
            <w:tcW w:w="1202" w:type="dxa"/>
            <w:noWrap/>
            <w:hideMark/>
          </w:tcPr>
          <w:p w14:paraId="65EA1AA0"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508,336</w:t>
            </w:r>
          </w:p>
        </w:tc>
      </w:tr>
      <w:tr w:rsidR="00D15C7D" w:rsidRPr="00D40154" w14:paraId="3BD90BB9" w14:textId="77777777" w:rsidTr="00D15C7D">
        <w:trPr>
          <w:trHeight w:val="298"/>
        </w:trPr>
        <w:tc>
          <w:tcPr>
            <w:cnfStyle w:val="001000000000" w:firstRow="0" w:lastRow="0" w:firstColumn="1" w:lastColumn="0" w:oddVBand="0" w:evenVBand="0" w:oddHBand="0" w:evenHBand="0" w:firstRowFirstColumn="0" w:firstRowLastColumn="0" w:lastRowFirstColumn="0" w:lastRowLastColumn="0"/>
            <w:tcW w:w="1867" w:type="dxa"/>
            <w:noWrap/>
            <w:hideMark/>
          </w:tcPr>
          <w:p w14:paraId="3448A854" w14:textId="77777777" w:rsidR="00D15C7D" w:rsidRPr="00D40154" w:rsidRDefault="00D15C7D" w:rsidP="00D15C7D">
            <w:pPr>
              <w:spacing w:before="60" w:after="60"/>
              <w:rPr>
                <w:rFonts w:cs="Calibri"/>
                <w:sz w:val="20"/>
                <w:szCs w:val="20"/>
              </w:rPr>
            </w:pPr>
            <w:r w:rsidRPr="00D40154">
              <w:rPr>
                <w:rFonts w:cs="Calibri"/>
                <w:sz w:val="20"/>
                <w:szCs w:val="20"/>
              </w:rPr>
              <w:t>Companies Listed on the Ghana Stock Exchange</w:t>
            </w:r>
          </w:p>
        </w:tc>
        <w:tc>
          <w:tcPr>
            <w:tcW w:w="1273" w:type="dxa"/>
            <w:noWrap/>
            <w:hideMark/>
          </w:tcPr>
          <w:p w14:paraId="626E6253"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2,358,528</w:t>
            </w:r>
          </w:p>
        </w:tc>
        <w:tc>
          <w:tcPr>
            <w:tcW w:w="1198" w:type="dxa"/>
            <w:noWrap/>
            <w:hideMark/>
          </w:tcPr>
          <w:p w14:paraId="3FBEF2C1"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2,135,589</w:t>
            </w:r>
          </w:p>
        </w:tc>
        <w:tc>
          <w:tcPr>
            <w:tcW w:w="1198" w:type="dxa"/>
            <w:noWrap/>
            <w:hideMark/>
          </w:tcPr>
          <w:p w14:paraId="1B739F78"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1,939,650</w:t>
            </w:r>
          </w:p>
        </w:tc>
        <w:tc>
          <w:tcPr>
            <w:tcW w:w="1306" w:type="dxa"/>
            <w:noWrap/>
            <w:hideMark/>
          </w:tcPr>
          <w:p w14:paraId="3DB991C4"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6,506,747</w:t>
            </w:r>
          </w:p>
        </w:tc>
        <w:tc>
          <w:tcPr>
            <w:tcW w:w="1306" w:type="dxa"/>
            <w:noWrap/>
            <w:hideMark/>
          </w:tcPr>
          <w:p w14:paraId="1319D782"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5,103,563</w:t>
            </w:r>
          </w:p>
        </w:tc>
        <w:tc>
          <w:tcPr>
            <w:tcW w:w="1202" w:type="dxa"/>
            <w:noWrap/>
            <w:hideMark/>
          </w:tcPr>
          <w:p w14:paraId="616D5EC1"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5,866,520</w:t>
            </w:r>
          </w:p>
        </w:tc>
      </w:tr>
      <w:tr w:rsidR="00D15C7D" w:rsidRPr="00D40154" w14:paraId="063DA329" w14:textId="77777777" w:rsidTr="00D15C7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67" w:type="dxa"/>
            <w:noWrap/>
            <w:hideMark/>
          </w:tcPr>
          <w:p w14:paraId="10A38A7B" w14:textId="77777777" w:rsidR="00D15C7D" w:rsidRPr="00D40154" w:rsidRDefault="00D15C7D" w:rsidP="00D15C7D">
            <w:pPr>
              <w:spacing w:before="60" w:after="60"/>
              <w:rPr>
                <w:rFonts w:cs="Calibri"/>
                <w:sz w:val="20"/>
                <w:szCs w:val="20"/>
              </w:rPr>
            </w:pPr>
            <w:r w:rsidRPr="00D40154">
              <w:rPr>
                <w:rFonts w:cs="Calibri"/>
                <w:sz w:val="20"/>
                <w:szCs w:val="20"/>
              </w:rPr>
              <w:t>Exporters</w:t>
            </w:r>
          </w:p>
        </w:tc>
        <w:tc>
          <w:tcPr>
            <w:tcW w:w="1273" w:type="dxa"/>
            <w:noWrap/>
            <w:hideMark/>
          </w:tcPr>
          <w:p w14:paraId="6D045517"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419,689</w:t>
            </w:r>
          </w:p>
        </w:tc>
        <w:tc>
          <w:tcPr>
            <w:tcW w:w="1198" w:type="dxa"/>
            <w:noWrap/>
            <w:hideMark/>
          </w:tcPr>
          <w:p w14:paraId="5A414D56"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255,828</w:t>
            </w:r>
          </w:p>
        </w:tc>
        <w:tc>
          <w:tcPr>
            <w:tcW w:w="1198" w:type="dxa"/>
            <w:noWrap/>
            <w:hideMark/>
          </w:tcPr>
          <w:p w14:paraId="1640D15C"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490,108</w:t>
            </w:r>
          </w:p>
        </w:tc>
        <w:tc>
          <w:tcPr>
            <w:tcW w:w="1306" w:type="dxa"/>
            <w:noWrap/>
            <w:hideMark/>
          </w:tcPr>
          <w:p w14:paraId="4FAC663A"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479,950</w:t>
            </w:r>
          </w:p>
        </w:tc>
        <w:tc>
          <w:tcPr>
            <w:tcW w:w="1306" w:type="dxa"/>
            <w:noWrap/>
            <w:hideMark/>
          </w:tcPr>
          <w:p w14:paraId="23DA9491"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439,986</w:t>
            </w:r>
          </w:p>
        </w:tc>
        <w:tc>
          <w:tcPr>
            <w:tcW w:w="1202" w:type="dxa"/>
            <w:noWrap/>
            <w:hideMark/>
          </w:tcPr>
          <w:p w14:paraId="13823BD2"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609,495</w:t>
            </w:r>
          </w:p>
        </w:tc>
      </w:tr>
      <w:tr w:rsidR="00D15C7D" w:rsidRPr="00D40154" w14:paraId="0B991F56" w14:textId="77777777" w:rsidTr="00D15C7D">
        <w:trPr>
          <w:trHeight w:val="298"/>
        </w:trPr>
        <w:tc>
          <w:tcPr>
            <w:cnfStyle w:val="001000000000" w:firstRow="0" w:lastRow="0" w:firstColumn="1" w:lastColumn="0" w:oddVBand="0" w:evenVBand="0" w:oddHBand="0" w:evenHBand="0" w:firstRowFirstColumn="0" w:firstRowLastColumn="0" w:lastRowFirstColumn="0" w:lastRowLastColumn="0"/>
            <w:tcW w:w="1867" w:type="dxa"/>
            <w:noWrap/>
            <w:hideMark/>
          </w:tcPr>
          <w:p w14:paraId="05A91465" w14:textId="77777777" w:rsidR="00D15C7D" w:rsidRPr="00D40154" w:rsidRDefault="00D15C7D" w:rsidP="00D15C7D">
            <w:pPr>
              <w:spacing w:before="60" w:after="60"/>
              <w:rPr>
                <w:rFonts w:cs="Calibri"/>
                <w:sz w:val="20"/>
                <w:szCs w:val="20"/>
              </w:rPr>
            </w:pPr>
            <w:r w:rsidRPr="00D40154">
              <w:rPr>
                <w:rFonts w:cs="Calibri"/>
                <w:sz w:val="20"/>
                <w:szCs w:val="20"/>
              </w:rPr>
              <w:t>Farmers*</w:t>
            </w:r>
          </w:p>
        </w:tc>
        <w:tc>
          <w:tcPr>
            <w:tcW w:w="1273" w:type="dxa"/>
            <w:noWrap/>
            <w:hideMark/>
          </w:tcPr>
          <w:p w14:paraId="42801885"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w:t>
            </w:r>
          </w:p>
        </w:tc>
        <w:tc>
          <w:tcPr>
            <w:tcW w:w="1198" w:type="dxa"/>
            <w:noWrap/>
            <w:hideMark/>
          </w:tcPr>
          <w:p w14:paraId="47397823"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6,534</w:t>
            </w:r>
          </w:p>
        </w:tc>
        <w:tc>
          <w:tcPr>
            <w:tcW w:w="1198" w:type="dxa"/>
            <w:noWrap/>
            <w:hideMark/>
          </w:tcPr>
          <w:p w14:paraId="02C2BE0C"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6,752</w:t>
            </w:r>
          </w:p>
        </w:tc>
        <w:tc>
          <w:tcPr>
            <w:tcW w:w="1306" w:type="dxa"/>
            <w:noWrap/>
            <w:hideMark/>
          </w:tcPr>
          <w:p w14:paraId="040171FC"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720,172</w:t>
            </w:r>
          </w:p>
        </w:tc>
        <w:tc>
          <w:tcPr>
            <w:tcW w:w="1306" w:type="dxa"/>
            <w:noWrap/>
            <w:hideMark/>
          </w:tcPr>
          <w:p w14:paraId="467E76B0"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3,909,142</w:t>
            </w:r>
          </w:p>
        </w:tc>
        <w:tc>
          <w:tcPr>
            <w:tcW w:w="1202" w:type="dxa"/>
            <w:noWrap/>
            <w:hideMark/>
          </w:tcPr>
          <w:p w14:paraId="7C9C19DD"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3,943,998</w:t>
            </w:r>
          </w:p>
        </w:tc>
      </w:tr>
      <w:tr w:rsidR="00D15C7D" w:rsidRPr="00D40154" w14:paraId="02CC8046" w14:textId="77777777" w:rsidTr="00D15C7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67" w:type="dxa"/>
            <w:noWrap/>
            <w:hideMark/>
          </w:tcPr>
          <w:p w14:paraId="0C53D706" w14:textId="77777777" w:rsidR="00D15C7D" w:rsidRPr="00D40154" w:rsidRDefault="00D15C7D" w:rsidP="00D15C7D">
            <w:pPr>
              <w:spacing w:before="60" w:after="60"/>
              <w:rPr>
                <w:rFonts w:cs="Calibri"/>
                <w:sz w:val="20"/>
                <w:szCs w:val="20"/>
              </w:rPr>
            </w:pPr>
            <w:r w:rsidRPr="00D40154">
              <w:rPr>
                <w:rFonts w:cs="Calibri"/>
                <w:sz w:val="20"/>
                <w:szCs w:val="20"/>
              </w:rPr>
              <w:t>Financial Institutions</w:t>
            </w:r>
          </w:p>
        </w:tc>
        <w:tc>
          <w:tcPr>
            <w:tcW w:w="1273" w:type="dxa"/>
            <w:noWrap/>
            <w:hideMark/>
          </w:tcPr>
          <w:p w14:paraId="076CBE2D"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1198" w:type="dxa"/>
            <w:noWrap/>
            <w:hideMark/>
          </w:tcPr>
          <w:p w14:paraId="71C87247"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1198" w:type="dxa"/>
            <w:noWrap/>
            <w:hideMark/>
          </w:tcPr>
          <w:p w14:paraId="31D4F4E5"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1306" w:type="dxa"/>
            <w:noWrap/>
            <w:hideMark/>
          </w:tcPr>
          <w:p w14:paraId="51C3CCA2"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1306" w:type="dxa"/>
            <w:noWrap/>
            <w:hideMark/>
          </w:tcPr>
          <w:p w14:paraId="5F8E3BB7"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1,444,653</w:t>
            </w:r>
          </w:p>
        </w:tc>
        <w:tc>
          <w:tcPr>
            <w:tcW w:w="1202" w:type="dxa"/>
            <w:noWrap/>
            <w:hideMark/>
          </w:tcPr>
          <w:p w14:paraId="6E95C5A7"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442,362</w:t>
            </w:r>
          </w:p>
        </w:tc>
      </w:tr>
      <w:tr w:rsidR="00D15C7D" w:rsidRPr="00D40154" w14:paraId="3F1B2C8A" w14:textId="77777777" w:rsidTr="00D15C7D">
        <w:trPr>
          <w:trHeight w:val="298"/>
        </w:trPr>
        <w:tc>
          <w:tcPr>
            <w:cnfStyle w:val="001000000000" w:firstRow="0" w:lastRow="0" w:firstColumn="1" w:lastColumn="0" w:oddVBand="0" w:evenVBand="0" w:oddHBand="0" w:evenHBand="0" w:firstRowFirstColumn="0" w:firstRowLastColumn="0" w:lastRowFirstColumn="0" w:lastRowLastColumn="0"/>
            <w:tcW w:w="1867" w:type="dxa"/>
            <w:noWrap/>
            <w:hideMark/>
          </w:tcPr>
          <w:p w14:paraId="7A61A06B" w14:textId="77777777" w:rsidR="00D15C7D" w:rsidRPr="00D40154" w:rsidRDefault="00D15C7D" w:rsidP="00D15C7D">
            <w:pPr>
              <w:spacing w:before="60" w:after="60"/>
              <w:rPr>
                <w:rFonts w:cs="Calibri"/>
                <w:sz w:val="20"/>
                <w:szCs w:val="20"/>
              </w:rPr>
            </w:pPr>
            <w:r w:rsidRPr="00D40154">
              <w:rPr>
                <w:rFonts w:cs="Calibri"/>
                <w:sz w:val="20"/>
                <w:szCs w:val="20"/>
              </w:rPr>
              <w:t>Free-Zone Developers</w:t>
            </w:r>
          </w:p>
        </w:tc>
        <w:tc>
          <w:tcPr>
            <w:tcW w:w="1273" w:type="dxa"/>
            <w:noWrap/>
            <w:hideMark/>
          </w:tcPr>
          <w:p w14:paraId="0E542269"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5,940,149</w:t>
            </w:r>
          </w:p>
        </w:tc>
        <w:tc>
          <w:tcPr>
            <w:tcW w:w="1198" w:type="dxa"/>
            <w:noWrap/>
            <w:hideMark/>
          </w:tcPr>
          <w:p w14:paraId="4CB8D229"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24,592,301</w:t>
            </w:r>
          </w:p>
        </w:tc>
        <w:tc>
          <w:tcPr>
            <w:tcW w:w="1198" w:type="dxa"/>
            <w:noWrap/>
            <w:hideMark/>
          </w:tcPr>
          <w:p w14:paraId="69635BB0"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28,584,758</w:t>
            </w:r>
          </w:p>
        </w:tc>
        <w:tc>
          <w:tcPr>
            <w:tcW w:w="1306" w:type="dxa"/>
            <w:noWrap/>
            <w:hideMark/>
          </w:tcPr>
          <w:p w14:paraId="23C16540"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28,775,372</w:t>
            </w:r>
          </w:p>
        </w:tc>
        <w:tc>
          <w:tcPr>
            <w:tcW w:w="1306" w:type="dxa"/>
            <w:noWrap/>
            <w:hideMark/>
          </w:tcPr>
          <w:p w14:paraId="4D561AD2"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35,322,115</w:t>
            </w:r>
          </w:p>
        </w:tc>
        <w:tc>
          <w:tcPr>
            <w:tcW w:w="1202" w:type="dxa"/>
            <w:noWrap/>
            <w:hideMark/>
          </w:tcPr>
          <w:p w14:paraId="7B4FCA92"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42,333,818</w:t>
            </w:r>
          </w:p>
        </w:tc>
      </w:tr>
      <w:tr w:rsidR="00D15C7D" w:rsidRPr="00D40154" w14:paraId="2B8661AD" w14:textId="77777777" w:rsidTr="00D15C7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67" w:type="dxa"/>
            <w:noWrap/>
            <w:hideMark/>
          </w:tcPr>
          <w:p w14:paraId="10887A62" w14:textId="77777777" w:rsidR="00D15C7D" w:rsidRPr="00D40154" w:rsidRDefault="00D15C7D" w:rsidP="00D15C7D">
            <w:pPr>
              <w:spacing w:before="60" w:after="60"/>
              <w:rPr>
                <w:rFonts w:cs="Calibri"/>
                <w:sz w:val="20"/>
                <w:szCs w:val="20"/>
              </w:rPr>
            </w:pPr>
            <w:r w:rsidRPr="00D40154">
              <w:rPr>
                <w:rFonts w:cs="Calibri"/>
                <w:sz w:val="20"/>
                <w:szCs w:val="20"/>
              </w:rPr>
              <w:t>Hospitality Industry</w:t>
            </w:r>
          </w:p>
        </w:tc>
        <w:tc>
          <w:tcPr>
            <w:tcW w:w="1273" w:type="dxa"/>
            <w:noWrap/>
            <w:hideMark/>
          </w:tcPr>
          <w:p w14:paraId="5ECBC9AE"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258,736</w:t>
            </w:r>
          </w:p>
        </w:tc>
        <w:tc>
          <w:tcPr>
            <w:tcW w:w="1198" w:type="dxa"/>
            <w:noWrap/>
            <w:hideMark/>
          </w:tcPr>
          <w:p w14:paraId="4B050E5F"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210,767</w:t>
            </w:r>
          </w:p>
        </w:tc>
        <w:tc>
          <w:tcPr>
            <w:tcW w:w="1198" w:type="dxa"/>
            <w:noWrap/>
            <w:hideMark/>
          </w:tcPr>
          <w:p w14:paraId="1C053D83"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231,431</w:t>
            </w:r>
          </w:p>
        </w:tc>
        <w:tc>
          <w:tcPr>
            <w:tcW w:w="1306" w:type="dxa"/>
            <w:noWrap/>
            <w:hideMark/>
          </w:tcPr>
          <w:p w14:paraId="10158CC1"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166,048</w:t>
            </w:r>
          </w:p>
        </w:tc>
        <w:tc>
          <w:tcPr>
            <w:tcW w:w="1306" w:type="dxa"/>
            <w:noWrap/>
            <w:hideMark/>
          </w:tcPr>
          <w:p w14:paraId="25C58A80"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359,826</w:t>
            </w:r>
          </w:p>
        </w:tc>
        <w:tc>
          <w:tcPr>
            <w:tcW w:w="1202" w:type="dxa"/>
            <w:noWrap/>
            <w:hideMark/>
          </w:tcPr>
          <w:p w14:paraId="265F27CB"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862,221</w:t>
            </w:r>
          </w:p>
        </w:tc>
      </w:tr>
      <w:tr w:rsidR="00D15C7D" w:rsidRPr="00D40154" w14:paraId="2472A8A4" w14:textId="77777777" w:rsidTr="00D15C7D">
        <w:trPr>
          <w:trHeight w:val="350"/>
        </w:trPr>
        <w:tc>
          <w:tcPr>
            <w:cnfStyle w:val="001000000000" w:firstRow="0" w:lastRow="0" w:firstColumn="1" w:lastColumn="0" w:oddVBand="0" w:evenVBand="0" w:oddHBand="0" w:evenHBand="0" w:firstRowFirstColumn="0" w:firstRowLastColumn="0" w:lastRowFirstColumn="0" w:lastRowLastColumn="0"/>
            <w:tcW w:w="0" w:type="dxa"/>
            <w:noWrap/>
            <w:hideMark/>
          </w:tcPr>
          <w:p w14:paraId="5D5DF5E6" w14:textId="77777777" w:rsidR="00D15C7D" w:rsidRPr="00D40154" w:rsidRDefault="00D15C7D" w:rsidP="00D15C7D">
            <w:pPr>
              <w:spacing w:before="60" w:after="60"/>
              <w:rPr>
                <w:rFonts w:cs="Calibri"/>
                <w:sz w:val="20"/>
                <w:szCs w:val="20"/>
              </w:rPr>
            </w:pPr>
            <w:r w:rsidRPr="00D40154">
              <w:rPr>
                <w:rFonts w:cs="Calibri"/>
                <w:sz w:val="20"/>
                <w:szCs w:val="20"/>
              </w:rPr>
              <w:t xml:space="preserve">Recipients of Location-Based </w:t>
            </w:r>
            <w:r w:rsidRPr="00D40154">
              <w:rPr>
                <w:rFonts w:cs="Calibri"/>
                <w:sz w:val="20"/>
                <w:szCs w:val="20"/>
              </w:rPr>
              <w:lastRenderedPageBreak/>
              <w:t>Manufacturing Incentives</w:t>
            </w:r>
          </w:p>
        </w:tc>
        <w:tc>
          <w:tcPr>
            <w:tcW w:w="0" w:type="dxa"/>
            <w:noWrap/>
            <w:hideMark/>
          </w:tcPr>
          <w:p w14:paraId="78AF6067"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lastRenderedPageBreak/>
              <w:t>351,126</w:t>
            </w:r>
          </w:p>
        </w:tc>
        <w:tc>
          <w:tcPr>
            <w:tcW w:w="0" w:type="dxa"/>
            <w:noWrap/>
            <w:hideMark/>
          </w:tcPr>
          <w:p w14:paraId="7B12462D"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1,148,520</w:t>
            </w:r>
          </w:p>
        </w:tc>
        <w:tc>
          <w:tcPr>
            <w:tcW w:w="0" w:type="dxa"/>
            <w:noWrap/>
            <w:hideMark/>
          </w:tcPr>
          <w:p w14:paraId="071B28CF"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1,151,990</w:t>
            </w:r>
          </w:p>
        </w:tc>
        <w:tc>
          <w:tcPr>
            <w:tcW w:w="0" w:type="dxa"/>
            <w:noWrap/>
            <w:hideMark/>
          </w:tcPr>
          <w:p w14:paraId="37F93570"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1,841,232</w:t>
            </w:r>
          </w:p>
        </w:tc>
        <w:tc>
          <w:tcPr>
            <w:tcW w:w="0" w:type="dxa"/>
            <w:noWrap/>
            <w:hideMark/>
          </w:tcPr>
          <w:p w14:paraId="6E83D1EA"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29,611,201</w:t>
            </w:r>
          </w:p>
        </w:tc>
        <w:tc>
          <w:tcPr>
            <w:tcW w:w="0" w:type="dxa"/>
            <w:noWrap/>
            <w:hideMark/>
          </w:tcPr>
          <w:p w14:paraId="5219021B"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26,570,549</w:t>
            </w:r>
          </w:p>
        </w:tc>
      </w:tr>
      <w:tr w:rsidR="00D15C7D" w:rsidRPr="00D40154" w14:paraId="43CE59E3" w14:textId="77777777" w:rsidTr="00D15C7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67" w:type="dxa"/>
            <w:noWrap/>
            <w:hideMark/>
          </w:tcPr>
          <w:p w14:paraId="5DBC6575" w14:textId="77777777" w:rsidR="00D15C7D" w:rsidRPr="00D40154" w:rsidRDefault="00D15C7D" w:rsidP="00D15C7D">
            <w:pPr>
              <w:spacing w:before="60" w:after="60"/>
              <w:rPr>
                <w:rFonts w:cs="Calibri"/>
                <w:sz w:val="20"/>
                <w:szCs w:val="20"/>
              </w:rPr>
            </w:pPr>
            <w:r w:rsidRPr="00D40154">
              <w:rPr>
                <w:rFonts w:cs="Calibri"/>
                <w:sz w:val="20"/>
                <w:szCs w:val="20"/>
              </w:rPr>
              <w:t>Mining Firms</w:t>
            </w:r>
          </w:p>
        </w:tc>
        <w:tc>
          <w:tcPr>
            <w:tcW w:w="1273" w:type="dxa"/>
            <w:noWrap/>
            <w:hideMark/>
          </w:tcPr>
          <w:p w14:paraId="1F8D1717"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5,551,968</w:t>
            </w:r>
          </w:p>
        </w:tc>
        <w:tc>
          <w:tcPr>
            <w:tcW w:w="1198" w:type="dxa"/>
            <w:noWrap/>
            <w:hideMark/>
          </w:tcPr>
          <w:p w14:paraId="02BBA22E"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4,282,666</w:t>
            </w:r>
          </w:p>
        </w:tc>
        <w:tc>
          <w:tcPr>
            <w:tcW w:w="1198" w:type="dxa"/>
            <w:noWrap/>
            <w:hideMark/>
          </w:tcPr>
          <w:p w14:paraId="7349637F"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3,752,011</w:t>
            </w:r>
          </w:p>
        </w:tc>
        <w:tc>
          <w:tcPr>
            <w:tcW w:w="1306" w:type="dxa"/>
            <w:noWrap/>
            <w:hideMark/>
          </w:tcPr>
          <w:p w14:paraId="617B0675"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42,629,765</w:t>
            </w:r>
          </w:p>
        </w:tc>
        <w:tc>
          <w:tcPr>
            <w:tcW w:w="1306" w:type="dxa"/>
            <w:noWrap/>
            <w:hideMark/>
          </w:tcPr>
          <w:p w14:paraId="47B3A912"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w:t>
            </w:r>
          </w:p>
        </w:tc>
        <w:tc>
          <w:tcPr>
            <w:tcW w:w="1202" w:type="dxa"/>
            <w:noWrap/>
            <w:hideMark/>
          </w:tcPr>
          <w:p w14:paraId="5269E6F6"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w:t>
            </w:r>
          </w:p>
        </w:tc>
      </w:tr>
      <w:tr w:rsidR="00D15C7D" w:rsidRPr="00D40154" w14:paraId="5BBDC2F5" w14:textId="77777777" w:rsidTr="00D15C7D">
        <w:trPr>
          <w:trHeight w:val="298"/>
        </w:trPr>
        <w:tc>
          <w:tcPr>
            <w:cnfStyle w:val="001000000000" w:firstRow="0" w:lastRow="0" w:firstColumn="1" w:lastColumn="0" w:oddVBand="0" w:evenVBand="0" w:oddHBand="0" w:evenHBand="0" w:firstRowFirstColumn="0" w:firstRowLastColumn="0" w:lastRowFirstColumn="0" w:lastRowLastColumn="0"/>
            <w:tcW w:w="1867" w:type="dxa"/>
            <w:noWrap/>
            <w:hideMark/>
          </w:tcPr>
          <w:p w14:paraId="5E5B303B" w14:textId="77777777" w:rsidR="00D15C7D" w:rsidRPr="00D40154" w:rsidRDefault="00D15C7D" w:rsidP="00D15C7D">
            <w:pPr>
              <w:spacing w:before="60" w:after="60"/>
              <w:rPr>
                <w:rFonts w:cs="Calibri"/>
                <w:sz w:val="20"/>
                <w:szCs w:val="20"/>
              </w:rPr>
            </w:pPr>
            <w:r w:rsidRPr="00D40154">
              <w:rPr>
                <w:rFonts w:cs="Calibri"/>
                <w:sz w:val="20"/>
                <w:szCs w:val="20"/>
              </w:rPr>
              <w:t>Mining Service Providers</w:t>
            </w:r>
          </w:p>
        </w:tc>
        <w:tc>
          <w:tcPr>
            <w:tcW w:w="1273" w:type="dxa"/>
            <w:noWrap/>
            <w:hideMark/>
          </w:tcPr>
          <w:p w14:paraId="6B562E4F"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475,688</w:t>
            </w:r>
          </w:p>
        </w:tc>
        <w:tc>
          <w:tcPr>
            <w:tcW w:w="1198" w:type="dxa"/>
            <w:noWrap/>
            <w:hideMark/>
          </w:tcPr>
          <w:p w14:paraId="643B7599"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762,940</w:t>
            </w:r>
          </w:p>
        </w:tc>
        <w:tc>
          <w:tcPr>
            <w:tcW w:w="1198" w:type="dxa"/>
            <w:noWrap/>
            <w:hideMark/>
          </w:tcPr>
          <w:p w14:paraId="581B53CF"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489,877</w:t>
            </w:r>
          </w:p>
        </w:tc>
        <w:tc>
          <w:tcPr>
            <w:tcW w:w="1306" w:type="dxa"/>
            <w:noWrap/>
            <w:hideMark/>
          </w:tcPr>
          <w:p w14:paraId="2B6B1540"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63,234,480</w:t>
            </w:r>
          </w:p>
        </w:tc>
        <w:tc>
          <w:tcPr>
            <w:tcW w:w="1306" w:type="dxa"/>
            <w:noWrap/>
            <w:hideMark/>
          </w:tcPr>
          <w:p w14:paraId="461B050D"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1202" w:type="dxa"/>
            <w:noWrap/>
            <w:hideMark/>
          </w:tcPr>
          <w:p w14:paraId="159DA488"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00D15C7D" w:rsidRPr="00D40154" w14:paraId="59AB0C33" w14:textId="77777777" w:rsidTr="00D15C7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67" w:type="dxa"/>
            <w:noWrap/>
            <w:hideMark/>
          </w:tcPr>
          <w:p w14:paraId="19ED0AC5" w14:textId="77777777" w:rsidR="00D15C7D" w:rsidRPr="00D40154" w:rsidRDefault="00D15C7D" w:rsidP="00D15C7D">
            <w:pPr>
              <w:spacing w:before="60" w:after="60"/>
              <w:rPr>
                <w:rFonts w:cs="Calibri"/>
                <w:sz w:val="20"/>
                <w:szCs w:val="20"/>
              </w:rPr>
            </w:pPr>
            <w:r w:rsidRPr="00D40154">
              <w:rPr>
                <w:rFonts w:cs="Calibri"/>
                <w:sz w:val="20"/>
                <w:szCs w:val="20"/>
              </w:rPr>
              <w:t>Real Estate Firms</w:t>
            </w:r>
          </w:p>
        </w:tc>
        <w:tc>
          <w:tcPr>
            <w:tcW w:w="1273" w:type="dxa"/>
            <w:noWrap/>
            <w:hideMark/>
          </w:tcPr>
          <w:p w14:paraId="35C2F245"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2,890</w:t>
            </w:r>
          </w:p>
        </w:tc>
        <w:tc>
          <w:tcPr>
            <w:tcW w:w="1198" w:type="dxa"/>
            <w:noWrap/>
            <w:hideMark/>
          </w:tcPr>
          <w:p w14:paraId="12D51E94"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909,354</w:t>
            </w:r>
          </w:p>
        </w:tc>
        <w:tc>
          <w:tcPr>
            <w:tcW w:w="1198" w:type="dxa"/>
            <w:noWrap/>
            <w:hideMark/>
          </w:tcPr>
          <w:p w14:paraId="1502E19E"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695,983</w:t>
            </w:r>
          </w:p>
        </w:tc>
        <w:tc>
          <w:tcPr>
            <w:tcW w:w="1306" w:type="dxa"/>
            <w:noWrap/>
            <w:hideMark/>
          </w:tcPr>
          <w:p w14:paraId="2A9639AD"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70,753</w:t>
            </w:r>
          </w:p>
        </w:tc>
        <w:tc>
          <w:tcPr>
            <w:tcW w:w="1306" w:type="dxa"/>
            <w:noWrap/>
            <w:hideMark/>
          </w:tcPr>
          <w:p w14:paraId="602F5C11"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676,959</w:t>
            </w:r>
          </w:p>
        </w:tc>
        <w:tc>
          <w:tcPr>
            <w:tcW w:w="1202" w:type="dxa"/>
            <w:noWrap/>
            <w:hideMark/>
          </w:tcPr>
          <w:p w14:paraId="13EBD730"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138,874</w:t>
            </w:r>
          </w:p>
        </w:tc>
      </w:tr>
      <w:tr w:rsidR="00D15C7D" w:rsidRPr="00D40154" w14:paraId="04605D70" w14:textId="77777777" w:rsidTr="00D15C7D">
        <w:trPr>
          <w:trHeight w:val="298"/>
        </w:trPr>
        <w:tc>
          <w:tcPr>
            <w:cnfStyle w:val="001000000000" w:firstRow="0" w:lastRow="0" w:firstColumn="1" w:lastColumn="0" w:oddVBand="0" w:evenVBand="0" w:oddHBand="0" w:evenHBand="0" w:firstRowFirstColumn="0" w:firstRowLastColumn="0" w:lastRowFirstColumn="0" w:lastRowLastColumn="0"/>
            <w:tcW w:w="1867" w:type="dxa"/>
            <w:noWrap/>
            <w:hideMark/>
          </w:tcPr>
          <w:p w14:paraId="11FFF079" w14:textId="77777777" w:rsidR="00D15C7D" w:rsidRPr="00D40154" w:rsidRDefault="00D15C7D" w:rsidP="00D15C7D">
            <w:pPr>
              <w:spacing w:before="60" w:after="60"/>
              <w:rPr>
                <w:rFonts w:cs="Calibri"/>
                <w:sz w:val="20"/>
                <w:szCs w:val="20"/>
              </w:rPr>
            </w:pPr>
            <w:r w:rsidRPr="00D40154">
              <w:rPr>
                <w:rFonts w:cs="Calibri"/>
                <w:sz w:val="20"/>
                <w:szCs w:val="20"/>
              </w:rPr>
              <w:t>Rural Banks</w:t>
            </w:r>
          </w:p>
        </w:tc>
        <w:tc>
          <w:tcPr>
            <w:tcW w:w="1273" w:type="dxa"/>
            <w:noWrap/>
            <w:hideMark/>
          </w:tcPr>
          <w:p w14:paraId="22B913AC"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211,816</w:t>
            </w:r>
          </w:p>
        </w:tc>
        <w:tc>
          <w:tcPr>
            <w:tcW w:w="1198" w:type="dxa"/>
            <w:noWrap/>
            <w:hideMark/>
          </w:tcPr>
          <w:p w14:paraId="31346C6D"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389,407</w:t>
            </w:r>
          </w:p>
        </w:tc>
        <w:tc>
          <w:tcPr>
            <w:tcW w:w="1198" w:type="dxa"/>
            <w:noWrap/>
            <w:hideMark/>
          </w:tcPr>
          <w:p w14:paraId="43305B41"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427,823</w:t>
            </w:r>
          </w:p>
        </w:tc>
        <w:tc>
          <w:tcPr>
            <w:tcW w:w="1306" w:type="dxa"/>
            <w:noWrap/>
            <w:hideMark/>
          </w:tcPr>
          <w:p w14:paraId="3129954C"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487,381</w:t>
            </w:r>
          </w:p>
        </w:tc>
        <w:tc>
          <w:tcPr>
            <w:tcW w:w="1306" w:type="dxa"/>
            <w:noWrap/>
            <w:hideMark/>
          </w:tcPr>
          <w:p w14:paraId="23513F6E"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46,041,954</w:t>
            </w:r>
          </w:p>
        </w:tc>
        <w:tc>
          <w:tcPr>
            <w:tcW w:w="1202" w:type="dxa"/>
            <w:noWrap/>
            <w:hideMark/>
          </w:tcPr>
          <w:p w14:paraId="7EFB28FD"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11,701,015</w:t>
            </w:r>
          </w:p>
        </w:tc>
      </w:tr>
      <w:tr w:rsidR="00D15C7D" w:rsidRPr="00D40154" w14:paraId="55C480E9" w14:textId="77777777" w:rsidTr="00D15C7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67" w:type="dxa"/>
            <w:noWrap/>
            <w:hideMark/>
          </w:tcPr>
          <w:p w14:paraId="7FED37F9" w14:textId="77777777" w:rsidR="00D15C7D" w:rsidRPr="00D40154" w:rsidRDefault="00D15C7D" w:rsidP="00D15C7D">
            <w:pPr>
              <w:spacing w:before="60" w:after="60"/>
              <w:rPr>
                <w:rFonts w:cs="Calibri"/>
                <w:sz w:val="20"/>
                <w:szCs w:val="20"/>
              </w:rPr>
            </w:pPr>
            <w:r w:rsidRPr="00D40154">
              <w:rPr>
                <w:rFonts w:cs="Calibri"/>
                <w:sz w:val="20"/>
                <w:szCs w:val="20"/>
              </w:rPr>
              <w:t>Venture Capital Firms</w:t>
            </w:r>
          </w:p>
        </w:tc>
        <w:tc>
          <w:tcPr>
            <w:tcW w:w="1273" w:type="dxa"/>
            <w:noWrap/>
            <w:hideMark/>
          </w:tcPr>
          <w:p w14:paraId="4A8944B1"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410,542</w:t>
            </w:r>
          </w:p>
        </w:tc>
        <w:tc>
          <w:tcPr>
            <w:tcW w:w="1198" w:type="dxa"/>
            <w:noWrap/>
            <w:hideMark/>
          </w:tcPr>
          <w:p w14:paraId="0F1D103F"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1,261,902</w:t>
            </w:r>
          </w:p>
        </w:tc>
        <w:tc>
          <w:tcPr>
            <w:tcW w:w="1198" w:type="dxa"/>
            <w:noWrap/>
            <w:hideMark/>
          </w:tcPr>
          <w:p w14:paraId="69050179"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425,461</w:t>
            </w:r>
          </w:p>
        </w:tc>
        <w:tc>
          <w:tcPr>
            <w:tcW w:w="1306" w:type="dxa"/>
            <w:noWrap/>
            <w:hideMark/>
          </w:tcPr>
          <w:p w14:paraId="00166ED4"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8,964,450</w:t>
            </w:r>
          </w:p>
        </w:tc>
        <w:tc>
          <w:tcPr>
            <w:tcW w:w="1306" w:type="dxa"/>
            <w:noWrap/>
            <w:hideMark/>
          </w:tcPr>
          <w:p w14:paraId="77A675C2"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2,374,077</w:t>
            </w:r>
          </w:p>
        </w:tc>
        <w:tc>
          <w:tcPr>
            <w:tcW w:w="1202" w:type="dxa"/>
            <w:noWrap/>
            <w:hideMark/>
          </w:tcPr>
          <w:p w14:paraId="48007CE7"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D40154">
              <w:rPr>
                <w:rFonts w:cs="Calibri"/>
                <w:sz w:val="20"/>
                <w:szCs w:val="20"/>
              </w:rPr>
              <w:t>779,779</w:t>
            </w:r>
          </w:p>
        </w:tc>
      </w:tr>
      <w:tr w:rsidR="00D15C7D" w:rsidRPr="00D40154" w14:paraId="2B7C4F64" w14:textId="77777777" w:rsidTr="00D15C7D">
        <w:trPr>
          <w:trHeight w:val="298"/>
        </w:trPr>
        <w:tc>
          <w:tcPr>
            <w:cnfStyle w:val="001000000000" w:firstRow="0" w:lastRow="0" w:firstColumn="1" w:lastColumn="0" w:oddVBand="0" w:evenVBand="0" w:oddHBand="0" w:evenHBand="0" w:firstRowFirstColumn="0" w:firstRowLastColumn="0" w:lastRowFirstColumn="0" w:lastRowLastColumn="0"/>
            <w:tcW w:w="1867" w:type="dxa"/>
            <w:noWrap/>
            <w:hideMark/>
          </w:tcPr>
          <w:p w14:paraId="6E92400F" w14:textId="77777777" w:rsidR="00D15C7D" w:rsidRPr="00D40154" w:rsidRDefault="00D15C7D" w:rsidP="00D15C7D">
            <w:pPr>
              <w:spacing w:before="60" w:after="60"/>
              <w:rPr>
                <w:rFonts w:cs="Calibri"/>
                <w:sz w:val="20"/>
                <w:szCs w:val="20"/>
              </w:rPr>
            </w:pPr>
            <w:r w:rsidRPr="00D40154">
              <w:rPr>
                <w:rFonts w:cs="Calibri"/>
                <w:sz w:val="20"/>
                <w:szCs w:val="20"/>
              </w:rPr>
              <w:t>Waste Recyclers</w:t>
            </w:r>
          </w:p>
        </w:tc>
        <w:tc>
          <w:tcPr>
            <w:tcW w:w="1273" w:type="dxa"/>
            <w:noWrap/>
            <w:hideMark/>
          </w:tcPr>
          <w:p w14:paraId="7BB08258"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11,926</w:t>
            </w:r>
          </w:p>
        </w:tc>
        <w:tc>
          <w:tcPr>
            <w:tcW w:w="1198" w:type="dxa"/>
            <w:noWrap/>
            <w:hideMark/>
          </w:tcPr>
          <w:p w14:paraId="3D8576C2"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w:t>
            </w:r>
          </w:p>
        </w:tc>
        <w:tc>
          <w:tcPr>
            <w:tcW w:w="1198" w:type="dxa"/>
            <w:noWrap/>
            <w:hideMark/>
          </w:tcPr>
          <w:p w14:paraId="4429D601"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4,688</w:t>
            </w:r>
          </w:p>
        </w:tc>
        <w:tc>
          <w:tcPr>
            <w:tcW w:w="1306" w:type="dxa"/>
            <w:noWrap/>
            <w:hideMark/>
          </w:tcPr>
          <w:p w14:paraId="1403C2ED"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5,859</w:t>
            </w:r>
          </w:p>
        </w:tc>
        <w:tc>
          <w:tcPr>
            <w:tcW w:w="1306" w:type="dxa"/>
            <w:noWrap/>
            <w:hideMark/>
          </w:tcPr>
          <w:p w14:paraId="6F59BA6A"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3,626</w:t>
            </w:r>
          </w:p>
        </w:tc>
        <w:tc>
          <w:tcPr>
            <w:tcW w:w="1202" w:type="dxa"/>
            <w:noWrap/>
            <w:hideMark/>
          </w:tcPr>
          <w:p w14:paraId="605156D0"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D40154">
              <w:rPr>
                <w:rFonts w:cs="Calibri"/>
                <w:sz w:val="20"/>
                <w:szCs w:val="20"/>
              </w:rPr>
              <w:t>3,188</w:t>
            </w:r>
          </w:p>
        </w:tc>
      </w:tr>
      <w:tr w:rsidR="00D15C7D" w:rsidRPr="00D40154" w14:paraId="41EEAFDB" w14:textId="77777777" w:rsidTr="00D15C7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67" w:type="dxa"/>
            <w:noWrap/>
            <w:hideMark/>
          </w:tcPr>
          <w:p w14:paraId="5AFE8365" w14:textId="77777777" w:rsidR="00D15C7D" w:rsidRPr="00D40154" w:rsidRDefault="00D15C7D" w:rsidP="00D15C7D">
            <w:pPr>
              <w:spacing w:before="60" w:after="60"/>
              <w:rPr>
                <w:rFonts w:cs="Calibri"/>
                <w:sz w:val="20"/>
                <w:szCs w:val="20"/>
              </w:rPr>
            </w:pPr>
          </w:p>
        </w:tc>
        <w:tc>
          <w:tcPr>
            <w:tcW w:w="1273" w:type="dxa"/>
            <w:noWrap/>
            <w:hideMark/>
          </w:tcPr>
          <w:p w14:paraId="7103B240"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b/>
                <w:sz w:val="20"/>
                <w:szCs w:val="20"/>
              </w:rPr>
            </w:pPr>
          </w:p>
        </w:tc>
        <w:tc>
          <w:tcPr>
            <w:tcW w:w="1198" w:type="dxa"/>
            <w:noWrap/>
            <w:hideMark/>
          </w:tcPr>
          <w:p w14:paraId="35DA250E"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b/>
                <w:sz w:val="20"/>
                <w:szCs w:val="20"/>
              </w:rPr>
            </w:pPr>
          </w:p>
        </w:tc>
        <w:tc>
          <w:tcPr>
            <w:tcW w:w="1198" w:type="dxa"/>
            <w:noWrap/>
            <w:hideMark/>
          </w:tcPr>
          <w:p w14:paraId="0CCC61D5"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b/>
                <w:sz w:val="20"/>
                <w:szCs w:val="20"/>
              </w:rPr>
            </w:pPr>
          </w:p>
        </w:tc>
        <w:tc>
          <w:tcPr>
            <w:tcW w:w="1306" w:type="dxa"/>
            <w:noWrap/>
            <w:hideMark/>
          </w:tcPr>
          <w:p w14:paraId="17D1D065"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b/>
                <w:sz w:val="20"/>
                <w:szCs w:val="20"/>
              </w:rPr>
            </w:pPr>
          </w:p>
        </w:tc>
        <w:tc>
          <w:tcPr>
            <w:tcW w:w="1306" w:type="dxa"/>
            <w:noWrap/>
            <w:hideMark/>
          </w:tcPr>
          <w:p w14:paraId="67346604"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b/>
                <w:sz w:val="20"/>
                <w:szCs w:val="20"/>
              </w:rPr>
            </w:pPr>
          </w:p>
        </w:tc>
        <w:tc>
          <w:tcPr>
            <w:tcW w:w="1202" w:type="dxa"/>
            <w:noWrap/>
            <w:hideMark/>
          </w:tcPr>
          <w:p w14:paraId="603A918D" w14:textId="77777777" w:rsidR="00D15C7D" w:rsidRPr="00D40154" w:rsidRDefault="00D15C7D" w:rsidP="00D15C7D">
            <w:pPr>
              <w:spacing w:before="60" w:after="60"/>
              <w:jc w:val="right"/>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D40154">
              <w:rPr>
                <w:rFonts w:cs="Calibri"/>
                <w:b/>
                <w:sz w:val="20"/>
                <w:szCs w:val="20"/>
              </w:rPr>
              <w:t xml:space="preserve">           </w:t>
            </w:r>
          </w:p>
        </w:tc>
      </w:tr>
      <w:tr w:rsidR="00D15C7D" w:rsidRPr="00D40154" w14:paraId="4EA3945E" w14:textId="77777777" w:rsidTr="00D15C7D">
        <w:trPr>
          <w:trHeight w:val="298"/>
        </w:trPr>
        <w:tc>
          <w:tcPr>
            <w:cnfStyle w:val="001000000000" w:firstRow="0" w:lastRow="0" w:firstColumn="1" w:lastColumn="0" w:oddVBand="0" w:evenVBand="0" w:oddHBand="0" w:evenHBand="0" w:firstRowFirstColumn="0" w:firstRowLastColumn="0" w:lastRowFirstColumn="0" w:lastRowLastColumn="0"/>
            <w:tcW w:w="1867" w:type="dxa"/>
            <w:noWrap/>
            <w:hideMark/>
          </w:tcPr>
          <w:p w14:paraId="7CDD3208" w14:textId="77777777" w:rsidR="00D15C7D" w:rsidRPr="00D40154" w:rsidRDefault="00D15C7D" w:rsidP="00D15C7D">
            <w:pPr>
              <w:spacing w:before="60" w:after="60"/>
              <w:rPr>
                <w:rFonts w:cs="Calibri"/>
                <w:sz w:val="20"/>
                <w:szCs w:val="20"/>
              </w:rPr>
            </w:pPr>
            <w:r w:rsidRPr="00D40154">
              <w:rPr>
                <w:rFonts w:cs="Calibri"/>
                <w:sz w:val="20"/>
                <w:szCs w:val="20"/>
              </w:rPr>
              <w:t>Total</w:t>
            </w:r>
          </w:p>
        </w:tc>
        <w:tc>
          <w:tcPr>
            <w:tcW w:w="1273" w:type="dxa"/>
            <w:noWrap/>
            <w:hideMark/>
          </w:tcPr>
          <w:p w14:paraId="4CD55611"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D40154">
              <w:rPr>
                <w:rFonts w:cs="Calibri"/>
                <w:b/>
                <w:sz w:val="20"/>
                <w:szCs w:val="20"/>
              </w:rPr>
              <w:t>15,993,056</w:t>
            </w:r>
          </w:p>
        </w:tc>
        <w:tc>
          <w:tcPr>
            <w:tcW w:w="1198" w:type="dxa"/>
            <w:noWrap/>
            <w:hideMark/>
          </w:tcPr>
          <w:p w14:paraId="2F539914"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D40154">
              <w:rPr>
                <w:rFonts w:cs="Calibri"/>
                <w:b/>
                <w:sz w:val="20"/>
                <w:szCs w:val="20"/>
              </w:rPr>
              <w:t>35,955,806</w:t>
            </w:r>
          </w:p>
        </w:tc>
        <w:tc>
          <w:tcPr>
            <w:tcW w:w="1198" w:type="dxa"/>
            <w:noWrap/>
            <w:hideMark/>
          </w:tcPr>
          <w:p w14:paraId="35245202"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D40154">
              <w:rPr>
                <w:rFonts w:cs="Calibri"/>
                <w:b/>
                <w:sz w:val="20"/>
                <w:szCs w:val="20"/>
              </w:rPr>
              <w:t>38,200,532</w:t>
            </w:r>
          </w:p>
        </w:tc>
        <w:tc>
          <w:tcPr>
            <w:tcW w:w="1306" w:type="dxa"/>
            <w:noWrap/>
            <w:hideMark/>
          </w:tcPr>
          <w:p w14:paraId="4D6AE3FA"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D40154">
              <w:rPr>
                <w:rFonts w:cs="Calibri"/>
                <w:b/>
                <w:sz w:val="20"/>
                <w:szCs w:val="20"/>
              </w:rPr>
              <w:t>153,923,256</w:t>
            </w:r>
          </w:p>
        </w:tc>
        <w:tc>
          <w:tcPr>
            <w:tcW w:w="1306" w:type="dxa"/>
            <w:noWrap/>
            <w:hideMark/>
          </w:tcPr>
          <w:p w14:paraId="18B8D214"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D40154">
              <w:rPr>
                <w:rFonts w:cs="Calibri"/>
                <w:b/>
                <w:sz w:val="20"/>
                <w:szCs w:val="20"/>
              </w:rPr>
              <w:t>125,509,908</w:t>
            </w:r>
          </w:p>
        </w:tc>
        <w:tc>
          <w:tcPr>
            <w:tcW w:w="1202" w:type="dxa"/>
            <w:noWrap/>
            <w:hideMark/>
          </w:tcPr>
          <w:p w14:paraId="055FFE18" w14:textId="77777777" w:rsidR="00D15C7D" w:rsidRPr="00D40154" w:rsidRDefault="00D15C7D" w:rsidP="00D15C7D">
            <w:pPr>
              <w:spacing w:before="60" w:after="60"/>
              <w:jc w:val="right"/>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D40154">
              <w:rPr>
                <w:rFonts w:cs="Calibri"/>
                <w:b/>
                <w:sz w:val="20"/>
                <w:szCs w:val="20"/>
              </w:rPr>
              <w:t>93,760,153</w:t>
            </w:r>
          </w:p>
        </w:tc>
      </w:tr>
      <w:tr w:rsidR="00D15C7D" w:rsidRPr="00D40154" w14:paraId="093EDDB7" w14:textId="77777777" w:rsidTr="00D15C7D">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67" w:type="dxa"/>
            <w:noWrap/>
          </w:tcPr>
          <w:p w14:paraId="747FB615" w14:textId="77777777" w:rsidR="00D15C7D" w:rsidRPr="00D40154" w:rsidRDefault="00D15C7D" w:rsidP="00D15C7D">
            <w:pPr>
              <w:spacing w:before="60" w:after="60"/>
              <w:rPr>
                <w:rFonts w:cs="Calibri"/>
                <w:sz w:val="20"/>
                <w:szCs w:val="20"/>
              </w:rPr>
            </w:pPr>
            <w:r w:rsidRPr="00D40154">
              <w:rPr>
                <w:rFonts w:cs="Calibri"/>
                <w:sz w:val="20"/>
                <w:szCs w:val="20"/>
              </w:rPr>
              <w:t xml:space="preserve">% of GDP </w:t>
            </w:r>
          </w:p>
        </w:tc>
        <w:tc>
          <w:tcPr>
            <w:tcW w:w="1273" w:type="dxa"/>
            <w:noWrap/>
          </w:tcPr>
          <w:p w14:paraId="62793EF6"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D40154">
              <w:rPr>
                <w:rFonts w:cs="Calibri"/>
                <w:b/>
                <w:sz w:val="20"/>
                <w:szCs w:val="20"/>
              </w:rPr>
              <w:t>0.05</w:t>
            </w:r>
          </w:p>
        </w:tc>
        <w:tc>
          <w:tcPr>
            <w:tcW w:w="1198" w:type="dxa"/>
            <w:noWrap/>
          </w:tcPr>
          <w:p w14:paraId="60713C9B"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D40154">
              <w:rPr>
                <w:rFonts w:cs="Calibri"/>
                <w:b/>
                <w:sz w:val="20"/>
                <w:szCs w:val="20"/>
              </w:rPr>
              <w:t>0.10</w:t>
            </w:r>
          </w:p>
        </w:tc>
        <w:tc>
          <w:tcPr>
            <w:tcW w:w="1198" w:type="dxa"/>
            <w:noWrap/>
          </w:tcPr>
          <w:p w14:paraId="732EECF5"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D40154">
              <w:rPr>
                <w:rFonts w:cs="Calibri"/>
                <w:b/>
                <w:sz w:val="20"/>
                <w:szCs w:val="20"/>
              </w:rPr>
              <w:t>0.08</w:t>
            </w:r>
          </w:p>
        </w:tc>
        <w:tc>
          <w:tcPr>
            <w:tcW w:w="1306" w:type="dxa"/>
            <w:noWrap/>
          </w:tcPr>
          <w:p w14:paraId="6A456D5C"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D40154">
              <w:rPr>
                <w:rFonts w:cs="Calibri"/>
                <w:b/>
                <w:sz w:val="20"/>
                <w:szCs w:val="20"/>
              </w:rPr>
              <w:t>0.26</w:t>
            </w:r>
          </w:p>
        </w:tc>
        <w:tc>
          <w:tcPr>
            <w:tcW w:w="1306" w:type="dxa"/>
            <w:noWrap/>
          </w:tcPr>
          <w:p w14:paraId="04815418"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D40154">
              <w:rPr>
                <w:rFonts w:cs="Calibri"/>
                <w:b/>
                <w:sz w:val="20"/>
                <w:szCs w:val="20"/>
              </w:rPr>
              <w:t>0.17</w:t>
            </w:r>
          </w:p>
        </w:tc>
        <w:tc>
          <w:tcPr>
            <w:tcW w:w="1202" w:type="dxa"/>
            <w:noWrap/>
          </w:tcPr>
          <w:p w14:paraId="7083BEE2" w14:textId="77777777" w:rsidR="00D15C7D" w:rsidRPr="00D40154" w:rsidRDefault="00D15C7D" w:rsidP="00D15C7D">
            <w:pPr>
              <w:spacing w:before="60" w:after="60"/>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D40154">
              <w:rPr>
                <w:rFonts w:cs="Calibri"/>
                <w:b/>
                <w:sz w:val="20"/>
                <w:szCs w:val="20"/>
              </w:rPr>
              <w:t>0.10</w:t>
            </w:r>
          </w:p>
        </w:tc>
      </w:tr>
    </w:tbl>
    <w:p w14:paraId="4BCC6177" w14:textId="77777777" w:rsidR="00D15C7D" w:rsidRPr="00696A40" w:rsidRDefault="00D15C7D" w:rsidP="00D15C7D">
      <w:pPr>
        <w:spacing w:after="0" w:line="240" w:lineRule="auto"/>
        <w:jc w:val="both"/>
        <w:rPr>
          <w:rFonts w:ascii="Garamond" w:hAnsi="Garamond" w:cs="Calibri"/>
          <w:sz w:val="20"/>
          <w:szCs w:val="20"/>
        </w:rPr>
      </w:pPr>
      <w:r w:rsidRPr="00696A40">
        <w:rPr>
          <w:rFonts w:ascii="Garamond" w:hAnsi="Garamond" w:cs="Calibri"/>
          <w:sz w:val="20"/>
          <w:szCs w:val="20"/>
        </w:rPr>
        <w:t>Note: *</w:t>
      </w:r>
      <w:r>
        <w:rPr>
          <w:rFonts w:ascii="Garamond" w:hAnsi="Garamond" w:cs="Calibri"/>
          <w:sz w:val="20"/>
          <w:szCs w:val="20"/>
        </w:rPr>
        <w:t xml:space="preserve"> </w:t>
      </w:r>
      <w:r>
        <w:rPr>
          <w:rFonts w:ascii="Garamond" w:hAnsi="Garamond"/>
          <w:sz w:val="20"/>
          <w:szCs w:val="20"/>
        </w:rPr>
        <w:t>D</w:t>
      </w:r>
      <w:r w:rsidRPr="00696A40">
        <w:rPr>
          <w:rFonts w:ascii="Garamond" w:hAnsi="Garamond"/>
          <w:sz w:val="20"/>
          <w:szCs w:val="20"/>
        </w:rPr>
        <w:t xml:space="preserve">enotes </w:t>
      </w:r>
      <w:r w:rsidRPr="00696A40">
        <w:rPr>
          <w:rFonts w:ascii="Garamond" w:hAnsi="Garamond" w:cs="Calibri"/>
          <w:sz w:val="20"/>
          <w:szCs w:val="20"/>
        </w:rPr>
        <w:t xml:space="preserve">activities for 2008-2011 </w:t>
      </w:r>
      <w:r w:rsidRPr="00FC2299">
        <w:rPr>
          <w:rFonts w:ascii="Garamond" w:hAnsi="Garamond" w:cs="Calibri"/>
          <w:sz w:val="20"/>
          <w:szCs w:val="20"/>
        </w:rPr>
        <w:t>estimated</w:t>
      </w:r>
      <w:r w:rsidRPr="00696A40">
        <w:rPr>
          <w:rFonts w:ascii="Garamond" w:hAnsi="Garamond" w:cs="Calibri"/>
          <w:sz w:val="20"/>
          <w:szCs w:val="20"/>
        </w:rPr>
        <w:t xml:space="preserve"> based on the 2012 ratio</w:t>
      </w:r>
    </w:p>
    <w:p w14:paraId="7AC3DD9B" w14:textId="77777777" w:rsidR="00D15C7D" w:rsidRPr="00696A40" w:rsidRDefault="00D15C7D" w:rsidP="00D15C7D">
      <w:pPr>
        <w:spacing w:after="240" w:line="240" w:lineRule="auto"/>
        <w:jc w:val="both"/>
        <w:rPr>
          <w:rFonts w:ascii="Garamond" w:hAnsi="Garamond" w:cs="Calibri"/>
          <w:sz w:val="20"/>
          <w:szCs w:val="20"/>
        </w:rPr>
      </w:pPr>
      <w:r w:rsidRPr="00696A40">
        <w:rPr>
          <w:rFonts w:ascii="Garamond" w:hAnsi="Garamond" w:cs="Calibri"/>
          <w:sz w:val="20"/>
          <w:szCs w:val="20"/>
        </w:rPr>
        <w:t xml:space="preserve">Source: World Bank </w:t>
      </w:r>
      <w:r>
        <w:rPr>
          <w:rFonts w:ascii="Garamond" w:hAnsi="Garamond" w:cs="Calibri"/>
          <w:sz w:val="20"/>
          <w:szCs w:val="20"/>
        </w:rPr>
        <w:t>s</w:t>
      </w:r>
      <w:r w:rsidRPr="00696A40">
        <w:rPr>
          <w:rFonts w:ascii="Garamond" w:hAnsi="Garamond" w:cs="Calibri"/>
          <w:sz w:val="20"/>
          <w:szCs w:val="20"/>
        </w:rPr>
        <w:t xml:space="preserve">taff </w:t>
      </w:r>
      <w:r w:rsidRPr="00FC2299">
        <w:rPr>
          <w:rFonts w:ascii="Garamond" w:hAnsi="Garamond" w:cs="Calibri"/>
          <w:sz w:val="20"/>
          <w:szCs w:val="20"/>
        </w:rPr>
        <w:t>c</w:t>
      </w:r>
      <w:r w:rsidRPr="00696A40">
        <w:rPr>
          <w:rFonts w:ascii="Garamond" w:hAnsi="Garamond" w:cs="Calibri"/>
          <w:sz w:val="20"/>
          <w:szCs w:val="20"/>
        </w:rPr>
        <w:t>alculations</w:t>
      </w:r>
    </w:p>
    <w:p w14:paraId="4719792C" w14:textId="77777777" w:rsidR="00D15C7D" w:rsidRPr="00B95556" w:rsidRDefault="00D15C7D" w:rsidP="00D15C7D">
      <w:pPr>
        <w:pStyle w:val="ListParagraph"/>
        <w:numPr>
          <w:ilvl w:val="0"/>
          <w:numId w:val="4"/>
        </w:numPr>
        <w:spacing w:before="240"/>
      </w:pPr>
      <w:r>
        <w:rPr>
          <w:b/>
        </w:rPr>
        <w:t>A t</w:t>
      </w:r>
      <w:r w:rsidRPr="00B95556">
        <w:rPr>
          <w:b/>
        </w:rPr>
        <w:t xml:space="preserve">rend analysis indicates that income tax expenditures peaked in 2011, then declined significantly </w:t>
      </w:r>
      <w:r>
        <w:rPr>
          <w:b/>
        </w:rPr>
        <w:t>through</w:t>
      </w:r>
      <w:r w:rsidRPr="00B95556">
        <w:rPr>
          <w:b/>
        </w:rPr>
        <w:t xml:space="preserve"> 2013 following the passage of new legislation</w:t>
      </w:r>
      <w:r w:rsidRPr="000C48CF">
        <w:rPr>
          <w:b/>
        </w:rPr>
        <w:t>.</w:t>
      </w:r>
      <w:r w:rsidRPr="000C48CF">
        <w:t xml:space="preserve"> </w:t>
      </w:r>
      <w:r w:rsidRPr="00B95556">
        <w:t>Data limitations notwithstanding, the reduction in income tax expenditure</w:t>
      </w:r>
      <w:r>
        <w:t>s</w:t>
      </w:r>
      <w:r w:rsidRPr="00B95556">
        <w:t xml:space="preserve"> appears to have been </w:t>
      </w:r>
      <w:r>
        <w:t xml:space="preserve">caused in </w:t>
      </w:r>
      <w:r w:rsidRPr="00B95556">
        <w:t xml:space="preserve">part </w:t>
      </w:r>
      <w:r>
        <w:t>by</w:t>
      </w:r>
      <w:r w:rsidRPr="00B95556">
        <w:t xml:space="preserve"> the removal of generous capital allowances</w:t>
      </w:r>
      <w:r w:rsidRPr="00B95556" w:rsidDel="00611636">
        <w:t xml:space="preserve"> </w:t>
      </w:r>
      <w:r w:rsidRPr="00B95556">
        <w:t xml:space="preserve">for mining companies </w:t>
      </w:r>
      <w:r>
        <w:t>combined with</w:t>
      </w:r>
      <w:r w:rsidRPr="00B95556">
        <w:t xml:space="preserve"> an increase in the corporate income tax rate from 25 to 35 percent. However, </w:t>
      </w:r>
      <w:r>
        <w:t xml:space="preserve">due to </w:t>
      </w:r>
      <w:r w:rsidRPr="00B95556">
        <w:t>data constraints and inconsistencies</w:t>
      </w:r>
      <w:r w:rsidR="00623F1E">
        <w:t>,</w:t>
      </w:r>
      <w:r w:rsidRPr="00B95556">
        <w:t xml:space="preserve"> </w:t>
      </w:r>
      <w:r>
        <w:t>these</w:t>
      </w:r>
      <w:r w:rsidRPr="00B95556">
        <w:t xml:space="preserve"> estimates </w:t>
      </w:r>
      <w:r>
        <w:t xml:space="preserve">should be treated </w:t>
      </w:r>
      <w:r w:rsidRPr="00B95556">
        <w:t>with caution</w:t>
      </w:r>
      <w:r>
        <w:t>. Further</w:t>
      </w:r>
      <w:r w:rsidR="00623F1E">
        <w:t>more,</w:t>
      </w:r>
      <w:r w:rsidR="0029191E">
        <w:t xml:space="preserve"> it</w:t>
      </w:r>
      <w:r>
        <w:t xml:space="preserve"> is not clear if fiscal stabilization clauses</w:t>
      </w:r>
      <w:r w:rsidR="00623F1E">
        <w:t>,</w:t>
      </w:r>
      <w:r>
        <w:t xml:space="preserve"> which limit big tax changes for the mining</w:t>
      </w:r>
      <w:r w:rsidR="0095459E">
        <w:t xml:space="preserve"> and </w:t>
      </w:r>
      <w:r>
        <w:t>petroleum industr</w:t>
      </w:r>
      <w:r w:rsidR="0095459E">
        <w:t>ies</w:t>
      </w:r>
      <w:r w:rsidR="00623F1E">
        <w:t>,</w:t>
      </w:r>
      <w:r>
        <w:t xml:space="preserve"> would become applicable in specific agreements between a mining company and the government</w:t>
      </w:r>
      <w:r w:rsidRPr="00B95556">
        <w:t xml:space="preserve">. </w:t>
      </w:r>
      <w:r>
        <w:t>For example, s</w:t>
      </w:r>
      <w:r w:rsidRPr="00B95556">
        <w:t xml:space="preserve">everal firms that received positive tax expenditures in 2011 and 2012 did not report any </w:t>
      </w:r>
      <w:r>
        <w:t>tax-expenditure</w:t>
      </w:r>
      <w:r w:rsidRPr="00B95556">
        <w:t xml:space="preserve"> estimates for 2013. Moreover, in 2013</w:t>
      </w:r>
      <w:r w:rsidR="0095459E">
        <w:t>,</w:t>
      </w:r>
      <w:r w:rsidRPr="00B95556">
        <w:t xml:space="preserve"> the </w:t>
      </w:r>
      <w:r>
        <w:t>GRA</w:t>
      </w:r>
      <w:r w:rsidRPr="00B95556">
        <w:t xml:space="preserve"> changed the methodology for calculating tax expenditures </w:t>
      </w:r>
      <w:r>
        <w:t>related to</w:t>
      </w:r>
      <w:r w:rsidRPr="00B95556">
        <w:t xml:space="preserve"> capital allowances</w:t>
      </w:r>
      <w:r>
        <w:t xml:space="preserve"> </w:t>
      </w:r>
      <w:r w:rsidRPr="00A03D1E">
        <w:t>(</w:t>
      </w:r>
      <w:r>
        <w:fldChar w:fldCharType="begin"/>
      </w:r>
      <w:r>
        <w:instrText xml:space="preserve"> REF _Ref472430071 \h </w:instrText>
      </w:r>
      <w:r>
        <w:fldChar w:fldCharType="separate"/>
      </w:r>
      <w:r w:rsidR="007B1CE6">
        <w:t xml:space="preserve">Table </w:t>
      </w:r>
      <w:r w:rsidR="007B1CE6">
        <w:rPr>
          <w:noProof/>
        </w:rPr>
        <w:t>2</w:t>
      </w:r>
      <w:r w:rsidR="007B1CE6">
        <w:t>.</w:t>
      </w:r>
      <w:r w:rsidR="007B1CE6">
        <w:rPr>
          <w:noProof/>
        </w:rPr>
        <w:t>9</w:t>
      </w:r>
      <w:r>
        <w:fldChar w:fldCharType="end"/>
      </w:r>
      <w:r w:rsidRPr="00A03D1E">
        <w:t>)</w:t>
      </w:r>
      <w:r w:rsidRPr="00B95556">
        <w:t xml:space="preserve">. </w:t>
      </w:r>
    </w:p>
    <w:p w14:paraId="374A5C2F" w14:textId="77777777" w:rsidR="00D15C7D" w:rsidRDefault="00D15C7D" w:rsidP="00D15C7D">
      <w:pPr>
        <w:pStyle w:val="ListParagraph"/>
        <w:numPr>
          <w:ilvl w:val="0"/>
          <w:numId w:val="4"/>
        </w:numPr>
        <w:spacing w:before="240"/>
      </w:pPr>
      <w:r w:rsidRPr="00696A40">
        <w:rPr>
          <w:b/>
        </w:rPr>
        <w:t>T</w:t>
      </w:r>
      <w:r w:rsidRPr="00FC2299">
        <w:rPr>
          <w:b/>
        </w:rPr>
        <w:t xml:space="preserve">he analysis also reveals compliance problems among firms located in free zones, especially those that are still within their tax-holiday period. </w:t>
      </w:r>
      <w:r w:rsidRPr="00FC2299">
        <w:t>Many of these firms failed to file timely and complete returns, which may indicate a deliberate effort to obscur</w:t>
      </w:r>
      <w:r>
        <w:t>e</w:t>
      </w:r>
      <w:r w:rsidRPr="00FC2299">
        <w:t xml:space="preserve"> the amount of foregone revenue resulting from tax exemptions. However, </w:t>
      </w:r>
      <w:r>
        <w:t xml:space="preserve">analyzing the extent and causes of </w:t>
      </w:r>
      <w:r w:rsidRPr="00FC2299">
        <w:t xml:space="preserve">noncompliance is beyond the scope of this analysis. In the absence of complete data, tax expenditures </w:t>
      </w:r>
      <w:r>
        <w:t>are</w:t>
      </w:r>
      <w:r w:rsidRPr="00FC2299">
        <w:t xml:space="preserve"> estimated by using the ratios from the previous year.</w:t>
      </w:r>
    </w:p>
    <w:p w14:paraId="3ABF50B0" w14:textId="77777777" w:rsidR="00D15C7D" w:rsidRPr="006526B8" w:rsidRDefault="00D15C7D" w:rsidP="00D15C7D">
      <w:pPr>
        <w:pStyle w:val="ListParagraph"/>
        <w:numPr>
          <w:ilvl w:val="0"/>
          <w:numId w:val="4"/>
        </w:numPr>
        <w:spacing w:before="240"/>
      </w:pPr>
      <w:r w:rsidRPr="006526B8">
        <w:rPr>
          <w:b/>
        </w:rPr>
        <w:t>Although tax holid</w:t>
      </w:r>
      <w:r w:rsidRPr="00A03D1E">
        <w:rPr>
          <w:b/>
        </w:rPr>
        <w:t xml:space="preserve">ays have been shown to increase FDI, there is evidence that they do not boost total investment, but instead </w:t>
      </w:r>
      <w:r w:rsidRPr="006526B8">
        <w:rPr>
          <w:b/>
        </w:rPr>
        <w:t xml:space="preserve">discourage long-term ventures in favor of a “race-to the bottom” among </w:t>
      </w:r>
      <w:r w:rsidRPr="00A03D1E">
        <w:rPr>
          <w:b/>
        </w:rPr>
        <w:t>investors seeking s</w:t>
      </w:r>
      <w:r w:rsidRPr="00E71DA6">
        <w:rPr>
          <w:b/>
        </w:rPr>
        <w:t>hort-term returns.</w:t>
      </w:r>
      <w:r w:rsidRPr="00E71DA6">
        <w:t xml:space="preserve"> Data from 40 countries in Latin America, the Caribbean</w:t>
      </w:r>
      <w:r w:rsidR="009E0398">
        <w:t>,</w:t>
      </w:r>
      <w:r w:rsidRPr="00E71DA6">
        <w:t xml:space="preserve"> and Africa between 1985 and 2004 reveal no correlation between changes in the length of tax holidays and economic growth rates, which may imply that FDI fully displaces domestic investment.</w:t>
      </w:r>
      <w:r w:rsidRPr="00E71DA6">
        <w:rPr>
          <w:rStyle w:val="FootnoteReference"/>
        </w:rPr>
        <w:footnoteReference w:id="55"/>
      </w:r>
      <w:r w:rsidRPr="00E71DA6">
        <w:t xml:space="preserve"> Tax holidays also tend to favor short-term projects, as recipient firms attempt to rapidly increase profits while keeping expenses low. This may delay or discourage the growth of </w:t>
      </w:r>
      <w:r w:rsidRPr="00E71DA6">
        <w:lastRenderedPageBreak/>
        <w:t>industries with long-term capital needs.</w:t>
      </w:r>
      <w:r w:rsidRPr="00E71DA6">
        <w:rPr>
          <w:rStyle w:val="FootnoteReference"/>
        </w:rPr>
        <w:footnoteReference w:id="56"/>
      </w:r>
      <w:r w:rsidRPr="00E71DA6">
        <w:t xml:space="preserve"> Furthermore, the comparative data, especially from Africa, show downward pressure on tax rates as countries compete to offer the most favorable tax regime.</w:t>
      </w:r>
      <w:r w:rsidRPr="00E71DA6">
        <w:rPr>
          <w:rStyle w:val="FootnoteReference"/>
        </w:rPr>
        <w:footnoteReference w:id="57"/>
      </w:r>
      <w:r w:rsidRPr="00E71DA6">
        <w:t xml:space="preserve"> For these reasons many countries, including most members of the OECD have reduced or eliminated tax holidays. For instance, Mozambique replaced many of its tax holidays in 2002 with targeted incentives, such as investment tax credits, which </w:t>
      </w:r>
      <w:r>
        <w:t>are</w:t>
      </w:r>
      <w:r w:rsidRPr="006526B8">
        <w:t xml:space="preserve"> less costly and easier to monitor.</w:t>
      </w:r>
      <w:r w:rsidRPr="006526B8">
        <w:rPr>
          <w:rStyle w:val="FootnoteReference"/>
        </w:rPr>
        <w:footnoteReference w:id="58"/>
      </w:r>
    </w:p>
    <w:p w14:paraId="58875311" w14:textId="77777777" w:rsidR="00D15C7D" w:rsidRPr="006526B8" w:rsidRDefault="00D15C7D" w:rsidP="00D15C7D">
      <w:pPr>
        <w:pStyle w:val="ListParagraph"/>
        <w:numPr>
          <w:ilvl w:val="0"/>
          <w:numId w:val="4"/>
        </w:numPr>
        <w:spacing w:before="240"/>
      </w:pPr>
      <w:r w:rsidRPr="006526B8">
        <w:rPr>
          <w:b/>
        </w:rPr>
        <w:t xml:space="preserve">The international experience with location-based tax incentives in Africa suggests that they frequently fail to generate a net increase in investment. </w:t>
      </w:r>
      <w:r w:rsidRPr="006526B8">
        <w:t>Location-based incentives, including free zones and special economic zones</w:t>
      </w:r>
      <w:r>
        <w:t xml:space="preserve">, </w:t>
      </w:r>
      <w:r w:rsidRPr="006526B8">
        <w:t xml:space="preserve">account for more than half of Ghana’s </w:t>
      </w:r>
      <w:r>
        <w:t>corporate income tax</w:t>
      </w:r>
      <w:r w:rsidRPr="006526B8">
        <w:t xml:space="preserve"> expenditures. While the success of free zones in Singapore, Hong Kong, Korea</w:t>
      </w:r>
      <w:r w:rsidR="007F5F7F">
        <w:t>,</w:t>
      </w:r>
      <w:r w:rsidRPr="006526B8">
        <w:t xml:space="preserve"> and China dramatically </w:t>
      </w:r>
      <w:r>
        <w:t>increased their global popularity</w:t>
      </w:r>
      <w:r w:rsidRPr="006526B8">
        <w:t>,</w:t>
      </w:r>
      <w:r w:rsidRPr="006526B8">
        <w:rPr>
          <w:rStyle w:val="FootnoteReference"/>
        </w:rPr>
        <w:footnoteReference w:id="59"/>
      </w:r>
      <w:r w:rsidRPr="006526B8">
        <w:t xml:space="preserve"> there is little evidence that these policies have yielded similar </w:t>
      </w:r>
      <w:r>
        <w:t>returns</w:t>
      </w:r>
      <w:r w:rsidRPr="006526B8">
        <w:t xml:space="preserve"> in Africa.</w:t>
      </w:r>
      <w:r w:rsidRPr="006526B8">
        <w:rPr>
          <w:rStyle w:val="FootnoteReference"/>
        </w:rPr>
        <w:footnoteReference w:id="60"/>
      </w:r>
      <w:r w:rsidRPr="006526B8">
        <w:t xml:space="preserve"> Between 2004 and 2007, all free zones in Sub-Saharan Africa generated a combined 1 million jobs and just US$8.6 million in exports. In some countries, free zones proved totally ineffective. Senegal’s free zones, for example, have failed to increase employment despite their substantial fiscal cost.</w:t>
      </w:r>
      <w:r w:rsidRPr="006526B8">
        <w:rPr>
          <w:rStyle w:val="FootnoteReference"/>
        </w:rPr>
        <w:footnoteReference w:id="61"/>
      </w:r>
      <w:r w:rsidRPr="006526B8">
        <w:t xml:space="preserve"> </w:t>
      </w:r>
    </w:p>
    <w:p w14:paraId="5A8A98ED" w14:textId="77777777" w:rsidR="00D15C7D" w:rsidRPr="006526B8" w:rsidRDefault="00D15C7D" w:rsidP="00D15C7D">
      <w:pPr>
        <w:pStyle w:val="ListParagraph"/>
        <w:numPr>
          <w:ilvl w:val="0"/>
          <w:numId w:val="4"/>
        </w:numPr>
        <w:spacing w:before="240"/>
      </w:pPr>
      <w:r w:rsidRPr="006526B8">
        <w:rPr>
          <w:b/>
        </w:rPr>
        <w:t>There are two leading explanations for the inability of African free zones to match the success of those in East Asia.</w:t>
      </w:r>
      <w:r w:rsidRPr="006526B8">
        <w:t xml:space="preserve"> The first is the nascent state of the industrial sectors </w:t>
      </w:r>
      <w:r>
        <w:t>in</w:t>
      </w:r>
      <w:r w:rsidRPr="006526B8">
        <w:t xml:space="preserve"> most African countries</w:t>
      </w:r>
      <w:r>
        <w:t>. T</w:t>
      </w:r>
      <w:r w:rsidRPr="006526B8">
        <w:t>he second is flaws in the legal and institutional arrangements governing free zones.</w:t>
      </w:r>
      <w:r w:rsidRPr="006526B8">
        <w:rPr>
          <w:rStyle w:val="FootnoteReference"/>
        </w:rPr>
        <w:footnoteReference w:id="62"/>
      </w:r>
      <w:r w:rsidRPr="006526B8">
        <w:t xml:space="preserve"> </w:t>
      </w:r>
      <w:r>
        <w:t>These explanations are nonexclusive and may in fact be mutually reinforcing. Previous analysis by the World Bank has identified s</w:t>
      </w:r>
      <w:r w:rsidRPr="006526B8">
        <w:t>even key weaknesses in African free zones: (i) an outdated or incomplete legal, regulatory</w:t>
      </w:r>
      <w:r w:rsidR="008A7D84">
        <w:t>,</w:t>
      </w:r>
      <w:r w:rsidRPr="006526B8">
        <w:t xml:space="preserve"> and institutional framework; (ii) a poor business environment; (iii) a lack of strategic planning and demand-driven policy design; (iv) infrastructure constraints; (v) inadequate free-zone management experience; (vi) policy inconsistencies; and (vii) unresolved resettlement issues.</w:t>
      </w:r>
      <w:r w:rsidRPr="006526B8">
        <w:rPr>
          <w:rStyle w:val="FootnoteReference"/>
        </w:rPr>
        <w:footnoteReference w:id="63"/>
      </w:r>
    </w:p>
    <w:p w14:paraId="1219AF91" w14:textId="77777777" w:rsidR="00D15C7D" w:rsidRPr="00CB218A" w:rsidRDefault="00D15C7D" w:rsidP="00D15C7D">
      <w:pPr>
        <w:pStyle w:val="ListParagraph"/>
        <w:numPr>
          <w:ilvl w:val="0"/>
          <w:numId w:val="4"/>
        </w:numPr>
        <w:spacing w:before="240"/>
      </w:pPr>
      <w:r w:rsidRPr="006526B8">
        <w:rPr>
          <w:b/>
        </w:rPr>
        <w:t xml:space="preserve">Free zones and special economic zones are also inherently vulnerable to misuse. </w:t>
      </w:r>
      <w:r w:rsidRPr="006526B8">
        <w:t xml:space="preserve">Investors can take advantage of preferential tax treatment by establishing nominal offices in free zones or low-tax regions without </w:t>
      </w:r>
      <w:r>
        <w:t>moving</w:t>
      </w:r>
      <w:r w:rsidRPr="006526B8">
        <w:t xml:space="preserve"> their productive assets. Transfer pricing can occur within the domestic economy without being detected by the tax authorities, and affiliated businesses can </w:t>
      </w:r>
      <w:r>
        <w:t>shift</w:t>
      </w:r>
      <w:r w:rsidRPr="006526B8">
        <w:t xml:space="preserve"> their profits to whichever </w:t>
      </w:r>
      <w:r>
        <w:t>affiliate</w:t>
      </w:r>
      <w:r w:rsidRPr="006526B8">
        <w:t xml:space="preserve"> pays the lowest rate. Moreover, even if firms do relocate their operations to a free zone or low-tax region, th</w:t>
      </w:r>
      <w:r>
        <w:t>ey</w:t>
      </w:r>
      <w:r w:rsidRPr="006526B8">
        <w:t xml:space="preserve"> may</w:t>
      </w:r>
      <w:r>
        <w:t xml:space="preserve"> simply be reallocating</w:t>
      </w:r>
      <w:r w:rsidRPr="006526B8">
        <w:t xml:space="preserve"> capital and employment within the domestic economy</w:t>
      </w:r>
      <w:r>
        <w:t>, and investors may choose to locate their businesses in free zones or low-tax regions even if these investments would have been viable outside of them. In either case, the location-based incentive would incur</w:t>
      </w:r>
      <w:r w:rsidRPr="006526B8">
        <w:t xml:space="preserve"> a net tax-revenue loss without attracting any additional investment. </w:t>
      </w:r>
      <w:r>
        <w:t>Indeed, f</w:t>
      </w:r>
      <w:r w:rsidRPr="006526B8">
        <w:t>ree zones for exporters in Costa Rica, El Salvador</w:t>
      </w:r>
      <w:r w:rsidR="00CB3702">
        <w:t>,</w:t>
      </w:r>
      <w:r w:rsidRPr="006526B8">
        <w:t xml:space="preserve"> and the Dominican Republic have been found to favor highly profitabl</w:t>
      </w:r>
      <w:r>
        <w:t>e</w:t>
      </w:r>
      <w:r w:rsidRPr="00CB218A">
        <w:t xml:space="preserve"> projects that would likely have been implemented without tax incentives. </w:t>
      </w:r>
      <w:r>
        <w:t>Moreover, many p</w:t>
      </w:r>
      <w:r w:rsidRPr="00CB218A">
        <w:t xml:space="preserve">rojects located in free zones </w:t>
      </w:r>
      <w:r>
        <w:t xml:space="preserve">have been </w:t>
      </w:r>
      <w:r w:rsidRPr="00CB218A">
        <w:t xml:space="preserve">restructured over time to </w:t>
      </w:r>
      <w:r>
        <w:t>extend</w:t>
      </w:r>
      <w:r w:rsidRPr="00CB218A">
        <w:t xml:space="preserve"> their </w:t>
      </w:r>
      <w:r>
        <w:t>tax benefits well beyond the timeframe policymakers intended</w:t>
      </w:r>
      <w:r w:rsidRPr="00CB218A">
        <w:t xml:space="preserve">. </w:t>
      </w:r>
      <w:r>
        <w:t xml:space="preserve">Finally, </w:t>
      </w:r>
      <w:r w:rsidRPr="00CB218A">
        <w:t xml:space="preserve">free zones </w:t>
      </w:r>
      <w:r>
        <w:t>have</w:t>
      </w:r>
      <w:r w:rsidRPr="00CB218A">
        <w:t xml:space="preserve"> </w:t>
      </w:r>
      <w:r w:rsidRPr="00CB218A">
        <w:lastRenderedPageBreak/>
        <w:t>enabled global tax avoidance through transfer pricing between firms located inside and outside the zones.</w:t>
      </w:r>
      <w:r w:rsidRPr="00CB218A">
        <w:rPr>
          <w:rStyle w:val="FootnoteReference"/>
        </w:rPr>
        <w:footnoteReference w:id="64"/>
      </w:r>
      <w:r w:rsidRPr="00CB218A">
        <w:t xml:space="preserve"> </w:t>
      </w:r>
    </w:p>
    <w:p w14:paraId="7E70FDA0" w14:textId="77777777" w:rsidR="00D15C7D" w:rsidRPr="00CB218A" w:rsidRDefault="00D15C7D" w:rsidP="00D15C7D">
      <w:pPr>
        <w:pStyle w:val="ListParagraph"/>
        <w:numPr>
          <w:ilvl w:val="0"/>
          <w:numId w:val="4"/>
        </w:numPr>
        <w:spacing w:before="240"/>
      </w:pPr>
      <w:r w:rsidRPr="00CB218A">
        <w:rPr>
          <w:b/>
        </w:rPr>
        <w:t>Similarly, granting preferential tax incentives to certain economic sectors can distort the allocation of productive factors and create opportunities for firms to exploit tax advantages without generating a net increase in investment or job creation.</w:t>
      </w:r>
      <w:r w:rsidRPr="00CB218A">
        <w:t xml:space="preserve"> Sector-based tax incentives represent over 40 percent of Ghana’s </w:t>
      </w:r>
      <w:r>
        <w:t>corporate income tax</w:t>
      </w:r>
      <w:r w:rsidRPr="00CB218A">
        <w:t xml:space="preserve"> expenditures, </w:t>
      </w:r>
      <w:r>
        <w:t>and</w:t>
      </w:r>
      <w:r w:rsidRPr="00CB218A">
        <w:t xml:space="preserve"> these policies are subject to several important drawbacks. Providing tax incentives to low-productivity industries and sectors can diminish the competitiveness of firms in related industries and sectors and reduce overall economic productivity.</w:t>
      </w:r>
      <w:r w:rsidRPr="00CB218A">
        <w:rPr>
          <w:rStyle w:val="FootnoteReference"/>
        </w:rPr>
        <w:footnoteReference w:id="65"/>
      </w:r>
      <w:r w:rsidRPr="00CB218A">
        <w:t xml:space="preserve"> Conversely, providing incentives to highly productive industries and sectors </w:t>
      </w:r>
      <w:r>
        <w:t>may incur substantial fiscal costs with little or no economic benefit</w:t>
      </w:r>
      <w:r w:rsidRPr="00CB218A">
        <w:t xml:space="preserve">. In addition, preferential tax incentives impose a large administrative burden on both the private sector and the tax </w:t>
      </w:r>
      <w:r>
        <w:t>authority</w:t>
      </w:r>
      <w:r w:rsidRPr="00CB218A">
        <w:t xml:space="preserve">, and they can </w:t>
      </w:r>
      <w:r>
        <w:t>multiply</w:t>
      </w:r>
      <w:r w:rsidRPr="00CB218A">
        <w:t xml:space="preserve"> opportunities for tax avoidance. For example, VAT exemptions on agricultural inputs </w:t>
      </w:r>
      <w:r>
        <w:t>often</w:t>
      </w:r>
      <w:r w:rsidRPr="00CB218A">
        <w:t xml:space="preserve"> prove difficult to administer, as many agricultural inputs can also be used in other economic activities.</w:t>
      </w:r>
      <w:r w:rsidRPr="00CB218A">
        <w:rPr>
          <w:rStyle w:val="FootnoteReference"/>
        </w:rPr>
        <w:footnoteReference w:id="66"/>
      </w:r>
      <w:r w:rsidRPr="00CB218A">
        <w:t xml:space="preserve"> Policymakers can address this by exempting only a narrow list of specific inputs, such as fertilizer, or by creating strict registration requirements for importers</w:t>
      </w:r>
      <w:r>
        <w:t>,</w:t>
      </w:r>
      <w:r w:rsidRPr="00CB218A">
        <w:t xml:space="preserve"> </w:t>
      </w:r>
      <w:r>
        <w:t>but</w:t>
      </w:r>
      <w:r w:rsidRPr="00CB218A">
        <w:t xml:space="preserve"> while these measures can greatly increase compliance and verification costs, they do not ensure that preferential incentives will prove effective.</w:t>
      </w:r>
      <w:r w:rsidRPr="00CB218A">
        <w:rPr>
          <w:rStyle w:val="FootnoteReference"/>
        </w:rPr>
        <w:footnoteReference w:id="67"/>
      </w:r>
      <w:r w:rsidRPr="00CB218A">
        <w:t xml:space="preserve"> For instance, a recent study in Tanzania showed that agricultural tax incentives did little to benefit the sector.</w:t>
      </w:r>
      <w:r w:rsidRPr="00CB218A">
        <w:rPr>
          <w:rStyle w:val="FootnoteReference"/>
        </w:rPr>
        <w:footnoteReference w:id="68"/>
      </w:r>
      <w:r w:rsidRPr="00CB218A">
        <w:t xml:space="preserve"> Furthermore, as with location-based incentives, a company involved in several sectors can move profits from one subsidiary to another to secure the best tax rate</w:t>
      </w:r>
      <w:r>
        <w:t>, and d</w:t>
      </w:r>
      <w:r w:rsidRPr="00CB218A">
        <w:t>ue to the complexity of the accounting involved, the resulting net public revenue loss would be difficult to measure or even identify.</w:t>
      </w:r>
      <w:r w:rsidRPr="00CB218A">
        <w:rPr>
          <w:rStyle w:val="FootnoteReference"/>
        </w:rPr>
        <w:footnoteReference w:id="69"/>
      </w:r>
    </w:p>
    <w:p w14:paraId="4FBEECEB" w14:textId="77777777" w:rsidR="00D15C7D" w:rsidRPr="00E45355" w:rsidRDefault="00D15C7D" w:rsidP="00D15C7D">
      <w:pPr>
        <w:pStyle w:val="Heading2"/>
      </w:pPr>
      <w:bookmarkStart w:id="88" w:name="_Toc479624882"/>
      <w:bookmarkStart w:id="89" w:name="_Toc432756819"/>
      <w:r w:rsidRPr="00E45355">
        <w:t>Recent Policy Developments</w:t>
      </w:r>
      <w:bookmarkEnd w:id="88"/>
    </w:p>
    <w:p w14:paraId="6A93CEB5" w14:textId="77777777" w:rsidR="00D15C7D" w:rsidRPr="00422747" w:rsidRDefault="00D15C7D" w:rsidP="00D15C7D">
      <w:pPr>
        <w:pStyle w:val="ListParagraph"/>
        <w:numPr>
          <w:ilvl w:val="0"/>
          <w:numId w:val="4"/>
        </w:numPr>
        <w:spacing w:before="240"/>
        <w:rPr>
          <w:b/>
        </w:rPr>
      </w:pPr>
      <w:r w:rsidRPr="0083748B">
        <w:rPr>
          <w:rFonts w:eastAsia="Times New Roman"/>
          <w:b/>
        </w:rPr>
        <w:t xml:space="preserve">As part of Ghana’s ongoing fiscal consolidation program, the government has taken steps to reduce tax expenditures. </w:t>
      </w:r>
      <w:r w:rsidRPr="0083748B">
        <w:rPr>
          <w:rFonts w:eastAsia="Times New Roman"/>
        </w:rPr>
        <w:t xml:space="preserve">The MoF has intensified its oversight in an effort to limit the use of special permits that exempt imports from customs duties and VAT. The Cabinet also amended the process for approving exemptions to include compulsory clearance by the MoF. Yet despite these positive steps, the government likely approved additional exemptions for election-related imports ahead of the general election in December 2016. </w:t>
      </w:r>
    </w:p>
    <w:p w14:paraId="436DDFB4" w14:textId="77777777" w:rsidR="00D15C7D" w:rsidRPr="00F17B09" w:rsidRDefault="00D15C7D" w:rsidP="00D15C7D">
      <w:pPr>
        <w:pStyle w:val="ListParagraph"/>
        <w:numPr>
          <w:ilvl w:val="0"/>
          <w:numId w:val="4"/>
        </w:numPr>
        <w:spacing w:before="240"/>
      </w:pPr>
      <w:r w:rsidRPr="00041FF6">
        <w:rPr>
          <w:b/>
        </w:rPr>
        <w:t xml:space="preserve">The Ghana Investment Promotion Centre is legally authorized to negotiate specific tax incentives with the approval of the </w:t>
      </w:r>
      <w:r>
        <w:rPr>
          <w:b/>
        </w:rPr>
        <w:t>MoF</w:t>
      </w:r>
      <w:r w:rsidRPr="00041FF6">
        <w:rPr>
          <w:b/>
        </w:rPr>
        <w:t xml:space="preserve"> and the Office of the President.</w:t>
      </w:r>
      <w:r w:rsidRPr="00F17B09">
        <w:t xml:space="preserve"> In the past, investors </w:t>
      </w:r>
      <w:r>
        <w:t xml:space="preserve">who </w:t>
      </w:r>
      <w:r w:rsidRPr="00F17B09">
        <w:t>introduc</w:t>
      </w:r>
      <w:r>
        <w:t>ed</w:t>
      </w:r>
      <w:r w:rsidRPr="00F17B09">
        <w:t xml:space="preserve"> new technolog</w:t>
      </w:r>
      <w:r>
        <w:t xml:space="preserve">ies </w:t>
      </w:r>
      <w:r w:rsidRPr="00F17B09">
        <w:t xml:space="preserve">or productive systems </w:t>
      </w:r>
      <w:r>
        <w:t>were</w:t>
      </w:r>
      <w:r w:rsidRPr="00F17B09">
        <w:t xml:space="preserve"> granted special tax incentives. However, these were negotiated without the involvement of the </w:t>
      </w:r>
      <w:r>
        <w:t>MoF</w:t>
      </w:r>
      <w:r w:rsidRPr="00F17B09">
        <w:t>, and as a result</w:t>
      </w:r>
      <w:r w:rsidR="00FC7A82">
        <w:t>,</w:t>
      </w:r>
      <w:r w:rsidRPr="00F17B09">
        <w:t xml:space="preserve"> their terms did not necessarily reflect the government’s fiscal priorities. </w:t>
      </w:r>
      <w:r>
        <w:t>T</w:t>
      </w:r>
      <w:r w:rsidRPr="00F17B09">
        <w:t xml:space="preserve">he </w:t>
      </w:r>
      <w:r>
        <w:t>center</w:t>
      </w:r>
      <w:r w:rsidRPr="00F17B09">
        <w:t xml:space="preserve"> </w:t>
      </w:r>
      <w:r>
        <w:t xml:space="preserve">is now required </w:t>
      </w:r>
      <w:r w:rsidRPr="00F17B09">
        <w:t xml:space="preserve">to obtain the approval of both the </w:t>
      </w:r>
      <w:r>
        <w:t>MoF</w:t>
      </w:r>
      <w:r w:rsidRPr="00F17B09">
        <w:t xml:space="preserve"> and the Office of the President before granting any new tax incentives.</w:t>
      </w:r>
    </w:p>
    <w:p w14:paraId="692BD015" w14:textId="77777777" w:rsidR="00D15C7D" w:rsidRDefault="00D15C7D" w:rsidP="00D15C7D">
      <w:pPr>
        <w:pStyle w:val="ListParagraph"/>
        <w:numPr>
          <w:ilvl w:val="0"/>
          <w:numId w:val="4"/>
        </w:numPr>
        <w:spacing w:before="240"/>
      </w:pPr>
      <w:r w:rsidRPr="00041FF6">
        <w:rPr>
          <w:b/>
        </w:rPr>
        <w:t xml:space="preserve">The government has also revised the system for </w:t>
      </w:r>
      <w:r>
        <w:rPr>
          <w:b/>
        </w:rPr>
        <w:t xml:space="preserve">administering </w:t>
      </w:r>
      <w:r w:rsidRPr="00F17B09">
        <w:rPr>
          <w:b/>
        </w:rPr>
        <w:t xml:space="preserve">import </w:t>
      </w:r>
      <w:r w:rsidRPr="00041FF6">
        <w:rPr>
          <w:b/>
        </w:rPr>
        <w:t xml:space="preserve">VAT </w:t>
      </w:r>
      <w:r w:rsidRPr="00F17B09">
        <w:rPr>
          <w:b/>
        </w:rPr>
        <w:t xml:space="preserve">exemptions </w:t>
      </w:r>
      <w:r w:rsidRPr="00041FF6">
        <w:rPr>
          <w:b/>
        </w:rPr>
        <w:t xml:space="preserve">in an effort to improve </w:t>
      </w:r>
      <w:r w:rsidRPr="00F17B09">
        <w:rPr>
          <w:b/>
        </w:rPr>
        <w:t xml:space="preserve">its </w:t>
      </w:r>
      <w:r w:rsidRPr="00041FF6">
        <w:rPr>
          <w:b/>
        </w:rPr>
        <w:t>transparency</w:t>
      </w:r>
      <w:r w:rsidRPr="00F17B09">
        <w:rPr>
          <w:b/>
        </w:rPr>
        <w:t xml:space="preserve"> and integrity</w:t>
      </w:r>
      <w:r w:rsidRPr="00041FF6">
        <w:rPr>
          <w:b/>
        </w:rPr>
        <w:t>.</w:t>
      </w:r>
      <w:r w:rsidRPr="00F17B09">
        <w:t xml:space="preserve"> Instead of filing a VAT</w:t>
      </w:r>
      <w:r>
        <w:t>-</w:t>
      </w:r>
      <w:r w:rsidRPr="00F17B09">
        <w:t xml:space="preserve">relief purchase order, importers are now required to pay the full tax at the port of entry before </w:t>
      </w:r>
      <w:r>
        <w:t>applying</w:t>
      </w:r>
      <w:r w:rsidRPr="00F17B09">
        <w:t xml:space="preserve"> for </w:t>
      </w:r>
      <w:r w:rsidRPr="00F17B09">
        <w:lastRenderedPageBreak/>
        <w:t xml:space="preserve">a refund. While this </w:t>
      </w:r>
      <w:r>
        <w:t xml:space="preserve">reform </w:t>
      </w:r>
      <w:r w:rsidRPr="00F17B09">
        <w:t>has strengthened revenue collection and hel</w:t>
      </w:r>
      <w:r>
        <w:t>p</w:t>
      </w:r>
      <w:r w:rsidRPr="00F17B09">
        <w:t xml:space="preserve">ed curb ineligible exemptions, </w:t>
      </w:r>
      <w:r>
        <w:t>the new system</w:t>
      </w:r>
      <w:r w:rsidRPr="00F17B09">
        <w:t xml:space="preserve"> may impose a burden on small businesses with limited capital, especially </w:t>
      </w:r>
      <w:r>
        <w:t xml:space="preserve">those that </w:t>
      </w:r>
      <w:r w:rsidRPr="00F17B09">
        <w:t xml:space="preserve">had factored </w:t>
      </w:r>
      <w:r w:rsidRPr="00CB218A">
        <w:t>ex</w:t>
      </w:r>
      <w:r>
        <w:t>-</w:t>
      </w:r>
      <w:r w:rsidRPr="00CB218A">
        <w:t>ante</w:t>
      </w:r>
      <w:r w:rsidRPr="00F17B09">
        <w:t xml:space="preserve"> exemptions into their business plans. Similarly, any significant delay in the refund process could create cash-flow problems among importers and potentially encourage informality.</w:t>
      </w:r>
    </w:p>
    <w:p w14:paraId="50DAB1B6" w14:textId="77777777" w:rsidR="00D15C7D" w:rsidRPr="00E45355" w:rsidRDefault="00D15C7D" w:rsidP="00D15C7D">
      <w:pPr>
        <w:pStyle w:val="Heading2"/>
      </w:pPr>
      <w:bookmarkStart w:id="90" w:name="_Toc479624883"/>
      <w:r w:rsidRPr="00E45355">
        <w:t>Conclusions and Recommendations</w:t>
      </w:r>
      <w:bookmarkEnd w:id="89"/>
      <w:bookmarkEnd w:id="90"/>
    </w:p>
    <w:p w14:paraId="70E06529" w14:textId="77777777" w:rsidR="00D15C7D" w:rsidRPr="00CB218A" w:rsidRDefault="00D15C7D" w:rsidP="00D15C7D">
      <w:pPr>
        <w:pStyle w:val="ListParagraph"/>
        <w:numPr>
          <w:ilvl w:val="0"/>
          <w:numId w:val="4"/>
        </w:numPr>
        <w:spacing w:before="240"/>
        <w:rPr>
          <w:i/>
          <w:szCs w:val="24"/>
        </w:rPr>
      </w:pPr>
      <w:r w:rsidRPr="00CB218A">
        <w:rPr>
          <w:b/>
        </w:rPr>
        <w:t>The international experience has shown that tax expenditures typically have a limited impact on</w:t>
      </w:r>
      <w:r w:rsidRPr="00CB218A">
        <w:rPr>
          <w:rFonts w:cs="Times New Roman"/>
          <w:b/>
        </w:rPr>
        <w:t xml:space="preserve"> investment and are often a source of serious fiscal and political-economic risks.</w:t>
      </w:r>
      <w:r w:rsidRPr="00CB218A">
        <w:rPr>
          <w:rFonts w:cs="Times New Roman"/>
        </w:rPr>
        <w:t xml:space="preserve"> Income tax expenditures, such as tax holidays, tend to attract low</w:t>
      </w:r>
      <w:r>
        <w:rPr>
          <w:rFonts w:cs="Times New Roman"/>
        </w:rPr>
        <w:t>-</w:t>
      </w:r>
      <w:r w:rsidRPr="00CB218A">
        <w:rPr>
          <w:rFonts w:cs="Times New Roman"/>
        </w:rPr>
        <w:t>margin, highly mobile forms of</w:t>
      </w:r>
      <w:r>
        <w:rPr>
          <w:rFonts w:cs="Times New Roman"/>
        </w:rPr>
        <w:t xml:space="preserve"> capital</w:t>
      </w:r>
      <w:r w:rsidRPr="0037514E">
        <w:rPr>
          <w:rFonts w:cs="Times New Roman"/>
        </w:rPr>
        <w:t xml:space="preserve"> </w:t>
      </w:r>
      <w:r>
        <w:rPr>
          <w:rFonts w:cs="Times New Roman"/>
        </w:rPr>
        <w:t>at the expense of longer-term</w:t>
      </w:r>
      <w:r w:rsidRPr="002A28C1">
        <w:rPr>
          <w:rFonts w:cs="Times New Roman"/>
        </w:rPr>
        <w:t xml:space="preserve"> </w:t>
      </w:r>
      <w:r w:rsidRPr="00A47F7D">
        <w:rPr>
          <w:rFonts w:cs="Times New Roman"/>
        </w:rPr>
        <w:t>investment</w:t>
      </w:r>
      <w:r w:rsidRPr="0037514E">
        <w:rPr>
          <w:rFonts w:cs="Times New Roman"/>
        </w:rPr>
        <w:t xml:space="preserve">. </w:t>
      </w:r>
      <w:r>
        <w:rPr>
          <w:rFonts w:cs="Times New Roman"/>
        </w:rPr>
        <w:t xml:space="preserve">Tax expenditures targeted </w:t>
      </w:r>
      <w:r w:rsidR="007F4311">
        <w:rPr>
          <w:rFonts w:cs="Times New Roman"/>
        </w:rPr>
        <w:t xml:space="preserve">at </w:t>
      </w:r>
      <w:r>
        <w:rPr>
          <w:rFonts w:cs="Times New Roman"/>
        </w:rPr>
        <w:t>low-productivity sectors can erode economy-wide productivity, while expenditures targeted to highly productive sectors are often superfluous. B</w:t>
      </w:r>
      <w:r w:rsidRPr="00CB218A">
        <w:rPr>
          <w:rFonts w:cs="Times New Roman"/>
        </w:rPr>
        <w:t>ecause all types of tax expenditure are especially ineffective in attracting investment in</w:t>
      </w:r>
      <w:r>
        <w:rPr>
          <w:rFonts w:cs="Times New Roman"/>
        </w:rPr>
        <w:t xml:space="preserve"> the</w:t>
      </w:r>
      <w:r w:rsidRPr="00CB218A">
        <w:rPr>
          <w:rFonts w:cs="Times New Roman"/>
        </w:rPr>
        <w:t xml:space="preserve"> extractive industries, Ghana has discontinued its tax incentives for the mining sector (</w:t>
      </w:r>
      <w:r>
        <w:rPr>
          <w:rFonts w:cs="Times New Roman"/>
        </w:rPr>
        <w:fldChar w:fldCharType="begin"/>
      </w:r>
      <w:r>
        <w:rPr>
          <w:rFonts w:cs="Times New Roman"/>
        </w:rPr>
        <w:instrText xml:space="preserve"> REF _Ref472430079 \h </w:instrText>
      </w:r>
      <w:r>
        <w:rPr>
          <w:rFonts w:cs="Times New Roman"/>
        </w:rPr>
      </w:r>
      <w:r>
        <w:rPr>
          <w:rFonts w:cs="Times New Roman"/>
        </w:rPr>
        <w:fldChar w:fldCharType="separate"/>
      </w:r>
      <w:r w:rsidR="007B1CE6" w:rsidRPr="002C1A2F">
        <w:t xml:space="preserve">Table </w:t>
      </w:r>
      <w:r w:rsidR="007B1CE6">
        <w:rPr>
          <w:noProof/>
        </w:rPr>
        <w:t>2</w:t>
      </w:r>
      <w:r w:rsidR="007B1CE6">
        <w:t>.</w:t>
      </w:r>
      <w:r w:rsidR="007B1CE6">
        <w:rPr>
          <w:noProof/>
        </w:rPr>
        <w:t>10</w:t>
      </w:r>
      <w:r>
        <w:rPr>
          <w:rFonts w:cs="Times New Roman"/>
        </w:rPr>
        <w:fldChar w:fldCharType="end"/>
      </w:r>
      <w:r w:rsidRPr="00CB218A">
        <w:rPr>
          <w:rFonts w:cs="Times New Roman"/>
        </w:rPr>
        <w:t xml:space="preserve">). </w:t>
      </w:r>
      <w:r>
        <w:rPr>
          <w:rFonts w:cs="Times New Roman"/>
        </w:rPr>
        <w:t xml:space="preserve">It is also possible that the fiscal impact of exemptions </w:t>
      </w:r>
      <w:r w:rsidR="00623F1E">
        <w:rPr>
          <w:rFonts w:cs="Times New Roman"/>
        </w:rPr>
        <w:t xml:space="preserve">on </w:t>
      </w:r>
      <w:r>
        <w:rPr>
          <w:rFonts w:cs="Times New Roman"/>
        </w:rPr>
        <w:t>the mining sector have been understated because of stability clauses</w:t>
      </w:r>
      <w:r w:rsidR="000571F7">
        <w:rPr>
          <w:rFonts w:cs="Times New Roman"/>
        </w:rPr>
        <w:t>, which would favor capping</w:t>
      </w:r>
      <w:r>
        <w:rPr>
          <w:rFonts w:cs="Times New Roman"/>
        </w:rPr>
        <w:t xml:space="preserve"> stability clauses to a maximum of 5 years.</w:t>
      </w:r>
      <w:r w:rsidRPr="00CB218A">
        <w:rPr>
          <w:rFonts w:cs="Times New Roman"/>
        </w:rPr>
        <w:t xml:space="preserve"> However, </w:t>
      </w:r>
      <w:r>
        <w:rPr>
          <w:rFonts w:cs="Times New Roman"/>
        </w:rPr>
        <w:t>the government</w:t>
      </w:r>
      <w:r w:rsidRPr="00CB218A">
        <w:rPr>
          <w:rFonts w:cs="Times New Roman"/>
        </w:rPr>
        <w:t xml:space="preserve"> continues to provide tax expenditures to other profitable sectors, such as banking and finance</w:t>
      </w:r>
      <w:r w:rsidR="00E40E24">
        <w:rPr>
          <w:rFonts w:cs="Times New Roman"/>
        </w:rPr>
        <w:t xml:space="preserve"> (even if limited to rural banks)</w:t>
      </w:r>
      <w:r w:rsidRPr="00CB218A">
        <w:rPr>
          <w:rFonts w:cs="Times New Roman"/>
        </w:rPr>
        <w:t>. These policies are clearly inefficient and should be phased out.</w:t>
      </w:r>
      <w:r>
        <w:rPr>
          <w:rFonts w:cs="Times New Roman"/>
        </w:rPr>
        <w:t xml:space="preserve"> </w:t>
      </w:r>
    </w:p>
    <w:p w14:paraId="6B95D220" w14:textId="77777777" w:rsidR="00D15C7D" w:rsidRPr="002C1A2F" w:rsidRDefault="00D15C7D" w:rsidP="00D15C7D">
      <w:pPr>
        <w:pStyle w:val="Caption"/>
        <w:rPr>
          <w:lang w:val="en-US"/>
        </w:rPr>
      </w:pPr>
      <w:bookmarkStart w:id="91" w:name="_Ref472430079"/>
      <w:bookmarkStart w:id="92" w:name="_Toc478837631"/>
      <w:r w:rsidRPr="002C1A2F">
        <w:rPr>
          <w:lang w:val="en-US"/>
        </w:rPr>
        <w:t xml:space="preserve">Table </w:t>
      </w:r>
      <w:r w:rsidR="00500291">
        <w:rPr>
          <w:lang w:val="en-US"/>
        </w:rPr>
        <w:fldChar w:fldCharType="begin"/>
      </w:r>
      <w:r w:rsidR="00500291">
        <w:rPr>
          <w:lang w:val="en-US"/>
        </w:rPr>
        <w:instrText xml:space="preserve"> STYLEREF 1 \s </w:instrText>
      </w:r>
      <w:r w:rsidR="00500291">
        <w:rPr>
          <w:lang w:val="en-US"/>
        </w:rPr>
        <w:fldChar w:fldCharType="separate"/>
      </w:r>
      <w:r w:rsidR="007B1CE6">
        <w:rPr>
          <w:noProof/>
          <w:lang w:val="en-US"/>
        </w:rPr>
        <w:t>2</w:t>
      </w:r>
      <w:r w:rsidR="00500291">
        <w:rPr>
          <w:lang w:val="en-US"/>
        </w:rPr>
        <w:fldChar w:fldCharType="end"/>
      </w:r>
      <w:r w:rsidR="00500291">
        <w:rPr>
          <w:lang w:val="en-US"/>
        </w:rPr>
        <w:t>.</w:t>
      </w:r>
      <w:r w:rsidR="00500291">
        <w:rPr>
          <w:lang w:val="en-US"/>
        </w:rPr>
        <w:fldChar w:fldCharType="begin"/>
      </w:r>
      <w:r w:rsidR="00500291">
        <w:rPr>
          <w:lang w:val="en-US"/>
        </w:rPr>
        <w:instrText xml:space="preserve"> SEQ Table \* ARABIC \s 1 </w:instrText>
      </w:r>
      <w:r w:rsidR="00500291">
        <w:rPr>
          <w:lang w:val="en-US"/>
        </w:rPr>
        <w:fldChar w:fldCharType="separate"/>
      </w:r>
      <w:r w:rsidR="007B1CE6">
        <w:rPr>
          <w:noProof/>
          <w:lang w:val="en-US"/>
        </w:rPr>
        <w:t>10</w:t>
      </w:r>
      <w:r w:rsidR="00500291">
        <w:rPr>
          <w:lang w:val="en-US"/>
        </w:rPr>
        <w:fldChar w:fldCharType="end"/>
      </w:r>
      <w:bookmarkEnd w:id="91"/>
      <w:r w:rsidRPr="002C1A2F">
        <w:rPr>
          <w:lang w:val="en-US"/>
        </w:rPr>
        <w:t>: Tax Expenditures and Investment Incentives</w:t>
      </w:r>
      <w:r w:rsidRPr="002C1A2F">
        <w:rPr>
          <w:rStyle w:val="FootnoteReference"/>
          <w:lang w:val="en-US"/>
        </w:rPr>
        <w:footnoteReference w:id="70"/>
      </w:r>
      <w:bookmarkEnd w:id="92"/>
    </w:p>
    <w:tbl>
      <w:tblPr>
        <w:tblStyle w:val="TableGrid"/>
        <w:tblW w:w="9350" w:type="dxa"/>
        <w:tblLayout w:type="fixed"/>
        <w:tblLook w:val="04A0" w:firstRow="1" w:lastRow="0" w:firstColumn="1" w:lastColumn="0" w:noHBand="0" w:noVBand="1"/>
      </w:tblPr>
      <w:tblGrid>
        <w:gridCol w:w="2065"/>
        <w:gridCol w:w="3150"/>
        <w:gridCol w:w="4135"/>
      </w:tblGrid>
      <w:tr w:rsidR="00D15C7D" w:rsidRPr="000571F7" w14:paraId="7C017BB7" w14:textId="77777777" w:rsidTr="00D15C7D">
        <w:tc>
          <w:tcPr>
            <w:tcW w:w="2065" w:type="dxa"/>
            <w:shd w:val="clear" w:color="auto" w:fill="D9D9D9" w:themeFill="background1" w:themeFillShade="D9"/>
            <w:vAlign w:val="center"/>
          </w:tcPr>
          <w:p w14:paraId="6DAAF5C1" w14:textId="77777777" w:rsidR="00D15C7D" w:rsidRPr="002C1A2F" w:rsidRDefault="00D15C7D" w:rsidP="00D15C7D">
            <w:pPr>
              <w:pStyle w:val="ListParagraph"/>
              <w:keepNext/>
              <w:numPr>
                <w:ilvl w:val="0"/>
                <w:numId w:val="0"/>
              </w:numPr>
              <w:spacing w:before="120" w:after="120"/>
              <w:jc w:val="left"/>
              <w:rPr>
                <w:b/>
                <w:sz w:val="20"/>
                <w:szCs w:val="20"/>
                <w:lang w:val="en-US"/>
              </w:rPr>
            </w:pPr>
            <w:r w:rsidRPr="000571F7">
              <w:rPr>
                <w:b/>
                <w:sz w:val="20"/>
                <w:szCs w:val="20"/>
              </w:rPr>
              <w:t xml:space="preserve">Investment Type </w:t>
            </w:r>
          </w:p>
        </w:tc>
        <w:tc>
          <w:tcPr>
            <w:tcW w:w="3150" w:type="dxa"/>
            <w:shd w:val="clear" w:color="auto" w:fill="D9D9D9" w:themeFill="background1" w:themeFillShade="D9"/>
            <w:vAlign w:val="center"/>
          </w:tcPr>
          <w:p w14:paraId="52A2EF1D" w14:textId="77777777" w:rsidR="00D15C7D" w:rsidRPr="002C1A2F" w:rsidRDefault="00D15C7D" w:rsidP="00D15C7D">
            <w:pPr>
              <w:pStyle w:val="ListParagraph"/>
              <w:keepNext/>
              <w:numPr>
                <w:ilvl w:val="0"/>
                <w:numId w:val="0"/>
              </w:numPr>
              <w:spacing w:before="120" w:after="120"/>
              <w:jc w:val="left"/>
              <w:rPr>
                <w:b/>
                <w:sz w:val="20"/>
                <w:szCs w:val="20"/>
                <w:lang w:val="en-US"/>
              </w:rPr>
            </w:pPr>
            <w:r w:rsidRPr="000571F7">
              <w:rPr>
                <w:b/>
                <w:sz w:val="20"/>
                <w:szCs w:val="20"/>
              </w:rPr>
              <w:t>Drivers of Investment</w:t>
            </w:r>
          </w:p>
        </w:tc>
        <w:tc>
          <w:tcPr>
            <w:tcW w:w="4135" w:type="dxa"/>
            <w:shd w:val="clear" w:color="auto" w:fill="D9D9D9" w:themeFill="background1" w:themeFillShade="D9"/>
            <w:vAlign w:val="center"/>
          </w:tcPr>
          <w:p w14:paraId="4FBC0B11" w14:textId="77777777" w:rsidR="00D15C7D" w:rsidRPr="002C1A2F" w:rsidRDefault="00D15C7D" w:rsidP="00D15C7D">
            <w:pPr>
              <w:pStyle w:val="ListParagraph"/>
              <w:keepNext/>
              <w:numPr>
                <w:ilvl w:val="0"/>
                <w:numId w:val="0"/>
              </w:numPr>
              <w:spacing w:before="120" w:after="120"/>
              <w:jc w:val="left"/>
              <w:rPr>
                <w:b/>
                <w:sz w:val="20"/>
                <w:szCs w:val="20"/>
                <w:lang w:val="en-US"/>
              </w:rPr>
            </w:pPr>
            <w:r w:rsidRPr="000571F7">
              <w:rPr>
                <w:b/>
                <w:sz w:val="20"/>
                <w:szCs w:val="20"/>
              </w:rPr>
              <w:t>Response to Tax Expenditures</w:t>
            </w:r>
          </w:p>
        </w:tc>
      </w:tr>
      <w:tr w:rsidR="00D15C7D" w:rsidRPr="000571F7" w14:paraId="3641B5A9" w14:textId="77777777" w:rsidTr="00D15C7D">
        <w:tc>
          <w:tcPr>
            <w:tcW w:w="2065" w:type="dxa"/>
          </w:tcPr>
          <w:p w14:paraId="5FF414F0" w14:textId="77777777" w:rsidR="00D15C7D" w:rsidRPr="002C1A2F" w:rsidRDefault="00D15C7D" w:rsidP="00D15C7D">
            <w:pPr>
              <w:pStyle w:val="ListParagraph"/>
              <w:numPr>
                <w:ilvl w:val="0"/>
                <w:numId w:val="0"/>
              </w:numPr>
              <w:spacing w:before="60" w:after="60"/>
              <w:jc w:val="left"/>
              <w:rPr>
                <w:sz w:val="20"/>
                <w:szCs w:val="20"/>
                <w:lang w:val="en-US"/>
              </w:rPr>
            </w:pPr>
            <w:r w:rsidRPr="000571F7">
              <w:rPr>
                <w:sz w:val="20"/>
                <w:szCs w:val="20"/>
              </w:rPr>
              <w:t>FDI in extractive industries</w:t>
            </w:r>
          </w:p>
        </w:tc>
        <w:tc>
          <w:tcPr>
            <w:tcW w:w="3150" w:type="dxa"/>
          </w:tcPr>
          <w:p w14:paraId="31D425F6" w14:textId="77777777" w:rsidR="00D15C7D" w:rsidRPr="002C1A2F" w:rsidRDefault="00D15C7D" w:rsidP="00D15C7D">
            <w:pPr>
              <w:pStyle w:val="ListParagraph"/>
              <w:numPr>
                <w:ilvl w:val="0"/>
                <w:numId w:val="0"/>
              </w:numPr>
              <w:spacing w:before="60" w:after="60"/>
              <w:jc w:val="left"/>
              <w:rPr>
                <w:sz w:val="20"/>
                <w:szCs w:val="20"/>
                <w:lang w:val="en-US"/>
              </w:rPr>
            </w:pPr>
            <w:r w:rsidRPr="000571F7">
              <w:rPr>
                <w:sz w:val="20"/>
                <w:szCs w:val="20"/>
              </w:rPr>
              <w:t>Location of natural resources; political stability; complementary infrastructure</w:t>
            </w:r>
          </w:p>
        </w:tc>
        <w:tc>
          <w:tcPr>
            <w:tcW w:w="4135" w:type="dxa"/>
          </w:tcPr>
          <w:p w14:paraId="32C121FD" w14:textId="77777777" w:rsidR="00D15C7D" w:rsidRPr="002C1A2F" w:rsidRDefault="00D15C7D" w:rsidP="00D15C7D">
            <w:pPr>
              <w:pStyle w:val="ListParagraph"/>
              <w:numPr>
                <w:ilvl w:val="0"/>
                <w:numId w:val="0"/>
              </w:numPr>
              <w:spacing w:before="60" w:after="60"/>
              <w:jc w:val="left"/>
              <w:rPr>
                <w:sz w:val="20"/>
                <w:szCs w:val="20"/>
                <w:lang w:val="en-US"/>
              </w:rPr>
            </w:pPr>
            <w:r w:rsidRPr="000571F7">
              <w:rPr>
                <w:b/>
                <w:sz w:val="20"/>
                <w:szCs w:val="20"/>
              </w:rPr>
              <w:t>Low</w:t>
            </w:r>
            <w:r w:rsidRPr="000571F7">
              <w:rPr>
                <w:sz w:val="20"/>
                <w:szCs w:val="20"/>
              </w:rPr>
              <w:t>. FDI in extractive industries is driven primarily by nontax factors.</w:t>
            </w:r>
          </w:p>
        </w:tc>
      </w:tr>
      <w:tr w:rsidR="00D15C7D" w:rsidRPr="000571F7" w14:paraId="039368D7" w14:textId="77777777" w:rsidTr="00D15C7D">
        <w:tc>
          <w:tcPr>
            <w:tcW w:w="2065" w:type="dxa"/>
          </w:tcPr>
          <w:p w14:paraId="11E2EA91" w14:textId="77777777" w:rsidR="00D15C7D" w:rsidRPr="002C1A2F" w:rsidRDefault="00D15C7D" w:rsidP="00D15C7D">
            <w:pPr>
              <w:pStyle w:val="ListParagraph"/>
              <w:numPr>
                <w:ilvl w:val="0"/>
                <w:numId w:val="0"/>
              </w:numPr>
              <w:spacing w:before="60" w:after="60"/>
              <w:jc w:val="left"/>
              <w:rPr>
                <w:sz w:val="20"/>
                <w:szCs w:val="20"/>
                <w:lang w:val="en-US"/>
              </w:rPr>
            </w:pPr>
            <w:r w:rsidRPr="000571F7">
              <w:rPr>
                <w:sz w:val="20"/>
                <w:szCs w:val="20"/>
              </w:rPr>
              <w:t>FDI in domestic consumer markets</w:t>
            </w:r>
          </w:p>
        </w:tc>
        <w:tc>
          <w:tcPr>
            <w:tcW w:w="3150" w:type="dxa"/>
          </w:tcPr>
          <w:p w14:paraId="494D6BCE" w14:textId="77777777" w:rsidR="00D15C7D" w:rsidRPr="002C1A2F" w:rsidRDefault="00D15C7D" w:rsidP="00D15C7D">
            <w:pPr>
              <w:pStyle w:val="ListParagraph"/>
              <w:numPr>
                <w:ilvl w:val="0"/>
                <w:numId w:val="0"/>
              </w:numPr>
              <w:spacing w:before="60" w:after="60"/>
              <w:jc w:val="left"/>
              <w:rPr>
                <w:sz w:val="20"/>
                <w:szCs w:val="20"/>
                <w:lang w:val="en-US"/>
              </w:rPr>
            </w:pPr>
            <w:r w:rsidRPr="000571F7">
              <w:rPr>
                <w:sz w:val="20"/>
                <w:szCs w:val="20"/>
              </w:rPr>
              <w:t>Domestic market characteristics; household purchasing power; consumer preferences; the regulatory environment</w:t>
            </w:r>
          </w:p>
        </w:tc>
        <w:tc>
          <w:tcPr>
            <w:tcW w:w="4135" w:type="dxa"/>
          </w:tcPr>
          <w:p w14:paraId="3A2DA157" w14:textId="77777777" w:rsidR="00D15C7D" w:rsidRPr="002C1A2F" w:rsidRDefault="00D15C7D" w:rsidP="00D15C7D">
            <w:pPr>
              <w:pStyle w:val="ListParagraph"/>
              <w:numPr>
                <w:ilvl w:val="0"/>
                <w:numId w:val="0"/>
              </w:numPr>
              <w:spacing w:before="60" w:after="60"/>
              <w:jc w:val="left"/>
              <w:rPr>
                <w:sz w:val="20"/>
                <w:szCs w:val="20"/>
                <w:lang w:val="en-US"/>
              </w:rPr>
            </w:pPr>
            <w:r w:rsidRPr="000571F7">
              <w:rPr>
                <w:b/>
                <w:sz w:val="20"/>
                <w:szCs w:val="20"/>
              </w:rPr>
              <w:t>Low</w:t>
            </w:r>
            <w:r w:rsidRPr="000571F7">
              <w:rPr>
                <w:sz w:val="20"/>
                <w:szCs w:val="20"/>
              </w:rPr>
              <w:t>. While tax incentives can encourage new market entrants, these incentives distort competition and reduce economic efficiency.</w:t>
            </w:r>
          </w:p>
        </w:tc>
      </w:tr>
      <w:tr w:rsidR="00D15C7D" w:rsidRPr="000571F7" w14:paraId="35122319" w14:textId="77777777" w:rsidTr="00D15C7D">
        <w:tc>
          <w:tcPr>
            <w:tcW w:w="2065" w:type="dxa"/>
          </w:tcPr>
          <w:p w14:paraId="4929B89A" w14:textId="77777777" w:rsidR="00D15C7D" w:rsidRPr="002C1A2F" w:rsidRDefault="00D15C7D" w:rsidP="00D15C7D">
            <w:pPr>
              <w:pStyle w:val="ListParagraph"/>
              <w:numPr>
                <w:ilvl w:val="0"/>
                <w:numId w:val="0"/>
              </w:numPr>
              <w:spacing w:before="60" w:after="60"/>
              <w:jc w:val="left"/>
              <w:rPr>
                <w:sz w:val="20"/>
                <w:szCs w:val="20"/>
                <w:lang w:val="en-US"/>
              </w:rPr>
            </w:pPr>
            <w:r w:rsidRPr="000571F7">
              <w:rPr>
                <w:sz w:val="20"/>
                <w:szCs w:val="20"/>
              </w:rPr>
              <w:t>FDI in strategic assets</w:t>
            </w:r>
          </w:p>
        </w:tc>
        <w:tc>
          <w:tcPr>
            <w:tcW w:w="3150" w:type="dxa"/>
          </w:tcPr>
          <w:p w14:paraId="609BC422" w14:textId="77777777" w:rsidR="00D15C7D" w:rsidRPr="002C1A2F" w:rsidRDefault="00D15C7D" w:rsidP="00D15C7D">
            <w:pPr>
              <w:pStyle w:val="ListParagraph"/>
              <w:numPr>
                <w:ilvl w:val="0"/>
                <w:numId w:val="0"/>
              </w:numPr>
              <w:spacing w:before="60" w:after="60"/>
              <w:jc w:val="left"/>
              <w:rPr>
                <w:sz w:val="20"/>
                <w:szCs w:val="20"/>
                <w:lang w:val="en-US"/>
              </w:rPr>
            </w:pPr>
            <w:r w:rsidRPr="000571F7">
              <w:rPr>
                <w:sz w:val="20"/>
                <w:szCs w:val="20"/>
              </w:rPr>
              <w:t>Brand characteristics and market positioning; human capital; technology; logistics capacity</w:t>
            </w:r>
          </w:p>
        </w:tc>
        <w:tc>
          <w:tcPr>
            <w:tcW w:w="4135" w:type="dxa"/>
          </w:tcPr>
          <w:p w14:paraId="52C04489" w14:textId="77777777" w:rsidR="00D15C7D" w:rsidRPr="002C1A2F" w:rsidRDefault="00D15C7D" w:rsidP="00D15C7D">
            <w:pPr>
              <w:pStyle w:val="ListParagraph"/>
              <w:numPr>
                <w:ilvl w:val="0"/>
                <w:numId w:val="0"/>
              </w:numPr>
              <w:spacing w:before="60" w:after="60"/>
              <w:jc w:val="left"/>
              <w:rPr>
                <w:sz w:val="20"/>
                <w:szCs w:val="20"/>
                <w:lang w:val="en-US"/>
              </w:rPr>
            </w:pPr>
            <w:r w:rsidRPr="000571F7">
              <w:rPr>
                <w:b/>
                <w:sz w:val="20"/>
                <w:szCs w:val="20"/>
              </w:rPr>
              <w:t>Low</w:t>
            </w:r>
            <w:r w:rsidRPr="000571F7">
              <w:rPr>
                <w:sz w:val="20"/>
                <w:szCs w:val="20"/>
              </w:rPr>
              <w:t>. FDI is driven by the location of the strategic asset. However, lower capital-gains taxes can reduce the costs of transferring assets.</w:t>
            </w:r>
          </w:p>
        </w:tc>
      </w:tr>
      <w:tr w:rsidR="00D15C7D" w:rsidRPr="000571F7" w14:paraId="0561257B" w14:textId="77777777" w:rsidTr="00D15C7D">
        <w:tc>
          <w:tcPr>
            <w:tcW w:w="2065" w:type="dxa"/>
          </w:tcPr>
          <w:p w14:paraId="13D93C11" w14:textId="77777777" w:rsidR="00D15C7D" w:rsidRPr="002C1A2F" w:rsidRDefault="00D15C7D" w:rsidP="00D15C7D">
            <w:pPr>
              <w:pStyle w:val="ListParagraph"/>
              <w:numPr>
                <w:ilvl w:val="0"/>
                <w:numId w:val="0"/>
              </w:numPr>
              <w:spacing w:before="60" w:after="60"/>
              <w:jc w:val="left"/>
              <w:rPr>
                <w:sz w:val="20"/>
                <w:szCs w:val="20"/>
                <w:lang w:val="en-US"/>
              </w:rPr>
            </w:pPr>
            <w:r w:rsidRPr="000571F7">
              <w:rPr>
                <w:sz w:val="20"/>
                <w:szCs w:val="20"/>
              </w:rPr>
              <w:t>Efficiency-seeking FDI</w:t>
            </w:r>
          </w:p>
        </w:tc>
        <w:tc>
          <w:tcPr>
            <w:tcW w:w="3150" w:type="dxa"/>
          </w:tcPr>
          <w:p w14:paraId="0FE224AE" w14:textId="77777777" w:rsidR="00D15C7D" w:rsidRPr="002C1A2F" w:rsidRDefault="00D15C7D" w:rsidP="00D15C7D">
            <w:pPr>
              <w:pStyle w:val="ListParagraph"/>
              <w:numPr>
                <w:ilvl w:val="0"/>
                <w:numId w:val="0"/>
              </w:numPr>
              <w:spacing w:before="60" w:after="60"/>
              <w:jc w:val="left"/>
              <w:rPr>
                <w:sz w:val="20"/>
                <w:szCs w:val="20"/>
                <w:lang w:val="en-US"/>
              </w:rPr>
            </w:pPr>
            <w:r w:rsidRPr="000571F7">
              <w:rPr>
                <w:sz w:val="20"/>
                <w:szCs w:val="20"/>
              </w:rPr>
              <w:t>Capital and labor costs; labor-market char</w:t>
            </w:r>
            <w:r w:rsidR="0084346D">
              <w:rPr>
                <w:sz w:val="20"/>
                <w:szCs w:val="20"/>
                <w:lang w:val="en-US"/>
              </w:rPr>
              <w:t>a</w:t>
            </w:r>
            <w:r w:rsidRPr="000571F7">
              <w:rPr>
                <w:sz w:val="20"/>
                <w:szCs w:val="20"/>
              </w:rPr>
              <w:t>cteristics; public infrastructure quality; relocation costs</w:t>
            </w:r>
          </w:p>
        </w:tc>
        <w:tc>
          <w:tcPr>
            <w:tcW w:w="4135" w:type="dxa"/>
          </w:tcPr>
          <w:p w14:paraId="71A5EC24" w14:textId="77777777" w:rsidR="00D15C7D" w:rsidRPr="002C1A2F" w:rsidRDefault="00D15C7D" w:rsidP="00D15C7D">
            <w:pPr>
              <w:pStyle w:val="ListParagraph"/>
              <w:numPr>
                <w:ilvl w:val="0"/>
                <w:numId w:val="0"/>
              </w:numPr>
              <w:spacing w:before="60" w:after="60"/>
              <w:jc w:val="left"/>
              <w:rPr>
                <w:sz w:val="20"/>
                <w:szCs w:val="20"/>
                <w:lang w:val="en-US"/>
              </w:rPr>
            </w:pPr>
            <w:r w:rsidRPr="000571F7">
              <w:rPr>
                <w:b/>
                <w:sz w:val="20"/>
                <w:szCs w:val="20"/>
              </w:rPr>
              <w:t>High</w:t>
            </w:r>
            <w:r w:rsidRPr="000571F7">
              <w:rPr>
                <w:sz w:val="20"/>
                <w:szCs w:val="20"/>
              </w:rPr>
              <w:t xml:space="preserve">. Intense competition among export-oriented firms creates a strong incentive to relocate production to a low-cost environment. However, in the absence of an underlying comparative advantage, efficiency-seeking FDI will remain vulnerable to more attractive tax expenditures offered by comparable countries. </w:t>
            </w:r>
          </w:p>
        </w:tc>
      </w:tr>
    </w:tbl>
    <w:p w14:paraId="7AE791A8" w14:textId="0193E406" w:rsidR="00D15C7D" w:rsidRPr="00CB218A" w:rsidRDefault="00D15C7D" w:rsidP="00D15C7D">
      <w:pPr>
        <w:pStyle w:val="ListParagraph"/>
        <w:numPr>
          <w:ilvl w:val="0"/>
          <w:numId w:val="4"/>
        </w:numPr>
        <w:spacing w:before="240"/>
      </w:pPr>
      <w:r w:rsidRPr="00CB218A">
        <w:rPr>
          <w:b/>
        </w:rPr>
        <w:t xml:space="preserve">Tax expenditures are especially ineffective in a poor investment climate, and efforts to </w:t>
      </w:r>
      <w:r>
        <w:rPr>
          <w:b/>
        </w:rPr>
        <w:t>improve the business environment</w:t>
      </w:r>
      <w:r w:rsidRPr="00CB218A">
        <w:rPr>
          <w:b/>
        </w:rPr>
        <w:t xml:space="preserve"> are almost always a superior alternative</w:t>
      </w:r>
      <w:r>
        <w:rPr>
          <w:b/>
        </w:rPr>
        <w:t xml:space="preserve"> to tax expenditures</w:t>
      </w:r>
      <w:r w:rsidRPr="00CB218A">
        <w:rPr>
          <w:b/>
        </w:rPr>
        <w:t>.</w:t>
      </w:r>
      <w:r w:rsidRPr="00CB218A">
        <w:rPr>
          <w:rStyle w:val="FootnoteReference"/>
        </w:rPr>
        <w:footnoteReference w:id="71"/>
      </w:r>
      <w:r w:rsidRPr="00CB218A">
        <w:t xml:space="preserve"> Ghana ranked </w:t>
      </w:r>
      <w:r w:rsidR="00E40E24">
        <w:t>108</w:t>
      </w:r>
      <w:r w:rsidR="00E40E24" w:rsidRPr="00CB218A">
        <w:t xml:space="preserve"> </w:t>
      </w:r>
      <w:r w:rsidRPr="00CB218A">
        <w:t xml:space="preserve">out of </w:t>
      </w:r>
      <w:r w:rsidR="00E40E24">
        <w:t>190</w:t>
      </w:r>
      <w:r w:rsidR="00E40E24" w:rsidRPr="00CB218A">
        <w:t xml:space="preserve"> </w:t>
      </w:r>
      <w:r w:rsidRPr="00CB218A">
        <w:t xml:space="preserve">countries in the World Bank’s latest </w:t>
      </w:r>
      <w:r w:rsidRPr="00CB218A">
        <w:rPr>
          <w:i/>
        </w:rPr>
        <w:t>Doing Business</w:t>
      </w:r>
      <w:r w:rsidRPr="00CB218A">
        <w:t xml:space="preserve"> report</w:t>
      </w:r>
      <w:r w:rsidR="00E40E24">
        <w:t xml:space="preserve"> 2017</w:t>
      </w:r>
      <w:r w:rsidRPr="00CB218A">
        <w:t>, and it performed especially poorly on the dimension of trading across borders</w:t>
      </w:r>
      <w:r w:rsidR="00E40E24">
        <w:t xml:space="preserve"> (ranked </w:t>
      </w:r>
      <w:r w:rsidR="00E40E24">
        <w:lastRenderedPageBreak/>
        <w:t>154)</w:t>
      </w:r>
      <w:r w:rsidRPr="00CB218A">
        <w:t xml:space="preserve">. Addressing weaknesses in the </w:t>
      </w:r>
      <w:r>
        <w:t>business environment</w:t>
      </w:r>
      <w:r w:rsidRPr="00CB218A">
        <w:t xml:space="preserve"> could attract greater investment without generating the economic distortions or </w:t>
      </w:r>
      <w:r>
        <w:t xml:space="preserve">imposing the high </w:t>
      </w:r>
      <w:r w:rsidRPr="00CB218A">
        <w:t xml:space="preserve">fiscal costs associated with tax expenditures. </w:t>
      </w:r>
    </w:p>
    <w:p w14:paraId="20CBE028" w14:textId="77777777" w:rsidR="00D15C7D" w:rsidRPr="00CB218A" w:rsidRDefault="00D15C7D" w:rsidP="00D15C7D">
      <w:pPr>
        <w:pStyle w:val="ListParagraph"/>
        <w:numPr>
          <w:ilvl w:val="0"/>
          <w:numId w:val="4"/>
        </w:numPr>
        <w:spacing w:before="240"/>
      </w:pPr>
      <w:r w:rsidRPr="00CB218A">
        <w:rPr>
          <w:b/>
        </w:rPr>
        <w:t>A 2013 OECD report on tax policy in Ghana provided six recommendations for enhancing the efficiency of the tax</w:t>
      </w:r>
      <w:r>
        <w:rPr>
          <w:b/>
        </w:rPr>
        <w:t>-</w:t>
      </w:r>
      <w:r w:rsidRPr="00CB218A">
        <w:rPr>
          <w:b/>
        </w:rPr>
        <w:t>expenditure regime, all of which remain highly relevant.</w:t>
      </w:r>
      <w:r w:rsidRPr="007D2E01">
        <w:rPr>
          <w:rStyle w:val="FootnoteReference"/>
        </w:rPr>
        <w:footnoteReference w:id="72"/>
      </w:r>
      <w:r w:rsidRPr="00E6710B">
        <w:t xml:space="preserve"> </w:t>
      </w:r>
      <w:r w:rsidRPr="00CB218A">
        <w:t>The OECD recommendations include: (i) evaluating the effectiveness of individual tax expenditures against their stated objectives; (ii) eliminating the most wasteful tax expenditures; (iii) establishing an electronic recordkeeping system for tax revenues; (iv) creating an electronic system for sharing information between government agencies that administer tax exemptions; (v) formalizing the process for estimating and reporting the revenue loss attributable to tax expenditures; and (vi) building the institutional capacity for thorough and accurate tax-policy analysis</w:t>
      </w:r>
      <w:r w:rsidRPr="003F3D79">
        <w:t>.</w:t>
      </w:r>
      <w:r w:rsidRPr="007D2E01">
        <w:rPr>
          <w:rFonts w:eastAsiaTheme="minorHAnsi" w:cstheme="minorBidi"/>
        </w:rPr>
        <w:t xml:space="preserve"> </w:t>
      </w:r>
      <w:r w:rsidRPr="003F3D79">
        <w:t>T</w:t>
      </w:r>
      <w:r>
        <w:t xml:space="preserve">he </w:t>
      </w:r>
      <w:r w:rsidRPr="00A76747">
        <w:t xml:space="preserve">OECD </w:t>
      </w:r>
      <w:r>
        <w:t>report also highlighted</w:t>
      </w:r>
      <w:r w:rsidRPr="00A76747">
        <w:t xml:space="preserve"> the </w:t>
      </w:r>
      <w:r>
        <w:t xml:space="preserve">importance of mandating MoF approval </w:t>
      </w:r>
      <w:r w:rsidRPr="00A76747">
        <w:t xml:space="preserve">for </w:t>
      </w:r>
      <w:r>
        <w:t>all</w:t>
      </w:r>
      <w:r w:rsidRPr="00A76747">
        <w:t xml:space="preserve"> exemptions</w:t>
      </w:r>
      <w:r>
        <w:t>, and it recommended that t</w:t>
      </w:r>
      <w:r w:rsidRPr="00A76747">
        <w:t>he procedure for granting, processing</w:t>
      </w:r>
      <w:r w:rsidR="001B3B11">
        <w:t>,</w:t>
      </w:r>
      <w:r w:rsidRPr="00A76747">
        <w:t xml:space="preserve"> and monitoring tax expenditure</w:t>
      </w:r>
      <w:r>
        <w:t>s</w:t>
      </w:r>
      <w:r w:rsidRPr="00A76747">
        <w:t xml:space="preserve"> be </w:t>
      </w:r>
      <w:r>
        <w:t>codified</w:t>
      </w:r>
      <w:r w:rsidRPr="00A76747">
        <w:t xml:space="preserve"> in the Financial Admi</w:t>
      </w:r>
      <w:r>
        <w:t xml:space="preserve">nistration Act and associated regulations. </w:t>
      </w:r>
    </w:p>
    <w:p w14:paraId="48631767" w14:textId="77777777" w:rsidR="00D15C7D" w:rsidRPr="00CB218A" w:rsidRDefault="00D15C7D" w:rsidP="00D15C7D">
      <w:pPr>
        <w:pStyle w:val="ListParagraph"/>
        <w:numPr>
          <w:ilvl w:val="0"/>
          <w:numId w:val="4"/>
        </w:numPr>
        <w:spacing w:before="240"/>
      </w:pPr>
      <w:r w:rsidRPr="00CB218A">
        <w:rPr>
          <w:b/>
        </w:rPr>
        <w:t>Systematic improvements in data</w:t>
      </w:r>
      <w:r>
        <w:rPr>
          <w:b/>
        </w:rPr>
        <w:t xml:space="preserve"> </w:t>
      </w:r>
      <w:r w:rsidRPr="00CB218A">
        <w:rPr>
          <w:b/>
        </w:rPr>
        <w:t xml:space="preserve">collection would strengthen the analytical basis for reforming tax expenditures. </w:t>
      </w:r>
      <w:r>
        <w:t>Accurate cost estimates are essential to effective oversight. A dedicated tax-</w:t>
      </w:r>
      <w:r w:rsidRPr="00A76747">
        <w:t xml:space="preserve">expenditure team </w:t>
      </w:r>
      <w:r>
        <w:t>should</w:t>
      </w:r>
      <w:r w:rsidRPr="00A76747">
        <w:t xml:space="preserve"> </w:t>
      </w:r>
      <w:r>
        <w:t>be established within the MoF and charged with estimating all foregone revenues arising from tax exemptions and incentives</w:t>
      </w:r>
      <w:r w:rsidRPr="00A76747">
        <w:t>.</w:t>
      </w:r>
      <w:r>
        <w:t xml:space="preserve"> </w:t>
      </w:r>
      <w:r w:rsidRPr="00CB218A">
        <w:t>The authorities should ensure that tax expenditures are properly recorded on income</w:t>
      </w:r>
      <w:r>
        <w:t>-</w:t>
      </w:r>
      <w:r w:rsidRPr="00CB218A">
        <w:t>tax returns, and that mandatory tax filing is enforced even among firms that have no tax liability. As in all areas of tax administration, electronic data collection is preferable to manual recordkeeping.</w:t>
      </w:r>
    </w:p>
    <w:p w14:paraId="1C859F17" w14:textId="36EF9111" w:rsidR="00D15C7D" w:rsidRPr="00CB218A" w:rsidRDefault="00D15C7D" w:rsidP="00E40E24">
      <w:pPr>
        <w:pStyle w:val="ListParagraph"/>
        <w:numPr>
          <w:ilvl w:val="0"/>
          <w:numId w:val="4"/>
        </w:numPr>
        <w:spacing w:before="240"/>
      </w:pPr>
      <w:r w:rsidRPr="00CB218A">
        <w:rPr>
          <w:b/>
        </w:rPr>
        <w:t xml:space="preserve">Tax expenditures </w:t>
      </w:r>
      <w:r w:rsidR="00E40E24">
        <w:rPr>
          <w:b/>
        </w:rPr>
        <w:t xml:space="preserve">for all taxes </w:t>
      </w:r>
      <w:r w:rsidRPr="00CB218A">
        <w:rPr>
          <w:b/>
        </w:rPr>
        <w:t>should be routinely estimated and published as part of the annual budget process.</w:t>
      </w:r>
      <w:r w:rsidRPr="00CB218A">
        <w:t xml:space="preserve"> </w:t>
      </w:r>
      <w:r w:rsidR="00E40E24" w:rsidRPr="00E40E24">
        <w:t>Currently</w:t>
      </w:r>
      <w:r w:rsidR="00E40E24">
        <w:t>,</w:t>
      </w:r>
      <w:r w:rsidR="00E40E24" w:rsidRPr="00E40E24">
        <w:t xml:space="preserve"> only revenue foregone on customs exemptions are estimated and part of the budget. </w:t>
      </w:r>
      <w:r w:rsidRPr="00CB218A">
        <w:t>Creating a baseline for these estimates will require updating Ghana’s supply and use tables, which date from 2004, and closing significant gaps in the data on income</w:t>
      </w:r>
      <w:r>
        <w:t>-</w:t>
      </w:r>
      <w:r w:rsidRPr="00CB218A">
        <w:t>tax expenditures for mining firms and free-zone developers.</w:t>
      </w:r>
      <w:r w:rsidR="00E40E24">
        <w:t xml:space="preserve"> The new Public Financial Management Act of 2016 obligates the government to estimate the tax expenditures for all taxes as part of the budget</w:t>
      </w:r>
      <w:r w:rsidR="00A67E1B">
        <w:t>.</w:t>
      </w:r>
      <w:r w:rsidRPr="00CB218A">
        <w:t xml:space="preserve"> </w:t>
      </w:r>
      <w:r w:rsidR="00E40E24">
        <w:t>T</w:t>
      </w:r>
      <w:r w:rsidRPr="00CB218A">
        <w:t xml:space="preserve">he government will need to build its capacity to analyze tax expenditures according to a consistent methodology </w:t>
      </w:r>
      <w:r>
        <w:t>rooted in</w:t>
      </w:r>
      <w:r w:rsidRPr="00CB218A">
        <w:t xml:space="preserve"> international best practices. </w:t>
      </w:r>
    </w:p>
    <w:p w14:paraId="4D34F292" w14:textId="69764089" w:rsidR="00D15C7D" w:rsidRPr="00CB218A" w:rsidRDefault="00D15C7D" w:rsidP="00D15C7D">
      <w:pPr>
        <w:pStyle w:val="ListParagraph"/>
        <w:numPr>
          <w:ilvl w:val="0"/>
          <w:numId w:val="4"/>
        </w:numPr>
        <w:spacing w:before="240"/>
      </w:pPr>
      <w:r w:rsidRPr="00CB218A">
        <w:rPr>
          <w:b/>
        </w:rPr>
        <w:t xml:space="preserve">Even </w:t>
      </w:r>
      <w:r>
        <w:rPr>
          <w:b/>
        </w:rPr>
        <w:t>without</w:t>
      </w:r>
      <w:r w:rsidRPr="00CB218A">
        <w:rPr>
          <w:b/>
        </w:rPr>
        <w:t xml:space="preserve"> </w:t>
      </w:r>
      <w:r>
        <w:rPr>
          <w:b/>
        </w:rPr>
        <w:t xml:space="preserve">a </w:t>
      </w:r>
      <w:r w:rsidRPr="00CB218A">
        <w:rPr>
          <w:b/>
        </w:rPr>
        <w:t xml:space="preserve">comprehensive </w:t>
      </w:r>
      <w:r>
        <w:rPr>
          <w:b/>
        </w:rPr>
        <w:t>analysis</w:t>
      </w:r>
      <w:r w:rsidRPr="00CB218A">
        <w:rPr>
          <w:b/>
        </w:rPr>
        <w:t>, certain tax expenditures are plainly inefficient and should be eliminated.</w:t>
      </w:r>
      <w:r w:rsidRPr="00CB218A">
        <w:t xml:space="preserve"> The government should curb the use of regressive tax expenditures, </w:t>
      </w:r>
      <w:r>
        <w:t>including</w:t>
      </w:r>
      <w:r w:rsidRPr="00CB218A">
        <w:t xml:space="preserve"> the import</w:t>
      </w:r>
      <w:r>
        <w:t>-</w:t>
      </w:r>
      <w:r w:rsidRPr="00CB218A">
        <w:t>duty exemption on</w:t>
      </w:r>
      <w:r w:rsidR="00E40E24">
        <w:t xml:space="preserve"> consumption items</w:t>
      </w:r>
      <w:r w:rsidR="004B7DB8">
        <w:t>,</w:t>
      </w:r>
      <w:r w:rsidR="00A67E1B">
        <w:t xml:space="preserve"> such as</w:t>
      </w:r>
      <w:r w:rsidR="00E40E24">
        <w:t xml:space="preserve"> </w:t>
      </w:r>
      <w:r w:rsidRPr="00CB218A">
        <w:t>personal vehicles</w:t>
      </w:r>
      <w:r w:rsidR="00E40E24">
        <w:t>.</w:t>
      </w:r>
      <w:r w:rsidRPr="00CB218A">
        <w:t xml:space="preserve"> Other expenditures, including VAT exemptions, can be more effectively targeted to lower-income households or to sectors that generate positive social or economic externalities. However, providing VAT exemptions at specific levels of the value chain can distort economic incentives and create opportunities for tax evasion. These risks must be weighed carefully against the potential benefits of VAT exemptions. If their primary objective is to increase the purchasing power of lower-income households, policymakers should consider cash transfers as a less-distortive alternative to VAT exemptions. </w:t>
      </w:r>
    </w:p>
    <w:p w14:paraId="034AB43E" w14:textId="77777777" w:rsidR="00D15C7D" w:rsidRPr="000761E2" w:rsidRDefault="00D15C7D" w:rsidP="00D15C7D">
      <w:pPr>
        <w:pStyle w:val="ListParagraph"/>
        <w:numPr>
          <w:ilvl w:val="0"/>
          <w:numId w:val="4"/>
        </w:numPr>
        <w:spacing w:before="240"/>
      </w:pPr>
      <w:r w:rsidRPr="00CB218A">
        <w:rPr>
          <w:b/>
        </w:rPr>
        <w:t>Ghana’s system of location-based tax incentives</w:t>
      </w:r>
      <w:r w:rsidRPr="000761E2">
        <w:rPr>
          <w:b/>
        </w:rPr>
        <w:t xml:space="preserve"> is structurally inefficient and prone to leakages. </w:t>
      </w:r>
      <w:r w:rsidRPr="000761E2">
        <w:t xml:space="preserve">The government should replace its existing free zones and </w:t>
      </w:r>
      <w:r>
        <w:t>special economic zones</w:t>
      </w:r>
      <w:r w:rsidRPr="000761E2">
        <w:t xml:space="preserve"> with a combination of </w:t>
      </w:r>
      <w:r>
        <w:t xml:space="preserve">private </w:t>
      </w:r>
      <w:r w:rsidRPr="000761E2">
        <w:t xml:space="preserve">investment allowances and targeted public investment in infrastructure and </w:t>
      </w:r>
      <w:r w:rsidRPr="000761E2">
        <w:lastRenderedPageBreak/>
        <w:t xml:space="preserve">human capital. </w:t>
      </w:r>
      <w:r>
        <w:t xml:space="preserve">Policymakers should continue striving to improve the business climate, which could boost investment and enhance competitiveness at a far lower fiscal cost than location-based incentives. </w:t>
      </w:r>
    </w:p>
    <w:p w14:paraId="63F162E5" w14:textId="77777777" w:rsidR="00D15C7D" w:rsidRPr="007925A8" w:rsidRDefault="00D15C7D" w:rsidP="00D15C7D">
      <w:pPr>
        <w:pStyle w:val="ListParagraph"/>
        <w:numPr>
          <w:ilvl w:val="0"/>
          <w:numId w:val="4"/>
        </w:numPr>
        <w:spacing w:before="240"/>
      </w:pPr>
      <w:r w:rsidRPr="000761E2">
        <w:rPr>
          <w:b/>
        </w:rPr>
        <w:t>The government should replace the case-by-case system for customs</w:t>
      </w:r>
      <w:r>
        <w:rPr>
          <w:b/>
        </w:rPr>
        <w:t>-</w:t>
      </w:r>
      <w:r w:rsidRPr="000761E2">
        <w:rPr>
          <w:b/>
        </w:rPr>
        <w:t xml:space="preserve">duty exemptions with a standard set of exemptions by product. </w:t>
      </w:r>
      <w:r w:rsidRPr="000761E2">
        <w:t>This would reduce the administrative burden involved in granting and monitoring duty exemptions, and it would limit opportunities for rent</w:t>
      </w:r>
      <w:r>
        <w:t xml:space="preserve"> </w:t>
      </w:r>
      <w:r w:rsidRPr="000761E2">
        <w:t xml:space="preserve">seeking. Goods that are clearly intended for final consumption should not receive duty exemptions. Instead, exemptions should </w:t>
      </w:r>
      <w:r>
        <w:t>be reserved for</w:t>
      </w:r>
      <w:r w:rsidRPr="000761E2">
        <w:t xml:space="preserve"> goods that </w:t>
      </w:r>
      <w:r>
        <w:t>generate positive externalities, such as medical sup</w:t>
      </w:r>
      <w:r w:rsidRPr="007925A8">
        <w:t>plies, or that improve the productive capacity of the local economy, such as machinery, equipment</w:t>
      </w:r>
      <w:r w:rsidR="001B3B11">
        <w:t>,</w:t>
      </w:r>
      <w:r w:rsidRPr="007925A8">
        <w:t xml:space="preserve"> and capital goods that are not available locally. Dual-use items</w:t>
      </w:r>
      <w:r w:rsidR="001B3B11">
        <w:t>,</w:t>
      </w:r>
      <w:r w:rsidRPr="007925A8">
        <w:t xml:space="preserve"> such as commercial vehicles and building materials</w:t>
      </w:r>
      <w:r w:rsidR="001B3B11">
        <w:t>,</w:t>
      </w:r>
      <w:r w:rsidRPr="007925A8">
        <w:t xml:space="preserve"> should be subject to a single revenue-neutral tariff.  </w:t>
      </w:r>
    </w:p>
    <w:p w14:paraId="3E6BEA1F" w14:textId="77777777" w:rsidR="005335C7" w:rsidRPr="007925A8" w:rsidRDefault="00D15C7D" w:rsidP="00D15C7D">
      <w:pPr>
        <w:pStyle w:val="ListParagraph"/>
        <w:numPr>
          <w:ilvl w:val="0"/>
          <w:numId w:val="4"/>
        </w:numPr>
        <w:spacing w:before="240"/>
      </w:pPr>
      <w:r w:rsidRPr="007925A8">
        <w:rPr>
          <w:b/>
        </w:rPr>
        <w:t>Finally, the government should explore alternative strategies for achieving the policy objectives of the tax-expenditure regime.</w:t>
      </w:r>
      <w:r w:rsidRPr="007925A8">
        <w:t xml:space="preserve"> Regulatory reform, public sector capacity-building</w:t>
      </w:r>
      <w:r w:rsidR="001B3B11">
        <w:t>,</w:t>
      </w:r>
      <w:r w:rsidRPr="007925A8">
        <w:t xml:space="preserve"> and other measures designed to improve the business climate are likely to prove far more effective in attracting investment and spurring the growth of new economic sectors. The government should also consider offering subsidies and other nontax incentives to industries and sectors that produce positive social or economic spillover effects.</w:t>
      </w:r>
      <w:r w:rsidR="005335C7" w:rsidRPr="007925A8">
        <w:rPr>
          <w:b/>
          <w:bCs/>
        </w:rPr>
        <w:br w:type="page"/>
      </w:r>
    </w:p>
    <w:p w14:paraId="4D018C90" w14:textId="77777777" w:rsidR="005335C7" w:rsidRPr="00E45355" w:rsidRDefault="005335C7" w:rsidP="00894F2B">
      <w:pPr>
        <w:pStyle w:val="Heading2"/>
      </w:pPr>
      <w:bookmarkStart w:id="93" w:name="_Toc479624884"/>
      <w:r w:rsidRPr="00E45355">
        <w:lastRenderedPageBreak/>
        <w:t>References</w:t>
      </w:r>
      <w:bookmarkEnd w:id="60"/>
      <w:bookmarkEnd w:id="93"/>
    </w:p>
    <w:p w14:paraId="4F7A6054" w14:textId="77777777" w:rsidR="005335C7" w:rsidRPr="00C24997" w:rsidRDefault="005335C7" w:rsidP="005335C7">
      <w:pPr>
        <w:spacing w:after="0"/>
        <w:contextualSpacing/>
        <w:rPr>
          <w:rFonts w:ascii="Garamond" w:hAnsi="Garamond"/>
          <w:szCs w:val="24"/>
          <w:lang w:val="sv-SE"/>
        </w:rPr>
      </w:pPr>
      <w:r w:rsidRPr="000571F7">
        <w:rPr>
          <w:rFonts w:ascii="Garamond" w:hAnsi="Garamond"/>
          <w:szCs w:val="24"/>
        </w:rPr>
        <w:t xml:space="preserve">ActionAid. 2015. “The West African Giveaway: Use &amp; Abuse of Corporate Tax Incentives in ECOWAS.” </w:t>
      </w:r>
      <w:r w:rsidRPr="00C24997">
        <w:rPr>
          <w:rFonts w:ascii="Garamond" w:hAnsi="Garamond"/>
          <w:szCs w:val="24"/>
          <w:lang w:val="sv-SE"/>
        </w:rPr>
        <w:t xml:space="preserve">Nairobi Kenya. </w:t>
      </w:r>
      <w:hyperlink r:id="rId38" w:history="1">
        <w:r w:rsidRPr="00C24997">
          <w:rPr>
            <w:rStyle w:val="Hyperlink"/>
            <w:rFonts w:ascii="Garamond" w:hAnsi="Garamond"/>
            <w:szCs w:val="24"/>
            <w:lang w:val="sv-SE"/>
          </w:rPr>
          <w:t>http://www.actionaid.org/sites/files/actionaid/the_west_african_giveaway_2.pdf</w:t>
        </w:r>
      </w:hyperlink>
    </w:p>
    <w:p w14:paraId="24CE6590" w14:textId="77777777" w:rsidR="005335C7" w:rsidRPr="00C24997" w:rsidRDefault="005335C7" w:rsidP="005335C7">
      <w:pPr>
        <w:spacing w:after="0"/>
        <w:contextualSpacing/>
        <w:rPr>
          <w:rFonts w:ascii="Garamond" w:hAnsi="Garamond"/>
          <w:szCs w:val="24"/>
          <w:lang w:val="sv-SE"/>
        </w:rPr>
      </w:pPr>
    </w:p>
    <w:p w14:paraId="1D1B0022" w14:textId="77777777" w:rsidR="005335C7" w:rsidRPr="000571F7" w:rsidRDefault="005335C7" w:rsidP="005335C7">
      <w:pPr>
        <w:spacing w:after="0"/>
        <w:contextualSpacing/>
        <w:rPr>
          <w:rStyle w:val="Hyperlink"/>
          <w:rFonts w:ascii="Garamond" w:hAnsi="Garamond"/>
          <w:szCs w:val="24"/>
        </w:rPr>
      </w:pPr>
      <w:r w:rsidRPr="000571F7">
        <w:rPr>
          <w:rFonts w:ascii="Garamond" w:hAnsi="Garamond"/>
          <w:szCs w:val="24"/>
        </w:rPr>
        <w:t xml:space="preserve">Africa Fighting Malaria. 2007. “VAT On Mosquito Nets Affects Malaria Control”, News Item available at: </w:t>
      </w:r>
      <w:hyperlink r:id="rId39" w:anchor="sthash.eBYM5HiI.dpuf" w:history="1">
        <w:r w:rsidRPr="000571F7">
          <w:rPr>
            <w:rStyle w:val="Hyperlink"/>
            <w:rFonts w:ascii="Garamond" w:hAnsi="Garamond"/>
            <w:szCs w:val="24"/>
          </w:rPr>
          <w:t>http://www.fightingmalaria.org/news/800.html#sthash.eBYM5HiI.dpuf</w:t>
        </w:r>
      </w:hyperlink>
    </w:p>
    <w:p w14:paraId="2FE0E262" w14:textId="77777777" w:rsidR="005335C7" w:rsidRPr="000571F7" w:rsidRDefault="005335C7" w:rsidP="005335C7">
      <w:pPr>
        <w:spacing w:after="0"/>
        <w:contextualSpacing/>
        <w:rPr>
          <w:rFonts w:ascii="Garamond" w:hAnsi="Garamond"/>
          <w:szCs w:val="24"/>
        </w:rPr>
      </w:pPr>
    </w:p>
    <w:p w14:paraId="61598EC2" w14:textId="77777777" w:rsidR="005335C7" w:rsidRPr="000571F7" w:rsidRDefault="005335C7" w:rsidP="005335C7">
      <w:pPr>
        <w:spacing w:after="0"/>
        <w:contextualSpacing/>
        <w:rPr>
          <w:rFonts w:ascii="Garamond" w:hAnsi="Garamond"/>
          <w:szCs w:val="24"/>
        </w:rPr>
      </w:pPr>
      <w:r w:rsidRPr="000571F7">
        <w:rPr>
          <w:rFonts w:ascii="Garamond" w:hAnsi="Garamond"/>
          <w:szCs w:val="24"/>
        </w:rPr>
        <w:t xml:space="preserve">Africa Tax Spotlight. 2012. “Tax Expenditure”, First Quarter Volume 3. </w:t>
      </w:r>
      <w:hyperlink r:id="rId40" w:history="1">
        <w:r w:rsidRPr="000571F7">
          <w:rPr>
            <w:rStyle w:val="Hyperlink"/>
            <w:rFonts w:ascii="Garamond" w:hAnsi="Garamond"/>
            <w:szCs w:val="24"/>
          </w:rPr>
          <w:t>http://www.taxjusticeafrica.net/wp-content/uploads/2015/11/Africa-Tax-Spotlight-9th-edition.pdf</w:t>
        </w:r>
      </w:hyperlink>
      <w:r w:rsidRPr="000571F7">
        <w:rPr>
          <w:rFonts w:ascii="Garamond" w:hAnsi="Garamond"/>
          <w:szCs w:val="24"/>
        </w:rPr>
        <w:t xml:space="preserve"> </w:t>
      </w:r>
    </w:p>
    <w:p w14:paraId="43C69B6B" w14:textId="77777777" w:rsidR="005335C7" w:rsidRPr="000571F7" w:rsidRDefault="005335C7" w:rsidP="005335C7">
      <w:pPr>
        <w:spacing w:after="0"/>
        <w:contextualSpacing/>
        <w:rPr>
          <w:rFonts w:ascii="Garamond" w:hAnsi="Garamond"/>
          <w:szCs w:val="24"/>
        </w:rPr>
      </w:pPr>
    </w:p>
    <w:p w14:paraId="354523C6" w14:textId="77777777" w:rsidR="005335C7" w:rsidRPr="000571F7" w:rsidRDefault="005335C7" w:rsidP="005335C7">
      <w:pPr>
        <w:spacing w:after="0"/>
        <w:contextualSpacing/>
        <w:rPr>
          <w:rFonts w:ascii="Garamond" w:hAnsi="Garamond"/>
          <w:szCs w:val="24"/>
        </w:rPr>
      </w:pPr>
      <w:r w:rsidRPr="00C24997">
        <w:rPr>
          <w:rFonts w:ascii="Garamond" w:hAnsi="Garamond"/>
          <w:szCs w:val="24"/>
          <w:lang w:val="sv-SE"/>
        </w:rPr>
        <w:t xml:space="preserve">Alilio M, Mwenesi H, Barat LM, et al. 2007. </w:t>
      </w:r>
      <w:r w:rsidRPr="000571F7">
        <w:rPr>
          <w:rFonts w:ascii="Garamond" w:hAnsi="Garamond"/>
          <w:szCs w:val="24"/>
        </w:rPr>
        <w:t xml:space="preserve">“Broken Promise? Taxes and Tariffs on Insecticide Treated Mosquito Nets” In: Breman JG, Alilio MS, White NJ, editors. Defining and Defeating the Intolerable Burden of Malaria III: Progress and Perspectives: Supplement to Volume 77(6) of American Journal of Tropical Medicine and Hygiene. Northbrook (IL): American Society of Tropical Medicine and Hygiene. Available from: </w:t>
      </w:r>
      <w:hyperlink r:id="rId41" w:history="1">
        <w:r w:rsidRPr="000571F7">
          <w:rPr>
            <w:rStyle w:val="Hyperlink"/>
            <w:rFonts w:ascii="Garamond" w:hAnsi="Garamond"/>
            <w:szCs w:val="24"/>
          </w:rPr>
          <w:t>https://www.ncbi.nlm.nih.gov/books/NBK1707</w:t>
        </w:r>
      </w:hyperlink>
    </w:p>
    <w:p w14:paraId="387A3CD8" w14:textId="77777777" w:rsidR="005335C7" w:rsidRPr="000571F7" w:rsidRDefault="005335C7" w:rsidP="005335C7">
      <w:pPr>
        <w:spacing w:after="0"/>
        <w:contextualSpacing/>
        <w:rPr>
          <w:rFonts w:ascii="Garamond" w:hAnsi="Garamond"/>
          <w:szCs w:val="24"/>
        </w:rPr>
      </w:pPr>
    </w:p>
    <w:p w14:paraId="447D031C" w14:textId="77777777" w:rsidR="005335C7" w:rsidRPr="000571F7" w:rsidRDefault="005335C7" w:rsidP="005335C7">
      <w:pPr>
        <w:spacing w:after="0"/>
        <w:contextualSpacing/>
        <w:rPr>
          <w:rFonts w:ascii="Garamond" w:hAnsi="Garamond"/>
          <w:szCs w:val="24"/>
        </w:rPr>
      </w:pPr>
      <w:r w:rsidRPr="000571F7">
        <w:rPr>
          <w:rFonts w:ascii="Garamond" w:hAnsi="Garamond"/>
          <w:szCs w:val="24"/>
        </w:rPr>
        <w:t>Burton, M. and Sadiq, K. 2013. “Tax Expenditure Management – A Critical Assessment.” Cambridge, UK: Cambridge University Press.</w:t>
      </w:r>
    </w:p>
    <w:p w14:paraId="0AED1E72" w14:textId="77777777" w:rsidR="005335C7" w:rsidRPr="004D140D" w:rsidRDefault="005335C7" w:rsidP="005335C7">
      <w:pPr>
        <w:spacing w:after="0"/>
        <w:contextualSpacing/>
        <w:rPr>
          <w:rFonts w:ascii="Garamond" w:hAnsi="Garamond" w:cs="AGaramondPro-Regular"/>
          <w:szCs w:val="24"/>
        </w:rPr>
      </w:pPr>
    </w:p>
    <w:p w14:paraId="45B5A3A7" w14:textId="77777777" w:rsidR="005335C7" w:rsidRPr="004D140D" w:rsidRDefault="005335C7" w:rsidP="005335C7">
      <w:pPr>
        <w:spacing w:after="0"/>
        <w:contextualSpacing/>
        <w:rPr>
          <w:rFonts w:ascii="Garamond" w:hAnsi="Garamond"/>
          <w:szCs w:val="24"/>
        </w:rPr>
      </w:pPr>
      <w:r w:rsidRPr="004D140D">
        <w:rPr>
          <w:rFonts w:ascii="Garamond" w:hAnsi="Garamond" w:cs="AGaramondPro-Regular"/>
          <w:szCs w:val="24"/>
        </w:rPr>
        <w:t>Hutton, E. 2010. “</w:t>
      </w:r>
      <w:r w:rsidRPr="004D140D">
        <w:rPr>
          <w:rFonts w:ascii="Garamond" w:hAnsi="Garamond" w:cs="Unit-Medium"/>
          <w:szCs w:val="24"/>
        </w:rPr>
        <w:t>A Basic Framework for Evaluating Value Added Tax Expenditures</w:t>
      </w:r>
      <w:r w:rsidRPr="004D140D">
        <w:rPr>
          <w:rFonts w:ascii="Garamond" w:hAnsi="Garamond" w:cs="AGaramondPro-Regular"/>
          <w:szCs w:val="24"/>
        </w:rPr>
        <w:t>”, Inter-American Development Bank Discussion Paper IDB-DB-138. Washington, DC: Inter-American Development Bank.</w:t>
      </w:r>
    </w:p>
    <w:p w14:paraId="645405E6" w14:textId="77777777" w:rsidR="005335C7" w:rsidRPr="004D140D" w:rsidRDefault="005335C7" w:rsidP="005335C7">
      <w:pPr>
        <w:spacing w:after="0"/>
        <w:contextualSpacing/>
        <w:rPr>
          <w:rFonts w:ascii="Garamond" w:hAnsi="Garamond"/>
          <w:szCs w:val="24"/>
        </w:rPr>
      </w:pPr>
    </w:p>
    <w:p w14:paraId="0673264B" w14:textId="77777777" w:rsidR="005335C7" w:rsidRPr="0016038C" w:rsidRDefault="005335C7" w:rsidP="005335C7">
      <w:pPr>
        <w:spacing w:after="0"/>
        <w:contextualSpacing/>
        <w:rPr>
          <w:rStyle w:val="Hyperlink"/>
          <w:rFonts w:ascii="Garamond" w:hAnsi="Garamond"/>
          <w:szCs w:val="24"/>
          <w:lang w:val="fr-CH"/>
        </w:rPr>
      </w:pPr>
      <w:r>
        <w:rPr>
          <w:rFonts w:ascii="Garamond" w:hAnsi="Garamond"/>
          <w:szCs w:val="24"/>
        </w:rPr>
        <w:t xml:space="preserve">IMF. </w:t>
      </w:r>
      <w:r w:rsidRPr="004D140D">
        <w:rPr>
          <w:rFonts w:ascii="Garamond" w:hAnsi="Garamond"/>
          <w:szCs w:val="24"/>
        </w:rPr>
        <w:t xml:space="preserve">2015. </w:t>
      </w:r>
      <w:r>
        <w:rPr>
          <w:rFonts w:ascii="Garamond" w:hAnsi="Garamond"/>
          <w:szCs w:val="24"/>
        </w:rPr>
        <w:t>“</w:t>
      </w:r>
      <w:r w:rsidRPr="004D140D">
        <w:rPr>
          <w:rFonts w:ascii="Garamond" w:hAnsi="Garamond"/>
          <w:szCs w:val="24"/>
        </w:rPr>
        <w:t>Options for low income countries’ effective and efficient use o</w:t>
      </w:r>
      <w:r>
        <w:rPr>
          <w:rFonts w:ascii="Garamond" w:hAnsi="Garamond"/>
          <w:szCs w:val="24"/>
        </w:rPr>
        <w:t>f tax incentives for investment.”</w:t>
      </w:r>
      <w:r w:rsidRPr="004D140D">
        <w:rPr>
          <w:rFonts w:ascii="Garamond" w:hAnsi="Garamond"/>
          <w:szCs w:val="24"/>
        </w:rPr>
        <w:t xml:space="preserve"> </w:t>
      </w:r>
      <w:hyperlink r:id="rId42" w:history="1">
        <w:r w:rsidRPr="0016038C">
          <w:rPr>
            <w:rStyle w:val="Hyperlink"/>
            <w:rFonts w:ascii="Garamond" w:hAnsi="Garamond"/>
            <w:szCs w:val="24"/>
            <w:lang w:val="fr-CH"/>
          </w:rPr>
          <w:t>https://www.imf.org/external/np/g20/pdf/101515.pdf</w:t>
        </w:r>
      </w:hyperlink>
      <w:r w:rsidRPr="0016038C">
        <w:rPr>
          <w:rStyle w:val="Hyperlink"/>
          <w:rFonts w:ascii="Garamond" w:hAnsi="Garamond"/>
          <w:szCs w:val="24"/>
          <w:lang w:val="fr-CH"/>
        </w:rPr>
        <w:t xml:space="preserve"> </w:t>
      </w:r>
    </w:p>
    <w:p w14:paraId="0A90C7A4" w14:textId="77777777" w:rsidR="005335C7" w:rsidRPr="0016038C" w:rsidRDefault="005335C7" w:rsidP="005335C7">
      <w:pPr>
        <w:spacing w:after="0"/>
        <w:contextualSpacing/>
        <w:rPr>
          <w:rFonts w:ascii="Garamond" w:hAnsi="Garamond" w:cs="SegoeUI"/>
          <w:szCs w:val="24"/>
          <w:lang w:val="fr-CH"/>
        </w:rPr>
      </w:pPr>
    </w:p>
    <w:p w14:paraId="6F47A17D" w14:textId="77777777" w:rsidR="005335C7" w:rsidRPr="004D140D" w:rsidRDefault="005335C7" w:rsidP="005335C7">
      <w:pPr>
        <w:spacing w:after="0"/>
        <w:contextualSpacing/>
        <w:rPr>
          <w:rFonts w:ascii="Garamond" w:hAnsi="Garamond"/>
          <w:szCs w:val="24"/>
        </w:rPr>
      </w:pPr>
      <w:r w:rsidRPr="00BF0572">
        <w:rPr>
          <w:rFonts w:ascii="Garamond" w:hAnsi="Garamond" w:cs="SegoeUI"/>
          <w:szCs w:val="24"/>
          <w:lang w:val="fr-CH"/>
        </w:rPr>
        <w:t xml:space="preserve">James, S. 2007. </w:t>
      </w:r>
      <w:r w:rsidRPr="004D140D">
        <w:rPr>
          <w:rFonts w:ascii="Garamond" w:hAnsi="Garamond" w:cs="SegoeUI"/>
          <w:szCs w:val="24"/>
        </w:rPr>
        <w:t>“The Effect of Tax Rates on Declared Income: An Analysis of Indian Taxpayer Response to Changes in Income Tax Rates,” Ph.D. diss. Cambridge, Massachusetts: Harvard University.</w:t>
      </w:r>
    </w:p>
    <w:p w14:paraId="2A0B1A1E" w14:textId="77777777" w:rsidR="005335C7" w:rsidRPr="004D140D" w:rsidRDefault="005335C7" w:rsidP="005335C7">
      <w:pPr>
        <w:spacing w:after="0"/>
        <w:contextualSpacing/>
        <w:rPr>
          <w:rFonts w:ascii="Garamond" w:hAnsi="Garamond"/>
          <w:szCs w:val="24"/>
        </w:rPr>
      </w:pPr>
    </w:p>
    <w:p w14:paraId="06F5C559" w14:textId="77777777" w:rsidR="005335C7" w:rsidRPr="004D140D" w:rsidRDefault="005335C7" w:rsidP="005335C7">
      <w:pPr>
        <w:spacing w:after="0"/>
        <w:contextualSpacing/>
        <w:rPr>
          <w:rFonts w:ascii="Garamond" w:hAnsi="Garamond"/>
          <w:szCs w:val="24"/>
        </w:rPr>
      </w:pPr>
      <w:r w:rsidRPr="004D140D">
        <w:rPr>
          <w:rFonts w:ascii="Garamond" w:hAnsi="Garamond"/>
          <w:szCs w:val="24"/>
        </w:rPr>
        <w:t>James, S. 2014. “Tax and Non-Tax Incentives and Investments: Evidence and Policy Implications”, Investment Climate Advisory Services. World Bank Group, June 2014.</w:t>
      </w:r>
    </w:p>
    <w:p w14:paraId="1DA08FA5" w14:textId="77777777" w:rsidR="005335C7" w:rsidRPr="004D140D" w:rsidRDefault="005335C7" w:rsidP="005335C7">
      <w:pPr>
        <w:spacing w:after="0"/>
        <w:contextualSpacing/>
        <w:rPr>
          <w:rFonts w:ascii="Garamond" w:hAnsi="Garamond" w:cs="Times New Roman"/>
          <w:szCs w:val="24"/>
        </w:rPr>
      </w:pPr>
    </w:p>
    <w:p w14:paraId="33B37C24" w14:textId="77777777" w:rsidR="005335C7" w:rsidRPr="004D140D" w:rsidRDefault="005335C7" w:rsidP="005335C7">
      <w:pPr>
        <w:spacing w:after="0"/>
        <w:contextualSpacing/>
        <w:rPr>
          <w:rFonts w:ascii="Garamond" w:hAnsi="Garamond" w:cs="Times New Roman"/>
          <w:szCs w:val="24"/>
        </w:rPr>
      </w:pPr>
      <w:r w:rsidRPr="004D140D">
        <w:rPr>
          <w:rFonts w:ascii="Garamond" w:hAnsi="Garamond" w:cs="Times New Roman"/>
          <w:szCs w:val="24"/>
        </w:rPr>
        <w:t>James. S. and F. Oppong. 2016. “Tax Expenditures Estimates in Ghana</w:t>
      </w:r>
      <w:r>
        <w:rPr>
          <w:rFonts w:ascii="Garamond" w:hAnsi="Garamond" w:cs="Times New Roman"/>
          <w:szCs w:val="24"/>
        </w:rPr>
        <w:t>.</w:t>
      </w:r>
      <w:r w:rsidRPr="004D140D">
        <w:rPr>
          <w:rFonts w:ascii="Garamond" w:hAnsi="Garamond" w:cs="Times New Roman"/>
          <w:szCs w:val="24"/>
        </w:rPr>
        <w:t xml:space="preserve">” </w:t>
      </w:r>
      <w:hyperlink r:id="rId43" w:history="1">
        <w:r w:rsidRPr="004D140D">
          <w:rPr>
            <w:rStyle w:val="Hyperlink"/>
            <w:rFonts w:ascii="Garamond" w:hAnsi="Garamond" w:cs="Times New Roman"/>
            <w:szCs w:val="24"/>
          </w:rPr>
          <w:t>http://ssrn.com/abstract=2841302</w:t>
        </w:r>
      </w:hyperlink>
      <w:r w:rsidRPr="004D140D">
        <w:rPr>
          <w:rFonts w:ascii="Garamond" w:hAnsi="Garamond" w:cs="Times New Roman"/>
          <w:szCs w:val="24"/>
        </w:rPr>
        <w:t xml:space="preserve"> </w:t>
      </w:r>
    </w:p>
    <w:p w14:paraId="07AE4AB2" w14:textId="77777777" w:rsidR="005335C7" w:rsidRPr="004D140D" w:rsidRDefault="005335C7" w:rsidP="005335C7">
      <w:pPr>
        <w:spacing w:after="0"/>
        <w:contextualSpacing/>
        <w:rPr>
          <w:rFonts w:ascii="Garamond" w:hAnsi="Garamond" w:cs="Times New Roman"/>
          <w:szCs w:val="24"/>
        </w:rPr>
      </w:pPr>
    </w:p>
    <w:p w14:paraId="44744B6E" w14:textId="77777777" w:rsidR="005335C7" w:rsidRPr="004D140D" w:rsidRDefault="005335C7" w:rsidP="005335C7">
      <w:pPr>
        <w:spacing w:after="0"/>
        <w:contextualSpacing/>
        <w:rPr>
          <w:rFonts w:ascii="Garamond" w:hAnsi="Garamond" w:cs="Times New Roman"/>
          <w:szCs w:val="24"/>
        </w:rPr>
      </w:pPr>
      <w:r w:rsidRPr="004D140D">
        <w:rPr>
          <w:rFonts w:ascii="Garamond" w:hAnsi="Garamond" w:cs="Times New Roman"/>
          <w:szCs w:val="24"/>
        </w:rPr>
        <w:t>Keen M. 2013. “The Anatomy of the VAT”, IMF Working Paper WP/13/111. Washington, DC: The International Monetary Fund</w:t>
      </w:r>
    </w:p>
    <w:p w14:paraId="3C7EA0B7" w14:textId="77777777" w:rsidR="005335C7" w:rsidRPr="004D140D" w:rsidRDefault="005335C7" w:rsidP="005335C7">
      <w:pPr>
        <w:spacing w:after="0"/>
        <w:contextualSpacing/>
        <w:rPr>
          <w:rFonts w:ascii="Garamond" w:hAnsi="Garamond"/>
          <w:szCs w:val="24"/>
        </w:rPr>
      </w:pPr>
    </w:p>
    <w:p w14:paraId="60E85994" w14:textId="77777777" w:rsidR="005335C7" w:rsidRPr="00C36F7F" w:rsidRDefault="005335C7" w:rsidP="005335C7">
      <w:pPr>
        <w:spacing w:after="0"/>
        <w:contextualSpacing/>
        <w:rPr>
          <w:rFonts w:ascii="Garamond" w:hAnsi="Garamond"/>
          <w:szCs w:val="24"/>
        </w:rPr>
      </w:pPr>
      <w:r w:rsidRPr="000068AC">
        <w:rPr>
          <w:rFonts w:ascii="Garamond" w:hAnsi="Garamond"/>
          <w:szCs w:val="24"/>
        </w:rPr>
        <w:t xml:space="preserve">Madani, D.H., Mas-Guix N. 2011. </w:t>
      </w:r>
      <w:r>
        <w:rPr>
          <w:rFonts w:ascii="Garamond" w:hAnsi="Garamond"/>
          <w:szCs w:val="24"/>
        </w:rPr>
        <w:t>“</w:t>
      </w:r>
      <w:r w:rsidRPr="004D140D">
        <w:rPr>
          <w:rFonts w:ascii="Garamond" w:hAnsi="Garamond"/>
          <w:szCs w:val="24"/>
        </w:rPr>
        <w:t>The Impact of Export Tax Incentives on Export Performance - Evidence from the Automotive Sector in South Africa</w:t>
      </w:r>
      <w:r>
        <w:rPr>
          <w:rFonts w:ascii="Garamond" w:hAnsi="Garamond"/>
          <w:szCs w:val="24"/>
        </w:rPr>
        <w:t xml:space="preserve">”, </w:t>
      </w:r>
      <w:r w:rsidRPr="004D140D">
        <w:rPr>
          <w:rFonts w:ascii="Garamond" w:hAnsi="Garamond"/>
          <w:szCs w:val="24"/>
        </w:rPr>
        <w:t xml:space="preserve">World Bank Policy Research Working Paper 5585. Washington, DC. </w:t>
      </w:r>
      <w:hyperlink r:id="rId44" w:history="1">
        <w:r w:rsidRPr="00C36F7F">
          <w:rPr>
            <w:rStyle w:val="Hyperlink"/>
            <w:rFonts w:ascii="Garamond" w:hAnsi="Garamond"/>
            <w:szCs w:val="24"/>
          </w:rPr>
          <w:t>http://documents.worldbank.org/curated/en/913141468114550935/pdf/WPS5585.pdf</w:t>
        </w:r>
      </w:hyperlink>
      <w:r w:rsidRPr="00C36F7F">
        <w:rPr>
          <w:rFonts w:ascii="Garamond" w:hAnsi="Garamond"/>
          <w:szCs w:val="24"/>
        </w:rPr>
        <w:t xml:space="preserve"> </w:t>
      </w:r>
    </w:p>
    <w:p w14:paraId="4CC17F72" w14:textId="77777777" w:rsidR="005335C7" w:rsidRPr="00C36F7F" w:rsidRDefault="005335C7" w:rsidP="005335C7">
      <w:pPr>
        <w:spacing w:after="0"/>
        <w:contextualSpacing/>
        <w:rPr>
          <w:rFonts w:ascii="Garamond" w:hAnsi="Garamond"/>
          <w:szCs w:val="24"/>
        </w:rPr>
      </w:pPr>
    </w:p>
    <w:p w14:paraId="36431BD8" w14:textId="77777777" w:rsidR="005335C7" w:rsidRPr="004D140D" w:rsidRDefault="005335C7" w:rsidP="005335C7">
      <w:pPr>
        <w:spacing w:after="0"/>
        <w:contextualSpacing/>
        <w:rPr>
          <w:rFonts w:ascii="Garamond" w:hAnsi="Garamond"/>
          <w:szCs w:val="24"/>
        </w:rPr>
      </w:pPr>
      <w:r w:rsidRPr="00C36F7F">
        <w:rPr>
          <w:rFonts w:ascii="Garamond" w:hAnsi="Garamond"/>
          <w:szCs w:val="24"/>
        </w:rPr>
        <w:t xml:space="preserve">Minh Le T. 2003. </w:t>
      </w:r>
      <w:r>
        <w:rPr>
          <w:rFonts w:ascii="Garamond" w:hAnsi="Garamond"/>
          <w:szCs w:val="24"/>
        </w:rPr>
        <w:t>“</w:t>
      </w:r>
      <w:r w:rsidRPr="004D140D">
        <w:rPr>
          <w:rFonts w:ascii="Garamond" w:hAnsi="Garamond"/>
          <w:szCs w:val="24"/>
        </w:rPr>
        <w:t>Value Added Taxation:  Mechanism, Design, and Policy Issues</w:t>
      </w:r>
      <w:r>
        <w:rPr>
          <w:rFonts w:ascii="Garamond" w:hAnsi="Garamond"/>
          <w:szCs w:val="24"/>
        </w:rPr>
        <w:t>”,</w:t>
      </w:r>
      <w:r w:rsidRPr="004D140D">
        <w:rPr>
          <w:rFonts w:ascii="Garamond" w:hAnsi="Garamond"/>
          <w:szCs w:val="24"/>
        </w:rPr>
        <w:t xml:space="preserve"> Paper prepared for the World Bank course on Practical Issues of Tax Policy in Developing Countries. Washington DC. </w:t>
      </w:r>
      <w:hyperlink r:id="rId45" w:history="1">
        <w:r w:rsidRPr="004D140D">
          <w:rPr>
            <w:rStyle w:val="Hyperlink"/>
            <w:rFonts w:ascii="Garamond" w:hAnsi="Garamond" w:cs="Arial"/>
            <w:szCs w:val="24"/>
            <w:shd w:val="clear" w:color="auto" w:fill="F5F5F5"/>
          </w:rPr>
          <w:t>http://www1.worldbank.org/publicsector/LearningProgram/PracticalIssues/papers/Value%20added%20taxation/Value%20Added%20Taxation.doc</w:t>
        </w:r>
      </w:hyperlink>
    </w:p>
    <w:p w14:paraId="479008BB" w14:textId="77777777" w:rsidR="005335C7" w:rsidRPr="004D140D" w:rsidRDefault="005335C7" w:rsidP="005335C7">
      <w:pPr>
        <w:spacing w:after="0"/>
        <w:contextualSpacing/>
        <w:rPr>
          <w:rFonts w:ascii="Garamond" w:hAnsi="Garamond"/>
          <w:szCs w:val="24"/>
        </w:rPr>
      </w:pPr>
    </w:p>
    <w:p w14:paraId="7BABD0E9" w14:textId="77777777" w:rsidR="005335C7" w:rsidRPr="004D140D" w:rsidRDefault="005335C7" w:rsidP="005335C7">
      <w:pPr>
        <w:spacing w:after="0"/>
        <w:contextualSpacing/>
        <w:rPr>
          <w:rFonts w:ascii="Garamond" w:hAnsi="Garamond"/>
          <w:szCs w:val="24"/>
        </w:rPr>
      </w:pPr>
      <w:r w:rsidRPr="004D140D">
        <w:rPr>
          <w:rFonts w:ascii="Garamond" w:hAnsi="Garamond"/>
          <w:szCs w:val="24"/>
        </w:rPr>
        <w:t>OECD. 2013. “Analysis of Tax Expenditures in Ghana.” OECD Tax and Development. Paris: Organization for Economic Cooperation and Development.</w:t>
      </w:r>
    </w:p>
    <w:p w14:paraId="097A78D4" w14:textId="77777777" w:rsidR="005335C7" w:rsidRPr="004D140D" w:rsidRDefault="005335C7" w:rsidP="005335C7">
      <w:pPr>
        <w:spacing w:after="0"/>
        <w:contextualSpacing/>
        <w:rPr>
          <w:rFonts w:ascii="Garamond" w:hAnsi="Garamond" w:cs="Arial"/>
          <w:color w:val="303030"/>
          <w:szCs w:val="24"/>
          <w:shd w:val="clear" w:color="auto" w:fill="FFFFFF"/>
        </w:rPr>
      </w:pPr>
    </w:p>
    <w:p w14:paraId="3A7A0BFF" w14:textId="77777777" w:rsidR="005335C7" w:rsidRPr="004D140D" w:rsidRDefault="005335C7" w:rsidP="005335C7">
      <w:pPr>
        <w:spacing w:after="0"/>
        <w:contextualSpacing/>
        <w:rPr>
          <w:rFonts w:ascii="Garamond" w:hAnsi="Garamond"/>
          <w:szCs w:val="24"/>
        </w:rPr>
      </w:pPr>
      <w:r w:rsidRPr="004D140D">
        <w:rPr>
          <w:rFonts w:ascii="Garamond" w:hAnsi="Garamond" w:cs="Arial"/>
          <w:color w:val="303030"/>
          <w:szCs w:val="24"/>
          <w:shd w:val="clear" w:color="auto" w:fill="FFFFFF"/>
        </w:rPr>
        <w:lastRenderedPageBreak/>
        <w:t xml:space="preserve">Simon, J. L., Larson, </w:t>
      </w:r>
      <w:r>
        <w:rPr>
          <w:rFonts w:ascii="Garamond" w:hAnsi="Garamond" w:cs="Arial"/>
          <w:color w:val="303030"/>
          <w:szCs w:val="24"/>
          <w:shd w:val="clear" w:color="auto" w:fill="FFFFFF"/>
        </w:rPr>
        <w:t>B. A., Zusman, A., and</w:t>
      </w:r>
      <w:r w:rsidRPr="004D140D">
        <w:rPr>
          <w:rFonts w:ascii="Garamond" w:hAnsi="Garamond" w:cs="Arial"/>
          <w:color w:val="303030"/>
          <w:szCs w:val="24"/>
          <w:shd w:val="clear" w:color="auto" w:fill="FFFFFF"/>
        </w:rPr>
        <w:t xml:space="preserve"> Rosen, S. 2002</w:t>
      </w:r>
      <w:r>
        <w:rPr>
          <w:rFonts w:ascii="Garamond" w:hAnsi="Garamond" w:cs="Arial"/>
          <w:color w:val="303030"/>
          <w:szCs w:val="24"/>
          <w:shd w:val="clear" w:color="auto" w:fill="FFFFFF"/>
        </w:rPr>
        <w:t>.</w:t>
      </w:r>
      <w:r w:rsidRPr="004D140D">
        <w:rPr>
          <w:rFonts w:ascii="Garamond" w:hAnsi="Garamond" w:cs="Arial"/>
          <w:color w:val="303030"/>
          <w:szCs w:val="24"/>
          <w:shd w:val="clear" w:color="auto" w:fill="FFFFFF"/>
        </w:rPr>
        <w:t xml:space="preserve"> </w:t>
      </w:r>
      <w:r>
        <w:rPr>
          <w:rFonts w:ascii="Garamond" w:hAnsi="Garamond" w:cs="Arial"/>
          <w:color w:val="303030"/>
          <w:szCs w:val="24"/>
          <w:shd w:val="clear" w:color="auto" w:fill="FFFFFF"/>
        </w:rPr>
        <w:t>“</w:t>
      </w:r>
      <w:r w:rsidRPr="004D140D">
        <w:rPr>
          <w:rFonts w:ascii="Garamond" w:hAnsi="Garamond" w:cs="Arial"/>
          <w:color w:val="303030"/>
          <w:szCs w:val="24"/>
          <w:shd w:val="clear" w:color="auto" w:fill="FFFFFF"/>
        </w:rPr>
        <w:t>How will the reduction of tariffs and taxes on insecticide- treated bednets affect household purchases?</w:t>
      </w:r>
      <w:r>
        <w:rPr>
          <w:rFonts w:ascii="Garamond" w:hAnsi="Garamond" w:cs="Arial"/>
          <w:color w:val="303030"/>
          <w:szCs w:val="24"/>
          <w:shd w:val="clear" w:color="auto" w:fill="FFFFFF"/>
        </w:rPr>
        <w:t>”,</w:t>
      </w:r>
      <w:r w:rsidRPr="004D140D">
        <w:rPr>
          <w:rStyle w:val="apple-converted-space"/>
          <w:rFonts w:ascii="Garamond" w:hAnsi="Garamond" w:cs="Arial"/>
          <w:color w:val="303030"/>
          <w:szCs w:val="24"/>
          <w:shd w:val="clear" w:color="auto" w:fill="FFFFFF"/>
        </w:rPr>
        <w:t> </w:t>
      </w:r>
      <w:r w:rsidRPr="00F81683">
        <w:rPr>
          <w:rFonts w:ascii="Garamond" w:hAnsi="Garamond" w:cs="Arial"/>
          <w:iCs/>
          <w:color w:val="303030"/>
          <w:szCs w:val="24"/>
          <w:shd w:val="clear" w:color="auto" w:fill="FFFFFF"/>
        </w:rPr>
        <w:t>Bulletin of the World Health Organization</w:t>
      </w:r>
      <w:r w:rsidRPr="00F81683">
        <w:rPr>
          <w:rFonts w:ascii="Garamond" w:hAnsi="Garamond" w:cs="Arial"/>
          <w:color w:val="303030"/>
          <w:szCs w:val="24"/>
          <w:shd w:val="clear" w:color="auto" w:fill="FFFFFF"/>
        </w:rPr>
        <w:t>,</w:t>
      </w:r>
      <w:r w:rsidRPr="00F81683">
        <w:rPr>
          <w:rStyle w:val="apple-converted-space"/>
          <w:rFonts w:ascii="Garamond" w:hAnsi="Garamond" w:cs="Arial"/>
          <w:color w:val="303030"/>
          <w:szCs w:val="24"/>
          <w:shd w:val="clear" w:color="auto" w:fill="FFFFFF"/>
        </w:rPr>
        <w:t> </w:t>
      </w:r>
      <w:r w:rsidRPr="00F81683">
        <w:rPr>
          <w:rFonts w:ascii="Garamond" w:hAnsi="Garamond" w:cs="Arial"/>
          <w:iCs/>
          <w:color w:val="303030"/>
          <w:szCs w:val="24"/>
          <w:shd w:val="clear" w:color="auto" w:fill="FFFFFF"/>
        </w:rPr>
        <w:t>80</w:t>
      </w:r>
      <w:r w:rsidRPr="00F81683">
        <w:rPr>
          <w:rFonts w:ascii="Garamond" w:hAnsi="Garamond" w:cs="Arial"/>
          <w:color w:val="303030"/>
          <w:szCs w:val="24"/>
          <w:shd w:val="clear" w:color="auto" w:fill="FFFFFF"/>
        </w:rPr>
        <w:t>(11),</w:t>
      </w:r>
      <w:r w:rsidRPr="004D140D">
        <w:rPr>
          <w:rFonts w:ascii="Garamond" w:hAnsi="Garamond" w:cs="Arial"/>
          <w:color w:val="303030"/>
          <w:szCs w:val="24"/>
          <w:shd w:val="clear" w:color="auto" w:fill="FFFFFF"/>
        </w:rPr>
        <w:t xml:space="preserve"> 892–899. </w:t>
      </w:r>
      <w:r w:rsidRPr="004D140D">
        <w:rPr>
          <w:rFonts w:ascii="Garamond" w:hAnsi="Garamond"/>
          <w:szCs w:val="24"/>
        </w:rPr>
        <w:t xml:space="preserve"> </w:t>
      </w:r>
      <w:hyperlink r:id="rId46" w:history="1">
        <w:r w:rsidRPr="004D140D">
          <w:rPr>
            <w:rStyle w:val="Hyperlink"/>
            <w:rFonts w:ascii="Garamond" w:hAnsi="Garamond"/>
            <w:szCs w:val="24"/>
          </w:rPr>
          <w:t>https://www.ncbi.nlm.nih.gov/pmc/articles/PMC2567679/</w:t>
        </w:r>
      </w:hyperlink>
      <w:r w:rsidRPr="004D140D">
        <w:rPr>
          <w:rFonts w:ascii="Garamond" w:hAnsi="Garamond"/>
          <w:szCs w:val="24"/>
        </w:rPr>
        <w:t xml:space="preserve"> </w:t>
      </w:r>
    </w:p>
    <w:p w14:paraId="772B0B34" w14:textId="77777777" w:rsidR="005335C7" w:rsidRPr="004D140D" w:rsidRDefault="005335C7" w:rsidP="005335C7">
      <w:pPr>
        <w:spacing w:after="0"/>
        <w:contextualSpacing/>
        <w:rPr>
          <w:rFonts w:ascii="Garamond" w:hAnsi="Garamond"/>
          <w:szCs w:val="24"/>
        </w:rPr>
      </w:pPr>
    </w:p>
    <w:p w14:paraId="4959B45D" w14:textId="77777777" w:rsidR="005335C7" w:rsidRPr="004D140D" w:rsidRDefault="005335C7" w:rsidP="005335C7">
      <w:pPr>
        <w:spacing w:after="0"/>
        <w:contextualSpacing/>
        <w:rPr>
          <w:rFonts w:ascii="Garamond" w:hAnsi="Garamond"/>
          <w:szCs w:val="24"/>
        </w:rPr>
      </w:pPr>
      <w:r w:rsidRPr="004D140D">
        <w:rPr>
          <w:rFonts w:ascii="Garamond" w:hAnsi="Garamond"/>
          <w:szCs w:val="24"/>
        </w:rPr>
        <w:t>Tax Policy Center. 2016. “Tax Policy Center Briefing Book: How Could We Improve the Federal Tax Policy System.</w:t>
      </w:r>
      <w:r>
        <w:rPr>
          <w:rFonts w:ascii="Garamond" w:hAnsi="Garamond"/>
          <w:szCs w:val="24"/>
        </w:rPr>
        <w:t>”</w:t>
      </w:r>
      <w:r w:rsidRPr="004D140D">
        <w:rPr>
          <w:rFonts w:ascii="Garamond" w:hAnsi="Garamond"/>
          <w:szCs w:val="24"/>
        </w:rPr>
        <w:t xml:space="preserve"> Washington DC: The Urban Institute and the Brookings Institution. </w:t>
      </w:r>
      <w:hyperlink r:id="rId47" w:history="1">
        <w:r w:rsidRPr="004D140D">
          <w:rPr>
            <w:rStyle w:val="Hyperlink"/>
            <w:rFonts w:ascii="Garamond" w:hAnsi="Garamond"/>
            <w:szCs w:val="24"/>
          </w:rPr>
          <w:t>http://www.taxpolicycenter.org/briefing-book/what-difference-between-zero-rating-and-exemption-good-vat</w:t>
        </w:r>
      </w:hyperlink>
      <w:r w:rsidRPr="004D140D">
        <w:rPr>
          <w:rFonts w:ascii="Garamond" w:hAnsi="Garamond"/>
          <w:szCs w:val="24"/>
        </w:rPr>
        <w:t xml:space="preserve"> </w:t>
      </w:r>
    </w:p>
    <w:p w14:paraId="116931F9" w14:textId="77777777" w:rsidR="005335C7" w:rsidRPr="004D140D" w:rsidRDefault="005335C7" w:rsidP="005335C7">
      <w:pPr>
        <w:spacing w:after="0"/>
        <w:contextualSpacing/>
        <w:rPr>
          <w:rFonts w:ascii="Garamond" w:hAnsi="Garamond"/>
          <w:szCs w:val="24"/>
        </w:rPr>
      </w:pPr>
    </w:p>
    <w:p w14:paraId="0BAEDD4D" w14:textId="77777777" w:rsidR="005335C7" w:rsidRPr="004D140D" w:rsidRDefault="005335C7" w:rsidP="005335C7">
      <w:pPr>
        <w:spacing w:after="0"/>
        <w:contextualSpacing/>
        <w:rPr>
          <w:rFonts w:ascii="Garamond" w:hAnsi="Garamond"/>
          <w:szCs w:val="24"/>
        </w:rPr>
      </w:pPr>
      <w:r w:rsidRPr="004D140D">
        <w:rPr>
          <w:rFonts w:ascii="Garamond" w:hAnsi="Garamond"/>
          <w:szCs w:val="24"/>
        </w:rPr>
        <w:t>Ueda, J. and M. Thackray. 2015. “South Africa – Revenue Administration Gap Analysis Program – The Value Added Tax Gap”. Washington, DC: The International Monetary Fund.</w:t>
      </w:r>
    </w:p>
    <w:p w14:paraId="4E6C7D28" w14:textId="77777777" w:rsidR="005335C7" w:rsidRPr="004D140D" w:rsidRDefault="005335C7" w:rsidP="005335C7">
      <w:pPr>
        <w:spacing w:after="0"/>
        <w:contextualSpacing/>
        <w:rPr>
          <w:rFonts w:ascii="Garamond" w:hAnsi="Garamond" w:cs="Times New Roman"/>
          <w:szCs w:val="24"/>
        </w:rPr>
      </w:pPr>
    </w:p>
    <w:p w14:paraId="330A4B7D" w14:textId="77777777" w:rsidR="005335C7" w:rsidRPr="004D140D" w:rsidRDefault="005335C7" w:rsidP="005335C7">
      <w:pPr>
        <w:spacing w:after="0"/>
        <w:contextualSpacing/>
        <w:rPr>
          <w:rFonts w:ascii="Garamond" w:hAnsi="Garamond" w:cs="Times New Roman"/>
          <w:szCs w:val="24"/>
        </w:rPr>
      </w:pPr>
      <w:r w:rsidRPr="004D140D">
        <w:rPr>
          <w:rFonts w:ascii="Garamond" w:hAnsi="Garamond" w:cs="Times New Roman"/>
          <w:szCs w:val="24"/>
        </w:rPr>
        <w:t>United States Congress Joint Committee on Taxation. 2008. “Estimates of Federal Tax Expenditures for Fiscal Years 2008–2012’, House Committee on Ways and Means and Senate Committee on Finance. Washington, DC: U.S. Government Printing Office.</w:t>
      </w:r>
    </w:p>
    <w:p w14:paraId="2CFEB9BA" w14:textId="77777777" w:rsidR="005335C7" w:rsidRPr="004D140D" w:rsidRDefault="005335C7" w:rsidP="005335C7">
      <w:pPr>
        <w:spacing w:after="0"/>
        <w:contextualSpacing/>
        <w:rPr>
          <w:rFonts w:ascii="Garamond" w:hAnsi="Garamond"/>
          <w:szCs w:val="24"/>
        </w:rPr>
      </w:pPr>
    </w:p>
    <w:p w14:paraId="4327DAB4" w14:textId="77777777" w:rsidR="005335C7" w:rsidRPr="004D140D" w:rsidRDefault="005335C7" w:rsidP="005335C7">
      <w:pPr>
        <w:spacing w:after="0"/>
        <w:contextualSpacing/>
        <w:rPr>
          <w:rFonts w:ascii="Garamond" w:hAnsi="Garamond"/>
          <w:szCs w:val="24"/>
        </w:rPr>
      </w:pPr>
      <w:r>
        <w:rPr>
          <w:rFonts w:ascii="Garamond" w:hAnsi="Garamond"/>
          <w:szCs w:val="24"/>
        </w:rPr>
        <w:t xml:space="preserve">USAID/RCSA. </w:t>
      </w:r>
      <w:r w:rsidRPr="004D140D">
        <w:rPr>
          <w:rFonts w:ascii="Garamond" w:hAnsi="Garamond"/>
          <w:szCs w:val="24"/>
        </w:rPr>
        <w:t>2004</w:t>
      </w:r>
      <w:r>
        <w:rPr>
          <w:rFonts w:ascii="Garamond" w:hAnsi="Garamond"/>
          <w:szCs w:val="24"/>
        </w:rPr>
        <w:t>.</w:t>
      </w:r>
      <w:r w:rsidRPr="004D140D">
        <w:rPr>
          <w:rFonts w:ascii="Garamond" w:hAnsi="Garamond"/>
          <w:szCs w:val="24"/>
        </w:rPr>
        <w:t xml:space="preserve"> </w:t>
      </w:r>
      <w:r>
        <w:rPr>
          <w:rFonts w:ascii="Garamond" w:hAnsi="Garamond"/>
          <w:szCs w:val="24"/>
        </w:rPr>
        <w:t>“</w:t>
      </w:r>
      <w:r w:rsidRPr="004D140D">
        <w:rPr>
          <w:rFonts w:ascii="Garamond" w:hAnsi="Garamond"/>
          <w:szCs w:val="24"/>
        </w:rPr>
        <w:t>Effectiveness and Economic Impact of Tax Incentives in the SADC Region.</w:t>
      </w:r>
      <w:r>
        <w:rPr>
          <w:rFonts w:ascii="Garamond" w:hAnsi="Garamond"/>
          <w:szCs w:val="24"/>
        </w:rPr>
        <w:t>”</w:t>
      </w:r>
      <w:r w:rsidRPr="004D140D">
        <w:rPr>
          <w:rFonts w:ascii="Garamond" w:hAnsi="Garamond"/>
          <w:szCs w:val="24"/>
        </w:rPr>
        <w:t xml:space="preserve"> Arlington, Virginia</w:t>
      </w:r>
      <w:r>
        <w:rPr>
          <w:rFonts w:ascii="Garamond" w:hAnsi="Garamond"/>
          <w:szCs w:val="24"/>
        </w:rPr>
        <w:t xml:space="preserve">: </w:t>
      </w:r>
      <w:r w:rsidRPr="004D140D">
        <w:rPr>
          <w:rFonts w:ascii="Garamond" w:hAnsi="Garamond"/>
          <w:szCs w:val="24"/>
        </w:rPr>
        <w:t xml:space="preserve">SADC Tax Subcommittee, SADC Trade, Industry, Finance and Investment Directorate. </w:t>
      </w:r>
      <w:hyperlink r:id="rId48" w:history="1">
        <w:r w:rsidRPr="004D140D">
          <w:rPr>
            <w:rStyle w:val="Hyperlink"/>
            <w:rFonts w:ascii="Garamond" w:hAnsi="Garamond"/>
            <w:szCs w:val="24"/>
          </w:rPr>
          <w:t>http://pdf.usaid.gov/pdf_docs/Pnacy929.pdf</w:t>
        </w:r>
      </w:hyperlink>
      <w:r w:rsidRPr="004D140D">
        <w:rPr>
          <w:rFonts w:ascii="Garamond" w:hAnsi="Garamond"/>
          <w:szCs w:val="24"/>
        </w:rPr>
        <w:t xml:space="preserve"> </w:t>
      </w:r>
    </w:p>
    <w:p w14:paraId="6AFE05D4" w14:textId="77777777" w:rsidR="005335C7" w:rsidRPr="004D140D" w:rsidRDefault="005335C7" w:rsidP="005335C7">
      <w:pPr>
        <w:spacing w:after="0"/>
        <w:contextualSpacing/>
        <w:rPr>
          <w:rFonts w:ascii="Garamond" w:hAnsi="Garamond" w:cs="Times New Roman"/>
          <w:szCs w:val="24"/>
        </w:rPr>
      </w:pPr>
    </w:p>
    <w:p w14:paraId="2E327912" w14:textId="77777777" w:rsidR="005335C7" w:rsidRPr="004D140D" w:rsidRDefault="005335C7" w:rsidP="005335C7">
      <w:pPr>
        <w:spacing w:after="0"/>
        <w:contextualSpacing/>
        <w:rPr>
          <w:rFonts w:ascii="Garamond" w:hAnsi="Garamond" w:cs="Times New Roman"/>
          <w:szCs w:val="24"/>
        </w:rPr>
      </w:pPr>
      <w:r w:rsidRPr="004D140D">
        <w:rPr>
          <w:rFonts w:ascii="Garamond" w:hAnsi="Garamond" w:cs="Times New Roman"/>
          <w:szCs w:val="24"/>
        </w:rPr>
        <w:t xml:space="preserve">Van Parys, S. and James, S. </w:t>
      </w:r>
      <w:r>
        <w:rPr>
          <w:rFonts w:ascii="Garamond" w:hAnsi="Garamond" w:cs="Times New Roman"/>
          <w:szCs w:val="24"/>
        </w:rPr>
        <w:t xml:space="preserve">2010. </w:t>
      </w:r>
      <w:r w:rsidRPr="004D140D">
        <w:rPr>
          <w:rFonts w:ascii="Garamond" w:hAnsi="Garamond" w:cs="Times New Roman"/>
          <w:szCs w:val="24"/>
        </w:rPr>
        <w:t>“The effectiveness of tax incentives in attracting investment: panel data evidence from the CFA Franc zone</w:t>
      </w:r>
      <w:r>
        <w:rPr>
          <w:rFonts w:ascii="Garamond" w:hAnsi="Garamond" w:cs="Times New Roman"/>
          <w:szCs w:val="24"/>
        </w:rPr>
        <w:t>.</w:t>
      </w:r>
      <w:r w:rsidRPr="004D140D">
        <w:rPr>
          <w:rFonts w:ascii="Garamond" w:hAnsi="Garamond" w:cs="Times New Roman"/>
          <w:szCs w:val="24"/>
        </w:rPr>
        <w:t xml:space="preserve">” International </w:t>
      </w:r>
      <w:r>
        <w:rPr>
          <w:rFonts w:ascii="Garamond" w:hAnsi="Garamond" w:cs="Times New Roman"/>
          <w:szCs w:val="24"/>
        </w:rPr>
        <w:t>Tax Public Finance</w:t>
      </w:r>
      <w:r w:rsidRPr="004D140D">
        <w:rPr>
          <w:rFonts w:ascii="Garamond" w:hAnsi="Garamond" w:cs="Times New Roman"/>
          <w:szCs w:val="24"/>
        </w:rPr>
        <w:t xml:space="preserve"> 17: 400.  </w:t>
      </w:r>
    </w:p>
    <w:p w14:paraId="615B8679" w14:textId="77777777" w:rsidR="005335C7" w:rsidRPr="004D140D" w:rsidRDefault="005335C7" w:rsidP="005335C7">
      <w:pPr>
        <w:spacing w:after="0"/>
        <w:contextualSpacing/>
        <w:rPr>
          <w:rFonts w:ascii="Garamond" w:hAnsi="Garamond"/>
          <w:szCs w:val="24"/>
        </w:rPr>
      </w:pPr>
    </w:p>
    <w:p w14:paraId="0F42AF1F" w14:textId="77777777" w:rsidR="005335C7" w:rsidRPr="004D140D" w:rsidRDefault="005335C7" w:rsidP="005335C7">
      <w:pPr>
        <w:spacing w:after="0"/>
        <w:contextualSpacing/>
        <w:rPr>
          <w:rFonts w:ascii="Garamond" w:hAnsi="Garamond"/>
          <w:szCs w:val="24"/>
        </w:rPr>
      </w:pPr>
      <w:r>
        <w:rPr>
          <w:rFonts w:ascii="Garamond" w:hAnsi="Garamond"/>
          <w:szCs w:val="24"/>
        </w:rPr>
        <w:t xml:space="preserve">World Bank. </w:t>
      </w:r>
      <w:r w:rsidRPr="004D140D">
        <w:rPr>
          <w:rFonts w:ascii="Garamond" w:hAnsi="Garamond"/>
          <w:szCs w:val="24"/>
        </w:rPr>
        <w:t>2014</w:t>
      </w:r>
      <w:r>
        <w:rPr>
          <w:rFonts w:ascii="Garamond" w:hAnsi="Garamond"/>
          <w:szCs w:val="24"/>
        </w:rPr>
        <w:t>.</w:t>
      </w:r>
      <w:r w:rsidRPr="004D140D">
        <w:rPr>
          <w:rFonts w:ascii="Garamond" w:hAnsi="Garamond"/>
          <w:szCs w:val="24"/>
        </w:rPr>
        <w:t xml:space="preserve"> </w:t>
      </w:r>
      <w:r>
        <w:rPr>
          <w:rFonts w:ascii="Garamond" w:hAnsi="Garamond"/>
          <w:szCs w:val="24"/>
        </w:rPr>
        <w:t>“</w:t>
      </w:r>
      <w:r w:rsidRPr="004D140D">
        <w:rPr>
          <w:rFonts w:ascii="Garamond" w:hAnsi="Garamond"/>
          <w:szCs w:val="24"/>
        </w:rPr>
        <w:t>South Africa Economic Update Focus on Export Competitiveness.</w:t>
      </w:r>
      <w:r>
        <w:rPr>
          <w:rFonts w:ascii="Garamond" w:hAnsi="Garamond"/>
          <w:szCs w:val="24"/>
        </w:rPr>
        <w:t>”</w:t>
      </w:r>
      <w:r w:rsidRPr="004D140D">
        <w:rPr>
          <w:rFonts w:ascii="Garamond" w:hAnsi="Garamond"/>
          <w:szCs w:val="24"/>
        </w:rPr>
        <w:t xml:space="preserve"> </w:t>
      </w:r>
      <w:r w:rsidRPr="004D140D">
        <w:rPr>
          <w:rFonts w:ascii="Garamond" w:hAnsi="Garamond" w:cs="Times New Roman"/>
          <w:szCs w:val="24"/>
        </w:rPr>
        <w:t xml:space="preserve">Washington, DC: </w:t>
      </w:r>
      <w:r>
        <w:rPr>
          <w:rFonts w:ascii="Garamond" w:hAnsi="Garamond" w:cs="Times New Roman"/>
          <w:szCs w:val="24"/>
        </w:rPr>
        <w:t xml:space="preserve">The World Bank Group. </w:t>
      </w:r>
      <w:hyperlink r:id="rId49" w:history="1">
        <w:r w:rsidRPr="004D140D">
          <w:rPr>
            <w:rStyle w:val="Hyperlink"/>
            <w:rFonts w:ascii="Garamond" w:hAnsi="Garamond"/>
            <w:szCs w:val="24"/>
          </w:rPr>
          <w:t>http://www.worldbank.org/en/country/southafrica/publication/south-africa-economic-update-focus-export-competitiveness</w:t>
        </w:r>
      </w:hyperlink>
    </w:p>
    <w:p w14:paraId="0C44DF9A" w14:textId="77777777" w:rsidR="005335C7" w:rsidRPr="004D140D" w:rsidRDefault="005335C7" w:rsidP="005335C7">
      <w:pPr>
        <w:spacing w:after="0"/>
        <w:contextualSpacing/>
        <w:rPr>
          <w:rFonts w:ascii="Garamond" w:hAnsi="Garamond"/>
          <w:szCs w:val="24"/>
        </w:rPr>
      </w:pPr>
    </w:p>
    <w:p w14:paraId="4942D848" w14:textId="77777777" w:rsidR="005335C7" w:rsidRPr="004D140D" w:rsidRDefault="005335C7" w:rsidP="005335C7">
      <w:pPr>
        <w:spacing w:after="0"/>
        <w:contextualSpacing/>
        <w:rPr>
          <w:rFonts w:ascii="Garamond" w:hAnsi="Garamond"/>
          <w:szCs w:val="24"/>
        </w:rPr>
      </w:pPr>
      <w:r w:rsidRPr="004D140D">
        <w:rPr>
          <w:rFonts w:ascii="Garamond" w:hAnsi="Garamond"/>
          <w:szCs w:val="24"/>
        </w:rPr>
        <w:t>Zee, H.H., J.G. Stotsky and E. Ley. 2001. “Tax Incentives for Business Investment: A Primer for Tax Policy Makers in Developing Countries.” Washington, DC: The International Monetary Fund.</w:t>
      </w:r>
    </w:p>
    <w:p w14:paraId="24702AFC" w14:textId="77777777" w:rsidR="005335C7" w:rsidRPr="004D140D" w:rsidRDefault="005335C7" w:rsidP="005335C7">
      <w:pPr>
        <w:spacing w:after="0"/>
        <w:contextualSpacing/>
        <w:rPr>
          <w:rFonts w:ascii="Garamond" w:hAnsi="Garamond"/>
          <w:szCs w:val="24"/>
        </w:rPr>
      </w:pPr>
    </w:p>
    <w:p w14:paraId="7E2DBD71" w14:textId="77777777" w:rsidR="005335C7" w:rsidRPr="00A2678D" w:rsidRDefault="005335C7" w:rsidP="005335C7">
      <w:pPr>
        <w:spacing w:after="0"/>
        <w:contextualSpacing/>
        <w:rPr>
          <w:rFonts w:ascii="Garamond" w:hAnsi="Garamond"/>
          <w:sz w:val="24"/>
          <w:szCs w:val="24"/>
        </w:rPr>
      </w:pPr>
      <w:r w:rsidRPr="004D140D">
        <w:rPr>
          <w:rFonts w:ascii="Garamond" w:hAnsi="Garamond"/>
          <w:szCs w:val="24"/>
        </w:rPr>
        <w:t>Zeng</w:t>
      </w:r>
      <w:r>
        <w:rPr>
          <w:rFonts w:ascii="Garamond" w:hAnsi="Garamond"/>
          <w:szCs w:val="24"/>
        </w:rPr>
        <w:t xml:space="preserve"> D.Z. </w:t>
      </w:r>
      <w:r w:rsidRPr="004D140D">
        <w:rPr>
          <w:rFonts w:ascii="Garamond" w:hAnsi="Garamond"/>
          <w:szCs w:val="24"/>
        </w:rPr>
        <w:t>2015</w:t>
      </w:r>
      <w:r>
        <w:rPr>
          <w:rFonts w:ascii="Garamond" w:hAnsi="Garamond"/>
          <w:szCs w:val="24"/>
        </w:rPr>
        <w:t>.</w:t>
      </w:r>
      <w:r w:rsidRPr="004D140D">
        <w:rPr>
          <w:rFonts w:ascii="Garamond" w:hAnsi="Garamond"/>
          <w:szCs w:val="24"/>
        </w:rPr>
        <w:t xml:space="preserve"> </w:t>
      </w:r>
      <w:r>
        <w:rPr>
          <w:rFonts w:ascii="Garamond" w:hAnsi="Garamond"/>
          <w:szCs w:val="24"/>
        </w:rPr>
        <w:t>“</w:t>
      </w:r>
      <w:r w:rsidRPr="004D140D">
        <w:rPr>
          <w:rFonts w:ascii="Garamond" w:hAnsi="Garamond"/>
          <w:szCs w:val="24"/>
        </w:rPr>
        <w:t>Global Experiences with Special Economic Zones Focus on China and Africa</w:t>
      </w:r>
      <w:r>
        <w:rPr>
          <w:rFonts w:ascii="Garamond" w:hAnsi="Garamond"/>
          <w:szCs w:val="24"/>
        </w:rPr>
        <w:t>”,</w:t>
      </w:r>
      <w:r w:rsidRPr="004D140D">
        <w:rPr>
          <w:rFonts w:ascii="Garamond" w:hAnsi="Garamond"/>
          <w:szCs w:val="24"/>
        </w:rPr>
        <w:t xml:space="preserve"> World Bank Group Policy Research Working Paper 7240. </w:t>
      </w:r>
      <w:r w:rsidRPr="004D140D">
        <w:rPr>
          <w:rFonts w:ascii="Garamond" w:hAnsi="Garamond" w:cs="Times New Roman"/>
          <w:szCs w:val="24"/>
        </w:rPr>
        <w:t xml:space="preserve">Washington, DC: </w:t>
      </w:r>
      <w:r>
        <w:rPr>
          <w:rFonts w:ascii="Garamond" w:hAnsi="Garamond" w:cs="Times New Roman"/>
          <w:szCs w:val="24"/>
        </w:rPr>
        <w:t xml:space="preserve">The World Bank Group. </w:t>
      </w:r>
      <w:hyperlink r:id="rId50" w:history="1">
        <w:r w:rsidRPr="004D140D">
          <w:rPr>
            <w:rStyle w:val="Hyperlink"/>
            <w:rFonts w:ascii="Garamond" w:hAnsi="Garamond"/>
            <w:szCs w:val="24"/>
          </w:rPr>
          <w:t>http://documents.worldbank.org/curated/en/810281468186872492/pdf/WPS7240.pdf</w:t>
        </w:r>
      </w:hyperlink>
      <w:r w:rsidRPr="004D140D">
        <w:rPr>
          <w:rFonts w:ascii="Garamond" w:hAnsi="Garamond"/>
          <w:szCs w:val="24"/>
        </w:rPr>
        <w:t xml:space="preserve"> </w:t>
      </w:r>
    </w:p>
    <w:p w14:paraId="3BC98539" w14:textId="77777777" w:rsidR="005335C7" w:rsidRPr="00A2678D" w:rsidRDefault="005335C7" w:rsidP="005335C7">
      <w:pPr>
        <w:spacing w:after="160" w:line="259" w:lineRule="auto"/>
        <w:rPr>
          <w:rFonts w:ascii="Garamond" w:hAnsi="Garamond"/>
          <w:b/>
          <w:sz w:val="24"/>
          <w:szCs w:val="24"/>
        </w:rPr>
      </w:pPr>
      <w:r w:rsidRPr="00A2678D">
        <w:rPr>
          <w:rFonts w:ascii="Garamond" w:hAnsi="Garamond"/>
          <w:b/>
          <w:sz w:val="24"/>
          <w:szCs w:val="24"/>
        </w:rPr>
        <w:br w:type="page"/>
      </w:r>
    </w:p>
    <w:p w14:paraId="3D08A836" w14:textId="77777777" w:rsidR="005335C7" w:rsidRPr="00E45355" w:rsidRDefault="00327764" w:rsidP="00894F2B">
      <w:pPr>
        <w:pStyle w:val="Heading2"/>
      </w:pPr>
      <w:bookmarkStart w:id="94" w:name="_Toc479624885"/>
      <w:r>
        <w:lastRenderedPageBreak/>
        <w:t xml:space="preserve">Annex </w:t>
      </w:r>
      <w:r w:rsidR="00AD66D6">
        <w:t>2.1</w:t>
      </w:r>
      <w:r w:rsidR="005335C7" w:rsidRPr="00E45355">
        <w:t>: Calculating Tax Expenditures</w:t>
      </w:r>
      <w:bookmarkEnd w:id="94"/>
      <w:r w:rsidR="005335C7" w:rsidRPr="00E45355">
        <w:t xml:space="preserve"> </w:t>
      </w:r>
    </w:p>
    <w:p w14:paraId="1029E48E" w14:textId="77777777" w:rsidR="005335C7" w:rsidRPr="00E03C17" w:rsidRDefault="005335C7" w:rsidP="005335C7">
      <w:pPr>
        <w:spacing w:after="100" w:afterAutospacing="1"/>
        <w:jc w:val="both"/>
        <w:rPr>
          <w:rFonts w:ascii="Garamond" w:hAnsi="Garamond"/>
          <w:sz w:val="24"/>
        </w:rPr>
      </w:pPr>
      <w:r w:rsidRPr="00E03C17">
        <w:rPr>
          <w:rFonts w:ascii="Garamond" w:hAnsi="Garamond"/>
          <w:sz w:val="24"/>
        </w:rPr>
        <w:t>Three methods are commonly used to calculate tax expenditures:</w:t>
      </w:r>
    </w:p>
    <w:p w14:paraId="3231D342" w14:textId="77777777" w:rsidR="005335C7" w:rsidRPr="00E03C17" w:rsidRDefault="005335C7" w:rsidP="005335C7">
      <w:pPr>
        <w:spacing w:after="100" w:afterAutospacing="1" w:line="240" w:lineRule="auto"/>
        <w:jc w:val="both"/>
        <w:rPr>
          <w:rFonts w:ascii="Garamond" w:hAnsi="Garamond"/>
          <w:sz w:val="24"/>
        </w:rPr>
      </w:pPr>
      <w:r w:rsidRPr="00E03C17">
        <w:rPr>
          <w:rFonts w:ascii="Garamond" w:hAnsi="Garamond"/>
          <w:sz w:val="24"/>
        </w:rPr>
        <w:t>•</w:t>
      </w:r>
      <w:r w:rsidRPr="00E03C17">
        <w:rPr>
          <w:rFonts w:ascii="Garamond" w:hAnsi="Garamond"/>
          <w:sz w:val="24"/>
        </w:rPr>
        <w:tab/>
        <w:t>The foregone-revenue method estimates the fiscal loss incurred by the government as a result of tax expenditures. This is a static analysis that does not account for changes in taxpayer behavior caused by changes in tax policy.</w:t>
      </w:r>
    </w:p>
    <w:p w14:paraId="3C82633E" w14:textId="77777777" w:rsidR="005335C7" w:rsidRPr="00E03C17" w:rsidRDefault="005335C7" w:rsidP="005335C7">
      <w:pPr>
        <w:spacing w:after="100" w:afterAutospacing="1" w:line="240" w:lineRule="auto"/>
        <w:jc w:val="both"/>
        <w:rPr>
          <w:rFonts w:ascii="Garamond" w:hAnsi="Garamond"/>
          <w:sz w:val="24"/>
        </w:rPr>
      </w:pPr>
      <w:r w:rsidRPr="00E03C17">
        <w:rPr>
          <w:rFonts w:ascii="Garamond" w:hAnsi="Garamond"/>
          <w:sz w:val="24"/>
        </w:rPr>
        <w:t>•</w:t>
      </w:r>
      <w:r w:rsidRPr="00E03C17">
        <w:rPr>
          <w:rFonts w:ascii="Garamond" w:hAnsi="Garamond"/>
          <w:sz w:val="24"/>
        </w:rPr>
        <w:tab/>
        <w:t xml:space="preserve">The revenue-gain method is similar, but it includes the dynamic effects of changes in tax policy. Lowering the tax rate on a certain good alters the price signals faced by consumers, while exempting some forms of economic activity shifts the incentives of firms and investors. The revenue-gain method attempts to estimate how the behavioral changes induced by tax expenditures affect the government’s revenue position. However, accurately estimating the impact of these changes requires especially extensive and reliable data. </w:t>
      </w:r>
    </w:p>
    <w:p w14:paraId="71261A50" w14:textId="77777777" w:rsidR="005335C7" w:rsidRPr="00E03C17" w:rsidRDefault="005335C7" w:rsidP="005335C7">
      <w:pPr>
        <w:spacing w:after="100" w:afterAutospacing="1" w:line="240" w:lineRule="auto"/>
        <w:jc w:val="both"/>
        <w:rPr>
          <w:rFonts w:ascii="Garamond" w:hAnsi="Garamond"/>
          <w:sz w:val="24"/>
        </w:rPr>
      </w:pPr>
      <w:r w:rsidRPr="00E03C17">
        <w:rPr>
          <w:rFonts w:ascii="Garamond" w:hAnsi="Garamond"/>
          <w:sz w:val="24"/>
        </w:rPr>
        <w:t>•</w:t>
      </w:r>
      <w:r w:rsidRPr="00E03C17">
        <w:rPr>
          <w:rFonts w:ascii="Garamond" w:hAnsi="Garamond"/>
          <w:sz w:val="24"/>
        </w:rPr>
        <w:tab/>
        <w:t>The outlay-equivalent method calculates tax expenditure in terms of the amount of direct spending necessary to generate the same fiscal benefit to taxpayers. This would differ from forgone revenue in cases where direct spending is itself taxable.</w:t>
      </w:r>
    </w:p>
    <w:p w14:paraId="5DCC5244" w14:textId="77777777" w:rsidR="005335C7" w:rsidRDefault="003D4C22" w:rsidP="003D4C22">
      <w:pPr>
        <w:pStyle w:val="Caption"/>
        <w:rPr>
          <w:noProof/>
        </w:rPr>
      </w:pPr>
      <w:bookmarkStart w:id="95" w:name="_Toc478837632"/>
      <w:r>
        <w:t xml:space="preserve">Table </w:t>
      </w:r>
      <w:r w:rsidR="00500291">
        <w:fldChar w:fldCharType="begin"/>
      </w:r>
      <w:r w:rsidR="00500291">
        <w:instrText xml:space="preserve"> STYLEREF 1 \s </w:instrText>
      </w:r>
      <w:r w:rsidR="00500291">
        <w:fldChar w:fldCharType="separate"/>
      </w:r>
      <w:r w:rsidR="007B1CE6">
        <w:rPr>
          <w:noProof/>
        </w:rPr>
        <w:t>2</w:t>
      </w:r>
      <w:r w:rsidR="00500291">
        <w:fldChar w:fldCharType="end"/>
      </w:r>
      <w:r w:rsidR="00500291">
        <w:t>.</w:t>
      </w:r>
      <w:r w:rsidR="00500291">
        <w:fldChar w:fldCharType="begin"/>
      </w:r>
      <w:r w:rsidR="00500291">
        <w:instrText xml:space="preserve"> SEQ Table \* ARABIC \s 1 </w:instrText>
      </w:r>
      <w:r w:rsidR="00500291">
        <w:fldChar w:fldCharType="separate"/>
      </w:r>
      <w:r w:rsidR="007B1CE6">
        <w:rPr>
          <w:noProof/>
        </w:rPr>
        <w:t>11</w:t>
      </w:r>
      <w:r w:rsidR="00500291">
        <w:fldChar w:fldCharType="end"/>
      </w:r>
      <w:r w:rsidR="005335C7" w:rsidRPr="00276AE1">
        <w:t>: Steps for C</w:t>
      </w:r>
      <w:r w:rsidR="005335C7" w:rsidRPr="00255F7D">
        <w:t>alculating Tax Expenditure</w:t>
      </w:r>
      <w:r w:rsidR="005335C7" w:rsidRPr="0003560A">
        <w:t>s</w:t>
      </w:r>
      <w:bookmarkEnd w:id="95"/>
    </w:p>
    <w:p w14:paraId="027CE76E" w14:textId="77777777" w:rsidR="005335C7" w:rsidRDefault="005335C7" w:rsidP="005335C7">
      <w:pPr>
        <w:spacing w:after="240" w:line="240" w:lineRule="auto"/>
        <w:jc w:val="center"/>
        <w:rPr>
          <w:rFonts w:ascii="Garamond" w:hAnsi="Garamond"/>
          <w:b/>
        </w:rPr>
      </w:pPr>
      <w:r w:rsidRPr="00696A40">
        <w:rPr>
          <w:rFonts w:ascii="Garamond" w:hAnsi="Garamond"/>
          <w:noProof/>
        </w:rPr>
        <w:drawing>
          <wp:inline distT="0" distB="0" distL="0" distR="0" wp14:anchorId="4D7D0FE5" wp14:editId="4A81BA23">
            <wp:extent cx="5440680" cy="2624328"/>
            <wp:effectExtent l="0" t="0" r="762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4592"/>
                    <a:stretch/>
                  </pic:blipFill>
                  <pic:spPr bwMode="auto">
                    <a:xfrm>
                      <a:off x="0" y="0"/>
                      <a:ext cx="5440680" cy="2624328"/>
                    </a:xfrm>
                    <a:prstGeom prst="rect">
                      <a:avLst/>
                    </a:prstGeom>
                    <a:noFill/>
                    <a:ln>
                      <a:noFill/>
                    </a:ln>
                    <a:extLst>
                      <a:ext uri="{53640926-AAD7-44D8-BBD7-CCE9431645EC}">
                        <a14:shadowObscured xmlns:a14="http://schemas.microsoft.com/office/drawing/2010/main"/>
                      </a:ext>
                    </a:extLst>
                  </pic:spPr>
                </pic:pic>
              </a:graphicData>
            </a:graphic>
          </wp:inline>
        </w:drawing>
      </w:r>
    </w:p>
    <w:p w14:paraId="0CC70995" w14:textId="77777777" w:rsidR="005335C7" w:rsidRPr="00E45355" w:rsidRDefault="005335C7" w:rsidP="00894F2B">
      <w:pPr>
        <w:pStyle w:val="Heading2"/>
      </w:pPr>
      <w:bookmarkStart w:id="96" w:name="_Toc479624886"/>
      <w:r w:rsidRPr="00E45355">
        <w:t xml:space="preserve">Annex </w:t>
      </w:r>
      <w:r w:rsidR="00AD66D6">
        <w:t>2.</w:t>
      </w:r>
      <w:r w:rsidR="009612E6">
        <w:t>2</w:t>
      </w:r>
      <w:r w:rsidRPr="00E45355">
        <w:t>: Tax Expenditure Estimates in the OECD 2013 Report</w:t>
      </w:r>
      <w:bookmarkEnd w:id="96"/>
    </w:p>
    <w:p w14:paraId="4AC74976" w14:textId="77777777" w:rsidR="005335C7" w:rsidRPr="00F17B09" w:rsidRDefault="005335C7" w:rsidP="005335C7">
      <w:pPr>
        <w:pStyle w:val="ListParagraph"/>
        <w:numPr>
          <w:ilvl w:val="0"/>
          <w:numId w:val="0"/>
        </w:numPr>
      </w:pPr>
      <w:r w:rsidRPr="00F17B09">
        <w:t xml:space="preserve">There are notable differences between the estimates of tax expenditures shown in the OECD report and this report. Except in the case of Customs data, these differences are due to differences in methodology and possible data errors. </w:t>
      </w:r>
    </w:p>
    <w:p w14:paraId="5A5A0468" w14:textId="77777777" w:rsidR="005335C7" w:rsidRPr="00F17B09" w:rsidRDefault="003D4C22" w:rsidP="003D4C22">
      <w:pPr>
        <w:pStyle w:val="Caption"/>
      </w:pPr>
      <w:bookmarkStart w:id="97" w:name="_Toc478837633"/>
      <w:r>
        <w:t xml:space="preserve">Table </w:t>
      </w:r>
      <w:r w:rsidR="00500291">
        <w:fldChar w:fldCharType="begin"/>
      </w:r>
      <w:r w:rsidR="00500291">
        <w:instrText xml:space="preserve"> STYLEREF 1 \s </w:instrText>
      </w:r>
      <w:r w:rsidR="00500291">
        <w:fldChar w:fldCharType="separate"/>
      </w:r>
      <w:r w:rsidR="007B1CE6">
        <w:rPr>
          <w:noProof/>
        </w:rPr>
        <w:t>2</w:t>
      </w:r>
      <w:r w:rsidR="00500291">
        <w:fldChar w:fldCharType="end"/>
      </w:r>
      <w:r w:rsidR="00500291">
        <w:t>.</w:t>
      </w:r>
      <w:r w:rsidR="00500291">
        <w:fldChar w:fldCharType="begin"/>
      </w:r>
      <w:r w:rsidR="00500291">
        <w:instrText xml:space="preserve"> SEQ Table \* ARABIC \s 1 </w:instrText>
      </w:r>
      <w:r w:rsidR="00500291">
        <w:fldChar w:fldCharType="separate"/>
      </w:r>
      <w:r w:rsidR="007B1CE6">
        <w:rPr>
          <w:noProof/>
        </w:rPr>
        <w:t>12</w:t>
      </w:r>
      <w:r w:rsidR="00500291">
        <w:fldChar w:fldCharType="end"/>
      </w:r>
      <w:r w:rsidR="005335C7" w:rsidRPr="00F17B09">
        <w:t>: Comparison of Reported Tax Expenditures by Source</w:t>
      </w:r>
      <w:bookmarkEnd w:id="97"/>
    </w:p>
    <w:tbl>
      <w:tblPr>
        <w:tblStyle w:val="GridTable6Colorful"/>
        <w:tblW w:w="8453" w:type="dxa"/>
        <w:jc w:val="center"/>
        <w:tblLook w:val="04A0" w:firstRow="1" w:lastRow="0" w:firstColumn="1" w:lastColumn="0" w:noHBand="0" w:noVBand="1"/>
      </w:tblPr>
      <w:tblGrid>
        <w:gridCol w:w="1350"/>
        <w:gridCol w:w="1358"/>
        <w:gridCol w:w="1358"/>
        <w:gridCol w:w="1290"/>
        <w:gridCol w:w="3097"/>
      </w:tblGrid>
      <w:tr w:rsidR="005335C7" w:rsidRPr="00EC5D79" w14:paraId="1C346AA9" w14:textId="77777777" w:rsidTr="00894F2B">
        <w:trPr>
          <w:cnfStyle w:val="100000000000" w:firstRow="1" w:lastRow="0" w:firstColumn="0" w:lastColumn="0" w:oddVBand="0" w:evenVBand="0" w:oddHBand="0" w:evenHBand="0" w:firstRowFirstColumn="0" w:firstRowLastColumn="0" w:lastRowFirstColumn="0" w:lastRowLastColumn="0"/>
          <w:trHeight w:val="741"/>
          <w:jc w:val="center"/>
        </w:trPr>
        <w:tc>
          <w:tcPr>
            <w:cnfStyle w:val="001000000000" w:firstRow="0" w:lastRow="0" w:firstColumn="1" w:lastColumn="0" w:oddVBand="0" w:evenVBand="0" w:oddHBand="0" w:evenHBand="0" w:firstRowFirstColumn="0" w:firstRowLastColumn="0" w:lastRowFirstColumn="0" w:lastRowLastColumn="0"/>
            <w:tcW w:w="1350" w:type="dxa"/>
          </w:tcPr>
          <w:p w14:paraId="4A67DE73" w14:textId="77777777" w:rsidR="005335C7" w:rsidRPr="00EC5D79" w:rsidRDefault="005335C7" w:rsidP="00894F2B">
            <w:pPr>
              <w:spacing w:before="60" w:after="60"/>
              <w:rPr>
                <w:rFonts w:ascii="Garamond" w:hAnsi="Garamond" w:cs="Times New Roman"/>
                <w:sz w:val="18"/>
                <w:szCs w:val="18"/>
              </w:rPr>
            </w:pPr>
          </w:p>
        </w:tc>
        <w:tc>
          <w:tcPr>
            <w:tcW w:w="1358" w:type="dxa"/>
          </w:tcPr>
          <w:p w14:paraId="0DCDC55C" w14:textId="77777777" w:rsidR="005335C7" w:rsidRPr="00EC5D79" w:rsidRDefault="005335C7" w:rsidP="00894F2B">
            <w:pPr>
              <w:spacing w:before="60" w:after="6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 w:val="18"/>
                <w:szCs w:val="18"/>
              </w:rPr>
            </w:pPr>
            <w:r w:rsidRPr="00EC5D79">
              <w:rPr>
                <w:rFonts w:ascii="Garamond" w:hAnsi="Garamond" w:cs="Times New Roman"/>
                <w:sz w:val="18"/>
                <w:szCs w:val="18"/>
              </w:rPr>
              <w:t>Tax Expenditure Committee</w:t>
            </w:r>
          </w:p>
        </w:tc>
        <w:tc>
          <w:tcPr>
            <w:tcW w:w="1358" w:type="dxa"/>
          </w:tcPr>
          <w:p w14:paraId="2A191D42" w14:textId="77777777" w:rsidR="005335C7" w:rsidRPr="00EC5D79" w:rsidRDefault="005335C7" w:rsidP="00894F2B">
            <w:pPr>
              <w:spacing w:before="60" w:after="6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 w:val="18"/>
                <w:szCs w:val="18"/>
              </w:rPr>
            </w:pPr>
            <w:r w:rsidRPr="00EC5D79">
              <w:rPr>
                <w:rFonts w:ascii="Garamond" w:hAnsi="Garamond" w:cs="Times New Roman"/>
                <w:sz w:val="18"/>
                <w:szCs w:val="18"/>
              </w:rPr>
              <w:t>OECD (201</w:t>
            </w:r>
            <w:r>
              <w:rPr>
                <w:rFonts w:ascii="Garamond" w:hAnsi="Garamond" w:cs="Times New Roman"/>
                <w:sz w:val="18"/>
                <w:szCs w:val="18"/>
              </w:rPr>
              <w:t>3</w:t>
            </w:r>
            <w:r w:rsidRPr="00EC5D79">
              <w:rPr>
                <w:rFonts w:ascii="Garamond" w:hAnsi="Garamond" w:cs="Times New Roman"/>
                <w:sz w:val="18"/>
                <w:szCs w:val="18"/>
              </w:rPr>
              <w:t>)</w:t>
            </w:r>
          </w:p>
        </w:tc>
        <w:tc>
          <w:tcPr>
            <w:tcW w:w="1290" w:type="dxa"/>
          </w:tcPr>
          <w:p w14:paraId="208447B8" w14:textId="77777777" w:rsidR="005335C7" w:rsidRPr="00EC5D79" w:rsidRDefault="005335C7" w:rsidP="00894F2B">
            <w:pPr>
              <w:spacing w:before="60" w:after="6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 w:val="18"/>
                <w:szCs w:val="18"/>
              </w:rPr>
            </w:pPr>
            <w:r w:rsidRPr="00EC5D79">
              <w:rPr>
                <w:rFonts w:ascii="Garamond" w:hAnsi="Garamond" w:cs="Times New Roman"/>
                <w:sz w:val="18"/>
                <w:szCs w:val="18"/>
              </w:rPr>
              <w:t>World Bank (2011)</w:t>
            </w:r>
          </w:p>
        </w:tc>
        <w:tc>
          <w:tcPr>
            <w:tcW w:w="3097" w:type="dxa"/>
          </w:tcPr>
          <w:p w14:paraId="0DC0100D" w14:textId="77777777" w:rsidR="005335C7" w:rsidRPr="00EC5D79" w:rsidRDefault="005335C7" w:rsidP="00894F2B">
            <w:pPr>
              <w:spacing w:before="60" w:after="60"/>
              <w:jc w:val="center"/>
              <w:cnfStyle w:val="100000000000" w:firstRow="1" w:lastRow="0" w:firstColumn="0" w:lastColumn="0" w:oddVBand="0" w:evenVBand="0" w:oddHBand="0" w:evenHBand="0" w:firstRowFirstColumn="0" w:firstRowLastColumn="0" w:lastRowFirstColumn="0" w:lastRowLastColumn="0"/>
              <w:rPr>
                <w:rFonts w:ascii="Garamond" w:hAnsi="Garamond" w:cs="Times New Roman"/>
                <w:sz w:val="18"/>
                <w:szCs w:val="18"/>
              </w:rPr>
            </w:pPr>
            <w:r w:rsidRPr="00EC5D79">
              <w:rPr>
                <w:rFonts w:ascii="Garamond" w:hAnsi="Garamond" w:cs="Times New Roman"/>
                <w:sz w:val="18"/>
                <w:szCs w:val="18"/>
              </w:rPr>
              <w:t>Possible Reasons for Divergence</w:t>
            </w:r>
          </w:p>
        </w:tc>
      </w:tr>
      <w:tr w:rsidR="005335C7" w:rsidRPr="00EC5D79" w14:paraId="0EFF6B71" w14:textId="77777777" w:rsidTr="00894F2B">
        <w:trPr>
          <w:cnfStyle w:val="000000100000" w:firstRow="0" w:lastRow="0" w:firstColumn="0" w:lastColumn="0" w:oddVBand="0" w:evenVBand="0" w:oddHBand="1" w:evenHBand="0" w:firstRowFirstColumn="0" w:firstRowLastColumn="0" w:lastRowFirstColumn="0" w:lastRowLastColumn="0"/>
          <w:trHeight w:val="741"/>
          <w:jc w:val="center"/>
        </w:trPr>
        <w:tc>
          <w:tcPr>
            <w:cnfStyle w:val="001000000000" w:firstRow="0" w:lastRow="0" w:firstColumn="1" w:lastColumn="0" w:oddVBand="0" w:evenVBand="0" w:oddHBand="0" w:evenHBand="0" w:firstRowFirstColumn="0" w:firstRowLastColumn="0" w:lastRowFirstColumn="0" w:lastRowLastColumn="0"/>
            <w:tcW w:w="1350" w:type="dxa"/>
          </w:tcPr>
          <w:p w14:paraId="21ECA81E" w14:textId="77777777" w:rsidR="005335C7" w:rsidRPr="00EC5D79" w:rsidRDefault="005335C7" w:rsidP="00894F2B">
            <w:pPr>
              <w:spacing w:before="60" w:after="60"/>
              <w:rPr>
                <w:rFonts w:ascii="Garamond" w:hAnsi="Garamond" w:cs="Times New Roman"/>
                <w:b w:val="0"/>
                <w:sz w:val="18"/>
                <w:szCs w:val="18"/>
              </w:rPr>
            </w:pPr>
            <w:r w:rsidRPr="00EC5D79">
              <w:rPr>
                <w:rFonts w:ascii="Garamond" w:hAnsi="Garamond" w:cs="Times New Roman"/>
                <w:sz w:val="18"/>
                <w:szCs w:val="18"/>
              </w:rPr>
              <w:lastRenderedPageBreak/>
              <w:t>Direct Taxes</w:t>
            </w:r>
          </w:p>
        </w:tc>
        <w:tc>
          <w:tcPr>
            <w:tcW w:w="1358" w:type="dxa"/>
          </w:tcPr>
          <w:p w14:paraId="0EFA4EC2" w14:textId="77777777" w:rsidR="005335C7" w:rsidRPr="00EC5D79" w:rsidRDefault="005335C7" w:rsidP="00894F2B">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rPr>
            </w:pPr>
            <w:r w:rsidRPr="00EC5D79">
              <w:rPr>
                <w:rFonts w:ascii="Garamond" w:hAnsi="Garamond" w:cs="Times New Roman"/>
                <w:sz w:val="18"/>
                <w:szCs w:val="18"/>
              </w:rPr>
              <w:t>0.16%</w:t>
            </w:r>
          </w:p>
        </w:tc>
        <w:tc>
          <w:tcPr>
            <w:tcW w:w="1358" w:type="dxa"/>
          </w:tcPr>
          <w:p w14:paraId="33AC235F" w14:textId="77777777" w:rsidR="005335C7" w:rsidRPr="00EC5D79" w:rsidRDefault="005335C7" w:rsidP="00894F2B">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rPr>
            </w:pPr>
            <w:r w:rsidRPr="00EC5D79">
              <w:rPr>
                <w:rFonts w:ascii="Garamond" w:hAnsi="Garamond" w:cs="Times New Roman"/>
                <w:sz w:val="18"/>
                <w:szCs w:val="18"/>
              </w:rPr>
              <w:t>4.23%</w:t>
            </w:r>
          </w:p>
        </w:tc>
        <w:tc>
          <w:tcPr>
            <w:tcW w:w="1290" w:type="dxa"/>
          </w:tcPr>
          <w:p w14:paraId="6DD5C482" w14:textId="77777777" w:rsidR="005335C7" w:rsidRPr="00EC5D79" w:rsidRDefault="005335C7" w:rsidP="00894F2B">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rPr>
            </w:pPr>
            <w:r w:rsidRPr="00EC5D79">
              <w:rPr>
                <w:rFonts w:ascii="Garamond" w:hAnsi="Garamond" w:cs="Times New Roman"/>
                <w:sz w:val="18"/>
                <w:szCs w:val="18"/>
              </w:rPr>
              <w:t>0.1%</w:t>
            </w:r>
          </w:p>
        </w:tc>
        <w:tc>
          <w:tcPr>
            <w:tcW w:w="3097" w:type="dxa"/>
          </w:tcPr>
          <w:p w14:paraId="3CE096A1" w14:textId="77777777" w:rsidR="005335C7" w:rsidRPr="00EC5D79" w:rsidRDefault="005335C7" w:rsidP="00894F2B">
            <w:pPr>
              <w:spacing w:before="60" w:after="60"/>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rPr>
            </w:pPr>
            <w:r w:rsidRPr="00EC5D79">
              <w:rPr>
                <w:rFonts w:ascii="Garamond" w:hAnsi="Garamond" w:cs="Times New Roman"/>
                <w:sz w:val="18"/>
                <w:szCs w:val="18"/>
              </w:rPr>
              <w:t xml:space="preserve">Data issues and changes in methodology by the Tax Committee between 013 and 2015 </w:t>
            </w:r>
          </w:p>
        </w:tc>
      </w:tr>
      <w:tr w:rsidR="005335C7" w:rsidRPr="00EC5D79" w14:paraId="79893E15" w14:textId="77777777" w:rsidTr="00894F2B">
        <w:trPr>
          <w:trHeight w:val="985"/>
          <w:jc w:val="center"/>
        </w:trPr>
        <w:tc>
          <w:tcPr>
            <w:cnfStyle w:val="001000000000" w:firstRow="0" w:lastRow="0" w:firstColumn="1" w:lastColumn="0" w:oddVBand="0" w:evenVBand="0" w:oddHBand="0" w:evenHBand="0" w:firstRowFirstColumn="0" w:firstRowLastColumn="0" w:lastRowFirstColumn="0" w:lastRowLastColumn="0"/>
            <w:tcW w:w="1350" w:type="dxa"/>
          </w:tcPr>
          <w:p w14:paraId="77C9966E" w14:textId="77777777" w:rsidR="005335C7" w:rsidRPr="00EC5D79" w:rsidRDefault="005335C7" w:rsidP="00894F2B">
            <w:pPr>
              <w:spacing w:before="60" w:after="60"/>
              <w:rPr>
                <w:rFonts w:ascii="Garamond" w:hAnsi="Garamond" w:cs="Times New Roman"/>
                <w:b w:val="0"/>
                <w:sz w:val="18"/>
                <w:szCs w:val="18"/>
              </w:rPr>
            </w:pPr>
            <w:r w:rsidRPr="00EC5D79">
              <w:rPr>
                <w:rFonts w:ascii="Garamond" w:hAnsi="Garamond" w:cs="Times New Roman"/>
                <w:sz w:val="18"/>
                <w:szCs w:val="18"/>
              </w:rPr>
              <w:t>Indirect Taxes</w:t>
            </w:r>
          </w:p>
        </w:tc>
        <w:tc>
          <w:tcPr>
            <w:tcW w:w="1358" w:type="dxa"/>
          </w:tcPr>
          <w:p w14:paraId="0B9CE5A3" w14:textId="77777777" w:rsidR="005335C7" w:rsidRPr="00EC5D79" w:rsidRDefault="005335C7" w:rsidP="00894F2B">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rPr>
            </w:pPr>
            <w:r w:rsidRPr="00EC5D79">
              <w:rPr>
                <w:rFonts w:ascii="Garamond" w:hAnsi="Garamond" w:cs="Times New Roman"/>
                <w:sz w:val="18"/>
                <w:szCs w:val="18"/>
              </w:rPr>
              <w:t>1.07%</w:t>
            </w:r>
          </w:p>
        </w:tc>
        <w:tc>
          <w:tcPr>
            <w:tcW w:w="1358" w:type="dxa"/>
          </w:tcPr>
          <w:p w14:paraId="1D225271" w14:textId="77777777" w:rsidR="005335C7" w:rsidRPr="00EC5D79" w:rsidRDefault="005335C7" w:rsidP="00894F2B">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rPr>
            </w:pPr>
            <w:r w:rsidRPr="00EC5D79">
              <w:rPr>
                <w:rFonts w:ascii="Garamond" w:hAnsi="Garamond" w:cs="Times New Roman"/>
                <w:sz w:val="18"/>
                <w:szCs w:val="18"/>
              </w:rPr>
              <w:t>1.07%</w:t>
            </w:r>
          </w:p>
        </w:tc>
        <w:tc>
          <w:tcPr>
            <w:tcW w:w="1290" w:type="dxa"/>
          </w:tcPr>
          <w:p w14:paraId="48C183AE" w14:textId="77777777" w:rsidR="005335C7" w:rsidRPr="00EC5D79" w:rsidRDefault="005335C7" w:rsidP="00894F2B">
            <w:pPr>
              <w:spacing w:before="60" w:after="6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rPr>
            </w:pPr>
            <w:r w:rsidRPr="00EC5D79">
              <w:rPr>
                <w:rFonts w:ascii="Garamond" w:hAnsi="Garamond" w:cs="Times New Roman"/>
                <w:sz w:val="18"/>
                <w:szCs w:val="18"/>
              </w:rPr>
              <w:t>4.2%</w:t>
            </w:r>
          </w:p>
        </w:tc>
        <w:tc>
          <w:tcPr>
            <w:tcW w:w="3097" w:type="dxa"/>
          </w:tcPr>
          <w:p w14:paraId="42E580C1" w14:textId="77777777" w:rsidR="005335C7" w:rsidRPr="00EC5D79" w:rsidRDefault="005335C7" w:rsidP="00894F2B">
            <w:pPr>
              <w:spacing w:before="60" w:after="60"/>
              <w:cnfStyle w:val="000000000000" w:firstRow="0" w:lastRow="0" w:firstColumn="0" w:lastColumn="0" w:oddVBand="0" w:evenVBand="0" w:oddHBand="0" w:evenHBand="0" w:firstRowFirstColumn="0" w:firstRowLastColumn="0" w:lastRowFirstColumn="0" w:lastRowLastColumn="0"/>
              <w:rPr>
                <w:rFonts w:ascii="Garamond" w:hAnsi="Garamond" w:cs="Times New Roman"/>
                <w:sz w:val="18"/>
                <w:szCs w:val="18"/>
              </w:rPr>
            </w:pPr>
            <w:r w:rsidRPr="00EC5D79">
              <w:rPr>
                <w:rFonts w:ascii="Garamond" w:hAnsi="Garamond" w:cs="Times New Roman"/>
                <w:sz w:val="18"/>
                <w:szCs w:val="18"/>
              </w:rPr>
              <w:t>OCED report uses GRA refund data to estimate Tax Expenditure while The World Bank report uses Supply &amp; Use tables and Import data</w:t>
            </w:r>
          </w:p>
        </w:tc>
      </w:tr>
      <w:tr w:rsidR="005335C7" w:rsidRPr="00EC5D79" w14:paraId="65F32439" w14:textId="77777777" w:rsidTr="00894F2B">
        <w:trPr>
          <w:cnfStyle w:val="000000100000" w:firstRow="0" w:lastRow="0" w:firstColumn="0" w:lastColumn="0" w:oddVBand="0" w:evenVBand="0" w:oddHBand="1" w:evenHBand="0" w:firstRowFirstColumn="0" w:firstRowLastColumn="0" w:lastRowFirstColumn="0" w:lastRowLastColumn="0"/>
          <w:trHeight w:val="1484"/>
          <w:jc w:val="center"/>
        </w:trPr>
        <w:tc>
          <w:tcPr>
            <w:cnfStyle w:val="001000000000" w:firstRow="0" w:lastRow="0" w:firstColumn="1" w:lastColumn="0" w:oddVBand="0" w:evenVBand="0" w:oddHBand="0" w:evenHBand="0" w:firstRowFirstColumn="0" w:firstRowLastColumn="0" w:lastRowFirstColumn="0" w:lastRowLastColumn="0"/>
            <w:tcW w:w="1350" w:type="dxa"/>
          </w:tcPr>
          <w:p w14:paraId="211FA0E5" w14:textId="77777777" w:rsidR="005335C7" w:rsidRPr="00EC5D79" w:rsidRDefault="005335C7" w:rsidP="00894F2B">
            <w:pPr>
              <w:spacing w:before="60" w:after="60"/>
              <w:rPr>
                <w:rFonts w:ascii="Garamond" w:hAnsi="Garamond" w:cs="Times New Roman"/>
                <w:b w:val="0"/>
                <w:sz w:val="18"/>
                <w:szCs w:val="18"/>
              </w:rPr>
            </w:pPr>
            <w:r w:rsidRPr="00EC5D79">
              <w:rPr>
                <w:rFonts w:ascii="Garamond" w:hAnsi="Garamond" w:cs="Times New Roman"/>
                <w:sz w:val="18"/>
                <w:szCs w:val="18"/>
              </w:rPr>
              <w:t>Customs</w:t>
            </w:r>
          </w:p>
        </w:tc>
        <w:tc>
          <w:tcPr>
            <w:tcW w:w="1358" w:type="dxa"/>
          </w:tcPr>
          <w:p w14:paraId="556C2F02" w14:textId="77777777" w:rsidR="005335C7" w:rsidRPr="00EC5D79" w:rsidRDefault="005335C7" w:rsidP="00894F2B">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rPr>
            </w:pPr>
            <w:r w:rsidRPr="00EC5D79">
              <w:rPr>
                <w:rFonts w:ascii="Garamond" w:hAnsi="Garamond" w:cs="Times New Roman"/>
                <w:sz w:val="18"/>
                <w:szCs w:val="18"/>
              </w:rPr>
              <w:t>1.38%</w:t>
            </w:r>
          </w:p>
        </w:tc>
        <w:tc>
          <w:tcPr>
            <w:tcW w:w="1358" w:type="dxa"/>
          </w:tcPr>
          <w:p w14:paraId="325433F2" w14:textId="77777777" w:rsidR="005335C7" w:rsidRPr="00EC5D79" w:rsidRDefault="005335C7" w:rsidP="00894F2B">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rPr>
            </w:pPr>
            <w:r w:rsidRPr="00EC5D79">
              <w:rPr>
                <w:rFonts w:ascii="Garamond" w:hAnsi="Garamond" w:cs="Times New Roman"/>
                <w:sz w:val="18"/>
                <w:szCs w:val="18"/>
              </w:rPr>
              <w:t>0.83%</w:t>
            </w:r>
          </w:p>
        </w:tc>
        <w:tc>
          <w:tcPr>
            <w:tcW w:w="1290" w:type="dxa"/>
          </w:tcPr>
          <w:p w14:paraId="6359AB0C" w14:textId="77777777" w:rsidR="005335C7" w:rsidRPr="00EC5D79" w:rsidRDefault="005335C7" w:rsidP="00894F2B">
            <w:pPr>
              <w:spacing w:before="60" w:after="6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rPr>
            </w:pPr>
            <w:r w:rsidRPr="00EC5D79">
              <w:rPr>
                <w:rFonts w:ascii="Garamond" w:hAnsi="Garamond" w:cs="Times New Roman"/>
                <w:sz w:val="18"/>
                <w:szCs w:val="18"/>
              </w:rPr>
              <w:t>0.9%</w:t>
            </w:r>
          </w:p>
        </w:tc>
        <w:tc>
          <w:tcPr>
            <w:tcW w:w="3097" w:type="dxa"/>
          </w:tcPr>
          <w:p w14:paraId="0203C6ED" w14:textId="4EDD980C" w:rsidR="005335C7" w:rsidRPr="00EC5D79" w:rsidRDefault="005335C7" w:rsidP="00894F2B">
            <w:pPr>
              <w:spacing w:before="60" w:after="60"/>
              <w:cnfStyle w:val="000000100000" w:firstRow="0" w:lastRow="0" w:firstColumn="0" w:lastColumn="0" w:oddVBand="0" w:evenVBand="0" w:oddHBand="1" w:evenHBand="0" w:firstRowFirstColumn="0" w:firstRowLastColumn="0" w:lastRowFirstColumn="0" w:lastRowLastColumn="0"/>
              <w:rPr>
                <w:rFonts w:ascii="Garamond" w:hAnsi="Garamond" w:cs="Times New Roman"/>
                <w:sz w:val="18"/>
                <w:szCs w:val="18"/>
              </w:rPr>
            </w:pPr>
            <w:r w:rsidRPr="00EC5D79">
              <w:rPr>
                <w:rFonts w:ascii="Garamond" w:hAnsi="Garamond" w:cs="Times New Roman"/>
                <w:sz w:val="18"/>
                <w:szCs w:val="18"/>
              </w:rPr>
              <w:t>Import VAT was removed from the customs Data to measure the tax expenditure in this report. However, it is not clear if this was done in the OECD report as Ghana Customs typically bunches them together</w:t>
            </w:r>
          </w:p>
        </w:tc>
      </w:tr>
    </w:tbl>
    <w:p w14:paraId="3BC18C68" w14:textId="77777777" w:rsidR="005335C7" w:rsidRPr="00696A40" w:rsidRDefault="005335C7" w:rsidP="005335C7">
      <w:pPr>
        <w:ind w:left="720"/>
        <w:jc w:val="both"/>
        <w:rPr>
          <w:rFonts w:ascii="Garamond" w:hAnsi="Garamond" w:cs="Times New Roman"/>
          <w:sz w:val="20"/>
          <w:szCs w:val="20"/>
        </w:rPr>
      </w:pPr>
      <w:r w:rsidRPr="00696A40">
        <w:rPr>
          <w:rFonts w:ascii="Garamond" w:hAnsi="Garamond" w:cs="Times New Roman"/>
          <w:sz w:val="20"/>
          <w:szCs w:val="20"/>
        </w:rPr>
        <w:t xml:space="preserve">Source: OECD, 2013 and World Bank </w:t>
      </w:r>
      <w:r>
        <w:rPr>
          <w:rFonts w:ascii="Garamond" w:hAnsi="Garamond" w:cs="Times New Roman"/>
          <w:sz w:val="20"/>
          <w:szCs w:val="20"/>
        </w:rPr>
        <w:t>st</w:t>
      </w:r>
      <w:r w:rsidRPr="00696A40">
        <w:rPr>
          <w:rFonts w:ascii="Garamond" w:hAnsi="Garamond" w:cs="Times New Roman"/>
          <w:sz w:val="20"/>
          <w:szCs w:val="20"/>
        </w:rPr>
        <w:t xml:space="preserve">aff </w:t>
      </w:r>
      <w:r>
        <w:rPr>
          <w:rFonts w:ascii="Garamond" w:hAnsi="Garamond" w:cs="Times New Roman"/>
          <w:sz w:val="20"/>
          <w:szCs w:val="20"/>
        </w:rPr>
        <w:t>c</w:t>
      </w:r>
      <w:r w:rsidRPr="00696A40">
        <w:rPr>
          <w:rFonts w:ascii="Garamond" w:hAnsi="Garamond" w:cs="Times New Roman"/>
          <w:sz w:val="20"/>
          <w:szCs w:val="20"/>
        </w:rPr>
        <w:t>alculations</w:t>
      </w:r>
    </w:p>
    <w:p w14:paraId="0B343944" w14:textId="77777777" w:rsidR="005335C7" w:rsidRDefault="005335C7" w:rsidP="005335C7">
      <w:pPr>
        <w:pStyle w:val="ListParagraph"/>
        <w:numPr>
          <w:ilvl w:val="0"/>
          <w:numId w:val="0"/>
        </w:numPr>
      </w:pPr>
      <w:r w:rsidRPr="00F17B09">
        <w:rPr>
          <w:b/>
        </w:rPr>
        <w:t>The huge difference in the estimates for direct taxes requires some explanation.</w:t>
      </w:r>
      <w:r w:rsidRPr="00F17B09">
        <w:t xml:space="preserve"> When compared to the data prepared by the OECD in their 2013 report, it is clear that tax expenditures under direct taxes are much higher than the estimates that was provided by the Tax Expenditures Committee in preparing in this report. It appears that the data for estimating the tax expenditures for companies </w:t>
      </w:r>
      <w:r w:rsidR="006F7921">
        <w:t xml:space="preserve">listed on the Ghana Stock Exchange </w:t>
      </w:r>
      <w:r w:rsidRPr="00F17B09">
        <w:t xml:space="preserve">was erroneous. These companies benefited from a reduction in the corporate income tax rate of 25% (regular rate) to a listed corporate income tax rate of 22%. Hence, if the tax expenditure under this category is GH¢2.5 billion, the equivalent income of these companies should be about GH¢83 billion (3 percentage point decrease applied on an income of GH¢83 billion results in a tax expenditure of GH¢2.5 billion). Out of the 41 companies listed on the Ghana </w:t>
      </w:r>
      <w:r w:rsidR="006F7921">
        <w:t>S</w:t>
      </w:r>
      <w:r w:rsidRPr="00F17B09">
        <w:t>tock Exchange, none are large enough to report such profits</w:t>
      </w:r>
      <w:r w:rsidRPr="00F17B09">
        <w:rPr>
          <w:rStyle w:val="FootnoteReference"/>
          <w:rFonts w:cs="Times New Roman"/>
        </w:rPr>
        <w:footnoteReference w:id="73"/>
      </w:r>
      <w:r w:rsidRPr="00F17B09">
        <w:t xml:space="preserve">. For example, one of the biggest of these companies (in terms of market capitalization) is Tullow Oil which in 2011 generated total </w:t>
      </w:r>
      <w:r w:rsidR="006F7921">
        <w:t>s</w:t>
      </w:r>
      <w:r w:rsidRPr="00F17B09">
        <w:t>ales of US$1.9 billion (GH¢3.2 billion) and global profits of US$1 billion (GH¢2 billion ).</w:t>
      </w:r>
      <w:r w:rsidRPr="00F17B09">
        <w:rPr>
          <w:rStyle w:val="FootnoteReference"/>
          <w:rFonts w:cs="Times New Roman"/>
        </w:rPr>
        <w:footnoteReference w:id="74"/>
      </w:r>
      <w:r w:rsidRPr="00F17B09">
        <w:t xml:space="preserve"> This indicat</w:t>
      </w:r>
      <w:r w:rsidR="006F7921">
        <w:t>es</w:t>
      </w:r>
      <w:r w:rsidRPr="00F17B09">
        <w:t xml:space="preserve"> that the data used for the estimation is </w:t>
      </w:r>
      <w:r w:rsidR="006F7921">
        <w:t>inaccurate</w:t>
      </w:r>
      <w:r w:rsidRPr="00F17B09">
        <w:t>.</w:t>
      </w:r>
    </w:p>
    <w:p w14:paraId="6D85A41E" w14:textId="77777777" w:rsidR="005335C7" w:rsidRPr="00F17B09" w:rsidRDefault="005335C7" w:rsidP="005335C7">
      <w:pPr>
        <w:pStyle w:val="ListParagraph"/>
        <w:numPr>
          <w:ilvl w:val="0"/>
          <w:numId w:val="0"/>
        </w:numPr>
      </w:pPr>
      <w:r w:rsidRPr="00F17B09">
        <w:rPr>
          <w:b/>
        </w:rPr>
        <w:t>In the case of indirect taxes, the OECD report uses data provided on refunds on VAT relief for estimating the tax expenditure.</w:t>
      </w:r>
      <w:r w:rsidRPr="00F17B09">
        <w:t xml:space="preserve"> However, VAT tax expenditure may arise outside the VAT relief process. For example, if any exemption is provided automatically on imports, the VAT relief may underestimate the tax expenditure. Further, if some of the supplies of the enterprise is exported then a VAT relief does not constitute a tax expenditure. Lastly, a VAT relief may apply to a particular supply but some of the revenue lost could be recovered in subsequent sales down the VAT chain and hence the tax expenditure using VAT reliefs may be an overestimate. It is for this reason that this report uses a Supply and Use table to capture the interaction between the sectors which has implications for tax expenditure under VAT. </w:t>
      </w:r>
    </w:p>
    <w:p w14:paraId="3AF5F880" w14:textId="77777777" w:rsidR="005335C7" w:rsidRPr="00E45355" w:rsidRDefault="005335C7" w:rsidP="00894F2B">
      <w:pPr>
        <w:pStyle w:val="Heading2"/>
      </w:pPr>
      <w:bookmarkStart w:id="98" w:name="_Ref478782113"/>
      <w:bookmarkStart w:id="99" w:name="_Ref478782122"/>
      <w:bookmarkStart w:id="100" w:name="_Ref478782125"/>
      <w:bookmarkStart w:id="101" w:name="_Toc479624887"/>
      <w:r w:rsidRPr="00E45355">
        <w:t xml:space="preserve">Annex </w:t>
      </w:r>
      <w:r w:rsidR="00AD66D6">
        <w:t>2.3</w:t>
      </w:r>
      <w:r w:rsidRPr="00E45355">
        <w:t>: Customs Exemptions (2014 and 2015)</w:t>
      </w:r>
      <w:bookmarkEnd w:id="98"/>
      <w:bookmarkEnd w:id="99"/>
      <w:bookmarkEnd w:id="100"/>
      <w:bookmarkEnd w:id="101"/>
    </w:p>
    <w:p w14:paraId="094B2C08" w14:textId="77777777" w:rsidR="005335C7" w:rsidRPr="00F17B09" w:rsidRDefault="005335C7" w:rsidP="005335C7">
      <w:pPr>
        <w:pStyle w:val="ListParagraph"/>
        <w:numPr>
          <w:ilvl w:val="0"/>
          <w:numId w:val="0"/>
        </w:numPr>
      </w:pPr>
      <w:r w:rsidRPr="00A015A0">
        <w:rPr>
          <w:b/>
        </w:rPr>
        <w:t>The customs exemptions (including VAT) is likely to have increased significantly in 2015.</w:t>
      </w:r>
      <w:r w:rsidRPr="00A015A0">
        <w:t xml:space="preserve"> By employing a different classification as used by GRA Customs for reporting (</w:t>
      </w:r>
      <w:r w:rsidR="00A015A0" w:rsidRPr="00A015A0">
        <w:fldChar w:fldCharType="begin"/>
      </w:r>
      <w:r w:rsidR="00A015A0" w:rsidRPr="00A015A0">
        <w:instrText xml:space="preserve"> REF _Ref472430109 \h  \* MERGEFORMAT </w:instrText>
      </w:r>
      <w:r w:rsidR="00A015A0" w:rsidRPr="00A015A0">
        <w:fldChar w:fldCharType="separate"/>
      </w:r>
      <w:r w:rsidR="007B1CE6">
        <w:t xml:space="preserve">Table </w:t>
      </w:r>
      <w:r w:rsidR="007B1CE6">
        <w:rPr>
          <w:noProof/>
        </w:rPr>
        <w:t>2.13</w:t>
      </w:r>
      <w:r w:rsidR="00A015A0" w:rsidRPr="00A015A0">
        <w:fldChar w:fldCharType="end"/>
      </w:r>
      <w:r w:rsidRPr="00A015A0">
        <w:t xml:space="preserve">) customs exemptions for the first eight month increased to GH¢1.35billion compared to a full year total of GH¢ 1.2 billion in 2014 and GH1.46 billion in 2013. Table 12 cannot be compared to Table 11 because the </w:t>
      </w:r>
      <w:r w:rsidRPr="00A015A0">
        <w:lastRenderedPageBreak/>
        <w:t>categories do not match and the data in Table 11 was not based on actual import data prepared by the Customs Department. Table 11 was derived firm level data collected form GRA Customs.</w:t>
      </w:r>
    </w:p>
    <w:p w14:paraId="23E4E71B" w14:textId="77777777" w:rsidR="005335C7" w:rsidRPr="00F17B09" w:rsidRDefault="00F906D5" w:rsidP="00F906D5">
      <w:pPr>
        <w:pStyle w:val="Caption"/>
      </w:pPr>
      <w:bookmarkStart w:id="102" w:name="_Ref472430109"/>
      <w:bookmarkStart w:id="103" w:name="_Toc478837634"/>
      <w:r>
        <w:t xml:space="preserve">Table </w:t>
      </w:r>
      <w:r w:rsidR="00500291">
        <w:fldChar w:fldCharType="begin"/>
      </w:r>
      <w:r w:rsidR="00500291">
        <w:instrText xml:space="preserve"> STYLEREF 1 \s </w:instrText>
      </w:r>
      <w:r w:rsidR="00500291">
        <w:fldChar w:fldCharType="separate"/>
      </w:r>
      <w:r w:rsidR="007B1CE6">
        <w:rPr>
          <w:noProof/>
        </w:rPr>
        <w:t>2</w:t>
      </w:r>
      <w:r w:rsidR="00500291">
        <w:fldChar w:fldCharType="end"/>
      </w:r>
      <w:r w:rsidR="00500291">
        <w:t>.</w:t>
      </w:r>
      <w:r w:rsidR="00500291">
        <w:fldChar w:fldCharType="begin"/>
      </w:r>
      <w:r w:rsidR="00500291">
        <w:instrText xml:space="preserve"> SEQ Table \* ARABIC \s 1 </w:instrText>
      </w:r>
      <w:r w:rsidR="00500291">
        <w:fldChar w:fldCharType="separate"/>
      </w:r>
      <w:r w:rsidR="007B1CE6">
        <w:rPr>
          <w:noProof/>
        </w:rPr>
        <w:t>13</w:t>
      </w:r>
      <w:r w:rsidR="00500291">
        <w:fldChar w:fldCharType="end"/>
      </w:r>
      <w:bookmarkEnd w:id="102"/>
      <w:r w:rsidR="005335C7">
        <w:t>:</w:t>
      </w:r>
      <w:r w:rsidR="005335C7" w:rsidRPr="00EF275A">
        <w:t xml:space="preserve"> </w:t>
      </w:r>
      <w:r w:rsidR="005335C7" w:rsidRPr="00F17B09">
        <w:t>Customs: Exemptions (including recovered VAT), 2014-August 2015</w:t>
      </w:r>
      <w:bookmarkEnd w:id="103"/>
    </w:p>
    <w:tbl>
      <w:tblPr>
        <w:tblStyle w:val="GridTable6Colorful"/>
        <w:tblW w:w="9118" w:type="dxa"/>
        <w:jc w:val="center"/>
        <w:tblLook w:val="04A0" w:firstRow="1" w:lastRow="0" w:firstColumn="1" w:lastColumn="0" w:noHBand="0" w:noVBand="1"/>
      </w:tblPr>
      <w:tblGrid>
        <w:gridCol w:w="3545"/>
        <w:gridCol w:w="2046"/>
        <w:gridCol w:w="901"/>
        <w:gridCol w:w="1790"/>
        <w:gridCol w:w="836"/>
      </w:tblGrid>
      <w:tr w:rsidR="005335C7" w:rsidRPr="00910F96" w14:paraId="12687771" w14:textId="77777777" w:rsidTr="00894F2B">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545" w:type="dxa"/>
            <w:noWrap/>
            <w:hideMark/>
          </w:tcPr>
          <w:p w14:paraId="1F82B321" w14:textId="77777777" w:rsidR="005335C7" w:rsidRPr="00910F96" w:rsidRDefault="005335C7" w:rsidP="00894F2B">
            <w:pPr>
              <w:spacing w:after="100" w:afterAutospacing="1"/>
              <w:jc w:val="both"/>
              <w:rPr>
                <w:rFonts w:cs="Calibri"/>
                <w:sz w:val="18"/>
                <w:szCs w:val="18"/>
              </w:rPr>
            </w:pPr>
            <w:r w:rsidRPr="00910F96">
              <w:rPr>
                <w:rFonts w:cs="Calibri"/>
                <w:sz w:val="18"/>
                <w:szCs w:val="18"/>
              </w:rPr>
              <w:t>Regime/custom procedure</w:t>
            </w:r>
          </w:p>
        </w:tc>
        <w:tc>
          <w:tcPr>
            <w:tcW w:w="2046" w:type="dxa"/>
            <w:noWrap/>
            <w:hideMark/>
          </w:tcPr>
          <w:p w14:paraId="741EB4EE" w14:textId="77777777" w:rsidR="005335C7" w:rsidRPr="00910F96" w:rsidRDefault="005335C7" w:rsidP="00894F2B">
            <w:pPr>
              <w:spacing w:after="100" w:afterAutospacing="1"/>
              <w:cnfStyle w:val="100000000000" w:firstRow="1" w:lastRow="0" w:firstColumn="0" w:lastColumn="0" w:oddVBand="0" w:evenVBand="0" w:oddHBand="0" w:evenHBand="0" w:firstRowFirstColumn="0" w:firstRowLastColumn="0" w:lastRowFirstColumn="0" w:lastRowLastColumn="0"/>
              <w:rPr>
                <w:rFonts w:cs="Calibri"/>
                <w:sz w:val="18"/>
                <w:szCs w:val="18"/>
              </w:rPr>
            </w:pPr>
            <w:r w:rsidRPr="00910F96">
              <w:rPr>
                <w:rFonts w:cs="Calibri"/>
                <w:sz w:val="18"/>
                <w:szCs w:val="18"/>
              </w:rPr>
              <w:t>Revenue exempted in 2014</w:t>
            </w:r>
          </w:p>
        </w:tc>
        <w:tc>
          <w:tcPr>
            <w:tcW w:w="901" w:type="dxa"/>
          </w:tcPr>
          <w:p w14:paraId="590FF44A" w14:textId="77777777" w:rsidR="005335C7" w:rsidRPr="00910F96" w:rsidRDefault="005335C7" w:rsidP="00894F2B">
            <w:pPr>
              <w:spacing w:after="100" w:afterAutospacing="1"/>
              <w:cnfStyle w:val="100000000000" w:firstRow="1" w:lastRow="0" w:firstColumn="0" w:lastColumn="0" w:oddVBand="0" w:evenVBand="0" w:oddHBand="0" w:evenHBand="0" w:firstRowFirstColumn="0" w:firstRowLastColumn="0" w:lastRowFirstColumn="0" w:lastRowLastColumn="0"/>
              <w:rPr>
                <w:rFonts w:cs="Calibri"/>
                <w:sz w:val="18"/>
                <w:szCs w:val="18"/>
              </w:rPr>
            </w:pPr>
            <w:r w:rsidRPr="00910F96">
              <w:rPr>
                <w:rFonts w:cs="Calibri"/>
                <w:sz w:val="18"/>
                <w:szCs w:val="18"/>
              </w:rPr>
              <w:t>% of GDP</w:t>
            </w:r>
          </w:p>
        </w:tc>
        <w:tc>
          <w:tcPr>
            <w:tcW w:w="1790" w:type="dxa"/>
            <w:noWrap/>
            <w:hideMark/>
          </w:tcPr>
          <w:p w14:paraId="541B8F07" w14:textId="77777777" w:rsidR="005335C7" w:rsidRPr="00910F96" w:rsidRDefault="005335C7" w:rsidP="00894F2B">
            <w:pPr>
              <w:spacing w:after="100" w:afterAutospacing="1"/>
              <w:cnfStyle w:val="100000000000" w:firstRow="1" w:lastRow="0" w:firstColumn="0" w:lastColumn="0" w:oddVBand="0" w:evenVBand="0" w:oddHBand="0" w:evenHBand="0" w:firstRowFirstColumn="0" w:firstRowLastColumn="0" w:lastRowFirstColumn="0" w:lastRowLastColumn="0"/>
              <w:rPr>
                <w:rFonts w:cs="Calibri"/>
                <w:sz w:val="18"/>
                <w:szCs w:val="18"/>
              </w:rPr>
            </w:pPr>
            <w:r w:rsidRPr="00910F96">
              <w:rPr>
                <w:rFonts w:cs="Calibri"/>
                <w:sz w:val="18"/>
                <w:szCs w:val="18"/>
              </w:rPr>
              <w:t>Revenue exempted in 2015</w:t>
            </w:r>
          </w:p>
        </w:tc>
        <w:tc>
          <w:tcPr>
            <w:tcW w:w="836" w:type="dxa"/>
          </w:tcPr>
          <w:p w14:paraId="404AD8B5" w14:textId="77777777" w:rsidR="005335C7" w:rsidRPr="00910F96" w:rsidRDefault="005335C7" w:rsidP="00894F2B">
            <w:pPr>
              <w:spacing w:after="100" w:afterAutospacing="1"/>
              <w:cnfStyle w:val="100000000000" w:firstRow="1" w:lastRow="0" w:firstColumn="0" w:lastColumn="0" w:oddVBand="0" w:evenVBand="0" w:oddHBand="0" w:evenHBand="0" w:firstRowFirstColumn="0" w:firstRowLastColumn="0" w:lastRowFirstColumn="0" w:lastRowLastColumn="0"/>
              <w:rPr>
                <w:rFonts w:cs="Calibri"/>
                <w:sz w:val="18"/>
                <w:szCs w:val="18"/>
              </w:rPr>
            </w:pPr>
            <w:r w:rsidRPr="00910F96">
              <w:rPr>
                <w:rFonts w:cs="Calibri"/>
                <w:sz w:val="18"/>
                <w:szCs w:val="18"/>
              </w:rPr>
              <w:t>% of GDP</w:t>
            </w:r>
          </w:p>
        </w:tc>
      </w:tr>
      <w:tr w:rsidR="005335C7" w:rsidRPr="00910F96" w14:paraId="789C2C22" w14:textId="77777777" w:rsidTr="00894F2B">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545" w:type="dxa"/>
            <w:tcBorders>
              <w:top w:val="single" w:sz="12" w:space="0" w:color="666666" w:themeColor="text1" w:themeTint="99"/>
            </w:tcBorders>
            <w:shd w:val="clear" w:color="auto" w:fill="FFFFFF" w:themeFill="background1"/>
            <w:noWrap/>
            <w:hideMark/>
          </w:tcPr>
          <w:p w14:paraId="4CBADBCD" w14:textId="77777777" w:rsidR="005335C7" w:rsidRPr="00910F96" w:rsidRDefault="005335C7" w:rsidP="00894F2B">
            <w:pPr>
              <w:spacing w:after="100" w:afterAutospacing="1"/>
              <w:jc w:val="both"/>
              <w:rPr>
                <w:rFonts w:cs="Calibri"/>
                <w:b w:val="0"/>
                <w:sz w:val="18"/>
                <w:szCs w:val="18"/>
              </w:rPr>
            </w:pPr>
            <w:r w:rsidRPr="00910F96">
              <w:rPr>
                <w:rFonts w:cs="Calibri"/>
                <w:sz w:val="18"/>
                <w:szCs w:val="18"/>
              </w:rPr>
              <w:t>Ghana National Petroleum Corporation</w:t>
            </w:r>
          </w:p>
        </w:tc>
        <w:tc>
          <w:tcPr>
            <w:tcW w:w="2046" w:type="dxa"/>
            <w:tcBorders>
              <w:top w:val="single" w:sz="12" w:space="0" w:color="666666" w:themeColor="text1" w:themeTint="99"/>
            </w:tcBorders>
            <w:shd w:val="clear" w:color="auto" w:fill="FFFFFF" w:themeFill="background1"/>
            <w:noWrap/>
            <w:hideMark/>
          </w:tcPr>
          <w:p w14:paraId="378F38B1" w14:textId="77777777" w:rsidR="005335C7" w:rsidRPr="00910F96" w:rsidRDefault="005335C7" w:rsidP="00894F2B">
            <w:pPr>
              <w:spacing w:after="100" w:afterAutospacing="1"/>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910F96">
              <w:rPr>
                <w:rFonts w:cs="Calibri"/>
                <w:sz w:val="18"/>
                <w:szCs w:val="18"/>
              </w:rPr>
              <w:t>127.6</w:t>
            </w:r>
          </w:p>
        </w:tc>
        <w:tc>
          <w:tcPr>
            <w:tcW w:w="901" w:type="dxa"/>
            <w:tcBorders>
              <w:top w:val="single" w:sz="12" w:space="0" w:color="666666" w:themeColor="text1" w:themeTint="99"/>
            </w:tcBorders>
            <w:shd w:val="clear" w:color="auto" w:fill="FFFFFF" w:themeFill="background1"/>
          </w:tcPr>
          <w:p w14:paraId="0C7EA363" w14:textId="77777777" w:rsidR="005335C7" w:rsidRPr="00910F96" w:rsidRDefault="005335C7" w:rsidP="00894F2B">
            <w:pPr>
              <w:spacing w:after="100" w:afterAutospacing="1"/>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910F96">
              <w:rPr>
                <w:rFonts w:cs="Calibri"/>
                <w:sz w:val="18"/>
                <w:szCs w:val="18"/>
              </w:rPr>
              <w:t>0.11%</w:t>
            </w:r>
          </w:p>
        </w:tc>
        <w:tc>
          <w:tcPr>
            <w:tcW w:w="1790" w:type="dxa"/>
            <w:tcBorders>
              <w:top w:val="single" w:sz="12" w:space="0" w:color="666666" w:themeColor="text1" w:themeTint="99"/>
            </w:tcBorders>
            <w:shd w:val="clear" w:color="auto" w:fill="FFFFFF" w:themeFill="background1"/>
            <w:noWrap/>
            <w:hideMark/>
          </w:tcPr>
          <w:p w14:paraId="714ED292" w14:textId="77777777" w:rsidR="005335C7" w:rsidRPr="00910F96" w:rsidRDefault="005335C7" w:rsidP="00894F2B">
            <w:pPr>
              <w:spacing w:after="100" w:afterAutospacing="1"/>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910F96">
              <w:rPr>
                <w:rFonts w:cs="Calibri"/>
                <w:sz w:val="18"/>
                <w:szCs w:val="18"/>
              </w:rPr>
              <w:t>441.5</w:t>
            </w:r>
          </w:p>
        </w:tc>
        <w:tc>
          <w:tcPr>
            <w:tcW w:w="836" w:type="dxa"/>
            <w:tcBorders>
              <w:top w:val="single" w:sz="12" w:space="0" w:color="666666" w:themeColor="text1" w:themeTint="99"/>
            </w:tcBorders>
            <w:shd w:val="clear" w:color="auto" w:fill="FFFFFF" w:themeFill="background1"/>
          </w:tcPr>
          <w:p w14:paraId="77F1216C" w14:textId="77777777" w:rsidR="005335C7" w:rsidRPr="00910F96" w:rsidRDefault="005335C7" w:rsidP="00894F2B">
            <w:pPr>
              <w:spacing w:after="100" w:afterAutospacing="1"/>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910F96">
              <w:rPr>
                <w:rFonts w:cs="Calibri"/>
                <w:sz w:val="18"/>
                <w:szCs w:val="18"/>
              </w:rPr>
              <w:t>0.33%</w:t>
            </w:r>
          </w:p>
        </w:tc>
      </w:tr>
      <w:tr w:rsidR="005335C7" w:rsidRPr="00910F96" w14:paraId="6CA22C7E" w14:textId="77777777" w:rsidTr="00894F2B">
        <w:trPr>
          <w:trHeight w:val="330"/>
          <w:jc w:val="center"/>
        </w:trPr>
        <w:tc>
          <w:tcPr>
            <w:cnfStyle w:val="001000000000" w:firstRow="0" w:lastRow="0" w:firstColumn="1" w:lastColumn="0" w:oddVBand="0" w:evenVBand="0" w:oddHBand="0" w:evenHBand="0" w:firstRowFirstColumn="0" w:firstRowLastColumn="0" w:lastRowFirstColumn="0" w:lastRowLastColumn="0"/>
            <w:tcW w:w="3545" w:type="dxa"/>
            <w:shd w:val="clear" w:color="auto" w:fill="FFFFFF" w:themeFill="background1"/>
            <w:noWrap/>
            <w:hideMark/>
          </w:tcPr>
          <w:p w14:paraId="1A5616F4" w14:textId="77777777" w:rsidR="005335C7" w:rsidRPr="00910F96" w:rsidRDefault="005335C7" w:rsidP="00894F2B">
            <w:pPr>
              <w:spacing w:after="100" w:afterAutospacing="1"/>
              <w:jc w:val="both"/>
              <w:rPr>
                <w:rFonts w:cs="Calibri"/>
                <w:b w:val="0"/>
                <w:sz w:val="18"/>
                <w:szCs w:val="18"/>
              </w:rPr>
            </w:pPr>
            <w:r w:rsidRPr="00910F96">
              <w:rPr>
                <w:rFonts w:cs="Calibri"/>
                <w:sz w:val="18"/>
                <w:szCs w:val="18"/>
              </w:rPr>
              <w:t>Government agencies, privileged persons and organizations</w:t>
            </w:r>
          </w:p>
        </w:tc>
        <w:tc>
          <w:tcPr>
            <w:tcW w:w="2046" w:type="dxa"/>
            <w:shd w:val="clear" w:color="auto" w:fill="FFFFFF" w:themeFill="background1"/>
            <w:noWrap/>
            <w:hideMark/>
          </w:tcPr>
          <w:p w14:paraId="73BB5931" w14:textId="77777777" w:rsidR="005335C7" w:rsidRPr="00910F96" w:rsidRDefault="005335C7" w:rsidP="00894F2B">
            <w:pPr>
              <w:spacing w:after="100" w:afterAutospacing="1"/>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910F96">
              <w:rPr>
                <w:rFonts w:cs="Calibri"/>
                <w:sz w:val="18"/>
                <w:szCs w:val="18"/>
              </w:rPr>
              <w:t>271.8</w:t>
            </w:r>
          </w:p>
        </w:tc>
        <w:tc>
          <w:tcPr>
            <w:tcW w:w="901" w:type="dxa"/>
            <w:shd w:val="clear" w:color="auto" w:fill="FFFFFF" w:themeFill="background1"/>
          </w:tcPr>
          <w:p w14:paraId="7559A2BC" w14:textId="77777777" w:rsidR="005335C7" w:rsidRPr="00910F96" w:rsidRDefault="005335C7" w:rsidP="00894F2B">
            <w:pPr>
              <w:spacing w:after="100" w:afterAutospacing="1"/>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910F96">
              <w:rPr>
                <w:rFonts w:cs="Calibri"/>
                <w:sz w:val="18"/>
                <w:szCs w:val="18"/>
              </w:rPr>
              <w:t>0.24%</w:t>
            </w:r>
          </w:p>
        </w:tc>
        <w:tc>
          <w:tcPr>
            <w:tcW w:w="1790" w:type="dxa"/>
            <w:shd w:val="clear" w:color="auto" w:fill="FFFFFF" w:themeFill="background1"/>
            <w:noWrap/>
            <w:hideMark/>
          </w:tcPr>
          <w:p w14:paraId="0AC502E8" w14:textId="77777777" w:rsidR="005335C7" w:rsidRPr="00910F96" w:rsidRDefault="005335C7" w:rsidP="00894F2B">
            <w:pPr>
              <w:spacing w:after="100" w:afterAutospacing="1"/>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910F96">
              <w:rPr>
                <w:rFonts w:cs="Calibri"/>
                <w:sz w:val="18"/>
                <w:szCs w:val="18"/>
              </w:rPr>
              <w:t>260.2</w:t>
            </w:r>
          </w:p>
        </w:tc>
        <w:tc>
          <w:tcPr>
            <w:tcW w:w="836" w:type="dxa"/>
            <w:shd w:val="clear" w:color="auto" w:fill="FFFFFF" w:themeFill="background1"/>
          </w:tcPr>
          <w:p w14:paraId="430D3474" w14:textId="77777777" w:rsidR="005335C7" w:rsidRPr="00910F96" w:rsidRDefault="005335C7" w:rsidP="00894F2B">
            <w:pPr>
              <w:spacing w:after="100" w:afterAutospacing="1"/>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910F96">
              <w:rPr>
                <w:rFonts w:cs="Calibri"/>
                <w:sz w:val="18"/>
                <w:szCs w:val="18"/>
              </w:rPr>
              <w:t>0.19%</w:t>
            </w:r>
          </w:p>
        </w:tc>
      </w:tr>
      <w:tr w:rsidR="005335C7" w:rsidRPr="00910F96" w14:paraId="743548EB" w14:textId="77777777" w:rsidTr="00894F2B">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545" w:type="dxa"/>
            <w:shd w:val="clear" w:color="auto" w:fill="FFFFFF" w:themeFill="background1"/>
            <w:noWrap/>
            <w:hideMark/>
          </w:tcPr>
          <w:p w14:paraId="2491BC43" w14:textId="77777777" w:rsidR="005335C7" w:rsidRPr="00910F96" w:rsidRDefault="005335C7" w:rsidP="00894F2B">
            <w:pPr>
              <w:spacing w:after="100" w:afterAutospacing="1"/>
              <w:jc w:val="both"/>
              <w:rPr>
                <w:rFonts w:cs="Calibri"/>
                <w:b w:val="0"/>
                <w:sz w:val="18"/>
                <w:szCs w:val="18"/>
              </w:rPr>
            </w:pPr>
            <w:r w:rsidRPr="00910F96">
              <w:rPr>
                <w:rFonts w:cs="Calibri"/>
                <w:sz w:val="18"/>
                <w:szCs w:val="18"/>
              </w:rPr>
              <w:t>Ghana Investment Promotion Centre</w:t>
            </w:r>
          </w:p>
        </w:tc>
        <w:tc>
          <w:tcPr>
            <w:tcW w:w="2046" w:type="dxa"/>
            <w:shd w:val="clear" w:color="auto" w:fill="FFFFFF" w:themeFill="background1"/>
            <w:noWrap/>
            <w:hideMark/>
          </w:tcPr>
          <w:p w14:paraId="05F00BC5" w14:textId="77777777" w:rsidR="005335C7" w:rsidRPr="00910F96" w:rsidRDefault="005335C7" w:rsidP="00894F2B">
            <w:pPr>
              <w:spacing w:after="100" w:afterAutospacing="1"/>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910F96">
              <w:rPr>
                <w:rFonts w:cs="Calibri"/>
                <w:sz w:val="18"/>
                <w:szCs w:val="18"/>
              </w:rPr>
              <w:t>64.2</w:t>
            </w:r>
          </w:p>
        </w:tc>
        <w:tc>
          <w:tcPr>
            <w:tcW w:w="901" w:type="dxa"/>
            <w:shd w:val="clear" w:color="auto" w:fill="FFFFFF" w:themeFill="background1"/>
          </w:tcPr>
          <w:p w14:paraId="6500253C" w14:textId="77777777" w:rsidR="005335C7" w:rsidRPr="00910F96" w:rsidRDefault="005335C7" w:rsidP="00894F2B">
            <w:pPr>
              <w:spacing w:after="100" w:afterAutospacing="1"/>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910F96">
              <w:rPr>
                <w:rFonts w:cs="Calibri"/>
                <w:sz w:val="18"/>
                <w:szCs w:val="18"/>
              </w:rPr>
              <w:t>0.06%</w:t>
            </w:r>
          </w:p>
        </w:tc>
        <w:tc>
          <w:tcPr>
            <w:tcW w:w="1790" w:type="dxa"/>
            <w:shd w:val="clear" w:color="auto" w:fill="FFFFFF" w:themeFill="background1"/>
            <w:noWrap/>
            <w:hideMark/>
          </w:tcPr>
          <w:p w14:paraId="51A15021" w14:textId="77777777" w:rsidR="005335C7" w:rsidRPr="00910F96" w:rsidRDefault="005335C7" w:rsidP="00894F2B">
            <w:pPr>
              <w:spacing w:after="100" w:afterAutospacing="1"/>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910F96">
              <w:rPr>
                <w:rFonts w:cs="Calibri"/>
                <w:sz w:val="18"/>
                <w:szCs w:val="18"/>
              </w:rPr>
              <w:t>58.3</w:t>
            </w:r>
          </w:p>
        </w:tc>
        <w:tc>
          <w:tcPr>
            <w:tcW w:w="836" w:type="dxa"/>
            <w:shd w:val="clear" w:color="auto" w:fill="FFFFFF" w:themeFill="background1"/>
          </w:tcPr>
          <w:p w14:paraId="348BD9F5" w14:textId="77777777" w:rsidR="005335C7" w:rsidRPr="00910F96" w:rsidRDefault="005335C7" w:rsidP="00894F2B">
            <w:pPr>
              <w:spacing w:after="100" w:afterAutospacing="1"/>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910F96">
              <w:rPr>
                <w:rFonts w:cs="Calibri"/>
                <w:sz w:val="18"/>
                <w:szCs w:val="18"/>
              </w:rPr>
              <w:t>0.04%</w:t>
            </w:r>
          </w:p>
        </w:tc>
      </w:tr>
      <w:tr w:rsidR="005335C7" w:rsidRPr="00910F96" w14:paraId="38449280" w14:textId="77777777" w:rsidTr="00894F2B">
        <w:trPr>
          <w:trHeight w:val="330"/>
          <w:jc w:val="center"/>
        </w:trPr>
        <w:tc>
          <w:tcPr>
            <w:cnfStyle w:val="001000000000" w:firstRow="0" w:lastRow="0" w:firstColumn="1" w:lastColumn="0" w:oddVBand="0" w:evenVBand="0" w:oddHBand="0" w:evenHBand="0" w:firstRowFirstColumn="0" w:firstRowLastColumn="0" w:lastRowFirstColumn="0" w:lastRowLastColumn="0"/>
            <w:tcW w:w="3545" w:type="dxa"/>
            <w:shd w:val="clear" w:color="auto" w:fill="FFFFFF" w:themeFill="background1"/>
            <w:noWrap/>
            <w:hideMark/>
          </w:tcPr>
          <w:p w14:paraId="3B3B5310" w14:textId="77777777" w:rsidR="005335C7" w:rsidRPr="00910F96" w:rsidRDefault="005335C7" w:rsidP="00894F2B">
            <w:pPr>
              <w:spacing w:after="100" w:afterAutospacing="1"/>
              <w:jc w:val="both"/>
              <w:rPr>
                <w:rFonts w:cs="Calibri"/>
                <w:b w:val="0"/>
                <w:sz w:val="18"/>
                <w:szCs w:val="18"/>
              </w:rPr>
            </w:pPr>
            <w:r w:rsidRPr="00910F96">
              <w:rPr>
                <w:rFonts w:cs="Calibri"/>
                <w:sz w:val="18"/>
                <w:szCs w:val="18"/>
              </w:rPr>
              <w:t>Other exemptions</w:t>
            </w:r>
          </w:p>
        </w:tc>
        <w:tc>
          <w:tcPr>
            <w:tcW w:w="2046" w:type="dxa"/>
            <w:shd w:val="clear" w:color="auto" w:fill="FFFFFF" w:themeFill="background1"/>
            <w:noWrap/>
            <w:hideMark/>
          </w:tcPr>
          <w:p w14:paraId="6DEE51AB" w14:textId="77777777" w:rsidR="005335C7" w:rsidRPr="00910F96" w:rsidRDefault="005335C7" w:rsidP="00894F2B">
            <w:pPr>
              <w:spacing w:after="100" w:afterAutospacing="1"/>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910F96">
              <w:rPr>
                <w:rFonts w:cs="Calibri"/>
                <w:sz w:val="18"/>
                <w:szCs w:val="18"/>
              </w:rPr>
              <w:t>151.6</w:t>
            </w:r>
          </w:p>
        </w:tc>
        <w:tc>
          <w:tcPr>
            <w:tcW w:w="901" w:type="dxa"/>
            <w:shd w:val="clear" w:color="auto" w:fill="FFFFFF" w:themeFill="background1"/>
          </w:tcPr>
          <w:p w14:paraId="6AC00A8C" w14:textId="77777777" w:rsidR="005335C7" w:rsidRPr="00910F96" w:rsidRDefault="005335C7" w:rsidP="00894F2B">
            <w:pPr>
              <w:spacing w:after="100" w:afterAutospacing="1"/>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910F96">
              <w:rPr>
                <w:rFonts w:cs="Calibri"/>
                <w:sz w:val="18"/>
                <w:szCs w:val="18"/>
              </w:rPr>
              <w:t>0.13%</w:t>
            </w:r>
          </w:p>
        </w:tc>
        <w:tc>
          <w:tcPr>
            <w:tcW w:w="1790" w:type="dxa"/>
            <w:shd w:val="clear" w:color="auto" w:fill="FFFFFF" w:themeFill="background1"/>
            <w:noWrap/>
            <w:hideMark/>
          </w:tcPr>
          <w:p w14:paraId="64619FC2" w14:textId="77777777" w:rsidR="005335C7" w:rsidRPr="00910F96" w:rsidRDefault="005335C7" w:rsidP="00894F2B">
            <w:pPr>
              <w:spacing w:after="100" w:afterAutospacing="1"/>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910F96">
              <w:rPr>
                <w:rFonts w:cs="Calibri"/>
                <w:sz w:val="18"/>
                <w:szCs w:val="18"/>
              </w:rPr>
              <w:t>163.9</w:t>
            </w:r>
          </w:p>
        </w:tc>
        <w:tc>
          <w:tcPr>
            <w:tcW w:w="836" w:type="dxa"/>
            <w:shd w:val="clear" w:color="auto" w:fill="FFFFFF" w:themeFill="background1"/>
          </w:tcPr>
          <w:p w14:paraId="103ABBD5" w14:textId="77777777" w:rsidR="005335C7" w:rsidRPr="00910F96" w:rsidRDefault="005335C7" w:rsidP="00894F2B">
            <w:pPr>
              <w:spacing w:after="100" w:afterAutospacing="1"/>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910F96">
              <w:rPr>
                <w:rFonts w:cs="Calibri"/>
                <w:sz w:val="18"/>
                <w:szCs w:val="18"/>
              </w:rPr>
              <w:t>0.12%</w:t>
            </w:r>
          </w:p>
        </w:tc>
      </w:tr>
      <w:tr w:rsidR="005335C7" w:rsidRPr="00910F96" w14:paraId="40240FF0" w14:textId="77777777" w:rsidTr="00894F2B">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545" w:type="dxa"/>
            <w:shd w:val="clear" w:color="auto" w:fill="FFFFFF" w:themeFill="background1"/>
            <w:noWrap/>
            <w:hideMark/>
          </w:tcPr>
          <w:p w14:paraId="39B51437" w14:textId="77777777" w:rsidR="005335C7" w:rsidRPr="00910F96" w:rsidRDefault="005335C7" w:rsidP="00894F2B">
            <w:pPr>
              <w:spacing w:after="100" w:afterAutospacing="1"/>
              <w:jc w:val="both"/>
              <w:rPr>
                <w:rFonts w:cs="Calibri"/>
                <w:b w:val="0"/>
                <w:sz w:val="18"/>
                <w:szCs w:val="18"/>
              </w:rPr>
            </w:pPr>
            <w:r w:rsidRPr="00910F96">
              <w:rPr>
                <w:rFonts w:cs="Calibri"/>
                <w:sz w:val="18"/>
                <w:szCs w:val="18"/>
              </w:rPr>
              <w:t>ECOWAS exemptions</w:t>
            </w:r>
          </w:p>
        </w:tc>
        <w:tc>
          <w:tcPr>
            <w:tcW w:w="2046" w:type="dxa"/>
            <w:shd w:val="clear" w:color="auto" w:fill="FFFFFF" w:themeFill="background1"/>
            <w:noWrap/>
            <w:hideMark/>
          </w:tcPr>
          <w:p w14:paraId="72D5420B" w14:textId="77777777" w:rsidR="005335C7" w:rsidRPr="00910F96" w:rsidRDefault="005335C7" w:rsidP="00894F2B">
            <w:pPr>
              <w:spacing w:after="100" w:afterAutospacing="1"/>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910F96">
              <w:rPr>
                <w:rFonts w:cs="Calibri"/>
                <w:sz w:val="18"/>
                <w:szCs w:val="18"/>
              </w:rPr>
              <w:t>101.2</w:t>
            </w:r>
          </w:p>
        </w:tc>
        <w:tc>
          <w:tcPr>
            <w:tcW w:w="901" w:type="dxa"/>
            <w:shd w:val="clear" w:color="auto" w:fill="FFFFFF" w:themeFill="background1"/>
          </w:tcPr>
          <w:p w14:paraId="7A538572" w14:textId="77777777" w:rsidR="005335C7" w:rsidRPr="00910F96" w:rsidRDefault="005335C7" w:rsidP="00894F2B">
            <w:pPr>
              <w:spacing w:after="100" w:afterAutospacing="1"/>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910F96">
              <w:rPr>
                <w:rFonts w:cs="Calibri"/>
                <w:sz w:val="18"/>
                <w:szCs w:val="18"/>
              </w:rPr>
              <w:t>0.09%</w:t>
            </w:r>
          </w:p>
        </w:tc>
        <w:tc>
          <w:tcPr>
            <w:tcW w:w="1790" w:type="dxa"/>
            <w:shd w:val="clear" w:color="auto" w:fill="FFFFFF" w:themeFill="background1"/>
            <w:noWrap/>
            <w:hideMark/>
          </w:tcPr>
          <w:p w14:paraId="71336484" w14:textId="77777777" w:rsidR="005335C7" w:rsidRPr="00910F96" w:rsidRDefault="005335C7" w:rsidP="00894F2B">
            <w:pPr>
              <w:spacing w:after="100" w:afterAutospacing="1"/>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910F96">
              <w:rPr>
                <w:rFonts w:cs="Calibri"/>
                <w:sz w:val="18"/>
                <w:szCs w:val="18"/>
              </w:rPr>
              <w:t>72.6</w:t>
            </w:r>
          </w:p>
        </w:tc>
        <w:tc>
          <w:tcPr>
            <w:tcW w:w="836" w:type="dxa"/>
            <w:shd w:val="clear" w:color="auto" w:fill="FFFFFF" w:themeFill="background1"/>
          </w:tcPr>
          <w:p w14:paraId="5BA410C4" w14:textId="77777777" w:rsidR="005335C7" w:rsidRPr="00910F96" w:rsidRDefault="005335C7" w:rsidP="00894F2B">
            <w:pPr>
              <w:spacing w:after="100" w:afterAutospacing="1"/>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910F96">
              <w:rPr>
                <w:rFonts w:cs="Calibri"/>
                <w:sz w:val="18"/>
                <w:szCs w:val="18"/>
              </w:rPr>
              <w:t>0.05%</w:t>
            </w:r>
          </w:p>
        </w:tc>
      </w:tr>
      <w:tr w:rsidR="005335C7" w:rsidRPr="00910F96" w14:paraId="68DCE887" w14:textId="77777777" w:rsidTr="00894F2B">
        <w:trPr>
          <w:trHeight w:val="330"/>
          <w:jc w:val="center"/>
        </w:trPr>
        <w:tc>
          <w:tcPr>
            <w:cnfStyle w:val="001000000000" w:firstRow="0" w:lastRow="0" w:firstColumn="1" w:lastColumn="0" w:oddVBand="0" w:evenVBand="0" w:oddHBand="0" w:evenHBand="0" w:firstRowFirstColumn="0" w:firstRowLastColumn="0" w:lastRowFirstColumn="0" w:lastRowLastColumn="0"/>
            <w:tcW w:w="3545" w:type="dxa"/>
            <w:shd w:val="clear" w:color="auto" w:fill="FFFFFF" w:themeFill="background1"/>
            <w:noWrap/>
            <w:hideMark/>
          </w:tcPr>
          <w:p w14:paraId="428430C5" w14:textId="77777777" w:rsidR="005335C7" w:rsidRPr="00910F96" w:rsidRDefault="005335C7" w:rsidP="00894F2B">
            <w:pPr>
              <w:spacing w:after="100" w:afterAutospacing="1"/>
              <w:jc w:val="both"/>
              <w:rPr>
                <w:rFonts w:cs="Calibri"/>
                <w:b w:val="0"/>
                <w:sz w:val="18"/>
                <w:szCs w:val="18"/>
              </w:rPr>
            </w:pPr>
            <w:r w:rsidRPr="00910F96">
              <w:rPr>
                <w:rFonts w:cs="Calibri"/>
                <w:sz w:val="18"/>
                <w:szCs w:val="18"/>
              </w:rPr>
              <w:t>Parliamentary exemptions</w:t>
            </w:r>
          </w:p>
        </w:tc>
        <w:tc>
          <w:tcPr>
            <w:tcW w:w="2046" w:type="dxa"/>
            <w:shd w:val="clear" w:color="auto" w:fill="FFFFFF" w:themeFill="background1"/>
            <w:noWrap/>
            <w:hideMark/>
          </w:tcPr>
          <w:p w14:paraId="644FD373" w14:textId="77777777" w:rsidR="005335C7" w:rsidRPr="00910F96" w:rsidRDefault="005335C7" w:rsidP="00894F2B">
            <w:pPr>
              <w:spacing w:after="100" w:afterAutospacing="1"/>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910F96">
              <w:rPr>
                <w:rFonts w:cs="Calibri"/>
                <w:sz w:val="18"/>
                <w:szCs w:val="18"/>
              </w:rPr>
              <w:t>214.2</w:t>
            </w:r>
          </w:p>
        </w:tc>
        <w:tc>
          <w:tcPr>
            <w:tcW w:w="901" w:type="dxa"/>
            <w:shd w:val="clear" w:color="auto" w:fill="FFFFFF" w:themeFill="background1"/>
          </w:tcPr>
          <w:p w14:paraId="656FD378" w14:textId="77777777" w:rsidR="005335C7" w:rsidRPr="00910F96" w:rsidRDefault="005335C7" w:rsidP="00894F2B">
            <w:pPr>
              <w:spacing w:after="100" w:afterAutospacing="1"/>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910F96">
              <w:rPr>
                <w:rFonts w:cs="Calibri"/>
                <w:sz w:val="18"/>
                <w:szCs w:val="18"/>
              </w:rPr>
              <w:t>0.19%</w:t>
            </w:r>
          </w:p>
        </w:tc>
        <w:tc>
          <w:tcPr>
            <w:tcW w:w="1790" w:type="dxa"/>
            <w:shd w:val="clear" w:color="auto" w:fill="FFFFFF" w:themeFill="background1"/>
            <w:noWrap/>
            <w:hideMark/>
          </w:tcPr>
          <w:p w14:paraId="0E1083A1" w14:textId="77777777" w:rsidR="005335C7" w:rsidRPr="00910F96" w:rsidRDefault="005335C7" w:rsidP="00894F2B">
            <w:pPr>
              <w:spacing w:after="100" w:afterAutospacing="1"/>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910F96">
              <w:rPr>
                <w:rFonts w:cs="Calibri"/>
                <w:sz w:val="18"/>
                <w:szCs w:val="18"/>
              </w:rPr>
              <w:t>173.2</w:t>
            </w:r>
          </w:p>
        </w:tc>
        <w:tc>
          <w:tcPr>
            <w:tcW w:w="836" w:type="dxa"/>
            <w:shd w:val="clear" w:color="auto" w:fill="FFFFFF" w:themeFill="background1"/>
          </w:tcPr>
          <w:p w14:paraId="2A967395" w14:textId="77777777" w:rsidR="005335C7" w:rsidRPr="00910F96" w:rsidRDefault="005335C7" w:rsidP="00894F2B">
            <w:pPr>
              <w:spacing w:after="100" w:afterAutospacing="1"/>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sidRPr="00910F96">
              <w:rPr>
                <w:rFonts w:cs="Calibri"/>
                <w:sz w:val="18"/>
                <w:szCs w:val="18"/>
              </w:rPr>
              <w:t>0.13%</w:t>
            </w:r>
          </w:p>
        </w:tc>
      </w:tr>
      <w:tr w:rsidR="005335C7" w:rsidRPr="00910F96" w14:paraId="09202B08" w14:textId="77777777" w:rsidTr="00894F2B">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3545" w:type="dxa"/>
            <w:shd w:val="clear" w:color="auto" w:fill="FFFFFF" w:themeFill="background1"/>
            <w:noWrap/>
            <w:hideMark/>
          </w:tcPr>
          <w:p w14:paraId="7DD1753B" w14:textId="77777777" w:rsidR="005335C7" w:rsidRPr="00910F96" w:rsidRDefault="005335C7" w:rsidP="00894F2B">
            <w:pPr>
              <w:spacing w:after="100" w:afterAutospacing="1"/>
              <w:jc w:val="both"/>
              <w:rPr>
                <w:rFonts w:cs="Calibri"/>
                <w:b w:val="0"/>
                <w:sz w:val="18"/>
                <w:szCs w:val="18"/>
              </w:rPr>
            </w:pPr>
            <w:r w:rsidRPr="00910F96">
              <w:rPr>
                <w:rFonts w:cs="Calibri"/>
                <w:sz w:val="18"/>
                <w:szCs w:val="18"/>
              </w:rPr>
              <w:t>Special permits</w:t>
            </w:r>
          </w:p>
        </w:tc>
        <w:tc>
          <w:tcPr>
            <w:tcW w:w="2046" w:type="dxa"/>
            <w:shd w:val="clear" w:color="auto" w:fill="FFFFFF" w:themeFill="background1"/>
            <w:noWrap/>
            <w:hideMark/>
          </w:tcPr>
          <w:p w14:paraId="678B51BE" w14:textId="77777777" w:rsidR="005335C7" w:rsidRPr="00910F96" w:rsidRDefault="005335C7" w:rsidP="00894F2B">
            <w:pPr>
              <w:spacing w:after="100" w:afterAutospacing="1"/>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910F96">
              <w:rPr>
                <w:rFonts w:cs="Calibri"/>
                <w:sz w:val="18"/>
                <w:szCs w:val="18"/>
              </w:rPr>
              <w:t>285.4</w:t>
            </w:r>
          </w:p>
        </w:tc>
        <w:tc>
          <w:tcPr>
            <w:tcW w:w="901" w:type="dxa"/>
            <w:shd w:val="clear" w:color="auto" w:fill="FFFFFF" w:themeFill="background1"/>
          </w:tcPr>
          <w:p w14:paraId="66CBC2DC" w14:textId="77777777" w:rsidR="005335C7" w:rsidRPr="00910F96" w:rsidRDefault="005335C7" w:rsidP="00894F2B">
            <w:pPr>
              <w:spacing w:after="100" w:afterAutospacing="1"/>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910F96">
              <w:rPr>
                <w:rFonts w:cs="Calibri"/>
                <w:sz w:val="18"/>
                <w:szCs w:val="18"/>
              </w:rPr>
              <w:t>0.25%</w:t>
            </w:r>
          </w:p>
        </w:tc>
        <w:tc>
          <w:tcPr>
            <w:tcW w:w="1790" w:type="dxa"/>
            <w:shd w:val="clear" w:color="auto" w:fill="FFFFFF" w:themeFill="background1"/>
            <w:noWrap/>
            <w:hideMark/>
          </w:tcPr>
          <w:p w14:paraId="31FF4DC9" w14:textId="77777777" w:rsidR="005335C7" w:rsidRPr="00910F96" w:rsidRDefault="005335C7" w:rsidP="00894F2B">
            <w:pPr>
              <w:spacing w:after="100" w:afterAutospacing="1"/>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910F96">
              <w:rPr>
                <w:rFonts w:cs="Calibri"/>
                <w:sz w:val="18"/>
                <w:szCs w:val="18"/>
              </w:rPr>
              <w:t>184.2</w:t>
            </w:r>
          </w:p>
        </w:tc>
        <w:tc>
          <w:tcPr>
            <w:tcW w:w="836" w:type="dxa"/>
            <w:shd w:val="clear" w:color="auto" w:fill="FFFFFF" w:themeFill="background1"/>
          </w:tcPr>
          <w:p w14:paraId="2A57E606" w14:textId="77777777" w:rsidR="005335C7" w:rsidRPr="00910F96" w:rsidRDefault="005335C7" w:rsidP="00894F2B">
            <w:pPr>
              <w:spacing w:after="100" w:afterAutospacing="1"/>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sidRPr="00910F96">
              <w:rPr>
                <w:rFonts w:cs="Calibri"/>
                <w:sz w:val="18"/>
                <w:szCs w:val="18"/>
              </w:rPr>
              <w:t>0.14%</w:t>
            </w:r>
          </w:p>
        </w:tc>
      </w:tr>
      <w:tr w:rsidR="005335C7" w:rsidRPr="00910F96" w14:paraId="3B63987E" w14:textId="77777777" w:rsidTr="00894F2B">
        <w:trPr>
          <w:trHeight w:val="330"/>
          <w:jc w:val="center"/>
        </w:trPr>
        <w:tc>
          <w:tcPr>
            <w:cnfStyle w:val="001000000000" w:firstRow="0" w:lastRow="0" w:firstColumn="1" w:lastColumn="0" w:oddVBand="0" w:evenVBand="0" w:oddHBand="0" w:evenHBand="0" w:firstRowFirstColumn="0" w:firstRowLastColumn="0" w:lastRowFirstColumn="0" w:lastRowLastColumn="0"/>
            <w:tcW w:w="3545" w:type="dxa"/>
            <w:noWrap/>
            <w:hideMark/>
          </w:tcPr>
          <w:p w14:paraId="321F83E2" w14:textId="77777777" w:rsidR="005335C7" w:rsidRPr="00910F96" w:rsidRDefault="005335C7" w:rsidP="00894F2B">
            <w:pPr>
              <w:spacing w:after="100" w:afterAutospacing="1"/>
              <w:jc w:val="both"/>
              <w:rPr>
                <w:rFonts w:cs="Calibri"/>
                <w:sz w:val="18"/>
                <w:szCs w:val="18"/>
              </w:rPr>
            </w:pPr>
            <w:r w:rsidRPr="00910F96">
              <w:rPr>
                <w:rFonts w:cs="Calibri"/>
                <w:sz w:val="18"/>
                <w:szCs w:val="18"/>
              </w:rPr>
              <w:t>Total</w:t>
            </w:r>
          </w:p>
        </w:tc>
        <w:tc>
          <w:tcPr>
            <w:tcW w:w="2046" w:type="dxa"/>
            <w:noWrap/>
            <w:hideMark/>
          </w:tcPr>
          <w:p w14:paraId="7E1354DB" w14:textId="77777777" w:rsidR="005335C7" w:rsidRPr="00910F96" w:rsidRDefault="005335C7" w:rsidP="00894F2B">
            <w:pPr>
              <w:spacing w:after="100" w:afterAutospacing="1"/>
              <w:jc w:val="both"/>
              <w:cnfStyle w:val="000000000000" w:firstRow="0" w:lastRow="0" w:firstColumn="0" w:lastColumn="0" w:oddVBand="0" w:evenVBand="0" w:oddHBand="0" w:evenHBand="0" w:firstRowFirstColumn="0" w:firstRowLastColumn="0" w:lastRowFirstColumn="0" w:lastRowLastColumn="0"/>
              <w:rPr>
                <w:rFonts w:cs="Calibri"/>
                <w:b/>
                <w:sz w:val="18"/>
                <w:szCs w:val="18"/>
              </w:rPr>
            </w:pPr>
            <w:r w:rsidRPr="00910F96">
              <w:rPr>
                <w:rFonts w:cs="Calibri"/>
                <w:b/>
                <w:sz w:val="18"/>
                <w:szCs w:val="18"/>
              </w:rPr>
              <w:t>1,216.0</w:t>
            </w:r>
          </w:p>
        </w:tc>
        <w:tc>
          <w:tcPr>
            <w:tcW w:w="901" w:type="dxa"/>
          </w:tcPr>
          <w:p w14:paraId="46AB5B01" w14:textId="77777777" w:rsidR="005335C7" w:rsidRPr="00910F96" w:rsidRDefault="005335C7" w:rsidP="00894F2B">
            <w:pPr>
              <w:spacing w:after="100" w:afterAutospacing="1"/>
              <w:jc w:val="both"/>
              <w:cnfStyle w:val="000000000000" w:firstRow="0" w:lastRow="0" w:firstColumn="0" w:lastColumn="0" w:oddVBand="0" w:evenVBand="0" w:oddHBand="0" w:evenHBand="0" w:firstRowFirstColumn="0" w:firstRowLastColumn="0" w:lastRowFirstColumn="0" w:lastRowLastColumn="0"/>
              <w:rPr>
                <w:rFonts w:cs="Calibri"/>
                <w:b/>
                <w:sz w:val="18"/>
                <w:szCs w:val="18"/>
              </w:rPr>
            </w:pPr>
            <w:r w:rsidRPr="00910F96">
              <w:rPr>
                <w:rFonts w:cs="Calibri"/>
                <w:b/>
                <w:sz w:val="18"/>
                <w:szCs w:val="18"/>
              </w:rPr>
              <w:t>1.07%</w:t>
            </w:r>
          </w:p>
        </w:tc>
        <w:tc>
          <w:tcPr>
            <w:tcW w:w="1790" w:type="dxa"/>
            <w:noWrap/>
            <w:hideMark/>
          </w:tcPr>
          <w:p w14:paraId="36CF2289" w14:textId="77777777" w:rsidR="005335C7" w:rsidRPr="00910F96" w:rsidRDefault="005335C7" w:rsidP="00894F2B">
            <w:pPr>
              <w:spacing w:after="100" w:afterAutospacing="1"/>
              <w:jc w:val="both"/>
              <w:cnfStyle w:val="000000000000" w:firstRow="0" w:lastRow="0" w:firstColumn="0" w:lastColumn="0" w:oddVBand="0" w:evenVBand="0" w:oddHBand="0" w:evenHBand="0" w:firstRowFirstColumn="0" w:firstRowLastColumn="0" w:lastRowFirstColumn="0" w:lastRowLastColumn="0"/>
              <w:rPr>
                <w:rFonts w:cs="Calibri"/>
                <w:b/>
                <w:sz w:val="18"/>
                <w:szCs w:val="18"/>
              </w:rPr>
            </w:pPr>
            <w:r w:rsidRPr="00910F96">
              <w:rPr>
                <w:rFonts w:cs="Calibri"/>
                <w:b/>
                <w:sz w:val="18"/>
                <w:szCs w:val="18"/>
              </w:rPr>
              <w:t>1,353.9</w:t>
            </w:r>
          </w:p>
        </w:tc>
        <w:tc>
          <w:tcPr>
            <w:tcW w:w="836" w:type="dxa"/>
          </w:tcPr>
          <w:p w14:paraId="436CAE32" w14:textId="77777777" w:rsidR="005335C7" w:rsidRPr="00910F96" w:rsidRDefault="005335C7" w:rsidP="00894F2B">
            <w:pPr>
              <w:spacing w:after="100" w:afterAutospacing="1"/>
              <w:jc w:val="both"/>
              <w:cnfStyle w:val="000000000000" w:firstRow="0" w:lastRow="0" w:firstColumn="0" w:lastColumn="0" w:oddVBand="0" w:evenVBand="0" w:oddHBand="0" w:evenHBand="0" w:firstRowFirstColumn="0" w:firstRowLastColumn="0" w:lastRowFirstColumn="0" w:lastRowLastColumn="0"/>
              <w:rPr>
                <w:rFonts w:cs="Calibri"/>
                <w:b/>
                <w:sz w:val="18"/>
                <w:szCs w:val="18"/>
              </w:rPr>
            </w:pPr>
            <w:r w:rsidRPr="00910F96">
              <w:rPr>
                <w:rFonts w:cs="Calibri"/>
                <w:b/>
                <w:sz w:val="18"/>
                <w:szCs w:val="18"/>
              </w:rPr>
              <w:t>1.01%</w:t>
            </w:r>
          </w:p>
        </w:tc>
      </w:tr>
    </w:tbl>
    <w:p w14:paraId="76DDFBED" w14:textId="77777777" w:rsidR="005335C7" w:rsidRPr="005335C7" w:rsidRDefault="005335C7" w:rsidP="005335C7">
      <w:pPr>
        <w:pStyle w:val="ListParagraph"/>
        <w:numPr>
          <w:ilvl w:val="0"/>
          <w:numId w:val="0"/>
        </w:numPr>
      </w:pPr>
      <w:r>
        <w:rPr>
          <w:sz w:val="20"/>
          <w:szCs w:val="20"/>
        </w:rPr>
        <w:t xml:space="preserve">   </w:t>
      </w:r>
      <w:r w:rsidRPr="00696A40">
        <w:rPr>
          <w:sz w:val="20"/>
          <w:szCs w:val="20"/>
        </w:rPr>
        <w:t>Source: Ghana Customs Authority</w:t>
      </w:r>
    </w:p>
    <w:p w14:paraId="3D16B15A" w14:textId="77777777" w:rsidR="005335C7" w:rsidRPr="00E45355" w:rsidRDefault="00AD66D6" w:rsidP="00894F2B">
      <w:pPr>
        <w:pStyle w:val="Heading2"/>
      </w:pPr>
      <w:bookmarkStart w:id="104" w:name="_Toc479624888"/>
      <w:r>
        <w:t>Annex 2.4</w:t>
      </w:r>
      <w:r w:rsidR="005335C7" w:rsidRPr="00E45355">
        <w:t>: Summary of the Principal Taxes in Ghana</w:t>
      </w:r>
      <w:bookmarkEnd w:id="104"/>
    </w:p>
    <w:p w14:paraId="2A9EA615" w14:textId="77777777" w:rsidR="005335C7" w:rsidRPr="000761E2" w:rsidRDefault="00F906D5" w:rsidP="00F906D5">
      <w:pPr>
        <w:pStyle w:val="Caption"/>
        <w:rPr>
          <w:b w:val="0"/>
        </w:rPr>
      </w:pPr>
      <w:bookmarkStart w:id="105" w:name="_Toc478837635"/>
      <w:r>
        <w:t xml:space="preserve">Table </w:t>
      </w:r>
      <w:r w:rsidR="00500291">
        <w:fldChar w:fldCharType="begin"/>
      </w:r>
      <w:r w:rsidR="00500291">
        <w:instrText xml:space="preserve"> STYLEREF 1 \s </w:instrText>
      </w:r>
      <w:r w:rsidR="00500291">
        <w:fldChar w:fldCharType="separate"/>
      </w:r>
      <w:r w:rsidR="007B1CE6">
        <w:rPr>
          <w:noProof/>
        </w:rPr>
        <w:t>2</w:t>
      </w:r>
      <w:r w:rsidR="00500291">
        <w:fldChar w:fldCharType="end"/>
      </w:r>
      <w:r w:rsidR="00500291">
        <w:t>.</w:t>
      </w:r>
      <w:r w:rsidR="00500291">
        <w:fldChar w:fldCharType="begin"/>
      </w:r>
      <w:r w:rsidR="00500291">
        <w:instrText xml:space="preserve"> SEQ Table \* ARABIC \s 1 </w:instrText>
      </w:r>
      <w:r w:rsidR="00500291">
        <w:fldChar w:fldCharType="separate"/>
      </w:r>
      <w:r w:rsidR="007B1CE6">
        <w:rPr>
          <w:noProof/>
        </w:rPr>
        <w:t>14</w:t>
      </w:r>
      <w:r w:rsidR="00500291">
        <w:fldChar w:fldCharType="end"/>
      </w:r>
      <w:r w:rsidR="005335C7">
        <w:t>: Summary of the Principal Taxes in Ghana</w:t>
      </w:r>
      <w:bookmarkEnd w:id="105"/>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1"/>
        <w:gridCol w:w="3159"/>
        <w:gridCol w:w="4140"/>
      </w:tblGrid>
      <w:tr w:rsidR="005335C7" w:rsidRPr="00977858" w14:paraId="2EA08B18" w14:textId="77777777" w:rsidTr="00894F2B">
        <w:trPr>
          <w:jc w:val="center"/>
        </w:trPr>
        <w:tc>
          <w:tcPr>
            <w:tcW w:w="2421" w:type="dxa"/>
            <w:tcBorders>
              <w:top w:val="single" w:sz="4" w:space="0" w:color="auto"/>
              <w:left w:val="single" w:sz="4" w:space="0" w:color="auto"/>
              <w:bottom w:val="single" w:sz="4" w:space="0" w:color="auto"/>
              <w:right w:val="single" w:sz="4" w:space="0" w:color="auto"/>
            </w:tcBorders>
            <w:hideMark/>
          </w:tcPr>
          <w:p w14:paraId="23564C0C" w14:textId="77777777" w:rsidR="005335C7" w:rsidRPr="00977858" w:rsidRDefault="005335C7" w:rsidP="00894F2B">
            <w:pPr>
              <w:jc w:val="both"/>
              <w:rPr>
                <w:rFonts w:ascii="Garamond" w:hAnsi="Garamond" w:cs="Times New Roman"/>
                <w:b/>
                <w:sz w:val="18"/>
                <w:szCs w:val="18"/>
              </w:rPr>
            </w:pPr>
            <w:r w:rsidRPr="00977858">
              <w:rPr>
                <w:rFonts w:ascii="Garamond" w:hAnsi="Garamond" w:cs="Times New Roman"/>
                <w:b/>
                <w:sz w:val="18"/>
                <w:szCs w:val="18"/>
              </w:rPr>
              <w:t>Type of Tax</w:t>
            </w:r>
          </w:p>
        </w:tc>
        <w:tc>
          <w:tcPr>
            <w:tcW w:w="3159" w:type="dxa"/>
            <w:tcBorders>
              <w:top w:val="single" w:sz="4" w:space="0" w:color="auto"/>
              <w:left w:val="single" w:sz="4" w:space="0" w:color="auto"/>
              <w:bottom w:val="single" w:sz="4" w:space="0" w:color="auto"/>
              <w:right w:val="single" w:sz="4" w:space="0" w:color="auto"/>
            </w:tcBorders>
            <w:hideMark/>
          </w:tcPr>
          <w:p w14:paraId="40B028B9" w14:textId="77777777" w:rsidR="005335C7" w:rsidRPr="00977858" w:rsidRDefault="005335C7" w:rsidP="00894F2B">
            <w:pPr>
              <w:jc w:val="both"/>
              <w:rPr>
                <w:rFonts w:ascii="Garamond" w:hAnsi="Garamond" w:cs="Times New Roman"/>
                <w:b/>
                <w:sz w:val="18"/>
                <w:szCs w:val="18"/>
              </w:rPr>
            </w:pPr>
            <w:r w:rsidRPr="00977858">
              <w:rPr>
                <w:rFonts w:ascii="Garamond" w:hAnsi="Garamond" w:cs="Times New Roman"/>
                <w:b/>
                <w:sz w:val="18"/>
                <w:szCs w:val="18"/>
              </w:rPr>
              <w:t>Rates</w:t>
            </w:r>
          </w:p>
        </w:tc>
        <w:tc>
          <w:tcPr>
            <w:tcW w:w="4140" w:type="dxa"/>
            <w:tcBorders>
              <w:top w:val="single" w:sz="4" w:space="0" w:color="auto"/>
              <w:left w:val="single" w:sz="4" w:space="0" w:color="auto"/>
              <w:bottom w:val="single" w:sz="4" w:space="0" w:color="auto"/>
              <w:right w:val="single" w:sz="4" w:space="0" w:color="auto"/>
            </w:tcBorders>
            <w:hideMark/>
          </w:tcPr>
          <w:p w14:paraId="41171C2C" w14:textId="77777777" w:rsidR="005335C7" w:rsidRPr="00977858" w:rsidRDefault="005335C7" w:rsidP="00894F2B">
            <w:pPr>
              <w:jc w:val="both"/>
              <w:rPr>
                <w:rFonts w:ascii="Garamond" w:hAnsi="Garamond" w:cs="Times New Roman"/>
                <w:b/>
                <w:sz w:val="18"/>
                <w:szCs w:val="18"/>
              </w:rPr>
            </w:pPr>
            <w:r w:rsidRPr="00977858">
              <w:rPr>
                <w:rFonts w:ascii="Garamond" w:hAnsi="Garamond" w:cs="Times New Roman"/>
                <w:b/>
                <w:sz w:val="18"/>
                <w:szCs w:val="18"/>
              </w:rPr>
              <w:t>Remarks</w:t>
            </w:r>
          </w:p>
        </w:tc>
      </w:tr>
      <w:tr w:rsidR="005335C7" w:rsidRPr="00977858" w14:paraId="43C2BAB6" w14:textId="77777777" w:rsidTr="00894F2B">
        <w:trPr>
          <w:jc w:val="center"/>
        </w:trPr>
        <w:tc>
          <w:tcPr>
            <w:tcW w:w="2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04D9A7" w14:textId="77777777" w:rsidR="005335C7" w:rsidRPr="00977858" w:rsidRDefault="005335C7" w:rsidP="00894F2B">
            <w:pPr>
              <w:pStyle w:val="ListParagraph"/>
              <w:numPr>
                <w:ilvl w:val="0"/>
                <w:numId w:val="2"/>
              </w:numPr>
              <w:spacing w:before="240"/>
              <w:rPr>
                <w:sz w:val="18"/>
                <w:szCs w:val="18"/>
              </w:rPr>
            </w:pPr>
            <w:r w:rsidRPr="00977858">
              <w:rPr>
                <w:sz w:val="18"/>
                <w:szCs w:val="18"/>
              </w:rPr>
              <w:t>Income Taxes</w:t>
            </w:r>
          </w:p>
        </w:tc>
        <w:tc>
          <w:tcPr>
            <w:tcW w:w="31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1ED5E1" w14:textId="77777777" w:rsidR="005335C7" w:rsidRPr="00977858" w:rsidRDefault="005335C7" w:rsidP="00894F2B">
            <w:pPr>
              <w:jc w:val="both"/>
              <w:rPr>
                <w:rFonts w:ascii="Garamond" w:hAnsi="Garamond" w:cs="Times New Roman"/>
                <w:sz w:val="18"/>
                <w:szCs w:val="18"/>
              </w:rPr>
            </w:pP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FFD607" w14:textId="77777777" w:rsidR="005335C7" w:rsidRPr="00977858" w:rsidRDefault="005335C7" w:rsidP="00894F2B">
            <w:pPr>
              <w:jc w:val="both"/>
              <w:rPr>
                <w:rFonts w:ascii="Garamond" w:hAnsi="Garamond" w:cs="Times New Roman"/>
                <w:sz w:val="18"/>
                <w:szCs w:val="18"/>
              </w:rPr>
            </w:pPr>
          </w:p>
        </w:tc>
      </w:tr>
      <w:tr w:rsidR="005335C7" w:rsidRPr="00977858" w14:paraId="6A26F4DE" w14:textId="77777777" w:rsidTr="00894F2B">
        <w:trPr>
          <w:jc w:val="center"/>
        </w:trPr>
        <w:tc>
          <w:tcPr>
            <w:tcW w:w="2421" w:type="dxa"/>
            <w:tcBorders>
              <w:top w:val="single" w:sz="4" w:space="0" w:color="auto"/>
              <w:left w:val="single" w:sz="4" w:space="0" w:color="auto"/>
              <w:bottom w:val="single" w:sz="4" w:space="0" w:color="auto"/>
              <w:right w:val="single" w:sz="4" w:space="0" w:color="auto"/>
            </w:tcBorders>
            <w:hideMark/>
          </w:tcPr>
          <w:p w14:paraId="2081AED0" w14:textId="77777777" w:rsidR="005335C7" w:rsidRPr="00977858" w:rsidRDefault="005335C7" w:rsidP="00894F2B">
            <w:pPr>
              <w:rPr>
                <w:rFonts w:ascii="Garamond" w:hAnsi="Garamond" w:cs="Times New Roman"/>
                <w:sz w:val="18"/>
                <w:szCs w:val="18"/>
              </w:rPr>
            </w:pPr>
            <w:r w:rsidRPr="00977858">
              <w:rPr>
                <w:rFonts w:ascii="Garamond" w:hAnsi="Garamond" w:cs="Times New Roman"/>
                <w:sz w:val="18"/>
                <w:szCs w:val="18"/>
              </w:rPr>
              <w:t>A1.</w:t>
            </w:r>
            <w:r>
              <w:rPr>
                <w:rFonts w:ascii="Garamond" w:hAnsi="Garamond" w:cs="Times New Roman"/>
                <w:sz w:val="18"/>
                <w:szCs w:val="18"/>
              </w:rPr>
              <w:t xml:space="preserve"> </w:t>
            </w:r>
            <w:r w:rsidRPr="00977858">
              <w:rPr>
                <w:rFonts w:ascii="Garamond" w:hAnsi="Garamond" w:cs="Times New Roman"/>
                <w:sz w:val="18"/>
                <w:szCs w:val="18"/>
              </w:rPr>
              <w:t>Corporate tax</w:t>
            </w:r>
          </w:p>
        </w:tc>
        <w:tc>
          <w:tcPr>
            <w:tcW w:w="3159" w:type="dxa"/>
            <w:tcBorders>
              <w:top w:val="single" w:sz="4" w:space="0" w:color="auto"/>
              <w:left w:val="single" w:sz="4" w:space="0" w:color="auto"/>
              <w:bottom w:val="single" w:sz="4" w:space="0" w:color="auto"/>
              <w:right w:val="single" w:sz="4" w:space="0" w:color="auto"/>
            </w:tcBorders>
            <w:hideMark/>
          </w:tcPr>
          <w:p w14:paraId="2A1C1B1C" w14:textId="77777777"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25%</w:t>
            </w:r>
          </w:p>
        </w:tc>
        <w:tc>
          <w:tcPr>
            <w:tcW w:w="4140" w:type="dxa"/>
            <w:tcBorders>
              <w:top w:val="single" w:sz="4" w:space="0" w:color="auto"/>
              <w:left w:val="single" w:sz="4" w:space="0" w:color="auto"/>
              <w:bottom w:val="single" w:sz="4" w:space="0" w:color="auto"/>
              <w:right w:val="single" w:sz="4" w:space="0" w:color="auto"/>
            </w:tcBorders>
          </w:tcPr>
          <w:p w14:paraId="1348C7D5" w14:textId="77777777"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Different Rates apply as a result of tax incentives</w:t>
            </w:r>
          </w:p>
        </w:tc>
      </w:tr>
      <w:tr w:rsidR="005335C7" w:rsidRPr="00977858" w14:paraId="716C02CE" w14:textId="77777777" w:rsidTr="00894F2B">
        <w:trPr>
          <w:jc w:val="center"/>
        </w:trPr>
        <w:tc>
          <w:tcPr>
            <w:tcW w:w="2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8CD537" w14:textId="77777777" w:rsidR="005335C7" w:rsidRPr="00977858" w:rsidRDefault="005335C7" w:rsidP="00894F2B">
            <w:pPr>
              <w:spacing w:after="0" w:line="240" w:lineRule="auto"/>
              <w:rPr>
                <w:rFonts w:ascii="Garamond" w:hAnsi="Garamond" w:cs="Times New Roman"/>
                <w:sz w:val="18"/>
                <w:szCs w:val="18"/>
              </w:rPr>
            </w:pPr>
            <w:r w:rsidRPr="00977858">
              <w:rPr>
                <w:rFonts w:ascii="Garamond" w:hAnsi="Garamond" w:cs="Times New Roman"/>
                <w:sz w:val="18"/>
                <w:szCs w:val="18"/>
              </w:rPr>
              <w:t>A2. Personal Income Tax</w:t>
            </w:r>
          </w:p>
        </w:tc>
        <w:tc>
          <w:tcPr>
            <w:tcW w:w="31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DCA6BF" w14:textId="77777777"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Progressive rates 0%, 5%, 10%, 17.5% and 25%. The 5% rate is applicable at GH¢1,582 (or as adjusted) and the maximum rate applies for Chargeable Incomes exceeding GH¢31,680 or as adjusted.</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F5F2AF" w14:textId="77777777"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 xml:space="preserve">In the case of employees, the tax (PAYE) is withheld by the employer and it is the final tax paid if the employees do not have income other than from employment. </w:t>
            </w:r>
          </w:p>
        </w:tc>
      </w:tr>
      <w:tr w:rsidR="005335C7" w:rsidRPr="00977858" w14:paraId="387D3E96" w14:textId="77777777" w:rsidTr="00894F2B">
        <w:trPr>
          <w:jc w:val="center"/>
        </w:trPr>
        <w:tc>
          <w:tcPr>
            <w:tcW w:w="2421" w:type="dxa"/>
            <w:tcBorders>
              <w:top w:val="single" w:sz="4" w:space="0" w:color="auto"/>
              <w:left w:val="single" w:sz="4" w:space="0" w:color="auto"/>
              <w:bottom w:val="single" w:sz="4" w:space="0" w:color="auto"/>
              <w:right w:val="single" w:sz="4" w:space="0" w:color="auto"/>
            </w:tcBorders>
            <w:hideMark/>
          </w:tcPr>
          <w:p w14:paraId="57B493DE" w14:textId="77777777" w:rsidR="005335C7" w:rsidRPr="00977858" w:rsidRDefault="005335C7" w:rsidP="00894F2B">
            <w:pPr>
              <w:spacing w:after="0" w:line="240" w:lineRule="auto"/>
              <w:rPr>
                <w:rFonts w:ascii="Garamond" w:hAnsi="Garamond" w:cs="Times New Roman"/>
                <w:sz w:val="18"/>
                <w:szCs w:val="18"/>
              </w:rPr>
            </w:pPr>
            <w:r w:rsidRPr="00977858">
              <w:rPr>
                <w:rFonts w:ascii="Garamond" w:hAnsi="Garamond" w:cs="Times New Roman"/>
                <w:sz w:val="18"/>
                <w:szCs w:val="18"/>
              </w:rPr>
              <w:t>A3. Vehicle Income Tax (VIT)</w:t>
            </w:r>
          </w:p>
        </w:tc>
        <w:tc>
          <w:tcPr>
            <w:tcW w:w="3159" w:type="dxa"/>
            <w:tcBorders>
              <w:top w:val="single" w:sz="4" w:space="0" w:color="auto"/>
              <w:left w:val="single" w:sz="4" w:space="0" w:color="auto"/>
              <w:bottom w:val="single" w:sz="4" w:space="0" w:color="auto"/>
              <w:right w:val="single" w:sz="4" w:space="0" w:color="auto"/>
            </w:tcBorders>
            <w:hideMark/>
          </w:tcPr>
          <w:p w14:paraId="45998F61" w14:textId="77777777" w:rsidR="005335C7" w:rsidRPr="000761E2" w:rsidRDefault="005335C7" w:rsidP="00894F2B">
            <w:pPr>
              <w:jc w:val="both"/>
              <w:rPr>
                <w:rFonts w:ascii="Garamond" w:hAnsi="Garamond" w:cs="Times New Roman"/>
                <w:sz w:val="18"/>
                <w:szCs w:val="18"/>
              </w:rPr>
            </w:pPr>
            <w:r w:rsidRPr="00977858">
              <w:rPr>
                <w:rFonts w:ascii="Garamond" w:hAnsi="Garamond" w:cs="Times New Roman"/>
                <w:sz w:val="18"/>
                <w:szCs w:val="18"/>
              </w:rPr>
              <w:t>Tax collected from</w:t>
            </w:r>
            <w:r w:rsidRPr="000761E2">
              <w:rPr>
                <w:rFonts w:ascii="Garamond" w:hAnsi="Garamond" w:cs="Times New Roman"/>
                <w:sz w:val="18"/>
                <w:szCs w:val="18"/>
              </w:rPr>
              <w:t xml:space="preserve"> operators of commercial vehicles at fixed rates depending on type of vehicle. </w:t>
            </w:r>
          </w:p>
        </w:tc>
        <w:tc>
          <w:tcPr>
            <w:tcW w:w="4140" w:type="dxa"/>
            <w:tcBorders>
              <w:top w:val="single" w:sz="4" w:space="0" w:color="auto"/>
              <w:left w:val="single" w:sz="4" w:space="0" w:color="auto"/>
              <w:bottom w:val="single" w:sz="4" w:space="0" w:color="auto"/>
              <w:right w:val="single" w:sz="4" w:space="0" w:color="auto"/>
            </w:tcBorders>
          </w:tcPr>
          <w:p w14:paraId="2F1E4D03" w14:textId="77777777" w:rsidR="005335C7" w:rsidRPr="000761E2" w:rsidRDefault="005335C7" w:rsidP="00894F2B">
            <w:pPr>
              <w:jc w:val="both"/>
              <w:rPr>
                <w:rFonts w:ascii="Garamond" w:hAnsi="Garamond" w:cs="Times New Roman"/>
                <w:sz w:val="18"/>
                <w:szCs w:val="18"/>
              </w:rPr>
            </w:pPr>
            <w:r w:rsidRPr="000761E2">
              <w:rPr>
                <w:rFonts w:ascii="Garamond" w:hAnsi="Garamond" w:cs="Times New Roman"/>
                <w:sz w:val="18"/>
                <w:szCs w:val="18"/>
              </w:rPr>
              <w:t>In lieu of Income Tax, tax is paid by buying stickers on a quarterly basis.</w:t>
            </w:r>
          </w:p>
        </w:tc>
      </w:tr>
      <w:tr w:rsidR="005335C7" w:rsidRPr="00977858" w14:paraId="674EDD82" w14:textId="77777777" w:rsidTr="00894F2B">
        <w:trPr>
          <w:jc w:val="center"/>
        </w:trPr>
        <w:tc>
          <w:tcPr>
            <w:tcW w:w="2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D6D9CF" w14:textId="77777777" w:rsidR="005335C7" w:rsidRPr="00977858" w:rsidRDefault="005335C7" w:rsidP="00894F2B">
            <w:pPr>
              <w:spacing w:after="0" w:line="240" w:lineRule="auto"/>
              <w:rPr>
                <w:rFonts w:ascii="Garamond" w:hAnsi="Garamond" w:cs="Times New Roman"/>
                <w:sz w:val="18"/>
                <w:szCs w:val="18"/>
              </w:rPr>
            </w:pPr>
            <w:r w:rsidRPr="00977858">
              <w:rPr>
                <w:rFonts w:ascii="Garamond" w:hAnsi="Garamond" w:cs="Times New Roman"/>
                <w:sz w:val="18"/>
                <w:szCs w:val="18"/>
              </w:rPr>
              <w:t>A4. Tax Stamp</w:t>
            </w:r>
          </w:p>
          <w:p w14:paraId="486EA175" w14:textId="77777777" w:rsidR="005335C7" w:rsidRPr="00977858" w:rsidRDefault="005335C7" w:rsidP="00894F2B">
            <w:pPr>
              <w:spacing w:after="0" w:line="240" w:lineRule="auto"/>
              <w:rPr>
                <w:rFonts w:ascii="Garamond" w:hAnsi="Garamond" w:cs="Times New Roman"/>
                <w:sz w:val="18"/>
                <w:szCs w:val="18"/>
              </w:rPr>
            </w:pPr>
            <w:r w:rsidRPr="00977858">
              <w:rPr>
                <w:rFonts w:ascii="Garamond" w:hAnsi="Garamond" w:cs="Times New Roman"/>
                <w:sz w:val="18"/>
                <w:szCs w:val="18"/>
              </w:rPr>
              <w:t>(Income Tax on informal businesses)</w:t>
            </w:r>
          </w:p>
        </w:tc>
        <w:tc>
          <w:tcPr>
            <w:tcW w:w="31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34D560" w14:textId="77777777" w:rsidR="005335C7" w:rsidRPr="000761E2" w:rsidRDefault="005335C7" w:rsidP="00894F2B">
            <w:pPr>
              <w:jc w:val="both"/>
              <w:rPr>
                <w:rFonts w:ascii="Garamond" w:hAnsi="Garamond" w:cs="Times New Roman"/>
                <w:sz w:val="18"/>
                <w:szCs w:val="18"/>
              </w:rPr>
            </w:pPr>
            <w:r w:rsidRPr="000761E2">
              <w:rPr>
                <w:rFonts w:ascii="Garamond" w:hAnsi="Garamond" w:cs="Times New Roman"/>
                <w:sz w:val="18"/>
                <w:szCs w:val="18"/>
              </w:rPr>
              <w:t>Tax collected from small businesses at a fixed rate depending on the type of business, size and turnover.</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EAB5D8" w14:textId="77777777" w:rsidR="005335C7" w:rsidRPr="000761E2" w:rsidRDefault="005335C7" w:rsidP="00894F2B">
            <w:pPr>
              <w:jc w:val="both"/>
              <w:rPr>
                <w:rFonts w:ascii="Garamond" w:hAnsi="Garamond" w:cs="Times New Roman"/>
                <w:sz w:val="18"/>
                <w:szCs w:val="18"/>
              </w:rPr>
            </w:pPr>
            <w:r w:rsidRPr="000761E2">
              <w:rPr>
                <w:rFonts w:ascii="Garamond" w:hAnsi="Garamond" w:cs="Times New Roman"/>
                <w:sz w:val="18"/>
                <w:szCs w:val="18"/>
              </w:rPr>
              <w:t>In lieu of Income Tax. Tax is paid by buying stickers on a quarterly basis.</w:t>
            </w:r>
          </w:p>
        </w:tc>
      </w:tr>
      <w:tr w:rsidR="005335C7" w:rsidRPr="00977858" w14:paraId="5C64835F" w14:textId="77777777" w:rsidTr="00894F2B">
        <w:trPr>
          <w:jc w:val="center"/>
        </w:trPr>
        <w:tc>
          <w:tcPr>
            <w:tcW w:w="2421" w:type="dxa"/>
            <w:tcBorders>
              <w:top w:val="single" w:sz="4" w:space="0" w:color="auto"/>
              <w:left w:val="single" w:sz="4" w:space="0" w:color="auto"/>
              <w:bottom w:val="single" w:sz="4" w:space="0" w:color="auto"/>
              <w:right w:val="single" w:sz="4" w:space="0" w:color="auto"/>
            </w:tcBorders>
            <w:hideMark/>
          </w:tcPr>
          <w:p w14:paraId="5794AD5A" w14:textId="77777777" w:rsidR="005335C7" w:rsidRPr="00977858" w:rsidRDefault="005335C7" w:rsidP="00894F2B">
            <w:pPr>
              <w:spacing w:after="0" w:line="240" w:lineRule="auto"/>
              <w:rPr>
                <w:rFonts w:ascii="Garamond" w:hAnsi="Garamond" w:cs="Times New Roman"/>
                <w:sz w:val="18"/>
                <w:szCs w:val="18"/>
              </w:rPr>
            </w:pPr>
            <w:r w:rsidRPr="00977858">
              <w:rPr>
                <w:rFonts w:ascii="Garamond" w:hAnsi="Garamond" w:cs="Times New Roman"/>
                <w:sz w:val="18"/>
                <w:szCs w:val="18"/>
              </w:rPr>
              <w:t>A5. Withholding Tax on dividend</w:t>
            </w:r>
          </w:p>
        </w:tc>
        <w:tc>
          <w:tcPr>
            <w:tcW w:w="3159" w:type="dxa"/>
            <w:tcBorders>
              <w:top w:val="single" w:sz="4" w:space="0" w:color="auto"/>
              <w:left w:val="single" w:sz="4" w:space="0" w:color="auto"/>
              <w:bottom w:val="single" w:sz="4" w:space="0" w:color="auto"/>
              <w:right w:val="single" w:sz="4" w:space="0" w:color="auto"/>
            </w:tcBorders>
            <w:hideMark/>
          </w:tcPr>
          <w:p w14:paraId="7DCB2976" w14:textId="77777777"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8% (general rate)</w:t>
            </w:r>
          </w:p>
        </w:tc>
        <w:tc>
          <w:tcPr>
            <w:tcW w:w="4140" w:type="dxa"/>
            <w:tcBorders>
              <w:top w:val="single" w:sz="4" w:space="0" w:color="auto"/>
              <w:left w:val="single" w:sz="4" w:space="0" w:color="auto"/>
              <w:bottom w:val="single" w:sz="4" w:space="0" w:color="auto"/>
              <w:right w:val="single" w:sz="4" w:space="0" w:color="auto"/>
            </w:tcBorders>
          </w:tcPr>
          <w:p w14:paraId="760296EA" w14:textId="77777777"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This is a f</w:t>
            </w:r>
            <w:r>
              <w:rPr>
                <w:rFonts w:ascii="Garamond" w:hAnsi="Garamond" w:cs="Times New Roman"/>
                <w:sz w:val="18"/>
                <w:szCs w:val="18"/>
              </w:rPr>
              <w:t>inal tax. Separate rates apply</w:t>
            </w:r>
            <w:r w:rsidRPr="00977858">
              <w:rPr>
                <w:rFonts w:ascii="Garamond" w:hAnsi="Garamond" w:cs="Times New Roman"/>
                <w:sz w:val="18"/>
                <w:szCs w:val="18"/>
              </w:rPr>
              <w:t xml:space="preserve"> under tax treaties with other countries.</w:t>
            </w:r>
          </w:p>
        </w:tc>
      </w:tr>
      <w:tr w:rsidR="005335C7" w:rsidRPr="00977858" w14:paraId="01D357C4" w14:textId="77777777" w:rsidTr="00894F2B">
        <w:trPr>
          <w:jc w:val="center"/>
        </w:trPr>
        <w:tc>
          <w:tcPr>
            <w:tcW w:w="2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10B0CD" w14:textId="77777777" w:rsidR="005335C7" w:rsidRPr="00977858" w:rsidRDefault="005335C7" w:rsidP="00894F2B">
            <w:pPr>
              <w:spacing w:after="0" w:line="240" w:lineRule="auto"/>
              <w:rPr>
                <w:rFonts w:ascii="Garamond" w:hAnsi="Garamond" w:cs="Times New Roman"/>
                <w:sz w:val="18"/>
                <w:szCs w:val="18"/>
              </w:rPr>
            </w:pPr>
            <w:r w:rsidRPr="00977858">
              <w:rPr>
                <w:rFonts w:ascii="Garamond" w:hAnsi="Garamond" w:cs="Times New Roman"/>
                <w:sz w:val="18"/>
                <w:szCs w:val="18"/>
              </w:rPr>
              <w:t>A6. Withholding Tax on Interest</w:t>
            </w:r>
          </w:p>
        </w:tc>
        <w:tc>
          <w:tcPr>
            <w:tcW w:w="31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5B616A" w14:textId="77777777"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8% (general rate)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B52183" w14:textId="77777777"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This is a final tax for non-residents but not in the case of r</w:t>
            </w:r>
            <w:r>
              <w:rPr>
                <w:rFonts w:ascii="Garamond" w:hAnsi="Garamond" w:cs="Times New Roman"/>
                <w:sz w:val="18"/>
                <w:szCs w:val="18"/>
              </w:rPr>
              <w:t>esidents. Separate rates apply</w:t>
            </w:r>
            <w:r w:rsidRPr="00977858">
              <w:rPr>
                <w:rFonts w:ascii="Garamond" w:hAnsi="Garamond" w:cs="Times New Roman"/>
                <w:sz w:val="18"/>
                <w:szCs w:val="18"/>
              </w:rPr>
              <w:t xml:space="preserve"> under tax treaties with other countries.</w:t>
            </w:r>
          </w:p>
        </w:tc>
      </w:tr>
      <w:tr w:rsidR="005335C7" w:rsidRPr="00977858" w14:paraId="01B18DEC" w14:textId="77777777" w:rsidTr="00894F2B">
        <w:trPr>
          <w:jc w:val="center"/>
        </w:trPr>
        <w:tc>
          <w:tcPr>
            <w:tcW w:w="2421" w:type="dxa"/>
            <w:tcBorders>
              <w:top w:val="single" w:sz="4" w:space="0" w:color="auto"/>
              <w:left w:val="single" w:sz="4" w:space="0" w:color="auto"/>
              <w:bottom w:val="single" w:sz="4" w:space="0" w:color="auto"/>
              <w:right w:val="single" w:sz="4" w:space="0" w:color="auto"/>
            </w:tcBorders>
            <w:hideMark/>
          </w:tcPr>
          <w:p w14:paraId="23DA9E05" w14:textId="77777777" w:rsidR="005335C7" w:rsidRPr="00977858" w:rsidRDefault="005335C7" w:rsidP="00894F2B">
            <w:pPr>
              <w:spacing w:after="0" w:line="240" w:lineRule="auto"/>
              <w:rPr>
                <w:rFonts w:ascii="Garamond" w:hAnsi="Garamond" w:cs="Times New Roman"/>
                <w:sz w:val="18"/>
                <w:szCs w:val="18"/>
              </w:rPr>
            </w:pPr>
            <w:r w:rsidRPr="00977858">
              <w:rPr>
                <w:rFonts w:ascii="Garamond" w:hAnsi="Garamond" w:cs="Times New Roman"/>
                <w:sz w:val="18"/>
                <w:szCs w:val="18"/>
              </w:rPr>
              <w:t>A7. Withholding Tax on Income of Non-Residents/Branch Tax</w:t>
            </w:r>
          </w:p>
        </w:tc>
        <w:tc>
          <w:tcPr>
            <w:tcW w:w="3159" w:type="dxa"/>
            <w:tcBorders>
              <w:top w:val="single" w:sz="4" w:space="0" w:color="auto"/>
              <w:left w:val="single" w:sz="4" w:space="0" w:color="auto"/>
              <w:bottom w:val="single" w:sz="4" w:space="0" w:color="auto"/>
              <w:right w:val="single" w:sz="4" w:space="0" w:color="auto"/>
            </w:tcBorders>
            <w:hideMark/>
          </w:tcPr>
          <w:p w14:paraId="14ECF8EB" w14:textId="77777777" w:rsidR="005335C7" w:rsidRPr="00977858" w:rsidRDefault="005335C7" w:rsidP="00894F2B">
            <w:pPr>
              <w:jc w:val="both"/>
              <w:rPr>
                <w:rFonts w:ascii="Garamond" w:hAnsi="Garamond" w:cs="Times New Roman"/>
                <w:sz w:val="18"/>
                <w:szCs w:val="18"/>
                <w:lang w:val="fr-FR"/>
              </w:rPr>
            </w:pPr>
            <w:r w:rsidRPr="00977858">
              <w:rPr>
                <w:rFonts w:ascii="Garamond" w:hAnsi="Garamond" w:cs="Times New Roman"/>
                <w:sz w:val="18"/>
                <w:szCs w:val="18"/>
                <w:lang w:val="fr-FR"/>
              </w:rPr>
              <w:t>10%</w:t>
            </w:r>
          </w:p>
        </w:tc>
        <w:tc>
          <w:tcPr>
            <w:tcW w:w="4140" w:type="dxa"/>
            <w:tcBorders>
              <w:top w:val="single" w:sz="4" w:space="0" w:color="auto"/>
              <w:left w:val="single" w:sz="4" w:space="0" w:color="auto"/>
              <w:bottom w:val="single" w:sz="4" w:space="0" w:color="auto"/>
              <w:right w:val="single" w:sz="4" w:space="0" w:color="auto"/>
            </w:tcBorders>
          </w:tcPr>
          <w:p w14:paraId="62160458" w14:textId="77777777" w:rsidR="005335C7" w:rsidRPr="00977858" w:rsidRDefault="005335C7" w:rsidP="00894F2B">
            <w:pPr>
              <w:jc w:val="both"/>
              <w:rPr>
                <w:rFonts w:ascii="Garamond" w:hAnsi="Garamond" w:cs="Times New Roman"/>
                <w:sz w:val="18"/>
                <w:szCs w:val="18"/>
                <w:lang w:val="fr-FR"/>
              </w:rPr>
            </w:pPr>
          </w:p>
        </w:tc>
      </w:tr>
      <w:tr w:rsidR="005335C7" w:rsidRPr="00977858" w14:paraId="09C1A654" w14:textId="77777777" w:rsidTr="00894F2B">
        <w:trPr>
          <w:jc w:val="center"/>
        </w:trPr>
        <w:tc>
          <w:tcPr>
            <w:tcW w:w="2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9E4412" w14:textId="77777777" w:rsidR="005335C7" w:rsidRPr="00977858" w:rsidRDefault="005335C7" w:rsidP="00894F2B">
            <w:pPr>
              <w:spacing w:after="0" w:line="240" w:lineRule="auto"/>
              <w:rPr>
                <w:rFonts w:ascii="Garamond" w:hAnsi="Garamond" w:cs="Times New Roman"/>
                <w:sz w:val="18"/>
                <w:szCs w:val="18"/>
              </w:rPr>
            </w:pPr>
            <w:r>
              <w:rPr>
                <w:rFonts w:ascii="Garamond" w:hAnsi="Garamond" w:cs="Times New Roman"/>
                <w:sz w:val="18"/>
                <w:szCs w:val="18"/>
              </w:rPr>
              <w:lastRenderedPageBreak/>
              <w:t xml:space="preserve">A8. Social Security </w:t>
            </w:r>
            <w:r w:rsidRPr="00977858">
              <w:rPr>
                <w:rFonts w:ascii="Garamond" w:hAnsi="Garamond" w:cs="Times New Roman"/>
                <w:sz w:val="18"/>
                <w:szCs w:val="18"/>
              </w:rPr>
              <w:t>Taxes</w:t>
            </w:r>
          </w:p>
        </w:tc>
        <w:tc>
          <w:tcPr>
            <w:tcW w:w="315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A615E6" w14:textId="77777777"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13% for employers, 5.5% for employees</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A2DB3E" w14:textId="77777777" w:rsidR="005335C7" w:rsidRPr="00977858" w:rsidRDefault="005335C7" w:rsidP="00894F2B">
            <w:pPr>
              <w:jc w:val="both"/>
              <w:rPr>
                <w:rFonts w:ascii="Garamond" w:hAnsi="Garamond" w:cs="Times New Roman"/>
                <w:sz w:val="18"/>
                <w:szCs w:val="18"/>
              </w:rPr>
            </w:pPr>
          </w:p>
        </w:tc>
      </w:tr>
      <w:tr w:rsidR="005335C7" w:rsidRPr="00977858" w14:paraId="576FC66B" w14:textId="77777777" w:rsidTr="00894F2B">
        <w:trPr>
          <w:jc w:val="center"/>
        </w:trPr>
        <w:tc>
          <w:tcPr>
            <w:tcW w:w="2421" w:type="dxa"/>
            <w:tcBorders>
              <w:top w:val="single" w:sz="4" w:space="0" w:color="auto"/>
              <w:left w:val="single" w:sz="4" w:space="0" w:color="auto"/>
              <w:bottom w:val="single" w:sz="4" w:space="0" w:color="auto"/>
              <w:right w:val="single" w:sz="4" w:space="0" w:color="auto"/>
            </w:tcBorders>
          </w:tcPr>
          <w:p w14:paraId="65169EF5" w14:textId="77777777" w:rsidR="005335C7" w:rsidRPr="00977858" w:rsidRDefault="005335C7" w:rsidP="00894F2B">
            <w:pPr>
              <w:spacing w:after="0" w:line="240" w:lineRule="auto"/>
              <w:rPr>
                <w:rFonts w:ascii="Garamond" w:hAnsi="Garamond" w:cs="Times New Roman"/>
                <w:sz w:val="18"/>
                <w:szCs w:val="18"/>
              </w:rPr>
            </w:pPr>
            <w:r w:rsidRPr="00977858">
              <w:rPr>
                <w:rFonts w:ascii="Garamond" w:hAnsi="Garamond" w:cs="Times New Roman"/>
                <w:sz w:val="18"/>
                <w:szCs w:val="18"/>
              </w:rPr>
              <w:t>A9. Carry Forward of Losses</w:t>
            </w:r>
          </w:p>
        </w:tc>
        <w:tc>
          <w:tcPr>
            <w:tcW w:w="3159" w:type="dxa"/>
            <w:tcBorders>
              <w:top w:val="single" w:sz="4" w:space="0" w:color="auto"/>
              <w:left w:val="single" w:sz="4" w:space="0" w:color="auto"/>
              <w:bottom w:val="single" w:sz="4" w:space="0" w:color="auto"/>
              <w:right w:val="single" w:sz="4" w:space="0" w:color="auto"/>
            </w:tcBorders>
          </w:tcPr>
          <w:p w14:paraId="2FDD10EB" w14:textId="77777777"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No Carry forward of losses are allowed except in the case of farming, mining, agro-processing, tourism, ICT and manufacturing exporters where it is 5 years</w:t>
            </w:r>
          </w:p>
        </w:tc>
        <w:tc>
          <w:tcPr>
            <w:tcW w:w="4140" w:type="dxa"/>
            <w:tcBorders>
              <w:top w:val="single" w:sz="4" w:space="0" w:color="auto"/>
              <w:left w:val="single" w:sz="4" w:space="0" w:color="auto"/>
              <w:bottom w:val="single" w:sz="4" w:space="0" w:color="auto"/>
              <w:right w:val="single" w:sz="4" w:space="0" w:color="auto"/>
            </w:tcBorders>
          </w:tcPr>
          <w:p w14:paraId="4EDEE122" w14:textId="77777777"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Indefinite carry forward applied in upstream oil and gas industry</w:t>
            </w:r>
          </w:p>
        </w:tc>
      </w:tr>
      <w:tr w:rsidR="005335C7" w:rsidRPr="00977858" w14:paraId="0F66B8F7" w14:textId="77777777" w:rsidTr="00894F2B">
        <w:trPr>
          <w:jc w:val="center"/>
        </w:trPr>
        <w:tc>
          <w:tcPr>
            <w:tcW w:w="2421" w:type="dxa"/>
            <w:tcBorders>
              <w:top w:val="single" w:sz="4" w:space="0" w:color="auto"/>
              <w:left w:val="single" w:sz="4" w:space="0" w:color="auto"/>
              <w:bottom w:val="single" w:sz="4" w:space="0" w:color="auto"/>
              <w:right w:val="single" w:sz="4" w:space="0" w:color="auto"/>
            </w:tcBorders>
            <w:shd w:val="clear" w:color="auto" w:fill="D9D9D9"/>
          </w:tcPr>
          <w:p w14:paraId="761BD461" w14:textId="77777777" w:rsidR="005335C7" w:rsidRPr="00977858" w:rsidRDefault="005335C7" w:rsidP="00894F2B">
            <w:pPr>
              <w:spacing w:after="0" w:line="240" w:lineRule="auto"/>
              <w:rPr>
                <w:rFonts w:ascii="Garamond" w:hAnsi="Garamond" w:cs="Times New Roman"/>
                <w:sz w:val="18"/>
                <w:szCs w:val="18"/>
              </w:rPr>
            </w:pPr>
            <w:r w:rsidRPr="00977858">
              <w:rPr>
                <w:rFonts w:ascii="Garamond" w:hAnsi="Garamond" w:cs="Times New Roman"/>
                <w:sz w:val="18"/>
                <w:szCs w:val="18"/>
              </w:rPr>
              <w:t>A10. Tax on Capital Gains</w:t>
            </w:r>
          </w:p>
        </w:tc>
        <w:tc>
          <w:tcPr>
            <w:tcW w:w="31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AF8174" w14:textId="77777777"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 xml:space="preserve"> 15%</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060E7D" w14:textId="77777777"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 xml:space="preserve">Capital Gain arising from the sale of Agricultural land and certain trading stock and depreciable assets are exempted. </w:t>
            </w:r>
          </w:p>
        </w:tc>
      </w:tr>
      <w:tr w:rsidR="005335C7" w:rsidRPr="00977858" w14:paraId="4DA5329F" w14:textId="77777777" w:rsidTr="00894F2B">
        <w:tblPrEx>
          <w:shd w:val="clear" w:color="auto" w:fill="D0CECE"/>
          <w:tblCellMar>
            <w:left w:w="0" w:type="dxa"/>
            <w:right w:w="0" w:type="dxa"/>
          </w:tblCellMar>
        </w:tblPrEx>
        <w:trPr>
          <w:jc w:val="center"/>
        </w:trPr>
        <w:tc>
          <w:tcPr>
            <w:tcW w:w="24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2D29067" w14:textId="77777777" w:rsidR="005335C7" w:rsidRPr="00977858" w:rsidRDefault="005335C7" w:rsidP="00894F2B">
            <w:pPr>
              <w:pStyle w:val="ListParagraph"/>
              <w:numPr>
                <w:ilvl w:val="0"/>
                <w:numId w:val="2"/>
              </w:numPr>
              <w:spacing w:before="240"/>
              <w:rPr>
                <w:sz w:val="18"/>
                <w:szCs w:val="18"/>
              </w:rPr>
            </w:pPr>
            <w:r w:rsidRPr="00977858">
              <w:rPr>
                <w:sz w:val="18"/>
                <w:szCs w:val="18"/>
              </w:rPr>
              <w:t>Value Added Tax</w:t>
            </w:r>
          </w:p>
        </w:tc>
        <w:tc>
          <w:tcPr>
            <w:tcW w:w="31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2FAB3DC" w14:textId="77777777"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15%</w:t>
            </w:r>
          </w:p>
        </w:tc>
        <w:tc>
          <w:tcPr>
            <w:tcW w:w="4140" w:type="dxa"/>
            <w:tcBorders>
              <w:top w:val="single" w:sz="4" w:space="0" w:color="auto"/>
              <w:left w:val="single" w:sz="4" w:space="0" w:color="auto"/>
              <w:bottom w:val="single" w:sz="4" w:space="0" w:color="auto"/>
              <w:right w:val="single" w:sz="4" w:space="0" w:color="auto"/>
            </w:tcBorders>
            <w:shd w:val="clear" w:color="auto" w:fill="FFFFFF" w:themeFill="background1"/>
          </w:tcPr>
          <w:p w14:paraId="36D2BCE3" w14:textId="77777777" w:rsidR="005335C7" w:rsidRPr="00977858" w:rsidRDefault="005335C7" w:rsidP="00894F2B">
            <w:pPr>
              <w:jc w:val="both"/>
              <w:rPr>
                <w:rFonts w:ascii="Garamond" w:hAnsi="Garamond" w:cs="Times New Roman"/>
                <w:sz w:val="18"/>
                <w:szCs w:val="18"/>
              </w:rPr>
            </w:pPr>
          </w:p>
        </w:tc>
      </w:tr>
      <w:tr w:rsidR="005335C7" w:rsidRPr="00977858" w14:paraId="18AE9C57" w14:textId="77777777" w:rsidTr="00894F2B">
        <w:tblPrEx>
          <w:shd w:val="clear" w:color="auto" w:fill="D0CECE"/>
          <w:tblCellMar>
            <w:left w:w="0" w:type="dxa"/>
            <w:right w:w="0" w:type="dxa"/>
          </w:tblCellMar>
        </w:tblPrEx>
        <w:trPr>
          <w:jc w:val="center"/>
        </w:trPr>
        <w:tc>
          <w:tcPr>
            <w:tcW w:w="2421" w:type="dxa"/>
            <w:tcBorders>
              <w:top w:val="single" w:sz="4" w:space="0" w:color="auto"/>
              <w:left w:val="single" w:sz="4" w:space="0" w:color="auto"/>
              <w:bottom w:val="single" w:sz="4" w:space="0" w:color="auto"/>
              <w:right w:val="single" w:sz="4" w:space="0" w:color="auto"/>
            </w:tcBorders>
            <w:shd w:val="clear" w:color="auto" w:fill="D9D9D9"/>
          </w:tcPr>
          <w:p w14:paraId="5593D5A7" w14:textId="77777777" w:rsidR="005335C7" w:rsidRPr="00977858" w:rsidRDefault="005335C7" w:rsidP="00894F2B">
            <w:pPr>
              <w:pStyle w:val="ListParagraph"/>
              <w:numPr>
                <w:ilvl w:val="0"/>
                <w:numId w:val="0"/>
              </w:numPr>
              <w:rPr>
                <w:sz w:val="18"/>
                <w:szCs w:val="18"/>
              </w:rPr>
            </w:pPr>
            <w:r w:rsidRPr="00977858">
              <w:rPr>
                <w:sz w:val="18"/>
                <w:szCs w:val="18"/>
              </w:rPr>
              <w:t>C. National Health Insurance Levy</w:t>
            </w:r>
          </w:p>
        </w:tc>
        <w:tc>
          <w:tcPr>
            <w:tcW w:w="3159" w:type="dxa"/>
            <w:tcBorders>
              <w:top w:val="single" w:sz="4" w:space="0" w:color="auto"/>
              <w:left w:val="single" w:sz="4" w:space="0" w:color="auto"/>
              <w:bottom w:val="single" w:sz="4" w:space="0" w:color="auto"/>
              <w:right w:val="single" w:sz="4" w:space="0" w:color="auto"/>
            </w:tcBorders>
            <w:shd w:val="clear" w:color="auto" w:fill="D9D9D9"/>
          </w:tcPr>
          <w:p w14:paraId="237843FB" w14:textId="77777777"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2.5% of the VAT base</w:t>
            </w:r>
          </w:p>
        </w:tc>
        <w:tc>
          <w:tcPr>
            <w:tcW w:w="4140" w:type="dxa"/>
            <w:tcBorders>
              <w:top w:val="single" w:sz="4" w:space="0" w:color="auto"/>
              <w:left w:val="single" w:sz="4" w:space="0" w:color="auto"/>
              <w:bottom w:val="single" w:sz="4" w:space="0" w:color="auto"/>
              <w:right w:val="single" w:sz="4" w:space="0" w:color="auto"/>
            </w:tcBorders>
            <w:shd w:val="clear" w:color="auto" w:fill="D9D9D9"/>
          </w:tcPr>
          <w:p w14:paraId="57D4C5A1" w14:textId="77777777" w:rsidR="005335C7" w:rsidRPr="00977858" w:rsidRDefault="005335C7" w:rsidP="00894F2B">
            <w:pPr>
              <w:jc w:val="both"/>
              <w:rPr>
                <w:rFonts w:ascii="Garamond" w:hAnsi="Garamond" w:cs="Times New Roman"/>
                <w:sz w:val="18"/>
                <w:szCs w:val="18"/>
              </w:rPr>
            </w:pPr>
          </w:p>
        </w:tc>
      </w:tr>
      <w:tr w:rsidR="005335C7" w:rsidRPr="00977858" w14:paraId="5601D31D" w14:textId="77777777" w:rsidTr="00894F2B">
        <w:tblPrEx>
          <w:shd w:val="clear" w:color="auto" w:fill="D0CECE"/>
          <w:tblCellMar>
            <w:left w:w="0" w:type="dxa"/>
            <w:right w:w="0" w:type="dxa"/>
          </w:tblCellMar>
        </w:tblPrEx>
        <w:trPr>
          <w:jc w:val="center"/>
        </w:trPr>
        <w:tc>
          <w:tcPr>
            <w:tcW w:w="24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B069D4" w14:textId="77777777"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D. Taxes on Import</w:t>
            </w:r>
          </w:p>
        </w:tc>
        <w:tc>
          <w:tcPr>
            <w:tcW w:w="3159" w:type="dxa"/>
            <w:tcBorders>
              <w:top w:val="single" w:sz="4" w:space="0" w:color="auto"/>
              <w:left w:val="single" w:sz="4" w:space="0" w:color="auto"/>
              <w:bottom w:val="single" w:sz="4" w:space="0" w:color="auto"/>
              <w:right w:val="single" w:sz="4" w:space="0" w:color="auto"/>
            </w:tcBorders>
            <w:shd w:val="clear" w:color="auto" w:fill="FFFFFF" w:themeFill="background1"/>
          </w:tcPr>
          <w:p w14:paraId="73D8DB01" w14:textId="77777777" w:rsidR="005335C7" w:rsidRPr="00977858" w:rsidRDefault="005335C7" w:rsidP="00894F2B">
            <w:pPr>
              <w:jc w:val="both"/>
              <w:rPr>
                <w:rFonts w:ascii="Garamond" w:hAnsi="Garamond" w:cs="Times New Roman"/>
                <w:sz w:val="18"/>
                <w:szCs w:val="18"/>
              </w:rPr>
            </w:pPr>
          </w:p>
        </w:tc>
        <w:tc>
          <w:tcPr>
            <w:tcW w:w="4140" w:type="dxa"/>
            <w:tcBorders>
              <w:top w:val="single" w:sz="4" w:space="0" w:color="auto"/>
              <w:left w:val="single" w:sz="4" w:space="0" w:color="auto"/>
              <w:bottom w:val="single" w:sz="4" w:space="0" w:color="auto"/>
              <w:right w:val="single" w:sz="4" w:space="0" w:color="auto"/>
            </w:tcBorders>
            <w:shd w:val="clear" w:color="auto" w:fill="FFFFFF" w:themeFill="background1"/>
          </w:tcPr>
          <w:p w14:paraId="6156B244" w14:textId="77777777" w:rsidR="005335C7" w:rsidRPr="00977858" w:rsidRDefault="005335C7" w:rsidP="00894F2B">
            <w:pPr>
              <w:jc w:val="both"/>
              <w:rPr>
                <w:rFonts w:ascii="Garamond" w:hAnsi="Garamond" w:cs="Times New Roman"/>
                <w:sz w:val="18"/>
                <w:szCs w:val="18"/>
              </w:rPr>
            </w:pPr>
          </w:p>
        </w:tc>
      </w:tr>
      <w:tr w:rsidR="005335C7" w:rsidRPr="00977858" w14:paraId="7693DFBA" w14:textId="77777777" w:rsidTr="00894F2B">
        <w:tblPrEx>
          <w:shd w:val="clear" w:color="auto" w:fill="D0CECE"/>
          <w:tblCellMar>
            <w:left w:w="0" w:type="dxa"/>
            <w:right w:w="0" w:type="dxa"/>
          </w:tblCellMar>
        </w:tblPrEx>
        <w:trPr>
          <w:jc w:val="center"/>
        </w:trPr>
        <w:tc>
          <w:tcPr>
            <w:tcW w:w="2421" w:type="dxa"/>
            <w:tcBorders>
              <w:top w:val="single" w:sz="4" w:space="0" w:color="auto"/>
              <w:left w:val="single" w:sz="4" w:space="0" w:color="auto"/>
              <w:bottom w:val="single" w:sz="4" w:space="0" w:color="auto"/>
              <w:right w:val="single" w:sz="4" w:space="0" w:color="auto"/>
            </w:tcBorders>
            <w:shd w:val="clear" w:color="auto" w:fill="D9D9D9"/>
            <w:hideMark/>
          </w:tcPr>
          <w:p w14:paraId="1F0CD568" w14:textId="77777777" w:rsidR="005335C7" w:rsidRPr="00977858" w:rsidRDefault="005335C7" w:rsidP="00894F2B">
            <w:pPr>
              <w:spacing w:after="0" w:line="240" w:lineRule="auto"/>
              <w:jc w:val="both"/>
              <w:rPr>
                <w:rFonts w:ascii="Garamond" w:hAnsi="Garamond" w:cs="Times New Roman"/>
                <w:sz w:val="18"/>
                <w:szCs w:val="18"/>
              </w:rPr>
            </w:pPr>
            <w:r w:rsidRPr="00977858">
              <w:rPr>
                <w:rFonts w:ascii="Garamond" w:hAnsi="Garamond" w:cs="Times New Roman"/>
                <w:sz w:val="18"/>
                <w:szCs w:val="18"/>
              </w:rPr>
              <w:t>D1. Customs Duty</w:t>
            </w:r>
          </w:p>
        </w:tc>
        <w:tc>
          <w:tcPr>
            <w:tcW w:w="3159" w:type="dxa"/>
            <w:tcBorders>
              <w:top w:val="single" w:sz="4" w:space="0" w:color="auto"/>
              <w:left w:val="single" w:sz="4" w:space="0" w:color="auto"/>
              <w:bottom w:val="single" w:sz="4" w:space="0" w:color="auto"/>
              <w:right w:val="single" w:sz="4" w:space="0" w:color="auto"/>
            </w:tcBorders>
            <w:shd w:val="clear" w:color="auto" w:fill="D9D9D9"/>
            <w:hideMark/>
          </w:tcPr>
          <w:p w14:paraId="4A63B067" w14:textId="77777777" w:rsidR="005335C7" w:rsidRPr="00977858" w:rsidRDefault="005335C7" w:rsidP="00894F2B">
            <w:pPr>
              <w:jc w:val="both"/>
              <w:rPr>
                <w:rFonts w:ascii="Garamond" w:hAnsi="Garamond" w:cs="Times New Roman"/>
                <w:sz w:val="18"/>
                <w:szCs w:val="18"/>
                <w:lang w:val="fr-FR"/>
              </w:rPr>
            </w:pPr>
            <w:r w:rsidRPr="00977858">
              <w:rPr>
                <w:rFonts w:ascii="Garamond" w:hAnsi="Garamond" w:cs="Times New Roman"/>
                <w:sz w:val="18"/>
                <w:szCs w:val="18"/>
                <w:lang w:val="fr-FR"/>
              </w:rPr>
              <w:t>0% to 20% of CIF</w:t>
            </w:r>
          </w:p>
        </w:tc>
        <w:tc>
          <w:tcPr>
            <w:tcW w:w="4140" w:type="dxa"/>
            <w:tcBorders>
              <w:top w:val="single" w:sz="4" w:space="0" w:color="auto"/>
              <w:left w:val="single" w:sz="4" w:space="0" w:color="auto"/>
              <w:bottom w:val="single" w:sz="4" w:space="0" w:color="auto"/>
              <w:right w:val="single" w:sz="4" w:space="0" w:color="auto"/>
            </w:tcBorders>
            <w:shd w:val="clear" w:color="auto" w:fill="D9D9D9"/>
          </w:tcPr>
          <w:p w14:paraId="6D732D0B" w14:textId="77777777" w:rsidR="005335C7" w:rsidRPr="000761E2" w:rsidRDefault="005335C7" w:rsidP="00894F2B">
            <w:pPr>
              <w:jc w:val="both"/>
              <w:rPr>
                <w:rFonts w:ascii="Garamond" w:hAnsi="Garamond" w:cs="Times New Roman"/>
                <w:sz w:val="18"/>
                <w:szCs w:val="18"/>
              </w:rPr>
            </w:pPr>
            <w:r w:rsidRPr="000761E2">
              <w:rPr>
                <w:rFonts w:ascii="Garamond" w:hAnsi="Garamond" w:cs="Times New Roman"/>
                <w:sz w:val="18"/>
                <w:szCs w:val="18"/>
              </w:rPr>
              <w:t>VAT at 17.5% is charged on imports which is credited against VAT paid on sale</w:t>
            </w:r>
          </w:p>
        </w:tc>
      </w:tr>
      <w:tr w:rsidR="005335C7" w:rsidRPr="00977858" w14:paraId="54668F73" w14:textId="77777777" w:rsidTr="00894F2B">
        <w:tblPrEx>
          <w:shd w:val="clear" w:color="auto" w:fill="D0CECE"/>
          <w:tblCellMar>
            <w:left w:w="0" w:type="dxa"/>
            <w:right w:w="0" w:type="dxa"/>
          </w:tblCellMar>
        </w:tblPrEx>
        <w:trPr>
          <w:jc w:val="center"/>
        </w:trPr>
        <w:tc>
          <w:tcPr>
            <w:tcW w:w="24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FACF98" w14:textId="77777777" w:rsidR="005335C7" w:rsidRPr="00977858" w:rsidRDefault="005335C7" w:rsidP="00894F2B">
            <w:pPr>
              <w:spacing w:after="0" w:line="240" w:lineRule="auto"/>
              <w:jc w:val="both"/>
              <w:rPr>
                <w:rFonts w:ascii="Garamond" w:hAnsi="Garamond" w:cs="Times New Roman"/>
                <w:sz w:val="18"/>
                <w:szCs w:val="18"/>
                <w:lang w:val="fr-FR"/>
              </w:rPr>
            </w:pPr>
            <w:r w:rsidRPr="00977858">
              <w:rPr>
                <w:rFonts w:ascii="Garamond" w:hAnsi="Garamond" w:cs="Times New Roman"/>
                <w:sz w:val="18"/>
                <w:szCs w:val="18"/>
                <w:lang w:val="fr-FR"/>
              </w:rPr>
              <w:t>D2. Processing Fee</w:t>
            </w:r>
          </w:p>
        </w:tc>
        <w:tc>
          <w:tcPr>
            <w:tcW w:w="31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FAB8C9" w14:textId="77777777" w:rsidR="005335C7" w:rsidRPr="00977858" w:rsidRDefault="005335C7" w:rsidP="00894F2B">
            <w:pPr>
              <w:jc w:val="both"/>
              <w:rPr>
                <w:rFonts w:ascii="Garamond" w:hAnsi="Garamond" w:cs="Times New Roman"/>
                <w:sz w:val="18"/>
                <w:szCs w:val="18"/>
                <w:lang w:val="fr-FR"/>
              </w:rPr>
            </w:pPr>
            <w:r w:rsidRPr="00977858">
              <w:rPr>
                <w:rFonts w:ascii="Garamond" w:hAnsi="Garamond" w:cs="Times New Roman"/>
                <w:sz w:val="18"/>
                <w:szCs w:val="18"/>
                <w:lang w:val="fr-FR"/>
              </w:rPr>
              <w:t>1% of CIF</w:t>
            </w:r>
          </w:p>
        </w:tc>
        <w:tc>
          <w:tcPr>
            <w:tcW w:w="4140" w:type="dxa"/>
            <w:tcBorders>
              <w:top w:val="single" w:sz="4" w:space="0" w:color="auto"/>
              <w:left w:val="single" w:sz="4" w:space="0" w:color="auto"/>
              <w:bottom w:val="single" w:sz="4" w:space="0" w:color="auto"/>
              <w:right w:val="single" w:sz="4" w:space="0" w:color="auto"/>
            </w:tcBorders>
            <w:shd w:val="clear" w:color="auto" w:fill="FFFFFF" w:themeFill="background1"/>
          </w:tcPr>
          <w:p w14:paraId="068FC433" w14:textId="77777777" w:rsidR="005335C7" w:rsidRPr="000761E2" w:rsidRDefault="005335C7" w:rsidP="00894F2B">
            <w:pPr>
              <w:jc w:val="both"/>
              <w:rPr>
                <w:rFonts w:ascii="Garamond" w:hAnsi="Garamond" w:cs="Times New Roman"/>
                <w:sz w:val="18"/>
                <w:szCs w:val="18"/>
              </w:rPr>
            </w:pPr>
            <w:r w:rsidRPr="000761E2">
              <w:rPr>
                <w:rFonts w:ascii="Garamond" w:hAnsi="Garamond" w:cs="Times New Roman"/>
                <w:sz w:val="18"/>
                <w:szCs w:val="18"/>
              </w:rPr>
              <w:t>CIF – Cost, Insurance and Freight</w:t>
            </w:r>
          </w:p>
        </w:tc>
      </w:tr>
      <w:tr w:rsidR="005335C7" w:rsidRPr="00977858" w14:paraId="13EA955D" w14:textId="77777777" w:rsidTr="00894F2B">
        <w:tblPrEx>
          <w:shd w:val="clear" w:color="auto" w:fill="D0CECE"/>
          <w:tblCellMar>
            <w:left w:w="0" w:type="dxa"/>
            <w:right w:w="0" w:type="dxa"/>
          </w:tblCellMar>
        </w:tblPrEx>
        <w:trPr>
          <w:jc w:val="center"/>
        </w:trPr>
        <w:tc>
          <w:tcPr>
            <w:tcW w:w="2421" w:type="dxa"/>
            <w:tcBorders>
              <w:top w:val="single" w:sz="4" w:space="0" w:color="auto"/>
              <w:left w:val="single" w:sz="4" w:space="0" w:color="auto"/>
              <w:bottom w:val="single" w:sz="4" w:space="0" w:color="auto"/>
              <w:right w:val="single" w:sz="4" w:space="0" w:color="auto"/>
            </w:tcBorders>
            <w:shd w:val="clear" w:color="auto" w:fill="D9D9D9"/>
            <w:hideMark/>
          </w:tcPr>
          <w:p w14:paraId="7D9A0E15" w14:textId="77777777" w:rsidR="005335C7" w:rsidRPr="00977858" w:rsidRDefault="005335C7" w:rsidP="00894F2B">
            <w:pPr>
              <w:spacing w:after="0" w:line="240" w:lineRule="auto"/>
              <w:jc w:val="both"/>
              <w:rPr>
                <w:rFonts w:ascii="Garamond" w:hAnsi="Garamond" w:cs="Times New Roman"/>
                <w:sz w:val="18"/>
                <w:szCs w:val="18"/>
                <w:lang w:val="fr-FR"/>
              </w:rPr>
            </w:pPr>
            <w:r w:rsidRPr="00977858">
              <w:rPr>
                <w:rFonts w:ascii="Garamond" w:hAnsi="Garamond" w:cs="Times New Roman"/>
                <w:sz w:val="18"/>
                <w:szCs w:val="18"/>
                <w:lang w:val="fr-FR"/>
              </w:rPr>
              <w:t>D3. Inspection Fee</w:t>
            </w:r>
          </w:p>
        </w:tc>
        <w:tc>
          <w:tcPr>
            <w:tcW w:w="3159" w:type="dxa"/>
            <w:tcBorders>
              <w:top w:val="single" w:sz="4" w:space="0" w:color="auto"/>
              <w:left w:val="single" w:sz="4" w:space="0" w:color="auto"/>
              <w:bottom w:val="single" w:sz="4" w:space="0" w:color="auto"/>
              <w:right w:val="single" w:sz="4" w:space="0" w:color="auto"/>
            </w:tcBorders>
            <w:shd w:val="clear" w:color="auto" w:fill="D9D9D9"/>
            <w:hideMark/>
          </w:tcPr>
          <w:p w14:paraId="1A1B3DA2" w14:textId="77777777" w:rsidR="005335C7" w:rsidRPr="00977858" w:rsidRDefault="005335C7" w:rsidP="00894F2B">
            <w:pPr>
              <w:jc w:val="both"/>
              <w:rPr>
                <w:rFonts w:ascii="Garamond" w:hAnsi="Garamond" w:cs="Times New Roman"/>
                <w:sz w:val="18"/>
                <w:szCs w:val="18"/>
                <w:lang w:val="fr-FR"/>
              </w:rPr>
            </w:pPr>
            <w:r w:rsidRPr="00977858">
              <w:rPr>
                <w:rFonts w:ascii="Garamond" w:hAnsi="Garamond" w:cs="Times New Roman"/>
                <w:sz w:val="18"/>
                <w:szCs w:val="18"/>
                <w:lang w:val="fr-FR"/>
              </w:rPr>
              <w:t>1% of CIF</w:t>
            </w:r>
          </w:p>
        </w:tc>
        <w:tc>
          <w:tcPr>
            <w:tcW w:w="4140" w:type="dxa"/>
            <w:tcBorders>
              <w:top w:val="single" w:sz="4" w:space="0" w:color="auto"/>
              <w:left w:val="single" w:sz="4" w:space="0" w:color="auto"/>
              <w:bottom w:val="single" w:sz="4" w:space="0" w:color="auto"/>
              <w:right w:val="single" w:sz="4" w:space="0" w:color="auto"/>
            </w:tcBorders>
            <w:shd w:val="clear" w:color="auto" w:fill="D9D9D9"/>
          </w:tcPr>
          <w:p w14:paraId="22182906" w14:textId="77777777" w:rsidR="005335C7" w:rsidRPr="00977858" w:rsidRDefault="005335C7" w:rsidP="00894F2B">
            <w:pPr>
              <w:jc w:val="both"/>
              <w:rPr>
                <w:rFonts w:ascii="Garamond" w:hAnsi="Garamond" w:cs="Times New Roman"/>
                <w:sz w:val="18"/>
                <w:szCs w:val="18"/>
                <w:lang w:val="fr-FR"/>
              </w:rPr>
            </w:pPr>
          </w:p>
        </w:tc>
      </w:tr>
      <w:tr w:rsidR="005335C7" w:rsidRPr="00977858" w14:paraId="7D1A36A8" w14:textId="77777777" w:rsidTr="00894F2B">
        <w:tblPrEx>
          <w:shd w:val="clear" w:color="auto" w:fill="D0CECE"/>
          <w:tblCellMar>
            <w:left w:w="0" w:type="dxa"/>
            <w:right w:w="0" w:type="dxa"/>
          </w:tblCellMar>
        </w:tblPrEx>
        <w:trPr>
          <w:trHeight w:val="557"/>
          <w:jc w:val="center"/>
        </w:trPr>
        <w:tc>
          <w:tcPr>
            <w:tcW w:w="2421" w:type="dxa"/>
            <w:tcBorders>
              <w:top w:val="single" w:sz="4" w:space="0" w:color="auto"/>
              <w:left w:val="single" w:sz="4" w:space="0" w:color="auto"/>
              <w:bottom w:val="single" w:sz="4" w:space="0" w:color="auto"/>
              <w:right w:val="single" w:sz="4" w:space="0" w:color="auto"/>
            </w:tcBorders>
            <w:shd w:val="clear" w:color="auto" w:fill="FFFFFF" w:themeFill="background1"/>
          </w:tcPr>
          <w:p w14:paraId="2970BD85" w14:textId="77777777" w:rsidR="005335C7" w:rsidRPr="00977858" w:rsidRDefault="005335C7" w:rsidP="00894F2B">
            <w:pPr>
              <w:spacing w:after="0" w:line="240" w:lineRule="auto"/>
              <w:jc w:val="both"/>
              <w:rPr>
                <w:rFonts w:ascii="Garamond" w:hAnsi="Garamond" w:cs="Times New Roman"/>
                <w:sz w:val="18"/>
                <w:szCs w:val="18"/>
                <w:lang w:val="fr-FR"/>
              </w:rPr>
            </w:pPr>
            <w:r w:rsidRPr="00977858">
              <w:rPr>
                <w:rFonts w:ascii="Garamond" w:hAnsi="Garamond" w:cs="Times New Roman"/>
                <w:sz w:val="18"/>
                <w:szCs w:val="18"/>
                <w:lang w:val="fr-FR"/>
              </w:rPr>
              <w:t>D4. Network charge</w:t>
            </w:r>
          </w:p>
        </w:tc>
        <w:tc>
          <w:tcPr>
            <w:tcW w:w="3159" w:type="dxa"/>
            <w:tcBorders>
              <w:top w:val="single" w:sz="4" w:space="0" w:color="auto"/>
              <w:left w:val="single" w:sz="4" w:space="0" w:color="auto"/>
              <w:bottom w:val="single" w:sz="4" w:space="0" w:color="auto"/>
              <w:right w:val="single" w:sz="4" w:space="0" w:color="auto"/>
            </w:tcBorders>
            <w:shd w:val="clear" w:color="auto" w:fill="FFFFFF" w:themeFill="background1"/>
          </w:tcPr>
          <w:p w14:paraId="65235BA6" w14:textId="77777777" w:rsidR="005335C7" w:rsidRPr="00977858" w:rsidRDefault="005335C7" w:rsidP="00894F2B">
            <w:pPr>
              <w:jc w:val="both"/>
              <w:rPr>
                <w:rFonts w:ascii="Garamond" w:hAnsi="Garamond" w:cs="Times New Roman"/>
                <w:sz w:val="18"/>
                <w:szCs w:val="18"/>
                <w:lang w:val="fr-FR"/>
              </w:rPr>
            </w:pPr>
            <w:r w:rsidRPr="00977858">
              <w:rPr>
                <w:rFonts w:ascii="Garamond" w:hAnsi="Garamond" w:cs="Times New Roman"/>
                <w:sz w:val="18"/>
                <w:szCs w:val="18"/>
                <w:lang w:val="fr-FR"/>
              </w:rPr>
              <w:t>0.45% of FOB</w:t>
            </w:r>
          </w:p>
        </w:tc>
        <w:tc>
          <w:tcPr>
            <w:tcW w:w="4140" w:type="dxa"/>
            <w:tcBorders>
              <w:top w:val="single" w:sz="4" w:space="0" w:color="auto"/>
              <w:left w:val="single" w:sz="4" w:space="0" w:color="auto"/>
              <w:bottom w:val="single" w:sz="4" w:space="0" w:color="auto"/>
              <w:right w:val="single" w:sz="4" w:space="0" w:color="auto"/>
            </w:tcBorders>
            <w:shd w:val="clear" w:color="auto" w:fill="FFFFFF" w:themeFill="background1"/>
          </w:tcPr>
          <w:p w14:paraId="187FE253" w14:textId="77777777" w:rsidR="005335C7" w:rsidRPr="00977858" w:rsidRDefault="005335C7" w:rsidP="00894F2B">
            <w:pPr>
              <w:jc w:val="both"/>
              <w:rPr>
                <w:rFonts w:ascii="Garamond" w:hAnsi="Garamond" w:cs="Times New Roman"/>
                <w:sz w:val="18"/>
                <w:szCs w:val="18"/>
                <w:lang w:val="fr-FR"/>
              </w:rPr>
            </w:pPr>
            <w:r w:rsidRPr="00977858">
              <w:rPr>
                <w:rFonts w:ascii="Garamond" w:hAnsi="Garamond" w:cs="Times New Roman"/>
                <w:sz w:val="18"/>
                <w:szCs w:val="18"/>
                <w:lang w:val="fr-FR"/>
              </w:rPr>
              <w:t>FOB – Freight on Board</w:t>
            </w:r>
          </w:p>
        </w:tc>
      </w:tr>
      <w:tr w:rsidR="005335C7" w:rsidRPr="00977858" w14:paraId="740772A8" w14:textId="77777777" w:rsidTr="00894F2B">
        <w:tblPrEx>
          <w:shd w:val="clear" w:color="auto" w:fill="D0CECE"/>
          <w:tblCellMar>
            <w:left w:w="0" w:type="dxa"/>
            <w:right w:w="0" w:type="dxa"/>
          </w:tblCellMar>
        </w:tblPrEx>
        <w:trPr>
          <w:trHeight w:val="557"/>
          <w:jc w:val="center"/>
        </w:trPr>
        <w:tc>
          <w:tcPr>
            <w:tcW w:w="2421" w:type="dxa"/>
            <w:tcBorders>
              <w:top w:val="single" w:sz="4" w:space="0" w:color="auto"/>
              <w:left w:val="single" w:sz="4" w:space="0" w:color="auto"/>
              <w:bottom w:val="single" w:sz="4" w:space="0" w:color="auto"/>
              <w:right w:val="single" w:sz="4" w:space="0" w:color="auto"/>
            </w:tcBorders>
            <w:shd w:val="clear" w:color="auto" w:fill="D9D9D9"/>
          </w:tcPr>
          <w:p w14:paraId="71AFC72F" w14:textId="77777777" w:rsidR="005335C7" w:rsidRPr="00977858" w:rsidRDefault="005335C7" w:rsidP="00894F2B">
            <w:pPr>
              <w:spacing w:after="0" w:line="240" w:lineRule="auto"/>
              <w:jc w:val="both"/>
              <w:rPr>
                <w:rFonts w:ascii="Garamond" w:hAnsi="Garamond" w:cs="Times New Roman"/>
                <w:sz w:val="18"/>
                <w:szCs w:val="18"/>
                <w:lang w:val="fr-FR"/>
              </w:rPr>
            </w:pPr>
            <w:r w:rsidRPr="00977858">
              <w:rPr>
                <w:rFonts w:ascii="Garamond" w:hAnsi="Garamond" w:cs="Times New Roman"/>
                <w:sz w:val="18"/>
                <w:szCs w:val="18"/>
                <w:lang w:val="fr-FR"/>
              </w:rPr>
              <w:t>D5 .EDIF Levy</w:t>
            </w:r>
          </w:p>
        </w:tc>
        <w:tc>
          <w:tcPr>
            <w:tcW w:w="3159" w:type="dxa"/>
            <w:tcBorders>
              <w:top w:val="single" w:sz="4" w:space="0" w:color="auto"/>
              <w:left w:val="single" w:sz="4" w:space="0" w:color="auto"/>
              <w:bottom w:val="single" w:sz="4" w:space="0" w:color="auto"/>
              <w:right w:val="single" w:sz="4" w:space="0" w:color="auto"/>
            </w:tcBorders>
            <w:shd w:val="clear" w:color="auto" w:fill="D9D9D9"/>
          </w:tcPr>
          <w:p w14:paraId="7F795586" w14:textId="77777777" w:rsidR="005335C7" w:rsidRPr="00977858" w:rsidRDefault="005335C7" w:rsidP="00894F2B">
            <w:pPr>
              <w:jc w:val="both"/>
              <w:rPr>
                <w:rFonts w:ascii="Garamond" w:hAnsi="Garamond" w:cs="Times New Roman"/>
                <w:sz w:val="18"/>
                <w:szCs w:val="18"/>
                <w:lang w:val="fr-FR"/>
              </w:rPr>
            </w:pPr>
            <w:r w:rsidRPr="00977858">
              <w:rPr>
                <w:rFonts w:ascii="Garamond" w:hAnsi="Garamond" w:cs="Times New Roman"/>
                <w:sz w:val="18"/>
                <w:szCs w:val="18"/>
                <w:lang w:val="fr-FR"/>
              </w:rPr>
              <w:t>0.5% of CIF</w:t>
            </w:r>
          </w:p>
        </w:tc>
        <w:tc>
          <w:tcPr>
            <w:tcW w:w="4140" w:type="dxa"/>
            <w:tcBorders>
              <w:top w:val="single" w:sz="4" w:space="0" w:color="auto"/>
              <w:left w:val="single" w:sz="4" w:space="0" w:color="auto"/>
              <w:bottom w:val="single" w:sz="4" w:space="0" w:color="auto"/>
              <w:right w:val="single" w:sz="4" w:space="0" w:color="auto"/>
            </w:tcBorders>
            <w:shd w:val="clear" w:color="auto" w:fill="D9D9D9"/>
          </w:tcPr>
          <w:p w14:paraId="6CD2F4D5" w14:textId="77777777" w:rsidR="005335C7" w:rsidRPr="00977858" w:rsidRDefault="005335C7" w:rsidP="00894F2B">
            <w:pPr>
              <w:jc w:val="both"/>
              <w:rPr>
                <w:rFonts w:ascii="Garamond" w:hAnsi="Garamond" w:cs="Times New Roman"/>
                <w:sz w:val="18"/>
                <w:szCs w:val="18"/>
                <w:lang w:val="fr-FR"/>
              </w:rPr>
            </w:pPr>
          </w:p>
        </w:tc>
      </w:tr>
      <w:tr w:rsidR="005335C7" w:rsidRPr="00977858" w14:paraId="0D737802" w14:textId="77777777" w:rsidTr="00894F2B">
        <w:tblPrEx>
          <w:shd w:val="clear" w:color="auto" w:fill="D0CECE"/>
          <w:tblCellMar>
            <w:left w:w="0" w:type="dxa"/>
            <w:right w:w="0" w:type="dxa"/>
          </w:tblCellMar>
        </w:tblPrEx>
        <w:trPr>
          <w:trHeight w:val="557"/>
          <w:jc w:val="center"/>
        </w:trPr>
        <w:tc>
          <w:tcPr>
            <w:tcW w:w="24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C68ACB" w14:textId="77777777" w:rsidR="005335C7" w:rsidRPr="00977858" w:rsidRDefault="005335C7" w:rsidP="00894F2B">
            <w:pPr>
              <w:spacing w:after="0" w:line="240" w:lineRule="auto"/>
              <w:jc w:val="both"/>
              <w:rPr>
                <w:rFonts w:ascii="Garamond" w:hAnsi="Garamond" w:cs="Times New Roman"/>
                <w:sz w:val="18"/>
                <w:szCs w:val="18"/>
                <w:lang w:val="fr-FR"/>
              </w:rPr>
            </w:pPr>
            <w:r w:rsidRPr="00977858">
              <w:rPr>
                <w:rFonts w:ascii="Garamond" w:hAnsi="Garamond" w:cs="Times New Roman"/>
                <w:sz w:val="18"/>
                <w:szCs w:val="18"/>
                <w:lang w:val="fr-FR"/>
              </w:rPr>
              <w:t>D6. ECOWAS levy</w:t>
            </w:r>
          </w:p>
        </w:tc>
        <w:tc>
          <w:tcPr>
            <w:tcW w:w="31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C78003" w14:textId="77777777" w:rsidR="005335C7" w:rsidRPr="00977858" w:rsidRDefault="005335C7" w:rsidP="00894F2B">
            <w:pPr>
              <w:jc w:val="both"/>
              <w:rPr>
                <w:rFonts w:ascii="Garamond" w:hAnsi="Garamond" w:cs="Times New Roman"/>
                <w:sz w:val="18"/>
                <w:szCs w:val="18"/>
                <w:lang w:val="fr-FR"/>
              </w:rPr>
            </w:pPr>
            <w:r w:rsidRPr="00977858">
              <w:rPr>
                <w:rFonts w:ascii="Garamond" w:hAnsi="Garamond" w:cs="Times New Roman"/>
                <w:sz w:val="18"/>
                <w:szCs w:val="18"/>
                <w:lang w:val="fr-FR"/>
              </w:rPr>
              <w:t>0.5% of CIF</w:t>
            </w:r>
          </w:p>
        </w:tc>
        <w:tc>
          <w:tcPr>
            <w:tcW w:w="4140" w:type="dxa"/>
            <w:tcBorders>
              <w:top w:val="single" w:sz="4" w:space="0" w:color="auto"/>
              <w:left w:val="single" w:sz="4" w:space="0" w:color="auto"/>
              <w:bottom w:val="single" w:sz="4" w:space="0" w:color="auto"/>
              <w:right w:val="single" w:sz="4" w:space="0" w:color="auto"/>
            </w:tcBorders>
            <w:shd w:val="clear" w:color="auto" w:fill="FFFFFF" w:themeFill="background1"/>
          </w:tcPr>
          <w:p w14:paraId="4B86CD01" w14:textId="77777777" w:rsidR="005335C7" w:rsidRPr="00977858" w:rsidRDefault="005335C7" w:rsidP="00894F2B">
            <w:pPr>
              <w:jc w:val="both"/>
              <w:rPr>
                <w:rFonts w:ascii="Garamond" w:hAnsi="Garamond" w:cs="Times New Roman"/>
                <w:sz w:val="18"/>
                <w:szCs w:val="18"/>
                <w:lang w:val="fr-FR"/>
              </w:rPr>
            </w:pPr>
          </w:p>
        </w:tc>
      </w:tr>
      <w:tr w:rsidR="005335C7" w:rsidRPr="00977858" w14:paraId="47D0B83F" w14:textId="77777777" w:rsidTr="00894F2B">
        <w:tblPrEx>
          <w:shd w:val="clear" w:color="auto" w:fill="D0CECE"/>
          <w:tblCellMar>
            <w:left w:w="0" w:type="dxa"/>
            <w:right w:w="0" w:type="dxa"/>
          </w:tblCellMar>
        </w:tblPrEx>
        <w:trPr>
          <w:jc w:val="center"/>
        </w:trPr>
        <w:tc>
          <w:tcPr>
            <w:tcW w:w="2421" w:type="dxa"/>
            <w:tcBorders>
              <w:top w:val="single" w:sz="4" w:space="0" w:color="auto"/>
              <w:left w:val="single" w:sz="4" w:space="0" w:color="auto"/>
              <w:bottom w:val="single" w:sz="4" w:space="0" w:color="auto"/>
              <w:right w:val="single" w:sz="4" w:space="0" w:color="auto"/>
            </w:tcBorders>
            <w:shd w:val="clear" w:color="auto" w:fill="D9D9D9"/>
          </w:tcPr>
          <w:p w14:paraId="21CF93A2" w14:textId="77777777" w:rsidR="005335C7" w:rsidRPr="00977858" w:rsidRDefault="005335C7" w:rsidP="00894F2B">
            <w:pPr>
              <w:pStyle w:val="ListParagraph"/>
              <w:numPr>
                <w:ilvl w:val="0"/>
                <w:numId w:val="0"/>
              </w:numPr>
              <w:rPr>
                <w:sz w:val="18"/>
                <w:szCs w:val="18"/>
              </w:rPr>
            </w:pPr>
            <w:r w:rsidRPr="00977858">
              <w:rPr>
                <w:sz w:val="18"/>
                <w:szCs w:val="18"/>
              </w:rPr>
              <w:t>D7. Excise Duty</w:t>
            </w:r>
          </w:p>
        </w:tc>
        <w:tc>
          <w:tcPr>
            <w:tcW w:w="3159" w:type="dxa"/>
            <w:tcBorders>
              <w:top w:val="single" w:sz="4" w:space="0" w:color="auto"/>
              <w:left w:val="single" w:sz="4" w:space="0" w:color="auto"/>
              <w:bottom w:val="single" w:sz="4" w:space="0" w:color="auto"/>
              <w:right w:val="single" w:sz="4" w:space="0" w:color="auto"/>
            </w:tcBorders>
            <w:shd w:val="clear" w:color="auto" w:fill="D9D9D9"/>
          </w:tcPr>
          <w:p w14:paraId="335F7C74" w14:textId="77777777"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10% to 17.65% of ex-factory price</w:t>
            </w:r>
          </w:p>
        </w:tc>
        <w:tc>
          <w:tcPr>
            <w:tcW w:w="4140" w:type="dxa"/>
            <w:tcBorders>
              <w:top w:val="single" w:sz="4" w:space="0" w:color="auto"/>
              <w:left w:val="single" w:sz="4" w:space="0" w:color="auto"/>
              <w:bottom w:val="single" w:sz="4" w:space="0" w:color="auto"/>
              <w:right w:val="single" w:sz="4" w:space="0" w:color="auto"/>
            </w:tcBorders>
            <w:shd w:val="clear" w:color="auto" w:fill="D9D9D9"/>
          </w:tcPr>
          <w:p w14:paraId="7136365E" w14:textId="77777777"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Applied to beer, spirits and tobacco products</w:t>
            </w:r>
          </w:p>
        </w:tc>
      </w:tr>
      <w:tr w:rsidR="005335C7" w:rsidRPr="00977858" w14:paraId="3E7FD191" w14:textId="77777777" w:rsidTr="00894F2B">
        <w:tblPrEx>
          <w:shd w:val="clear" w:color="auto" w:fill="D0CECE"/>
          <w:tblCellMar>
            <w:left w:w="0" w:type="dxa"/>
            <w:right w:w="0" w:type="dxa"/>
          </w:tblCellMar>
        </w:tblPrEx>
        <w:trPr>
          <w:jc w:val="center"/>
        </w:trPr>
        <w:tc>
          <w:tcPr>
            <w:tcW w:w="2421" w:type="dxa"/>
            <w:tcBorders>
              <w:top w:val="single" w:sz="4" w:space="0" w:color="auto"/>
              <w:left w:val="single" w:sz="4" w:space="0" w:color="auto"/>
              <w:bottom w:val="single" w:sz="4" w:space="0" w:color="auto"/>
              <w:right w:val="single" w:sz="4" w:space="0" w:color="auto"/>
            </w:tcBorders>
            <w:shd w:val="clear" w:color="auto" w:fill="auto"/>
            <w:hideMark/>
          </w:tcPr>
          <w:p w14:paraId="2D392BB8" w14:textId="77777777" w:rsidR="005335C7" w:rsidRPr="00977858" w:rsidRDefault="005335C7" w:rsidP="00894F2B">
            <w:pPr>
              <w:pStyle w:val="ListParagraph"/>
              <w:numPr>
                <w:ilvl w:val="0"/>
                <w:numId w:val="0"/>
              </w:numPr>
              <w:rPr>
                <w:sz w:val="18"/>
                <w:szCs w:val="18"/>
              </w:rPr>
            </w:pPr>
            <w:r w:rsidRPr="00977858">
              <w:rPr>
                <w:sz w:val="18"/>
                <w:szCs w:val="18"/>
              </w:rPr>
              <w:t>E Property Tax</w:t>
            </w:r>
          </w:p>
        </w:tc>
        <w:tc>
          <w:tcPr>
            <w:tcW w:w="3159" w:type="dxa"/>
            <w:tcBorders>
              <w:top w:val="single" w:sz="4" w:space="0" w:color="auto"/>
              <w:left w:val="single" w:sz="4" w:space="0" w:color="auto"/>
              <w:bottom w:val="single" w:sz="4" w:space="0" w:color="auto"/>
              <w:right w:val="single" w:sz="4" w:space="0" w:color="auto"/>
            </w:tcBorders>
            <w:shd w:val="clear" w:color="auto" w:fill="auto"/>
            <w:hideMark/>
          </w:tcPr>
          <w:p w14:paraId="054EFBBA" w14:textId="1075092C"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 xml:space="preserve">Various rates depending on area and by use (residential/ commercial). In Accra the rates </w:t>
            </w:r>
            <w:r w:rsidR="00055214" w:rsidRPr="00977858">
              <w:rPr>
                <w:rFonts w:ascii="Garamond" w:hAnsi="Garamond" w:cs="Times New Roman"/>
                <w:sz w:val="18"/>
                <w:szCs w:val="18"/>
              </w:rPr>
              <w:t>vary</w:t>
            </w:r>
            <w:r w:rsidRPr="00977858">
              <w:rPr>
                <w:rFonts w:ascii="Garamond" w:hAnsi="Garamond" w:cs="Times New Roman"/>
                <w:sz w:val="18"/>
                <w:szCs w:val="18"/>
              </w:rPr>
              <w:t xml:space="preserve"> between 0.5% to 3% of the value of the property</w:t>
            </w:r>
          </w:p>
        </w:tc>
        <w:tc>
          <w:tcPr>
            <w:tcW w:w="4140" w:type="dxa"/>
            <w:tcBorders>
              <w:top w:val="single" w:sz="4" w:space="0" w:color="auto"/>
              <w:left w:val="single" w:sz="4" w:space="0" w:color="auto"/>
              <w:bottom w:val="single" w:sz="4" w:space="0" w:color="auto"/>
              <w:right w:val="single" w:sz="4" w:space="0" w:color="auto"/>
            </w:tcBorders>
            <w:shd w:val="clear" w:color="auto" w:fill="auto"/>
            <w:hideMark/>
          </w:tcPr>
          <w:p w14:paraId="421BC5CB" w14:textId="77777777" w:rsidR="005335C7" w:rsidRPr="00977858" w:rsidRDefault="005335C7" w:rsidP="00894F2B">
            <w:pPr>
              <w:jc w:val="both"/>
              <w:rPr>
                <w:rFonts w:ascii="Garamond" w:hAnsi="Garamond" w:cs="Times New Roman"/>
                <w:sz w:val="18"/>
                <w:szCs w:val="18"/>
              </w:rPr>
            </w:pPr>
          </w:p>
        </w:tc>
      </w:tr>
      <w:tr w:rsidR="005335C7" w:rsidRPr="00977858" w14:paraId="07B07B84" w14:textId="77777777" w:rsidTr="00894F2B">
        <w:tblPrEx>
          <w:shd w:val="clear" w:color="auto" w:fill="D0CECE"/>
          <w:tblCellMar>
            <w:left w:w="0" w:type="dxa"/>
            <w:right w:w="0" w:type="dxa"/>
          </w:tblCellMar>
        </w:tblPrEx>
        <w:trPr>
          <w:jc w:val="center"/>
        </w:trPr>
        <w:tc>
          <w:tcPr>
            <w:tcW w:w="2421" w:type="dxa"/>
            <w:tcBorders>
              <w:top w:val="single" w:sz="4" w:space="0" w:color="auto"/>
              <w:left w:val="single" w:sz="4" w:space="0" w:color="auto"/>
              <w:bottom w:val="single" w:sz="4" w:space="0" w:color="auto"/>
              <w:right w:val="single" w:sz="4" w:space="0" w:color="auto"/>
            </w:tcBorders>
            <w:shd w:val="clear" w:color="auto" w:fill="D9D9D9"/>
            <w:hideMark/>
          </w:tcPr>
          <w:p w14:paraId="489772D4" w14:textId="77777777" w:rsidR="005335C7" w:rsidRPr="00977858" w:rsidRDefault="005335C7" w:rsidP="00894F2B">
            <w:pPr>
              <w:pStyle w:val="ListParagraph"/>
              <w:numPr>
                <w:ilvl w:val="0"/>
                <w:numId w:val="0"/>
              </w:numPr>
              <w:rPr>
                <w:sz w:val="18"/>
                <w:szCs w:val="18"/>
              </w:rPr>
            </w:pPr>
            <w:r w:rsidRPr="00977858">
              <w:rPr>
                <w:sz w:val="18"/>
                <w:szCs w:val="18"/>
              </w:rPr>
              <w:t>F. Stamp Duty and Transfer Duty</w:t>
            </w:r>
          </w:p>
        </w:tc>
        <w:tc>
          <w:tcPr>
            <w:tcW w:w="3159" w:type="dxa"/>
            <w:tcBorders>
              <w:top w:val="single" w:sz="4" w:space="0" w:color="auto"/>
              <w:left w:val="single" w:sz="4" w:space="0" w:color="auto"/>
              <w:bottom w:val="single" w:sz="4" w:space="0" w:color="auto"/>
              <w:right w:val="single" w:sz="4" w:space="0" w:color="auto"/>
            </w:tcBorders>
            <w:shd w:val="clear" w:color="auto" w:fill="D9D9D9"/>
            <w:hideMark/>
          </w:tcPr>
          <w:p w14:paraId="751D0FF8" w14:textId="77777777" w:rsidR="005335C7" w:rsidRPr="00977858" w:rsidRDefault="005335C7" w:rsidP="00894F2B">
            <w:pPr>
              <w:jc w:val="both"/>
              <w:rPr>
                <w:rFonts w:ascii="Garamond" w:hAnsi="Garamond" w:cs="Times New Roman"/>
                <w:sz w:val="18"/>
                <w:szCs w:val="18"/>
                <w:lang w:val="fr-FR"/>
              </w:rPr>
            </w:pPr>
            <w:r w:rsidRPr="000761E2">
              <w:rPr>
                <w:rFonts w:ascii="Garamond" w:hAnsi="Garamond" w:cs="Times New Roman"/>
                <w:sz w:val="18"/>
                <w:szCs w:val="18"/>
              </w:rPr>
              <w:t xml:space="preserve">Levied at different flat rates and percentage of consideration for a wide range of instruments and documents.  </w:t>
            </w:r>
            <w:r w:rsidRPr="00977858">
              <w:rPr>
                <w:rFonts w:ascii="Garamond" w:hAnsi="Garamond" w:cs="Times New Roman"/>
                <w:sz w:val="18"/>
                <w:szCs w:val="18"/>
                <w:lang w:val="fr-FR"/>
              </w:rPr>
              <w:t>0.5% on transfer of property</w:t>
            </w:r>
          </w:p>
        </w:tc>
        <w:tc>
          <w:tcPr>
            <w:tcW w:w="4140" w:type="dxa"/>
            <w:tcBorders>
              <w:top w:val="single" w:sz="4" w:space="0" w:color="auto"/>
              <w:left w:val="single" w:sz="4" w:space="0" w:color="auto"/>
              <w:bottom w:val="single" w:sz="4" w:space="0" w:color="auto"/>
              <w:right w:val="single" w:sz="4" w:space="0" w:color="auto"/>
            </w:tcBorders>
            <w:shd w:val="clear" w:color="auto" w:fill="D9D9D9"/>
          </w:tcPr>
          <w:p w14:paraId="76FA9EF1" w14:textId="77777777" w:rsidR="005335C7" w:rsidRPr="00977858" w:rsidRDefault="005335C7" w:rsidP="00894F2B">
            <w:pPr>
              <w:jc w:val="both"/>
              <w:rPr>
                <w:rFonts w:ascii="Garamond" w:hAnsi="Garamond" w:cs="Times New Roman"/>
                <w:sz w:val="18"/>
                <w:szCs w:val="18"/>
                <w:lang w:val="fr-FR"/>
              </w:rPr>
            </w:pPr>
          </w:p>
        </w:tc>
      </w:tr>
      <w:tr w:rsidR="005335C7" w:rsidRPr="00977858" w14:paraId="07424BE2" w14:textId="77777777" w:rsidTr="00894F2B">
        <w:tblPrEx>
          <w:shd w:val="clear" w:color="auto" w:fill="D0CECE"/>
          <w:tblCellMar>
            <w:left w:w="0" w:type="dxa"/>
            <w:right w:w="0" w:type="dxa"/>
          </w:tblCellMar>
        </w:tblPrEx>
        <w:trPr>
          <w:jc w:val="center"/>
        </w:trPr>
        <w:tc>
          <w:tcPr>
            <w:tcW w:w="2421" w:type="dxa"/>
            <w:tcBorders>
              <w:top w:val="single" w:sz="4" w:space="0" w:color="auto"/>
              <w:left w:val="single" w:sz="4" w:space="0" w:color="auto"/>
              <w:bottom w:val="single" w:sz="4" w:space="0" w:color="auto"/>
              <w:right w:val="single" w:sz="4" w:space="0" w:color="auto"/>
            </w:tcBorders>
            <w:shd w:val="clear" w:color="auto" w:fill="auto"/>
            <w:hideMark/>
          </w:tcPr>
          <w:p w14:paraId="187F2317" w14:textId="77777777" w:rsidR="005335C7" w:rsidRPr="00977858" w:rsidRDefault="005335C7" w:rsidP="00894F2B">
            <w:pPr>
              <w:pStyle w:val="ListParagraph"/>
              <w:numPr>
                <w:ilvl w:val="0"/>
                <w:numId w:val="0"/>
              </w:numPr>
              <w:rPr>
                <w:sz w:val="18"/>
                <w:szCs w:val="18"/>
              </w:rPr>
            </w:pPr>
            <w:r w:rsidRPr="00977858">
              <w:rPr>
                <w:sz w:val="18"/>
                <w:szCs w:val="18"/>
              </w:rPr>
              <w:t>G. Other Taxes</w:t>
            </w:r>
          </w:p>
        </w:tc>
        <w:tc>
          <w:tcPr>
            <w:tcW w:w="3159" w:type="dxa"/>
            <w:tcBorders>
              <w:top w:val="single" w:sz="4" w:space="0" w:color="auto"/>
              <w:left w:val="single" w:sz="4" w:space="0" w:color="auto"/>
              <w:bottom w:val="single" w:sz="4" w:space="0" w:color="auto"/>
              <w:right w:val="single" w:sz="4" w:space="0" w:color="auto"/>
            </w:tcBorders>
            <w:shd w:val="clear" w:color="auto" w:fill="auto"/>
          </w:tcPr>
          <w:p w14:paraId="6071DC4E" w14:textId="77777777" w:rsidR="005335C7" w:rsidRPr="00977858" w:rsidRDefault="005335C7" w:rsidP="00894F2B">
            <w:pPr>
              <w:jc w:val="both"/>
              <w:rPr>
                <w:rFonts w:ascii="Garamond" w:hAnsi="Garamond" w:cs="Times New Roman"/>
                <w:sz w:val="18"/>
                <w:szCs w:val="18"/>
              </w:rPr>
            </w:pP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B1D89F6" w14:textId="77777777" w:rsidR="005335C7" w:rsidRPr="00977858" w:rsidRDefault="005335C7" w:rsidP="00894F2B">
            <w:pPr>
              <w:jc w:val="both"/>
              <w:rPr>
                <w:rFonts w:ascii="Garamond" w:hAnsi="Garamond" w:cs="Times New Roman"/>
                <w:sz w:val="18"/>
                <w:szCs w:val="18"/>
              </w:rPr>
            </w:pPr>
          </w:p>
        </w:tc>
      </w:tr>
      <w:tr w:rsidR="005335C7" w:rsidRPr="00977858" w14:paraId="3376680B" w14:textId="77777777" w:rsidTr="00894F2B">
        <w:tblPrEx>
          <w:shd w:val="clear" w:color="auto" w:fill="D0CECE"/>
          <w:tblCellMar>
            <w:left w:w="0" w:type="dxa"/>
            <w:right w:w="0" w:type="dxa"/>
          </w:tblCellMar>
        </w:tblPrEx>
        <w:trPr>
          <w:jc w:val="center"/>
        </w:trPr>
        <w:tc>
          <w:tcPr>
            <w:tcW w:w="2421" w:type="dxa"/>
            <w:tcBorders>
              <w:top w:val="single" w:sz="4" w:space="0" w:color="auto"/>
              <w:left w:val="single" w:sz="4" w:space="0" w:color="auto"/>
              <w:bottom w:val="single" w:sz="4" w:space="0" w:color="auto"/>
              <w:right w:val="single" w:sz="4" w:space="0" w:color="auto"/>
            </w:tcBorders>
            <w:shd w:val="clear" w:color="auto" w:fill="D9D9D9"/>
            <w:hideMark/>
          </w:tcPr>
          <w:p w14:paraId="1565C258" w14:textId="77777777" w:rsidR="005335C7" w:rsidRPr="00977858" w:rsidRDefault="005335C7" w:rsidP="00894F2B">
            <w:pPr>
              <w:spacing w:after="0" w:line="240" w:lineRule="auto"/>
              <w:jc w:val="both"/>
              <w:rPr>
                <w:rFonts w:ascii="Garamond" w:hAnsi="Garamond" w:cs="Times New Roman"/>
                <w:sz w:val="18"/>
                <w:szCs w:val="18"/>
              </w:rPr>
            </w:pPr>
            <w:r w:rsidRPr="00977858">
              <w:rPr>
                <w:rFonts w:ascii="Garamond" w:hAnsi="Garamond" w:cs="Times New Roman"/>
                <w:sz w:val="18"/>
                <w:szCs w:val="18"/>
              </w:rPr>
              <w:t>H. Mineral Royalty</w:t>
            </w:r>
          </w:p>
        </w:tc>
        <w:tc>
          <w:tcPr>
            <w:tcW w:w="3159" w:type="dxa"/>
            <w:tcBorders>
              <w:top w:val="single" w:sz="4" w:space="0" w:color="auto"/>
              <w:left w:val="single" w:sz="4" w:space="0" w:color="auto"/>
              <w:bottom w:val="single" w:sz="4" w:space="0" w:color="auto"/>
              <w:right w:val="single" w:sz="4" w:space="0" w:color="auto"/>
            </w:tcBorders>
            <w:shd w:val="clear" w:color="auto" w:fill="D9D9D9"/>
            <w:hideMark/>
          </w:tcPr>
          <w:p w14:paraId="7BDD6802" w14:textId="77777777"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5%</w:t>
            </w:r>
          </w:p>
        </w:tc>
        <w:tc>
          <w:tcPr>
            <w:tcW w:w="4140" w:type="dxa"/>
            <w:tcBorders>
              <w:top w:val="single" w:sz="4" w:space="0" w:color="auto"/>
              <w:left w:val="single" w:sz="4" w:space="0" w:color="auto"/>
              <w:bottom w:val="single" w:sz="4" w:space="0" w:color="auto"/>
              <w:right w:val="single" w:sz="4" w:space="0" w:color="auto"/>
            </w:tcBorders>
            <w:shd w:val="clear" w:color="auto" w:fill="D9D9D9"/>
          </w:tcPr>
          <w:p w14:paraId="77EBFDD9" w14:textId="77777777" w:rsidR="005335C7" w:rsidRPr="00977858" w:rsidRDefault="005335C7" w:rsidP="00894F2B">
            <w:pPr>
              <w:jc w:val="both"/>
              <w:rPr>
                <w:rFonts w:ascii="Garamond" w:hAnsi="Garamond" w:cs="Times New Roman"/>
                <w:sz w:val="18"/>
                <w:szCs w:val="18"/>
              </w:rPr>
            </w:pPr>
          </w:p>
        </w:tc>
      </w:tr>
      <w:tr w:rsidR="005335C7" w:rsidRPr="00977858" w14:paraId="58F2C5CD" w14:textId="77777777" w:rsidTr="00894F2B">
        <w:tblPrEx>
          <w:shd w:val="clear" w:color="auto" w:fill="D0CECE"/>
          <w:tblCellMar>
            <w:left w:w="0" w:type="dxa"/>
            <w:right w:w="0" w:type="dxa"/>
          </w:tblCellMar>
        </w:tblPrEx>
        <w:trPr>
          <w:jc w:val="center"/>
        </w:trPr>
        <w:tc>
          <w:tcPr>
            <w:tcW w:w="2421" w:type="dxa"/>
            <w:tcBorders>
              <w:top w:val="single" w:sz="4" w:space="0" w:color="auto"/>
              <w:left w:val="single" w:sz="4" w:space="0" w:color="auto"/>
              <w:bottom w:val="single" w:sz="4" w:space="0" w:color="auto"/>
              <w:right w:val="single" w:sz="4" w:space="0" w:color="auto"/>
            </w:tcBorders>
            <w:shd w:val="clear" w:color="auto" w:fill="auto"/>
            <w:hideMark/>
          </w:tcPr>
          <w:p w14:paraId="60822B5C" w14:textId="77777777" w:rsidR="005335C7" w:rsidRPr="00977858" w:rsidRDefault="005335C7" w:rsidP="00894F2B">
            <w:pPr>
              <w:pStyle w:val="ListParagraph"/>
              <w:numPr>
                <w:ilvl w:val="0"/>
                <w:numId w:val="3"/>
              </w:numPr>
              <w:spacing w:before="240"/>
              <w:ind w:left="720"/>
              <w:rPr>
                <w:sz w:val="18"/>
                <w:szCs w:val="18"/>
              </w:rPr>
            </w:pPr>
            <w:r w:rsidRPr="00977858">
              <w:rPr>
                <w:sz w:val="18"/>
                <w:szCs w:val="18"/>
              </w:rPr>
              <w:t>Gift Tax</w:t>
            </w:r>
          </w:p>
        </w:tc>
        <w:tc>
          <w:tcPr>
            <w:tcW w:w="3159" w:type="dxa"/>
            <w:tcBorders>
              <w:top w:val="single" w:sz="4" w:space="0" w:color="auto"/>
              <w:left w:val="single" w:sz="4" w:space="0" w:color="auto"/>
              <w:bottom w:val="single" w:sz="4" w:space="0" w:color="auto"/>
              <w:right w:val="single" w:sz="4" w:space="0" w:color="auto"/>
            </w:tcBorders>
            <w:shd w:val="clear" w:color="auto" w:fill="auto"/>
            <w:hideMark/>
          </w:tcPr>
          <w:p w14:paraId="7CC65F8E" w14:textId="77777777"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5%</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14CC372" w14:textId="77777777" w:rsidR="005335C7" w:rsidRPr="00977858" w:rsidRDefault="005335C7" w:rsidP="00894F2B">
            <w:pPr>
              <w:jc w:val="both"/>
              <w:rPr>
                <w:rFonts w:ascii="Garamond" w:hAnsi="Garamond" w:cs="Times New Roman"/>
                <w:sz w:val="18"/>
                <w:szCs w:val="18"/>
              </w:rPr>
            </w:pPr>
          </w:p>
        </w:tc>
      </w:tr>
      <w:tr w:rsidR="005335C7" w:rsidRPr="00977858" w14:paraId="452A246C" w14:textId="77777777" w:rsidTr="00894F2B">
        <w:tblPrEx>
          <w:shd w:val="clear" w:color="auto" w:fill="D0CECE"/>
          <w:tblCellMar>
            <w:left w:w="0" w:type="dxa"/>
            <w:right w:w="0" w:type="dxa"/>
          </w:tblCellMar>
        </w:tblPrEx>
        <w:trPr>
          <w:jc w:val="center"/>
        </w:trPr>
        <w:tc>
          <w:tcPr>
            <w:tcW w:w="2421" w:type="dxa"/>
            <w:tcBorders>
              <w:top w:val="single" w:sz="4" w:space="0" w:color="auto"/>
              <w:left w:val="single" w:sz="4" w:space="0" w:color="auto"/>
              <w:bottom w:val="single" w:sz="4" w:space="0" w:color="auto"/>
              <w:right w:val="single" w:sz="4" w:space="0" w:color="auto"/>
            </w:tcBorders>
            <w:shd w:val="clear" w:color="auto" w:fill="D9D9D9"/>
            <w:hideMark/>
          </w:tcPr>
          <w:p w14:paraId="749B3E0F" w14:textId="77777777" w:rsidR="005335C7" w:rsidRPr="00977858" w:rsidRDefault="005335C7" w:rsidP="00894F2B">
            <w:pPr>
              <w:spacing w:after="0" w:line="240" w:lineRule="auto"/>
              <w:jc w:val="both"/>
              <w:rPr>
                <w:rFonts w:ascii="Garamond" w:hAnsi="Garamond" w:cs="Times New Roman"/>
                <w:sz w:val="18"/>
                <w:szCs w:val="18"/>
              </w:rPr>
            </w:pPr>
            <w:r w:rsidRPr="00977858">
              <w:rPr>
                <w:rFonts w:ascii="Garamond" w:hAnsi="Garamond" w:cs="Times New Roman"/>
                <w:sz w:val="18"/>
                <w:szCs w:val="18"/>
              </w:rPr>
              <w:t xml:space="preserve">J. Rental tax </w:t>
            </w:r>
          </w:p>
        </w:tc>
        <w:tc>
          <w:tcPr>
            <w:tcW w:w="3159" w:type="dxa"/>
            <w:tcBorders>
              <w:top w:val="single" w:sz="4" w:space="0" w:color="auto"/>
              <w:left w:val="single" w:sz="4" w:space="0" w:color="auto"/>
              <w:bottom w:val="single" w:sz="4" w:space="0" w:color="auto"/>
              <w:right w:val="single" w:sz="4" w:space="0" w:color="auto"/>
            </w:tcBorders>
            <w:shd w:val="clear" w:color="auto" w:fill="D9D9D9"/>
            <w:hideMark/>
          </w:tcPr>
          <w:p w14:paraId="02A8B792" w14:textId="77777777"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15% of gross amount earned in rent</w:t>
            </w:r>
          </w:p>
        </w:tc>
        <w:tc>
          <w:tcPr>
            <w:tcW w:w="4140" w:type="dxa"/>
            <w:tcBorders>
              <w:top w:val="single" w:sz="4" w:space="0" w:color="auto"/>
              <w:left w:val="single" w:sz="4" w:space="0" w:color="auto"/>
              <w:bottom w:val="single" w:sz="4" w:space="0" w:color="auto"/>
              <w:right w:val="single" w:sz="4" w:space="0" w:color="auto"/>
            </w:tcBorders>
            <w:shd w:val="clear" w:color="auto" w:fill="D9D9D9"/>
          </w:tcPr>
          <w:p w14:paraId="1D9701BB" w14:textId="77777777"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This is a final tax</w:t>
            </w:r>
          </w:p>
        </w:tc>
      </w:tr>
      <w:tr w:rsidR="005335C7" w:rsidRPr="00977858" w14:paraId="2C59398B" w14:textId="77777777" w:rsidTr="00894F2B">
        <w:tblPrEx>
          <w:shd w:val="clear" w:color="auto" w:fill="D0CECE"/>
          <w:tblCellMar>
            <w:left w:w="0" w:type="dxa"/>
            <w:right w:w="0" w:type="dxa"/>
          </w:tblCellMar>
        </w:tblPrEx>
        <w:trPr>
          <w:jc w:val="center"/>
        </w:trPr>
        <w:tc>
          <w:tcPr>
            <w:tcW w:w="2421" w:type="dxa"/>
            <w:tcBorders>
              <w:top w:val="single" w:sz="4" w:space="0" w:color="auto"/>
              <w:left w:val="single" w:sz="4" w:space="0" w:color="auto"/>
              <w:bottom w:val="single" w:sz="4" w:space="0" w:color="auto"/>
              <w:right w:val="single" w:sz="4" w:space="0" w:color="auto"/>
            </w:tcBorders>
            <w:shd w:val="clear" w:color="auto" w:fill="auto"/>
            <w:hideMark/>
          </w:tcPr>
          <w:p w14:paraId="7CC42AA2" w14:textId="77777777" w:rsidR="005335C7" w:rsidRPr="00977858" w:rsidRDefault="005335C7" w:rsidP="00894F2B">
            <w:pPr>
              <w:spacing w:after="0" w:line="240" w:lineRule="auto"/>
              <w:jc w:val="both"/>
              <w:rPr>
                <w:rFonts w:ascii="Garamond" w:hAnsi="Garamond" w:cs="Times New Roman"/>
                <w:sz w:val="18"/>
                <w:szCs w:val="18"/>
              </w:rPr>
            </w:pPr>
            <w:r w:rsidRPr="00977858">
              <w:rPr>
                <w:rFonts w:ascii="Garamond" w:hAnsi="Garamond" w:cs="Times New Roman"/>
                <w:sz w:val="18"/>
                <w:szCs w:val="18"/>
              </w:rPr>
              <w:t>K. Communications Service Tax</w:t>
            </w:r>
          </w:p>
        </w:tc>
        <w:tc>
          <w:tcPr>
            <w:tcW w:w="3159" w:type="dxa"/>
            <w:tcBorders>
              <w:top w:val="single" w:sz="4" w:space="0" w:color="auto"/>
              <w:left w:val="single" w:sz="4" w:space="0" w:color="auto"/>
              <w:bottom w:val="single" w:sz="4" w:space="0" w:color="auto"/>
              <w:right w:val="single" w:sz="4" w:space="0" w:color="auto"/>
            </w:tcBorders>
            <w:shd w:val="clear" w:color="auto" w:fill="auto"/>
            <w:hideMark/>
          </w:tcPr>
          <w:p w14:paraId="0CA47C2B" w14:textId="77777777"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6% on the amount paid</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1D3C4614" w14:textId="77777777" w:rsidR="005335C7" w:rsidRPr="00977858" w:rsidRDefault="005335C7" w:rsidP="00894F2B">
            <w:pPr>
              <w:jc w:val="both"/>
              <w:rPr>
                <w:rFonts w:ascii="Garamond" w:hAnsi="Garamond" w:cs="Times New Roman"/>
                <w:sz w:val="18"/>
                <w:szCs w:val="18"/>
              </w:rPr>
            </w:pPr>
            <w:r w:rsidRPr="00977858">
              <w:rPr>
                <w:rFonts w:ascii="Garamond" w:hAnsi="Garamond" w:cs="Times New Roman"/>
                <w:sz w:val="18"/>
                <w:szCs w:val="18"/>
              </w:rPr>
              <w:t>Paid by users of Electronic Communication Services</w:t>
            </w:r>
          </w:p>
        </w:tc>
      </w:tr>
    </w:tbl>
    <w:p w14:paraId="76015FE3" w14:textId="77777777" w:rsidR="005335C7" w:rsidRPr="009352B7" w:rsidRDefault="005335C7" w:rsidP="005335C7">
      <w:pPr>
        <w:rPr>
          <w:rFonts w:ascii="Garamond" w:hAnsi="Garamond"/>
          <w:sz w:val="20"/>
          <w:szCs w:val="20"/>
        </w:rPr>
      </w:pPr>
      <w:r w:rsidRPr="009352B7">
        <w:rPr>
          <w:rFonts w:ascii="Garamond" w:hAnsi="Garamond"/>
          <w:i/>
          <w:sz w:val="20"/>
          <w:szCs w:val="20"/>
        </w:rPr>
        <w:t>Source</w:t>
      </w:r>
      <w:r w:rsidRPr="009352B7">
        <w:rPr>
          <w:rFonts w:ascii="Garamond" w:hAnsi="Garamond"/>
          <w:sz w:val="20"/>
          <w:szCs w:val="20"/>
        </w:rPr>
        <w:t>: GRA and PWC and KPMG Tax Guides</w:t>
      </w:r>
    </w:p>
    <w:p w14:paraId="2DC871DD" w14:textId="77777777" w:rsidR="005335C7" w:rsidRPr="00A14F00" w:rsidRDefault="005335C7" w:rsidP="005335C7">
      <w:pPr>
        <w:spacing w:after="160" w:line="259" w:lineRule="auto"/>
      </w:pPr>
      <w:r>
        <w:br w:type="page"/>
      </w:r>
    </w:p>
    <w:p w14:paraId="7DC5026C" w14:textId="77777777" w:rsidR="005335C7" w:rsidRPr="00E45355" w:rsidRDefault="00AD66D6" w:rsidP="00894F2B">
      <w:pPr>
        <w:pStyle w:val="Heading2"/>
      </w:pPr>
      <w:bookmarkStart w:id="106" w:name="_Toc479624889"/>
      <w:r>
        <w:lastRenderedPageBreak/>
        <w:t>Annex 2.5</w:t>
      </w:r>
      <w:r w:rsidR="005335C7" w:rsidRPr="00E45355">
        <w:t>: Tax Expenditures in 2013 under the Income Tax Act</w:t>
      </w:r>
      <w:bookmarkEnd w:id="106"/>
      <w:r w:rsidR="005335C7" w:rsidRPr="00E45355">
        <w:t xml:space="preserve"> </w:t>
      </w:r>
    </w:p>
    <w:p w14:paraId="09FAF2F5" w14:textId="77777777" w:rsidR="005335C7" w:rsidRPr="00696A40" w:rsidRDefault="00116C2A" w:rsidP="00116C2A">
      <w:pPr>
        <w:pStyle w:val="Caption"/>
      </w:pPr>
      <w:bookmarkStart w:id="107" w:name="_Toc478837636"/>
      <w:r>
        <w:t xml:space="preserve">Table </w:t>
      </w:r>
      <w:r w:rsidR="00500291">
        <w:fldChar w:fldCharType="begin"/>
      </w:r>
      <w:r w:rsidR="00500291">
        <w:instrText xml:space="preserve"> STYLEREF 1 \s </w:instrText>
      </w:r>
      <w:r w:rsidR="00500291">
        <w:fldChar w:fldCharType="separate"/>
      </w:r>
      <w:r w:rsidR="007B1CE6">
        <w:rPr>
          <w:noProof/>
        </w:rPr>
        <w:t>2</w:t>
      </w:r>
      <w:r w:rsidR="00500291">
        <w:fldChar w:fldCharType="end"/>
      </w:r>
      <w:r w:rsidR="00500291">
        <w:t>.</w:t>
      </w:r>
      <w:r w:rsidR="00500291">
        <w:fldChar w:fldCharType="begin"/>
      </w:r>
      <w:r w:rsidR="00500291">
        <w:instrText xml:space="preserve"> SEQ Table \* ARABIC \s 1 </w:instrText>
      </w:r>
      <w:r w:rsidR="00500291">
        <w:fldChar w:fldCharType="separate"/>
      </w:r>
      <w:r w:rsidR="007B1CE6">
        <w:rPr>
          <w:noProof/>
        </w:rPr>
        <w:t>15</w:t>
      </w:r>
      <w:r w:rsidR="00500291">
        <w:fldChar w:fldCharType="end"/>
      </w:r>
      <w:r w:rsidR="005335C7">
        <w:t>: Tax Expenditures in 2013 under the Income Tax Act</w:t>
      </w:r>
      <w:bookmarkEnd w:id="107"/>
    </w:p>
    <w:tbl>
      <w:tblPr>
        <w:tblStyle w:val="GridTable6Colorful"/>
        <w:tblW w:w="9625" w:type="dxa"/>
        <w:tblLook w:val="04A0" w:firstRow="1" w:lastRow="0" w:firstColumn="1" w:lastColumn="0" w:noHBand="0" w:noVBand="1"/>
      </w:tblPr>
      <w:tblGrid>
        <w:gridCol w:w="2259"/>
        <w:gridCol w:w="3676"/>
        <w:gridCol w:w="1388"/>
        <w:gridCol w:w="2302"/>
      </w:tblGrid>
      <w:tr w:rsidR="005335C7" w:rsidRPr="00A14F00" w14:paraId="1F25B80F" w14:textId="77777777" w:rsidTr="00894F2B">
        <w:trPr>
          <w:cnfStyle w:val="100000000000" w:firstRow="1" w:lastRow="0" w:firstColumn="0" w:lastColumn="0" w:oddVBand="0" w:evenVBand="0" w:oddHBand="0" w:evenHBand="0"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2259" w:type="dxa"/>
          </w:tcPr>
          <w:p w14:paraId="7B474F15" w14:textId="77777777" w:rsidR="005335C7" w:rsidRPr="0027242D" w:rsidRDefault="005335C7" w:rsidP="00894F2B">
            <w:pPr>
              <w:rPr>
                <w:rFonts w:ascii="Garamond" w:hAnsi="Garamond"/>
                <w:sz w:val="18"/>
                <w:szCs w:val="18"/>
              </w:rPr>
            </w:pPr>
            <w:r w:rsidRPr="0027242D">
              <w:rPr>
                <w:rFonts w:ascii="Garamond" w:hAnsi="Garamond"/>
                <w:sz w:val="18"/>
                <w:szCs w:val="18"/>
              </w:rPr>
              <w:t>Activity</w:t>
            </w:r>
          </w:p>
        </w:tc>
        <w:tc>
          <w:tcPr>
            <w:tcW w:w="3676" w:type="dxa"/>
          </w:tcPr>
          <w:p w14:paraId="79B1CDAA" w14:textId="77777777" w:rsidR="005335C7" w:rsidRPr="0027242D" w:rsidRDefault="005335C7" w:rsidP="00894F2B">
            <w:pPr>
              <w:cnfStyle w:val="100000000000" w:firstRow="1" w:lastRow="0" w:firstColumn="0" w:lastColumn="0" w:oddVBand="0" w:evenVBand="0" w:oddHBand="0" w:evenHBand="0" w:firstRowFirstColumn="0" w:firstRowLastColumn="0" w:lastRowFirstColumn="0" w:lastRowLastColumn="0"/>
              <w:rPr>
                <w:rFonts w:ascii="Garamond" w:hAnsi="Garamond"/>
                <w:sz w:val="18"/>
                <w:szCs w:val="18"/>
              </w:rPr>
            </w:pPr>
            <w:r w:rsidRPr="0027242D">
              <w:rPr>
                <w:rFonts w:ascii="Garamond" w:hAnsi="Garamond"/>
                <w:sz w:val="18"/>
                <w:szCs w:val="18"/>
              </w:rPr>
              <w:t>Tax Incentive</w:t>
            </w:r>
          </w:p>
        </w:tc>
        <w:tc>
          <w:tcPr>
            <w:tcW w:w="1388" w:type="dxa"/>
          </w:tcPr>
          <w:p w14:paraId="352BE879" w14:textId="77777777" w:rsidR="005335C7" w:rsidRPr="0027242D" w:rsidRDefault="005335C7" w:rsidP="00894F2B">
            <w:pPr>
              <w:cnfStyle w:val="100000000000" w:firstRow="1" w:lastRow="0" w:firstColumn="0" w:lastColumn="0" w:oddVBand="0" w:evenVBand="0" w:oddHBand="0" w:evenHBand="0" w:firstRowFirstColumn="0" w:firstRowLastColumn="0" w:lastRowFirstColumn="0" w:lastRowLastColumn="0"/>
              <w:rPr>
                <w:rFonts w:ascii="Garamond" w:hAnsi="Garamond"/>
                <w:sz w:val="18"/>
                <w:szCs w:val="18"/>
              </w:rPr>
            </w:pPr>
            <w:r w:rsidRPr="0027242D">
              <w:rPr>
                <w:rFonts w:ascii="Garamond" w:hAnsi="Garamond"/>
                <w:sz w:val="18"/>
                <w:szCs w:val="18"/>
              </w:rPr>
              <w:t>Number of Companies for which data was available in 2013</w:t>
            </w:r>
          </w:p>
        </w:tc>
        <w:tc>
          <w:tcPr>
            <w:tcW w:w="2302" w:type="dxa"/>
          </w:tcPr>
          <w:p w14:paraId="70822B38" w14:textId="77777777" w:rsidR="005335C7" w:rsidRPr="0027242D" w:rsidRDefault="005335C7" w:rsidP="00894F2B">
            <w:pPr>
              <w:cnfStyle w:val="100000000000" w:firstRow="1" w:lastRow="0" w:firstColumn="0" w:lastColumn="0" w:oddVBand="0" w:evenVBand="0" w:oddHBand="0" w:evenHBand="0" w:firstRowFirstColumn="0" w:firstRowLastColumn="0" w:lastRowFirstColumn="0" w:lastRowLastColumn="0"/>
              <w:rPr>
                <w:rFonts w:ascii="Garamond" w:hAnsi="Garamond"/>
                <w:sz w:val="18"/>
                <w:szCs w:val="18"/>
              </w:rPr>
            </w:pPr>
            <w:r w:rsidRPr="0027242D">
              <w:rPr>
                <w:rFonts w:ascii="Garamond" w:hAnsi="Garamond"/>
                <w:sz w:val="18"/>
                <w:szCs w:val="18"/>
              </w:rPr>
              <w:t xml:space="preserve">Tax Expenditure in 2013 </w:t>
            </w:r>
          </w:p>
          <w:p w14:paraId="4CC0E533" w14:textId="77777777" w:rsidR="005335C7" w:rsidRPr="0027242D" w:rsidRDefault="005335C7" w:rsidP="00894F2B">
            <w:pPr>
              <w:cnfStyle w:val="100000000000" w:firstRow="1" w:lastRow="0" w:firstColumn="0" w:lastColumn="0" w:oddVBand="0" w:evenVBand="0" w:oddHBand="0" w:evenHBand="0" w:firstRowFirstColumn="0" w:firstRowLastColumn="0" w:lastRowFirstColumn="0" w:lastRowLastColumn="0"/>
              <w:rPr>
                <w:rFonts w:ascii="Garamond" w:hAnsi="Garamond"/>
                <w:sz w:val="18"/>
                <w:szCs w:val="18"/>
              </w:rPr>
            </w:pPr>
            <w:r w:rsidRPr="0027242D">
              <w:rPr>
                <w:rFonts w:ascii="Garamond" w:hAnsi="Garamond"/>
                <w:sz w:val="18"/>
                <w:szCs w:val="18"/>
              </w:rPr>
              <w:t>(GH¢)</w:t>
            </w:r>
          </w:p>
        </w:tc>
      </w:tr>
      <w:tr w:rsidR="005335C7" w:rsidRPr="00A14F00" w14:paraId="3E42A82D" w14:textId="77777777" w:rsidTr="00894F2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259" w:type="dxa"/>
          </w:tcPr>
          <w:p w14:paraId="0512EBD3" w14:textId="77777777" w:rsidR="005335C7" w:rsidRPr="0027242D" w:rsidRDefault="005335C7" w:rsidP="00894F2B">
            <w:pPr>
              <w:rPr>
                <w:rFonts w:ascii="Garamond" w:hAnsi="Garamond"/>
                <w:sz w:val="18"/>
                <w:szCs w:val="18"/>
              </w:rPr>
            </w:pPr>
            <w:r w:rsidRPr="0027242D">
              <w:rPr>
                <w:rFonts w:ascii="Garamond" w:hAnsi="Garamond"/>
                <w:sz w:val="18"/>
                <w:szCs w:val="18"/>
              </w:rPr>
              <w:t>Cocoa farming</w:t>
            </w:r>
          </w:p>
        </w:tc>
        <w:tc>
          <w:tcPr>
            <w:tcW w:w="3676" w:type="dxa"/>
          </w:tcPr>
          <w:p w14:paraId="41ED9EFF" w14:textId="77777777" w:rsidR="005335C7" w:rsidRPr="0027242D" w:rsidRDefault="005335C7" w:rsidP="00894F2B">
            <w:pP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27242D">
              <w:rPr>
                <w:rFonts w:ascii="Garamond" w:hAnsi="Garamond"/>
                <w:sz w:val="18"/>
                <w:szCs w:val="18"/>
              </w:rPr>
              <w:t>Indefinite Tax Holiday</w:t>
            </w:r>
          </w:p>
        </w:tc>
        <w:tc>
          <w:tcPr>
            <w:tcW w:w="1388" w:type="dxa"/>
            <w:vMerge w:val="restart"/>
          </w:tcPr>
          <w:p w14:paraId="53F96FF5" w14:textId="77777777" w:rsidR="005335C7" w:rsidRPr="0027242D" w:rsidRDefault="005335C7" w:rsidP="00894F2B">
            <w:pP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27242D">
              <w:rPr>
                <w:rFonts w:ascii="Garamond" w:hAnsi="Garamond"/>
                <w:sz w:val="18"/>
                <w:szCs w:val="18"/>
              </w:rPr>
              <w:t>64</w:t>
            </w:r>
          </w:p>
        </w:tc>
        <w:tc>
          <w:tcPr>
            <w:tcW w:w="2302" w:type="dxa"/>
            <w:vMerge w:val="restart"/>
          </w:tcPr>
          <w:p w14:paraId="2348E33F" w14:textId="77777777" w:rsidR="005335C7" w:rsidRPr="0027242D" w:rsidRDefault="005335C7" w:rsidP="00894F2B">
            <w:pP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27242D">
              <w:rPr>
                <w:rFonts w:ascii="Garamond" w:hAnsi="Garamond"/>
                <w:sz w:val="18"/>
                <w:szCs w:val="18"/>
              </w:rPr>
              <w:t>3,943,998</w:t>
            </w:r>
          </w:p>
        </w:tc>
      </w:tr>
      <w:tr w:rsidR="005335C7" w:rsidRPr="00A14F00" w14:paraId="7DA2C71A" w14:textId="77777777" w:rsidTr="00894F2B">
        <w:trPr>
          <w:trHeight w:val="290"/>
        </w:trPr>
        <w:tc>
          <w:tcPr>
            <w:cnfStyle w:val="001000000000" w:firstRow="0" w:lastRow="0" w:firstColumn="1" w:lastColumn="0" w:oddVBand="0" w:evenVBand="0" w:oddHBand="0" w:evenHBand="0" w:firstRowFirstColumn="0" w:firstRowLastColumn="0" w:lastRowFirstColumn="0" w:lastRowLastColumn="0"/>
            <w:tcW w:w="2259" w:type="dxa"/>
          </w:tcPr>
          <w:p w14:paraId="1E3A9A58" w14:textId="77777777" w:rsidR="005335C7" w:rsidRPr="0027242D" w:rsidRDefault="005335C7" w:rsidP="00894F2B">
            <w:pPr>
              <w:rPr>
                <w:rFonts w:ascii="Garamond" w:hAnsi="Garamond"/>
                <w:sz w:val="18"/>
                <w:szCs w:val="18"/>
              </w:rPr>
            </w:pPr>
            <w:r w:rsidRPr="0027242D">
              <w:rPr>
                <w:rFonts w:ascii="Garamond" w:hAnsi="Garamond"/>
                <w:sz w:val="18"/>
                <w:szCs w:val="18"/>
              </w:rPr>
              <w:t>Farming tree Crops</w:t>
            </w:r>
          </w:p>
        </w:tc>
        <w:tc>
          <w:tcPr>
            <w:tcW w:w="3676" w:type="dxa"/>
          </w:tcPr>
          <w:p w14:paraId="493FED32" w14:textId="77777777" w:rsidR="005335C7" w:rsidRPr="0027242D" w:rsidRDefault="005335C7" w:rsidP="00894F2B">
            <w:pP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27242D">
              <w:rPr>
                <w:rFonts w:ascii="Garamond" w:hAnsi="Garamond"/>
                <w:sz w:val="18"/>
                <w:szCs w:val="18"/>
              </w:rPr>
              <w:t>10 year Tax Holiday</w:t>
            </w:r>
          </w:p>
        </w:tc>
        <w:tc>
          <w:tcPr>
            <w:tcW w:w="1388" w:type="dxa"/>
            <w:vMerge/>
          </w:tcPr>
          <w:p w14:paraId="347B7F17" w14:textId="77777777" w:rsidR="005335C7" w:rsidRPr="0027242D" w:rsidRDefault="005335C7" w:rsidP="00894F2B">
            <w:pP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p>
        </w:tc>
        <w:tc>
          <w:tcPr>
            <w:tcW w:w="2302" w:type="dxa"/>
            <w:vMerge/>
          </w:tcPr>
          <w:p w14:paraId="00C76CBA" w14:textId="77777777" w:rsidR="005335C7" w:rsidRPr="0027242D" w:rsidRDefault="005335C7" w:rsidP="00894F2B">
            <w:pP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p>
        </w:tc>
      </w:tr>
      <w:tr w:rsidR="005335C7" w:rsidRPr="00A14F00" w14:paraId="04DAFE43" w14:textId="77777777" w:rsidTr="00894F2B">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259" w:type="dxa"/>
          </w:tcPr>
          <w:p w14:paraId="68BD1EBD" w14:textId="77777777" w:rsidR="005335C7" w:rsidRPr="0027242D" w:rsidRDefault="005335C7" w:rsidP="00894F2B">
            <w:pPr>
              <w:rPr>
                <w:rFonts w:ascii="Garamond" w:hAnsi="Garamond"/>
                <w:sz w:val="18"/>
                <w:szCs w:val="18"/>
              </w:rPr>
            </w:pPr>
            <w:r w:rsidRPr="0027242D">
              <w:rPr>
                <w:rFonts w:ascii="Garamond" w:hAnsi="Garamond"/>
                <w:sz w:val="18"/>
                <w:szCs w:val="18"/>
              </w:rPr>
              <w:t>Livestock (other than cattle), fish farming and cash crops</w:t>
            </w:r>
          </w:p>
        </w:tc>
        <w:tc>
          <w:tcPr>
            <w:tcW w:w="3676" w:type="dxa"/>
          </w:tcPr>
          <w:p w14:paraId="3A512C6D" w14:textId="77777777" w:rsidR="005335C7" w:rsidRPr="0027242D" w:rsidRDefault="005335C7" w:rsidP="00894F2B">
            <w:pP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27242D">
              <w:rPr>
                <w:rFonts w:ascii="Garamond" w:hAnsi="Garamond"/>
                <w:sz w:val="18"/>
                <w:szCs w:val="18"/>
              </w:rPr>
              <w:t>10 year Tax Holiday</w:t>
            </w:r>
          </w:p>
        </w:tc>
        <w:tc>
          <w:tcPr>
            <w:tcW w:w="1388" w:type="dxa"/>
            <w:vMerge/>
          </w:tcPr>
          <w:p w14:paraId="57221D6D" w14:textId="77777777" w:rsidR="005335C7" w:rsidRPr="0027242D" w:rsidRDefault="005335C7" w:rsidP="00894F2B">
            <w:pP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p>
        </w:tc>
        <w:tc>
          <w:tcPr>
            <w:tcW w:w="2302" w:type="dxa"/>
            <w:vMerge/>
          </w:tcPr>
          <w:p w14:paraId="52CFB18B" w14:textId="77777777" w:rsidR="005335C7" w:rsidRPr="0027242D" w:rsidRDefault="005335C7" w:rsidP="00894F2B">
            <w:pP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p>
        </w:tc>
      </w:tr>
      <w:tr w:rsidR="005335C7" w:rsidRPr="00A14F00" w14:paraId="5EB1FCF9" w14:textId="77777777" w:rsidTr="00894F2B">
        <w:trPr>
          <w:trHeight w:val="279"/>
        </w:trPr>
        <w:tc>
          <w:tcPr>
            <w:cnfStyle w:val="001000000000" w:firstRow="0" w:lastRow="0" w:firstColumn="1" w:lastColumn="0" w:oddVBand="0" w:evenVBand="0" w:oddHBand="0" w:evenHBand="0" w:firstRowFirstColumn="0" w:firstRowLastColumn="0" w:lastRowFirstColumn="0" w:lastRowLastColumn="0"/>
            <w:tcW w:w="2259" w:type="dxa"/>
          </w:tcPr>
          <w:p w14:paraId="6058FEDE" w14:textId="77777777" w:rsidR="005335C7" w:rsidRPr="0027242D" w:rsidRDefault="005335C7" w:rsidP="00894F2B">
            <w:pPr>
              <w:rPr>
                <w:rFonts w:ascii="Garamond" w:hAnsi="Garamond"/>
                <w:sz w:val="18"/>
                <w:szCs w:val="18"/>
              </w:rPr>
            </w:pPr>
            <w:r w:rsidRPr="0027242D">
              <w:rPr>
                <w:rFonts w:ascii="Garamond" w:hAnsi="Garamond"/>
                <w:sz w:val="18"/>
                <w:szCs w:val="18"/>
              </w:rPr>
              <w:t>Cattle farming</w:t>
            </w:r>
          </w:p>
        </w:tc>
        <w:tc>
          <w:tcPr>
            <w:tcW w:w="3676" w:type="dxa"/>
          </w:tcPr>
          <w:p w14:paraId="51368322" w14:textId="77777777" w:rsidR="005335C7" w:rsidRPr="0027242D" w:rsidRDefault="005335C7" w:rsidP="00894F2B">
            <w:pP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27242D">
              <w:rPr>
                <w:rFonts w:ascii="Garamond" w:hAnsi="Garamond"/>
                <w:sz w:val="18"/>
                <w:szCs w:val="18"/>
              </w:rPr>
              <w:t>5 year Tax Holiday</w:t>
            </w:r>
          </w:p>
        </w:tc>
        <w:tc>
          <w:tcPr>
            <w:tcW w:w="1388" w:type="dxa"/>
            <w:vMerge/>
          </w:tcPr>
          <w:p w14:paraId="33518C30" w14:textId="77777777" w:rsidR="005335C7" w:rsidRPr="0027242D" w:rsidRDefault="005335C7" w:rsidP="00894F2B">
            <w:pP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p>
        </w:tc>
        <w:tc>
          <w:tcPr>
            <w:tcW w:w="2302" w:type="dxa"/>
            <w:vMerge/>
          </w:tcPr>
          <w:p w14:paraId="5A7BE94C" w14:textId="77777777" w:rsidR="005335C7" w:rsidRPr="0027242D" w:rsidRDefault="005335C7" w:rsidP="00894F2B">
            <w:pP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p>
        </w:tc>
      </w:tr>
      <w:tr w:rsidR="005335C7" w:rsidRPr="00A14F00" w14:paraId="532FFC3D" w14:textId="77777777" w:rsidTr="00894F2B">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2259" w:type="dxa"/>
          </w:tcPr>
          <w:p w14:paraId="6D42B9AA" w14:textId="77777777" w:rsidR="005335C7" w:rsidRPr="0027242D" w:rsidRDefault="005335C7" w:rsidP="00894F2B">
            <w:pPr>
              <w:rPr>
                <w:rFonts w:ascii="Garamond" w:hAnsi="Garamond"/>
                <w:sz w:val="18"/>
                <w:szCs w:val="18"/>
              </w:rPr>
            </w:pPr>
            <w:r w:rsidRPr="0027242D">
              <w:rPr>
                <w:rFonts w:ascii="Garamond" w:hAnsi="Garamond"/>
                <w:sz w:val="18"/>
                <w:szCs w:val="18"/>
              </w:rPr>
              <w:t>Agro-processing</w:t>
            </w:r>
          </w:p>
        </w:tc>
        <w:tc>
          <w:tcPr>
            <w:tcW w:w="3676" w:type="dxa"/>
          </w:tcPr>
          <w:p w14:paraId="33D9AD76" w14:textId="77777777" w:rsidR="005335C7" w:rsidRPr="0027242D" w:rsidRDefault="005335C7" w:rsidP="00894F2B">
            <w:pP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27242D">
              <w:rPr>
                <w:rFonts w:ascii="Garamond" w:hAnsi="Garamond"/>
                <w:sz w:val="18"/>
                <w:szCs w:val="18"/>
              </w:rPr>
              <w:t>Indefinite Tax Holiday if located in the Northern, Upper East and Upper West Regions. 5 year Tax Holiday followed by lower rate for five years - 20% rate if located in Accra/Tema; 10% in other regional capitals.</w:t>
            </w:r>
          </w:p>
        </w:tc>
        <w:tc>
          <w:tcPr>
            <w:tcW w:w="1388" w:type="dxa"/>
          </w:tcPr>
          <w:p w14:paraId="40E067B3" w14:textId="77777777" w:rsidR="005335C7" w:rsidRPr="0027242D" w:rsidRDefault="005335C7" w:rsidP="00894F2B">
            <w:pP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27242D">
              <w:rPr>
                <w:rFonts w:ascii="Garamond" w:hAnsi="Garamond"/>
                <w:sz w:val="18"/>
                <w:szCs w:val="18"/>
              </w:rPr>
              <w:t>22</w:t>
            </w:r>
          </w:p>
        </w:tc>
        <w:tc>
          <w:tcPr>
            <w:tcW w:w="2302" w:type="dxa"/>
          </w:tcPr>
          <w:p w14:paraId="7BF72414" w14:textId="77777777" w:rsidR="005335C7" w:rsidRPr="0027242D" w:rsidRDefault="005335C7" w:rsidP="00894F2B">
            <w:pP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27242D">
              <w:rPr>
                <w:rFonts w:ascii="Garamond" w:hAnsi="Garamond"/>
                <w:sz w:val="18"/>
                <w:szCs w:val="18"/>
              </w:rPr>
              <w:t>508,336</w:t>
            </w:r>
          </w:p>
        </w:tc>
      </w:tr>
      <w:tr w:rsidR="005335C7" w:rsidRPr="00A14F00" w14:paraId="3D88CD58" w14:textId="77777777" w:rsidTr="00894F2B">
        <w:trPr>
          <w:trHeight w:val="908"/>
        </w:trPr>
        <w:tc>
          <w:tcPr>
            <w:cnfStyle w:val="001000000000" w:firstRow="0" w:lastRow="0" w:firstColumn="1" w:lastColumn="0" w:oddVBand="0" w:evenVBand="0" w:oddHBand="0" w:evenHBand="0" w:firstRowFirstColumn="0" w:firstRowLastColumn="0" w:lastRowFirstColumn="0" w:lastRowLastColumn="0"/>
            <w:tcW w:w="2259" w:type="dxa"/>
          </w:tcPr>
          <w:p w14:paraId="72EC9C6E" w14:textId="77777777" w:rsidR="005335C7" w:rsidRPr="0027242D" w:rsidRDefault="005335C7" w:rsidP="00894F2B">
            <w:pPr>
              <w:rPr>
                <w:rFonts w:ascii="Garamond" w:hAnsi="Garamond"/>
                <w:sz w:val="18"/>
                <w:szCs w:val="18"/>
              </w:rPr>
            </w:pPr>
            <w:r w:rsidRPr="0027242D">
              <w:rPr>
                <w:rFonts w:ascii="Garamond" w:hAnsi="Garamond"/>
                <w:sz w:val="18"/>
                <w:szCs w:val="18"/>
              </w:rPr>
              <w:t>Real Estate – construction for sale or letting out of low-cost affordable residential premises</w:t>
            </w:r>
          </w:p>
        </w:tc>
        <w:tc>
          <w:tcPr>
            <w:tcW w:w="3676" w:type="dxa"/>
          </w:tcPr>
          <w:p w14:paraId="7A3A13DB" w14:textId="77777777" w:rsidR="005335C7" w:rsidRPr="0027242D" w:rsidRDefault="005335C7" w:rsidP="00894F2B">
            <w:pP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27242D">
              <w:rPr>
                <w:rFonts w:ascii="Garamond" w:hAnsi="Garamond"/>
                <w:sz w:val="18"/>
                <w:szCs w:val="18"/>
              </w:rPr>
              <w:t>5 year Tax Holiday</w:t>
            </w:r>
          </w:p>
        </w:tc>
        <w:tc>
          <w:tcPr>
            <w:tcW w:w="1388" w:type="dxa"/>
          </w:tcPr>
          <w:p w14:paraId="2118A7FB" w14:textId="77777777" w:rsidR="005335C7" w:rsidRPr="0027242D" w:rsidRDefault="005335C7" w:rsidP="00894F2B">
            <w:pP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27242D">
              <w:rPr>
                <w:rFonts w:ascii="Garamond" w:hAnsi="Garamond"/>
                <w:sz w:val="18"/>
                <w:szCs w:val="18"/>
              </w:rPr>
              <w:t>17</w:t>
            </w:r>
          </w:p>
        </w:tc>
        <w:tc>
          <w:tcPr>
            <w:tcW w:w="2302" w:type="dxa"/>
          </w:tcPr>
          <w:p w14:paraId="49F0FF8E" w14:textId="77777777" w:rsidR="005335C7" w:rsidRPr="0027242D" w:rsidRDefault="005335C7" w:rsidP="00894F2B">
            <w:pP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27242D">
              <w:rPr>
                <w:rFonts w:ascii="Garamond" w:hAnsi="Garamond"/>
                <w:sz w:val="18"/>
                <w:szCs w:val="18"/>
              </w:rPr>
              <w:t>138,874</w:t>
            </w:r>
          </w:p>
        </w:tc>
      </w:tr>
      <w:tr w:rsidR="005335C7" w:rsidRPr="00A14F00" w14:paraId="1BD8F3EF" w14:textId="77777777" w:rsidTr="00894F2B">
        <w:trPr>
          <w:cnfStyle w:val="000000100000" w:firstRow="0" w:lastRow="0" w:firstColumn="0" w:lastColumn="0" w:oddVBand="0" w:evenVBand="0" w:oddHBand="1" w:evenHBand="0" w:firstRowFirstColumn="0" w:firstRowLastColumn="0" w:lastRowFirstColumn="0" w:lastRowLastColumn="0"/>
          <w:trHeight w:val="2060"/>
        </w:trPr>
        <w:tc>
          <w:tcPr>
            <w:cnfStyle w:val="001000000000" w:firstRow="0" w:lastRow="0" w:firstColumn="1" w:lastColumn="0" w:oddVBand="0" w:evenVBand="0" w:oddHBand="0" w:evenHBand="0" w:firstRowFirstColumn="0" w:firstRowLastColumn="0" w:lastRowFirstColumn="0" w:lastRowLastColumn="0"/>
            <w:tcW w:w="2259" w:type="dxa"/>
          </w:tcPr>
          <w:p w14:paraId="443A6BE1" w14:textId="77777777" w:rsidR="005335C7" w:rsidRPr="0027242D" w:rsidRDefault="005335C7" w:rsidP="00894F2B">
            <w:pPr>
              <w:rPr>
                <w:rFonts w:ascii="Garamond" w:hAnsi="Garamond"/>
                <w:sz w:val="18"/>
                <w:szCs w:val="18"/>
              </w:rPr>
            </w:pPr>
            <w:r w:rsidRPr="0027242D">
              <w:rPr>
                <w:rFonts w:ascii="Garamond" w:hAnsi="Garamond"/>
                <w:sz w:val="18"/>
                <w:szCs w:val="18"/>
              </w:rPr>
              <w:t>Free Zone developers and enterprises</w:t>
            </w:r>
          </w:p>
        </w:tc>
        <w:tc>
          <w:tcPr>
            <w:tcW w:w="3676" w:type="dxa"/>
          </w:tcPr>
          <w:p w14:paraId="10497873" w14:textId="18AD91F1" w:rsidR="005335C7" w:rsidRPr="0027242D" w:rsidRDefault="005335C7" w:rsidP="00894F2B">
            <w:pP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27242D">
              <w:rPr>
                <w:rFonts w:ascii="Garamond" w:hAnsi="Garamond"/>
                <w:sz w:val="18"/>
                <w:szCs w:val="18"/>
              </w:rPr>
              <w:t xml:space="preserve">The general incentive is a 10 year Tax Holiday followed a rate not higher than 8% after that. This rate could is 0% for companies located outside regional capitals and in the Northern, Upper East and Upper West regions. In other </w:t>
            </w:r>
            <w:r w:rsidR="00055214" w:rsidRPr="0027242D">
              <w:rPr>
                <w:rFonts w:ascii="Garamond" w:hAnsi="Garamond"/>
                <w:sz w:val="18"/>
                <w:szCs w:val="18"/>
              </w:rPr>
              <w:t>cases,</w:t>
            </w:r>
            <w:r w:rsidRPr="0027242D">
              <w:rPr>
                <w:rFonts w:ascii="Garamond" w:hAnsi="Garamond"/>
                <w:sz w:val="18"/>
                <w:szCs w:val="18"/>
              </w:rPr>
              <w:t xml:space="preserve"> a 10 year Tax Holiday followed 4% rate for Agro processing companies in Tema and in regional capitals; 4% for Garment and textile manufacturing companies; 5% for manufacturing companies outside regional capitals.</w:t>
            </w:r>
          </w:p>
        </w:tc>
        <w:tc>
          <w:tcPr>
            <w:tcW w:w="1388" w:type="dxa"/>
          </w:tcPr>
          <w:p w14:paraId="6D9E81DB" w14:textId="77777777" w:rsidR="005335C7" w:rsidRPr="0027242D" w:rsidRDefault="005335C7" w:rsidP="00894F2B">
            <w:pP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27242D">
              <w:rPr>
                <w:rFonts w:ascii="Garamond" w:hAnsi="Garamond"/>
                <w:sz w:val="18"/>
                <w:szCs w:val="18"/>
              </w:rPr>
              <w:t>104</w:t>
            </w:r>
          </w:p>
        </w:tc>
        <w:tc>
          <w:tcPr>
            <w:tcW w:w="2302" w:type="dxa"/>
          </w:tcPr>
          <w:p w14:paraId="74E8A398" w14:textId="77777777" w:rsidR="005335C7" w:rsidRPr="0027242D" w:rsidRDefault="005335C7" w:rsidP="00894F2B">
            <w:pP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27242D">
              <w:rPr>
                <w:rFonts w:ascii="Garamond" w:eastAsia="Times New Roman" w:hAnsi="Garamond"/>
                <w:sz w:val="18"/>
                <w:szCs w:val="18"/>
              </w:rPr>
              <w:t>42,333,818</w:t>
            </w:r>
          </w:p>
        </w:tc>
      </w:tr>
      <w:tr w:rsidR="005335C7" w:rsidRPr="00A14F00" w14:paraId="24BFE33D" w14:textId="77777777" w:rsidTr="00894F2B">
        <w:trPr>
          <w:trHeight w:val="559"/>
        </w:trPr>
        <w:tc>
          <w:tcPr>
            <w:cnfStyle w:val="001000000000" w:firstRow="0" w:lastRow="0" w:firstColumn="1" w:lastColumn="0" w:oddVBand="0" w:evenVBand="0" w:oddHBand="0" w:evenHBand="0" w:firstRowFirstColumn="0" w:firstRowLastColumn="0" w:lastRowFirstColumn="0" w:lastRowLastColumn="0"/>
            <w:tcW w:w="2259" w:type="dxa"/>
          </w:tcPr>
          <w:p w14:paraId="6D12D916" w14:textId="77777777" w:rsidR="005335C7" w:rsidRPr="0027242D" w:rsidRDefault="005335C7" w:rsidP="00894F2B">
            <w:pPr>
              <w:rPr>
                <w:rFonts w:ascii="Garamond" w:hAnsi="Garamond"/>
                <w:sz w:val="18"/>
                <w:szCs w:val="18"/>
              </w:rPr>
            </w:pPr>
            <w:r w:rsidRPr="0027242D">
              <w:rPr>
                <w:rFonts w:ascii="Garamond" w:hAnsi="Garamond"/>
                <w:sz w:val="18"/>
                <w:szCs w:val="18"/>
              </w:rPr>
              <w:t>Venture Capital Financing Company</w:t>
            </w:r>
          </w:p>
        </w:tc>
        <w:tc>
          <w:tcPr>
            <w:tcW w:w="3676" w:type="dxa"/>
          </w:tcPr>
          <w:p w14:paraId="071F02DA" w14:textId="77777777" w:rsidR="005335C7" w:rsidRPr="0027242D" w:rsidRDefault="005335C7" w:rsidP="00894F2B">
            <w:pP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27242D">
              <w:rPr>
                <w:rFonts w:ascii="Garamond" w:hAnsi="Garamond"/>
                <w:sz w:val="18"/>
                <w:szCs w:val="18"/>
              </w:rPr>
              <w:t xml:space="preserve">10 year Tax Holiday </w:t>
            </w:r>
          </w:p>
        </w:tc>
        <w:tc>
          <w:tcPr>
            <w:tcW w:w="1388" w:type="dxa"/>
          </w:tcPr>
          <w:p w14:paraId="4BBD215D" w14:textId="77777777" w:rsidR="005335C7" w:rsidRPr="0027242D" w:rsidRDefault="005335C7" w:rsidP="00894F2B">
            <w:pP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27242D">
              <w:rPr>
                <w:rFonts w:ascii="Garamond" w:hAnsi="Garamond"/>
                <w:sz w:val="18"/>
                <w:szCs w:val="18"/>
              </w:rPr>
              <w:t>5</w:t>
            </w:r>
          </w:p>
        </w:tc>
        <w:tc>
          <w:tcPr>
            <w:tcW w:w="2302" w:type="dxa"/>
          </w:tcPr>
          <w:p w14:paraId="31B5C128" w14:textId="77777777" w:rsidR="005335C7" w:rsidRPr="0027242D" w:rsidRDefault="005335C7" w:rsidP="00894F2B">
            <w:pP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27242D">
              <w:rPr>
                <w:rFonts w:ascii="Garamond" w:hAnsi="Garamond"/>
                <w:sz w:val="18"/>
                <w:szCs w:val="18"/>
              </w:rPr>
              <w:t>779,779</w:t>
            </w:r>
          </w:p>
        </w:tc>
      </w:tr>
      <w:tr w:rsidR="005335C7" w:rsidRPr="00A14F00" w14:paraId="3E710C7C" w14:textId="77777777" w:rsidTr="00894F2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259" w:type="dxa"/>
          </w:tcPr>
          <w:p w14:paraId="707D6E7A" w14:textId="77777777" w:rsidR="005335C7" w:rsidRPr="0027242D" w:rsidRDefault="005335C7" w:rsidP="00894F2B">
            <w:pPr>
              <w:rPr>
                <w:rFonts w:ascii="Garamond" w:hAnsi="Garamond"/>
                <w:sz w:val="18"/>
                <w:szCs w:val="18"/>
              </w:rPr>
            </w:pPr>
            <w:r w:rsidRPr="0027242D">
              <w:rPr>
                <w:rFonts w:ascii="Garamond" w:hAnsi="Garamond"/>
                <w:sz w:val="18"/>
                <w:szCs w:val="18"/>
              </w:rPr>
              <w:t>Rural Banks</w:t>
            </w:r>
          </w:p>
        </w:tc>
        <w:tc>
          <w:tcPr>
            <w:tcW w:w="3676" w:type="dxa"/>
          </w:tcPr>
          <w:p w14:paraId="17043DED" w14:textId="77777777" w:rsidR="005335C7" w:rsidRPr="0027242D" w:rsidRDefault="005335C7" w:rsidP="00894F2B">
            <w:pP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27242D">
              <w:rPr>
                <w:rFonts w:ascii="Garamond" w:hAnsi="Garamond"/>
                <w:sz w:val="18"/>
                <w:szCs w:val="18"/>
              </w:rPr>
              <w:t>10 year Tax Holiday followed by 8% rate</w:t>
            </w:r>
          </w:p>
        </w:tc>
        <w:tc>
          <w:tcPr>
            <w:tcW w:w="1388" w:type="dxa"/>
          </w:tcPr>
          <w:p w14:paraId="18C86D77" w14:textId="77777777" w:rsidR="005335C7" w:rsidRPr="0027242D" w:rsidRDefault="005335C7" w:rsidP="00894F2B">
            <w:pP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27242D">
              <w:rPr>
                <w:rFonts w:ascii="Garamond" w:hAnsi="Garamond"/>
                <w:sz w:val="18"/>
                <w:szCs w:val="18"/>
              </w:rPr>
              <w:t>87</w:t>
            </w:r>
          </w:p>
        </w:tc>
        <w:tc>
          <w:tcPr>
            <w:tcW w:w="2302" w:type="dxa"/>
          </w:tcPr>
          <w:p w14:paraId="5C1C22D4" w14:textId="77777777" w:rsidR="005335C7" w:rsidRPr="0027242D" w:rsidRDefault="005335C7" w:rsidP="00894F2B">
            <w:pP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27242D">
              <w:rPr>
                <w:rFonts w:ascii="Garamond" w:hAnsi="Garamond"/>
                <w:sz w:val="18"/>
                <w:szCs w:val="18"/>
              </w:rPr>
              <w:t>11,701,015</w:t>
            </w:r>
          </w:p>
        </w:tc>
      </w:tr>
      <w:tr w:rsidR="005335C7" w:rsidRPr="00A14F00" w14:paraId="7B35A53C" w14:textId="77777777" w:rsidTr="00894F2B">
        <w:trPr>
          <w:trHeight w:val="548"/>
        </w:trPr>
        <w:tc>
          <w:tcPr>
            <w:cnfStyle w:val="001000000000" w:firstRow="0" w:lastRow="0" w:firstColumn="1" w:lastColumn="0" w:oddVBand="0" w:evenVBand="0" w:oddHBand="0" w:evenHBand="0" w:firstRowFirstColumn="0" w:firstRowLastColumn="0" w:lastRowFirstColumn="0" w:lastRowLastColumn="0"/>
            <w:tcW w:w="2259" w:type="dxa"/>
          </w:tcPr>
          <w:p w14:paraId="11F8D95A" w14:textId="77777777" w:rsidR="005335C7" w:rsidRPr="0027242D" w:rsidRDefault="005335C7" w:rsidP="00894F2B">
            <w:pPr>
              <w:rPr>
                <w:rFonts w:ascii="Garamond" w:hAnsi="Garamond"/>
                <w:sz w:val="18"/>
                <w:szCs w:val="18"/>
              </w:rPr>
            </w:pPr>
            <w:r w:rsidRPr="0027242D">
              <w:rPr>
                <w:rFonts w:ascii="Garamond" w:hAnsi="Garamond"/>
                <w:sz w:val="18"/>
                <w:szCs w:val="18"/>
              </w:rPr>
              <w:t>Waste Processing and Recycling</w:t>
            </w:r>
          </w:p>
        </w:tc>
        <w:tc>
          <w:tcPr>
            <w:tcW w:w="3676" w:type="dxa"/>
          </w:tcPr>
          <w:p w14:paraId="12B6FF2E" w14:textId="77777777" w:rsidR="005335C7" w:rsidRPr="0027242D" w:rsidRDefault="005335C7" w:rsidP="00894F2B">
            <w:pP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27242D">
              <w:rPr>
                <w:rFonts w:ascii="Garamond" w:hAnsi="Garamond"/>
                <w:sz w:val="18"/>
                <w:szCs w:val="18"/>
              </w:rPr>
              <w:t>7 year Tax Holiday</w:t>
            </w:r>
          </w:p>
        </w:tc>
        <w:tc>
          <w:tcPr>
            <w:tcW w:w="1388" w:type="dxa"/>
          </w:tcPr>
          <w:p w14:paraId="11684501" w14:textId="77777777" w:rsidR="005335C7" w:rsidRPr="0027242D" w:rsidRDefault="005335C7" w:rsidP="00894F2B">
            <w:pP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27242D">
              <w:rPr>
                <w:rFonts w:ascii="Garamond" w:hAnsi="Garamond"/>
                <w:sz w:val="18"/>
                <w:szCs w:val="18"/>
              </w:rPr>
              <w:t>6</w:t>
            </w:r>
          </w:p>
        </w:tc>
        <w:tc>
          <w:tcPr>
            <w:tcW w:w="2302" w:type="dxa"/>
          </w:tcPr>
          <w:p w14:paraId="682C012A" w14:textId="77777777" w:rsidR="005335C7" w:rsidRPr="0027242D" w:rsidRDefault="005335C7" w:rsidP="00894F2B">
            <w:pP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27242D">
              <w:rPr>
                <w:rFonts w:ascii="Garamond" w:hAnsi="Garamond"/>
                <w:sz w:val="18"/>
                <w:szCs w:val="18"/>
              </w:rPr>
              <w:t>3,188</w:t>
            </w:r>
          </w:p>
        </w:tc>
      </w:tr>
      <w:tr w:rsidR="005335C7" w:rsidRPr="00A14F00" w14:paraId="2612A58D" w14:textId="77777777" w:rsidTr="00894F2B">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259" w:type="dxa"/>
          </w:tcPr>
          <w:p w14:paraId="5410EE19" w14:textId="77777777" w:rsidR="005335C7" w:rsidRPr="0027242D" w:rsidRDefault="005335C7" w:rsidP="00894F2B">
            <w:pPr>
              <w:rPr>
                <w:rFonts w:ascii="Garamond" w:hAnsi="Garamond"/>
                <w:sz w:val="18"/>
                <w:szCs w:val="18"/>
              </w:rPr>
            </w:pPr>
            <w:r w:rsidRPr="0027242D">
              <w:rPr>
                <w:rFonts w:ascii="Garamond" w:hAnsi="Garamond"/>
                <w:sz w:val="18"/>
                <w:szCs w:val="18"/>
              </w:rPr>
              <w:t>Companies listed on the Ghana Stock Exchange</w:t>
            </w:r>
          </w:p>
        </w:tc>
        <w:tc>
          <w:tcPr>
            <w:tcW w:w="3676" w:type="dxa"/>
          </w:tcPr>
          <w:p w14:paraId="288B264D" w14:textId="77777777" w:rsidR="005335C7" w:rsidRPr="0027242D" w:rsidRDefault="005335C7" w:rsidP="00894F2B">
            <w:pP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27242D">
              <w:rPr>
                <w:rFonts w:ascii="Garamond" w:hAnsi="Garamond"/>
                <w:sz w:val="18"/>
                <w:szCs w:val="18"/>
              </w:rPr>
              <w:t>22% rate for first three years (regular rate 25%)</w:t>
            </w:r>
          </w:p>
        </w:tc>
        <w:tc>
          <w:tcPr>
            <w:tcW w:w="1388" w:type="dxa"/>
          </w:tcPr>
          <w:p w14:paraId="7D491D0E" w14:textId="77777777" w:rsidR="005335C7" w:rsidRPr="0027242D" w:rsidRDefault="005335C7" w:rsidP="00894F2B">
            <w:pP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27242D">
              <w:rPr>
                <w:rFonts w:ascii="Garamond" w:hAnsi="Garamond"/>
                <w:sz w:val="18"/>
                <w:szCs w:val="18"/>
              </w:rPr>
              <w:t>18</w:t>
            </w:r>
          </w:p>
        </w:tc>
        <w:tc>
          <w:tcPr>
            <w:tcW w:w="2302" w:type="dxa"/>
          </w:tcPr>
          <w:p w14:paraId="78EC8E0E" w14:textId="77777777" w:rsidR="005335C7" w:rsidRPr="0027242D" w:rsidRDefault="005335C7" w:rsidP="00894F2B">
            <w:pP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27242D">
              <w:rPr>
                <w:rFonts w:ascii="Garamond" w:hAnsi="Garamond"/>
                <w:sz w:val="18"/>
                <w:szCs w:val="18"/>
              </w:rPr>
              <w:t>5,866,520</w:t>
            </w:r>
          </w:p>
        </w:tc>
      </w:tr>
      <w:tr w:rsidR="005335C7" w:rsidRPr="00A14F00" w14:paraId="0661720C" w14:textId="77777777" w:rsidTr="00894F2B">
        <w:trPr>
          <w:trHeight w:val="827"/>
        </w:trPr>
        <w:tc>
          <w:tcPr>
            <w:cnfStyle w:val="001000000000" w:firstRow="0" w:lastRow="0" w:firstColumn="1" w:lastColumn="0" w:oddVBand="0" w:evenVBand="0" w:oddHBand="0" w:evenHBand="0" w:firstRowFirstColumn="0" w:firstRowLastColumn="0" w:lastRowFirstColumn="0" w:lastRowLastColumn="0"/>
            <w:tcW w:w="2259" w:type="dxa"/>
          </w:tcPr>
          <w:p w14:paraId="3465CC71" w14:textId="77777777" w:rsidR="005335C7" w:rsidRPr="0027242D" w:rsidRDefault="005335C7" w:rsidP="00894F2B">
            <w:pPr>
              <w:rPr>
                <w:rFonts w:ascii="Garamond" w:hAnsi="Garamond"/>
                <w:sz w:val="18"/>
                <w:szCs w:val="18"/>
              </w:rPr>
            </w:pPr>
            <w:r w:rsidRPr="0027242D">
              <w:rPr>
                <w:rFonts w:ascii="Garamond" w:hAnsi="Garamond"/>
                <w:sz w:val="18"/>
                <w:szCs w:val="18"/>
              </w:rPr>
              <w:t>Manufacturing companies other than Accra/Tema</w:t>
            </w:r>
          </w:p>
        </w:tc>
        <w:tc>
          <w:tcPr>
            <w:tcW w:w="3676" w:type="dxa"/>
          </w:tcPr>
          <w:p w14:paraId="4060EA0F" w14:textId="77777777" w:rsidR="005335C7" w:rsidRPr="0027242D" w:rsidRDefault="005335C7" w:rsidP="00894F2B">
            <w:pP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27242D">
              <w:rPr>
                <w:rFonts w:ascii="Garamond" w:hAnsi="Garamond"/>
                <w:sz w:val="18"/>
                <w:szCs w:val="18"/>
              </w:rPr>
              <w:t>18.75% in regional capitals and 12.5% elsewhere</w:t>
            </w:r>
          </w:p>
        </w:tc>
        <w:tc>
          <w:tcPr>
            <w:tcW w:w="1388" w:type="dxa"/>
          </w:tcPr>
          <w:p w14:paraId="61002793" w14:textId="77777777" w:rsidR="005335C7" w:rsidRPr="0027242D" w:rsidRDefault="005335C7" w:rsidP="00894F2B">
            <w:pP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27242D">
              <w:rPr>
                <w:rFonts w:ascii="Garamond" w:hAnsi="Garamond"/>
                <w:sz w:val="18"/>
                <w:szCs w:val="18"/>
              </w:rPr>
              <w:t>32</w:t>
            </w:r>
          </w:p>
        </w:tc>
        <w:tc>
          <w:tcPr>
            <w:tcW w:w="2302" w:type="dxa"/>
          </w:tcPr>
          <w:p w14:paraId="5DFB2258" w14:textId="77777777" w:rsidR="005335C7" w:rsidRPr="0027242D" w:rsidRDefault="005335C7" w:rsidP="00894F2B">
            <w:pP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27242D">
              <w:rPr>
                <w:rFonts w:ascii="Garamond" w:hAnsi="Garamond"/>
                <w:sz w:val="18"/>
                <w:szCs w:val="18"/>
              </w:rPr>
              <w:t>26,570,549</w:t>
            </w:r>
          </w:p>
        </w:tc>
      </w:tr>
      <w:tr w:rsidR="005335C7" w:rsidRPr="00A14F00" w14:paraId="6C6907F0" w14:textId="77777777" w:rsidTr="00894F2B">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259" w:type="dxa"/>
          </w:tcPr>
          <w:p w14:paraId="6360F54C" w14:textId="77777777" w:rsidR="005335C7" w:rsidRPr="0027242D" w:rsidRDefault="005335C7" w:rsidP="00894F2B">
            <w:pPr>
              <w:rPr>
                <w:rFonts w:ascii="Garamond" w:hAnsi="Garamond"/>
                <w:sz w:val="18"/>
                <w:szCs w:val="18"/>
              </w:rPr>
            </w:pPr>
            <w:r w:rsidRPr="0027242D">
              <w:rPr>
                <w:rFonts w:ascii="Garamond" w:hAnsi="Garamond"/>
                <w:sz w:val="18"/>
                <w:szCs w:val="18"/>
              </w:rPr>
              <w:t>Hotels</w:t>
            </w:r>
          </w:p>
        </w:tc>
        <w:tc>
          <w:tcPr>
            <w:tcW w:w="3676" w:type="dxa"/>
          </w:tcPr>
          <w:p w14:paraId="19AF54A1" w14:textId="77777777" w:rsidR="005335C7" w:rsidRPr="0027242D" w:rsidRDefault="005335C7" w:rsidP="00894F2B">
            <w:pP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27242D">
              <w:rPr>
                <w:rFonts w:ascii="Garamond" w:hAnsi="Garamond"/>
                <w:sz w:val="18"/>
                <w:szCs w:val="18"/>
              </w:rPr>
              <w:t>20%</w:t>
            </w:r>
          </w:p>
        </w:tc>
        <w:tc>
          <w:tcPr>
            <w:tcW w:w="1388" w:type="dxa"/>
          </w:tcPr>
          <w:p w14:paraId="764E6D2A" w14:textId="77777777" w:rsidR="005335C7" w:rsidRPr="0027242D" w:rsidRDefault="005335C7" w:rsidP="00894F2B">
            <w:pP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27242D">
              <w:rPr>
                <w:rFonts w:ascii="Garamond" w:hAnsi="Garamond"/>
                <w:sz w:val="18"/>
                <w:szCs w:val="18"/>
              </w:rPr>
              <w:t>137</w:t>
            </w:r>
          </w:p>
        </w:tc>
        <w:tc>
          <w:tcPr>
            <w:tcW w:w="2302" w:type="dxa"/>
          </w:tcPr>
          <w:p w14:paraId="39BEEBCE" w14:textId="77777777" w:rsidR="005335C7" w:rsidRPr="0027242D" w:rsidRDefault="005335C7" w:rsidP="00894F2B">
            <w:pP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27242D">
              <w:rPr>
                <w:rFonts w:ascii="Garamond" w:hAnsi="Garamond"/>
                <w:sz w:val="18"/>
                <w:szCs w:val="18"/>
              </w:rPr>
              <w:t>862,221</w:t>
            </w:r>
          </w:p>
        </w:tc>
      </w:tr>
      <w:tr w:rsidR="005335C7" w:rsidRPr="00A14F00" w14:paraId="08BD09E4" w14:textId="77777777" w:rsidTr="00894F2B">
        <w:trPr>
          <w:trHeight w:val="559"/>
        </w:trPr>
        <w:tc>
          <w:tcPr>
            <w:cnfStyle w:val="001000000000" w:firstRow="0" w:lastRow="0" w:firstColumn="1" w:lastColumn="0" w:oddVBand="0" w:evenVBand="0" w:oddHBand="0" w:evenHBand="0" w:firstRowFirstColumn="0" w:firstRowLastColumn="0" w:lastRowFirstColumn="0" w:lastRowLastColumn="0"/>
            <w:tcW w:w="2259" w:type="dxa"/>
          </w:tcPr>
          <w:p w14:paraId="146274AE" w14:textId="77777777" w:rsidR="005335C7" w:rsidRPr="0027242D" w:rsidRDefault="005335C7" w:rsidP="00894F2B">
            <w:pPr>
              <w:rPr>
                <w:rFonts w:ascii="Garamond" w:hAnsi="Garamond"/>
                <w:sz w:val="18"/>
                <w:szCs w:val="18"/>
              </w:rPr>
            </w:pPr>
            <w:r w:rsidRPr="0027242D">
              <w:rPr>
                <w:rFonts w:ascii="Garamond" w:hAnsi="Garamond"/>
                <w:sz w:val="18"/>
                <w:szCs w:val="18"/>
              </w:rPr>
              <w:t>Financial institutions – income derived from loans to farming enterprises and leasing enterprises</w:t>
            </w:r>
          </w:p>
        </w:tc>
        <w:tc>
          <w:tcPr>
            <w:tcW w:w="3676" w:type="dxa"/>
          </w:tcPr>
          <w:p w14:paraId="2022FFAB" w14:textId="77777777" w:rsidR="005335C7" w:rsidRPr="0027242D" w:rsidRDefault="005335C7" w:rsidP="00894F2B">
            <w:pP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27242D">
              <w:rPr>
                <w:rFonts w:ascii="Garamond" w:hAnsi="Garamond"/>
                <w:sz w:val="18"/>
                <w:szCs w:val="18"/>
              </w:rPr>
              <w:t>20%</w:t>
            </w:r>
          </w:p>
        </w:tc>
        <w:tc>
          <w:tcPr>
            <w:tcW w:w="1388" w:type="dxa"/>
          </w:tcPr>
          <w:p w14:paraId="79B70F65" w14:textId="77777777" w:rsidR="005335C7" w:rsidRPr="0027242D" w:rsidRDefault="005335C7" w:rsidP="00894F2B">
            <w:pP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27242D">
              <w:rPr>
                <w:rFonts w:ascii="Garamond" w:hAnsi="Garamond"/>
                <w:sz w:val="18"/>
                <w:szCs w:val="18"/>
              </w:rPr>
              <w:t>11</w:t>
            </w:r>
          </w:p>
        </w:tc>
        <w:tc>
          <w:tcPr>
            <w:tcW w:w="2302" w:type="dxa"/>
          </w:tcPr>
          <w:p w14:paraId="7ED69272" w14:textId="77777777" w:rsidR="005335C7" w:rsidRPr="0027242D" w:rsidRDefault="005335C7" w:rsidP="00894F2B">
            <w:pP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27242D">
              <w:rPr>
                <w:rFonts w:ascii="Garamond" w:hAnsi="Garamond"/>
                <w:sz w:val="18"/>
                <w:szCs w:val="18"/>
              </w:rPr>
              <w:t>442,362</w:t>
            </w:r>
          </w:p>
        </w:tc>
      </w:tr>
      <w:tr w:rsidR="005335C7" w:rsidRPr="00A14F00" w14:paraId="75D74EED" w14:textId="77777777" w:rsidTr="00894F2B">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259" w:type="dxa"/>
          </w:tcPr>
          <w:p w14:paraId="573127A6" w14:textId="77777777" w:rsidR="005335C7" w:rsidRPr="0027242D" w:rsidRDefault="005335C7" w:rsidP="00894F2B">
            <w:pPr>
              <w:rPr>
                <w:rFonts w:ascii="Garamond" w:hAnsi="Garamond"/>
                <w:sz w:val="18"/>
                <w:szCs w:val="18"/>
              </w:rPr>
            </w:pPr>
            <w:r w:rsidRPr="0027242D">
              <w:rPr>
                <w:rFonts w:ascii="Garamond" w:hAnsi="Garamond"/>
                <w:sz w:val="18"/>
                <w:szCs w:val="18"/>
              </w:rPr>
              <w:t>Companies engaged in Non-traditional exports</w:t>
            </w:r>
          </w:p>
        </w:tc>
        <w:tc>
          <w:tcPr>
            <w:tcW w:w="3676" w:type="dxa"/>
          </w:tcPr>
          <w:p w14:paraId="13CAF183" w14:textId="77777777" w:rsidR="005335C7" w:rsidRPr="0027242D" w:rsidRDefault="005335C7" w:rsidP="00894F2B">
            <w:pP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27242D">
              <w:rPr>
                <w:rFonts w:ascii="Garamond" w:hAnsi="Garamond"/>
                <w:sz w:val="18"/>
                <w:szCs w:val="18"/>
              </w:rPr>
              <w:t>8%</w:t>
            </w:r>
          </w:p>
        </w:tc>
        <w:tc>
          <w:tcPr>
            <w:tcW w:w="1388" w:type="dxa"/>
          </w:tcPr>
          <w:p w14:paraId="6B9FD8C6" w14:textId="77777777" w:rsidR="005335C7" w:rsidRPr="0027242D" w:rsidRDefault="005335C7" w:rsidP="00894F2B">
            <w:pP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27242D">
              <w:rPr>
                <w:rFonts w:ascii="Garamond" w:hAnsi="Garamond"/>
                <w:sz w:val="18"/>
                <w:szCs w:val="18"/>
              </w:rPr>
              <w:t>13</w:t>
            </w:r>
          </w:p>
        </w:tc>
        <w:tc>
          <w:tcPr>
            <w:tcW w:w="2302" w:type="dxa"/>
          </w:tcPr>
          <w:p w14:paraId="6E4C07E2" w14:textId="77777777" w:rsidR="005335C7" w:rsidRPr="0027242D" w:rsidRDefault="005335C7" w:rsidP="00894F2B">
            <w:pPr>
              <w:cnfStyle w:val="000000100000" w:firstRow="0" w:lastRow="0" w:firstColumn="0" w:lastColumn="0" w:oddVBand="0" w:evenVBand="0" w:oddHBand="1" w:evenHBand="0" w:firstRowFirstColumn="0" w:firstRowLastColumn="0" w:lastRowFirstColumn="0" w:lastRowLastColumn="0"/>
              <w:rPr>
                <w:rFonts w:ascii="Garamond" w:hAnsi="Garamond"/>
                <w:sz w:val="18"/>
                <w:szCs w:val="18"/>
              </w:rPr>
            </w:pPr>
            <w:r w:rsidRPr="0027242D">
              <w:rPr>
                <w:rFonts w:ascii="Garamond" w:hAnsi="Garamond"/>
                <w:sz w:val="18"/>
                <w:szCs w:val="18"/>
              </w:rPr>
              <w:t>609,495</w:t>
            </w:r>
          </w:p>
        </w:tc>
      </w:tr>
      <w:tr w:rsidR="005335C7" w:rsidRPr="00A14F00" w14:paraId="464C3C83" w14:textId="77777777" w:rsidTr="00894F2B">
        <w:trPr>
          <w:trHeight w:val="440"/>
        </w:trPr>
        <w:tc>
          <w:tcPr>
            <w:cnfStyle w:val="001000000000" w:firstRow="0" w:lastRow="0" w:firstColumn="1" w:lastColumn="0" w:oddVBand="0" w:evenVBand="0" w:oddHBand="0" w:evenHBand="0" w:firstRowFirstColumn="0" w:firstRowLastColumn="0" w:lastRowFirstColumn="0" w:lastRowLastColumn="0"/>
            <w:tcW w:w="7323" w:type="dxa"/>
            <w:gridSpan w:val="3"/>
          </w:tcPr>
          <w:p w14:paraId="5FFBD49B" w14:textId="77777777" w:rsidR="005335C7" w:rsidRPr="0027242D" w:rsidRDefault="005335C7" w:rsidP="00894F2B">
            <w:pPr>
              <w:rPr>
                <w:rFonts w:ascii="Garamond" w:hAnsi="Garamond"/>
                <w:sz w:val="18"/>
                <w:szCs w:val="18"/>
              </w:rPr>
            </w:pPr>
            <w:r w:rsidRPr="0027242D">
              <w:rPr>
                <w:rFonts w:ascii="Garamond" w:hAnsi="Garamond"/>
                <w:sz w:val="18"/>
                <w:szCs w:val="18"/>
              </w:rPr>
              <w:t>Total for 2013</w:t>
            </w:r>
          </w:p>
        </w:tc>
        <w:tc>
          <w:tcPr>
            <w:tcW w:w="2302" w:type="dxa"/>
          </w:tcPr>
          <w:p w14:paraId="5B18178C" w14:textId="77777777" w:rsidR="005335C7" w:rsidRPr="0027242D" w:rsidRDefault="005335C7" w:rsidP="00894F2B">
            <w:pPr>
              <w:cnfStyle w:val="000000000000" w:firstRow="0" w:lastRow="0" w:firstColumn="0" w:lastColumn="0" w:oddVBand="0" w:evenVBand="0" w:oddHBand="0" w:evenHBand="0" w:firstRowFirstColumn="0" w:firstRowLastColumn="0" w:lastRowFirstColumn="0" w:lastRowLastColumn="0"/>
              <w:rPr>
                <w:rFonts w:ascii="Garamond" w:hAnsi="Garamond"/>
                <w:sz w:val="18"/>
                <w:szCs w:val="18"/>
              </w:rPr>
            </w:pPr>
            <w:r w:rsidRPr="0027242D">
              <w:rPr>
                <w:rFonts w:ascii="Garamond" w:hAnsi="Garamond"/>
                <w:sz w:val="18"/>
                <w:szCs w:val="18"/>
              </w:rPr>
              <w:t>93,760,153</w:t>
            </w:r>
          </w:p>
        </w:tc>
      </w:tr>
    </w:tbl>
    <w:p w14:paraId="75BA4195" w14:textId="77777777" w:rsidR="005335C7" w:rsidRDefault="005335C7" w:rsidP="005335C7">
      <w:pPr>
        <w:jc w:val="both"/>
        <w:rPr>
          <w:rFonts w:ascii="Garamond" w:hAnsi="Garamond" w:cs="Times New Roman"/>
          <w:sz w:val="20"/>
          <w:szCs w:val="20"/>
        </w:rPr>
      </w:pPr>
      <w:r w:rsidRPr="00A14F00">
        <w:rPr>
          <w:rFonts w:ascii="Garamond" w:hAnsi="Garamond" w:cs="Times New Roman"/>
          <w:sz w:val="20"/>
          <w:szCs w:val="20"/>
        </w:rPr>
        <w:t xml:space="preserve">Source: </w:t>
      </w:r>
      <w:r>
        <w:rPr>
          <w:rFonts w:ascii="Garamond" w:hAnsi="Garamond" w:cs="Times New Roman"/>
          <w:sz w:val="20"/>
          <w:szCs w:val="20"/>
        </w:rPr>
        <w:t xml:space="preserve">MoF </w:t>
      </w:r>
      <w:r w:rsidRPr="00A14F00">
        <w:rPr>
          <w:rFonts w:ascii="Garamond" w:hAnsi="Garamond" w:cs="Times New Roman"/>
          <w:sz w:val="20"/>
          <w:szCs w:val="20"/>
        </w:rPr>
        <w:t>Tax Expenditure Committee</w:t>
      </w:r>
    </w:p>
    <w:p w14:paraId="0572E2B9" w14:textId="77777777" w:rsidR="005335C7" w:rsidRPr="00E45355" w:rsidRDefault="005335C7" w:rsidP="00894F2B">
      <w:pPr>
        <w:pStyle w:val="Heading2"/>
      </w:pPr>
      <w:bookmarkStart w:id="108" w:name="_Toc479624890"/>
      <w:r w:rsidRPr="00E45355">
        <w:lastRenderedPageBreak/>
        <w:t xml:space="preserve">Annex </w:t>
      </w:r>
      <w:r w:rsidR="00AD66D6">
        <w:t>2.6</w:t>
      </w:r>
      <w:r w:rsidRPr="00E45355">
        <w:t>: Tax Expenditures on VAT on Domestic Value Addition</w:t>
      </w:r>
      <w:bookmarkEnd w:id="108"/>
    </w:p>
    <w:p w14:paraId="237094C5" w14:textId="77777777" w:rsidR="005335C7" w:rsidRPr="000761E2" w:rsidRDefault="00116C2A" w:rsidP="00116C2A">
      <w:pPr>
        <w:pStyle w:val="Caption"/>
        <w:rPr>
          <w:b w:val="0"/>
        </w:rPr>
      </w:pPr>
      <w:bookmarkStart w:id="109" w:name="_Toc478837637"/>
      <w:r>
        <w:t xml:space="preserve">Table </w:t>
      </w:r>
      <w:r w:rsidR="00500291">
        <w:fldChar w:fldCharType="begin"/>
      </w:r>
      <w:r w:rsidR="00500291">
        <w:instrText xml:space="preserve"> STYLEREF 1 \s </w:instrText>
      </w:r>
      <w:r w:rsidR="00500291">
        <w:fldChar w:fldCharType="separate"/>
      </w:r>
      <w:r w:rsidR="007B1CE6">
        <w:rPr>
          <w:noProof/>
        </w:rPr>
        <w:t>2</w:t>
      </w:r>
      <w:r w:rsidR="00500291">
        <w:fldChar w:fldCharType="end"/>
      </w:r>
      <w:r w:rsidR="00500291">
        <w:t>.</w:t>
      </w:r>
      <w:r w:rsidR="00500291">
        <w:fldChar w:fldCharType="begin"/>
      </w:r>
      <w:r w:rsidR="00500291">
        <w:instrText xml:space="preserve"> SEQ Table \* ARABIC \s 1 </w:instrText>
      </w:r>
      <w:r w:rsidR="00500291">
        <w:fldChar w:fldCharType="separate"/>
      </w:r>
      <w:r w:rsidR="007B1CE6">
        <w:rPr>
          <w:noProof/>
        </w:rPr>
        <w:t>16</w:t>
      </w:r>
      <w:r w:rsidR="00500291">
        <w:fldChar w:fldCharType="end"/>
      </w:r>
      <w:r w:rsidR="005335C7">
        <w:t>: Tax Expenditures on VAT on Domestic Value Addition</w:t>
      </w:r>
      <w:bookmarkEnd w:id="109"/>
    </w:p>
    <w:tbl>
      <w:tblPr>
        <w:tblStyle w:val="GridTable6Colorful1"/>
        <w:tblW w:w="7920" w:type="dxa"/>
        <w:jc w:val="center"/>
        <w:tblLook w:val="04A0" w:firstRow="1" w:lastRow="0" w:firstColumn="1" w:lastColumn="0" w:noHBand="0" w:noVBand="1"/>
      </w:tblPr>
      <w:tblGrid>
        <w:gridCol w:w="2643"/>
        <w:gridCol w:w="1772"/>
        <w:gridCol w:w="1772"/>
        <w:gridCol w:w="1733"/>
      </w:tblGrid>
      <w:tr w:rsidR="005335C7" w:rsidRPr="00FC2299" w14:paraId="5F667C5F" w14:textId="77777777" w:rsidTr="00894F2B">
        <w:trPr>
          <w:cnfStyle w:val="100000000000" w:firstRow="1" w:lastRow="0" w:firstColumn="0" w:lastColumn="0" w:oddVBand="0" w:evenVBand="0" w:oddHBand="0" w:evenHBand="0" w:firstRowFirstColumn="0" w:firstRowLastColumn="0" w:lastRowFirstColumn="0" w:lastRowLastColumn="0"/>
          <w:trHeight w:val="765"/>
          <w:jc w:val="center"/>
        </w:trPr>
        <w:tc>
          <w:tcPr>
            <w:cnfStyle w:val="001000000000" w:firstRow="0" w:lastRow="0" w:firstColumn="1" w:lastColumn="0" w:oddVBand="0" w:evenVBand="0" w:oddHBand="0" w:evenHBand="0" w:firstRowFirstColumn="0" w:firstRowLastColumn="0" w:lastRowFirstColumn="0" w:lastRowLastColumn="0"/>
            <w:tcW w:w="2643" w:type="dxa"/>
            <w:hideMark/>
          </w:tcPr>
          <w:p w14:paraId="310820EF" w14:textId="77777777" w:rsidR="005335C7" w:rsidRPr="0027242D" w:rsidRDefault="005335C7" w:rsidP="00894F2B">
            <w:pPr>
              <w:jc w:val="center"/>
              <w:rPr>
                <w:rFonts w:ascii="Garamond" w:eastAsia="Times New Roman" w:hAnsi="Garamond" w:cs="Times New Roman"/>
                <w:sz w:val="18"/>
                <w:szCs w:val="18"/>
              </w:rPr>
            </w:pPr>
            <w:r w:rsidRPr="0027242D">
              <w:rPr>
                <w:rFonts w:ascii="Garamond" w:eastAsia="Times New Roman" w:hAnsi="Garamond" w:cs="Times New Roman"/>
                <w:sz w:val="18"/>
                <w:szCs w:val="18"/>
              </w:rPr>
              <w:t>Sector</w:t>
            </w:r>
          </w:p>
        </w:tc>
        <w:tc>
          <w:tcPr>
            <w:tcW w:w="1772" w:type="dxa"/>
            <w:hideMark/>
          </w:tcPr>
          <w:p w14:paraId="1FE442B9" w14:textId="77777777" w:rsidR="005335C7" w:rsidRPr="0027242D" w:rsidRDefault="005335C7" w:rsidP="00894F2B">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Times New Roman" w:hAnsi="Garamond" w:cs="Times New Roman"/>
                <w:sz w:val="18"/>
                <w:szCs w:val="18"/>
              </w:rPr>
              <w:t>Tax expenditure</w:t>
            </w:r>
          </w:p>
          <w:p w14:paraId="12E07B24" w14:textId="77777777" w:rsidR="005335C7" w:rsidRPr="0027242D" w:rsidRDefault="005335C7" w:rsidP="00894F2B">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Times New Roman" w:hAnsi="Garamond" w:cs="Times New Roman"/>
                <w:sz w:val="18"/>
                <w:szCs w:val="18"/>
              </w:rPr>
              <w:t>(in GH¢ Million)</w:t>
            </w:r>
          </w:p>
        </w:tc>
        <w:tc>
          <w:tcPr>
            <w:tcW w:w="1772" w:type="dxa"/>
            <w:hideMark/>
          </w:tcPr>
          <w:p w14:paraId="48E0D5F1" w14:textId="77777777" w:rsidR="005335C7" w:rsidRPr="0027242D" w:rsidRDefault="005335C7" w:rsidP="00894F2B">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Times New Roman" w:hAnsi="Garamond" w:cs="Times New Roman"/>
                <w:sz w:val="18"/>
                <w:szCs w:val="18"/>
              </w:rPr>
              <w:t>Tax expenditure (% of GDP)</w:t>
            </w:r>
          </w:p>
        </w:tc>
        <w:tc>
          <w:tcPr>
            <w:tcW w:w="1733" w:type="dxa"/>
            <w:hideMark/>
          </w:tcPr>
          <w:p w14:paraId="747C4B6D" w14:textId="77777777" w:rsidR="005335C7" w:rsidRPr="0027242D" w:rsidRDefault="005335C7" w:rsidP="00894F2B">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Times New Roman" w:hAnsi="Garamond" w:cs="Times New Roman"/>
                <w:sz w:val="18"/>
                <w:szCs w:val="18"/>
              </w:rPr>
              <w:t>Assumption of output by registered businesses</w:t>
            </w:r>
          </w:p>
        </w:tc>
      </w:tr>
      <w:tr w:rsidR="005335C7" w:rsidRPr="00FC2299" w14:paraId="0957E6AA" w14:textId="77777777" w:rsidTr="00894F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79BE3860" w14:textId="77777777" w:rsidR="005335C7" w:rsidRPr="0027242D" w:rsidRDefault="005335C7" w:rsidP="00894F2B">
            <w:pPr>
              <w:rPr>
                <w:rFonts w:ascii="Garamond" w:eastAsia="Times New Roman" w:hAnsi="Garamond" w:cs="Times New Roman"/>
                <w:b w:val="0"/>
                <w:sz w:val="18"/>
                <w:szCs w:val="18"/>
              </w:rPr>
            </w:pPr>
            <w:r w:rsidRPr="0027242D">
              <w:rPr>
                <w:rFonts w:ascii="Garamond" w:eastAsia="Calibri" w:hAnsi="Garamond" w:cs="Times New Roman"/>
                <w:sz w:val="18"/>
                <w:szCs w:val="18"/>
              </w:rPr>
              <w:t>Crops and Cocoa</w:t>
            </w:r>
          </w:p>
        </w:tc>
        <w:tc>
          <w:tcPr>
            <w:tcW w:w="1772" w:type="dxa"/>
            <w:noWrap/>
            <w:hideMark/>
          </w:tcPr>
          <w:p w14:paraId="1185C259"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1012.7</w:t>
            </w:r>
          </w:p>
        </w:tc>
        <w:tc>
          <w:tcPr>
            <w:tcW w:w="1772" w:type="dxa"/>
            <w:noWrap/>
            <w:hideMark/>
          </w:tcPr>
          <w:p w14:paraId="537D9364"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1.084</w:t>
            </w:r>
          </w:p>
        </w:tc>
        <w:tc>
          <w:tcPr>
            <w:tcW w:w="1733" w:type="dxa"/>
            <w:noWrap/>
            <w:hideMark/>
          </w:tcPr>
          <w:p w14:paraId="138C52F9"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50%</w:t>
            </w:r>
          </w:p>
        </w:tc>
      </w:tr>
      <w:tr w:rsidR="005335C7" w:rsidRPr="00FC2299" w14:paraId="7A2B1E21" w14:textId="77777777" w:rsidTr="00894F2B">
        <w:trPr>
          <w:trHeight w:val="255"/>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0C38B0D2" w14:textId="77777777" w:rsidR="005335C7" w:rsidRPr="0027242D" w:rsidRDefault="005335C7" w:rsidP="00894F2B">
            <w:pPr>
              <w:rPr>
                <w:rFonts w:ascii="Garamond" w:eastAsia="Times New Roman" w:hAnsi="Garamond" w:cs="Times New Roman"/>
                <w:b w:val="0"/>
                <w:sz w:val="18"/>
                <w:szCs w:val="18"/>
              </w:rPr>
            </w:pPr>
            <w:r w:rsidRPr="0027242D">
              <w:rPr>
                <w:rFonts w:ascii="Garamond" w:eastAsia="Calibri" w:hAnsi="Garamond" w:cs="Times New Roman"/>
                <w:sz w:val="18"/>
                <w:szCs w:val="18"/>
              </w:rPr>
              <w:t>Agro-Processing</w:t>
            </w:r>
          </w:p>
        </w:tc>
        <w:tc>
          <w:tcPr>
            <w:tcW w:w="1772" w:type="dxa"/>
            <w:noWrap/>
            <w:hideMark/>
          </w:tcPr>
          <w:p w14:paraId="75E43071"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936.5</w:t>
            </w:r>
          </w:p>
        </w:tc>
        <w:tc>
          <w:tcPr>
            <w:tcW w:w="1772" w:type="dxa"/>
            <w:noWrap/>
            <w:hideMark/>
          </w:tcPr>
          <w:p w14:paraId="4E235C2E"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1.003</w:t>
            </w:r>
          </w:p>
        </w:tc>
        <w:tc>
          <w:tcPr>
            <w:tcW w:w="1733" w:type="dxa"/>
            <w:noWrap/>
            <w:hideMark/>
          </w:tcPr>
          <w:p w14:paraId="3D9437BD"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100%</w:t>
            </w:r>
          </w:p>
        </w:tc>
      </w:tr>
      <w:tr w:rsidR="005335C7" w:rsidRPr="00FC2299" w14:paraId="2AAF2B67" w14:textId="77777777" w:rsidTr="00894F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632FDB56" w14:textId="77777777" w:rsidR="005335C7" w:rsidRPr="0027242D" w:rsidRDefault="005335C7" w:rsidP="00894F2B">
            <w:pPr>
              <w:rPr>
                <w:rFonts w:ascii="Garamond" w:eastAsia="Times New Roman" w:hAnsi="Garamond" w:cs="Times New Roman"/>
                <w:b w:val="0"/>
                <w:sz w:val="18"/>
                <w:szCs w:val="18"/>
              </w:rPr>
            </w:pPr>
            <w:r w:rsidRPr="0027242D">
              <w:rPr>
                <w:rFonts w:ascii="Garamond" w:eastAsia="Calibri" w:hAnsi="Garamond" w:cs="Times New Roman"/>
                <w:sz w:val="18"/>
                <w:szCs w:val="18"/>
              </w:rPr>
              <w:t>Transport &amp; Logistics</w:t>
            </w:r>
          </w:p>
        </w:tc>
        <w:tc>
          <w:tcPr>
            <w:tcW w:w="1772" w:type="dxa"/>
            <w:noWrap/>
            <w:hideMark/>
          </w:tcPr>
          <w:p w14:paraId="3DFE5C1E"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779.9</w:t>
            </w:r>
          </w:p>
        </w:tc>
        <w:tc>
          <w:tcPr>
            <w:tcW w:w="1772" w:type="dxa"/>
            <w:noWrap/>
            <w:hideMark/>
          </w:tcPr>
          <w:p w14:paraId="6220B7A0"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0.835</w:t>
            </w:r>
          </w:p>
        </w:tc>
        <w:tc>
          <w:tcPr>
            <w:tcW w:w="1733" w:type="dxa"/>
            <w:noWrap/>
            <w:hideMark/>
          </w:tcPr>
          <w:p w14:paraId="1C314EF7"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86%</w:t>
            </w:r>
          </w:p>
        </w:tc>
      </w:tr>
      <w:tr w:rsidR="005335C7" w:rsidRPr="00FC2299" w14:paraId="571F6E84" w14:textId="77777777" w:rsidTr="00894F2B">
        <w:trPr>
          <w:trHeight w:val="255"/>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1D20E7CF" w14:textId="77777777" w:rsidR="005335C7" w:rsidRPr="0027242D" w:rsidRDefault="005335C7" w:rsidP="00894F2B">
            <w:pPr>
              <w:rPr>
                <w:rFonts w:ascii="Garamond" w:eastAsia="Times New Roman" w:hAnsi="Garamond" w:cs="Times New Roman"/>
                <w:b w:val="0"/>
                <w:sz w:val="18"/>
                <w:szCs w:val="18"/>
              </w:rPr>
            </w:pPr>
            <w:r w:rsidRPr="0027242D">
              <w:rPr>
                <w:rFonts w:ascii="Garamond" w:eastAsia="Calibri" w:hAnsi="Garamond" w:cs="Times New Roman"/>
                <w:sz w:val="18"/>
                <w:szCs w:val="18"/>
              </w:rPr>
              <w:t>Education</w:t>
            </w:r>
          </w:p>
        </w:tc>
        <w:tc>
          <w:tcPr>
            <w:tcW w:w="1772" w:type="dxa"/>
            <w:noWrap/>
            <w:hideMark/>
          </w:tcPr>
          <w:p w14:paraId="1269BE6D"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344.2</w:t>
            </w:r>
          </w:p>
        </w:tc>
        <w:tc>
          <w:tcPr>
            <w:tcW w:w="1772" w:type="dxa"/>
            <w:noWrap/>
            <w:hideMark/>
          </w:tcPr>
          <w:p w14:paraId="7DBB2759"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0.368</w:t>
            </w:r>
          </w:p>
        </w:tc>
        <w:tc>
          <w:tcPr>
            <w:tcW w:w="1733" w:type="dxa"/>
            <w:noWrap/>
            <w:hideMark/>
          </w:tcPr>
          <w:p w14:paraId="0FE173AD"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100%</w:t>
            </w:r>
          </w:p>
        </w:tc>
      </w:tr>
      <w:tr w:rsidR="005335C7" w:rsidRPr="00FC2299" w14:paraId="775BF19F" w14:textId="77777777" w:rsidTr="00894F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6BDFA068" w14:textId="77777777" w:rsidR="005335C7" w:rsidRPr="0027242D" w:rsidRDefault="005335C7" w:rsidP="00894F2B">
            <w:pPr>
              <w:rPr>
                <w:rFonts w:ascii="Garamond" w:eastAsia="Times New Roman" w:hAnsi="Garamond" w:cs="Times New Roman"/>
                <w:b w:val="0"/>
                <w:sz w:val="18"/>
                <w:szCs w:val="18"/>
              </w:rPr>
            </w:pPr>
            <w:r w:rsidRPr="0027242D">
              <w:rPr>
                <w:rFonts w:ascii="Garamond" w:eastAsia="Calibri" w:hAnsi="Garamond" w:cs="Times New Roman"/>
                <w:sz w:val="18"/>
                <w:szCs w:val="18"/>
              </w:rPr>
              <w:t>Health</w:t>
            </w:r>
          </w:p>
        </w:tc>
        <w:tc>
          <w:tcPr>
            <w:tcW w:w="1772" w:type="dxa"/>
            <w:noWrap/>
            <w:hideMark/>
          </w:tcPr>
          <w:p w14:paraId="7D19A98B"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223.6</w:t>
            </w:r>
          </w:p>
        </w:tc>
        <w:tc>
          <w:tcPr>
            <w:tcW w:w="1772" w:type="dxa"/>
            <w:noWrap/>
            <w:hideMark/>
          </w:tcPr>
          <w:p w14:paraId="5C8A2BC3"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0.239</w:t>
            </w:r>
          </w:p>
        </w:tc>
        <w:tc>
          <w:tcPr>
            <w:tcW w:w="1733" w:type="dxa"/>
            <w:noWrap/>
            <w:hideMark/>
          </w:tcPr>
          <w:p w14:paraId="3BBDB1D4"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100%</w:t>
            </w:r>
          </w:p>
        </w:tc>
      </w:tr>
      <w:tr w:rsidR="005335C7" w:rsidRPr="00FC2299" w14:paraId="129292C1" w14:textId="77777777" w:rsidTr="00894F2B">
        <w:trPr>
          <w:trHeight w:val="255"/>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1D515846" w14:textId="77777777" w:rsidR="005335C7" w:rsidRPr="0027242D" w:rsidRDefault="005335C7" w:rsidP="00894F2B">
            <w:pPr>
              <w:rPr>
                <w:rFonts w:ascii="Garamond" w:eastAsia="Times New Roman" w:hAnsi="Garamond" w:cs="Times New Roman"/>
                <w:b w:val="0"/>
                <w:sz w:val="18"/>
                <w:szCs w:val="18"/>
              </w:rPr>
            </w:pPr>
            <w:r w:rsidRPr="0027242D">
              <w:rPr>
                <w:rFonts w:ascii="Garamond" w:eastAsia="Calibri" w:hAnsi="Garamond" w:cs="Times New Roman"/>
                <w:sz w:val="18"/>
                <w:szCs w:val="18"/>
              </w:rPr>
              <w:t>Water</w:t>
            </w:r>
          </w:p>
        </w:tc>
        <w:tc>
          <w:tcPr>
            <w:tcW w:w="1772" w:type="dxa"/>
            <w:noWrap/>
            <w:hideMark/>
          </w:tcPr>
          <w:p w14:paraId="54B4447A"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198.1</w:t>
            </w:r>
          </w:p>
        </w:tc>
        <w:tc>
          <w:tcPr>
            <w:tcW w:w="1772" w:type="dxa"/>
            <w:noWrap/>
            <w:hideMark/>
          </w:tcPr>
          <w:p w14:paraId="22B3EE5D"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0.212</w:t>
            </w:r>
          </w:p>
        </w:tc>
        <w:tc>
          <w:tcPr>
            <w:tcW w:w="1733" w:type="dxa"/>
            <w:noWrap/>
            <w:hideMark/>
          </w:tcPr>
          <w:p w14:paraId="6BCC2ACB"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100%</w:t>
            </w:r>
          </w:p>
        </w:tc>
      </w:tr>
      <w:tr w:rsidR="005335C7" w:rsidRPr="00FC2299" w14:paraId="0C0E93EF" w14:textId="77777777" w:rsidTr="00894F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1C14A3E6" w14:textId="77777777" w:rsidR="005335C7" w:rsidRPr="0027242D" w:rsidRDefault="005335C7" w:rsidP="00894F2B">
            <w:pPr>
              <w:rPr>
                <w:rFonts w:ascii="Garamond" w:eastAsia="Times New Roman" w:hAnsi="Garamond" w:cs="Times New Roman"/>
                <w:b w:val="0"/>
                <w:sz w:val="18"/>
                <w:szCs w:val="18"/>
              </w:rPr>
            </w:pPr>
            <w:r w:rsidRPr="0027242D">
              <w:rPr>
                <w:rFonts w:ascii="Garamond" w:eastAsia="Calibri" w:hAnsi="Garamond" w:cs="Times New Roman"/>
                <w:sz w:val="18"/>
                <w:szCs w:val="18"/>
              </w:rPr>
              <w:t>Forestry and Logging</w:t>
            </w:r>
          </w:p>
        </w:tc>
        <w:tc>
          <w:tcPr>
            <w:tcW w:w="1772" w:type="dxa"/>
            <w:noWrap/>
            <w:hideMark/>
          </w:tcPr>
          <w:p w14:paraId="5EE0615B"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116.3</w:t>
            </w:r>
          </w:p>
        </w:tc>
        <w:tc>
          <w:tcPr>
            <w:tcW w:w="1772" w:type="dxa"/>
            <w:noWrap/>
            <w:hideMark/>
          </w:tcPr>
          <w:p w14:paraId="6103BFBE"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0.124</w:t>
            </w:r>
          </w:p>
        </w:tc>
        <w:tc>
          <w:tcPr>
            <w:tcW w:w="1733" w:type="dxa"/>
            <w:noWrap/>
            <w:hideMark/>
          </w:tcPr>
          <w:p w14:paraId="67DFB423"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53%</w:t>
            </w:r>
          </w:p>
        </w:tc>
      </w:tr>
      <w:tr w:rsidR="005335C7" w:rsidRPr="00FC2299" w14:paraId="1D631747" w14:textId="77777777" w:rsidTr="00894F2B">
        <w:trPr>
          <w:trHeight w:val="255"/>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264DFCE9" w14:textId="77777777" w:rsidR="005335C7" w:rsidRPr="0027242D" w:rsidRDefault="005335C7" w:rsidP="00894F2B">
            <w:pPr>
              <w:rPr>
                <w:rFonts w:ascii="Garamond" w:eastAsia="Times New Roman" w:hAnsi="Garamond" w:cs="Times New Roman"/>
                <w:b w:val="0"/>
                <w:sz w:val="18"/>
                <w:szCs w:val="18"/>
              </w:rPr>
            </w:pPr>
            <w:r w:rsidRPr="0027242D">
              <w:rPr>
                <w:rFonts w:ascii="Garamond" w:eastAsia="Calibri" w:hAnsi="Garamond" w:cs="Times New Roman"/>
                <w:sz w:val="18"/>
                <w:szCs w:val="18"/>
              </w:rPr>
              <w:t>Tourism</w:t>
            </w:r>
          </w:p>
        </w:tc>
        <w:tc>
          <w:tcPr>
            <w:tcW w:w="1772" w:type="dxa"/>
            <w:noWrap/>
            <w:hideMark/>
          </w:tcPr>
          <w:p w14:paraId="18EC3C41"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109.8</w:t>
            </w:r>
          </w:p>
        </w:tc>
        <w:tc>
          <w:tcPr>
            <w:tcW w:w="1772" w:type="dxa"/>
            <w:noWrap/>
            <w:hideMark/>
          </w:tcPr>
          <w:p w14:paraId="39D059A3"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0.118</w:t>
            </w:r>
          </w:p>
        </w:tc>
        <w:tc>
          <w:tcPr>
            <w:tcW w:w="1733" w:type="dxa"/>
            <w:noWrap/>
            <w:hideMark/>
          </w:tcPr>
          <w:p w14:paraId="090B9BC2"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88%</w:t>
            </w:r>
          </w:p>
        </w:tc>
      </w:tr>
      <w:tr w:rsidR="005335C7" w:rsidRPr="00FC2299" w14:paraId="4BB3A525" w14:textId="77777777" w:rsidTr="00894F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7D80C24D" w14:textId="77777777" w:rsidR="005335C7" w:rsidRPr="0027242D" w:rsidRDefault="005335C7" w:rsidP="00894F2B">
            <w:pPr>
              <w:rPr>
                <w:rFonts w:ascii="Garamond" w:eastAsia="Times New Roman" w:hAnsi="Garamond" w:cs="Times New Roman"/>
                <w:b w:val="0"/>
                <w:sz w:val="18"/>
                <w:szCs w:val="18"/>
              </w:rPr>
            </w:pPr>
            <w:r w:rsidRPr="0027242D">
              <w:rPr>
                <w:rFonts w:ascii="Garamond" w:eastAsia="Calibri" w:hAnsi="Garamond" w:cs="Times New Roman"/>
                <w:sz w:val="18"/>
                <w:szCs w:val="18"/>
              </w:rPr>
              <w:t>Electricity</w:t>
            </w:r>
          </w:p>
        </w:tc>
        <w:tc>
          <w:tcPr>
            <w:tcW w:w="1772" w:type="dxa"/>
            <w:noWrap/>
            <w:hideMark/>
          </w:tcPr>
          <w:p w14:paraId="4FAAF710"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99.0</w:t>
            </w:r>
          </w:p>
        </w:tc>
        <w:tc>
          <w:tcPr>
            <w:tcW w:w="1772" w:type="dxa"/>
            <w:noWrap/>
            <w:hideMark/>
          </w:tcPr>
          <w:p w14:paraId="6CD4FAA6"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0.106</w:t>
            </w:r>
          </w:p>
        </w:tc>
        <w:tc>
          <w:tcPr>
            <w:tcW w:w="1733" w:type="dxa"/>
            <w:noWrap/>
            <w:hideMark/>
          </w:tcPr>
          <w:p w14:paraId="41A0AA57"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100%</w:t>
            </w:r>
          </w:p>
        </w:tc>
      </w:tr>
      <w:tr w:rsidR="005335C7" w:rsidRPr="00FC2299" w14:paraId="240ECBEC" w14:textId="77777777" w:rsidTr="00894F2B">
        <w:trPr>
          <w:trHeight w:val="255"/>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45D3589A" w14:textId="77777777" w:rsidR="005335C7" w:rsidRPr="0027242D" w:rsidRDefault="005335C7" w:rsidP="00894F2B">
            <w:pPr>
              <w:rPr>
                <w:rFonts w:ascii="Garamond" w:eastAsia="Times New Roman" w:hAnsi="Garamond" w:cs="Times New Roman"/>
                <w:b w:val="0"/>
                <w:sz w:val="18"/>
                <w:szCs w:val="18"/>
              </w:rPr>
            </w:pPr>
            <w:r w:rsidRPr="0027242D">
              <w:rPr>
                <w:rFonts w:ascii="Garamond" w:eastAsia="Calibri" w:hAnsi="Garamond" w:cs="Times New Roman"/>
                <w:sz w:val="18"/>
                <w:szCs w:val="18"/>
              </w:rPr>
              <w:t>Livestock</w:t>
            </w:r>
          </w:p>
        </w:tc>
        <w:tc>
          <w:tcPr>
            <w:tcW w:w="1772" w:type="dxa"/>
            <w:noWrap/>
            <w:hideMark/>
          </w:tcPr>
          <w:p w14:paraId="57FAF5D1"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60.4</w:t>
            </w:r>
          </w:p>
        </w:tc>
        <w:tc>
          <w:tcPr>
            <w:tcW w:w="1772" w:type="dxa"/>
            <w:noWrap/>
            <w:hideMark/>
          </w:tcPr>
          <w:p w14:paraId="51B54604"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0.065</w:t>
            </w:r>
          </w:p>
        </w:tc>
        <w:tc>
          <w:tcPr>
            <w:tcW w:w="1733" w:type="dxa"/>
            <w:noWrap/>
            <w:hideMark/>
          </w:tcPr>
          <w:p w14:paraId="324BE14B"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50%</w:t>
            </w:r>
          </w:p>
        </w:tc>
      </w:tr>
      <w:tr w:rsidR="005335C7" w:rsidRPr="00FC2299" w14:paraId="0C3FF893" w14:textId="77777777" w:rsidTr="00894F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66B1CFC2" w14:textId="77777777" w:rsidR="005335C7" w:rsidRPr="0027242D" w:rsidRDefault="005335C7" w:rsidP="00894F2B">
            <w:pPr>
              <w:rPr>
                <w:rFonts w:ascii="Garamond" w:eastAsia="Times New Roman" w:hAnsi="Garamond" w:cs="Times New Roman"/>
                <w:b w:val="0"/>
                <w:sz w:val="18"/>
                <w:szCs w:val="18"/>
              </w:rPr>
            </w:pPr>
            <w:r w:rsidRPr="0027242D">
              <w:rPr>
                <w:rFonts w:ascii="Garamond" w:eastAsia="Calibri" w:hAnsi="Garamond" w:cs="Times New Roman"/>
                <w:sz w:val="18"/>
                <w:szCs w:val="18"/>
              </w:rPr>
              <w:t>Manufacturing</w:t>
            </w:r>
          </w:p>
        </w:tc>
        <w:tc>
          <w:tcPr>
            <w:tcW w:w="1772" w:type="dxa"/>
            <w:noWrap/>
            <w:hideMark/>
          </w:tcPr>
          <w:p w14:paraId="4E7C3A10"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59.0</w:t>
            </w:r>
          </w:p>
        </w:tc>
        <w:tc>
          <w:tcPr>
            <w:tcW w:w="1772" w:type="dxa"/>
            <w:noWrap/>
            <w:hideMark/>
          </w:tcPr>
          <w:p w14:paraId="0ECC69EE"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0.063</w:t>
            </w:r>
          </w:p>
        </w:tc>
        <w:tc>
          <w:tcPr>
            <w:tcW w:w="1733" w:type="dxa"/>
            <w:noWrap/>
            <w:hideMark/>
          </w:tcPr>
          <w:p w14:paraId="53089B70"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100%</w:t>
            </w:r>
          </w:p>
        </w:tc>
      </w:tr>
      <w:tr w:rsidR="005335C7" w:rsidRPr="00FC2299" w14:paraId="304203EF" w14:textId="77777777" w:rsidTr="00894F2B">
        <w:trPr>
          <w:trHeight w:val="255"/>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0D2FCD90" w14:textId="77777777" w:rsidR="005335C7" w:rsidRPr="0027242D" w:rsidRDefault="005335C7" w:rsidP="00894F2B">
            <w:pPr>
              <w:rPr>
                <w:rFonts w:ascii="Garamond" w:eastAsia="Times New Roman" w:hAnsi="Garamond" w:cs="Times New Roman"/>
                <w:b w:val="0"/>
                <w:sz w:val="18"/>
                <w:szCs w:val="18"/>
              </w:rPr>
            </w:pPr>
            <w:r w:rsidRPr="0027242D">
              <w:rPr>
                <w:rFonts w:ascii="Garamond" w:eastAsia="Calibri" w:hAnsi="Garamond" w:cs="Times New Roman"/>
                <w:sz w:val="18"/>
                <w:szCs w:val="18"/>
              </w:rPr>
              <w:t>Trade</w:t>
            </w:r>
          </w:p>
        </w:tc>
        <w:tc>
          <w:tcPr>
            <w:tcW w:w="1772" w:type="dxa"/>
            <w:noWrap/>
            <w:hideMark/>
          </w:tcPr>
          <w:p w14:paraId="7DEDBC97"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20.9</w:t>
            </w:r>
          </w:p>
        </w:tc>
        <w:tc>
          <w:tcPr>
            <w:tcW w:w="1772" w:type="dxa"/>
            <w:noWrap/>
            <w:hideMark/>
          </w:tcPr>
          <w:p w14:paraId="2468DE4D"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0.022</w:t>
            </w:r>
          </w:p>
        </w:tc>
        <w:tc>
          <w:tcPr>
            <w:tcW w:w="1733" w:type="dxa"/>
            <w:noWrap/>
            <w:hideMark/>
          </w:tcPr>
          <w:p w14:paraId="6624E3BF"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90%</w:t>
            </w:r>
          </w:p>
        </w:tc>
      </w:tr>
      <w:tr w:rsidR="005335C7" w:rsidRPr="00FC2299" w14:paraId="594CAF18" w14:textId="77777777" w:rsidTr="00894F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6F9DB0BA" w14:textId="77777777" w:rsidR="005335C7" w:rsidRPr="0027242D" w:rsidRDefault="005335C7" w:rsidP="00894F2B">
            <w:pPr>
              <w:rPr>
                <w:rFonts w:ascii="Garamond" w:eastAsia="Times New Roman" w:hAnsi="Garamond" w:cs="Times New Roman"/>
                <w:b w:val="0"/>
                <w:sz w:val="18"/>
                <w:szCs w:val="18"/>
              </w:rPr>
            </w:pPr>
            <w:r w:rsidRPr="0027242D">
              <w:rPr>
                <w:rFonts w:ascii="Garamond" w:eastAsia="Calibri" w:hAnsi="Garamond" w:cs="Times New Roman"/>
                <w:sz w:val="18"/>
                <w:szCs w:val="18"/>
              </w:rPr>
              <w:t>Fishing</w:t>
            </w:r>
          </w:p>
        </w:tc>
        <w:tc>
          <w:tcPr>
            <w:tcW w:w="1772" w:type="dxa"/>
            <w:noWrap/>
            <w:hideMark/>
          </w:tcPr>
          <w:p w14:paraId="0F91C5A9"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15.3</w:t>
            </w:r>
          </w:p>
        </w:tc>
        <w:tc>
          <w:tcPr>
            <w:tcW w:w="1772" w:type="dxa"/>
            <w:noWrap/>
            <w:hideMark/>
          </w:tcPr>
          <w:p w14:paraId="6658A20F"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0.016</w:t>
            </w:r>
          </w:p>
        </w:tc>
        <w:tc>
          <w:tcPr>
            <w:tcW w:w="1733" w:type="dxa"/>
            <w:noWrap/>
            <w:hideMark/>
          </w:tcPr>
          <w:p w14:paraId="714E0618"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10%</w:t>
            </w:r>
          </w:p>
        </w:tc>
      </w:tr>
      <w:tr w:rsidR="005335C7" w:rsidRPr="00FC2299" w14:paraId="2387289D" w14:textId="77777777" w:rsidTr="00894F2B">
        <w:trPr>
          <w:trHeight w:val="255"/>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6DE6069B" w14:textId="77777777" w:rsidR="005335C7" w:rsidRPr="0027242D" w:rsidRDefault="005335C7" w:rsidP="00894F2B">
            <w:pPr>
              <w:rPr>
                <w:rFonts w:ascii="Garamond" w:eastAsia="Times New Roman" w:hAnsi="Garamond" w:cs="Times New Roman"/>
                <w:b w:val="0"/>
                <w:sz w:val="18"/>
                <w:szCs w:val="18"/>
              </w:rPr>
            </w:pPr>
            <w:r w:rsidRPr="0027242D">
              <w:rPr>
                <w:rFonts w:ascii="Garamond" w:eastAsia="Calibri" w:hAnsi="Garamond" w:cs="Times New Roman"/>
                <w:sz w:val="18"/>
                <w:szCs w:val="18"/>
              </w:rPr>
              <w:t>Mining</w:t>
            </w:r>
          </w:p>
        </w:tc>
        <w:tc>
          <w:tcPr>
            <w:tcW w:w="1772" w:type="dxa"/>
            <w:noWrap/>
            <w:hideMark/>
          </w:tcPr>
          <w:p w14:paraId="2C984ED0"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11.9</w:t>
            </w:r>
          </w:p>
        </w:tc>
        <w:tc>
          <w:tcPr>
            <w:tcW w:w="1772" w:type="dxa"/>
            <w:noWrap/>
            <w:hideMark/>
          </w:tcPr>
          <w:p w14:paraId="6A14479E"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0.013</w:t>
            </w:r>
          </w:p>
        </w:tc>
        <w:tc>
          <w:tcPr>
            <w:tcW w:w="1733" w:type="dxa"/>
            <w:noWrap/>
            <w:hideMark/>
          </w:tcPr>
          <w:p w14:paraId="270C723C"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100%</w:t>
            </w:r>
          </w:p>
        </w:tc>
      </w:tr>
      <w:tr w:rsidR="005335C7" w:rsidRPr="00FC2299" w14:paraId="20262228" w14:textId="77777777" w:rsidTr="00894F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132DC716" w14:textId="77777777" w:rsidR="005335C7" w:rsidRPr="0027242D" w:rsidRDefault="005335C7" w:rsidP="00894F2B">
            <w:pPr>
              <w:rPr>
                <w:rFonts w:ascii="Garamond" w:eastAsia="Times New Roman" w:hAnsi="Garamond" w:cs="Times New Roman"/>
                <w:b w:val="0"/>
                <w:sz w:val="18"/>
                <w:szCs w:val="18"/>
              </w:rPr>
            </w:pPr>
            <w:r w:rsidRPr="0027242D">
              <w:rPr>
                <w:rFonts w:ascii="Garamond" w:eastAsia="Calibri" w:hAnsi="Garamond" w:cs="Times New Roman"/>
                <w:sz w:val="18"/>
                <w:szCs w:val="18"/>
              </w:rPr>
              <w:t>Services</w:t>
            </w:r>
          </w:p>
        </w:tc>
        <w:tc>
          <w:tcPr>
            <w:tcW w:w="1772" w:type="dxa"/>
            <w:noWrap/>
            <w:hideMark/>
          </w:tcPr>
          <w:p w14:paraId="5E3B455F"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0.6</w:t>
            </w:r>
          </w:p>
        </w:tc>
        <w:tc>
          <w:tcPr>
            <w:tcW w:w="1772" w:type="dxa"/>
            <w:noWrap/>
            <w:hideMark/>
          </w:tcPr>
          <w:p w14:paraId="22E13810"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0.001</w:t>
            </w:r>
          </w:p>
        </w:tc>
        <w:tc>
          <w:tcPr>
            <w:tcW w:w="1733" w:type="dxa"/>
            <w:noWrap/>
            <w:hideMark/>
          </w:tcPr>
          <w:p w14:paraId="35307C87"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88%</w:t>
            </w:r>
          </w:p>
        </w:tc>
      </w:tr>
      <w:tr w:rsidR="005335C7" w:rsidRPr="00FC2299" w14:paraId="07C4834C" w14:textId="77777777" w:rsidTr="00894F2B">
        <w:trPr>
          <w:trHeight w:val="255"/>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71F92D92" w14:textId="77777777" w:rsidR="005335C7" w:rsidRPr="0027242D" w:rsidRDefault="005335C7" w:rsidP="00894F2B">
            <w:pPr>
              <w:rPr>
                <w:rFonts w:ascii="Garamond" w:eastAsia="Times New Roman" w:hAnsi="Garamond" w:cs="Times New Roman"/>
                <w:b w:val="0"/>
                <w:sz w:val="18"/>
                <w:szCs w:val="18"/>
              </w:rPr>
            </w:pPr>
            <w:r w:rsidRPr="0027242D">
              <w:rPr>
                <w:rFonts w:ascii="Garamond" w:eastAsia="Calibri" w:hAnsi="Garamond" w:cs="Times New Roman"/>
                <w:sz w:val="18"/>
                <w:szCs w:val="18"/>
              </w:rPr>
              <w:t>Government</w:t>
            </w:r>
          </w:p>
        </w:tc>
        <w:tc>
          <w:tcPr>
            <w:tcW w:w="1772" w:type="dxa"/>
            <w:noWrap/>
            <w:hideMark/>
          </w:tcPr>
          <w:p w14:paraId="7F564075"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0.0</w:t>
            </w:r>
          </w:p>
        </w:tc>
        <w:tc>
          <w:tcPr>
            <w:tcW w:w="1772" w:type="dxa"/>
            <w:noWrap/>
            <w:hideMark/>
          </w:tcPr>
          <w:p w14:paraId="2AF3C39D"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0.000</w:t>
            </w:r>
          </w:p>
        </w:tc>
        <w:tc>
          <w:tcPr>
            <w:tcW w:w="1733" w:type="dxa"/>
            <w:noWrap/>
            <w:hideMark/>
          </w:tcPr>
          <w:p w14:paraId="64A4224B"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100%</w:t>
            </w:r>
          </w:p>
        </w:tc>
      </w:tr>
      <w:tr w:rsidR="005335C7" w:rsidRPr="00FC2299" w14:paraId="7D4D3081" w14:textId="77777777" w:rsidTr="00894F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18EDAB3E" w14:textId="77777777" w:rsidR="005335C7" w:rsidRPr="0027242D" w:rsidRDefault="005335C7" w:rsidP="00894F2B">
            <w:pPr>
              <w:rPr>
                <w:rFonts w:ascii="Garamond" w:eastAsia="Times New Roman" w:hAnsi="Garamond" w:cs="Times New Roman"/>
                <w:b w:val="0"/>
                <w:sz w:val="18"/>
                <w:szCs w:val="18"/>
              </w:rPr>
            </w:pPr>
            <w:r w:rsidRPr="0027242D">
              <w:rPr>
                <w:rFonts w:ascii="Garamond" w:eastAsia="Calibri" w:hAnsi="Garamond" w:cs="Times New Roman"/>
                <w:sz w:val="18"/>
                <w:szCs w:val="18"/>
              </w:rPr>
              <w:t>ICT</w:t>
            </w:r>
          </w:p>
        </w:tc>
        <w:tc>
          <w:tcPr>
            <w:tcW w:w="1772" w:type="dxa"/>
            <w:noWrap/>
            <w:hideMark/>
          </w:tcPr>
          <w:p w14:paraId="70CF1893"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0.0</w:t>
            </w:r>
          </w:p>
        </w:tc>
        <w:tc>
          <w:tcPr>
            <w:tcW w:w="1772" w:type="dxa"/>
            <w:noWrap/>
            <w:hideMark/>
          </w:tcPr>
          <w:p w14:paraId="53EEC24D"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0.000</w:t>
            </w:r>
          </w:p>
        </w:tc>
        <w:tc>
          <w:tcPr>
            <w:tcW w:w="1733" w:type="dxa"/>
            <w:noWrap/>
            <w:hideMark/>
          </w:tcPr>
          <w:p w14:paraId="09A0EA67"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100%</w:t>
            </w:r>
          </w:p>
        </w:tc>
      </w:tr>
      <w:tr w:rsidR="005335C7" w:rsidRPr="00FC2299" w14:paraId="16BC1BB6" w14:textId="77777777" w:rsidTr="00894F2B">
        <w:trPr>
          <w:trHeight w:val="255"/>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154AC2D2" w14:textId="77777777" w:rsidR="005335C7" w:rsidRPr="0027242D" w:rsidRDefault="005335C7" w:rsidP="00894F2B">
            <w:pPr>
              <w:rPr>
                <w:rFonts w:ascii="Garamond" w:eastAsia="Times New Roman" w:hAnsi="Garamond" w:cs="Times New Roman"/>
                <w:b w:val="0"/>
                <w:sz w:val="18"/>
                <w:szCs w:val="18"/>
              </w:rPr>
            </w:pPr>
            <w:r w:rsidRPr="0027242D">
              <w:rPr>
                <w:rFonts w:ascii="Garamond" w:eastAsia="Calibri" w:hAnsi="Garamond" w:cs="Times New Roman"/>
                <w:sz w:val="18"/>
                <w:szCs w:val="18"/>
              </w:rPr>
              <w:t>Finance</w:t>
            </w:r>
          </w:p>
        </w:tc>
        <w:tc>
          <w:tcPr>
            <w:tcW w:w="1772" w:type="dxa"/>
            <w:noWrap/>
            <w:hideMark/>
          </w:tcPr>
          <w:p w14:paraId="7020B2CD"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-18.1</w:t>
            </w:r>
          </w:p>
        </w:tc>
        <w:tc>
          <w:tcPr>
            <w:tcW w:w="1772" w:type="dxa"/>
            <w:noWrap/>
            <w:hideMark/>
          </w:tcPr>
          <w:p w14:paraId="31784B60"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-0.019</w:t>
            </w:r>
          </w:p>
        </w:tc>
        <w:tc>
          <w:tcPr>
            <w:tcW w:w="1733" w:type="dxa"/>
            <w:noWrap/>
            <w:hideMark/>
          </w:tcPr>
          <w:p w14:paraId="6EF060BD"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100%</w:t>
            </w:r>
          </w:p>
        </w:tc>
      </w:tr>
      <w:tr w:rsidR="005335C7" w:rsidRPr="00FC2299" w14:paraId="77FA443F" w14:textId="77777777" w:rsidTr="00894F2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497FE211" w14:textId="77777777" w:rsidR="005335C7" w:rsidRPr="0027242D" w:rsidRDefault="005335C7" w:rsidP="00894F2B">
            <w:pPr>
              <w:rPr>
                <w:rFonts w:ascii="Garamond" w:eastAsia="Times New Roman" w:hAnsi="Garamond" w:cs="Times New Roman"/>
                <w:b w:val="0"/>
                <w:sz w:val="18"/>
                <w:szCs w:val="18"/>
              </w:rPr>
            </w:pPr>
            <w:r w:rsidRPr="0027242D">
              <w:rPr>
                <w:rFonts w:ascii="Garamond" w:eastAsia="Calibri" w:hAnsi="Garamond" w:cs="Times New Roman"/>
                <w:sz w:val="18"/>
                <w:szCs w:val="18"/>
              </w:rPr>
              <w:t>Construction and Real-Estate</w:t>
            </w:r>
          </w:p>
        </w:tc>
        <w:tc>
          <w:tcPr>
            <w:tcW w:w="1772" w:type="dxa"/>
            <w:noWrap/>
            <w:hideMark/>
          </w:tcPr>
          <w:p w14:paraId="4A1094EB"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-304.2</w:t>
            </w:r>
          </w:p>
        </w:tc>
        <w:tc>
          <w:tcPr>
            <w:tcW w:w="1772" w:type="dxa"/>
            <w:noWrap/>
            <w:hideMark/>
          </w:tcPr>
          <w:p w14:paraId="792DE70A"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-0.326</w:t>
            </w:r>
          </w:p>
        </w:tc>
        <w:tc>
          <w:tcPr>
            <w:tcW w:w="1733" w:type="dxa"/>
            <w:noWrap/>
            <w:hideMark/>
          </w:tcPr>
          <w:p w14:paraId="71056B82" w14:textId="77777777" w:rsidR="005335C7" w:rsidRPr="0027242D" w:rsidRDefault="005335C7" w:rsidP="00894F2B">
            <w:pPr>
              <w:jc w:val="center"/>
              <w:cnfStyle w:val="000000100000" w:firstRow="0" w:lastRow="0" w:firstColumn="0" w:lastColumn="0" w:oddVBand="0" w:evenVBand="0" w:oddHBand="1" w:evenHBand="0" w:firstRowFirstColumn="0" w:firstRowLastColumn="0" w:lastRowFirstColumn="0" w:lastRowLastColumn="0"/>
              <w:rPr>
                <w:rFonts w:ascii="Garamond" w:eastAsia="Times New Roman" w:hAnsi="Garamond" w:cs="Times New Roman"/>
                <w:sz w:val="18"/>
                <w:szCs w:val="18"/>
              </w:rPr>
            </w:pPr>
            <w:r w:rsidRPr="0027242D">
              <w:rPr>
                <w:rFonts w:ascii="Garamond" w:eastAsia="Calibri" w:hAnsi="Garamond" w:cs="Times New Roman"/>
                <w:sz w:val="18"/>
                <w:szCs w:val="18"/>
              </w:rPr>
              <w:t>90%</w:t>
            </w:r>
          </w:p>
        </w:tc>
      </w:tr>
      <w:tr w:rsidR="005335C7" w:rsidRPr="00FC2299" w14:paraId="0303FFDA" w14:textId="77777777" w:rsidTr="00894F2B">
        <w:trPr>
          <w:trHeight w:val="255"/>
          <w:jc w:val="center"/>
        </w:trPr>
        <w:tc>
          <w:tcPr>
            <w:cnfStyle w:val="001000000000" w:firstRow="0" w:lastRow="0" w:firstColumn="1" w:lastColumn="0" w:oddVBand="0" w:evenVBand="0" w:oddHBand="0" w:evenHBand="0" w:firstRowFirstColumn="0" w:firstRowLastColumn="0" w:lastRowFirstColumn="0" w:lastRowLastColumn="0"/>
            <w:tcW w:w="2643" w:type="dxa"/>
            <w:noWrap/>
            <w:hideMark/>
          </w:tcPr>
          <w:p w14:paraId="571925FD" w14:textId="77777777" w:rsidR="005335C7" w:rsidRPr="0027242D" w:rsidRDefault="005335C7" w:rsidP="00894F2B">
            <w:pPr>
              <w:rPr>
                <w:rFonts w:ascii="Garamond" w:eastAsia="Times New Roman" w:hAnsi="Garamond" w:cs="Times New Roman"/>
                <w:sz w:val="18"/>
                <w:szCs w:val="18"/>
              </w:rPr>
            </w:pPr>
            <w:r w:rsidRPr="0027242D">
              <w:rPr>
                <w:rFonts w:ascii="Garamond" w:eastAsia="Calibri" w:hAnsi="Garamond" w:cs="Times New Roman"/>
                <w:sz w:val="18"/>
                <w:szCs w:val="18"/>
              </w:rPr>
              <w:t>Grand Total</w:t>
            </w:r>
          </w:p>
        </w:tc>
        <w:tc>
          <w:tcPr>
            <w:tcW w:w="1772" w:type="dxa"/>
            <w:noWrap/>
            <w:hideMark/>
          </w:tcPr>
          <w:p w14:paraId="7AD3338C"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18"/>
                <w:szCs w:val="18"/>
              </w:rPr>
            </w:pPr>
            <w:r w:rsidRPr="0027242D">
              <w:rPr>
                <w:rFonts w:ascii="Garamond" w:eastAsia="Calibri" w:hAnsi="Garamond" w:cs="Times New Roman"/>
                <w:b/>
                <w:sz w:val="18"/>
                <w:szCs w:val="18"/>
              </w:rPr>
              <w:t>3665.8</w:t>
            </w:r>
          </w:p>
        </w:tc>
        <w:tc>
          <w:tcPr>
            <w:tcW w:w="1772" w:type="dxa"/>
            <w:noWrap/>
            <w:hideMark/>
          </w:tcPr>
          <w:p w14:paraId="136D7D7E"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18"/>
                <w:szCs w:val="18"/>
              </w:rPr>
            </w:pPr>
            <w:r w:rsidRPr="0027242D">
              <w:rPr>
                <w:rFonts w:ascii="Garamond" w:eastAsia="Calibri" w:hAnsi="Garamond" w:cs="Times New Roman"/>
                <w:b/>
                <w:sz w:val="18"/>
                <w:szCs w:val="18"/>
              </w:rPr>
              <w:t>3.9</w:t>
            </w:r>
          </w:p>
        </w:tc>
        <w:tc>
          <w:tcPr>
            <w:tcW w:w="1733" w:type="dxa"/>
            <w:noWrap/>
            <w:hideMark/>
          </w:tcPr>
          <w:p w14:paraId="6A741985" w14:textId="77777777" w:rsidR="005335C7" w:rsidRPr="0027242D" w:rsidRDefault="005335C7" w:rsidP="00894F2B">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b/>
                <w:sz w:val="18"/>
                <w:szCs w:val="18"/>
              </w:rPr>
            </w:pPr>
          </w:p>
        </w:tc>
      </w:tr>
    </w:tbl>
    <w:p w14:paraId="4B7AFD53" w14:textId="77777777" w:rsidR="005335C7" w:rsidRPr="009352B7" w:rsidRDefault="005335C7" w:rsidP="005335C7">
      <w:pPr>
        <w:spacing w:after="100" w:afterAutospacing="1"/>
        <w:ind w:left="720"/>
        <w:jc w:val="both"/>
        <w:rPr>
          <w:rFonts w:ascii="Garamond" w:hAnsi="Garamond" w:cs="Calibri"/>
          <w:sz w:val="20"/>
        </w:rPr>
      </w:pPr>
      <w:r w:rsidRPr="009352B7">
        <w:rPr>
          <w:rFonts w:ascii="Garamond" w:hAnsi="Garamond" w:cs="Calibri"/>
          <w:sz w:val="20"/>
        </w:rPr>
        <w:t>Source: World Bank staff calculations</w:t>
      </w:r>
    </w:p>
    <w:p w14:paraId="48553CA9" w14:textId="77777777" w:rsidR="005335C7" w:rsidRDefault="005335C7" w:rsidP="005335C7">
      <w:pPr>
        <w:rPr>
          <w:rFonts w:ascii="Garamond" w:hAnsi="Garamond" w:cs="Arial"/>
          <w:sz w:val="24"/>
        </w:rPr>
      </w:pPr>
      <w:r>
        <w:br w:type="page"/>
      </w:r>
    </w:p>
    <w:p w14:paraId="0904F245" w14:textId="77777777" w:rsidR="009505DF" w:rsidRPr="009505DF" w:rsidRDefault="00B33493" w:rsidP="00B33493">
      <w:pPr>
        <w:pStyle w:val="Heading1"/>
      </w:pPr>
      <w:bookmarkStart w:id="110" w:name="_Toc479624891"/>
      <w:r>
        <w:lastRenderedPageBreak/>
        <w:t>Managing the Public</w:t>
      </w:r>
      <w:r w:rsidR="00650291">
        <w:t xml:space="preserve"> </w:t>
      </w:r>
      <w:r>
        <w:t>Sector Wage Bill to Maintain Fiscal Stability</w:t>
      </w:r>
      <w:bookmarkEnd w:id="110"/>
    </w:p>
    <w:tbl>
      <w:tblPr>
        <w:tblStyle w:val="TableGrid"/>
        <w:tblW w:w="0" w:type="auto"/>
        <w:shd w:val="clear" w:color="auto" w:fill="D0CECE" w:themeFill="background2" w:themeFillShade="E6"/>
        <w:tblLook w:val="04A0" w:firstRow="1" w:lastRow="0" w:firstColumn="1" w:lastColumn="0" w:noHBand="0" w:noVBand="1"/>
      </w:tblPr>
      <w:tblGrid>
        <w:gridCol w:w="9350"/>
      </w:tblGrid>
      <w:tr w:rsidR="00724BAB" w:rsidRPr="0023527A" w14:paraId="6FB7D6EA" w14:textId="77777777" w:rsidTr="00E566F7">
        <w:tc>
          <w:tcPr>
            <w:tcW w:w="9350" w:type="dxa"/>
            <w:shd w:val="clear" w:color="auto" w:fill="D0CECE" w:themeFill="background2" w:themeFillShade="E6"/>
          </w:tcPr>
          <w:p w14:paraId="1DCEF080" w14:textId="261EEC83" w:rsidR="00724BAB" w:rsidRPr="004B7DB8" w:rsidRDefault="00724BAB" w:rsidP="00EF1E19">
            <w:pPr>
              <w:spacing w:before="120" w:after="240"/>
              <w:jc w:val="both"/>
              <w:rPr>
                <w:rFonts w:ascii="Garamond" w:hAnsi="Garamond"/>
                <w:sz w:val="24"/>
                <w:szCs w:val="24"/>
                <w:lang w:val="en-US"/>
              </w:rPr>
            </w:pPr>
            <w:r w:rsidRPr="004B7DB8">
              <w:rPr>
                <w:rFonts w:ascii="Garamond" w:hAnsi="Garamond"/>
                <w:sz w:val="24"/>
                <w:szCs w:val="24"/>
                <w:lang w:val="en-US"/>
              </w:rPr>
              <w:t xml:space="preserve">Ghana’s public sector wage bill has grown rapidly since 2010 and is now the largest component of public spending. The wage bill rose from 6.9 percent of GDP in 2009 to 11.4 percent in 2012, then fell slightly to </w:t>
            </w:r>
            <w:r w:rsidR="00C35C3C" w:rsidRPr="004B7DB8">
              <w:rPr>
                <w:rFonts w:ascii="Garamond" w:hAnsi="Garamond"/>
                <w:sz w:val="24"/>
                <w:szCs w:val="24"/>
                <w:lang w:val="en-US"/>
              </w:rPr>
              <w:t>7.9</w:t>
            </w:r>
            <w:r w:rsidRPr="004B7DB8">
              <w:rPr>
                <w:rFonts w:ascii="Garamond" w:hAnsi="Garamond"/>
                <w:sz w:val="24"/>
                <w:szCs w:val="24"/>
                <w:lang w:val="en-US"/>
              </w:rPr>
              <w:t xml:space="preserve"> percent in 2015. Systemic weaknesses in the collective bargaining process for public employees, rising allowances in the education and health sectors, and an expanding number of high-level staff all contributed to the growth of the wage bill, and a substantial increase in the average wage rate accompanied the introduction of the SSSS in 2011. The government adopted measures to contain and reduce the wage bill as part of the fiscal consolidation program launched in 2014, but to date these efforts have yielded only mixed results. </w:t>
            </w:r>
          </w:p>
          <w:p w14:paraId="26ED1127" w14:textId="77777777" w:rsidR="00724BAB" w:rsidRPr="00A10065" w:rsidRDefault="00724BAB" w:rsidP="00EF1E19">
            <w:pPr>
              <w:spacing w:after="120"/>
              <w:jc w:val="both"/>
            </w:pPr>
            <w:r w:rsidRPr="004B7DB8">
              <w:rPr>
                <w:rFonts w:ascii="Garamond" w:hAnsi="Garamond"/>
                <w:sz w:val="24"/>
                <w:szCs w:val="24"/>
              </w:rPr>
              <w:t>The government can reduce the wage bill by limiting the growth of average wage rates while maintaining the current hiring freeze and allowing attrition to decrease the size of the public</w:t>
            </w:r>
            <w:r w:rsidR="00C95CD9" w:rsidRPr="004B7DB8">
              <w:rPr>
                <w:rFonts w:ascii="Garamond" w:hAnsi="Garamond"/>
                <w:sz w:val="24"/>
                <w:szCs w:val="24"/>
              </w:rPr>
              <w:t>-</w:t>
            </w:r>
            <w:r w:rsidRPr="004B7DB8">
              <w:rPr>
                <w:rFonts w:ascii="Garamond" w:hAnsi="Garamond"/>
                <w:sz w:val="24"/>
                <w:szCs w:val="24"/>
              </w:rPr>
              <w:t>sector workforce. Addressing payroll irregularities, curbing the use of allowances</w:t>
            </w:r>
            <w:r w:rsidR="00C95CD9" w:rsidRPr="004B7DB8">
              <w:rPr>
                <w:rFonts w:ascii="Garamond" w:hAnsi="Garamond"/>
                <w:sz w:val="24"/>
                <w:szCs w:val="24"/>
              </w:rPr>
              <w:t>,</w:t>
            </w:r>
            <w:r w:rsidRPr="004B7DB8">
              <w:rPr>
                <w:rFonts w:ascii="Garamond" w:hAnsi="Garamond"/>
                <w:sz w:val="24"/>
                <w:szCs w:val="24"/>
              </w:rPr>
              <w:t xml:space="preserve"> and eliminating cash payments could improve the efficiency of wage-bill management and accelerate the decline of personnel spending as a share of total public expenditures. Better wage modeling and a functional review of service-delivery arrangements could help policymakers identify further areas for fiscal savings. Additional efforts to stimulate private</w:t>
            </w:r>
            <w:r w:rsidR="00C95CD9" w:rsidRPr="004B7DB8">
              <w:rPr>
                <w:rFonts w:ascii="Garamond" w:hAnsi="Garamond"/>
                <w:sz w:val="24"/>
                <w:szCs w:val="24"/>
              </w:rPr>
              <w:t>-</w:t>
            </w:r>
            <w:r w:rsidRPr="004B7DB8">
              <w:rPr>
                <w:rFonts w:ascii="Garamond" w:hAnsi="Garamond"/>
                <w:sz w:val="24"/>
                <w:szCs w:val="24"/>
              </w:rPr>
              <w:t>employment growth and narrow the public</w:t>
            </w:r>
            <w:r w:rsidR="00C95CD9" w:rsidRPr="004B7DB8">
              <w:rPr>
                <w:rFonts w:ascii="Garamond" w:hAnsi="Garamond"/>
                <w:sz w:val="24"/>
                <w:szCs w:val="24"/>
              </w:rPr>
              <w:t>-</w:t>
            </w:r>
            <w:r w:rsidRPr="004B7DB8">
              <w:rPr>
                <w:rFonts w:ascii="Garamond" w:hAnsi="Garamond"/>
                <w:sz w:val="24"/>
                <w:szCs w:val="24"/>
              </w:rPr>
              <w:t>sector wage premium could ease public employment pressures over the medium-to-long term. Expanding the range of employment opportunities outside the public sector will become increasingly crucial as the share of workers with tertiary education continues to rise.</w:t>
            </w:r>
          </w:p>
        </w:tc>
      </w:tr>
    </w:tbl>
    <w:p w14:paraId="7ABCAF5D" w14:textId="77777777" w:rsidR="00724BAB" w:rsidRPr="00A10065" w:rsidRDefault="00724BAB" w:rsidP="00AD44DF">
      <w:pPr>
        <w:pStyle w:val="Heading2"/>
      </w:pPr>
      <w:bookmarkStart w:id="111" w:name="_Toc479624892"/>
      <w:r w:rsidRPr="00A10065">
        <w:t>Background</w:t>
      </w:r>
      <w:bookmarkEnd w:id="111"/>
    </w:p>
    <w:p w14:paraId="33A07367" w14:textId="77777777" w:rsidR="00B4155D" w:rsidRDefault="00724BAB" w:rsidP="007925A8">
      <w:pPr>
        <w:pStyle w:val="ListParagraph"/>
        <w:numPr>
          <w:ilvl w:val="0"/>
          <w:numId w:val="13"/>
        </w:numPr>
      </w:pPr>
      <w:r w:rsidRPr="00E81E2D">
        <w:rPr>
          <w:b/>
        </w:rPr>
        <w:t>Ghana’s public sector wage bill has increased substantially since 2010, and it now plays a major role in the country’s fiscal performance.</w:t>
      </w:r>
      <w:r w:rsidRPr="00643118">
        <w:rPr>
          <w:rStyle w:val="FootnoteReference"/>
        </w:rPr>
        <w:footnoteReference w:id="75"/>
      </w:r>
      <w:r w:rsidRPr="00643118">
        <w:t xml:space="preserve"> </w:t>
      </w:r>
      <w:r w:rsidRPr="00E81E2D">
        <w:t>A combination of nominal wage growth and rising public employment levels put the wage bill on an unsustainable upward trajectory. Public</w:t>
      </w:r>
      <w:r w:rsidR="00650291">
        <w:t xml:space="preserve"> </w:t>
      </w:r>
      <w:r w:rsidRPr="00E81E2D">
        <w:t xml:space="preserve">sector wages surpassed capital spending in 2010 to become the government’s single largest expenditure item, accounting for about </w:t>
      </w:r>
      <w:r>
        <w:t>8</w:t>
      </w:r>
      <w:r w:rsidRPr="00E81E2D">
        <w:t xml:space="preserve"> percent of GDP and more than half of total tax revenue (</w:t>
      </w:r>
      <w:r w:rsidRPr="00E81E2D">
        <w:fldChar w:fldCharType="begin"/>
      </w:r>
      <w:r w:rsidRPr="00E81E2D">
        <w:instrText xml:space="preserve"> REF _Ref470184513 \h </w:instrText>
      </w:r>
      <w:r>
        <w:instrText xml:space="preserve"> \* MERGEFORMAT </w:instrText>
      </w:r>
      <w:r w:rsidRPr="00E81E2D">
        <w:fldChar w:fldCharType="separate"/>
      </w:r>
      <w:r w:rsidR="007B1CE6" w:rsidRPr="00275FDB">
        <w:t xml:space="preserve">Table </w:t>
      </w:r>
      <w:r w:rsidR="007B1CE6">
        <w:rPr>
          <w:noProof/>
        </w:rPr>
        <w:t>3</w:t>
      </w:r>
      <w:r w:rsidR="007B1CE6" w:rsidRPr="00275FDB">
        <w:rPr>
          <w:noProof/>
        </w:rPr>
        <w:t>.</w:t>
      </w:r>
      <w:r w:rsidR="007B1CE6">
        <w:rPr>
          <w:noProof/>
        </w:rPr>
        <w:t>1</w:t>
      </w:r>
      <w:r w:rsidRPr="00E81E2D">
        <w:fldChar w:fldCharType="end"/>
      </w:r>
      <w:r w:rsidRPr="00E81E2D">
        <w:t>). The wage bill is also a major source of expenditure overruns.</w:t>
      </w:r>
    </w:p>
    <w:p w14:paraId="2D78108F" w14:textId="77777777" w:rsidR="007925A8" w:rsidRDefault="007925A8" w:rsidP="007925A8"/>
    <w:p w14:paraId="72200521" w14:textId="77777777" w:rsidR="007925A8" w:rsidRDefault="007925A8" w:rsidP="007925A8"/>
    <w:p w14:paraId="5171B242" w14:textId="77777777" w:rsidR="007925A8" w:rsidRDefault="007925A8" w:rsidP="007925A8"/>
    <w:p w14:paraId="11D05DC7" w14:textId="77777777" w:rsidR="007925A8" w:rsidRDefault="007925A8" w:rsidP="007925A8"/>
    <w:p w14:paraId="01AA5FEE" w14:textId="77777777" w:rsidR="007925A8" w:rsidRDefault="007925A8" w:rsidP="007925A8"/>
    <w:p w14:paraId="002EEFA0" w14:textId="77777777" w:rsidR="00724BAB" w:rsidRDefault="00724BAB" w:rsidP="00724BAB">
      <w:pPr>
        <w:pStyle w:val="Caption"/>
        <w:rPr>
          <w:lang w:val="en-US"/>
        </w:rPr>
      </w:pPr>
      <w:bookmarkStart w:id="112" w:name="_Ref470184513"/>
      <w:bookmarkStart w:id="113" w:name="_Toc478837638"/>
      <w:r w:rsidRPr="00275FDB">
        <w:rPr>
          <w:lang w:val="en-US"/>
        </w:rPr>
        <w:lastRenderedPageBreak/>
        <w:t xml:space="preserve">Table </w:t>
      </w:r>
      <w:r w:rsidR="00500291" w:rsidRPr="00275FDB">
        <w:rPr>
          <w:lang w:val="en-US"/>
        </w:rPr>
        <w:fldChar w:fldCharType="begin"/>
      </w:r>
      <w:r w:rsidR="00500291" w:rsidRPr="00275FDB">
        <w:rPr>
          <w:lang w:val="en-US"/>
        </w:rPr>
        <w:instrText xml:space="preserve"> STYLEREF 1 \s </w:instrText>
      </w:r>
      <w:r w:rsidR="00500291" w:rsidRPr="00275FDB">
        <w:rPr>
          <w:lang w:val="en-US"/>
        </w:rPr>
        <w:fldChar w:fldCharType="separate"/>
      </w:r>
      <w:r w:rsidR="007B1CE6">
        <w:rPr>
          <w:noProof/>
          <w:lang w:val="en-US"/>
        </w:rPr>
        <w:t>3</w:t>
      </w:r>
      <w:r w:rsidR="00500291" w:rsidRPr="00275FDB">
        <w:rPr>
          <w:lang w:val="en-US"/>
        </w:rPr>
        <w:fldChar w:fldCharType="end"/>
      </w:r>
      <w:r w:rsidR="00500291" w:rsidRPr="00275FDB">
        <w:rPr>
          <w:lang w:val="en-US"/>
        </w:rPr>
        <w:t>.</w:t>
      </w:r>
      <w:r w:rsidR="00500291" w:rsidRPr="00275FDB">
        <w:rPr>
          <w:lang w:val="en-US"/>
        </w:rPr>
        <w:fldChar w:fldCharType="begin"/>
      </w:r>
      <w:r w:rsidR="00500291" w:rsidRPr="00275FDB">
        <w:rPr>
          <w:lang w:val="en-US"/>
        </w:rPr>
        <w:instrText xml:space="preserve"> SEQ Table \* ARABIC \s 1 </w:instrText>
      </w:r>
      <w:r w:rsidR="00500291" w:rsidRPr="00275FDB">
        <w:rPr>
          <w:lang w:val="en-US"/>
        </w:rPr>
        <w:fldChar w:fldCharType="separate"/>
      </w:r>
      <w:r w:rsidR="007B1CE6">
        <w:rPr>
          <w:noProof/>
          <w:lang w:val="en-US"/>
        </w:rPr>
        <w:t>1</w:t>
      </w:r>
      <w:r w:rsidR="00500291" w:rsidRPr="00275FDB">
        <w:rPr>
          <w:lang w:val="en-US"/>
        </w:rPr>
        <w:fldChar w:fldCharType="end"/>
      </w:r>
      <w:bookmarkEnd w:id="112"/>
      <w:r w:rsidRPr="00275FDB">
        <w:rPr>
          <w:lang w:val="en-US"/>
        </w:rPr>
        <w:t>: The Public Sector Wage Bill and Workforce, 2008-201</w:t>
      </w:r>
      <w:r w:rsidR="00E600B7" w:rsidRPr="00275FDB">
        <w:rPr>
          <w:lang w:val="en-US"/>
        </w:rPr>
        <w:t>6</w:t>
      </w:r>
      <w:bookmarkEnd w:id="113"/>
    </w:p>
    <w:tbl>
      <w:tblPr>
        <w:tblW w:w="9306" w:type="dxa"/>
        <w:tblLook w:val="04A0" w:firstRow="1" w:lastRow="0" w:firstColumn="1" w:lastColumn="0" w:noHBand="0" w:noVBand="1"/>
      </w:tblPr>
      <w:tblGrid>
        <w:gridCol w:w="3460"/>
        <w:gridCol w:w="967"/>
        <w:gridCol w:w="730"/>
        <w:gridCol w:w="720"/>
        <w:gridCol w:w="663"/>
        <w:gridCol w:w="663"/>
        <w:gridCol w:w="663"/>
        <w:gridCol w:w="663"/>
        <w:gridCol w:w="777"/>
      </w:tblGrid>
      <w:tr w:rsidR="00C35C3C" w:rsidRPr="00C35C3C" w14:paraId="7D79D7CA" w14:textId="77777777" w:rsidTr="00C35C3C">
        <w:trPr>
          <w:trHeight w:val="300"/>
        </w:trPr>
        <w:tc>
          <w:tcPr>
            <w:tcW w:w="3460" w:type="dxa"/>
            <w:vMerge w:val="restart"/>
            <w:tcBorders>
              <w:top w:val="single" w:sz="8" w:space="0" w:color="auto"/>
              <w:left w:val="nil"/>
              <w:bottom w:val="single" w:sz="8" w:space="0" w:color="000000"/>
              <w:right w:val="nil"/>
            </w:tcBorders>
            <w:shd w:val="clear" w:color="auto" w:fill="auto"/>
            <w:vAlign w:val="center"/>
            <w:hideMark/>
          </w:tcPr>
          <w:p w14:paraId="23AB8F84" w14:textId="77777777" w:rsidR="00C35C3C" w:rsidRPr="00C35C3C" w:rsidRDefault="00C35C3C" w:rsidP="00B4169C">
            <w:pPr>
              <w:spacing w:after="0" w:line="240" w:lineRule="auto"/>
              <w:rPr>
                <w:rFonts w:ascii="Calibri Light" w:eastAsia="Times New Roman" w:hAnsi="Calibri Light" w:cs="Times New Roman"/>
                <w:color w:val="000000"/>
              </w:rPr>
            </w:pPr>
            <w:r w:rsidRPr="00C35C3C">
              <w:rPr>
                <w:rFonts w:ascii="Calibri Light" w:eastAsia="Times New Roman" w:hAnsi="Calibri Light" w:cs="Times New Roman"/>
                <w:color w:val="000000"/>
              </w:rPr>
              <w:t> </w:t>
            </w:r>
          </w:p>
        </w:tc>
        <w:tc>
          <w:tcPr>
            <w:tcW w:w="967" w:type="dxa"/>
            <w:tcBorders>
              <w:top w:val="single" w:sz="8" w:space="0" w:color="auto"/>
              <w:left w:val="nil"/>
              <w:bottom w:val="nil"/>
              <w:right w:val="nil"/>
            </w:tcBorders>
            <w:shd w:val="clear" w:color="auto" w:fill="auto"/>
            <w:noWrap/>
            <w:vAlign w:val="center"/>
            <w:hideMark/>
          </w:tcPr>
          <w:p w14:paraId="07AD82E2" w14:textId="77777777" w:rsidR="00C35C3C" w:rsidRPr="00C35C3C" w:rsidRDefault="00C35C3C" w:rsidP="00B4169C">
            <w:pPr>
              <w:spacing w:after="0" w:line="240" w:lineRule="auto"/>
              <w:jc w:val="center"/>
              <w:rPr>
                <w:rFonts w:ascii="Calibri" w:eastAsia="Times New Roman" w:hAnsi="Calibri" w:cs="Times New Roman"/>
                <w:b/>
                <w:bCs/>
                <w:color w:val="000000"/>
              </w:rPr>
            </w:pPr>
            <w:r w:rsidRPr="00C35C3C">
              <w:rPr>
                <w:rFonts w:ascii="Calibri" w:eastAsia="Times New Roman" w:hAnsi="Calibri" w:cs="Times New Roman"/>
                <w:b/>
                <w:bCs/>
                <w:color w:val="000000"/>
              </w:rPr>
              <w:t>2004-2009</w:t>
            </w:r>
          </w:p>
        </w:tc>
        <w:tc>
          <w:tcPr>
            <w:tcW w:w="730" w:type="dxa"/>
            <w:vMerge w:val="restart"/>
            <w:tcBorders>
              <w:top w:val="single" w:sz="8" w:space="0" w:color="auto"/>
              <w:left w:val="nil"/>
              <w:bottom w:val="single" w:sz="8" w:space="0" w:color="000000"/>
              <w:right w:val="nil"/>
            </w:tcBorders>
            <w:shd w:val="clear" w:color="auto" w:fill="auto"/>
            <w:noWrap/>
            <w:vAlign w:val="center"/>
            <w:hideMark/>
          </w:tcPr>
          <w:p w14:paraId="2682C9B5" w14:textId="77777777" w:rsidR="00C35C3C" w:rsidRPr="00C35C3C" w:rsidRDefault="00C35C3C" w:rsidP="00B4169C">
            <w:pPr>
              <w:spacing w:after="0" w:line="240" w:lineRule="auto"/>
              <w:jc w:val="center"/>
              <w:rPr>
                <w:rFonts w:ascii="Calibri" w:eastAsia="Times New Roman" w:hAnsi="Calibri" w:cs="Times New Roman"/>
                <w:b/>
                <w:bCs/>
                <w:color w:val="000000"/>
              </w:rPr>
            </w:pPr>
            <w:r w:rsidRPr="00C35C3C">
              <w:rPr>
                <w:rFonts w:ascii="Calibri" w:eastAsia="Times New Roman" w:hAnsi="Calibri" w:cs="Times New Roman"/>
                <w:b/>
                <w:bCs/>
                <w:color w:val="000000"/>
              </w:rPr>
              <w:t>2010</w:t>
            </w:r>
          </w:p>
        </w:tc>
        <w:tc>
          <w:tcPr>
            <w:tcW w:w="720" w:type="dxa"/>
            <w:vMerge w:val="restart"/>
            <w:tcBorders>
              <w:top w:val="single" w:sz="8" w:space="0" w:color="auto"/>
              <w:left w:val="nil"/>
              <w:bottom w:val="single" w:sz="8" w:space="0" w:color="000000"/>
              <w:right w:val="nil"/>
            </w:tcBorders>
            <w:shd w:val="clear" w:color="auto" w:fill="auto"/>
            <w:noWrap/>
            <w:vAlign w:val="center"/>
            <w:hideMark/>
          </w:tcPr>
          <w:p w14:paraId="0280E1AD" w14:textId="77777777" w:rsidR="00C35C3C" w:rsidRPr="00C35C3C" w:rsidRDefault="00C35C3C" w:rsidP="00B4169C">
            <w:pPr>
              <w:spacing w:after="0" w:line="240" w:lineRule="auto"/>
              <w:jc w:val="center"/>
              <w:rPr>
                <w:rFonts w:ascii="Calibri" w:eastAsia="Times New Roman" w:hAnsi="Calibri" w:cs="Times New Roman"/>
                <w:b/>
                <w:bCs/>
                <w:color w:val="000000"/>
              </w:rPr>
            </w:pPr>
            <w:r w:rsidRPr="00C35C3C">
              <w:rPr>
                <w:rFonts w:ascii="Calibri" w:eastAsia="Times New Roman" w:hAnsi="Calibri" w:cs="Times New Roman"/>
                <w:b/>
                <w:bCs/>
                <w:color w:val="000000"/>
              </w:rPr>
              <w:t>2011</w:t>
            </w:r>
          </w:p>
        </w:tc>
        <w:tc>
          <w:tcPr>
            <w:tcW w:w="663" w:type="dxa"/>
            <w:vMerge w:val="restart"/>
            <w:tcBorders>
              <w:top w:val="single" w:sz="8" w:space="0" w:color="auto"/>
              <w:left w:val="nil"/>
              <w:bottom w:val="single" w:sz="8" w:space="0" w:color="000000"/>
              <w:right w:val="nil"/>
            </w:tcBorders>
            <w:shd w:val="clear" w:color="auto" w:fill="auto"/>
            <w:noWrap/>
            <w:vAlign w:val="center"/>
            <w:hideMark/>
          </w:tcPr>
          <w:p w14:paraId="255E50D0" w14:textId="77777777" w:rsidR="00C35C3C" w:rsidRPr="00C35C3C" w:rsidRDefault="00C35C3C" w:rsidP="00B4169C">
            <w:pPr>
              <w:spacing w:after="0" w:line="240" w:lineRule="auto"/>
              <w:jc w:val="center"/>
              <w:rPr>
                <w:rFonts w:ascii="Calibri" w:eastAsia="Times New Roman" w:hAnsi="Calibri" w:cs="Times New Roman"/>
                <w:b/>
                <w:bCs/>
                <w:color w:val="000000"/>
              </w:rPr>
            </w:pPr>
            <w:r w:rsidRPr="00C35C3C">
              <w:rPr>
                <w:rFonts w:ascii="Calibri" w:eastAsia="Times New Roman" w:hAnsi="Calibri" w:cs="Times New Roman"/>
                <w:b/>
                <w:bCs/>
                <w:color w:val="000000"/>
              </w:rPr>
              <w:t>2012</w:t>
            </w:r>
          </w:p>
        </w:tc>
        <w:tc>
          <w:tcPr>
            <w:tcW w:w="663" w:type="dxa"/>
            <w:vMerge w:val="restart"/>
            <w:tcBorders>
              <w:top w:val="single" w:sz="8" w:space="0" w:color="auto"/>
              <w:left w:val="nil"/>
              <w:bottom w:val="single" w:sz="8" w:space="0" w:color="000000"/>
              <w:right w:val="nil"/>
            </w:tcBorders>
            <w:shd w:val="clear" w:color="auto" w:fill="auto"/>
            <w:noWrap/>
            <w:vAlign w:val="center"/>
            <w:hideMark/>
          </w:tcPr>
          <w:p w14:paraId="2E4F006D" w14:textId="77777777" w:rsidR="00C35C3C" w:rsidRPr="00C35C3C" w:rsidRDefault="00C35C3C" w:rsidP="00B4169C">
            <w:pPr>
              <w:spacing w:after="0" w:line="240" w:lineRule="auto"/>
              <w:jc w:val="center"/>
              <w:rPr>
                <w:rFonts w:ascii="Calibri" w:eastAsia="Times New Roman" w:hAnsi="Calibri" w:cs="Times New Roman"/>
                <w:b/>
                <w:bCs/>
                <w:color w:val="000000"/>
              </w:rPr>
            </w:pPr>
            <w:r w:rsidRPr="00C35C3C">
              <w:rPr>
                <w:rFonts w:ascii="Calibri" w:eastAsia="Times New Roman" w:hAnsi="Calibri" w:cs="Times New Roman"/>
                <w:b/>
                <w:bCs/>
                <w:color w:val="000000"/>
              </w:rPr>
              <w:t>2013</w:t>
            </w:r>
          </w:p>
        </w:tc>
        <w:tc>
          <w:tcPr>
            <w:tcW w:w="663" w:type="dxa"/>
            <w:vMerge w:val="restart"/>
            <w:tcBorders>
              <w:top w:val="single" w:sz="8" w:space="0" w:color="auto"/>
              <w:left w:val="nil"/>
              <w:bottom w:val="single" w:sz="8" w:space="0" w:color="000000"/>
              <w:right w:val="nil"/>
            </w:tcBorders>
            <w:shd w:val="clear" w:color="auto" w:fill="auto"/>
            <w:noWrap/>
            <w:vAlign w:val="center"/>
            <w:hideMark/>
          </w:tcPr>
          <w:p w14:paraId="27D01D4E" w14:textId="77777777" w:rsidR="00C35C3C" w:rsidRPr="00C35C3C" w:rsidRDefault="00C35C3C" w:rsidP="00B4169C">
            <w:pPr>
              <w:spacing w:after="0" w:line="240" w:lineRule="auto"/>
              <w:jc w:val="center"/>
              <w:rPr>
                <w:rFonts w:ascii="Calibri" w:eastAsia="Times New Roman" w:hAnsi="Calibri" w:cs="Times New Roman"/>
                <w:b/>
                <w:bCs/>
                <w:color w:val="000000"/>
              </w:rPr>
            </w:pPr>
            <w:r w:rsidRPr="00C35C3C">
              <w:rPr>
                <w:rFonts w:ascii="Calibri" w:eastAsia="Times New Roman" w:hAnsi="Calibri" w:cs="Times New Roman"/>
                <w:b/>
                <w:bCs/>
                <w:color w:val="000000"/>
              </w:rPr>
              <w:t>2014</w:t>
            </w:r>
          </w:p>
        </w:tc>
        <w:tc>
          <w:tcPr>
            <w:tcW w:w="663" w:type="dxa"/>
            <w:vMerge w:val="restart"/>
            <w:tcBorders>
              <w:top w:val="single" w:sz="8" w:space="0" w:color="auto"/>
              <w:left w:val="nil"/>
              <w:bottom w:val="single" w:sz="8" w:space="0" w:color="000000"/>
              <w:right w:val="nil"/>
            </w:tcBorders>
            <w:shd w:val="clear" w:color="auto" w:fill="auto"/>
            <w:noWrap/>
            <w:vAlign w:val="center"/>
            <w:hideMark/>
          </w:tcPr>
          <w:p w14:paraId="76010CA7" w14:textId="77777777" w:rsidR="00C35C3C" w:rsidRPr="00C35C3C" w:rsidRDefault="00C35C3C" w:rsidP="00B4169C">
            <w:pPr>
              <w:spacing w:after="0" w:line="240" w:lineRule="auto"/>
              <w:jc w:val="center"/>
              <w:rPr>
                <w:rFonts w:ascii="Calibri" w:eastAsia="Times New Roman" w:hAnsi="Calibri" w:cs="Times New Roman"/>
                <w:b/>
                <w:bCs/>
                <w:color w:val="000000"/>
              </w:rPr>
            </w:pPr>
            <w:r w:rsidRPr="00C35C3C">
              <w:rPr>
                <w:rFonts w:ascii="Calibri" w:eastAsia="Times New Roman" w:hAnsi="Calibri" w:cs="Times New Roman"/>
                <w:b/>
                <w:bCs/>
                <w:color w:val="000000"/>
              </w:rPr>
              <w:t>2015</w:t>
            </w:r>
          </w:p>
        </w:tc>
        <w:tc>
          <w:tcPr>
            <w:tcW w:w="772" w:type="dxa"/>
            <w:vMerge w:val="restart"/>
            <w:tcBorders>
              <w:top w:val="single" w:sz="8" w:space="0" w:color="auto"/>
              <w:left w:val="nil"/>
              <w:bottom w:val="single" w:sz="8" w:space="0" w:color="000000"/>
              <w:right w:val="nil"/>
            </w:tcBorders>
            <w:shd w:val="clear" w:color="auto" w:fill="auto"/>
            <w:noWrap/>
            <w:vAlign w:val="center"/>
            <w:hideMark/>
          </w:tcPr>
          <w:p w14:paraId="214F6246" w14:textId="77777777" w:rsidR="00C35C3C" w:rsidRPr="00C35C3C" w:rsidRDefault="00C35C3C" w:rsidP="00B4169C">
            <w:pPr>
              <w:spacing w:after="0" w:line="240" w:lineRule="auto"/>
              <w:jc w:val="center"/>
              <w:rPr>
                <w:rFonts w:ascii="Calibri" w:eastAsia="Times New Roman" w:hAnsi="Calibri" w:cs="Times New Roman"/>
                <w:b/>
                <w:bCs/>
                <w:color w:val="000000"/>
              </w:rPr>
            </w:pPr>
            <w:r w:rsidRPr="00C35C3C">
              <w:rPr>
                <w:rFonts w:ascii="Calibri" w:eastAsia="Times New Roman" w:hAnsi="Calibri" w:cs="Times New Roman"/>
                <w:b/>
                <w:bCs/>
                <w:color w:val="000000"/>
              </w:rPr>
              <w:t>2016*</w:t>
            </w:r>
          </w:p>
        </w:tc>
      </w:tr>
      <w:tr w:rsidR="00C35C3C" w:rsidRPr="00C35C3C" w14:paraId="39BE0EBD" w14:textId="77777777" w:rsidTr="00C35C3C">
        <w:trPr>
          <w:trHeight w:val="315"/>
        </w:trPr>
        <w:tc>
          <w:tcPr>
            <w:tcW w:w="3460" w:type="dxa"/>
            <w:vMerge/>
            <w:tcBorders>
              <w:top w:val="single" w:sz="8" w:space="0" w:color="auto"/>
              <w:left w:val="nil"/>
              <w:bottom w:val="single" w:sz="8" w:space="0" w:color="000000"/>
              <w:right w:val="nil"/>
            </w:tcBorders>
            <w:vAlign w:val="center"/>
            <w:hideMark/>
          </w:tcPr>
          <w:p w14:paraId="465861B6" w14:textId="77777777" w:rsidR="00C35C3C" w:rsidRPr="00C35C3C" w:rsidRDefault="00C35C3C" w:rsidP="00B4169C">
            <w:pPr>
              <w:spacing w:after="0" w:line="240" w:lineRule="auto"/>
              <w:rPr>
                <w:rFonts w:ascii="Calibri Light" w:eastAsia="Times New Roman" w:hAnsi="Calibri Light" w:cs="Times New Roman"/>
                <w:color w:val="000000"/>
              </w:rPr>
            </w:pPr>
          </w:p>
        </w:tc>
        <w:tc>
          <w:tcPr>
            <w:tcW w:w="967" w:type="dxa"/>
            <w:tcBorders>
              <w:top w:val="nil"/>
              <w:left w:val="nil"/>
              <w:bottom w:val="single" w:sz="8" w:space="0" w:color="auto"/>
              <w:right w:val="nil"/>
            </w:tcBorders>
            <w:shd w:val="clear" w:color="auto" w:fill="auto"/>
            <w:noWrap/>
            <w:vAlign w:val="center"/>
            <w:hideMark/>
          </w:tcPr>
          <w:p w14:paraId="47A94A60" w14:textId="77777777" w:rsidR="00C35C3C" w:rsidRPr="00C35C3C" w:rsidRDefault="00C35C3C" w:rsidP="00B4169C">
            <w:pPr>
              <w:spacing w:after="0" w:line="240" w:lineRule="auto"/>
              <w:jc w:val="center"/>
              <w:rPr>
                <w:rFonts w:ascii="Calibri" w:eastAsia="Times New Roman" w:hAnsi="Calibri" w:cs="Times New Roman"/>
                <w:b/>
                <w:bCs/>
                <w:color w:val="000000"/>
              </w:rPr>
            </w:pPr>
            <w:r w:rsidRPr="00C35C3C">
              <w:rPr>
                <w:rFonts w:ascii="Calibri" w:eastAsia="Times New Roman" w:hAnsi="Calibri" w:cs="Times New Roman"/>
                <w:b/>
                <w:bCs/>
                <w:color w:val="000000"/>
              </w:rPr>
              <w:t>Average</w:t>
            </w:r>
          </w:p>
        </w:tc>
        <w:tc>
          <w:tcPr>
            <w:tcW w:w="730" w:type="dxa"/>
            <w:vMerge/>
            <w:tcBorders>
              <w:top w:val="single" w:sz="8" w:space="0" w:color="auto"/>
              <w:left w:val="nil"/>
              <w:bottom w:val="single" w:sz="8" w:space="0" w:color="000000"/>
              <w:right w:val="nil"/>
            </w:tcBorders>
            <w:vAlign w:val="center"/>
            <w:hideMark/>
          </w:tcPr>
          <w:p w14:paraId="449714C0" w14:textId="77777777" w:rsidR="00C35C3C" w:rsidRPr="00C35C3C" w:rsidRDefault="00C35C3C" w:rsidP="00B4169C">
            <w:pPr>
              <w:spacing w:after="0" w:line="240" w:lineRule="auto"/>
              <w:rPr>
                <w:rFonts w:ascii="Calibri" w:eastAsia="Times New Roman" w:hAnsi="Calibri" w:cs="Times New Roman"/>
                <w:b/>
                <w:bCs/>
                <w:color w:val="000000"/>
              </w:rPr>
            </w:pPr>
          </w:p>
        </w:tc>
        <w:tc>
          <w:tcPr>
            <w:tcW w:w="720" w:type="dxa"/>
            <w:vMerge/>
            <w:tcBorders>
              <w:top w:val="single" w:sz="8" w:space="0" w:color="auto"/>
              <w:left w:val="nil"/>
              <w:bottom w:val="single" w:sz="8" w:space="0" w:color="000000"/>
              <w:right w:val="nil"/>
            </w:tcBorders>
            <w:vAlign w:val="center"/>
            <w:hideMark/>
          </w:tcPr>
          <w:p w14:paraId="7303D55A" w14:textId="77777777" w:rsidR="00C35C3C" w:rsidRPr="00C35C3C" w:rsidRDefault="00C35C3C" w:rsidP="00B4169C">
            <w:pPr>
              <w:spacing w:after="0" w:line="240" w:lineRule="auto"/>
              <w:rPr>
                <w:rFonts w:ascii="Calibri" w:eastAsia="Times New Roman" w:hAnsi="Calibri" w:cs="Times New Roman"/>
                <w:b/>
                <w:bCs/>
                <w:color w:val="000000"/>
              </w:rPr>
            </w:pPr>
          </w:p>
        </w:tc>
        <w:tc>
          <w:tcPr>
            <w:tcW w:w="663" w:type="dxa"/>
            <w:vMerge/>
            <w:tcBorders>
              <w:top w:val="single" w:sz="8" w:space="0" w:color="auto"/>
              <w:left w:val="nil"/>
              <w:bottom w:val="single" w:sz="8" w:space="0" w:color="000000"/>
              <w:right w:val="nil"/>
            </w:tcBorders>
            <w:vAlign w:val="center"/>
            <w:hideMark/>
          </w:tcPr>
          <w:p w14:paraId="751CC219" w14:textId="77777777" w:rsidR="00C35C3C" w:rsidRPr="00C35C3C" w:rsidRDefault="00C35C3C" w:rsidP="00B4169C">
            <w:pPr>
              <w:spacing w:after="0" w:line="240" w:lineRule="auto"/>
              <w:rPr>
                <w:rFonts w:ascii="Calibri" w:eastAsia="Times New Roman" w:hAnsi="Calibri" w:cs="Times New Roman"/>
                <w:b/>
                <w:bCs/>
                <w:color w:val="000000"/>
              </w:rPr>
            </w:pPr>
          </w:p>
        </w:tc>
        <w:tc>
          <w:tcPr>
            <w:tcW w:w="663" w:type="dxa"/>
            <w:vMerge/>
            <w:tcBorders>
              <w:top w:val="single" w:sz="8" w:space="0" w:color="auto"/>
              <w:left w:val="nil"/>
              <w:bottom w:val="single" w:sz="8" w:space="0" w:color="000000"/>
              <w:right w:val="nil"/>
            </w:tcBorders>
            <w:vAlign w:val="center"/>
            <w:hideMark/>
          </w:tcPr>
          <w:p w14:paraId="6B4F2234" w14:textId="77777777" w:rsidR="00C35C3C" w:rsidRPr="00C35C3C" w:rsidRDefault="00C35C3C" w:rsidP="00B4169C">
            <w:pPr>
              <w:spacing w:after="0" w:line="240" w:lineRule="auto"/>
              <w:rPr>
                <w:rFonts w:ascii="Calibri" w:eastAsia="Times New Roman" w:hAnsi="Calibri" w:cs="Times New Roman"/>
                <w:b/>
                <w:bCs/>
                <w:color w:val="000000"/>
              </w:rPr>
            </w:pPr>
          </w:p>
        </w:tc>
        <w:tc>
          <w:tcPr>
            <w:tcW w:w="663" w:type="dxa"/>
            <w:vMerge/>
            <w:tcBorders>
              <w:top w:val="single" w:sz="8" w:space="0" w:color="auto"/>
              <w:left w:val="nil"/>
              <w:bottom w:val="single" w:sz="8" w:space="0" w:color="000000"/>
              <w:right w:val="nil"/>
            </w:tcBorders>
            <w:vAlign w:val="center"/>
            <w:hideMark/>
          </w:tcPr>
          <w:p w14:paraId="55E01F19" w14:textId="77777777" w:rsidR="00C35C3C" w:rsidRPr="00C35C3C" w:rsidRDefault="00C35C3C" w:rsidP="00B4169C">
            <w:pPr>
              <w:spacing w:after="0" w:line="240" w:lineRule="auto"/>
              <w:rPr>
                <w:rFonts w:ascii="Calibri" w:eastAsia="Times New Roman" w:hAnsi="Calibri" w:cs="Times New Roman"/>
                <w:b/>
                <w:bCs/>
                <w:color w:val="000000"/>
              </w:rPr>
            </w:pPr>
          </w:p>
        </w:tc>
        <w:tc>
          <w:tcPr>
            <w:tcW w:w="663" w:type="dxa"/>
            <w:vMerge/>
            <w:tcBorders>
              <w:top w:val="single" w:sz="8" w:space="0" w:color="auto"/>
              <w:left w:val="nil"/>
              <w:bottom w:val="single" w:sz="8" w:space="0" w:color="000000"/>
              <w:right w:val="nil"/>
            </w:tcBorders>
            <w:vAlign w:val="center"/>
            <w:hideMark/>
          </w:tcPr>
          <w:p w14:paraId="1215E5D1" w14:textId="77777777" w:rsidR="00C35C3C" w:rsidRPr="00C35C3C" w:rsidRDefault="00C35C3C" w:rsidP="00B4169C">
            <w:pPr>
              <w:spacing w:after="0" w:line="240" w:lineRule="auto"/>
              <w:rPr>
                <w:rFonts w:ascii="Calibri" w:eastAsia="Times New Roman" w:hAnsi="Calibri" w:cs="Times New Roman"/>
                <w:b/>
                <w:bCs/>
                <w:color w:val="000000"/>
              </w:rPr>
            </w:pPr>
          </w:p>
        </w:tc>
        <w:tc>
          <w:tcPr>
            <w:tcW w:w="772" w:type="dxa"/>
            <w:vMerge/>
            <w:tcBorders>
              <w:top w:val="single" w:sz="8" w:space="0" w:color="auto"/>
              <w:left w:val="nil"/>
              <w:bottom w:val="single" w:sz="8" w:space="0" w:color="000000"/>
              <w:right w:val="nil"/>
            </w:tcBorders>
            <w:vAlign w:val="center"/>
            <w:hideMark/>
          </w:tcPr>
          <w:p w14:paraId="6D1E2D55" w14:textId="77777777" w:rsidR="00C35C3C" w:rsidRPr="00C35C3C" w:rsidRDefault="00C35C3C" w:rsidP="00B4169C">
            <w:pPr>
              <w:spacing w:after="0" w:line="240" w:lineRule="auto"/>
              <w:rPr>
                <w:rFonts w:ascii="Calibri" w:eastAsia="Times New Roman" w:hAnsi="Calibri" w:cs="Times New Roman"/>
                <w:b/>
                <w:bCs/>
                <w:color w:val="000000"/>
              </w:rPr>
            </w:pPr>
          </w:p>
        </w:tc>
      </w:tr>
      <w:tr w:rsidR="00C35C3C" w:rsidRPr="00C35C3C" w14:paraId="2E1ABAF3" w14:textId="77777777" w:rsidTr="00C35C3C">
        <w:trPr>
          <w:trHeight w:val="315"/>
        </w:trPr>
        <w:tc>
          <w:tcPr>
            <w:tcW w:w="9306" w:type="dxa"/>
            <w:gridSpan w:val="9"/>
            <w:tcBorders>
              <w:top w:val="single" w:sz="8" w:space="0" w:color="auto"/>
              <w:left w:val="nil"/>
              <w:bottom w:val="single" w:sz="8" w:space="0" w:color="auto"/>
              <w:right w:val="nil"/>
            </w:tcBorders>
            <w:shd w:val="clear" w:color="auto" w:fill="auto"/>
            <w:noWrap/>
            <w:vAlign w:val="center"/>
            <w:hideMark/>
          </w:tcPr>
          <w:p w14:paraId="4B48420D" w14:textId="77777777" w:rsidR="00C35C3C" w:rsidRPr="00C35C3C" w:rsidRDefault="00C35C3C" w:rsidP="00B4169C">
            <w:pPr>
              <w:spacing w:after="0" w:line="240" w:lineRule="auto"/>
              <w:jc w:val="center"/>
              <w:rPr>
                <w:rFonts w:ascii="Calibri" w:eastAsia="Times New Roman" w:hAnsi="Calibri" w:cs="Times New Roman"/>
                <w:b/>
                <w:bCs/>
                <w:color w:val="000000"/>
              </w:rPr>
            </w:pPr>
            <w:r w:rsidRPr="00C35C3C">
              <w:rPr>
                <w:rFonts w:ascii="Calibri" w:eastAsia="Times New Roman" w:hAnsi="Calibri" w:cs="Times New Roman"/>
                <w:b/>
                <w:bCs/>
                <w:color w:val="000000"/>
              </w:rPr>
              <w:t>Wage Bill</w:t>
            </w:r>
          </w:p>
        </w:tc>
      </w:tr>
      <w:tr w:rsidR="00C35C3C" w:rsidRPr="00C35C3C" w14:paraId="4497481A" w14:textId="77777777" w:rsidTr="00C35C3C">
        <w:trPr>
          <w:trHeight w:val="300"/>
        </w:trPr>
        <w:tc>
          <w:tcPr>
            <w:tcW w:w="3460" w:type="dxa"/>
            <w:tcBorders>
              <w:top w:val="nil"/>
              <w:left w:val="nil"/>
              <w:bottom w:val="nil"/>
              <w:right w:val="nil"/>
            </w:tcBorders>
            <w:shd w:val="clear" w:color="auto" w:fill="auto"/>
            <w:noWrap/>
            <w:vAlign w:val="center"/>
            <w:hideMark/>
          </w:tcPr>
          <w:p w14:paraId="5282C807" w14:textId="77777777" w:rsidR="00C35C3C" w:rsidRPr="00C35C3C" w:rsidRDefault="00C35C3C" w:rsidP="00B4169C">
            <w:pPr>
              <w:spacing w:after="0" w:line="240" w:lineRule="auto"/>
              <w:rPr>
                <w:rFonts w:ascii="Calibri" w:eastAsia="Times New Roman" w:hAnsi="Calibri" w:cs="Times New Roman"/>
                <w:color w:val="000000"/>
              </w:rPr>
            </w:pPr>
            <w:r w:rsidRPr="00C35C3C">
              <w:rPr>
                <w:rFonts w:ascii="Calibri" w:eastAsia="Times New Roman" w:hAnsi="Calibri" w:cs="Times New Roman"/>
                <w:color w:val="000000"/>
              </w:rPr>
              <w:t>% of Total Government Revenue</w:t>
            </w:r>
          </w:p>
        </w:tc>
        <w:tc>
          <w:tcPr>
            <w:tcW w:w="967" w:type="dxa"/>
            <w:tcBorders>
              <w:top w:val="nil"/>
              <w:left w:val="nil"/>
              <w:bottom w:val="nil"/>
              <w:right w:val="nil"/>
            </w:tcBorders>
            <w:shd w:val="clear" w:color="auto" w:fill="auto"/>
            <w:noWrap/>
            <w:vAlign w:val="center"/>
            <w:hideMark/>
          </w:tcPr>
          <w:p w14:paraId="7E40A6E1"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20.6</w:t>
            </w:r>
          </w:p>
        </w:tc>
        <w:tc>
          <w:tcPr>
            <w:tcW w:w="730" w:type="dxa"/>
            <w:tcBorders>
              <w:top w:val="nil"/>
              <w:left w:val="nil"/>
              <w:bottom w:val="nil"/>
              <w:right w:val="nil"/>
            </w:tcBorders>
            <w:shd w:val="clear" w:color="auto" w:fill="auto"/>
            <w:noWrap/>
            <w:vAlign w:val="center"/>
            <w:hideMark/>
          </w:tcPr>
          <w:p w14:paraId="114F0CFD"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38.5</w:t>
            </w:r>
          </w:p>
        </w:tc>
        <w:tc>
          <w:tcPr>
            <w:tcW w:w="720" w:type="dxa"/>
            <w:tcBorders>
              <w:top w:val="nil"/>
              <w:left w:val="nil"/>
              <w:bottom w:val="nil"/>
              <w:right w:val="nil"/>
            </w:tcBorders>
            <w:shd w:val="clear" w:color="auto" w:fill="auto"/>
            <w:noWrap/>
            <w:vAlign w:val="center"/>
            <w:hideMark/>
          </w:tcPr>
          <w:p w14:paraId="20B1F425"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42.1</w:t>
            </w:r>
          </w:p>
        </w:tc>
        <w:tc>
          <w:tcPr>
            <w:tcW w:w="663" w:type="dxa"/>
            <w:tcBorders>
              <w:top w:val="nil"/>
              <w:left w:val="nil"/>
              <w:bottom w:val="nil"/>
              <w:right w:val="nil"/>
            </w:tcBorders>
            <w:shd w:val="clear" w:color="auto" w:fill="auto"/>
            <w:noWrap/>
            <w:vAlign w:val="center"/>
            <w:hideMark/>
          </w:tcPr>
          <w:p w14:paraId="65EFE5B0"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59.9</w:t>
            </w:r>
          </w:p>
        </w:tc>
        <w:tc>
          <w:tcPr>
            <w:tcW w:w="663" w:type="dxa"/>
            <w:tcBorders>
              <w:top w:val="nil"/>
              <w:left w:val="nil"/>
              <w:bottom w:val="nil"/>
              <w:right w:val="nil"/>
            </w:tcBorders>
            <w:shd w:val="clear" w:color="auto" w:fill="auto"/>
            <w:noWrap/>
            <w:vAlign w:val="center"/>
            <w:hideMark/>
          </w:tcPr>
          <w:p w14:paraId="3F4B7E42"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54.2</w:t>
            </w:r>
          </w:p>
        </w:tc>
        <w:tc>
          <w:tcPr>
            <w:tcW w:w="663" w:type="dxa"/>
            <w:tcBorders>
              <w:top w:val="nil"/>
              <w:left w:val="nil"/>
              <w:bottom w:val="nil"/>
              <w:right w:val="nil"/>
            </w:tcBorders>
            <w:shd w:val="clear" w:color="auto" w:fill="auto"/>
            <w:noWrap/>
            <w:vAlign w:val="center"/>
            <w:hideMark/>
          </w:tcPr>
          <w:p w14:paraId="4E378457"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46.1</w:t>
            </w:r>
          </w:p>
        </w:tc>
        <w:tc>
          <w:tcPr>
            <w:tcW w:w="663" w:type="dxa"/>
            <w:tcBorders>
              <w:top w:val="nil"/>
              <w:left w:val="nil"/>
              <w:bottom w:val="nil"/>
              <w:right w:val="nil"/>
            </w:tcBorders>
            <w:shd w:val="clear" w:color="auto" w:fill="auto"/>
            <w:noWrap/>
            <w:vAlign w:val="center"/>
            <w:hideMark/>
          </w:tcPr>
          <w:p w14:paraId="42DCD9B1"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42.2</w:t>
            </w:r>
          </w:p>
        </w:tc>
        <w:tc>
          <w:tcPr>
            <w:tcW w:w="772" w:type="dxa"/>
            <w:tcBorders>
              <w:top w:val="nil"/>
              <w:left w:val="nil"/>
              <w:bottom w:val="nil"/>
              <w:right w:val="nil"/>
            </w:tcBorders>
            <w:shd w:val="clear" w:color="auto" w:fill="auto"/>
            <w:noWrap/>
            <w:vAlign w:val="center"/>
            <w:hideMark/>
          </w:tcPr>
          <w:p w14:paraId="2D983E35"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37.1</w:t>
            </w:r>
          </w:p>
        </w:tc>
      </w:tr>
      <w:tr w:rsidR="00C35C3C" w:rsidRPr="00C35C3C" w14:paraId="59EB49DD" w14:textId="77777777" w:rsidTr="00C35C3C">
        <w:trPr>
          <w:trHeight w:val="300"/>
        </w:trPr>
        <w:tc>
          <w:tcPr>
            <w:tcW w:w="3460" w:type="dxa"/>
            <w:tcBorders>
              <w:top w:val="nil"/>
              <w:left w:val="nil"/>
              <w:bottom w:val="nil"/>
              <w:right w:val="nil"/>
            </w:tcBorders>
            <w:shd w:val="clear" w:color="auto" w:fill="auto"/>
            <w:noWrap/>
            <w:vAlign w:val="center"/>
            <w:hideMark/>
          </w:tcPr>
          <w:p w14:paraId="7AB5E6E8" w14:textId="77777777" w:rsidR="00C35C3C" w:rsidRPr="00C35C3C" w:rsidRDefault="00C35C3C" w:rsidP="00B4169C">
            <w:pPr>
              <w:spacing w:after="0" w:line="240" w:lineRule="auto"/>
              <w:rPr>
                <w:rFonts w:ascii="Calibri" w:eastAsia="Times New Roman" w:hAnsi="Calibri" w:cs="Times New Roman"/>
                <w:color w:val="000000"/>
              </w:rPr>
            </w:pPr>
            <w:r w:rsidRPr="00C35C3C">
              <w:rPr>
                <w:rFonts w:ascii="Calibri" w:eastAsia="Times New Roman" w:hAnsi="Calibri" w:cs="Times New Roman"/>
                <w:color w:val="000000"/>
              </w:rPr>
              <w:t>% of GDP</w:t>
            </w:r>
          </w:p>
        </w:tc>
        <w:tc>
          <w:tcPr>
            <w:tcW w:w="967" w:type="dxa"/>
            <w:tcBorders>
              <w:top w:val="nil"/>
              <w:left w:val="nil"/>
              <w:bottom w:val="nil"/>
              <w:right w:val="nil"/>
            </w:tcBorders>
            <w:shd w:val="clear" w:color="auto" w:fill="auto"/>
            <w:noWrap/>
            <w:vAlign w:val="center"/>
            <w:hideMark/>
          </w:tcPr>
          <w:p w14:paraId="2F684DD7"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4.9</w:t>
            </w:r>
          </w:p>
        </w:tc>
        <w:tc>
          <w:tcPr>
            <w:tcW w:w="730" w:type="dxa"/>
            <w:tcBorders>
              <w:top w:val="nil"/>
              <w:left w:val="nil"/>
              <w:bottom w:val="nil"/>
              <w:right w:val="nil"/>
            </w:tcBorders>
            <w:shd w:val="clear" w:color="auto" w:fill="auto"/>
            <w:noWrap/>
            <w:vAlign w:val="center"/>
            <w:hideMark/>
          </w:tcPr>
          <w:p w14:paraId="4F7EF8D0"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6.7</w:t>
            </w:r>
          </w:p>
        </w:tc>
        <w:tc>
          <w:tcPr>
            <w:tcW w:w="720" w:type="dxa"/>
            <w:tcBorders>
              <w:top w:val="nil"/>
              <w:left w:val="nil"/>
              <w:bottom w:val="nil"/>
              <w:right w:val="nil"/>
            </w:tcBorders>
            <w:shd w:val="clear" w:color="auto" w:fill="auto"/>
            <w:noWrap/>
            <w:vAlign w:val="center"/>
            <w:hideMark/>
          </w:tcPr>
          <w:p w14:paraId="551C16E2"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8</w:t>
            </w:r>
          </w:p>
        </w:tc>
        <w:tc>
          <w:tcPr>
            <w:tcW w:w="663" w:type="dxa"/>
            <w:tcBorders>
              <w:top w:val="nil"/>
              <w:left w:val="nil"/>
              <w:bottom w:val="nil"/>
              <w:right w:val="nil"/>
            </w:tcBorders>
            <w:shd w:val="clear" w:color="auto" w:fill="auto"/>
            <w:noWrap/>
            <w:vAlign w:val="center"/>
            <w:hideMark/>
          </w:tcPr>
          <w:p w14:paraId="31A6B558"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11.4</w:t>
            </w:r>
          </w:p>
        </w:tc>
        <w:tc>
          <w:tcPr>
            <w:tcW w:w="663" w:type="dxa"/>
            <w:tcBorders>
              <w:top w:val="nil"/>
              <w:left w:val="nil"/>
              <w:bottom w:val="nil"/>
              <w:right w:val="nil"/>
            </w:tcBorders>
            <w:shd w:val="clear" w:color="auto" w:fill="auto"/>
            <w:noWrap/>
            <w:vAlign w:val="center"/>
            <w:hideMark/>
          </w:tcPr>
          <w:p w14:paraId="6387B141"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9.3</w:t>
            </w:r>
          </w:p>
        </w:tc>
        <w:tc>
          <w:tcPr>
            <w:tcW w:w="663" w:type="dxa"/>
            <w:tcBorders>
              <w:top w:val="nil"/>
              <w:left w:val="nil"/>
              <w:bottom w:val="nil"/>
              <w:right w:val="nil"/>
            </w:tcBorders>
            <w:shd w:val="clear" w:color="auto" w:fill="auto"/>
            <w:noWrap/>
            <w:vAlign w:val="center"/>
            <w:hideMark/>
          </w:tcPr>
          <w:p w14:paraId="67A804F8"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8.4</w:t>
            </w:r>
          </w:p>
        </w:tc>
        <w:tc>
          <w:tcPr>
            <w:tcW w:w="663" w:type="dxa"/>
            <w:tcBorders>
              <w:top w:val="nil"/>
              <w:left w:val="nil"/>
              <w:bottom w:val="nil"/>
              <w:right w:val="nil"/>
            </w:tcBorders>
            <w:shd w:val="clear" w:color="auto" w:fill="auto"/>
            <w:noWrap/>
            <w:vAlign w:val="center"/>
            <w:hideMark/>
          </w:tcPr>
          <w:p w14:paraId="33D38FB0"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7.9</w:t>
            </w:r>
          </w:p>
        </w:tc>
        <w:tc>
          <w:tcPr>
            <w:tcW w:w="772" w:type="dxa"/>
            <w:tcBorders>
              <w:top w:val="nil"/>
              <w:left w:val="nil"/>
              <w:bottom w:val="nil"/>
              <w:right w:val="nil"/>
            </w:tcBorders>
            <w:shd w:val="clear" w:color="auto" w:fill="auto"/>
            <w:noWrap/>
            <w:vAlign w:val="center"/>
            <w:hideMark/>
          </w:tcPr>
          <w:p w14:paraId="563C1480"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7.2</w:t>
            </w:r>
          </w:p>
        </w:tc>
      </w:tr>
      <w:tr w:rsidR="00C35C3C" w:rsidRPr="00C35C3C" w14:paraId="1F723C35" w14:textId="77777777" w:rsidTr="00C35C3C">
        <w:trPr>
          <w:trHeight w:val="300"/>
        </w:trPr>
        <w:tc>
          <w:tcPr>
            <w:tcW w:w="3460" w:type="dxa"/>
            <w:tcBorders>
              <w:top w:val="nil"/>
              <w:left w:val="nil"/>
              <w:bottom w:val="nil"/>
              <w:right w:val="nil"/>
            </w:tcBorders>
            <w:shd w:val="clear" w:color="auto" w:fill="auto"/>
            <w:noWrap/>
            <w:vAlign w:val="center"/>
            <w:hideMark/>
          </w:tcPr>
          <w:p w14:paraId="327D9B8C" w14:textId="77777777" w:rsidR="00C35C3C" w:rsidRPr="00C35C3C" w:rsidRDefault="00C35C3C" w:rsidP="00B4169C">
            <w:pPr>
              <w:spacing w:after="0" w:line="240" w:lineRule="auto"/>
              <w:ind w:firstLineChars="100" w:firstLine="220"/>
              <w:rPr>
                <w:rFonts w:ascii="Calibri" w:eastAsia="Times New Roman" w:hAnsi="Calibri" w:cs="Times New Roman"/>
                <w:color w:val="000000"/>
              </w:rPr>
            </w:pPr>
            <w:r w:rsidRPr="00C35C3C">
              <w:rPr>
                <w:rFonts w:ascii="Calibri" w:eastAsia="Times New Roman" w:hAnsi="Calibri" w:cs="Times New Roman"/>
                <w:color w:val="000000"/>
              </w:rPr>
              <w:t xml:space="preserve">    Wages &amp; Salaries</w:t>
            </w:r>
          </w:p>
        </w:tc>
        <w:tc>
          <w:tcPr>
            <w:tcW w:w="967" w:type="dxa"/>
            <w:tcBorders>
              <w:top w:val="nil"/>
              <w:left w:val="nil"/>
              <w:bottom w:val="nil"/>
              <w:right w:val="nil"/>
            </w:tcBorders>
            <w:shd w:val="clear" w:color="auto" w:fill="auto"/>
            <w:noWrap/>
            <w:vAlign w:val="center"/>
            <w:hideMark/>
          </w:tcPr>
          <w:p w14:paraId="17C511CB" w14:textId="77777777" w:rsidR="00C35C3C" w:rsidRPr="00C35C3C" w:rsidRDefault="00C35C3C" w:rsidP="00B4169C">
            <w:pPr>
              <w:spacing w:after="0" w:line="240" w:lineRule="auto"/>
              <w:ind w:firstLineChars="100" w:firstLine="220"/>
              <w:rPr>
                <w:rFonts w:ascii="Calibri" w:eastAsia="Times New Roman" w:hAnsi="Calibri" w:cs="Times New Roman"/>
                <w:color w:val="000000"/>
              </w:rPr>
            </w:pPr>
          </w:p>
        </w:tc>
        <w:tc>
          <w:tcPr>
            <w:tcW w:w="730" w:type="dxa"/>
            <w:tcBorders>
              <w:top w:val="nil"/>
              <w:left w:val="nil"/>
              <w:bottom w:val="nil"/>
              <w:right w:val="nil"/>
            </w:tcBorders>
            <w:shd w:val="clear" w:color="auto" w:fill="auto"/>
            <w:vAlign w:val="center"/>
            <w:hideMark/>
          </w:tcPr>
          <w:p w14:paraId="7E485A9B"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6.9</w:t>
            </w:r>
          </w:p>
        </w:tc>
        <w:tc>
          <w:tcPr>
            <w:tcW w:w="720" w:type="dxa"/>
            <w:tcBorders>
              <w:top w:val="nil"/>
              <w:left w:val="nil"/>
              <w:bottom w:val="nil"/>
              <w:right w:val="nil"/>
            </w:tcBorders>
            <w:shd w:val="clear" w:color="auto" w:fill="auto"/>
            <w:vAlign w:val="center"/>
            <w:hideMark/>
          </w:tcPr>
          <w:p w14:paraId="38C8DF8D"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7.6</w:t>
            </w:r>
          </w:p>
        </w:tc>
        <w:tc>
          <w:tcPr>
            <w:tcW w:w="663" w:type="dxa"/>
            <w:tcBorders>
              <w:top w:val="nil"/>
              <w:left w:val="nil"/>
              <w:bottom w:val="nil"/>
              <w:right w:val="nil"/>
            </w:tcBorders>
            <w:shd w:val="clear" w:color="auto" w:fill="auto"/>
            <w:vAlign w:val="center"/>
            <w:hideMark/>
          </w:tcPr>
          <w:p w14:paraId="0D34E5CA"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8.9</w:t>
            </w:r>
          </w:p>
        </w:tc>
        <w:tc>
          <w:tcPr>
            <w:tcW w:w="663" w:type="dxa"/>
            <w:tcBorders>
              <w:top w:val="nil"/>
              <w:left w:val="nil"/>
              <w:bottom w:val="nil"/>
              <w:right w:val="nil"/>
            </w:tcBorders>
            <w:shd w:val="clear" w:color="auto" w:fill="auto"/>
            <w:vAlign w:val="center"/>
            <w:hideMark/>
          </w:tcPr>
          <w:p w14:paraId="41602763"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8.9</w:t>
            </w:r>
          </w:p>
        </w:tc>
        <w:tc>
          <w:tcPr>
            <w:tcW w:w="663" w:type="dxa"/>
            <w:tcBorders>
              <w:top w:val="nil"/>
              <w:left w:val="nil"/>
              <w:bottom w:val="nil"/>
              <w:right w:val="nil"/>
            </w:tcBorders>
            <w:shd w:val="clear" w:color="auto" w:fill="auto"/>
            <w:vAlign w:val="center"/>
            <w:hideMark/>
          </w:tcPr>
          <w:p w14:paraId="20D3D2DD"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8.3</w:t>
            </w:r>
          </w:p>
        </w:tc>
        <w:tc>
          <w:tcPr>
            <w:tcW w:w="663" w:type="dxa"/>
            <w:tcBorders>
              <w:top w:val="nil"/>
              <w:left w:val="nil"/>
              <w:bottom w:val="nil"/>
              <w:right w:val="nil"/>
            </w:tcBorders>
            <w:shd w:val="clear" w:color="auto" w:fill="auto"/>
            <w:vAlign w:val="center"/>
            <w:hideMark/>
          </w:tcPr>
          <w:p w14:paraId="794D3037"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7.6</w:t>
            </w:r>
          </w:p>
        </w:tc>
        <w:tc>
          <w:tcPr>
            <w:tcW w:w="772" w:type="dxa"/>
            <w:tcBorders>
              <w:top w:val="nil"/>
              <w:left w:val="nil"/>
              <w:bottom w:val="nil"/>
              <w:right w:val="nil"/>
            </w:tcBorders>
            <w:shd w:val="clear" w:color="auto" w:fill="auto"/>
            <w:vAlign w:val="center"/>
            <w:hideMark/>
          </w:tcPr>
          <w:p w14:paraId="213F9635"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7.2</w:t>
            </w:r>
          </w:p>
        </w:tc>
      </w:tr>
      <w:tr w:rsidR="00C35C3C" w:rsidRPr="00C35C3C" w14:paraId="474D8DF4" w14:textId="77777777" w:rsidTr="00C35C3C">
        <w:trPr>
          <w:trHeight w:val="300"/>
        </w:trPr>
        <w:tc>
          <w:tcPr>
            <w:tcW w:w="3460" w:type="dxa"/>
            <w:tcBorders>
              <w:top w:val="nil"/>
              <w:left w:val="nil"/>
              <w:bottom w:val="nil"/>
              <w:right w:val="nil"/>
            </w:tcBorders>
            <w:shd w:val="clear" w:color="auto" w:fill="auto"/>
            <w:noWrap/>
            <w:vAlign w:val="center"/>
            <w:hideMark/>
          </w:tcPr>
          <w:p w14:paraId="7C7C85A2" w14:textId="77777777" w:rsidR="00C35C3C" w:rsidRPr="00C35C3C" w:rsidRDefault="00C35C3C" w:rsidP="00B4169C">
            <w:pPr>
              <w:spacing w:after="0" w:line="240" w:lineRule="auto"/>
              <w:ind w:firstLineChars="100" w:firstLine="220"/>
              <w:rPr>
                <w:rFonts w:ascii="Calibri" w:eastAsia="Times New Roman" w:hAnsi="Calibri" w:cs="Times New Roman"/>
                <w:color w:val="000000"/>
              </w:rPr>
            </w:pPr>
            <w:r w:rsidRPr="00C35C3C">
              <w:rPr>
                <w:rFonts w:ascii="Calibri" w:eastAsia="Times New Roman" w:hAnsi="Calibri" w:cs="Times New Roman"/>
                <w:color w:val="000000"/>
              </w:rPr>
              <w:t xml:space="preserve">    Allowances</w:t>
            </w:r>
          </w:p>
        </w:tc>
        <w:tc>
          <w:tcPr>
            <w:tcW w:w="967" w:type="dxa"/>
            <w:tcBorders>
              <w:top w:val="nil"/>
              <w:left w:val="nil"/>
              <w:bottom w:val="nil"/>
              <w:right w:val="nil"/>
            </w:tcBorders>
            <w:shd w:val="clear" w:color="auto" w:fill="auto"/>
            <w:noWrap/>
            <w:vAlign w:val="center"/>
            <w:hideMark/>
          </w:tcPr>
          <w:p w14:paraId="501F8386" w14:textId="77777777" w:rsidR="00C35C3C" w:rsidRPr="00C35C3C" w:rsidRDefault="00C35C3C" w:rsidP="00B4169C">
            <w:pPr>
              <w:spacing w:after="0" w:line="240" w:lineRule="auto"/>
              <w:ind w:firstLineChars="100" w:firstLine="220"/>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center"/>
            <w:hideMark/>
          </w:tcPr>
          <w:p w14:paraId="64058644"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0.5</w:t>
            </w:r>
          </w:p>
        </w:tc>
        <w:tc>
          <w:tcPr>
            <w:tcW w:w="720" w:type="dxa"/>
            <w:tcBorders>
              <w:top w:val="nil"/>
              <w:left w:val="nil"/>
              <w:bottom w:val="nil"/>
              <w:right w:val="nil"/>
            </w:tcBorders>
            <w:shd w:val="clear" w:color="auto" w:fill="auto"/>
            <w:noWrap/>
            <w:vAlign w:val="center"/>
            <w:hideMark/>
          </w:tcPr>
          <w:p w14:paraId="42FCCFB2"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0.9</w:t>
            </w:r>
          </w:p>
        </w:tc>
        <w:tc>
          <w:tcPr>
            <w:tcW w:w="663" w:type="dxa"/>
            <w:tcBorders>
              <w:top w:val="nil"/>
              <w:left w:val="nil"/>
              <w:bottom w:val="nil"/>
              <w:right w:val="nil"/>
            </w:tcBorders>
            <w:shd w:val="clear" w:color="auto" w:fill="auto"/>
            <w:noWrap/>
            <w:vAlign w:val="center"/>
            <w:hideMark/>
          </w:tcPr>
          <w:p w14:paraId="77B8B634"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1.8</w:t>
            </w:r>
          </w:p>
        </w:tc>
        <w:tc>
          <w:tcPr>
            <w:tcW w:w="663" w:type="dxa"/>
            <w:tcBorders>
              <w:top w:val="nil"/>
              <w:left w:val="nil"/>
              <w:bottom w:val="nil"/>
              <w:right w:val="nil"/>
            </w:tcBorders>
            <w:shd w:val="clear" w:color="auto" w:fill="auto"/>
            <w:noWrap/>
            <w:vAlign w:val="center"/>
            <w:hideMark/>
          </w:tcPr>
          <w:p w14:paraId="0432E13B"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1.6</w:t>
            </w:r>
          </w:p>
        </w:tc>
        <w:tc>
          <w:tcPr>
            <w:tcW w:w="663" w:type="dxa"/>
            <w:tcBorders>
              <w:top w:val="nil"/>
              <w:left w:val="nil"/>
              <w:bottom w:val="nil"/>
              <w:right w:val="nil"/>
            </w:tcBorders>
            <w:shd w:val="clear" w:color="auto" w:fill="auto"/>
            <w:noWrap/>
            <w:vAlign w:val="center"/>
            <w:hideMark/>
          </w:tcPr>
          <w:p w14:paraId="2EF73D1F"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1.6</w:t>
            </w:r>
          </w:p>
        </w:tc>
        <w:tc>
          <w:tcPr>
            <w:tcW w:w="663" w:type="dxa"/>
            <w:tcBorders>
              <w:top w:val="nil"/>
              <w:left w:val="nil"/>
              <w:bottom w:val="nil"/>
              <w:right w:val="nil"/>
            </w:tcBorders>
            <w:shd w:val="clear" w:color="auto" w:fill="auto"/>
            <w:noWrap/>
            <w:vAlign w:val="center"/>
            <w:hideMark/>
          </w:tcPr>
          <w:p w14:paraId="5DF099F0"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1.4</w:t>
            </w:r>
          </w:p>
        </w:tc>
        <w:tc>
          <w:tcPr>
            <w:tcW w:w="772" w:type="dxa"/>
            <w:tcBorders>
              <w:top w:val="nil"/>
              <w:left w:val="nil"/>
              <w:bottom w:val="nil"/>
              <w:right w:val="nil"/>
            </w:tcBorders>
            <w:shd w:val="clear" w:color="auto" w:fill="auto"/>
            <w:noWrap/>
            <w:vAlign w:val="center"/>
            <w:hideMark/>
          </w:tcPr>
          <w:p w14:paraId="724E778F"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1.6</w:t>
            </w:r>
          </w:p>
        </w:tc>
      </w:tr>
      <w:tr w:rsidR="00C35C3C" w:rsidRPr="00C35C3C" w14:paraId="0D667B9B" w14:textId="77777777" w:rsidTr="00C35C3C">
        <w:trPr>
          <w:trHeight w:val="315"/>
        </w:trPr>
        <w:tc>
          <w:tcPr>
            <w:tcW w:w="3460" w:type="dxa"/>
            <w:tcBorders>
              <w:top w:val="nil"/>
              <w:left w:val="nil"/>
              <w:bottom w:val="single" w:sz="8" w:space="0" w:color="auto"/>
              <w:right w:val="nil"/>
            </w:tcBorders>
            <w:shd w:val="clear" w:color="auto" w:fill="auto"/>
            <w:noWrap/>
            <w:vAlign w:val="center"/>
            <w:hideMark/>
          </w:tcPr>
          <w:p w14:paraId="054B9DCA" w14:textId="77777777" w:rsidR="00C35C3C" w:rsidRPr="00C35C3C" w:rsidRDefault="00C35C3C" w:rsidP="00B4169C">
            <w:pPr>
              <w:spacing w:after="0" w:line="240" w:lineRule="auto"/>
              <w:ind w:firstLineChars="100" w:firstLine="220"/>
              <w:rPr>
                <w:rFonts w:ascii="Calibri" w:eastAsia="Times New Roman" w:hAnsi="Calibri" w:cs="Times New Roman"/>
                <w:color w:val="000000"/>
              </w:rPr>
            </w:pPr>
            <w:r w:rsidRPr="00C35C3C">
              <w:rPr>
                <w:rFonts w:ascii="Calibri" w:eastAsia="Times New Roman" w:hAnsi="Calibri" w:cs="Times New Roman"/>
                <w:color w:val="000000"/>
              </w:rPr>
              <w:t xml:space="preserve">    Deferred wages</w:t>
            </w:r>
          </w:p>
        </w:tc>
        <w:tc>
          <w:tcPr>
            <w:tcW w:w="967" w:type="dxa"/>
            <w:tcBorders>
              <w:top w:val="nil"/>
              <w:left w:val="nil"/>
              <w:bottom w:val="single" w:sz="8" w:space="0" w:color="auto"/>
              <w:right w:val="nil"/>
            </w:tcBorders>
            <w:shd w:val="clear" w:color="auto" w:fill="auto"/>
            <w:noWrap/>
            <w:vAlign w:val="center"/>
            <w:hideMark/>
          </w:tcPr>
          <w:p w14:paraId="40F1012F" w14:textId="77777777" w:rsidR="00C35C3C" w:rsidRPr="00C35C3C" w:rsidRDefault="00C35C3C" w:rsidP="00B4169C">
            <w:pPr>
              <w:spacing w:after="0" w:line="240" w:lineRule="auto"/>
              <w:rPr>
                <w:rFonts w:ascii="Calibri Light" w:eastAsia="Times New Roman" w:hAnsi="Calibri Light" w:cs="Times New Roman"/>
                <w:color w:val="000000"/>
              </w:rPr>
            </w:pPr>
            <w:r w:rsidRPr="00C35C3C">
              <w:rPr>
                <w:rFonts w:ascii="Calibri Light" w:eastAsia="Times New Roman" w:hAnsi="Calibri Light" w:cs="Times New Roman"/>
                <w:color w:val="000000"/>
              </w:rPr>
              <w:t> </w:t>
            </w:r>
          </w:p>
        </w:tc>
        <w:tc>
          <w:tcPr>
            <w:tcW w:w="730" w:type="dxa"/>
            <w:tcBorders>
              <w:top w:val="nil"/>
              <w:left w:val="nil"/>
              <w:bottom w:val="nil"/>
              <w:right w:val="nil"/>
            </w:tcBorders>
            <w:shd w:val="clear" w:color="auto" w:fill="auto"/>
            <w:vAlign w:val="center"/>
            <w:hideMark/>
          </w:tcPr>
          <w:p w14:paraId="78C747C1"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0.0</w:t>
            </w:r>
          </w:p>
        </w:tc>
        <w:tc>
          <w:tcPr>
            <w:tcW w:w="720" w:type="dxa"/>
            <w:tcBorders>
              <w:top w:val="nil"/>
              <w:left w:val="nil"/>
              <w:bottom w:val="nil"/>
              <w:right w:val="nil"/>
            </w:tcBorders>
            <w:shd w:val="clear" w:color="auto" w:fill="auto"/>
            <w:vAlign w:val="center"/>
            <w:hideMark/>
          </w:tcPr>
          <w:p w14:paraId="1018B598"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0.6</w:t>
            </w:r>
          </w:p>
        </w:tc>
        <w:tc>
          <w:tcPr>
            <w:tcW w:w="663" w:type="dxa"/>
            <w:tcBorders>
              <w:top w:val="nil"/>
              <w:left w:val="nil"/>
              <w:bottom w:val="nil"/>
              <w:right w:val="nil"/>
            </w:tcBorders>
            <w:shd w:val="clear" w:color="auto" w:fill="auto"/>
            <w:vAlign w:val="center"/>
            <w:hideMark/>
          </w:tcPr>
          <w:p w14:paraId="1EFB5313"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2.5</w:t>
            </w:r>
          </w:p>
        </w:tc>
        <w:tc>
          <w:tcPr>
            <w:tcW w:w="663" w:type="dxa"/>
            <w:tcBorders>
              <w:top w:val="nil"/>
              <w:left w:val="nil"/>
              <w:bottom w:val="nil"/>
              <w:right w:val="nil"/>
            </w:tcBorders>
            <w:shd w:val="clear" w:color="auto" w:fill="auto"/>
            <w:vAlign w:val="center"/>
            <w:hideMark/>
          </w:tcPr>
          <w:p w14:paraId="2AAEC4FD"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0.9</w:t>
            </w:r>
          </w:p>
        </w:tc>
        <w:tc>
          <w:tcPr>
            <w:tcW w:w="663" w:type="dxa"/>
            <w:tcBorders>
              <w:top w:val="nil"/>
              <w:left w:val="nil"/>
              <w:bottom w:val="nil"/>
              <w:right w:val="nil"/>
            </w:tcBorders>
            <w:shd w:val="clear" w:color="auto" w:fill="auto"/>
            <w:vAlign w:val="center"/>
            <w:hideMark/>
          </w:tcPr>
          <w:p w14:paraId="0DC7E386"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0.5</w:t>
            </w:r>
          </w:p>
        </w:tc>
        <w:tc>
          <w:tcPr>
            <w:tcW w:w="663" w:type="dxa"/>
            <w:tcBorders>
              <w:top w:val="nil"/>
              <w:left w:val="nil"/>
              <w:bottom w:val="nil"/>
              <w:right w:val="nil"/>
            </w:tcBorders>
            <w:shd w:val="clear" w:color="auto" w:fill="auto"/>
            <w:vAlign w:val="center"/>
            <w:hideMark/>
          </w:tcPr>
          <w:p w14:paraId="48703557"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0.6</w:t>
            </w:r>
          </w:p>
        </w:tc>
        <w:tc>
          <w:tcPr>
            <w:tcW w:w="772" w:type="dxa"/>
            <w:tcBorders>
              <w:top w:val="nil"/>
              <w:left w:val="nil"/>
              <w:bottom w:val="nil"/>
              <w:right w:val="nil"/>
            </w:tcBorders>
            <w:shd w:val="clear" w:color="auto" w:fill="auto"/>
            <w:vAlign w:val="center"/>
            <w:hideMark/>
          </w:tcPr>
          <w:p w14:paraId="13BB2426"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0.3</w:t>
            </w:r>
          </w:p>
        </w:tc>
      </w:tr>
      <w:tr w:rsidR="00C35C3C" w:rsidRPr="00C35C3C" w14:paraId="4212C104" w14:textId="77777777" w:rsidTr="00C35C3C">
        <w:trPr>
          <w:trHeight w:val="315"/>
        </w:trPr>
        <w:tc>
          <w:tcPr>
            <w:tcW w:w="9306" w:type="dxa"/>
            <w:gridSpan w:val="9"/>
            <w:tcBorders>
              <w:top w:val="single" w:sz="8" w:space="0" w:color="auto"/>
              <w:left w:val="nil"/>
              <w:bottom w:val="single" w:sz="8" w:space="0" w:color="auto"/>
              <w:right w:val="nil"/>
            </w:tcBorders>
            <w:shd w:val="clear" w:color="auto" w:fill="auto"/>
            <w:noWrap/>
            <w:vAlign w:val="center"/>
            <w:hideMark/>
          </w:tcPr>
          <w:p w14:paraId="2FA0ACD2" w14:textId="77777777" w:rsidR="00C35C3C" w:rsidRPr="00C35C3C" w:rsidRDefault="00C35C3C" w:rsidP="00B4169C">
            <w:pPr>
              <w:spacing w:after="0" w:line="240" w:lineRule="auto"/>
              <w:jc w:val="center"/>
              <w:rPr>
                <w:rFonts w:ascii="Calibri" w:eastAsia="Times New Roman" w:hAnsi="Calibri" w:cs="Times New Roman"/>
                <w:b/>
                <w:bCs/>
                <w:color w:val="000000"/>
              </w:rPr>
            </w:pPr>
            <w:r w:rsidRPr="00C35C3C">
              <w:rPr>
                <w:rFonts w:ascii="Calibri" w:eastAsia="Times New Roman" w:hAnsi="Calibri" w:cs="Times New Roman"/>
                <w:b/>
                <w:bCs/>
                <w:color w:val="000000"/>
              </w:rPr>
              <w:t xml:space="preserve">Public Sector Employment </w:t>
            </w:r>
          </w:p>
        </w:tc>
      </w:tr>
      <w:tr w:rsidR="00C35C3C" w:rsidRPr="00C35C3C" w14:paraId="364C4C7D" w14:textId="77777777" w:rsidTr="00C35C3C">
        <w:trPr>
          <w:trHeight w:val="300"/>
        </w:trPr>
        <w:tc>
          <w:tcPr>
            <w:tcW w:w="3460" w:type="dxa"/>
            <w:tcBorders>
              <w:top w:val="nil"/>
              <w:left w:val="nil"/>
              <w:bottom w:val="nil"/>
              <w:right w:val="nil"/>
            </w:tcBorders>
            <w:shd w:val="clear" w:color="auto" w:fill="auto"/>
            <w:noWrap/>
            <w:vAlign w:val="center"/>
            <w:hideMark/>
          </w:tcPr>
          <w:p w14:paraId="6483904A" w14:textId="77777777" w:rsidR="00C35C3C" w:rsidRPr="00C35C3C" w:rsidRDefault="00C35C3C" w:rsidP="00B4169C">
            <w:pPr>
              <w:spacing w:after="0" w:line="240" w:lineRule="auto"/>
              <w:rPr>
                <w:rFonts w:ascii="Calibri" w:eastAsia="Times New Roman" w:hAnsi="Calibri" w:cs="Times New Roman"/>
                <w:color w:val="000000"/>
              </w:rPr>
            </w:pPr>
            <w:r w:rsidRPr="00C35C3C">
              <w:rPr>
                <w:rFonts w:ascii="Calibri" w:eastAsia="Times New Roman" w:hAnsi="Calibri" w:cs="Times New Roman"/>
                <w:color w:val="000000"/>
              </w:rPr>
              <w:t>Total (000s)</w:t>
            </w:r>
          </w:p>
        </w:tc>
        <w:tc>
          <w:tcPr>
            <w:tcW w:w="967" w:type="dxa"/>
            <w:tcBorders>
              <w:top w:val="nil"/>
              <w:left w:val="nil"/>
              <w:bottom w:val="nil"/>
              <w:right w:val="nil"/>
            </w:tcBorders>
            <w:shd w:val="clear" w:color="auto" w:fill="auto"/>
            <w:noWrap/>
            <w:vAlign w:val="center"/>
            <w:hideMark/>
          </w:tcPr>
          <w:p w14:paraId="26435EEB"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358</w:t>
            </w:r>
          </w:p>
        </w:tc>
        <w:tc>
          <w:tcPr>
            <w:tcW w:w="730" w:type="dxa"/>
            <w:tcBorders>
              <w:top w:val="nil"/>
              <w:left w:val="nil"/>
              <w:bottom w:val="nil"/>
              <w:right w:val="nil"/>
            </w:tcBorders>
            <w:shd w:val="clear" w:color="auto" w:fill="auto"/>
            <w:noWrap/>
            <w:vAlign w:val="center"/>
            <w:hideMark/>
          </w:tcPr>
          <w:p w14:paraId="019D36C4"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419</w:t>
            </w:r>
          </w:p>
        </w:tc>
        <w:tc>
          <w:tcPr>
            <w:tcW w:w="720" w:type="dxa"/>
            <w:tcBorders>
              <w:top w:val="nil"/>
              <w:left w:val="nil"/>
              <w:bottom w:val="nil"/>
              <w:right w:val="nil"/>
            </w:tcBorders>
            <w:shd w:val="clear" w:color="auto" w:fill="auto"/>
            <w:noWrap/>
            <w:vAlign w:val="center"/>
            <w:hideMark/>
          </w:tcPr>
          <w:p w14:paraId="074AA512"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450</w:t>
            </w:r>
          </w:p>
        </w:tc>
        <w:tc>
          <w:tcPr>
            <w:tcW w:w="663" w:type="dxa"/>
            <w:tcBorders>
              <w:top w:val="nil"/>
              <w:left w:val="nil"/>
              <w:bottom w:val="nil"/>
              <w:right w:val="nil"/>
            </w:tcBorders>
            <w:shd w:val="clear" w:color="auto" w:fill="auto"/>
            <w:noWrap/>
            <w:vAlign w:val="center"/>
            <w:hideMark/>
          </w:tcPr>
          <w:p w14:paraId="55AB48EE"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480</w:t>
            </w:r>
          </w:p>
        </w:tc>
        <w:tc>
          <w:tcPr>
            <w:tcW w:w="663" w:type="dxa"/>
            <w:tcBorders>
              <w:top w:val="nil"/>
              <w:left w:val="nil"/>
              <w:bottom w:val="nil"/>
              <w:right w:val="nil"/>
            </w:tcBorders>
            <w:shd w:val="clear" w:color="auto" w:fill="auto"/>
            <w:noWrap/>
            <w:vAlign w:val="center"/>
            <w:hideMark/>
          </w:tcPr>
          <w:p w14:paraId="2719A9F1"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656</w:t>
            </w:r>
          </w:p>
        </w:tc>
        <w:tc>
          <w:tcPr>
            <w:tcW w:w="663" w:type="dxa"/>
            <w:tcBorders>
              <w:top w:val="nil"/>
              <w:left w:val="nil"/>
              <w:bottom w:val="nil"/>
              <w:right w:val="nil"/>
            </w:tcBorders>
            <w:shd w:val="clear" w:color="auto" w:fill="auto"/>
            <w:noWrap/>
            <w:vAlign w:val="center"/>
            <w:hideMark/>
          </w:tcPr>
          <w:p w14:paraId="1E994BAF"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640</w:t>
            </w:r>
          </w:p>
        </w:tc>
        <w:tc>
          <w:tcPr>
            <w:tcW w:w="663" w:type="dxa"/>
            <w:tcBorders>
              <w:top w:val="nil"/>
              <w:left w:val="nil"/>
              <w:bottom w:val="nil"/>
              <w:right w:val="nil"/>
            </w:tcBorders>
            <w:shd w:val="clear" w:color="auto" w:fill="auto"/>
            <w:noWrap/>
            <w:vAlign w:val="center"/>
            <w:hideMark/>
          </w:tcPr>
          <w:p w14:paraId="79F936D6"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654</w:t>
            </w:r>
          </w:p>
        </w:tc>
        <w:tc>
          <w:tcPr>
            <w:tcW w:w="772" w:type="dxa"/>
            <w:tcBorders>
              <w:top w:val="nil"/>
              <w:left w:val="nil"/>
              <w:bottom w:val="nil"/>
              <w:right w:val="nil"/>
            </w:tcBorders>
            <w:shd w:val="clear" w:color="auto" w:fill="auto"/>
            <w:noWrap/>
            <w:vAlign w:val="center"/>
            <w:hideMark/>
          </w:tcPr>
          <w:p w14:paraId="68B9ADC5"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641</w:t>
            </w:r>
          </w:p>
        </w:tc>
      </w:tr>
      <w:tr w:rsidR="00C35C3C" w:rsidRPr="00C35C3C" w14:paraId="5AF25323" w14:textId="77777777" w:rsidTr="00C35C3C">
        <w:trPr>
          <w:trHeight w:val="300"/>
        </w:trPr>
        <w:tc>
          <w:tcPr>
            <w:tcW w:w="3460" w:type="dxa"/>
            <w:tcBorders>
              <w:top w:val="nil"/>
              <w:left w:val="nil"/>
              <w:bottom w:val="nil"/>
              <w:right w:val="nil"/>
            </w:tcBorders>
            <w:shd w:val="clear" w:color="auto" w:fill="auto"/>
            <w:noWrap/>
            <w:vAlign w:val="center"/>
            <w:hideMark/>
          </w:tcPr>
          <w:p w14:paraId="281F1CCC" w14:textId="77777777" w:rsidR="00C35C3C" w:rsidRPr="00C35C3C" w:rsidRDefault="00C35C3C" w:rsidP="00B4169C">
            <w:pPr>
              <w:spacing w:after="0" w:line="240" w:lineRule="auto"/>
              <w:rPr>
                <w:rFonts w:ascii="Calibri" w:eastAsia="Times New Roman" w:hAnsi="Calibri" w:cs="Times New Roman"/>
                <w:color w:val="000000"/>
              </w:rPr>
            </w:pPr>
            <w:r w:rsidRPr="00C35C3C">
              <w:rPr>
                <w:rFonts w:ascii="Calibri" w:eastAsia="Times New Roman" w:hAnsi="Calibri" w:cs="Times New Roman"/>
                <w:color w:val="000000"/>
              </w:rPr>
              <w:t>Ministries &amp; Departments</w:t>
            </w:r>
          </w:p>
        </w:tc>
        <w:tc>
          <w:tcPr>
            <w:tcW w:w="967" w:type="dxa"/>
            <w:tcBorders>
              <w:top w:val="nil"/>
              <w:left w:val="nil"/>
              <w:bottom w:val="nil"/>
              <w:right w:val="nil"/>
            </w:tcBorders>
            <w:shd w:val="clear" w:color="auto" w:fill="auto"/>
            <w:vAlign w:val="center"/>
            <w:hideMark/>
          </w:tcPr>
          <w:p w14:paraId="4CA0793A"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358</w:t>
            </w:r>
          </w:p>
        </w:tc>
        <w:tc>
          <w:tcPr>
            <w:tcW w:w="730" w:type="dxa"/>
            <w:tcBorders>
              <w:top w:val="nil"/>
              <w:left w:val="nil"/>
              <w:bottom w:val="nil"/>
              <w:right w:val="nil"/>
            </w:tcBorders>
            <w:shd w:val="clear" w:color="auto" w:fill="auto"/>
            <w:noWrap/>
            <w:vAlign w:val="center"/>
            <w:hideMark/>
          </w:tcPr>
          <w:p w14:paraId="43578BF9"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419</w:t>
            </w:r>
          </w:p>
        </w:tc>
        <w:tc>
          <w:tcPr>
            <w:tcW w:w="720" w:type="dxa"/>
            <w:tcBorders>
              <w:top w:val="nil"/>
              <w:left w:val="nil"/>
              <w:bottom w:val="nil"/>
              <w:right w:val="nil"/>
            </w:tcBorders>
            <w:shd w:val="clear" w:color="auto" w:fill="auto"/>
            <w:noWrap/>
            <w:vAlign w:val="center"/>
            <w:hideMark/>
          </w:tcPr>
          <w:p w14:paraId="10A1AA80"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450</w:t>
            </w:r>
          </w:p>
        </w:tc>
        <w:tc>
          <w:tcPr>
            <w:tcW w:w="663" w:type="dxa"/>
            <w:tcBorders>
              <w:top w:val="nil"/>
              <w:left w:val="nil"/>
              <w:bottom w:val="nil"/>
              <w:right w:val="nil"/>
            </w:tcBorders>
            <w:shd w:val="clear" w:color="auto" w:fill="auto"/>
            <w:noWrap/>
            <w:vAlign w:val="center"/>
            <w:hideMark/>
          </w:tcPr>
          <w:p w14:paraId="25169837"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480</w:t>
            </w:r>
          </w:p>
        </w:tc>
        <w:tc>
          <w:tcPr>
            <w:tcW w:w="663" w:type="dxa"/>
            <w:tcBorders>
              <w:top w:val="nil"/>
              <w:left w:val="nil"/>
              <w:bottom w:val="nil"/>
              <w:right w:val="nil"/>
            </w:tcBorders>
            <w:shd w:val="clear" w:color="auto" w:fill="auto"/>
            <w:noWrap/>
            <w:vAlign w:val="center"/>
            <w:hideMark/>
          </w:tcPr>
          <w:p w14:paraId="6EDA33CB"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510</w:t>
            </w:r>
          </w:p>
        </w:tc>
        <w:tc>
          <w:tcPr>
            <w:tcW w:w="663" w:type="dxa"/>
            <w:tcBorders>
              <w:top w:val="nil"/>
              <w:left w:val="nil"/>
              <w:bottom w:val="nil"/>
              <w:right w:val="nil"/>
            </w:tcBorders>
            <w:shd w:val="clear" w:color="auto" w:fill="auto"/>
            <w:noWrap/>
            <w:vAlign w:val="center"/>
            <w:hideMark/>
          </w:tcPr>
          <w:p w14:paraId="4401ED54"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497</w:t>
            </w:r>
          </w:p>
        </w:tc>
        <w:tc>
          <w:tcPr>
            <w:tcW w:w="663" w:type="dxa"/>
            <w:tcBorders>
              <w:top w:val="nil"/>
              <w:left w:val="nil"/>
              <w:bottom w:val="nil"/>
              <w:right w:val="nil"/>
            </w:tcBorders>
            <w:shd w:val="clear" w:color="auto" w:fill="auto"/>
            <w:noWrap/>
            <w:vAlign w:val="center"/>
            <w:hideMark/>
          </w:tcPr>
          <w:p w14:paraId="18FA8FA7"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520</w:t>
            </w:r>
          </w:p>
        </w:tc>
        <w:tc>
          <w:tcPr>
            <w:tcW w:w="772" w:type="dxa"/>
            <w:tcBorders>
              <w:top w:val="nil"/>
              <w:left w:val="nil"/>
              <w:bottom w:val="nil"/>
              <w:right w:val="nil"/>
            </w:tcBorders>
            <w:shd w:val="clear" w:color="auto" w:fill="auto"/>
            <w:noWrap/>
            <w:vAlign w:val="center"/>
            <w:hideMark/>
          </w:tcPr>
          <w:p w14:paraId="5F65AEDE"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507</w:t>
            </w:r>
          </w:p>
        </w:tc>
      </w:tr>
      <w:tr w:rsidR="00C35C3C" w:rsidRPr="00C35C3C" w14:paraId="73D656FE" w14:textId="77777777" w:rsidTr="00C35C3C">
        <w:trPr>
          <w:trHeight w:val="300"/>
        </w:trPr>
        <w:tc>
          <w:tcPr>
            <w:tcW w:w="3460" w:type="dxa"/>
            <w:tcBorders>
              <w:top w:val="nil"/>
              <w:left w:val="nil"/>
              <w:bottom w:val="nil"/>
              <w:right w:val="nil"/>
            </w:tcBorders>
            <w:shd w:val="clear" w:color="auto" w:fill="auto"/>
            <w:noWrap/>
            <w:vAlign w:val="center"/>
            <w:hideMark/>
          </w:tcPr>
          <w:p w14:paraId="1D6C536A" w14:textId="77777777" w:rsidR="00C35C3C" w:rsidRPr="00C35C3C" w:rsidRDefault="00C35C3C" w:rsidP="00B4169C">
            <w:pPr>
              <w:spacing w:after="0" w:line="240" w:lineRule="auto"/>
              <w:jc w:val="right"/>
              <w:rPr>
                <w:rFonts w:ascii="Calibri" w:eastAsia="Times New Roman" w:hAnsi="Calibri" w:cs="Times New Roman"/>
                <w:color w:val="000000"/>
              </w:rPr>
            </w:pPr>
            <w:r w:rsidRPr="00C35C3C">
              <w:rPr>
                <w:rFonts w:ascii="Calibri" w:eastAsia="Times New Roman" w:hAnsi="Calibri" w:cs="Times New Roman"/>
                <w:color w:val="000000"/>
              </w:rPr>
              <w:t>Subverted Agencies</w:t>
            </w:r>
          </w:p>
        </w:tc>
        <w:tc>
          <w:tcPr>
            <w:tcW w:w="967" w:type="dxa"/>
            <w:tcBorders>
              <w:top w:val="nil"/>
              <w:left w:val="nil"/>
              <w:bottom w:val="nil"/>
              <w:right w:val="nil"/>
            </w:tcBorders>
            <w:shd w:val="clear" w:color="auto" w:fill="auto"/>
            <w:noWrap/>
            <w:vAlign w:val="center"/>
            <w:hideMark/>
          </w:tcPr>
          <w:p w14:paraId="5FC8B9FC" w14:textId="77777777" w:rsidR="00C35C3C" w:rsidRPr="00C35C3C" w:rsidRDefault="00C35C3C" w:rsidP="00B4169C">
            <w:pPr>
              <w:spacing w:after="0" w:line="240" w:lineRule="auto"/>
              <w:jc w:val="right"/>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center"/>
            <w:hideMark/>
          </w:tcPr>
          <w:p w14:paraId="3293E665" w14:textId="77777777" w:rsidR="00C35C3C" w:rsidRPr="00C35C3C" w:rsidRDefault="00C35C3C" w:rsidP="00B4169C">
            <w:pPr>
              <w:spacing w:after="0" w:line="240" w:lineRule="auto"/>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14:paraId="6EFA6F1B" w14:textId="77777777" w:rsidR="00C35C3C" w:rsidRPr="00C35C3C" w:rsidRDefault="00C35C3C" w:rsidP="00B4169C">
            <w:pPr>
              <w:spacing w:after="0" w:line="240" w:lineRule="auto"/>
              <w:rPr>
                <w:rFonts w:ascii="Times New Roman" w:eastAsia="Times New Roman" w:hAnsi="Times New Roman" w:cs="Times New Roman"/>
                <w:sz w:val="20"/>
                <w:szCs w:val="20"/>
              </w:rPr>
            </w:pPr>
          </w:p>
        </w:tc>
        <w:tc>
          <w:tcPr>
            <w:tcW w:w="663" w:type="dxa"/>
            <w:tcBorders>
              <w:top w:val="nil"/>
              <w:left w:val="nil"/>
              <w:bottom w:val="nil"/>
              <w:right w:val="nil"/>
            </w:tcBorders>
            <w:shd w:val="clear" w:color="auto" w:fill="auto"/>
            <w:noWrap/>
            <w:vAlign w:val="center"/>
            <w:hideMark/>
          </w:tcPr>
          <w:p w14:paraId="1885446A" w14:textId="77777777" w:rsidR="00C35C3C" w:rsidRPr="00C35C3C" w:rsidRDefault="00C35C3C" w:rsidP="00B4169C">
            <w:pPr>
              <w:spacing w:after="0" w:line="240" w:lineRule="auto"/>
              <w:rPr>
                <w:rFonts w:ascii="Times New Roman" w:eastAsia="Times New Roman" w:hAnsi="Times New Roman" w:cs="Times New Roman"/>
                <w:sz w:val="20"/>
                <w:szCs w:val="20"/>
              </w:rPr>
            </w:pPr>
          </w:p>
        </w:tc>
        <w:tc>
          <w:tcPr>
            <w:tcW w:w="663" w:type="dxa"/>
            <w:tcBorders>
              <w:top w:val="nil"/>
              <w:left w:val="nil"/>
              <w:bottom w:val="nil"/>
              <w:right w:val="nil"/>
            </w:tcBorders>
            <w:shd w:val="clear" w:color="auto" w:fill="auto"/>
            <w:noWrap/>
            <w:vAlign w:val="center"/>
            <w:hideMark/>
          </w:tcPr>
          <w:p w14:paraId="4B9E55AC"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146</w:t>
            </w:r>
          </w:p>
        </w:tc>
        <w:tc>
          <w:tcPr>
            <w:tcW w:w="663" w:type="dxa"/>
            <w:tcBorders>
              <w:top w:val="nil"/>
              <w:left w:val="nil"/>
              <w:bottom w:val="nil"/>
              <w:right w:val="nil"/>
            </w:tcBorders>
            <w:shd w:val="clear" w:color="auto" w:fill="auto"/>
            <w:noWrap/>
            <w:vAlign w:val="center"/>
            <w:hideMark/>
          </w:tcPr>
          <w:p w14:paraId="1449860C"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143</w:t>
            </w:r>
          </w:p>
        </w:tc>
        <w:tc>
          <w:tcPr>
            <w:tcW w:w="663" w:type="dxa"/>
            <w:tcBorders>
              <w:top w:val="nil"/>
              <w:left w:val="nil"/>
              <w:bottom w:val="nil"/>
              <w:right w:val="nil"/>
            </w:tcBorders>
            <w:shd w:val="clear" w:color="auto" w:fill="auto"/>
            <w:noWrap/>
            <w:vAlign w:val="center"/>
            <w:hideMark/>
          </w:tcPr>
          <w:p w14:paraId="63A836AD"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134</w:t>
            </w:r>
          </w:p>
        </w:tc>
        <w:tc>
          <w:tcPr>
            <w:tcW w:w="772" w:type="dxa"/>
            <w:tcBorders>
              <w:top w:val="nil"/>
              <w:left w:val="nil"/>
              <w:bottom w:val="nil"/>
              <w:right w:val="nil"/>
            </w:tcBorders>
            <w:shd w:val="clear" w:color="auto" w:fill="auto"/>
            <w:noWrap/>
            <w:vAlign w:val="center"/>
            <w:hideMark/>
          </w:tcPr>
          <w:p w14:paraId="47466D27"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134</w:t>
            </w:r>
          </w:p>
        </w:tc>
      </w:tr>
      <w:tr w:rsidR="00C35C3C" w:rsidRPr="00C35C3C" w14:paraId="26CBE715" w14:textId="77777777" w:rsidTr="00C35C3C">
        <w:trPr>
          <w:trHeight w:val="300"/>
        </w:trPr>
        <w:tc>
          <w:tcPr>
            <w:tcW w:w="3460" w:type="dxa"/>
            <w:tcBorders>
              <w:top w:val="nil"/>
              <w:left w:val="nil"/>
              <w:bottom w:val="nil"/>
              <w:right w:val="nil"/>
            </w:tcBorders>
            <w:shd w:val="clear" w:color="auto" w:fill="auto"/>
            <w:noWrap/>
            <w:vAlign w:val="center"/>
            <w:hideMark/>
          </w:tcPr>
          <w:p w14:paraId="00D448B6" w14:textId="77777777" w:rsidR="00C35C3C" w:rsidRPr="00C35C3C" w:rsidRDefault="00C35C3C" w:rsidP="00B4169C">
            <w:pPr>
              <w:spacing w:after="0" w:line="240" w:lineRule="auto"/>
              <w:rPr>
                <w:rFonts w:ascii="Calibri" w:eastAsia="Times New Roman" w:hAnsi="Calibri" w:cs="Times New Roman"/>
                <w:color w:val="000000"/>
              </w:rPr>
            </w:pPr>
            <w:r w:rsidRPr="00C35C3C">
              <w:rPr>
                <w:rFonts w:ascii="Calibri" w:eastAsia="Times New Roman" w:hAnsi="Calibri" w:cs="Times New Roman"/>
                <w:color w:val="000000"/>
              </w:rPr>
              <w:t>% of Labor Force</w:t>
            </w:r>
          </w:p>
        </w:tc>
        <w:tc>
          <w:tcPr>
            <w:tcW w:w="967" w:type="dxa"/>
            <w:tcBorders>
              <w:top w:val="nil"/>
              <w:left w:val="nil"/>
              <w:bottom w:val="nil"/>
              <w:right w:val="nil"/>
            </w:tcBorders>
            <w:shd w:val="clear" w:color="auto" w:fill="auto"/>
            <w:noWrap/>
            <w:vAlign w:val="center"/>
            <w:hideMark/>
          </w:tcPr>
          <w:p w14:paraId="6AF61A19" w14:textId="77777777" w:rsidR="00C35C3C" w:rsidRPr="00C35C3C" w:rsidRDefault="00C35C3C" w:rsidP="00B4169C">
            <w:pPr>
              <w:spacing w:after="0" w:line="240" w:lineRule="auto"/>
              <w:rPr>
                <w:rFonts w:ascii="Calibri" w:eastAsia="Times New Roman" w:hAnsi="Calibri" w:cs="Times New Roman"/>
                <w:color w:val="000000"/>
              </w:rPr>
            </w:pPr>
          </w:p>
        </w:tc>
        <w:tc>
          <w:tcPr>
            <w:tcW w:w="730" w:type="dxa"/>
            <w:tcBorders>
              <w:top w:val="nil"/>
              <w:left w:val="nil"/>
              <w:bottom w:val="nil"/>
              <w:right w:val="nil"/>
            </w:tcBorders>
            <w:shd w:val="clear" w:color="auto" w:fill="auto"/>
            <w:noWrap/>
            <w:vAlign w:val="center"/>
            <w:hideMark/>
          </w:tcPr>
          <w:p w14:paraId="7E5422D2"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5.4</w:t>
            </w:r>
          </w:p>
        </w:tc>
        <w:tc>
          <w:tcPr>
            <w:tcW w:w="720" w:type="dxa"/>
            <w:tcBorders>
              <w:top w:val="nil"/>
              <w:left w:val="nil"/>
              <w:bottom w:val="nil"/>
              <w:right w:val="nil"/>
            </w:tcBorders>
            <w:shd w:val="clear" w:color="auto" w:fill="auto"/>
            <w:noWrap/>
            <w:vAlign w:val="center"/>
            <w:hideMark/>
          </w:tcPr>
          <w:p w14:paraId="7CC8D3B0"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5.6</w:t>
            </w:r>
          </w:p>
        </w:tc>
        <w:tc>
          <w:tcPr>
            <w:tcW w:w="663" w:type="dxa"/>
            <w:tcBorders>
              <w:top w:val="nil"/>
              <w:left w:val="nil"/>
              <w:bottom w:val="nil"/>
              <w:right w:val="nil"/>
            </w:tcBorders>
            <w:shd w:val="clear" w:color="auto" w:fill="auto"/>
            <w:noWrap/>
            <w:vAlign w:val="center"/>
            <w:hideMark/>
          </w:tcPr>
          <w:p w14:paraId="3F6DFB74"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5.8</w:t>
            </w:r>
          </w:p>
        </w:tc>
        <w:tc>
          <w:tcPr>
            <w:tcW w:w="663" w:type="dxa"/>
            <w:tcBorders>
              <w:top w:val="nil"/>
              <w:left w:val="nil"/>
              <w:bottom w:val="nil"/>
              <w:right w:val="nil"/>
            </w:tcBorders>
            <w:shd w:val="clear" w:color="auto" w:fill="auto"/>
            <w:noWrap/>
            <w:vAlign w:val="center"/>
            <w:hideMark/>
          </w:tcPr>
          <w:p w14:paraId="795455FF"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5.9</w:t>
            </w:r>
          </w:p>
        </w:tc>
        <w:tc>
          <w:tcPr>
            <w:tcW w:w="663" w:type="dxa"/>
            <w:tcBorders>
              <w:top w:val="nil"/>
              <w:left w:val="nil"/>
              <w:bottom w:val="nil"/>
              <w:right w:val="nil"/>
            </w:tcBorders>
            <w:shd w:val="clear" w:color="auto" w:fill="auto"/>
            <w:noWrap/>
            <w:vAlign w:val="center"/>
            <w:hideMark/>
          </w:tcPr>
          <w:p w14:paraId="33741511"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5.6</w:t>
            </w:r>
          </w:p>
        </w:tc>
        <w:tc>
          <w:tcPr>
            <w:tcW w:w="663" w:type="dxa"/>
            <w:tcBorders>
              <w:top w:val="nil"/>
              <w:left w:val="nil"/>
              <w:bottom w:val="nil"/>
              <w:right w:val="nil"/>
            </w:tcBorders>
            <w:shd w:val="clear" w:color="auto" w:fill="auto"/>
            <w:noWrap/>
            <w:vAlign w:val="center"/>
            <w:hideMark/>
          </w:tcPr>
          <w:p w14:paraId="075909B7"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5.7</w:t>
            </w:r>
          </w:p>
        </w:tc>
        <w:tc>
          <w:tcPr>
            <w:tcW w:w="772" w:type="dxa"/>
            <w:tcBorders>
              <w:top w:val="nil"/>
              <w:left w:val="nil"/>
              <w:bottom w:val="nil"/>
              <w:right w:val="nil"/>
            </w:tcBorders>
            <w:shd w:val="clear" w:color="auto" w:fill="auto"/>
            <w:noWrap/>
            <w:vAlign w:val="center"/>
            <w:hideMark/>
          </w:tcPr>
          <w:p w14:paraId="7DD67177" w14:textId="77777777" w:rsidR="00C35C3C" w:rsidRPr="00C35C3C" w:rsidRDefault="00C35C3C" w:rsidP="00B4169C">
            <w:pPr>
              <w:spacing w:after="0" w:line="240" w:lineRule="auto"/>
              <w:jc w:val="center"/>
              <w:rPr>
                <w:rFonts w:ascii="Calibri" w:eastAsia="Times New Roman" w:hAnsi="Calibri" w:cs="Times New Roman"/>
                <w:color w:val="000000"/>
              </w:rPr>
            </w:pPr>
          </w:p>
        </w:tc>
      </w:tr>
      <w:tr w:rsidR="00C35C3C" w:rsidRPr="00C35C3C" w14:paraId="4C326808" w14:textId="77777777" w:rsidTr="00C35C3C">
        <w:trPr>
          <w:trHeight w:val="315"/>
        </w:trPr>
        <w:tc>
          <w:tcPr>
            <w:tcW w:w="3460" w:type="dxa"/>
            <w:tcBorders>
              <w:top w:val="nil"/>
              <w:left w:val="nil"/>
              <w:bottom w:val="single" w:sz="8" w:space="0" w:color="auto"/>
              <w:right w:val="nil"/>
            </w:tcBorders>
            <w:shd w:val="clear" w:color="auto" w:fill="auto"/>
            <w:noWrap/>
            <w:vAlign w:val="center"/>
            <w:hideMark/>
          </w:tcPr>
          <w:p w14:paraId="776CC60D" w14:textId="77777777" w:rsidR="00C35C3C" w:rsidRPr="00C35C3C" w:rsidRDefault="00C35C3C" w:rsidP="00B4169C">
            <w:pPr>
              <w:spacing w:after="0" w:line="240" w:lineRule="auto"/>
              <w:rPr>
                <w:rFonts w:ascii="Calibri" w:eastAsia="Times New Roman" w:hAnsi="Calibri" w:cs="Times New Roman"/>
                <w:color w:val="000000"/>
              </w:rPr>
            </w:pPr>
            <w:r w:rsidRPr="00C35C3C">
              <w:rPr>
                <w:rFonts w:ascii="Calibri" w:eastAsia="Times New Roman" w:hAnsi="Calibri" w:cs="Times New Roman"/>
                <w:color w:val="000000"/>
              </w:rPr>
              <w:t>% of Population</w:t>
            </w:r>
          </w:p>
        </w:tc>
        <w:tc>
          <w:tcPr>
            <w:tcW w:w="967" w:type="dxa"/>
            <w:tcBorders>
              <w:top w:val="nil"/>
              <w:left w:val="nil"/>
              <w:bottom w:val="single" w:sz="8" w:space="0" w:color="auto"/>
              <w:right w:val="nil"/>
            </w:tcBorders>
            <w:shd w:val="clear" w:color="auto" w:fill="auto"/>
            <w:noWrap/>
            <w:vAlign w:val="center"/>
            <w:hideMark/>
          </w:tcPr>
          <w:p w14:paraId="22F6CE1F"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1.5</w:t>
            </w:r>
          </w:p>
        </w:tc>
        <w:tc>
          <w:tcPr>
            <w:tcW w:w="730" w:type="dxa"/>
            <w:tcBorders>
              <w:top w:val="nil"/>
              <w:left w:val="nil"/>
              <w:bottom w:val="single" w:sz="8" w:space="0" w:color="auto"/>
              <w:right w:val="nil"/>
            </w:tcBorders>
            <w:shd w:val="clear" w:color="auto" w:fill="auto"/>
            <w:noWrap/>
            <w:vAlign w:val="center"/>
            <w:hideMark/>
          </w:tcPr>
          <w:p w14:paraId="714E363A"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1.8</w:t>
            </w:r>
          </w:p>
        </w:tc>
        <w:tc>
          <w:tcPr>
            <w:tcW w:w="720" w:type="dxa"/>
            <w:tcBorders>
              <w:top w:val="nil"/>
              <w:left w:val="nil"/>
              <w:bottom w:val="single" w:sz="8" w:space="0" w:color="auto"/>
              <w:right w:val="nil"/>
            </w:tcBorders>
            <w:shd w:val="clear" w:color="auto" w:fill="auto"/>
            <w:noWrap/>
            <w:vAlign w:val="center"/>
            <w:hideMark/>
          </w:tcPr>
          <w:p w14:paraId="60834D66"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1.9</w:t>
            </w:r>
          </w:p>
        </w:tc>
        <w:tc>
          <w:tcPr>
            <w:tcW w:w="663" w:type="dxa"/>
            <w:tcBorders>
              <w:top w:val="nil"/>
              <w:left w:val="nil"/>
              <w:bottom w:val="single" w:sz="8" w:space="0" w:color="auto"/>
              <w:right w:val="nil"/>
            </w:tcBorders>
            <w:shd w:val="clear" w:color="auto" w:fill="auto"/>
            <w:noWrap/>
            <w:vAlign w:val="center"/>
            <w:hideMark/>
          </w:tcPr>
          <w:p w14:paraId="283D257C"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1.9</w:t>
            </w:r>
          </w:p>
        </w:tc>
        <w:tc>
          <w:tcPr>
            <w:tcW w:w="663" w:type="dxa"/>
            <w:tcBorders>
              <w:top w:val="nil"/>
              <w:left w:val="nil"/>
              <w:bottom w:val="single" w:sz="8" w:space="0" w:color="auto"/>
              <w:right w:val="nil"/>
            </w:tcBorders>
            <w:shd w:val="clear" w:color="auto" w:fill="auto"/>
            <w:noWrap/>
            <w:vAlign w:val="center"/>
            <w:hideMark/>
          </w:tcPr>
          <w:p w14:paraId="4CD3E14F"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2.6</w:t>
            </w:r>
          </w:p>
        </w:tc>
        <w:tc>
          <w:tcPr>
            <w:tcW w:w="663" w:type="dxa"/>
            <w:tcBorders>
              <w:top w:val="nil"/>
              <w:left w:val="nil"/>
              <w:bottom w:val="single" w:sz="8" w:space="0" w:color="auto"/>
              <w:right w:val="nil"/>
            </w:tcBorders>
            <w:shd w:val="clear" w:color="auto" w:fill="auto"/>
            <w:noWrap/>
            <w:vAlign w:val="center"/>
            <w:hideMark/>
          </w:tcPr>
          <w:p w14:paraId="777776AD"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2.4</w:t>
            </w:r>
          </w:p>
        </w:tc>
        <w:tc>
          <w:tcPr>
            <w:tcW w:w="663" w:type="dxa"/>
            <w:tcBorders>
              <w:top w:val="nil"/>
              <w:left w:val="nil"/>
              <w:bottom w:val="single" w:sz="8" w:space="0" w:color="auto"/>
              <w:right w:val="nil"/>
            </w:tcBorders>
            <w:shd w:val="clear" w:color="auto" w:fill="auto"/>
            <w:noWrap/>
            <w:vAlign w:val="center"/>
            <w:hideMark/>
          </w:tcPr>
          <w:p w14:paraId="3D10C907" w14:textId="77777777" w:rsidR="00C35C3C" w:rsidRPr="00C35C3C" w:rsidRDefault="00C35C3C" w:rsidP="00B4169C">
            <w:pPr>
              <w:spacing w:after="0" w:line="240" w:lineRule="auto"/>
              <w:jc w:val="center"/>
              <w:rPr>
                <w:rFonts w:ascii="Calibri" w:eastAsia="Times New Roman" w:hAnsi="Calibri" w:cs="Times New Roman"/>
                <w:color w:val="000000"/>
              </w:rPr>
            </w:pPr>
            <w:r w:rsidRPr="00C35C3C">
              <w:rPr>
                <w:rFonts w:ascii="Calibri" w:eastAsia="Times New Roman" w:hAnsi="Calibri" w:cs="Times New Roman"/>
                <w:color w:val="000000"/>
              </w:rPr>
              <w:t>2.4</w:t>
            </w:r>
          </w:p>
        </w:tc>
        <w:tc>
          <w:tcPr>
            <w:tcW w:w="772" w:type="dxa"/>
            <w:tcBorders>
              <w:top w:val="nil"/>
              <w:left w:val="nil"/>
              <w:bottom w:val="single" w:sz="8" w:space="0" w:color="auto"/>
              <w:right w:val="nil"/>
            </w:tcBorders>
            <w:shd w:val="clear" w:color="auto" w:fill="auto"/>
            <w:noWrap/>
            <w:vAlign w:val="center"/>
            <w:hideMark/>
          </w:tcPr>
          <w:p w14:paraId="47FCE6E3" w14:textId="77777777" w:rsidR="00C35C3C" w:rsidRPr="00C35C3C" w:rsidRDefault="00C35C3C" w:rsidP="00B4169C">
            <w:pPr>
              <w:spacing w:after="0" w:line="240" w:lineRule="auto"/>
              <w:rPr>
                <w:rFonts w:ascii="Calibri Light" w:eastAsia="Times New Roman" w:hAnsi="Calibri Light" w:cs="Times New Roman"/>
                <w:color w:val="000000"/>
              </w:rPr>
            </w:pPr>
            <w:r w:rsidRPr="00C35C3C">
              <w:rPr>
                <w:rFonts w:ascii="Calibri Light" w:eastAsia="Times New Roman" w:hAnsi="Calibri Light" w:cs="Times New Roman"/>
                <w:color w:val="000000"/>
              </w:rPr>
              <w:t> </w:t>
            </w:r>
          </w:p>
        </w:tc>
      </w:tr>
    </w:tbl>
    <w:p w14:paraId="33E6AA2E" w14:textId="77777777" w:rsidR="00724BAB" w:rsidRPr="007925A8" w:rsidRDefault="00724BAB" w:rsidP="004752E7">
      <w:pPr>
        <w:spacing w:after="0" w:line="240" w:lineRule="auto"/>
        <w:rPr>
          <w:rFonts w:ascii="Garamond" w:hAnsi="Garamond"/>
          <w:sz w:val="20"/>
          <w:szCs w:val="20"/>
        </w:rPr>
      </w:pPr>
      <w:r w:rsidRPr="007925A8">
        <w:rPr>
          <w:rFonts w:ascii="Garamond" w:hAnsi="Garamond"/>
          <w:i/>
          <w:sz w:val="20"/>
          <w:szCs w:val="20"/>
        </w:rPr>
        <w:t>Note:</w:t>
      </w:r>
      <w:r w:rsidRPr="007925A8">
        <w:rPr>
          <w:rFonts w:ascii="Garamond" w:hAnsi="Garamond"/>
          <w:sz w:val="20"/>
          <w:szCs w:val="20"/>
        </w:rPr>
        <w:t xml:space="preserve"> </w:t>
      </w:r>
      <w:r w:rsidR="005B2821" w:rsidRPr="007925A8">
        <w:rPr>
          <w:rFonts w:ascii="Garamond" w:hAnsi="Garamond"/>
          <w:sz w:val="20"/>
          <w:szCs w:val="20"/>
        </w:rPr>
        <w:t xml:space="preserve">Data are from </w:t>
      </w:r>
      <w:r w:rsidR="008C77CC" w:rsidRPr="007925A8">
        <w:rPr>
          <w:rFonts w:ascii="Garamond" w:hAnsi="Garamond"/>
          <w:sz w:val="20"/>
          <w:szCs w:val="20"/>
        </w:rPr>
        <w:t xml:space="preserve">October 2016 </w:t>
      </w:r>
    </w:p>
    <w:p w14:paraId="331B7D41" w14:textId="77777777" w:rsidR="00724BAB" w:rsidRPr="007925A8" w:rsidRDefault="00724BAB" w:rsidP="004752E7">
      <w:pPr>
        <w:spacing w:after="240" w:line="240" w:lineRule="auto"/>
        <w:rPr>
          <w:rFonts w:ascii="Garamond" w:hAnsi="Garamond"/>
          <w:b/>
          <w:i/>
          <w:sz w:val="20"/>
          <w:szCs w:val="20"/>
        </w:rPr>
      </w:pPr>
      <w:r w:rsidRPr="007925A8">
        <w:rPr>
          <w:rFonts w:ascii="Garamond" w:hAnsi="Garamond"/>
          <w:i/>
          <w:sz w:val="20"/>
          <w:szCs w:val="20"/>
        </w:rPr>
        <w:t xml:space="preserve">Source: </w:t>
      </w:r>
      <w:r w:rsidRPr="007925A8">
        <w:rPr>
          <w:rFonts w:ascii="Garamond" w:hAnsi="Garamond"/>
          <w:sz w:val="20"/>
          <w:szCs w:val="20"/>
        </w:rPr>
        <w:t>Ghana Ministry of Finance</w:t>
      </w:r>
    </w:p>
    <w:p w14:paraId="40A0F896" w14:textId="77777777" w:rsidR="00724BAB" w:rsidRPr="001D5117" w:rsidRDefault="00724BAB" w:rsidP="00724BAB">
      <w:pPr>
        <w:pStyle w:val="ListParagraph"/>
        <w:numPr>
          <w:ilvl w:val="0"/>
          <w:numId w:val="13"/>
        </w:numPr>
      </w:pPr>
      <w:r w:rsidRPr="001D5117">
        <w:rPr>
          <w:b/>
        </w:rPr>
        <w:t>A large and widening wage gap between the public and private sectors raise the economy-wide reservation wage for educated workers and encourages them to wait for job openings in the public sector rather than pursue opportunities in the private sector.</w:t>
      </w:r>
      <w:r w:rsidRPr="001D5117">
        <w:t xml:space="preserve"> Public sector wage growth outpaced growth in almost all other sectors between 2006 and 2013. Data from the 2005/06 and 2012/13 Ghana Living Standards Surveys (GLSS)</w:t>
      </w:r>
      <w:r w:rsidRPr="001D5117">
        <w:rPr>
          <w:rStyle w:val="FootnoteReference"/>
        </w:rPr>
        <w:footnoteReference w:id="76"/>
      </w:r>
      <w:r w:rsidRPr="001D5117">
        <w:t xml:space="preserve"> show that public sector workers consistently earned higher average wages than those in any other employment category, and the public sector wage premium increased sharply between the two surveys. In 2006</w:t>
      </w:r>
      <w:r w:rsidR="00650291">
        <w:t>,</w:t>
      </w:r>
      <w:r w:rsidRPr="001D5117">
        <w:t xml:space="preserve"> the median wage in the public sector was 25 percent higher than the median wage in the private sector, but by 2013 the median public sector wage was a full 125 percent higher (</w:t>
      </w:r>
      <w:r w:rsidRPr="001D5117">
        <w:fldChar w:fldCharType="begin"/>
      </w:r>
      <w:r w:rsidRPr="001D5117">
        <w:instrText xml:space="preserve"> REF _Ref470184037 \h </w:instrText>
      </w:r>
      <w:r>
        <w:instrText xml:space="preserve"> \* MERGEFORMAT </w:instrText>
      </w:r>
      <w:r w:rsidRPr="001D5117">
        <w:fldChar w:fldCharType="separate"/>
      </w:r>
      <w:r w:rsidR="007B1CE6" w:rsidRPr="007B1CE6">
        <w:t xml:space="preserve">Table </w:t>
      </w:r>
      <w:r w:rsidR="007B1CE6" w:rsidRPr="007B1CE6">
        <w:rPr>
          <w:noProof/>
        </w:rPr>
        <w:t>3.2</w:t>
      </w:r>
      <w:r w:rsidRPr="001D5117">
        <w:fldChar w:fldCharType="end"/>
      </w:r>
      <w:r w:rsidRPr="001D5117">
        <w:t xml:space="preserve">). </w:t>
      </w:r>
    </w:p>
    <w:p w14:paraId="7A6D6163" w14:textId="77777777" w:rsidR="00724BAB" w:rsidRPr="00275FDB" w:rsidRDefault="00724BAB" w:rsidP="00724BAB">
      <w:pPr>
        <w:pStyle w:val="Caption"/>
        <w:rPr>
          <w:lang w:val="en-US"/>
        </w:rPr>
      </w:pPr>
      <w:bookmarkStart w:id="114" w:name="_Ref470184037"/>
      <w:bookmarkStart w:id="115" w:name="_Toc478837639"/>
      <w:r w:rsidRPr="00275FDB">
        <w:rPr>
          <w:smallCaps w:val="0"/>
          <w:lang w:val="en-US"/>
        </w:rPr>
        <w:t xml:space="preserve">Table </w:t>
      </w:r>
      <w:r w:rsidR="00500291" w:rsidRPr="00275FDB">
        <w:rPr>
          <w:smallCaps w:val="0"/>
          <w:lang w:val="en-US"/>
        </w:rPr>
        <w:fldChar w:fldCharType="begin"/>
      </w:r>
      <w:r w:rsidR="00500291" w:rsidRPr="00275FDB">
        <w:rPr>
          <w:smallCaps w:val="0"/>
          <w:lang w:val="en-US"/>
        </w:rPr>
        <w:instrText xml:space="preserve"> STYLEREF 1 \s </w:instrText>
      </w:r>
      <w:r w:rsidR="00500291" w:rsidRPr="00275FDB">
        <w:rPr>
          <w:smallCaps w:val="0"/>
          <w:lang w:val="en-US"/>
        </w:rPr>
        <w:fldChar w:fldCharType="separate"/>
      </w:r>
      <w:r w:rsidR="007B1CE6">
        <w:rPr>
          <w:smallCaps w:val="0"/>
          <w:noProof/>
          <w:lang w:val="en-US"/>
        </w:rPr>
        <w:t>3</w:t>
      </w:r>
      <w:r w:rsidR="00500291" w:rsidRPr="00275FDB">
        <w:rPr>
          <w:smallCaps w:val="0"/>
          <w:lang w:val="en-US"/>
        </w:rPr>
        <w:fldChar w:fldCharType="end"/>
      </w:r>
      <w:r w:rsidR="00500291" w:rsidRPr="00275FDB">
        <w:rPr>
          <w:smallCaps w:val="0"/>
          <w:lang w:val="en-US"/>
        </w:rPr>
        <w:t>.</w:t>
      </w:r>
      <w:r w:rsidR="00500291" w:rsidRPr="00275FDB">
        <w:rPr>
          <w:smallCaps w:val="0"/>
          <w:lang w:val="en-US"/>
        </w:rPr>
        <w:fldChar w:fldCharType="begin"/>
      </w:r>
      <w:r w:rsidR="00500291" w:rsidRPr="00275FDB">
        <w:rPr>
          <w:smallCaps w:val="0"/>
          <w:lang w:val="en-US"/>
        </w:rPr>
        <w:instrText xml:space="preserve"> SEQ Table \* ARABIC \s 1 </w:instrText>
      </w:r>
      <w:r w:rsidR="00500291" w:rsidRPr="00275FDB">
        <w:rPr>
          <w:smallCaps w:val="0"/>
          <w:lang w:val="en-US"/>
        </w:rPr>
        <w:fldChar w:fldCharType="separate"/>
      </w:r>
      <w:r w:rsidR="007B1CE6">
        <w:rPr>
          <w:smallCaps w:val="0"/>
          <w:noProof/>
          <w:lang w:val="en-US"/>
        </w:rPr>
        <w:t>2</w:t>
      </w:r>
      <w:r w:rsidR="00500291" w:rsidRPr="00275FDB">
        <w:rPr>
          <w:smallCaps w:val="0"/>
          <w:lang w:val="en-US"/>
        </w:rPr>
        <w:fldChar w:fldCharType="end"/>
      </w:r>
      <w:bookmarkEnd w:id="114"/>
      <w:r w:rsidRPr="00275FDB">
        <w:rPr>
          <w:smallCaps w:val="0"/>
          <w:lang w:val="en-US"/>
        </w:rPr>
        <w:t>: Differences in Hourly Wages by Sector (GH¢)</w:t>
      </w:r>
      <w:bookmarkEnd w:id="115"/>
    </w:p>
    <w:tbl>
      <w:tblPr>
        <w:tblW w:w="9450" w:type="dxa"/>
        <w:tblInd w:w="108" w:type="dxa"/>
        <w:tblLook w:val="04A0" w:firstRow="1" w:lastRow="0" w:firstColumn="1" w:lastColumn="0" w:noHBand="0" w:noVBand="1"/>
      </w:tblPr>
      <w:tblGrid>
        <w:gridCol w:w="2430"/>
        <w:gridCol w:w="1530"/>
        <w:gridCol w:w="1890"/>
        <w:gridCol w:w="1620"/>
        <w:gridCol w:w="1980"/>
      </w:tblGrid>
      <w:tr w:rsidR="00724BAB" w:rsidRPr="008B4098" w14:paraId="7FA51F37" w14:textId="77777777" w:rsidTr="00E566F7">
        <w:trPr>
          <w:trHeight w:val="215"/>
        </w:trPr>
        <w:tc>
          <w:tcPr>
            <w:tcW w:w="2430" w:type="dxa"/>
            <w:tcBorders>
              <w:top w:val="single" w:sz="4" w:space="0" w:color="auto"/>
            </w:tcBorders>
            <w:shd w:val="clear" w:color="auto" w:fill="auto"/>
          </w:tcPr>
          <w:p w14:paraId="513E1D6E" w14:textId="77777777" w:rsidR="00724BAB" w:rsidRPr="008B4098" w:rsidRDefault="00724BAB" w:rsidP="00E566F7">
            <w:pPr>
              <w:pStyle w:val="NoSpacing"/>
              <w:rPr>
                <w:rFonts w:asciiTheme="minorHAnsi" w:hAnsiTheme="minorHAnsi"/>
              </w:rPr>
            </w:pPr>
          </w:p>
        </w:tc>
        <w:tc>
          <w:tcPr>
            <w:tcW w:w="3420" w:type="dxa"/>
            <w:gridSpan w:val="2"/>
            <w:tcBorders>
              <w:top w:val="single" w:sz="4" w:space="0" w:color="auto"/>
            </w:tcBorders>
            <w:shd w:val="clear" w:color="auto" w:fill="auto"/>
          </w:tcPr>
          <w:p w14:paraId="56FBF893" w14:textId="77777777" w:rsidR="00724BAB" w:rsidRPr="008B4098" w:rsidRDefault="00724BAB" w:rsidP="00E566F7">
            <w:pPr>
              <w:pStyle w:val="NoSpacing"/>
              <w:rPr>
                <w:rFonts w:asciiTheme="minorHAnsi" w:hAnsiTheme="minorHAnsi"/>
              </w:rPr>
            </w:pPr>
            <w:r w:rsidRPr="008B4098">
              <w:rPr>
                <w:rFonts w:asciiTheme="minorHAnsi" w:hAnsiTheme="minorHAnsi"/>
              </w:rPr>
              <w:t>2005/06</w:t>
            </w:r>
          </w:p>
        </w:tc>
        <w:tc>
          <w:tcPr>
            <w:tcW w:w="3600" w:type="dxa"/>
            <w:gridSpan w:val="2"/>
            <w:tcBorders>
              <w:top w:val="single" w:sz="4" w:space="0" w:color="auto"/>
            </w:tcBorders>
          </w:tcPr>
          <w:p w14:paraId="1B7C03A9" w14:textId="77777777" w:rsidR="00724BAB" w:rsidRPr="008B4098" w:rsidRDefault="00724BAB" w:rsidP="00E566F7">
            <w:pPr>
              <w:pStyle w:val="NoSpacing"/>
              <w:rPr>
                <w:rFonts w:asciiTheme="minorHAnsi" w:hAnsiTheme="minorHAnsi"/>
              </w:rPr>
            </w:pPr>
            <w:r w:rsidRPr="008B4098">
              <w:rPr>
                <w:rFonts w:asciiTheme="minorHAnsi" w:hAnsiTheme="minorHAnsi"/>
              </w:rPr>
              <w:t>2012/13</w:t>
            </w:r>
          </w:p>
        </w:tc>
      </w:tr>
      <w:tr w:rsidR="00724BAB" w:rsidRPr="008B4098" w14:paraId="2ED4F602" w14:textId="77777777" w:rsidTr="00E566F7">
        <w:trPr>
          <w:trHeight w:val="126"/>
        </w:trPr>
        <w:tc>
          <w:tcPr>
            <w:tcW w:w="2430" w:type="dxa"/>
            <w:tcBorders>
              <w:bottom w:val="single" w:sz="4" w:space="0" w:color="auto"/>
            </w:tcBorders>
            <w:shd w:val="clear" w:color="auto" w:fill="auto"/>
          </w:tcPr>
          <w:p w14:paraId="7CAB835A" w14:textId="77777777" w:rsidR="00724BAB" w:rsidRPr="008B4098" w:rsidRDefault="00724BAB" w:rsidP="00E566F7">
            <w:pPr>
              <w:pStyle w:val="NoSpacing"/>
              <w:rPr>
                <w:rFonts w:asciiTheme="minorHAnsi" w:hAnsiTheme="minorHAnsi"/>
              </w:rPr>
            </w:pPr>
            <w:r w:rsidRPr="008B4098">
              <w:rPr>
                <w:rFonts w:asciiTheme="minorHAnsi" w:hAnsiTheme="minorHAnsi"/>
              </w:rPr>
              <w:t>Sector</w:t>
            </w:r>
          </w:p>
        </w:tc>
        <w:tc>
          <w:tcPr>
            <w:tcW w:w="1530" w:type="dxa"/>
            <w:tcBorders>
              <w:bottom w:val="single" w:sz="4" w:space="0" w:color="auto"/>
            </w:tcBorders>
            <w:shd w:val="clear" w:color="auto" w:fill="auto"/>
          </w:tcPr>
          <w:p w14:paraId="5ADB15FF" w14:textId="77777777" w:rsidR="00724BAB" w:rsidRPr="008B4098" w:rsidRDefault="00724BAB" w:rsidP="00E566F7">
            <w:pPr>
              <w:pStyle w:val="NoSpacing"/>
              <w:rPr>
                <w:rFonts w:asciiTheme="minorHAnsi" w:hAnsiTheme="minorHAnsi"/>
              </w:rPr>
            </w:pPr>
            <w:r w:rsidRPr="008B4098">
              <w:rPr>
                <w:rFonts w:asciiTheme="minorHAnsi" w:hAnsiTheme="minorHAnsi"/>
              </w:rPr>
              <w:t>Mean</w:t>
            </w:r>
          </w:p>
        </w:tc>
        <w:tc>
          <w:tcPr>
            <w:tcW w:w="1890" w:type="dxa"/>
            <w:tcBorders>
              <w:bottom w:val="single" w:sz="4" w:space="0" w:color="auto"/>
            </w:tcBorders>
          </w:tcPr>
          <w:p w14:paraId="21E7ACAF" w14:textId="77777777" w:rsidR="00724BAB" w:rsidRPr="008B4098" w:rsidRDefault="00724BAB" w:rsidP="00E566F7">
            <w:pPr>
              <w:pStyle w:val="NoSpacing"/>
              <w:rPr>
                <w:rFonts w:asciiTheme="minorHAnsi" w:hAnsiTheme="minorHAnsi"/>
              </w:rPr>
            </w:pPr>
            <w:r w:rsidRPr="008B4098">
              <w:rPr>
                <w:rFonts w:asciiTheme="minorHAnsi" w:hAnsiTheme="minorHAnsi"/>
              </w:rPr>
              <w:t>Median</w:t>
            </w:r>
          </w:p>
        </w:tc>
        <w:tc>
          <w:tcPr>
            <w:tcW w:w="1620" w:type="dxa"/>
            <w:tcBorders>
              <w:bottom w:val="single" w:sz="4" w:space="0" w:color="auto"/>
            </w:tcBorders>
          </w:tcPr>
          <w:p w14:paraId="4FD86F45" w14:textId="77777777" w:rsidR="00724BAB" w:rsidRPr="008B4098" w:rsidRDefault="00724BAB" w:rsidP="00E566F7">
            <w:pPr>
              <w:pStyle w:val="NoSpacing"/>
              <w:rPr>
                <w:rFonts w:asciiTheme="minorHAnsi" w:hAnsiTheme="minorHAnsi"/>
              </w:rPr>
            </w:pPr>
            <w:r w:rsidRPr="008B4098">
              <w:rPr>
                <w:rFonts w:asciiTheme="minorHAnsi" w:hAnsiTheme="minorHAnsi"/>
              </w:rPr>
              <w:t>Mean</w:t>
            </w:r>
          </w:p>
        </w:tc>
        <w:tc>
          <w:tcPr>
            <w:tcW w:w="1980" w:type="dxa"/>
            <w:tcBorders>
              <w:bottom w:val="single" w:sz="4" w:space="0" w:color="auto"/>
            </w:tcBorders>
            <w:shd w:val="clear" w:color="auto" w:fill="auto"/>
          </w:tcPr>
          <w:p w14:paraId="3D317EA9" w14:textId="77777777" w:rsidR="00724BAB" w:rsidRPr="008B4098" w:rsidRDefault="00724BAB" w:rsidP="00E566F7">
            <w:pPr>
              <w:pStyle w:val="NoSpacing"/>
              <w:rPr>
                <w:rFonts w:asciiTheme="minorHAnsi" w:hAnsiTheme="minorHAnsi"/>
              </w:rPr>
            </w:pPr>
            <w:r w:rsidRPr="008B4098">
              <w:rPr>
                <w:rFonts w:asciiTheme="minorHAnsi" w:hAnsiTheme="minorHAnsi"/>
              </w:rPr>
              <w:t>Median</w:t>
            </w:r>
          </w:p>
        </w:tc>
      </w:tr>
      <w:tr w:rsidR="00724BAB" w:rsidRPr="008B4098" w14:paraId="3C6B4ED2" w14:textId="77777777" w:rsidTr="00E566F7">
        <w:tc>
          <w:tcPr>
            <w:tcW w:w="2430" w:type="dxa"/>
            <w:tcBorders>
              <w:top w:val="single" w:sz="4" w:space="0" w:color="auto"/>
            </w:tcBorders>
            <w:shd w:val="clear" w:color="auto" w:fill="auto"/>
          </w:tcPr>
          <w:p w14:paraId="3AEE71AF" w14:textId="77777777" w:rsidR="00724BAB" w:rsidRPr="008B4098" w:rsidRDefault="00724BAB" w:rsidP="00E566F7">
            <w:pPr>
              <w:pStyle w:val="NoSpacing"/>
              <w:rPr>
                <w:rFonts w:asciiTheme="minorHAnsi" w:hAnsiTheme="minorHAnsi"/>
              </w:rPr>
            </w:pPr>
            <w:r w:rsidRPr="008B4098">
              <w:rPr>
                <w:rFonts w:asciiTheme="minorHAnsi" w:hAnsiTheme="minorHAnsi"/>
              </w:rPr>
              <w:t>Public</w:t>
            </w:r>
          </w:p>
        </w:tc>
        <w:tc>
          <w:tcPr>
            <w:tcW w:w="1530" w:type="dxa"/>
            <w:tcBorders>
              <w:top w:val="single" w:sz="4" w:space="0" w:color="auto"/>
            </w:tcBorders>
            <w:shd w:val="clear" w:color="auto" w:fill="auto"/>
          </w:tcPr>
          <w:p w14:paraId="688C20F0" w14:textId="77777777" w:rsidR="00724BAB" w:rsidRPr="008B4098" w:rsidRDefault="00724BAB" w:rsidP="00E566F7">
            <w:pPr>
              <w:pStyle w:val="NoSpacing"/>
              <w:rPr>
                <w:rFonts w:asciiTheme="minorHAnsi" w:hAnsiTheme="minorHAnsi"/>
              </w:rPr>
            </w:pPr>
            <w:r w:rsidRPr="008B4098">
              <w:rPr>
                <w:rFonts w:asciiTheme="minorHAnsi" w:hAnsiTheme="minorHAnsi"/>
              </w:rPr>
              <w:t>0.5</w:t>
            </w:r>
          </w:p>
        </w:tc>
        <w:tc>
          <w:tcPr>
            <w:tcW w:w="1890" w:type="dxa"/>
            <w:tcBorders>
              <w:top w:val="single" w:sz="4" w:space="0" w:color="auto"/>
            </w:tcBorders>
          </w:tcPr>
          <w:p w14:paraId="62D87346" w14:textId="77777777" w:rsidR="00724BAB" w:rsidRPr="008B4098" w:rsidRDefault="00724BAB" w:rsidP="00E566F7">
            <w:pPr>
              <w:pStyle w:val="NoSpacing"/>
              <w:rPr>
                <w:rFonts w:asciiTheme="minorHAnsi" w:hAnsiTheme="minorHAnsi"/>
              </w:rPr>
            </w:pPr>
            <w:r w:rsidRPr="008B4098">
              <w:rPr>
                <w:rFonts w:asciiTheme="minorHAnsi" w:hAnsiTheme="minorHAnsi"/>
              </w:rPr>
              <w:t>0.5</w:t>
            </w:r>
          </w:p>
        </w:tc>
        <w:tc>
          <w:tcPr>
            <w:tcW w:w="1620" w:type="dxa"/>
            <w:tcBorders>
              <w:top w:val="single" w:sz="4" w:space="0" w:color="auto"/>
            </w:tcBorders>
          </w:tcPr>
          <w:p w14:paraId="24CB2756" w14:textId="77777777" w:rsidR="00724BAB" w:rsidRPr="008B4098" w:rsidRDefault="00724BAB" w:rsidP="00E566F7">
            <w:pPr>
              <w:pStyle w:val="NoSpacing"/>
              <w:rPr>
                <w:rFonts w:asciiTheme="minorHAnsi" w:hAnsiTheme="minorHAnsi"/>
              </w:rPr>
            </w:pPr>
            <w:r w:rsidRPr="008B4098">
              <w:rPr>
                <w:rFonts w:asciiTheme="minorHAnsi" w:hAnsiTheme="minorHAnsi"/>
              </w:rPr>
              <w:t>4.0</w:t>
            </w:r>
          </w:p>
        </w:tc>
        <w:tc>
          <w:tcPr>
            <w:tcW w:w="1980" w:type="dxa"/>
            <w:tcBorders>
              <w:top w:val="single" w:sz="4" w:space="0" w:color="auto"/>
            </w:tcBorders>
            <w:shd w:val="clear" w:color="auto" w:fill="auto"/>
          </w:tcPr>
          <w:p w14:paraId="20B0DF18" w14:textId="77777777" w:rsidR="00724BAB" w:rsidRPr="008B4098" w:rsidRDefault="00724BAB" w:rsidP="00E566F7">
            <w:pPr>
              <w:pStyle w:val="NoSpacing"/>
              <w:rPr>
                <w:rFonts w:asciiTheme="minorHAnsi" w:hAnsiTheme="minorHAnsi"/>
              </w:rPr>
            </w:pPr>
            <w:r w:rsidRPr="008B4098">
              <w:rPr>
                <w:rFonts w:asciiTheme="minorHAnsi" w:hAnsiTheme="minorHAnsi"/>
              </w:rPr>
              <w:t>3.6</w:t>
            </w:r>
          </w:p>
        </w:tc>
      </w:tr>
      <w:tr w:rsidR="00724BAB" w:rsidRPr="008B4098" w14:paraId="5838A35B" w14:textId="77777777" w:rsidTr="00E566F7">
        <w:tc>
          <w:tcPr>
            <w:tcW w:w="2430" w:type="dxa"/>
            <w:shd w:val="clear" w:color="auto" w:fill="auto"/>
          </w:tcPr>
          <w:p w14:paraId="7BBBA37B" w14:textId="77777777" w:rsidR="00724BAB" w:rsidRPr="008B4098" w:rsidRDefault="00724BAB" w:rsidP="00E566F7">
            <w:pPr>
              <w:pStyle w:val="NoSpacing"/>
              <w:rPr>
                <w:rFonts w:asciiTheme="minorHAnsi" w:hAnsiTheme="minorHAnsi"/>
              </w:rPr>
            </w:pPr>
            <w:r w:rsidRPr="008B4098">
              <w:rPr>
                <w:rFonts w:asciiTheme="minorHAnsi" w:hAnsiTheme="minorHAnsi"/>
              </w:rPr>
              <w:t>Private</w:t>
            </w:r>
          </w:p>
        </w:tc>
        <w:tc>
          <w:tcPr>
            <w:tcW w:w="1530" w:type="dxa"/>
            <w:shd w:val="clear" w:color="auto" w:fill="auto"/>
          </w:tcPr>
          <w:p w14:paraId="687B93AD" w14:textId="77777777" w:rsidR="00724BAB" w:rsidRPr="008B4098" w:rsidRDefault="00724BAB" w:rsidP="00E566F7">
            <w:pPr>
              <w:pStyle w:val="NoSpacing"/>
              <w:rPr>
                <w:rFonts w:asciiTheme="minorHAnsi" w:hAnsiTheme="minorHAnsi"/>
              </w:rPr>
            </w:pPr>
            <w:r w:rsidRPr="008B4098">
              <w:rPr>
                <w:rFonts w:asciiTheme="minorHAnsi" w:hAnsiTheme="minorHAnsi"/>
              </w:rPr>
              <w:t>0.4</w:t>
            </w:r>
          </w:p>
        </w:tc>
        <w:tc>
          <w:tcPr>
            <w:tcW w:w="1890" w:type="dxa"/>
          </w:tcPr>
          <w:p w14:paraId="67DD4690" w14:textId="77777777" w:rsidR="00724BAB" w:rsidRPr="008B4098" w:rsidRDefault="00724BAB" w:rsidP="00E566F7">
            <w:pPr>
              <w:pStyle w:val="NoSpacing"/>
              <w:rPr>
                <w:rFonts w:asciiTheme="minorHAnsi" w:hAnsiTheme="minorHAnsi"/>
              </w:rPr>
            </w:pPr>
            <w:r w:rsidRPr="008B4098">
              <w:rPr>
                <w:rFonts w:asciiTheme="minorHAnsi" w:hAnsiTheme="minorHAnsi"/>
              </w:rPr>
              <w:t>0.4</w:t>
            </w:r>
          </w:p>
        </w:tc>
        <w:tc>
          <w:tcPr>
            <w:tcW w:w="1620" w:type="dxa"/>
          </w:tcPr>
          <w:p w14:paraId="2EE8DFAD" w14:textId="77777777" w:rsidR="00724BAB" w:rsidRPr="008B4098" w:rsidRDefault="00724BAB" w:rsidP="00E566F7">
            <w:pPr>
              <w:pStyle w:val="NoSpacing"/>
              <w:rPr>
                <w:rFonts w:asciiTheme="minorHAnsi" w:hAnsiTheme="minorHAnsi"/>
              </w:rPr>
            </w:pPr>
            <w:r w:rsidRPr="008B4098">
              <w:rPr>
                <w:rFonts w:asciiTheme="minorHAnsi" w:hAnsiTheme="minorHAnsi"/>
              </w:rPr>
              <w:t>2.3</w:t>
            </w:r>
          </w:p>
        </w:tc>
        <w:tc>
          <w:tcPr>
            <w:tcW w:w="1980" w:type="dxa"/>
            <w:shd w:val="clear" w:color="auto" w:fill="auto"/>
          </w:tcPr>
          <w:p w14:paraId="36D9AFC3" w14:textId="77777777" w:rsidR="00724BAB" w:rsidRPr="008B4098" w:rsidRDefault="00724BAB" w:rsidP="00E566F7">
            <w:pPr>
              <w:pStyle w:val="NoSpacing"/>
              <w:rPr>
                <w:rFonts w:asciiTheme="minorHAnsi" w:hAnsiTheme="minorHAnsi"/>
              </w:rPr>
            </w:pPr>
            <w:r w:rsidRPr="008B4098">
              <w:rPr>
                <w:rFonts w:asciiTheme="minorHAnsi" w:hAnsiTheme="minorHAnsi"/>
              </w:rPr>
              <w:t>1.6</w:t>
            </w:r>
          </w:p>
        </w:tc>
      </w:tr>
      <w:tr w:rsidR="00724BAB" w:rsidRPr="008B4098" w14:paraId="23DB5174" w14:textId="77777777" w:rsidTr="00E566F7">
        <w:tc>
          <w:tcPr>
            <w:tcW w:w="2430" w:type="dxa"/>
            <w:shd w:val="clear" w:color="auto" w:fill="auto"/>
          </w:tcPr>
          <w:p w14:paraId="0FDFB9E5" w14:textId="77777777" w:rsidR="00724BAB" w:rsidRPr="008B4098" w:rsidRDefault="00724BAB" w:rsidP="00E566F7">
            <w:pPr>
              <w:pStyle w:val="NoSpacing"/>
              <w:rPr>
                <w:rFonts w:asciiTheme="minorHAnsi" w:hAnsiTheme="minorHAnsi"/>
              </w:rPr>
            </w:pPr>
            <w:r w:rsidRPr="008B4098">
              <w:rPr>
                <w:rFonts w:asciiTheme="minorHAnsi" w:hAnsiTheme="minorHAnsi"/>
              </w:rPr>
              <w:t>Agriculture</w:t>
            </w:r>
          </w:p>
        </w:tc>
        <w:tc>
          <w:tcPr>
            <w:tcW w:w="1530" w:type="dxa"/>
            <w:shd w:val="clear" w:color="auto" w:fill="auto"/>
          </w:tcPr>
          <w:p w14:paraId="14EB45E2" w14:textId="77777777" w:rsidR="00724BAB" w:rsidRPr="008B4098" w:rsidRDefault="00724BAB" w:rsidP="00E566F7">
            <w:pPr>
              <w:pStyle w:val="NoSpacing"/>
              <w:rPr>
                <w:rFonts w:asciiTheme="minorHAnsi" w:hAnsiTheme="minorHAnsi"/>
              </w:rPr>
            </w:pPr>
            <w:r w:rsidRPr="008B4098">
              <w:rPr>
                <w:rFonts w:asciiTheme="minorHAnsi" w:hAnsiTheme="minorHAnsi"/>
              </w:rPr>
              <w:t>0.2</w:t>
            </w:r>
          </w:p>
        </w:tc>
        <w:tc>
          <w:tcPr>
            <w:tcW w:w="1890" w:type="dxa"/>
          </w:tcPr>
          <w:p w14:paraId="20E4B1B7" w14:textId="77777777" w:rsidR="00724BAB" w:rsidRPr="008B4098" w:rsidRDefault="00724BAB" w:rsidP="00E566F7">
            <w:pPr>
              <w:pStyle w:val="NoSpacing"/>
              <w:rPr>
                <w:rFonts w:asciiTheme="minorHAnsi" w:hAnsiTheme="minorHAnsi"/>
              </w:rPr>
            </w:pPr>
            <w:r w:rsidRPr="008B4098">
              <w:rPr>
                <w:rFonts w:asciiTheme="minorHAnsi" w:hAnsiTheme="minorHAnsi"/>
              </w:rPr>
              <w:t>0.2</w:t>
            </w:r>
          </w:p>
        </w:tc>
        <w:tc>
          <w:tcPr>
            <w:tcW w:w="1620" w:type="dxa"/>
          </w:tcPr>
          <w:p w14:paraId="00827F51" w14:textId="77777777" w:rsidR="00724BAB" w:rsidRPr="008B4098" w:rsidRDefault="00724BAB" w:rsidP="00E566F7">
            <w:pPr>
              <w:pStyle w:val="NoSpacing"/>
              <w:rPr>
                <w:rFonts w:asciiTheme="minorHAnsi" w:hAnsiTheme="minorHAnsi"/>
              </w:rPr>
            </w:pPr>
            <w:r w:rsidRPr="008B4098">
              <w:rPr>
                <w:rFonts w:asciiTheme="minorHAnsi" w:hAnsiTheme="minorHAnsi"/>
              </w:rPr>
              <w:t>1.3</w:t>
            </w:r>
          </w:p>
        </w:tc>
        <w:tc>
          <w:tcPr>
            <w:tcW w:w="1980" w:type="dxa"/>
            <w:shd w:val="clear" w:color="auto" w:fill="auto"/>
          </w:tcPr>
          <w:p w14:paraId="295B04FE" w14:textId="77777777" w:rsidR="00724BAB" w:rsidRPr="008B4098" w:rsidRDefault="00724BAB" w:rsidP="00E566F7">
            <w:pPr>
              <w:pStyle w:val="NoSpacing"/>
              <w:rPr>
                <w:rFonts w:asciiTheme="minorHAnsi" w:hAnsiTheme="minorHAnsi"/>
              </w:rPr>
            </w:pPr>
            <w:r w:rsidRPr="008B4098">
              <w:rPr>
                <w:rFonts w:asciiTheme="minorHAnsi" w:hAnsiTheme="minorHAnsi"/>
              </w:rPr>
              <w:t>1.0</w:t>
            </w:r>
          </w:p>
        </w:tc>
      </w:tr>
      <w:tr w:rsidR="00724BAB" w:rsidRPr="008B4098" w14:paraId="37CFABF3" w14:textId="77777777" w:rsidTr="00E566F7">
        <w:tc>
          <w:tcPr>
            <w:tcW w:w="2430" w:type="dxa"/>
            <w:shd w:val="clear" w:color="auto" w:fill="auto"/>
          </w:tcPr>
          <w:p w14:paraId="2FD09191" w14:textId="77777777" w:rsidR="00724BAB" w:rsidRPr="008B4098" w:rsidRDefault="00724BAB" w:rsidP="00E566F7">
            <w:pPr>
              <w:pStyle w:val="NoSpacing"/>
              <w:rPr>
                <w:rFonts w:asciiTheme="minorHAnsi" w:hAnsiTheme="minorHAnsi"/>
              </w:rPr>
            </w:pPr>
            <w:r w:rsidRPr="008B4098">
              <w:rPr>
                <w:rFonts w:asciiTheme="minorHAnsi" w:hAnsiTheme="minorHAnsi"/>
              </w:rPr>
              <w:t>Other</w:t>
            </w:r>
          </w:p>
        </w:tc>
        <w:tc>
          <w:tcPr>
            <w:tcW w:w="1530" w:type="dxa"/>
            <w:shd w:val="clear" w:color="auto" w:fill="auto"/>
          </w:tcPr>
          <w:p w14:paraId="6F6D2F44" w14:textId="77777777" w:rsidR="00724BAB" w:rsidRPr="008B4098" w:rsidRDefault="00724BAB" w:rsidP="00E566F7">
            <w:pPr>
              <w:pStyle w:val="NoSpacing"/>
              <w:rPr>
                <w:rFonts w:asciiTheme="minorHAnsi" w:hAnsiTheme="minorHAnsi"/>
              </w:rPr>
            </w:pPr>
            <w:r w:rsidRPr="008B4098">
              <w:rPr>
                <w:rFonts w:asciiTheme="minorHAnsi" w:hAnsiTheme="minorHAnsi"/>
              </w:rPr>
              <w:t>0.3</w:t>
            </w:r>
          </w:p>
        </w:tc>
        <w:tc>
          <w:tcPr>
            <w:tcW w:w="1890" w:type="dxa"/>
          </w:tcPr>
          <w:p w14:paraId="4ABB461E" w14:textId="77777777" w:rsidR="00724BAB" w:rsidRPr="008B4098" w:rsidRDefault="00724BAB" w:rsidP="00E566F7">
            <w:pPr>
              <w:pStyle w:val="NoSpacing"/>
              <w:rPr>
                <w:rFonts w:asciiTheme="minorHAnsi" w:hAnsiTheme="minorHAnsi"/>
              </w:rPr>
            </w:pPr>
            <w:r w:rsidRPr="008B4098">
              <w:rPr>
                <w:rFonts w:asciiTheme="minorHAnsi" w:hAnsiTheme="minorHAnsi"/>
              </w:rPr>
              <w:t>0.2</w:t>
            </w:r>
          </w:p>
        </w:tc>
        <w:tc>
          <w:tcPr>
            <w:tcW w:w="1620" w:type="dxa"/>
          </w:tcPr>
          <w:p w14:paraId="0D7DB941" w14:textId="77777777" w:rsidR="00724BAB" w:rsidRPr="008B4098" w:rsidRDefault="00724BAB" w:rsidP="00E566F7">
            <w:pPr>
              <w:pStyle w:val="NoSpacing"/>
              <w:rPr>
                <w:rFonts w:asciiTheme="minorHAnsi" w:hAnsiTheme="minorHAnsi"/>
              </w:rPr>
            </w:pPr>
            <w:r w:rsidRPr="008B4098">
              <w:rPr>
                <w:rFonts w:asciiTheme="minorHAnsi" w:hAnsiTheme="minorHAnsi"/>
              </w:rPr>
              <w:t>2.0</w:t>
            </w:r>
          </w:p>
        </w:tc>
        <w:tc>
          <w:tcPr>
            <w:tcW w:w="1980" w:type="dxa"/>
            <w:shd w:val="clear" w:color="auto" w:fill="auto"/>
          </w:tcPr>
          <w:p w14:paraId="2B38A99D" w14:textId="77777777" w:rsidR="00724BAB" w:rsidRPr="008B4098" w:rsidRDefault="00724BAB" w:rsidP="00E566F7">
            <w:pPr>
              <w:pStyle w:val="NoSpacing"/>
              <w:rPr>
                <w:rFonts w:asciiTheme="minorHAnsi" w:hAnsiTheme="minorHAnsi"/>
              </w:rPr>
            </w:pPr>
            <w:r w:rsidRPr="008B4098">
              <w:rPr>
                <w:rFonts w:asciiTheme="minorHAnsi" w:hAnsiTheme="minorHAnsi"/>
              </w:rPr>
              <w:t>1.4</w:t>
            </w:r>
          </w:p>
        </w:tc>
      </w:tr>
      <w:tr w:rsidR="00724BAB" w:rsidRPr="008B4098" w14:paraId="04022B95" w14:textId="77777777" w:rsidTr="00E566F7">
        <w:tc>
          <w:tcPr>
            <w:tcW w:w="9450" w:type="dxa"/>
            <w:gridSpan w:val="5"/>
            <w:tcBorders>
              <w:top w:val="single" w:sz="4" w:space="0" w:color="auto"/>
            </w:tcBorders>
          </w:tcPr>
          <w:p w14:paraId="350460CB" w14:textId="77777777" w:rsidR="00724BAB" w:rsidRPr="008B4098" w:rsidRDefault="00724BAB" w:rsidP="00E566F7">
            <w:pPr>
              <w:pStyle w:val="NoSpacing"/>
              <w:spacing w:after="240"/>
              <w:rPr>
                <w:rFonts w:asciiTheme="minorHAnsi" w:hAnsiTheme="minorHAnsi"/>
                <w:sz w:val="20"/>
                <w:szCs w:val="20"/>
              </w:rPr>
            </w:pPr>
            <w:r w:rsidRPr="008B4098">
              <w:rPr>
                <w:rFonts w:asciiTheme="minorHAnsi" w:hAnsiTheme="minorHAnsi"/>
                <w:i/>
                <w:sz w:val="20"/>
                <w:szCs w:val="20"/>
              </w:rPr>
              <w:t>Source</w:t>
            </w:r>
            <w:r w:rsidRPr="008B4098">
              <w:rPr>
                <w:rFonts w:asciiTheme="minorHAnsi" w:hAnsiTheme="minorHAnsi"/>
                <w:sz w:val="20"/>
                <w:szCs w:val="20"/>
              </w:rPr>
              <w:t xml:space="preserve">: Calculations based on GLSS5 and GLSS6. </w:t>
            </w:r>
          </w:p>
        </w:tc>
      </w:tr>
    </w:tbl>
    <w:p w14:paraId="624EB2D1" w14:textId="77777777" w:rsidR="000A09C9" w:rsidRPr="000A09C9" w:rsidRDefault="000A09C9" w:rsidP="000A09C9">
      <w:pPr>
        <w:pStyle w:val="ListParagraph"/>
        <w:numPr>
          <w:ilvl w:val="0"/>
          <w:numId w:val="0"/>
        </w:numPr>
      </w:pPr>
    </w:p>
    <w:p w14:paraId="002EE4E8" w14:textId="77777777" w:rsidR="00724BAB" w:rsidRPr="00A10065" w:rsidRDefault="00724BAB" w:rsidP="00724BAB">
      <w:pPr>
        <w:pStyle w:val="ListParagraph"/>
        <w:numPr>
          <w:ilvl w:val="0"/>
          <w:numId w:val="13"/>
        </w:numPr>
      </w:pPr>
      <w:r w:rsidRPr="00A10065">
        <w:rPr>
          <w:b/>
        </w:rPr>
        <w:t xml:space="preserve">The </w:t>
      </w:r>
      <w:r>
        <w:rPr>
          <w:b/>
        </w:rPr>
        <w:t xml:space="preserve">rapid </w:t>
      </w:r>
      <w:r w:rsidRPr="00A10065">
        <w:rPr>
          <w:b/>
        </w:rPr>
        <w:t xml:space="preserve">growth of the wage bill </w:t>
      </w:r>
      <w:r>
        <w:rPr>
          <w:b/>
        </w:rPr>
        <w:t>reflects</w:t>
      </w:r>
      <w:r w:rsidRPr="00A10065">
        <w:rPr>
          <w:b/>
        </w:rPr>
        <w:t xml:space="preserve"> long-term trends in public employment </w:t>
      </w:r>
      <w:r>
        <w:rPr>
          <w:b/>
        </w:rPr>
        <w:t xml:space="preserve">dynamics </w:t>
      </w:r>
      <w:r w:rsidRPr="00A10065">
        <w:rPr>
          <w:b/>
        </w:rPr>
        <w:t>and public sector wage rates.</w:t>
      </w:r>
      <w:r w:rsidRPr="00A10065">
        <w:t xml:space="preserve"> The wage bill rose from 3.9 percent of GDP in 2000 to </w:t>
      </w:r>
      <w:r w:rsidRPr="00A10065">
        <w:lastRenderedPageBreak/>
        <w:t>4.7 percent in 2004, 6.6 percent in 2008</w:t>
      </w:r>
      <w:r w:rsidR="00195944">
        <w:t>,</w:t>
      </w:r>
      <w:r w:rsidRPr="00A10065">
        <w:t xml:space="preserve"> and 11.4 percent in 2012.</w:t>
      </w:r>
      <w:r w:rsidRPr="00A10065">
        <w:rPr>
          <w:rStyle w:val="FootnoteReference"/>
        </w:rPr>
        <w:footnoteReference w:id="77"/>
      </w:r>
      <w:r w:rsidRPr="00A10065">
        <w:t xml:space="preserve"> As the size of the public sector workforce grew from 371,000 in 2000 to 487,000 in 2008, the wage bill expanded from less than a third of public revenue to well over half</w:t>
      </w:r>
      <w:r w:rsidRPr="001D5117">
        <w:t xml:space="preserve">. By 2015, the size of the public sector workforce had reached an estimated 519,000. </w:t>
      </w:r>
      <w:r w:rsidR="00195944">
        <w:t>Its</w:t>
      </w:r>
      <w:r w:rsidR="00195944" w:rsidRPr="001D5117">
        <w:t xml:space="preserve"> </w:t>
      </w:r>
      <w:r w:rsidRPr="001D5117">
        <w:t>growth was driven largely, albeit not exclusively, by the public education and health sectors. By 2011</w:t>
      </w:r>
      <w:r w:rsidR="003A4EDF">
        <w:t>,</w:t>
      </w:r>
      <w:r w:rsidRPr="001D5117">
        <w:t xml:space="preserve"> Ghana’s public sector workforce was large by regional standards</w:t>
      </w:r>
      <w:r w:rsidR="003A4EDF">
        <w:t>.</w:t>
      </w:r>
      <w:r w:rsidRPr="001D5117">
        <w:t xml:space="preserve"> However, rising wages in the education and health sectors</w:t>
      </w:r>
      <w:r w:rsidRPr="00A10065">
        <w:t xml:space="preserve"> </w:t>
      </w:r>
      <w:r>
        <w:t>intensified</w:t>
      </w:r>
      <w:r w:rsidRPr="00A10065">
        <w:t xml:space="preserve"> pressure on the wage bill (</w:t>
      </w:r>
      <w:r w:rsidRPr="00A10065">
        <w:fldChar w:fldCharType="begin"/>
      </w:r>
      <w:r w:rsidRPr="00A10065">
        <w:instrText xml:space="preserve"> REF _Ref470189217 \h </w:instrText>
      </w:r>
      <w:r w:rsidRPr="00A10065">
        <w:fldChar w:fldCharType="separate"/>
      </w:r>
      <w:r w:rsidR="007B1CE6" w:rsidRPr="00275FDB">
        <w:t xml:space="preserve">Table </w:t>
      </w:r>
      <w:r w:rsidR="007B1CE6">
        <w:rPr>
          <w:noProof/>
        </w:rPr>
        <w:t>3</w:t>
      </w:r>
      <w:r w:rsidR="007B1CE6" w:rsidRPr="00275FDB">
        <w:t>.</w:t>
      </w:r>
      <w:r w:rsidR="007B1CE6">
        <w:rPr>
          <w:noProof/>
        </w:rPr>
        <w:t>3</w:t>
      </w:r>
      <w:r w:rsidRPr="00A10065">
        <w:fldChar w:fldCharType="end"/>
      </w:r>
      <w:r w:rsidRPr="00A10065">
        <w:t>)</w:t>
      </w:r>
      <w:r>
        <w:t>. Meanw</w:t>
      </w:r>
      <w:r w:rsidRPr="00A10065">
        <w:t>hile</w:t>
      </w:r>
      <w:r>
        <w:t>,</w:t>
      </w:r>
      <w:r w:rsidRPr="00A10065">
        <w:t xml:space="preserve"> individual remuneration and allowances increased across the public administration, particularly in agencies fina</w:t>
      </w:r>
      <w:r>
        <w:t>n</w:t>
      </w:r>
      <w:r w:rsidRPr="00A10065">
        <w:t xml:space="preserve">ced </w:t>
      </w:r>
      <w:r w:rsidRPr="00A37553">
        <w:t>from</w:t>
      </w:r>
      <w:r>
        <w:t xml:space="preserve"> </w:t>
      </w:r>
      <w:r w:rsidRPr="00A10065">
        <w:t xml:space="preserve">the Consolidated Fund. </w:t>
      </w:r>
      <w:r>
        <w:t>I</w:t>
      </w:r>
      <w:r w:rsidRPr="00A10065">
        <w:t xml:space="preserve">ndividual remuneration </w:t>
      </w:r>
      <w:r>
        <w:t xml:space="preserve">in these agencies </w:t>
      </w:r>
      <w:r w:rsidRPr="00A10065">
        <w:t>grew seventeen-fold</w:t>
      </w:r>
      <w:r>
        <w:t>,</w:t>
      </w:r>
      <w:r w:rsidRPr="00A10065">
        <w:t xml:space="preserve"> and allowances, which more than doubled, now exceed the median salaries of workers in other branches of the public sector.</w:t>
      </w:r>
    </w:p>
    <w:p w14:paraId="221037C1" w14:textId="77777777" w:rsidR="00724BAB" w:rsidRPr="00275FDB" w:rsidRDefault="00724BAB" w:rsidP="00724BAB">
      <w:pPr>
        <w:pStyle w:val="Caption"/>
        <w:rPr>
          <w:lang w:val="en-US"/>
        </w:rPr>
      </w:pPr>
      <w:bookmarkStart w:id="116" w:name="_Ref470189217"/>
      <w:bookmarkStart w:id="117" w:name="_Toc478837640"/>
      <w:r w:rsidRPr="00275FDB">
        <w:rPr>
          <w:lang w:val="en-US"/>
        </w:rPr>
        <w:t xml:space="preserve">Table </w:t>
      </w:r>
      <w:r w:rsidR="00500291" w:rsidRPr="00275FDB">
        <w:rPr>
          <w:lang w:val="en-US"/>
        </w:rPr>
        <w:fldChar w:fldCharType="begin"/>
      </w:r>
      <w:r w:rsidR="00500291" w:rsidRPr="00275FDB">
        <w:rPr>
          <w:lang w:val="en-US"/>
        </w:rPr>
        <w:instrText xml:space="preserve"> STYLEREF 1 \s </w:instrText>
      </w:r>
      <w:r w:rsidR="00500291" w:rsidRPr="00275FDB">
        <w:rPr>
          <w:lang w:val="en-US"/>
        </w:rPr>
        <w:fldChar w:fldCharType="separate"/>
      </w:r>
      <w:r w:rsidR="007B1CE6">
        <w:rPr>
          <w:noProof/>
          <w:lang w:val="en-US"/>
        </w:rPr>
        <w:t>3</w:t>
      </w:r>
      <w:r w:rsidR="00500291" w:rsidRPr="00275FDB">
        <w:rPr>
          <w:lang w:val="en-US"/>
        </w:rPr>
        <w:fldChar w:fldCharType="end"/>
      </w:r>
      <w:r w:rsidR="00500291" w:rsidRPr="00275FDB">
        <w:rPr>
          <w:lang w:val="en-US"/>
        </w:rPr>
        <w:t>.</w:t>
      </w:r>
      <w:r w:rsidR="00500291" w:rsidRPr="00275FDB">
        <w:rPr>
          <w:lang w:val="en-US"/>
        </w:rPr>
        <w:fldChar w:fldCharType="begin"/>
      </w:r>
      <w:r w:rsidR="00500291" w:rsidRPr="00275FDB">
        <w:rPr>
          <w:lang w:val="en-US"/>
        </w:rPr>
        <w:instrText xml:space="preserve"> SEQ Table \* ARABIC \s 1 </w:instrText>
      </w:r>
      <w:r w:rsidR="00500291" w:rsidRPr="00275FDB">
        <w:rPr>
          <w:lang w:val="en-US"/>
        </w:rPr>
        <w:fldChar w:fldCharType="separate"/>
      </w:r>
      <w:r w:rsidR="007B1CE6">
        <w:rPr>
          <w:noProof/>
          <w:lang w:val="en-US"/>
        </w:rPr>
        <w:t>3</w:t>
      </w:r>
      <w:r w:rsidR="00500291" w:rsidRPr="00275FDB">
        <w:rPr>
          <w:lang w:val="en-US"/>
        </w:rPr>
        <w:fldChar w:fldCharType="end"/>
      </w:r>
      <w:bookmarkEnd w:id="116"/>
      <w:r w:rsidRPr="00275FDB">
        <w:rPr>
          <w:lang w:val="en-US"/>
        </w:rPr>
        <w:t>: Hourly Wages across Different Branches of the Public Sector (GH¢)</w:t>
      </w:r>
      <w:bookmarkEnd w:id="117"/>
    </w:p>
    <w:tbl>
      <w:tblPr>
        <w:tblW w:w="7632" w:type="dxa"/>
        <w:jc w:val="center"/>
        <w:tblLook w:val="04A0" w:firstRow="1" w:lastRow="0" w:firstColumn="1" w:lastColumn="0" w:noHBand="0" w:noVBand="1"/>
      </w:tblPr>
      <w:tblGrid>
        <w:gridCol w:w="2430"/>
        <w:gridCol w:w="1242"/>
        <w:gridCol w:w="1350"/>
        <w:gridCol w:w="1080"/>
        <w:gridCol w:w="1530"/>
      </w:tblGrid>
      <w:tr w:rsidR="00724BAB" w:rsidRPr="008B4098" w14:paraId="526C0191" w14:textId="77777777" w:rsidTr="008B4098">
        <w:trPr>
          <w:trHeight w:val="215"/>
          <w:jc w:val="center"/>
        </w:trPr>
        <w:tc>
          <w:tcPr>
            <w:tcW w:w="2430" w:type="dxa"/>
            <w:tcBorders>
              <w:top w:val="single" w:sz="4" w:space="0" w:color="auto"/>
            </w:tcBorders>
            <w:shd w:val="clear" w:color="auto" w:fill="auto"/>
          </w:tcPr>
          <w:p w14:paraId="6337A5AE" w14:textId="77777777" w:rsidR="00724BAB" w:rsidRPr="008B4098" w:rsidRDefault="00724BAB" w:rsidP="00E566F7">
            <w:pPr>
              <w:pStyle w:val="NoSpacing"/>
              <w:rPr>
                <w:rFonts w:asciiTheme="minorHAnsi" w:hAnsiTheme="minorHAnsi"/>
              </w:rPr>
            </w:pPr>
          </w:p>
        </w:tc>
        <w:tc>
          <w:tcPr>
            <w:tcW w:w="2592" w:type="dxa"/>
            <w:gridSpan w:val="2"/>
            <w:tcBorders>
              <w:top w:val="single" w:sz="4" w:space="0" w:color="auto"/>
            </w:tcBorders>
            <w:shd w:val="clear" w:color="auto" w:fill="auto"/>
          </w:tcPr>
          <w:p w14:paraId="68DBDFC5" w14:textId="77777777" w:rsidR="00724BAB" w:rsidRPr="008B4098" w:rsidRDefault="00724BAB" w:rsidP="008B4098">
            <w:pPr>
              <w:pStyle w:val="NoSpacing"/>
              <w:jc w:val="center"/>
              <w:rPr>
                <w:rFonts w:asciiTheme="minorHAnsi" w:hAnsiTheme="minorHAnsi"/>
              </w:rPr>
            </w:pPr>
            <w:r w:rsidRPr="008B4098">
              <w:rPr>
                <w:rFonts w:asciiTheme="minorHAnsi" w:hAnsiTheme="minorHAnsi"/>
              </w:rPr>
              <w:t>2005/06</w:t>
            </w:r>
          </w:p>
        </w:tc>
        <w:tc>
          <w:tcPr>
            <w:tcW w:w="2610" w:type="dxa"/>
            <w:gridSpan w:val="2"/>
            <w:tcBorders>
              <w:top w:val="single" w:sz="4" w:space="0" w:color="auto"/>
            </w:tcBorders>
          </w:tcPr>
          <w:p w14:paraId="5624876B" w14:textId="77777777" w:rsidR="00724BAB" w:rsidRPr="008B4098" w:rsidRDefault="00724BAB" w:rsidP="008B4098">
            <w:pPr>
              <w:pStyle w:val="NoSpacing"/>
              <w:jc w:val="center"/>
              <w:rPr>
                <w:rFonts w:asciiTheme="minorHAnsi" w:hAnsiTheme="minorHAnsi"/>
              </w:rPr>
            </w:pPr>
            <w:r w:rsidRPr="008B4098">
              <w:rPr>
                <w:rFonts w:asciiTheme="minorHAnsi" w:hAnsiTheme="minorHAnsi"/>
              </w:rPr>
              <w:t>2012/13</w:t>
            </w:r>
          </w:p>
        </w:tc>
      </w:tr>
      <w:tr w:rsidR="00724BAB" w:rsidRPr="008B4098" w14:paraId="598A07F3" w14:textId="77777777" w:rsidTr="008B4098">
        <w:trPr>
          <w:trHeight w:val="126"/>
          <w:jc w:val="center"/>
        </w:trPr>
        <w:tc>
          <w:tcPr>
            <w:tcW w:w="2430" w:type="dxa"/>
            <w:tcBorders>
              <w:bottom w:val="single" w:sz="4" w:space="0" w:color="auto"/>
            </w:tcBorders>
            <w:shd w:val="clear" w:color="auto" w:fill="auto"/>
          </w:tcPr>
          <w:p w14:paraId="1484EE85" w14:textId="77777777" w:rsidR="00724BAB" w:rsidRPr="008B4098" w:rsidRDefault="00724BAB" w:rsidP="00E566F7">
            <w:pPr>
              <w:pStyle w:val="NoSpacing"/>
              <w:rPr>
                <w:rFonts w:asciiTheme="minorHAnsi" w:hAnsiTheme="minorHAnsi"/>
              </w:rPr>
            </w:pPr>
          </w:p>
        </w:tc>
        <w:tc>
          <w:tcPr>
            <w:tcW w:w="1242" w:type="dxa"/>
            <w:tcBorders>
              <w:bottom w:val="single" w:sz="4" w:space="0" w:color="auto"/>
            </w:tcBorders>
            <w:shd w:val="clear" w:color="auto" w:fill="auto"/>
          </w:tcPr>
          <w:p w14:paraId="4ABF2BCC" w14:textId="77777777" w:rsidR="00724BAB" w:rsidRPr="008B4098" w:rsidRDefault="00724BAB" w:rsidP="008B4098">
            <w:pPr>
              <w:pStyle w:val="NoSpacing"/>
              <w:jc w:val="center"/>
              <w:rPr>
                <w:rFonts w:asciiTheme="minorHAnsi" w:hAnsiTheme="minorHAnsi"/>
              </w:rPr>
            </w:pPr>
            <w:r w:rsidRPr="008B4098">
              <w:rPr>
                <w:rFonts w:asciiTheme="minorHAnsi" w:hAnsiTheme="minorHAnsi"/>
              </w:rPr>
              <w:t>Mean</w:t>
            </w:r>
          </w:p>
        </w:tc>
        <w:tc>
          <w:tcPr>
            <w:tcW w:w="1350" w:type="dxa"/>
            <w:tcBorders>
              <w:bottom w:val="single" w:sz="4" w:space="0" w:color="auto"/>
            </w:tcBorders>
          </w:tcPr>
          <w:p w14:paraId="230015E4" w14:textId="77777777" w:rsidR="00724BAB" w:rsidRPr="008B4098" w:rsidRDefault="00724BAB" w:rsidP="008B4098">
            <w:pPr>
              <w:pStyle w:val="NoSpacing"/>
              <w:jc w:val="center"/>
              <w:rPr>
                <w:rFonts w:asciiTheme="minorHAnsi" w:hAnsiTheme="minorHAnsi"/>
              </w:rPr>
            </w:pPr>
            <w:r w:rsidRPr="008B4098">
              <w:rPr>
                <w:rFonts w:asciiTheme="minorHAnsi" w:hAnsiTheme="minorHAnsi"/>
              </w:rPr>
              <w:t>Median</w:t>
            </w:r>
          </w:p>
        </w:tc>
        <w:tc>
          <w:tcPr>
            <w:tcW w:w="1080" w:type="dxa"/>
            <w:tcBorders>
              <w:bottom w:val="single" w:sz="4" w:space="0" w:color="auto"/>
            </w:tcBorders>
          </w:tcPr>
          <w:p w14:paraId="55548B11" w14:textId="77777777" w:rsidR="00724BAB" w:rsidRPr="008B4098" w:rsidRDefault="00724BAB" w:rsidP="008B4098">
            <w:pPr>
              <w:pStyle w:val="NoSpacing"/>
              <w:jc w:val="center"/>
              <w:rPr>
                <w:rFonts w:asciiTheme="minorHAnsi" w:hAnsiTheme="minorHAnsi"/>
              </w:rPr>
            </w:pPr>
            <w:r w:rsidRPr="008B4098">
              <w:rPr>
                <w:rFonts w:asciiTheme="minorHAnsi" w:hAnsiTheme="minorHAnsi"/>
              </w:rPr>
              <w:t>Mean</w:t>
            </w:r>
          </w:p>
        </w:tc>
        <w:tc>
          <w:tcPr>
            <w:tcW w:w="1530" w:type="dxa"/>
            <w:tcBorders>
              <w:bottom w:val="single" w:sz="4" w:space="0" w:color="auto"/>
            </w:tcBorders>
            <w:shd w:val="clear" w:color="auto" w:fill="auto"/>
          </w:tcPr>
          <w:p w14:paraId="2767F0B5" w14:textId="77777777" w:rsidR="00724BAB" w:rsidRPr="008B4098" w:rsidRDefault="00724BAB" w:rsidP="008B4098">
            <w:pPr>
              <w:pStyle w:val="NoSpacing"/>
              <w:jc w:val="center"/>
              <w:rPr>
                <w:rFonts w:asciiTheme="minorHAnsi" w:hAnsiTheme="minorHAnsi"/>
              </w:rPr>
            </w:pPr>
            <w:r w:rsidRPr="008B4098">
              <w:rPr>
                <w:rFonts w:asciiTheme="minorHAnsi" w:hAnsiTheme="minorHAnsi"/>
              </w:rPr>
              <w:t>Median</w:t>
            </w:r>
          </w:p>
        </w:tc>
      </w:tr>
      <w:tr w:rsidR="00724BAB" w:rsidRPr="008B4098" w14:paraId="08AF92D1" w14:textId="77777777" w:rsidTr="008B4098">
        <w:trPr>
          <w:jc w:val="center"/>
        </w:trPr>
        <w:tc>
          <w:tcPr>
            <w:tcW w:w="2430" w:type="dxa"/>
            <w:tcBorders>
              <w:top w:val="single" w:sz="4" w:space="0" w:color="auto"/>
            </w:tcBorders>
            <w:shd w:val="clear" w:color="auto" w:fill="auto"/>
          </w:tcPr>
          <w:p w14:paraId="1F5FD7F6" w14:textId="77777777" w:rsidR="00724BAB" w:rsidRPr="008B4098" w:rsidRDefault="00724BAB" w:rsidP="00E566F7">
            <w:pPr>
              <w:pStyle w:val="NoSpacing"/>
              <w:rPr>
                <w:rFonts w:asciiTheme="minorHAnsi" w:hAnsiTheme="minorHAnsi"/>
              </w:rPr>
            </w:pPr>
            <w:r w:rsidRPr="008B4098">
              <w:rPr>
                <w:rFonts w:asciiTheme="minorHAnsi" w:hAnsiTheme="minorHAnsi"/>
              </w:rPr>
              <w:t>Education</w:t>
            </w:r>
          </w:p>
        </w:tc>
        <w:tc>
          <w:tcPr>
            <w:tcW w:w="1242" w:type="dxa"/>
            <w:tcBorders>
              <w:top w:val="single" w:sz="4" w:space="0" w:color="auto"/>
            </w:tcBorders>
            <w:shd w:val="clear" w:color="auto" w:fill="auto"/>
          </w:tcPr>
          <w:p w14:paraId="3AECB44F" w14:textId="77777777" w:rsidR="00724BAB" w:rsidRPr="008B4098" w:rsidRDefault="00724BAB" w:rsidP="008B4098">
            <w:pPr>
              <w:pStyle w:val="NoSpacing"/>
              <w:jc w:val="center"/>
              <w:rPr>
                <w:rFonts w:asciiTheme="minorHAnsi" w:hAnsiTheme="minorHAnsi"/>
              </w:rPr>
            </w:pPr>
            <w:r w:rsidRPr="008B4098">
              <w:rPr>
                <w:rFonts w:asciiTheme="minorHAnsi" w:hAnsiTheme="minorHAnsi"/>
              </w:rPr>
              <w:t>0.6</w:t>
            </w:r>
          </w:p>
        </w:tc>
        <w:tc>
          <w:tcPr>
            <w:tcW w:w="1350" w:type="dxa"/>
            <w:tcBorders>
              <w:top w:val="single" w:sz="4" w:space="0" w:color="auto"/>
            </w:tcBorders>
          </w:tcPr>
          <w:p w14:paraId="25CE2087" w14:textId="77777777" w:rsidR="00724BAB" w:rsidRPr="008B4098" w:rsidRDefault="00724BAB" w:rsidP="008B4098">
            <w:pPr>
              <w:pStyle w:val="NoSpacing"/>
              <w:jc w:val="center"/>
              <w:rPr>
                <w:rFonts w:asciiTheme="minorHAnsi" w:hAnsiTheme="minorHAnsi"/>
              </w:rPr>
            </w:pPr>
            <w:r w:rsidRPr="008B4098">
              <w:rPr>
                <w:rFonts w:asciiTheme="minorHAnsi" w:hAnsiTheme="minorHAnsi"/>
              </w:rPr>
              <w:t>0.6</w:t>
            </w:r>
          </w:p>
        </w:tc>
        <w:tc>
          <w:tcPr>
            <w:tcW w:w="1080" w:type="dxa"/>
            <w:tcBorders>
              <w:top w:val="single" w:sz="4" w:space="0" w:color="auto"/>
            </w:tcBorders>
          </w:tcPr>
          <w:p w14:paraId="6FC2AF1C" w14:textId="77777777" w:rsidR="00724BAB" w:rsidRPr="008B4098" w:rsidRDefault="00724BAB" w:rsidP="008B4098">
            <w:pPr>
              <w:pStyle w:val="NoSpacing"/>
              <w:jc w:val="center"/>
              <w:rPr>
                <w:rFonts w:asciiTheme="minorHAnsi" w:hAnsiTheme="minorHAnsi"/>
              </w:rPr>
            </w:pPr>
            <w:r w:rsidRPr="008B4098">
              <w:rPr>
                <w:rFonts w:asciiTheme="minorHAnsi" w:hAnsiTheme="minorHAnsi"/>
              </w:rPr>
              <w:t>4.8</w:t>
            </w:r>
          </w:p>
        </w:tc>
        <w:tc>
          <w:tcPr>
            <w:tcW w:w="1530" w:type="dxa"/>
            <w:tcBorders>
              <w:top w:val="single" w:sz="4" w:space="0" w:color="auto"/>
            </w:tcBorders>
            <w:shd w:val="clear" w:color="auto" w:fill="auto"/>
          </w:tcPr>
          <w:p w14:paraId="1AC4BDBC" w14:textId="77777777" w:rsidR="00724BAB" w:rsidRPr="008B4098" w:rsidRDefault="00724BAB" w:rsidP="008B4098">
            <w:pPr>
              <w:pStyle w:val="NoSpacing"/>
              <w:jc w:val="center"/>
              <w:rPr>
                <w:rFonts w:asciiTheme="minorHAnsi" w:hAnsiTheme="minorHAnsi"/>
              </w:rPr>
            </w:pPr>
            <w:r w:rsidRPr="008B4098">
              <w:rPr>
                <w:rFonts w:asciiTheme="minorHAnsi" w:hAnsiTheme="minorHAnsi"/>
              </w:rPr>
              <w:t>4.4</w:t>
            </w:r>
          </w:p>
        </w:tc>
      </w:tr>
      <w:tr w:rsidR="00724BAB" w:rsidRPr="008B4098" w14:paraId="67D2D847" w14:textId="77777777" w:rsidTr="008B4098">
        <w:trPr>
          <w:jc w:val="center"/>
        </w:trPr>
        <w:tc>
          <w:tcPr>
            <w:tcW w:w="2430" w:type="dxa"/>
            <w:shd w:val="clear" w:color="auto" w:fill="auto"/>
          </w:tcPr>
          <w:p w14:paraId="52A01445" w14:textId="77777777" w:rsidR="00724BAB" w:rsidRPr="008B4098" w:rsidRDefault="00724BAB" w:rsidP="00E566F7">
            <w:pPr>
              <w:pStyle w:val="NoSpacing"/>
              <w:rPr>
                <w:rFonts w:asciiTheme="minorHAnsi" w:hAnsiTheme="minorHAnsi"/>
              </w:rPr>
            </w:pPr>
            <w:r w:rsidRPr="008B4098">
              <w:rPr>
                <w:rFonts w:asciiTheme="minorHAnsi" w:hAnsiTheme="minorHAnsi"/>
              </w:rPr>
              <w:t xml:space="preserve">Health </w:t>
            </w:r>
          </w:p>
        </w:tc>
        <w:tc>
          <w:tcPr>
            <w:tcW w:w="1242" w:type="dxa"/>
            <w:shd w:val="clear" w:color="auto" w:fill="auto"/>
          </w:tcPr>
          <w:p w14:paraId="62368BAF" w14:textId="77777777" w:rsidR="00724BAB" w:rsidRPr="008B4098" w:rsidRDefault="00724BAB" w:rsidP="008B4098">
            <w:pPr>
              <w:pStyle w:val="NoSpacing"/>
              <w:jc w:val="center"/>
              <w:rPr>
                <w:rFonts w:asciiTheme="minorHAnsi" w:hAnsiTheme="minorHAnsi"/>
              </w:rPr>
            </w:pPr>
            <w:r w:rsidRPr="008B4098">
              <w:rPr>
                <w:rFonts w:asciiTheme="minorHAnsi" w:hAnsiTheme="minorHAnsi"/>
              </w:rPr>
              <w:t>0.5</w:t>
            </w:r>
          </w:p>
        </w:tc>
        <w:tc>
          <w:tcPr>
            <w:tcW w:w="1350" w:type="dxa"/>
          </w:tcPr>
          <w:p w14:paraId="619992A3" w14:textId="77777777" w:rsidR="00724BAB" w:rsidRPr="008B4098" w:rsidRDefault="00724BAB" w:rsidP="008B4098">
            <w:pPr>
              <w:pStyle w:val="NoSpacing"/>
              <w:jc w:val="center"/>
              <w:rPr>
                <w:rFonts w:asciiTheme="minorHAnsi" w:hAnsiTheme="minorHAnsi"/>
              </w:rPr>
            </w:pPr>
            <w:r w:rsidRPr="008B4098">
              <w:rPr>
                <w:rFonts w:asciiTheme="minorHAnsi" w:hAnsiTheme="minorHAnsi"/>
              </w:rPr>
              <w:t>0.5</w:t>
            </w:r>
          </w:p>
        </w:tc>
        <w:tc>
          <w:tcPr>
            <w:tcW w:w="1080" w:type="dxa"/>
          </w:tcPr>
          <w:p w14:paraId="5B9B5DCA" w14:textId="77777777" w:rsidR="00724BAB" w:rsidRPr="008B4098" w:rsidRDefault="00724BAB" w:rsidP="008B4098">
            <w:pPr>
              <w:pStyle w:val="NoSpacing"/>
              <w:jc w:val="center"/>
              <w:rPr>
                <w:rFonts w:asciiTheme="minorHAnsi" w:hAnsiTheme="minorHAnsi"/>
              </w:rPr>
            </w:pPr>
            <w:r w:rsidRPr="008B4098">
              <w:rPr>
                <w:rFonts w:asciiTheme="minorHAnsi" w:hAnsiTheme="minorHAnsi"/>
              </w:rPr>
              <w:t>3.9</w:t>
            </w:r>
          </w:p>
        </w:tc>
        <w:tc>
          <w:tcPr>
            <w:tcW w:w="1530" w:type="dxa"/>
            <w:shd w:val="clear" w:color="auto" w:fill="auto"/>
          </w:tcPr>
          <w:p w14:paraId="726A01C5" w14:textId="77777777" w:rsidR="00724BAB" w:rsidRPr="008B4098" w:rsidRDefault="00724BAB" w:rsidP="008B4098">
            <w:pPr>
              <w:pStyle w:val="NoSpacing"/>
              <w:jc w:val="center"/>
              <w:rPr>
                <w:rFonts w:asciiTheme="minorHAnsi" w:hAnsiTheme="minorHAnsi"/>
              </w:rPr>
            </w:pPr>
            <w:r w:rsidRPr="008B4098">
              <w:rPr>
                <w:rFonts w:asciiTheme="minorHAnsi" w:hAnsiTheme="minorHAnsi"/>
              </w:rPr>
              <w:t>3.5</w:t>
            </w:r>
          </w:p>
        </w:tc>
      </w:tr>
      <w:tr w:rsidR="00724BAB" w:rsidRPr="008B4098" w14:paraId="6D116AC4" w14:textId="77777777" w:rsidTr="008B4098">
        <w:trPr>
          <w:jc w:val="center"/>
        </w:trPr>
        <w:tc>
          <w:tcPr>
            <w:tcW w:w="2430" w:type="dxa"/>
            <w:shd w:val="clear" w:color="auto" w:fill="auto"/>
          </w:tcPr>
          <w:p w14:paraId="1EC0036C" w14:textId="77777777" w:rsidR="00724BAB" w:rsidRPr="008B4098" w:rsidRDefault="00724BAB" w:rsidP="00E566F7">
            <w:pPr>
              <w:pStyle w:val="NoSpacing"/>
              <w:rPr>
                <w:rFonts w:asciiTheme="minorHAnsi" w:hAnsiTheme="minorHAnsi"/>
              </w:rPr>
            </w:pPr>
            <w:r w:rsidRPr="008B4098">
              <w:rPr>
                <w:rFonts w:asciiTheme="minorHAnsi" w:hAnsiTheme="minorHAnsi"/>
              </w:rPr>
              <w:t>Public Administration and Defense</w:t>
            </w:r>
          </w:p>
        </w:tc>
        <w:tc>
          <w:tcPr>
            <w:tcW w:w="1242" w:type="dxa"/>
            <w:shd w:val="clear" w:color="auto" w:fill="auto"/>
          </w:tcPr>
          <w:p w14:paraId="475001BA" w14:textId="77777777" w:rsidR="00724BAB" w:rsidRPr="008B4098" w:rsidRDefault="00724BAB" w:rsidP="008B4098">
            <w:pPr>
              <w:pStyle w:val="NoSpacing"/>
              <w:jc w:val="center"/>
              <w:rPr>
                <w:rFonts w:asciiTheme="minorHAnsi" w:hAnsiTheme="minorHAnsi"/>
              </w:rPr>
            </w:pPr>
            <w:r w:rsidRPr="008B4098">
              <w:rPr>
                <w:rFonts w:asciiTheme="minorHAnsi" w:hAnsiTheme="minorHAnsi"/>
              </w:rPr>
              <w:t>0.5</w:t>
            </w:r>
          </w:p>
        </w:tc>
        <w:tc>
          <w:tcPr>
            <w:tcW w:w="1350" w:type="dxa"/>
          </w:tcPr>
          <w:p w14:paraId="635F1EF3" w14:textId="77777777" w:rsidR="00724BAB" w:rsidRPr="008B4098" w:rsidRDefault="00724BAB" w:rsidP="008B4098">
            <w:pPr>
              <w:pStyle w:val="NoSpacing"/>
              <w:jc w:val="center"/>
              <w:rPr>
                <w:rFonts w:asciiTheme="minorHAnsi" w:hAnsiTheme="minorHAnsi"/>
              </w:rPr>
            </w:pPr>
            <w:r w:rsidRPr="008B4098">
              <w:rPr>
                <w:rFonts w:asciiTheme="minorHAnsi" w:hAnsiTheme="minorHAnsi"/>
              </w:rPr>
              <w:t>0.5</w:t>
            </w:r>
          </w:p>
        </w:tc>
        <w:tc>
          <w:tcPr>
            <w:tcW w:w="1080" w:type="dxa"/>
          </w:tcPr>
          <w:p w14:paraId="53333D13" w14:textId="77777777" w:rsidR="00724BAB" w:rsidRPr="008B4098" w:rsidRDefault="00724BAB" w:rsidP="008B4098">
            <w:pPr>
              <w:pStyle w:val="NoSpacing"/>
              <w:jc w:val="center"/>
              <w:rPr>
                <w:rFonts w:asciiTheme="minorHAnsi" w:hAnsiTheme="minorHAnsi"/>
              </w:rPr>
            </w:pPr>
            <w:r w:rsidRPr="008B4098">
              <w:rPr>
                <w:rFonts w:asciiTheme="minorHAnsi" w:hAnsiTheme="minorHAnsi"/>
              </w:rPr>
              <w:t>3.7</w:t>
            </w:r>
          </w:p>
        </w:tc>
        <w:tc>
          <w:tcPr>
            <w:tcW w:w="1530" w:type="dxa"/>
            <w:shd w:val="clear" w:color="auto" w:fill="auto"/>
          </w:tcPr>
          <w:p w14:paraId="6FBAD1D9" w14:textId="77777777" w:rsidR="00724BAB" w:rsidRPr="008B4098" w:rsidRDefault="00724BAB" w:rsidP="008B4098">
            <w:pPr>
              <w:pStyle w:val="NoSpacing"/>
              <w:jc w:val="center"/>
              <w:rPr>
                <w:rFonts w:asciiTheme="minorHAnsi" w:hAnsiTheme="minorHAnsi"/>
              </w:rPr>
            </w:pPr>
            <w:r w:rsidRPr="008B4098">
              <w:rPr>
                <w:rFonts w:asciiTheme="minorHAnsi" w:hAnsiTheme="minorHAnsi"/>
              </w:rPr>
              <w:t>3.5</w:t>
            </w:r>
          </w:p>
        </w:tc>
      </w:tr>
      <w:tr w:rsidR="00724BAB" w:rsidRPr="008B4098" w14:paraId="5E6C0953" w14:textId="77777777" w:rsidTr="008B4098">
        <w:trPr>
          <w:jc w:val="center"/>
        </w:trPr>
        <w:tc>
          <w:tcPr>
            <w:tcW w:w="2430" w:type="dxa"/>
            <w:shd w:val="clear" w:color="auto" w:fill="auto"/>
          </w:tcPr>
          <w:p w14:paraId="5039C1A3" w14:textId="77777777" w:rsidR="00724BAB" w:rsidRPr="008B4098" w:rsidRDefault="00724BAB" w:rsidP="00E566F7">
            <w:pPr>
              <w:pStyle w:val="NoSpacing"/>
              <w:rPr>
                <w:rFonts w:asciiTheme="minorHAnsi" w:hAnsiTheme="minorHAnsi"/>
              </w:rPr>
            </w:pPr>
            <w:r w:rsidRPr="008B4098">
              <w:rPr>
                <w:rFonts w:asciiTheme="minorHAnsi" w:hAnsiTheme="minorHAnsi"/>
              </w:rPr>
              <w:t>Other</w:t>
            </w:r>
          </w:p>
        </w:tc>
        <w:tc>
          <w:tcPr>
            <w:tcW w:w="1242" w:type="dxa"/>
            <w:shd w:val="clear" w:color="auto" w:fill="auto"/>
          </w:tcPr>
          <w:p w14:paraId="52C65B5D" w14:textId="77777777" w:rsidR="00724BAB" w:rsidRPr="008B4098" w:rsidRDefault="00724BAB" w:rsidP="008B4098">
            <w:pPr>
              <w:pStyle w:val="NoSpacing"/>
              <w:jc w:val="center"/>
              <w:rPr>
                <w:rFonts w:asciiTheme="minorHAnsi" w:hAnsiTheme="minorHAnsi"/>
              </w:rPr>
            </w:pPr>
            <w:r w:rsidRPr="008B4098">
              <w:rPr>
                <w:rFonts w:asciiTheme="minorHAnsi" w:hAnsiTheme="minorHAnsi"/>
              </w:rPr>
              <w:t>0.5</w:t>
            </w:r>
          </w:p>
        </w:tc>
        <w:tc>
          <w:tcPr>
            <w:tcW w:w="1350" w:type="dxa"/>
          </w:tcPr>
          <w:p w14:paraId="1EABCDC3" w14:textId="77777777" w:rsidR="00724BAB" w:rsidRPr="008B4098" w:rsidRDefault="00724BAB" w:rsidP="008B4098">
            <w:pPr>
              <w:pStyle w:val="NoSpacing"/>
              <w:jc w:val="center"/>
              <w:rPr>
                <w:rFonts w:asciiTheme="minorHAnsi" w:hAnsiTheme="minorHAnsi"/>
              </w:rPr>
            </w:pPr>
            <w:r w:rsidRPr="008B4098">
              <w:rPr>
                <w:rFonts w:asciiTheme="minorHAnsi" w:hAnsiTheme="minorHAnsi"/>
              </w:rPr>
              <w:t>0.4</w:t>
            </w:r>
          </w:p>
        </w:tc>
        <w:tc>
          <w:tcPr>
            <w:tcW w:w="1080" w:type="dxa"/>
          </w:tcPr>
          <w:p w14:paraId="4001768D" w14:textId="77777777" w:rsidR="00724BAB" w:rsidRPr="008B4098" w:rsidRDefault="00724BAB" w:rsidP="008B4098">
            <w:pPr>
              <w:pStyle w:val="NoSpacing"/>
              <w:jc w:val="center"/>
              <w:rPr>
                <w:rFonts w:asciiTheme="minorHAnsi" w:hAnsiTheme="minorHAnsi"/>
              </w:rPr>
            </w:pPr>
            <w:r w:rsidRPr="008B4098">
              <w:rPr>
                <w:rFonts w:asciiTheme="minorHAnsi" w:hAnsiTheme="minorHAnsi"/>
              </w:rPr>
              <w:t>3.0</w:t>
            </w:r>
          </w:p>
        </w:tc>
        <w:tc>
          <w:tcPr>
            <w:tcW w:w="1530" w:type="dxa"/>
            <w:shd w:val="clear" w:color="auto" w:fill="auto"/>
          </w:tcPr>
          <w:p w14:paraId="132DC85B" w14:textId="77777777" w:rsidR="00724BAB" w:rsidRPr="008B4098" w:rsidRDefault="00724BAB" w:rsidP="008B4098">
            <w:pPr>
              <w:pStyle w:val="NoSpacing"/>
              <w:jc w:val="center"/>
              <w:rPr>
                <w:rFonts w:asciiTheme="minorHAnsi" w:hAnsiTheme="minorHAnsi"/>
              </w:rPr>
            </w:pPr>
            <w:r w:rsidRPr="008B4098">
              <w:rPr>
                <w:rFonts w:asciiTheme="minorHAnsi" w:hAnsiTheme="minorHAnsi"/>
              </w:rPr>
              <w:t>2.5</w:t>
            </w:r>
          </w:p>
        </w:tc>
      </w:tr>
      <w:tr w:rsidR="00724BAB" w:rsidRPr="008B4098" w14:paraId="505D1BB2" w14:textId="77777777" w:rsidTr="008B4098">
        <w:trPr>
          <w:jc w:val="center"/>
        </w:trPr>
        <w:tc>
          <w:tcPr>
            <w:tcW w:w="7632" w:type="dxa"/>
            <w:gridSpan w:val="5"/>
            <w:tcBorders>
              <w:top w:val="single" w:sz="4" w:space="0" w:color="auto"/>
            </w:tcBorders>
          </w:tcPr>
          <w:p w14:paraId="71AE8CD1" w14:textId="77777777" w:rsidR="00724BAB" w:rsidRPr="008B4098" w:rsidRDefault="00724BAB" w:rsidP="00E566F7">
            <w:pPr>
              <w:pStyle w:val="NoSpacing"/>
              <w:spacing w:after="240"/>
              <w:rPr>
                <w:rFonts w:asciiTheme="minorHAnsi" w:hAnsiTheme="minorHAnsi"/>
                <w:sz w:val="20"/>
                <w:szCs w:val="20"/>
              </w:rPr>
            </w:pPr>
            <w:r w:rsidRPr="008B4098">
              <w:rPr>
                <w:rFonts w:asciiTheme="minorHAnsi" w:hAnsiTheme="minorHAnsi"/>
                <w:i/>
                <w:sz w:val="20"/>
                <w:szCs w:val="20"/>
              </w:rPr>
              <w:t>Source</w:t>
            </w:r>
            <w:r w:rsidRPr="008B4098">
              <w:rPr>
                <w:rFonts w:asciiTheme="minorHAnsi" w:hAnsiTheme="minorHAnsi"/>
                <w:sz w:val="20"/>
                <w:szCs w:val="20"/>
              </w:rPr>
              <w:t xml:space="preserve">: Calculations based on GLSS5 and GLSS6. </w:t>
            </w:r>
          </w:p>
        </w:tc>
      </w:tr>
    </w:tbl>
    <w:p w14:paraId="1EFC598D" w14:textId="0B642380" w:rsidR="00724BAB" w:rsidRPr="00A10065" w:rsidRDefault="00724BAB" w:rsidP="00724BAB">
      <w:pPr>
        <w:pStyle w:val="ListParagraph"/>
        <w:numPr>
          <w:ilvl w:val="0"/>
          <w:numId w:val="13"/>
        </w:numPr>
      </w:pPr>
      <w:r w:rsidRPr="00A10065">
        <w:rPr>
          <w:b/>
        </w:rPr>
        <w:t>The implementation of the SSSS was intended to restore equity in the pay structure, reduce distortions and disparities, and harmonize wage negotiations.</w:t>
      </w:r>
      <w:r w:rsidRPr="00A10065">
        <w:t xml:space="preserve"> However, these goals have been only partially achieved, while the wage bill has ballooned to unsustainable levels. Since the introduction of the SSSS</w:t>
      </w:r>
      <w:r w:rsidR="003A4EDF">
        <w:t>,</w:t>
      </w:r>
      <w:r w:rsidRPr="00A10065">
        <w:t xml:space="preserve"> wage dispersion increased both between the </w:t>
      </w:r>
      <w:r>
        <w:t xml:space="preserve">public and private sectors and </w:t>
      </w:r>
      <w:r w:rsidRPr="00A10065">
        <w:t>within different branches of the public sector (</w:t>
      </w:r>
      <w:r w:rsidRPr="00A10065">
        <w:fldChar w:fldCharType="begin"/>
      </w:r>
      <w:r w:rsidRPr="00A10065">
        <w:instrText xml:space="preserve"> REF _Ref470189236 \h </w:instrText>
      </w:r>
      <w:r w:rsidRPr="00A10065">
        <w:fldChar w:fldCharType="separate"/>
      </w:r>
      <w:r w:rsidR="007B1CE6" w:rsidRPr="00275FDB">
        <w:t xml:space="preserve">Table </w:t>
      </w:r>
      <w:r w:rsidR="007B1CE6">
        <w:rPr>
          <w:noProof/>
        </w:rPr>
        <w:t>3</w:t>
      </w:r>
      <w:r w:rsidR="007B1CE6" w:rsidRPr="00275FDB">
        <w:t>.</w:t>
      </w:r>
      <w:r w:rsidR="007B1CE6">
        <w:rPr>
          <w:noProof/>
        </w:rPr>
        <w:t>4</w:t>
      </w:r>
      <w:r w:rsidRPr="00A10065">
        <w:fldChar w:fldCharType="end"/>
      </w:r>
      <w:r w:rsidRPr="00A10065">
        <w:t>). The largest wage variations are observed in the public administration and health sectors, while the education sector displays the smallest wage variations.</w:t>
      </w:r>
    </w:p>
    <w:p w14:paraId="5204408D" w14:textId="77777777" w:rsidR="00724BAB" w:rsidRPr="00275FDB" w:rsidRDefault="00724BAB" w:rsidP="00724BAB">
      <w:pPr>
        <w:pStyle w:val="Caption"/>
        <w:rPr>
          <w:lang w:val="en-US"/>
        </w:rPr>
      </w:pPr>
      <w:bookmarkStart w:id="118" w:name="_Ref470189236"/>
      <w:bookmarkStart w:id="119" w:name="_Toc478837641"/>
      <w:r w:rsidRPr="00275FDB">
        <w:rPr>
          <w:lang w:val="en-US"/>
        </w:rPr>
        <w:t xml:space="preserve">Table </w:t>
      </w:r>
      <w:r w:rsidR="00500291" w:rsidRPr="00275FDB">
        <w:rPr>
          <w:lang w:val="en-US"/>
        </w:rPr>
        <w:fldChar w:fldCharType="begin"/>
      </w:r>
      <w:r w:rsidR="00500291" w:rsidRPr="00275FDB">
        <w:rPr>
          <w:lang w:val="en-US"/>
        </w:rPr>
        <w:instrText xml:space="preserve"> STYLEREF 1 \s </w:instrText>
      </w:r>
      <w:r w:rsidR="00500291" w:rsidRPr="00275FDB">
        <w:rPr>
          <w:lang w:val="en-US"/>
        </w:rPr>
        <w:fldChar w:fldCharType="separate"/>
      </w:r>
      <w:r w:rsidR="007B1CE6">
        <w:rPr>
          <w:noProof/>
          <w:lang w:val="en-US"/>
        </w:rPr>
        <w:t>3</w:t>
      </w:r>
      <w:r w:rsidR="00500291" w:rsidRPr="00275FDB">
        <w:rPr>
          <w:lang w:val="en-US"/>
        </w:rPr>
        <w:fldChar w:fldCharType="end"/>
      </w:r>
      <w:r w:rsidR="00500291" w:rsidRPr="00275FDB">
        <w:rPr>
          <w:lang w:val="en-US"/>
        </w:rPr>
        <w:t>.</w:t>
      </w:r>
      <w:r w:rsidR="00500291" w:rsidRPr="00275FDB">
        <w:rPr>
          <w:lang w:val="en-US"/>
        </w:rPr>
        <w:fldChar w:fldCharType="begin"/>
      </w:r>
      <w:r w:rsidR="00500291" w:rsidRPr="00275FDB">
        <w:rPr>
          <w:lang w:val="en-US"/>
        </w:rPr>
        <w:instrText xml:space="preserve"> SEQ Table \* ARABIC \s 1 </w:instrText>
      </w:r>
      <w:r w:rsidR="00500291" w:rsidRPr="00275FDB">
        <w:rPr>
          <w:lang w:val="en-US"/>
        </w:rPr>
        <w:fldChar w:fldCharType="separate"/>
      </w:r>
      <w:r w:rsidR="007B1CE6">
        <w:rPr>
          <w:noProof/>
          <w:lang w:val="en-US"/>
        </w:rPr>
        <w:t>4</w:t>
      </w:r>
      <w:r w:rsidR="00500291" w:rsidRPr="00275FDB">
        <w:rPr>
          <w:lang w:val="en-US"/>
        </w:rPr>
        <w:fldChar w:fldCharType="end"/>
      </w:r>
      <w:bookmarkEnd w:id="118"/>
      <w:r w:rsidRPr="00275FDB">
        <w:rPr>
          <w:lang w:val="en-US"/>
        </w:rPr>
        <w:t>: Wage Dispersion within Different Branches of the Public Sector (GH¢)</w:t>
      </w:r>
      <w:bookmarkEnd w:id="119"/>
      <w:r w:rsidRPr="00275FDB">
        <w:rPr>
          <w:lang w:val="en-US"/>
        </w:rPr>
        <w:t xml:space="preserve"> </w:t>
      </w:r>
    </w:p>
    <w:tbl>
      <w:tblPr>
        <w:tblW w:w="9630" w:type="dxa"/>
        <w:jc w:val="center"/>
        <w:tblLook w:val="00A0" w:firstRow="1" w:lastRow="0" w:firstColumn="1" w:lastColumn="0" w:noHBand="0" w:noVBand="0"/>
      </w:tblPr>
      <w:tblGrid>
        <w:gridCol w:w="2070"/>
        <w:gridCol w:w="1053"/>
        <w:gridCol w:w="1377"/>
        <w:gridCol w:w="1428"/>
        <w:gridCol w:w="1053"/>
        <w:gridCol w:w="1152"/>
        <w:gridCol w:w="1497"/>
      </w:tblGrid>
      <w:tr w:rsidR="001C67F0" w:rsidRPr="001C67F0" w14:paraId="0001F662" w14:textId="77777777" w:rsidTr="004B7DB8">
        <w:trPr>
          <w:trHeight w:val="269"/>
          <w:jc w:val="center"/>
        </w:trPr>
        <w:tc>
          <w:tcPr>
            <w:tcW w:w="2070" w:type="dxa"/>
            <w:tcBorders>
              <w:top w:val="single" w:sz="4" w:space="0" w:color="auto"/>
            </w:tcBorders>
            <w:noWrap/>
            <w:vAlign w:val="bottom"/>
          </w:tcPr>
          <w:p w14:paraId="082D4242" w14:textId="77777777" w:rsidR="001C67F0" w:rsidRPr="001C67F0" w:rsidRDefault="001C67F0" w:rsidP="00E566F7">
            <w:pPr>
              <w:pStyle w:val="NoSpacing"/>
              <w:rPr>
                <w:rFonts w:asciiTheme="minorHAnsi" w:hAnsiTheme="minorHAnsi"/>
              </w:rPr>
            </w:pPr>
          </w:p>
        </w:tc>
        <w:tc>
          <w:tcPr>
            <w:tcW w:w="3858" w:type="dxa"/>
            <w:gridSpan w:val="3"/>
            <w:tcBorders>
              <w:top w:val="single" w:sz="4" w:space="0" w:color="auto"/>
            </w:tcBorders>
          </w:tcPr>
          <w:p w14:paraId="4B539A12" w14:textId="77777777" w:rsidR="001C67F0" w:rsidRPr="001C67F0" w:rsidRDefault="001C67F0" w:rsidP="001C67F0">
            <w:pPr>
              <w:pStyle w:val="NoSpacing"/>
              <w:jc w:val="center"/>
              <w:rPr>
                <w:rFonts w:asciiTheme="minorHAnsi" w:hAnsiTheme="minorHAnsi"/>
              </w:rPr>
            </w:pPr>
            <w:r w:rsidRPr="001C67F0">
              <w:rPr>
                <w:rFonts w:asciiTheme="minorHAnsi" w:hAnsiTheme="minorHAnsi"/>
              </w:rPr>
              <w:t>2005/06</w:t>
            </w:r>
          </w:p>
        </w:tc>
        <w:tc>
          <w:tcPr>
            <w:tcW w:w="3702" w:type="dxa"/>
            <w:gridSpan w:val="3"/>
            <w:tcBorders>
              <w:top w:val="single" w:sz="4" w:space="0" w:color="auto"/>
            </w:tcBorders>
          </w:tcPr>
          <w:p w14:paraId="614A71F0" w14:textId="77777777" w:rsidR="001C67F0" w:rsidRPr="001C67F0" w:rsidRDefault="001C67F0" w:rsidP="001C67F0">
            <w:pPr>
              <w:pStyle w:val="NoSpacing"/>
              <w:jc w:val="center"/>
              <w:rPr>
                <w:rFonts w:asciiTheme="minorHAnsi" w:hAnsiTheme="minorHAnsi"/>
              </w:rPr>
            </w:pPr>
            <w:r w:rsidRPr="001C67F0">
              <w:rPr>
                <w:rFonts w:asciiTheme="minorHAnsi" w:hAnsiTheme="minorHAnsi"/>
              </w:rPr>
              <w:t>2012/2013</w:t>
            </w:r>
          </w:p>
        </w:tc>
      </w:tr>
      <w:tr w:rsidR="00724BAB" w:rsidRPr="001C67F0" w14:paraId="4D7632C1" w14:textId="77777777" w:rsidTr="004B7DB8">
        <w:trPr>
          <w:trHeight w:val="72"/>
          <w:jc w:val="center"/>
        </w:trPr>
        <w:tc>
          <w:tcPr>
            <w:tcW w:w="2070" w:type="dxa"/>
            <w:tcBorders>
              <w:bottom w:val="single" w:sz="4" w:space="0" w:color="auto"/>
            </w:tcBorders>
            <w:noWrap/>
            <w:vAlign w:val="bottom"/>
          </w:tcPr>
          <w:p w14:paraId="6655BA2F" w14:textId="77777777" w:rsidR="00724BAB" w:rsidRPr="001C67F0" w:rsidRDefault="00724BAB" w:rsidP="00E566F7">
            <w:pPr>
              <w:pStyle w:val="NoSpacing"/>
              <w:rPr>
                <w:rFonts w:asciiTheme="minorHAnsi" w:hAnsiTheme="minorHAnsi"/>
              </w:rPr>
            </w:pPr>
          </w:p>
        </w:tc>
        <w:tc>
          <w:tcPr>
            <w:tcW w:w="1053" w:type="dxa"/>
            <w:tcBorders>
              <w:bottom w:val="single" w:sz="4" w:space="0" w:color="auto"/>
            </w:tcBorders>
          </w:tcPr>
          <w:p w14:paraId="01D479D7"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Standard deviation</w:t>
            </w:r>
          </w:p>
        </w:tc>
        <w:tc>
          <w:tcPr>
            <w:tcW w:w="1377" w:type="dxa"/>
            <w:tcBorders>
              <w:bottom w:val="single" w:sz="4" w:space="0" w:color="auto"/>
            </w:tcBorders>
            <w:shd w:val="clear" w:color="auto" w:fill="auto"/>
            <w:noWrap/>
            <w:vAlign w:val="bottom"/>
          </w:tcPr>
          <w:p w14:paraId="4F52E97F"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Variance</w:t>
            </w:r>
          </w:p>
        </w:tc>
        <w:tc>
          <w:tcPr>
            <w:tcW w:w="1428" w:type="dxa"/>
            <w:tcBorders>
              <w:bottom w:val="single" w:sz="4" w:space="0" w:color="auto"/>
            </w:tcBorders>
            <w:shd w:val="clear" w:color="auto" w:fill="auto"/>
            <w:noWrap/>
            <w:vAlign w:val="bottom"/>
          </w:tcPr>
          <w:p w14:paraId="3AD4966A" w14:textId="30584153" w:rsidR="00F92116" w:rsidRDefault="00F92116" w:rsidP="001C67F0">
            <w:pPr>
              <w:pStyle w:val="NoSpacing"/>
              <w:jc w:val="center"/>
              <w:rPr>
                <w:rFonts w:asciiTheme="minorHAnsi" w:hAnsiTheme="minorHAnsi"/>
              </w:rPr>
            </w:pPr>
            <w:r>
              <w:rPr>
                <w:rFonts w:asciiTheme="minorHAnsi" w:hAnsiTheme="minorHAnsi"/>
              </w:rPr>
              <w:t>Coefficient of</w:t>
            </w:r>
          </w:p>
          <w:p w14:paraId="089B32DC" w14:textId="77777777" w:rsidR="00724BAB" w:rsidRPr="001C67F0" w:rsidRDefault="00F92116" w:rsidP="001C67F0">
            <w:pPr>
              <w:pStyle w:val="NoSpacing"/>
              <w:jc w:val="center"/>
              <w:rPr>
                <w:rFonts w:asciiTheme="minorHAnsi" w:hAnsiTheme="minorHAnsi"/>
              </w:rPr>
            </w:pPr>
            <w:r>
              <w:rPr>
                <w:rFonts w:asciiTheme="minorHAnsi" w:hAnsiTheme="minorHAnsi"/>
              </w:rPr>
              <w:t xml:space="preserve">Variation  </w:t>
            </w:r>
          </w:p>
        </w:tc>
        <w:tc>
          <w:tcPr>
            <w:tcW w:w="1053" w:type="dxa"/>
            <w:tcBorders>
              <w:bottom w:val="single" w:sz="4" w:space="0" w:color="auto"/>
            </w:tcBorders>
          </w:tcPr>
          <w:p w14:paraId="44FAC6F0"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Standard deviation</w:t>
            </w:r>
          </w:p>
        </w:tc>
        <w:tc>
          <w:tcPr>
            <w:tcW w:w="1152" w:type="dxa"/>
            <w:tcBorders>
              <w:bottom w:val="single" w:sz="4" w:space="0" w:color="auto"/>
            </w:tcBorders>
            <w:shd w:val="clear" w:color="auto" w:fill="auto"/>
            <w:noWrap/>
            <w:vAlign w:val="bottom"/>
          </w:tcPr>
          <w:p w14:paraId="63AEB4AF"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Variance</w:t>
            </w:r>
          </w:p>
        </w:tc>
        <w:tc>
          <w:tcPr>
            <w:tcW w:w="1497" w:type="dxa"/>
            <w:tcBorders>
              <w:bottom w:val="single" w:sz="4" w:space="0" w:color="auto"/>
            </w:tcBorders>
            <w:shd w:val="clear" w:color="auto" w:fill="auto"/>
            <w:noWrap/>
            <w:vAlign w:val="bottom"/>
          </w:tcPr>
          <w:p w14:paraId="40569310" w14:textId="77777777" w:rsidR="00F92116" w:rsidRDefault="00F92116" w:rsidP="00F92116">
            <w:pPr>
              <w:pStyle w:val="NoSpacing"/>
              <w:jc w:val="center"/>
              <w:rPr>
                <w:rFonts w:asciiTheme="minorHAnsi" w:hAnsiTheme="minorHAnsi"/>
              </w:rPr>
            </w:pPr>
            <w:r>
              <w:rPr>
                <w:rFonts w:asciiTheme="minorHAnsi" w:hAnsiTheme="minorHAnsi"/>
              </w:rPr>
              <w:t>Coefficient of</w:t>
            </w:r>
          </w:p>
          <w:p w14:paraId="54549F75" w14:textId="1BB2AB09" w:rsidR="00724BAB" w:rsidRPr="001C67F0" w:rsidRDefault="00F92116" w:rsidP="00F92116">
            <w:pPr>
              <w:pStyle w:val="NoSpacing"/>
              <w:jc w:val="center"/>
              <w:rPr>
                <w:rFonts w:asciiTheme="minorHAnsi" w:hAnsiTheme="minorHAnsi"/>
              </w:rPr>
            </w:pPr>
            <w:r>
              <w:rPr>
                <w:rFonts w:asciiTheme="minorHAnsi" w:hAnsiTheme="minorHAnsi"/>
              </w:rPr>
              <w:t xml:space="preserve">Variation  </w:t>
            </w:r>
          </w:p>
        </w:tc>
      </w:tr>
      <w:tr w:rsidR="00724BAB" w:rsidRPr="001C67F0" w14:paraId="01672E95" w14:textId="77777777" w:rsidTr="004B7DB8">
        <w:trPr>
          <w:trHeight w:val="300"/>
          <w:jc w:val="center"/>
        </w:trPr>
        <w:tc>
          <w:tcPr>
            <w:tcW w:w="2070" w:type="dxa"/>
            <w:tcBorders>
              <w:top w:val="single" w:sz="4" w:space="0" w:color="auto"/>
            </w:tcBorders>
            <w:noWrap/>
          </w:tcPr>
          <w:p w14:paraId="4A85FB7E" w14:textId="77777777" w:rsidR="00724BAB" w:rsidRPr="001C67F0" w:rsidRDefault="00724BAB" w:rsidP="00E566F7">
            <w:pPr>
              <w:pStyle w:val="NoSpacing"/>
              <w:rPr>
                <w:rFonts w:asciiTheme="minorHAnsi" w:hAnsiTheme="minorHAnsi"/>
              </w:rPr>
            </w:pPr>
            <w:r w:rsidRPr="001C67F0">
              <w:rPr>
                <w:rFonts w:asciiTheme="minorHAnsi" w:hAnsiTheme="minorHAnsi"/>
              </w:rPr>
              <w:t>Education</w:t>
            </w:r>
          </w:p>
        </w:tc>
        <w:tc>
          <w:tcPr>
            <w:tcW w:w="1053" w:type="dxa"/>
            <w:tcBorders>
              <w:top w:val="single" w:sz="4" w:space="0" w:color="auto"/>
            </w:tcBorders>
          </w:tcPr>
          <w:p w14:paraId="110DE166"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0.3</w:t>
            </w:r>
          </w:p>
        </w:tc>
        <w:tc>
          <w:tcPr>
            <w:tcW w:w="1377" w:type="dxa"/>
            <w:tcBorders>
              <w:top w:val="single" w:sz="4" w:space="0" w:color="auto"/>
            </w:tcBorders>
            <w:shd w:val="clear" w:color="auto" w:fill="auto"/>
            <w:noWrap/>
            <w:vAlign w:val="bottom"/>
          </w:tcPr>
          <w:p w14:paraId="5C8CCA9D"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0.1</w:t>
            </w:r>
          </w:p>
        </w:tc>
        <w:tc>
          <w:tcPr>
            <w:tcW w:w="1428" w:type="dxa"/>
            <w:tcBorders>
              <w:top w:val="single" w:sz="4" w:space="0" w:color="auto"/>
            </w:tcBorders>
            <w:shd w:val="clear" w:color="auto" w:fill="auto"/>
            <w:noWrap/>
            <w:vAlign w:val="bottom"/>
          </w:tcPr>
          <w:p w14:paraId="2045CA98"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0.5</w:t>
            </w:r>
          </w:p>
        </w:tc>
        <w:tc>
          <w:tcPr>
            <w:tcW w:w="1053" w:type="dxa"/>
            <w:tcBorders>
              <w:top w:val="single" w:sz="4" w:space="0" w:color="auto"/>
            </w:tcBorders>
          </w:tcPr>
          <w:p w14:paraId="3079EFBA"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2.8</w:t>
            </w:r>
          </w:p>
        </w:tc>
        <w:tc>
          <w:tcPr>
            <w:tcW w:w="1152" w:type="dxa"/>
            <w:tcBorders>
              <w:top w:val="single" w:sz="4" w:space="0" w:color="auto"/>
            </w:tcBorders>
            <w:shd w:val="clear" w:color="auto" w:fill="auto"/>
            <w:noWrap/>
            <w:vAlign w:val="bottom"/>
          </w:tcPr>
          <w:p w14:paraId="50EE897D"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7.6</w:t>
            </w:r>
          </w:p>
        </w:tc>
        <w:tc>
          <w:tcPr>
            <w:tcW w:w="1497" w:type="dxa"/>
            <w:tcBorders>
              <w:top w:val="single" w:sz="4" w:space="0" w:color="auto"/>
            </w:tcBorders>
            <w:shd w:val="clear" w:color="auto" w:fill="auto"/>
            <w:noWrap/>
            <w:vAlign w:val="bottom"/>
          </w:tcPr>
          <w:p w14:paraId="6A1D4EDC"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0.6</w:t>
            </w:r>
          </w:p>
        </w:tc>
      </w:tr>
      <w:tr w:rsidR="00724BAB" w:rsidRPr="001C67F0" w14:paraId="7FCC3D40" w14:textId="77777777" w:rsidTr="004B7DB8">
        <w:trPr>
          <w:trHeight w:val="300"/>
          <w:jc w:val="center"/>
        </w:trPr>
        <w:tc>
          <w:tcPr>
            <w:tcW w:w="2070" w:type="dxa"/>
            <w:noWrap/>
          </w:tcPr>
          <w:p w14:paraId="6E72C9BE" w14:textId="77777777" w:rsidR="00724BAB" w:rsidRPr="001C67F0" w:rsidRDefault="00724BAB" w:rsidP="00E566F7">
            <w:pPr>
              <w:pStyle w:val="NoSpacing"/>
              <w:rPr>
                <w:rFonts w:asciiTheme="minorHAnsi" w:hAnsiTheme="minorHAnsi"/>
              </w:rPr>
            </w:pPr>
            <w:r w:rsidRPr="001C67F0">
              <w:rPr>
                <w:rFonts w:asciiTheme="minorHAnsi" w:hAnsiTheme="minorHAnsi"/>
              </w:rPr>
              <w:t xml:space="preserve">Health </w:t>
            </w:r>
          </w:p>
        </w:tc>
        <w:tc>
          <w:tcPr>
            <w:tcW w:w="1053" w:type="dxa"/>
          </w:tcPr>
          <w:p w14:paraId="44B26008"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0.3</w:t>
            </w:r>
          </w:p>
        </w:tc>
        <w:tc>
          <w:tcPr>
            <w:tcW w:w="1377" w:type="dxa"/>
            <w:shd w:val="clear" w:color="auto" w:fill="auto"/>
            <w:noWrap/>
            <w:vAlign w:val="bottom"/>
          </w:tcPr>
          <w:p w14:paraId="0A1AE867"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0.1</w:t>
            </w:r>
          </w:p>
        </w:tc>
        <w:tc>
          <w:tcPr>
            <w:tcW w:w="1428" w:type="dxa"/>
            <w:shd w:val="clear" w:color="auto" w:fill="auto"/>
            <w:noWrap/>
            <w:vAlign w:val="bottom"/>
          </w:tcPr>
          <w:p w14:paraId="4552748F"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0.6</w:t>
            </w:r>
          </w:p>
        </w:tc>
        <w:tc>
          <w:tcPr>
            <w:tcW w:w="1053" w:type="dxa"/>
          </w:tcPr>
          <w:p w14:paraId="074E742F"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2.8</w:t>
            </w:r>
          </w:p>
        </w:tc>
        <w:tc>
          <w:tcPr>
            <w:tcW w:w="1152" w:type="dxa"/>
            <w:shd w:val="clear" w:color="auto" w:fill="auto"/>
            <w:noWrap/>
            <w:vAlign w:val="bottom"/>
          </w:tcPr>
          <w:p w14:paraId="67CBE791"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7.8</w:t>
            </w:r>
          </w:p>
        </w:tc>
        <w:tc>
          <w:tcPr>
            <w:tcW w:w="1497" w:type="dxa"/>
            <w:shd w:val="clear" w:color="auto" w:fill="auto"/>
            <w:noWrap/>
            <w:vAlign w:val="bottom"/>
          </w:tcPr>
          <w:p w14:paraId="147FA43C"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0.7</w:t>
            </w:r>
          </w:p>
        </w:tc>
      </w:tr>
      <w:tr w:rsidR="00724BAB" w:rsidRPr="001C67F0" w14:paraId="141A182E" w14:textId="77777777" w:rsidTr="004B7DB8">
        <w:trPr>
          <w:trHeight w:val="300"/>
          <w:jc w:val="center"/>
        </w:trPr>
        <w:tc>
          <w:tcPr>
            <w:tcW w:w="2070" w:type="dxa"/>
            <w:noWrap/>
          </w:tcPr>
          <w:p w14:paraId="5956CDF0" w14:textId="77777777" w:rsidR="00724BAB" w:rsidRPr="001C67F0" w:rsidRDefault="00724BAB" w:rsidP="00E566F7">
            <w:pPr>
              <w:pStyle w:val="NoSpacing"/>
              <w:rPr>
                <w:rFonts w:asciiTheme="minorHAnsi" w:hAnsiTheme="minorHAnsi"/>
              </w:rPr>
            </w:pPr>
            <w:r w:rsidRPr="001C67F0">
              <w:rPr>
                <w:rFonts w:asciiTheme="minorHAnsi" w:hAnsiTheme="minorHAnsi"/>
              </w:rPr>
              <w:t>Public Administration and Defense</w:t>
            </w:r>
          </w:p>
        </w:tc>
        <w:tc>
          <w:tcPr>
            <w:tcW w:w="1053" w:type="dxa"/>
          </w:tcPr>
          <w:p w14:paraId="72275C9B"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0.2</w:t>
            </w:r>
          </w:p>
        </w:tc>
        <w:tc>
          <w:tcPr>
            <w:tcW w:w="1377" w:type="dxa"/>
            <w:shd w:val="clear" w:color="auto" w:fill="auto"/>
            <w:noWrap/>
            <w:vAlign w:val="bottom"/>
          </w:tcPr>
          <w:p w14:paraId="6B18A024"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0.0</w:t>
            </w:r>
          </w:p>
        </w:tc>
        <w:tc>
          <w:tcPr>
            <w:tcW w:w="1428" w:type="dxa"/>
            <w:shd w:val="clear" w:color="auto" w:fill="auto"/>
            <w:noWrap/>
            <w:vAlign w:val="bottom"/>
          </w:tcPr>
          <w:p w14:paraId="2AC46C68"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0.4</w:t>
            </w:r>
          </w:p>
        </w:tc>
        <w:tc>
          <w:tcPr>
            <w:tcW w:w="1053" w:type="dxa"/>
          </w:tcPr>
          <w:p w14:paraId="4C7F97D7"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2.5</w:t>
            </w:r>
          </w:p>
        </w:tc>
        <w:tc>
          <w:tcPr>
            <w:tcW w:w="1152" w:type="dxa"/>
            <w:shd w:val="clear" w:color="auto" w:fill="auto"/>
            <w:noWrap/>
            <w:vAlign w:val="bottom"/>
          </w:tcPr>
          <w:p w14:paraId="55F0E693"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6.3</w:t>
            </w:r>
          </w:p>
        </w:tc>
        <w:tc>
          <w:tcPr>
            <w:tcW w:w="1497" w:type="dxa"/>
            <w:shd w:val="clear" w:color="auto" w:fill="auto"/>
            <w:noWrap/>
            <w:vAlign w:val="bottom"/>
          </w:tcPr>
          <w:p w14:paraId="15CA7C95"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0.7</w:t>
            </w:r>
          </w:p>
        </w:tc>
      </w:tr>
      <w:tr w:rsidR="00724BAB" w:rsidRPr="001C67F0" w14:paraId="7701A292" w14:textId="77777777" w:rsidTr="004B7DB8">
        <w:trPr>
          <w:trHeight w:val="300"/>
          <w:jc w:val="center"/>
        </w:trPr>
        <w:tc>
          <w:tcPr>
            <w:tcW w:w="2070" w:type="dxa"/>
            <w:tcBorders>
              <w:bottom w:val="single" w:sz="4" w:space="0" w:color="auto"/>
            </w:tcBorders>
            <w:noWrap/>
          </w:tcPr>
          <w:p w14:paraId="481E4B17" w14:textId="77777777" w:rsidR="00724BAB" w:rsidRPr="001C67F0" w:rsidRDefault="00724BAB" w:rsidP="00E566F7">
            <w:pPr>
              <w:pStyle w:val="NoSpacing"/>
              <w:rPr>
                <w:rFonts w:asciiTheme="minorHAnsi" w:hAnsiTheme="minorHAnsi"/>
              </w:rPr>
            </w:pPr>
            <w:r w:rsidRPr="001C67F0">
              <w:rPr>
                <w:rFonts w:asciiTheme="minorHAnsi" w:hAnsiTheme="minorHAnsi"/>
              </w:rPr>
              <w:t>Other</w:t>
            </w:r>
          </w:p>
        </w:tc>
        <w:tc>
          <w:tcPr>
            <w:tcW w:w="1053" w:type="dxa"/>
            <w:tcBorders>
              <w:bottom w:val="single" w:sz="4" w:space="0" w:color="auto"/>
            </w:tcBorders>
          </w:tcPr>
          <w:p w14:paraId="4D339BE7"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0.3</w:t>
            </w:r>
          </w:p>
        </w:tc>
        <w:tc>
          <w:tcPr>
            <w:tcW w:w="1377" w:type="dxa"/>
            <w:tcBorders>
              <w:bottom w:val="single" w:sz="4" w:space="0" w:color="auto"/>
            </w:tcBorders>
            <w:shd w:val="clear" w:color="auto" w:fill="auto"/>
            <w:noWrap/>
            <w:vAlign w:val="bottom"/>
          </w:tcPr>
          <w:p w14:paraId="4FF0D1FF"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0.1</w:t>
            </w:r>
          </w:p>
        </w:tc>
        <w:tc>
          <w:tcPr>
            <w:tcW w:w="1428" w:type="dxa"/>
            <w:tcBorders>
              <w:bottom w:val="single" w:sz="4" w:space="0" w:color="auto"/>
            </w:tcBorders>
            <w:shd w:val="clear" w:color="auto" w:fill="auto"/>
            <w:noWrap/>
            <w:vAlign w:val="bottom"/>
          </w:tcPr>
          <w:p w14:paraId="64B4FEBF"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0.6</w:t>
            </w:r>
          </w:p>
        </w:tc>
        <w:tc>
          <w:tcPr>
            <w:tcW w:w="1053" w:type="dxa"/>
            <w:tcBorders>
              <w:bottom w:val="single" w:sz="4" w:space="0" w:color="auto"/>
            </w:tcBorders>
          </w:tcPr>
          <w:p w14:paraId="0E9DE0CC"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2.3</w:t>
            </w:r>
          </w:p>
        </w:tc>
        <w:tc>
          <w:tcPr>
            <w:tcW w:w="1152" w:type="dxa"/>
            <w:tcBorders>
              <w:bottom w:val="single" w:sz="4" w:space="0" w:color="auto"/>
            </w:tcBorders>
            <w:shd w:val="clear" w:color="auto" w:fill="auto"/>
            <w:noWrap/>
            <w:vAlign w:val="bottom"/>
          </w:tcPr>
          <w:p w14:paraId="59C5ABCE"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5.4</w:t>
            </w:r>
          </w:p>
        </w:tc>
        <w:tc>
          <w:tcPr>
            <w:tcW w:w="1497" w:type="dxa"/>
            <w:tcBorders>
              <w:bottom w:val="single" w:sz="4" w:space="0" w:color="auto"/>
            </w:tcBorders>
            <w:shd w:val="clear" w:color="auto" w:fill="auto"/>
            <w:noWrap/>
            <w:vAlign w:val="bottom"/>
          </w:tcPr>
          <w:p w14:paraId="0F5CD26F" w14:textId="77777777" w:rsidR="00724BAB" w:rsidRPr="001C67F0" w:rsidRDefault="00724BAB" w:rsidP="001C67F0">
            <w:pPr>
              <w:pStyle w:val="NoSpacing"/>
              <w:jc w:val="center"/>
              <w:rPr>
                <w:rFonts w:asciiTheme="minorHAnsi" w:hAnsiTheme="minorHAnsi"/>
              </w:rPr>
            </w:pPr>
            <w:r w:rsidRPr="001C67F0">
              <w:rPr>
                <w:rFonts w:asciiTheme="minorHAnsi" w:hAnsiTheme="minorHAnsi"/>
              </w:rPr>
              <w:t>0.8</w:t>
            </w:r>
          </w:p>
        </w:tc>
      </w:tr>
    </w:tbl>
    <w:p w14:paraId="14C6A85D" w14:textId="77777777" w:rsidR="00724BAB" w:rsidRPr="007925A8" w:rsidRDefault="00724BAB" w:rsidP="00724BAB">
      <w:pPr>
        <w:rPr>
          <w:rFonts w:ascii="Garamond" w:hAnsi="Garamond"/>
          <w:i/>
          <w:sz w:val="20"/>
          <w:szCs w:val="20"/>
        </w:rPr>
      </w:pPr>
      <w:r w:rsidRPr="007925A8">
        <w:rPr>
          <w:rFonts w:ascii="Garamond" w:hAnsi="Garamond"/>
          <w:i/>
          <w:sz w:val="20"/>
          <w:szCs w:val="20"/>
        </w:rPr>
        <w:t xml:space="preserve">Source: </w:t>
      </w:r>
      <w:r w:rsidRPr="007925A8">
        <w:rPr>
          <w:rFonts w:ascii="Garamond" w:hAnsi="Garamond"/>
          <w:sz w:val="20"/>
          <w:szCs w:val="20"/>
        </w:rPr>
        <w:t>Calculations based on GLSS5 and GLSS6</w:t>
      </w:r>
    </w:p>
    <w:p w14:paraId="2435ABDD" w14:textId="77777777" w:rsidR="00724BAB" w:rsidRPr="00A10065" w:rsidRDefault="00724BAB" w:rsidP="00AD44DF">
      <w:pPr>
        <w:pStyle w:val="Heading2"/>
      </w:pPr>
      <w:bookmarkStart w:id="120" w:name="_Toc479624893"/>
      <w:r>
        <w:t xml:space="preserve">The </w:t>
      </w:r>
      <w:r w:rsidRPr="00A10065">
        <w:t>Implementation of the SSSS</w:t>
      </w:r>
      <w:bookmarkEnd w:id="120"/>
    </w:p>
    <w:p w14:paraId="3A0EF9FA" w14:textId="77777777" w:rsidR="00724BAB" w:rsidRPr="00A10065" w:rsidRDefault="00724BAB" w:rsidP="00724BAB">
      <w:pPr>
        <w:pStyle w:val="ListParagraph"/>
        <w:numPr>
          <w:ilvl w:val="0"/>
          <w:numId w:val="13"/>
        </w:numPr>
      </w:pPr>
      <w:r w:rsidRPr="00A10065">
        <w:rPr>
          <w:b/>
        </w:rPr>
        <w:t>The wage bill increased rapidly in the wake of the 201</w:t>
      </w:r>
      <w:r w:rsidR="00523779">
        <w:rPr>
          <w:b/>
        </w:rPr>
        <w:t>1</w:t>
      </w:r>
      <w:r w:rsidRPr="00A10065">
        <w:rPr>
          <w:b/>
        </w:rPr>
        <w:t xml:space="preserve"> public payroll reforms, which included the introduction of the SSSS.</w:t>
      </w:r>
      <w:r w:rsidRPr="00A10065">
        <w:t xml:space="preserve"> In a 2015 report, the IMF noted that wages and salaries </w:t>
      </w:r>
      <w:r w:rsidRPr="00A10065">
        <w:lastRenderedPageBreak/>
        <w:t>doubled as a share of GDP between 2000 and 2014, and concluded that</w:t>
      </w:r>
      <w:r w:rsidR="00E82C38">
        <w:t>,</w:t>
      </w:r>
      <w:r w:rsidRPr="00A10065">
        <w:t xml:space="preserve"> “the wage bill has been a major source of expenditure pressure in Ghana. The introduction of the SSSS in 2010 led to a substantial increase in employees’ compensation as almost all public servants’ salaries were increased for several years in a row, while delays in moving staff to the new salary structure resulted in large arrears as well.”</w:t>
      </w:r>
      <w:r w:rsidRPr="00A10065">
        <w:rPr>
          <w:rStyle w:val="FootnoteReference"/>
        </w:rPr>
        <w:footnoteReference w:id="78"/>
      </w:r>
    </w:p>
    <w:p w14:paraId="6B98CA9A" w14:textId="77777777" w:rsidR="00724BAB" w:rsidRPr="00A10065" w:rsidRDefault="00724BAB" w:rsidP="00724BAB">
      <w:pPr>
        <w:pStyle w:val="ListParagraph"/>
        <w:numPr>
          <w:ilvl w:val="0"/>
          <w:numId w:val="13"/>
        </w:numPr>
      </w:pPr>
      <w:r w:rsidRPr="00A10065">
        <w:rPr>
          <w:b/>
        </w:rPr>
        <w:t>The SSSS is a graduated salary scale encompassing all public sector workers.</w:t>
      </w:r>
      <w:r w:rsidRPr="00A10065">
        <w:t xml:space="preserve"> </w:t>
      </w:r>
      <w:r w:rsidRPr="00A10065">
        <w:rPr>
          <w:rFonts w:eastAsia="Times New Roman"/>
        </w:rPr>
        <w:t xml:space="preserve">The new system was designed to </w:t>
      </w:r>
      <w:r w:rsidRPr="00A10065">
        <w:t>address the widening disparity between staff in different branches of the public service by establishing a uniform pay structure under which comparable positions would rece</w:t>
      </w:r>
      <w:r>
        <w:t>i</w:t>
      </w:r>
      <w:r w:rsidRPr="00A10065">
        <w:t>ve similar compensation. Reducing wage diffusion was also intended to simplify payroll management, harmonize salary negotiations, and help policymakers contain the growth of the wage bill. Finally, the SSSS included a performance component meant to link salary increases to the effective execution of professional responsibilities</w:t>
      </w:r>
      <w:r>
        <w:t>.</w:t>
      </w:r>
      <w:r w:rsidRPr="00A10065">
        <w:rPr>
          <w:rStyle w:val="FootnoteReference"/>
        </w:rPr>
        <w:footnoteReference w:id="79"/>
      </w:r>
      <w:r w:rsidRPr="00A10065">
        <w:t xml:space="preserve"> In cases where performance cannot be measured objectively and consistently, staff may move up the scale based on seniority or other factors.</w:t>
      </w:r>
      <w:r w:rsidRPr="00A10065">
        <w:rPr>
          <w:rStyle w:val="FootnoteReference"/>
        </w:rPr>
        <w:footnoteReference w:id="80"/>
      </w:r>
    </w:p>
    <w:p w14:paraId="5FA16D87" w14:textId="77777777" w:rsidR="00724BAB" w:rsidRPr="00A10065" w:rsidRDefault="00724BAB" w:rsidP="00724BAB">
      <w:pPr>
        <w:pStyle w:val="ListParagraph"/>
        <w:numPr>
          <w:ilvl w:val="0"/>
          <w:numId w:val="13"/>
        </w:numPr>
      </w:pPr>
      <w:r w:rsidRPr="00A10065">
        <w:rPr>
          <w:b/>
        </w:rPr>
        <w:t>The SSSS was intended to consolidate and rationalize the numerous ad hoc personnel management measures adopted by successive governments.</w:t>
      </w:r>
      <w:r w:rsidRPr="00A10065">
        <w:t xml:space="preserve"> Years of piecemeal reforms and narrowly </w:t>
      </w:r>
      <w:r w:rsidRPr="00A37553">
        <w:t>conceived</w:t>
      </w:r>
      <w:r>
        <w:t xml:space="preserve"> </w:t>
      </w:r>
      <w:r w:rsidRPr="00A10065">
        <w:t>policies had resulted in an increasingly complex and inconsistent public payroll structure that distorted incentives, created conflicts of interest</w:t>
      </w:r>
      <w:r w:rsidR="004C22A9">
        <w:t>,</w:t>
      </w:r>
      <w:r w:rsidRPr="00A10065">
        <w:t xml:space="preserve"> and contributed to the unconstrained growth of the wage bill, leading to a widespread perception that the elected government was not fully in control of the public administration.</w:t>
      </w:r>
      <w:r w:rsidRPr="00A10065">
        <w:rPr>
          <w:rStyle w:val="FootnoteReference"/>
          <w:rFonts w:ascii="Times New Roman" w:hAnsi="Times New Roman" w:cs="Times New Roman"/>
        </w:rPr>
        <w:footnoteReference w:id="81"/>
      </w:r>
    </w:p>
    <w:p w14:paraId="4EF3D059" w14:textId="44CEEAD0" w:rsidR="00724BAB" w:rsidRPr="00A10065" w:rsidRDefault="00724BAB" w:rsidP="00724BAB">
      <w:pPr>
        <w:pStyle w:val="ListParagraph"/>
        <w:numPr>
          <w:ilvl w:val="0"/>
          <w:numId w:val="13"/>
        </w:numPr>
      </w:pPr>
      <w:r w:rsidRPr="00A10065">
        <w:rPr>
          <w:b/>
        </w:rPr>
        <w:t>According to the government’s original strategy, the SSSS was to be implemented through five annual phases between 2010 and 2014.</w:t>
      </w:r>
      <w:r w:rsidRPr="00A10065">
        <w:t xml:space="preserve"> However, th</w:t>
      </w:r>
      <w:r>
        <w:t>e implementation process remained</w:t>
      </w:r>
      <w:r w:rsidRPr="00A10065">
        <w:t xml:space="preserve"> incomplete</w:t>
      </w:r>
      <w:r w:rsidR="00C87F1E" w:rsidRPr="00C87F1E">
        <w:t xml:space="preserve"> </w:t>
      </w:r>
      <w:r w:rsidR="00C87F1E" w:rsidRPr="00A37553">
        <w:t xml:space="preserve">as </w:t>
      </w:r>
      <w:r w:rsidR="00C87F1E" w:rsidRPr="00DB3EEE">
        <w:t>of</w:t>
      </w:r>
      <w:r w:rsidR="00C87F1E" w:rsidRPr="00A37553">
        <w:t xml:space="preserve"> </w:t>
      </w:r>
      <w:r w:rsidR="00C87F1E">
        <w:t>end</w:t>
      </w:r>
      <w:r w:rsidR="00095875">
        <w:t>-</w:t>
      </w:r>
      <w:r w:rsidR="00C87F1E" w:rsidRPr="00A37553">
        <w:t>2016</w:t>
      </w:r>
      <w:r w:rsidRPr="00A10065">
        <w:t>. Of its initial objectives, only the goal of harmonizing and rationalizing category 2 and 3 allowances has been fully achieved (</w:t>
      </w:r>
      <w:r w:rsidR="00967840">
        <w:fldChar w:fldCharType="begin"/>
      </w:r>
      <w:r w:rsidR="00967840">
        <w:instrText xml:space="preserve"> REF _Ref472538459 \h </w:instrText>
      </w:r>
      <w:r w:rsidR="00967840">
        <w:fldChar w:fldCharType="separate"/>
      </w:r>
      <w:r w:rsidR="007B1CE6">
        <w:t xml:space="preserve">Box </w:t>
      </w:r>
      <w:r w:rsidR="007B1CE6">
        <w:rPr>
          <w:noProof/>
        </w:rPr>
        <w:t>3</w:t>
      </w:r>
      <w:r w:rsidR="007B1CE6">
        <w:t>.</w:t>
      </w:r>
      <w:r w:rsidR="007B1CE6">
        <w:rPr>
          <w:noProof/>
        </w:rPr>
        <w:t>1</w:t>
      </w:r>
      <w:r w:rsidR="00967840">
        <w:fldChar w:fldCharType="end"/>
      </w:r>
      <w:r w:rsidRPr="00A10065">
        <w:t>). All other SSSS components are at various stages of implementation. These include (i) designing the SSSS and negotiating its pay structure; (ii) moving all public sector workers into the SSSS; (iii) conducting periodic labor market surveys to identify skills gaps in the public sector; (iv) determining market premiums and other incentives to attract workers with the necessary skills; (v) monetizing category 4 allowances; and (vi) linking pay to productivity.</w:t>
      </w:r>
      <w:r w:rsidRPr="00DB3EEE">
        <w:rPr>
          <w:rStyle w:val="FootnoteReference"/>
        </w:rPr>
        <w:footnoteReference w:id="82"/>
      </w:r>
    </w:p>
    <w:p w14:paraId="7A8CCD48" w14:textId="77777777" w:rsidR="00724BAB" w:rsidRPr="00A10065" w:rsidRDefault="00D441FE" w:rsidP="00D441FE">
      <w:pPr>
        <w:pStyle w:val="Caption"/>
        <w:rPr>
          <w:lang w:val="en-US"/>
        </w:rPr>
      </w:pPr>
      <w:bookmarkStart w:id="121" w:name="_Ref472538459"/>
      <w:bookmarkStart w:id="122" w:name="_Toc479615072"/>
      <w:r>
        <w:t xml:space="preserve">Box </w:t>
      </w:r>
      <w:r w:rsidR="00420CFC">
        <w:fldChar w:fldCharType="begin"/>
      </w:r>
      <w:r w:rsidR="00420CFC">
        <w:instrText xml:space="preserve"> STYLEREF 1 \s </w:instrText>
      </w:r>
      <w:r w:rsidR="00420CFC">
        <w:fldChar w:fldCharType="separate"/>
      </w:r>
      <w:r w:rsidR="007B1CE6">
        <w:rPr>
          <w:noProof/>
        </w:rPr>
        <w:t>3</w:t>
      </w:r>
      <w:r w:rsidR="00420CFC">
        <w:fldChar w:fldCharType="end"/>
      </w:r>
      <w:r w:rsidR="00420CFC">
        <w:t>.</w:t>
      </w:r>
      <w:r w:rsidR="00420CFC">
        <w:fldChar w:fldCharType="begin"/>
      </w:r>
      <w:r w:rsidR="00420CFC">
        <w:instrText xml:space="preserve"> SEQ Box \* ARABIC \s 1 </w:instrText>
      </w:r>
      <w:r w:rsidR="00420CFC">
        <w:fldChar w:fldCharType="separate"/>
      </w:r>
      <w:r w:rsidR="007B1CE6">
        <w:rPr>
          <w:noProof/>
        </w:rPr>
        <w:t>1</w:t>
      </w:r>
      <w:r w:rsidR="00420CFC">
        <w:fldChar w:fldCharType="end"/>
      </w:r>
      <w:bookmarkEnd w:id="121"/>
      <w:r w:rsidR="00724BAB" w:rsidRPr="00A10065">
        <w:rPr>
          <w:lang w:val="en-US"/>
        </w:rPr>
        <w:t>: Categories of Allowances before the SSSS</w:t>
      </w:r>
      <w:bookmarkEnd w:id="122"/>
    </w:p>
    <w:p w14:paraId="06AC3307" w14:textId="77777777" w:rsidR="00724BAB" w:rsidRPr="00BB7F10" w:rsidRDefault="00724BAB" w:rsidP="00D074B0">
      <w:pPr>
        <w:pStyle w:val="NoSpacing"/>
        <w:pBdr>
          <w:top w:val="single" w:sz="4" w:space="1" w:color="auto"/>
          <w:left w:val="single" w:sz="4" w:space="4" w:color="auto"/>
          <w:bottom w:val="single" w:sz="4" w:space="1" w:color="auto"/>
          <w:right w:val="single" w:sz="4" w:space="4" w:color="auto"/>
        </w:pBdr>
        <w:shd w:val="clear" w:color="auto" w:fill="DBDBDB" w:themeFill="accent3" w:themeFillTint="66"/>
        <w:spacing w:after="240"/>
        <w:rPr>
          <w:sz w:val="20"/>
          <w:szCs w:val="20"/>
        </w:rPr>
      </w:pPr>
      <w:r w:rsidRPr="00A10065">
        <w:rPr>
          <w:b/>
          <w:bCs/>
        </w:rPr>
        <w:t>Category 1:</w:t>
      </w:r>
      <w:r w:rsidRPr="00A10065">
        <w:t xml:space="preserve"> </w:t>
      </w:r>
      <w:r w:rsidRPr="00A10065">
        <w:rPr>
          <w:b/>
        </w:rPr>
        <w:t>Allowances related to normal job responsibilities.</w:t>
      </w:r>
      <w:r w:rsidRPr="00A10065">
        <w:t xml:space="preserve"> These include risk allowances and other </w:t>
      </w:r>
      <w:r w:rsidRPr="00BB7F10">
        <w:rPr>
          <w:sz w:val="20"/>
          <w:szCs w:val="20"/>
        </w:rPr>
        <w:t>allowances associated with the execution of professional duties. These allowances were abolished as part of the implementation of the SSSS.</w:t>
      </w:r>
    </w:p>
    <w:p w14:paraId="172E4E5D" w14:textId="77777777" w:rsidR="00724BAB" w:rsidRPr="00BB7F10" w:rsidRDefault="00724BAB" w:rsidP="00D074B0">
      <w:pPr>
        <w:pStyle w:val="NoSpacing"/>
        <w:pBdr>
          <w:top w:val="single" w:sz="4" w:space="1" w:color="auto"/>
          <w:left w:val="single" w:sz="4" w:space="4" w:color="auto"/>
          <w:bottom w:val="single" w:sz="4" w:space="1" w:color="auto"/>
          <w:right w:val="single" w:sz="4" w:space="4" w:color="auto"/>
        </w:pBdr>
        <w:shd w:val="clear" w:color="auto" w:fill="DBDBDB" w:themeFill="accent3" w:themeFillTint="66"/>
        <w:spacing w:after="240"/>
        <w:rPr>
          <w:sz w:val="20"/>
          <w:szCs w:val="20"/>
        </w:rPr>
      </w:pPr>
      <w:r w:rsidRPr="00BB7F10">
        <w:rPr>
          <w:b/>
          <w:bCs/>
          <w:sz w:val="20"/>
          <w:szCs w:val="20"/>
        </w:rPr>
        <w:t>Category 2:</w:t>
      </w:r>
      <w:r w:rsidRPr="00BB7F10">
        <w:rPr>
          <w:b/>
          <w:sz w:val="20"/>
          <w:szCs w:val="20"/>
        </w:rPr>
        <w:t xml:space="preserve"> Benefits and allowances arising from special circumstances.</w:t>
      </w:r>
      <w:r w:rsidRPr="00BB7F10">
        <w:rPr>
          <w:sz w:val="20"/>
          <w:szCs w:val="20"/>
        </w:rPr>
        <w:t xml:space="preserve"> These include acting allowances for staff who are temporarily filling vacant positions, grants for staff who are being transferred between locations, reimbursements for equipment purchases, and overtime compensation. These benefits and allowances were standardized under the SSSS.</w:t>
      </w:r>
    </w:p>
    <w:p w14:paraId="66810FD0" w14:textId="77777777" w:rsidR="00724BAB" w:rsidRPr="00BB7F10" w:rsidRDefault="00724BAB" w:rsidP="00D074B0">
      <w:pPr>
        <w:pStyle w:val="NoSpacing"/>
        <w:pBdr>
          <w:top w:val="single" w:sz="4" w:space="1" w:color="auto"/>
          <w:left w:val="single" w:sz="4" w:space="4" w:color="auto"/>
          <w:bottom w:val="single" w:sz="4" w:space="1" w:color="auto"/>
          <w:right w:val="single" w:sz="4" w:space="4" w:color="auto"/>
        </w:pBdr>
        <w:shd w:val="clear" w:color="auto" w:fill="DBDBDB" w:themeFill="accent3" w:themeFillTint="66"/>
        <w:spacing w:after="240"/>
        <w:rPr>
          <w:sz w:val="20"/>
          <w:szCs w:val="20"/>
        </w:rPr>
      </w:pPr>
      <w:r w:rsidRPr="00BB7F10">
        <w:rPr>
          <w:b/>
          <w:bCs/>
          <w:sz w:val="20"/>
          <w:szCs w:val="20"/>
        </w:rPr>
        <w:lastRenderedPageBreak/>
        <w:t>Category 3: Allowances</w:t>
      </w:r>
      <w:r w:rsidRPr="00BB7F10">
        <w:rPr>
          <w:b/>
          <w:sz w:val="20"/>
          <w:szCs w:val="20"/>
        </w:rPr>
        <w:t xml:space="preserve"> and benefits related to staff welfare.</w:t>
      </w:r>
      <w:r w:rsidRPr="00BB7F10">
        <w:rPr>
          <w:sz w:val="20"/>
          <w:szCs w:val="20"/>
        </w:rPr>
        <w:t xml:space="preserve"> These include medical and funeral grants, allowances for the purchase of basic necessities during periods of personal or family hardship, and compensation for books and other professional development materials. These allowances were to be standardized under the SSSS, but this process remains incomplete.</w:t>
      </w:r>
    </w:p>
    <w:p w14:paraId="00488A17" w14:textId="77777777" w:rsidR="00724BAB" w:rsidRPr="00BB7F10" w:rsidRDefault="00724BAB" w:rsidP="00D074B0">
      <w:pPr>
        <w:pStyle w:val="NoSpacing"/>
        <w:pBdr>
          <w:top w:val="single" w:sz="4" w:space="1" w:color="auto"/>
          <w:left w:val="single" w:sz="4" w:space="4" w:color="auto"/>
          <w:bottom w:val="single" w:sz="4" w:space="1" w:color="auto"/>
          <w:right w:val="single" w:sz="4" w:space="4" w:color="auto"/>
        </w:pBdr>
        <w:shd w:val="clear" w:color="auto" w:fill="DBDBDB" w:themeFill="accent3" w:themeFillTint="66"/>
        <w:spacing w:after="240"/>
        <w:rPr>
          <w:sz w:val="20"/>
          <w:szCs w:val="20"/>
        </w:rPr>
      </w:pPr>
      <w:r w:rsidRPr="00BB7F10">
        <w:rPr>
          <w:b/>
          <w:bCs/>
          <w:sz w:val="20"/>
          <w:szCs w:val="20"/>
        </w:rPr>
        <w:t xml:space="preserve">Category 4: </w:t>
      </w:r>
      <w:r w:rsidRPr="00BB7F10">
        <w:rPr>
          <w:b/>
          <w:sz w:val="20"/>
          <w:szCs w:val="20"/>
        </w:rPr>
        <w:t>Allowances and benefits associated with top management positions.</w:t>
      </w:r>
      <w:r w:rsidRPr="00BB7F10">
        <w:rPr>
          <w:sz w:val="20"/>
          <w:szCs w:val="20"/>
        </w:rPr>
        <w:t xml:space="preserve"> These include allowances for accommodations, utilities, vehicles and fuel, </w:t>
      </w:r>
      <w:r w:rsidR="00C87F1E" w:rsidRPr="00BB7F10">
        <w:rPr>
          <w:sz w:val="20"/>
          <w:szCs w:val="20"/>
        </w:rPr>
        <w:t xml:space="preserve">and </w:t>
      </w:r>
      <w:r w:rsidRPr="00BB7F10">
        <w:rPr>
          <w:sz w:val="20"/>
          <w:szCs w:val="20"/>
        </w:rPr>
        <w:t>personal assistants and domestic help. These allowances were to be abolished as part of the implementation of the SSSS and monetized as personnel emoluments for eligible staff. These measures were intended to facilitate budget management and curb the wasteful use of allowances, but they have yet to be fully implemented.</w:t>
      </w:r>
    </w:p>
    <w:p w14:paraId="79E63A91" w14:textId="77777777" w:rsidR="00724BAB" w:rsidRPr="00BB7F10" w:rsidRDefault="00724BAB" w:rsidP="00D074B0">
      <w:pPr>
        <w:pStyle w:val="NoSpacing"/>
        <w:pBdr>
          <w:top w:val="single" w:sz="4" w:space="1" w:color="auto"/>
          <w:left w:val="single" w:sz="4" w:space="4" w:color="auto"/>
          <w:bottom w:val="single" w:sz="4" w:space="1" w:color="auto"/>
          <w:right w:val="single" w:sz="4" w:space="4" w:color="auto"/>
        </w:pBdr>
        <w:shd w:val="clear" w:color="auto" w:fill="DBDBDB" w:themeFill="accent3" w:themeFillTint="66"/>
        <w:spacing w:after="240"/>
        <w:rPr>
          <w:sz w:val="20"/>
          <w:szCs w:val="20"/>
        </w:rPr>
      </w:pPr>
      <w:r w:rsidRPr="00BB7F10">
        <w:rPr>
          <w:sz w:val="20"/>
          <w:szCs w:val="20"/>
        </w:rPr>
        <w:t>All benefits, allowances</w:t>
      </w:r>
      <w:r w:rsidR="00C87F1E" w:rsidRPr="00BB7F10">
        <w:rPr>
          <w:sz w:val="20"/>
          <w:szCs w:val="20"/>
        </w:rPr>
        <w:t>,</w:t>
      </w:r>
      <w:r w:rsidRPr="00BB7F10">
        <w:rPr>
          <w:sz w:val="20"/>
          <w:szCs w:val="20"/>
        </w:rPr>
        <w:t xml:space="preserve"> and other terms of service are negotiated separately between the Fair Wages and Salaries Commission</w:t>
      </w:r>
      <w:r w:rsidR="001A716D" w:rsidRPr="00BB7F10">
        <w:rPr>
          <w:sz w:val="20"/>
          <w:szCs w:val="20"/>
        </w:rPr>
        <w:t xml:space="preserve"> (FWSC)</w:t>
      </w:r>
      <w:r w:rsidRPr="00BB7F10">
        <w:rPr>
          <w:sz w:val="20"/>
          <w:szCs w:val="20"/>
        </w:rPr>
        <w:t xml:space="preserve"> and labor representatives for each of the approved service classifications.</w:t>
      </w:r>
    </w:p>
    <w:p w14:paraId="1061BEF2" w14:textId="77777777" w:rsidR="00724BAB" w:rsidRPr="00D074B0" w:rsidRDefault="00724BAB" w:rsidP="00D074B0">
      <w:pPr>
        <w:pStyle w:val="NoSpacing"/>
        <w:pBdr>
          <w:top w:val="single" w:sz="4" w:space="1" w:color="auto"/>
          <w:left w:val="single" w:sz="4" w:space="4" w:color="auto"/>
          <w:bottom w:val="single" w:sz="4" w:space="1" w:color="auto"/>
          <w:right w:val="single" w:sz="4" w:space="4" w:color="auto"/>
        </w:pBdr>
        <w:shd w:val="clear" w:color="auto" w:fill="DBDBDB" w:themeFill="accent3" w:themeFillTint="66"/>
        <w:rPr>
          <w:sz w:val="18"/>
          <w:szCs w:val="18"/>
        </w:rPr>
      </w:pPr>
      <w:r w:rsidRPr="00D074B0">
        <w:rPr>
          <w:i/>
          <w:sz w:val="18"/>
          <w:szCs w:val="18"/>
        </w:rPr>
        <w:t>Source</w:t>
      </w:r>
      <w:r w:rsidRPr="00D074B0">
        <w:rPr>
          <w:sz w:val="18"/>
          <w:szCs w:val="18"/>
        </w:rPr>
        <w:t>:</w:t>
      </w:r>
      <w:r w:rsidRPr="00D074B0">
        <w:rPr>
          <w:b/>
          <w:sz w:val="18"/>
          <w:szCs w:val="18"/>
        </w:rPr>
        <w:t xml:space="preserve"> </w:t>
      </w:r>
      <w:r w:rsidRPr="00D074B0">
        <w:rPr>
          <w:sz w:val="18"/>
          <w:szCs w:val="18"/>
        </w:rPr>
        <w:t xml:space="preserve">Fair Wages and Salaries Commission, 2016 </w:t>
      </w:r>
    </w:p>
    <w:p w14:paraId="10E70BEE" w14:textId="77777777" w:rsidR="00724BAB" w:rsidRPr="00A10065" w:rsidRDefault="00724BAB" w:rsidP="00724BAB">
      <w:pPr>
        <w:pStyle w:val="ListParagraph"/>
        <w:numPr>
          <w:ilvl w:val="0"/>
          <w:numId w:val="13"/>
        </w:numPr>
        <w:spacing w:before="240"/>
      </w:pPr>
      <w:r w:rsidRPr="00A10065">
        <w:rPr>
          <w:b/>
        </w:rPr>
        <w:t>During the four years following the introduction of the SSSS, base pay increased by 71 percent</w:t>
      </w:r>
      <w:r>
        <w:rPr>
          <w:b/>
        </w:rPr>
        <w:t>, rising from GH</w:t>
      </w:r>
      <w:r w:rsidRPr="00A10065">
        <w:rPr>
          <w:b/>
        </w:rPr>
        <w:t>¢ 1</w:t>
      </w:r>
      <w:r w:rsidR="008F4D12">
        <w:rPr>
          <w:b/>
        </w:rPr>
        <w:t>,</w:t>
      </w:r>
      <w:r w:rsidRPr="00A10065">
        <w:rPr>
          <w:b/>
        </w:rPr>
        <w:t xml:space="preserve">108.08 in 2010 to </w:t>
      </w:r>
      <w:r>
        <w:rPr>
          <w:b/>
        </w:rPr>
        <w:t>GH</w:t>
      </w:r>
      <w:r w:rsidRPr="00A10065">
        <w:rPr>
          <w:b/>
        </w:rPr>
        <w:t>¢ 1</w:t>
      </w:r>
      <w:r w:rsidR="008F4D12">
        <w:rPr>
          <w:b/>
        </w:rPr>
        <w:t>,</w:t>
      </w:r>
      <w:r w:rsidRPr="00A10065">
        <w:rPr>
          <w:b/>
        </w:rPr>
        <w:t>898.55 in 2014</w:t>
      </w:r>
      <w:r w:rsidRPr="00A10065">
        <w:t xml:space="preserve">, </w:t>
      </w:r>
      <w:r w:rsidRPr="00A10065">
        <w:rPr>
          <w:b/>
        </w:rPr>
        <w:t>but due to high inflation rates during the period base pay increased by only 12 percent in real terms.</w:t>
      </w:r>
      <w:r w:rsidRPr="00A10065">
        <w:t xml:space="preserve"> A 19 percent real increase between 2010 and 2012 was followed by a 6 percent decline between 2012 and 2014 (</w:t>
      </w:r>
      <w:r w:rsidRPr="00A10065">
        <w:fldChar w:fldCharType="begin"/>
      </w:r>
      <w:r w:rsidRPr="00A10065">
        <w:instrText xml:space="preserve"> REF _Ref470261157 \h </w:instrText>
      </w:r>
      <w:r w:rsidRPr="00A10065">
        <w:fldChar w:fldCharType="separate"/>
      </w:r>
      <w:r w:rsidR="007B1CE6" w:rsidRPr="00A10065">
        <w:t xml:space="preserve">Table </w:t>
      </w:r>
      <w:r w:rsidR="007B1CE6">
        <w:rPr>
          <w:noProof/>
        </w:rPr>
        <w:t>3</w:t>
      </w:r>
      <w:r w:rsidR="007B1CE6">
        <w:t>.</w:t>
      </w:r>
      <w:r w:rsidR="007B1CE6">
        <w:rPr>
          <w:noProof/>
        </w:rPr>
        <w:t>5</w:t>
      </w:r>
      <w:r w:rsidRPr="00A10065">
        <w:fldChar w:fldCharType="end"/>
      </w:r>
      <w:r w:rsidRPr="00A10065">
        <w:t>). This decline accelerated in 2015 due to inflation and the depreciation of the Ghanaian cedi against the US dollar, a trend that continued through 2016.</w:t>
      </w:r>
      <w:r w:rsidRPr="00A10065">
        <w:rPr>
          <w:rStyle w:val="FootnoteReference"/>
          <w:rFonts w:cs="Times New Roman"/>
        </w:rPr>
        <w:footnoteReference w:id="83"/>
      </w:r>
    </w:p>
    <w:p w14:paraId="0AC15DEA" w14:textId="77777777" w:rsidR="00724BAB" w:rsidRPr="00A10065" w:rsidRDefault="00724BAB" w:rsidP="00724BAB">
      <w:pPr>
        <w:pStyle w:val="Caption"/>
        <w:rPr>
          <w:lang w:val="en-US"/>
        </w:rPr>
      </w:pPr>
      <w:bookmarkStart w:id="123" w:name="_Ref470261157"/>
      <w:bookmarkStart w:id="124" w:name="_Toc478837642"/>
      <w:r w:rsidRPr="00A10065">
        <w:rPr>
          <w:lang w:val="en-US"/>
        </w:rPr>
        <w:t xml:space="preserve">Table </w:t>
      </w:r>
      <w:r w:rsidR="00500291">
        <w:rPr>
          <w:lang w:val="en-US"/>
        </w:rPr>
        <w:fldChar w:fldCharType="begin"/>
      </w:r>
      <w:r w:rsidR="00500291">
        <w:rPr>
          <w:lang w:val="en-US"/>
        </w:rPr>
        <w:instrText xml:space="preserve"> STYLEREF 1 \s </w:instrText>
      </w:r>
      <w:r w:rsidR="00500291">
        <w:rPr>
          <w:lang w:val="en-US"/>
        </w:rPr>
        <w:fldChar w:fldCharType="separate"/>
      </w:r>
      <w:r w:rsidR="007B1CE6">
        <w:rPr>
          <w:noProof/>
          <w:lang w:val="en-US"/>
        </w:rPr>
        <w:t>3</w:t>
      </w:r>
      <w:r w:rsidR="00500291">
        <w:rPr>
          <w:lang w:val="en-US"/>
        </w:rPr>
        <w:fldChar w:fldCharType="end"/>
      </w:r>
      <w:r w:rsidR="00500291">
        <w:rPr>
          <w:lang w:val="en-US"/>
        </w:rPr>
        <w:t>.</w:t>
      </w:r>
      <w:r w:rsidR="00500291">
        <w:rPr>
          <w:lang w:val="en-US"/>
        </w:rPr>
        <w:fldChar w:fldCharType="begin"/>
      </w:r>
      <w:r w:rsidR="00500291">
        <w:rPr>
          <w:lang w:val="en-US"/>
        </w:rPr>
        <w:instrText xml:space="preserve"> SEQ Table \* ARABIC \s 1 </w:instrText>
      </w:r>
      <w:r w:rsidR="00500291">
        <w:rPr>
          <w:lang w:val="en-US"/>
        </w:rPr>
        <w:fldChar w:fldCharType="separate"/>
      </w:r>
      <w:r w:rsidR="007B1CE6">
        <w:rPr>
          <w:noProof/>
          <w:lang w:val="en-US"/>
        </w:rPr>
        <w:t>5</w:t>
      </w:r>
      <w:r w:rsidR="00500291">
        <w:rPr>
          <w:lang w:val="en-US"/>
        </w:rPr>
        <w:fldChar w:fldCharType="end"/>
      </w:r>
      <w:bookmarkEnd w:id="123"/>
      <w:r w:rsidRPr="00A10065">
        <w:rPr>
          <w:lang w:val="en-US"/>
        </w:rPr>
        <w:t xml:space="preserve">: </w:t>
      </w:r>
      <w:r>
        <w:rPr>
          <w:lang w:val="en-US"/>
        </w:rPr>
        <w:t>Wage Dynamics under the SSSS, 2010-14</w:t>
      </w:r>
      <w:bookmarkEnd w:id="124"/>
    </w:p>
    <w:tbl>
      <w:tblPr>
        <w:tblStyle w:val="TableGrid"/>
        <w:tblW w:w="0" w:type="auto"/>
        <w:tblInd w:w="85" w:type="dxa"/>
        <w:tblLayout w:type="fixed"/>
        <w:tblLook w:val="04A0" w:firstRow="1" w:lastRow="0" w:firstColumn="1" w:lastColumn="0" w:noHBand="0" w:noVBand="1"/>
      </w:tblPr>
      <w:tblGrid>
        <w:gridCol w:w="1620"/>
        <w:gridCol w:w="1980"/>
        <w:gridCol w:w="1675"/>
        <w:gridCol w:w="2045"/>
        <w:gridCol w:w="1945"/>
      </w:tblGrid>
      <w:tr w:rsidR="00724BAB" w:rsidRPr="001C67F0" w14:paraId="1CF5DDB2" w14:textId="77777777" w:rsidTr="00E566F7">
        <w:tc>
          <w:tcPr>
            <w:tcW w:w="1620" w:type="dxa"/>
          </w:tcPr>
          <w:p w14:paraId="373C932E"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Year</w:t>
            </w:r>
          </w:p>
        </w:tc>
        <w:tc>
          <w:tcPr>
            <w:tcW w:w="1980" w:type="dxa"/>
          </w:tcPr>
          <w:p w14:paraId="29E715E4" w14:textId="77777777" w:rsidR="00724BAB" w:rsidRPr="001C67F0" w:rsidRDefault="00724BAB" w:rsidP="00E566F7">
            <w:pPr>
              <w:pStyle w:val="NoSpacing"/>
              <w:jc w:val="center"/>
              <w:rPr>
                <w:rFonts w:asciiTheme="minorHAnsi" w:hAnsiTheme="minorHAnsi"/>
                <w:b/>
              </w:rPr>
            </w:pPr>
            <w:r w:rsidRPr="001C67F0">
              <w:rPr>
                <w:rFonts w:asciiTheme="minorHAnsi" w:hAnsiTheme="minorHAnsi"/>
              </w:rPr>
              <w:t>Base Pay (GH</w:t>
            </w:r>
            <w:r w:rsidRPr="001C67F0">
              <w:rPr>
                <w:rFonts w:asciiTheme="minorHAnsi" w:hAnsiTheme="minorHAnsi" w:cs="Times New Roman"/>
              </w:rPr>
              <w:t>¢</w:t>
            </w:r>
            <w:r w:rsidRPr="001C67F0">
              <w:rPr>
                <w:rFonts w:asciiTheme="minorHAnsi" w:hAnsiTheme="minorHAnsi"/>
              </w:rPr>
              <w:t>)</w:t>
            </w:r>
          </w:p>
        </w:tc>
        <w:tc>
          <w:tcPr>
            <w:tcW w:w="1675" w:type="dxa"/>
          </w:tcPr>
          <w:p w14:paraId="213F9EED"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Increase (%)</w:t>
            </w:r>
          </w:p>
        </w:tc>
        <w:tc>
          <w:tcPr>
            <w:tcW w:w="2045" w:type="dxa"/>
          </w:tcPr>
          <w:p w14:paraId="20C0AE6F"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Inflation (Average)</w:t>
            </w:r>
          </w:p>
        </w:tc>
        <w:tc>
          <w:tcPr>
            <w:tcW w:w="1945" w:type="dxa"/>
          </w:tcPr>
          <w:p w14:paraId="1AF0A4FA"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Real Wages Index</w:t>
            </w:r>
          </w:p>
        </w:tc>
      </w:tr>
      <w:tr w:rsidR="00724BAB" w:rsidRPr="001C67F0" w14:paraId="79294846" w14:textId="77777777" w:rsidTr="00E566F7">
        <w:tc>
          <w:tcPr>
            <w:tcW w:w="1620" w:type="dxa"/>
          </w:tcPr>
          <w:p w14:paraId="1F46A519"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2010</w:t>
            </w:r>
          </w:p>
        </w:tc>
        <w:tc>
          <w:tcPr>
            <w:tcW w:w="1980" w:type="dxa"/>
          </w:tcPr>
          <w:p w14:paraId="743862BB"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1,108</w:t>
            </w:r>
          </w:p>
        </w:tc>
        <w:tc>
          <w:tcPr>
            <w:tcW w:w="1675" w:type="dxa"/>
          </w:tcPr>
          <w:p w14:paraId="3230980B" w14:textId="77777777" w:rsidR="00724BAB" w:rsidRPr="001C67F0" w:rsidRDefault="00724BAB" w:rsidP="00E566F7">
            <w:pPr>
              <w:pStyle w:val="NoSpacing"/>
              <w:jc w:val="center"/>
              <w:rPr>
                <w:rFonts w:asciiTheme="minorHAnsi" w:hAnsiTheme="minorHAnsi"/>
              </w:rPr>
            </w:pPr>
          </w:p>
        </w:tc>
        <w:tc>
          <w:tcPr>
            <w:tcW w:w="2045" w:type="dxa"/>
          </w:tcPr>
          <w:p w14:paraId="0D45BE6F" w14:textId="77777777" w:rsidR="00724BAB" w:rsidRPr="001C67F0" w:rsidRDefault="00724BAB" w:rsidP="00E566F7">
            <w:pPr>
              <w:pStyle w:val="NoSpacing"/>
              <w:jc w:val="center"/>
              <w:rPr>
                <w:rFonts w:asciiTheme="minorHAnsi" w:hAnsiTheme="minorHAnsi"/>
              </w:rPr>
            </w:pPr>
          </w:p>
        </w:tc>
        <w:tc>
          <w:tcPr>
            <w:tcW w:w="1945" w:type="dxa"/>
          </w:tcPr>
          <w:p w14:paraId="47A75309"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3.29</w:t>
            </w:r>
          </w:p>
        </w:tc>
      </w:tr>
      <w:tr w:rsidR="00724BAB" w:rsidRPr="001C67F0" w14:paraId="4D54F038" w14:textId="77777777" w:rsidTr="00E566F7">
        <w:tc>
          <w:tcPr>
            <w:tcW w:w="1620" w:type="dxa"/>
          </w:tcPr>
          <w:p w14:paraId="3FC694A0"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2011</w:t>
            </w:r>
          </w:p>
        </w:tc>
        <w:tc>
          <w:tcPr>
            <w:tcW w:w="1980" w:type="dxa"/>
          </w:tcPr>
          <w:p w14:paraId="404086E1"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1,330</w:t>
            </w:r>
          </w:p>
        </w:tc>
        <w:tc>
          <w:tcPr>
            <w:tcW w:w="1675" w:type="dxa"/>
          </w:tcPr>
          <w:p w14:paraId="06834DE4"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20</w:t>
            </w:r>
          </w:p>
        </w:tc>
        <w:tc>
          <w:tcPr>
            <w:tcW w:w="2045" w:type="dxa"/>
          </w:tcPr>
          <w:p w14:paraId="764FE9BC"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8.7</w:t>
            </w:r>
          </w:p>
        </w:tc>
        <w:tc>
          <w:tcPr>
            <w:tcW w:w="1945" w:type="dxa"/>
          </w:tcPr>
          <w:p w14:paraId="72C6BD31"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3.63</w:t>
            </w:r>
          </w:p>
        </w:tc>
      </w:tr>
      <w:tr w:rsidR="00724BAB" w:rsidRPr="001C67F0" w14:paraId="31B411A7" w14:textId="77777777" w:rsidTr="00E566F7">
        <w:tc>
          <w:tcPr>
            <w:tcW w:w="1620" w:type="dxa"/>
          </w:tcPr>
          <w:p w14:paraId="4E907214"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2012</w:t>
            </w:r>
          </w:p>
        </w:tc>
        <w:tc>
          <w:tcPr>
            <w:tcW w:w="1980" w:type="dxa"/>
          </w:tcPr>
          <w:p w14:paraId="16754C06"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1,569</w:t>
            </w:r>
          </w:p>
        </w:tc>
        <w:tc>
          <w:tcPr>
            <w:tcW w:w="1675" w:type="dxa"/>
          </w:tcPr>
          <w:p w14:paraId="2CF24518"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18</w:t>
            </w:r>
          </w:p>
        </w:tc>
        <w:tc>
          <w:tcPr>
            <w:tcW w:w="2045" w:type="dxa"/>
          </w:tcPr>
          <w:p w14:paraId="6551650F"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8.5</w:t>
            </w:r>
          </w:p>
        </w:tc>
        <w:tc>
          <w:tcPr>
            <w:tcW w:w="1945" w:type="dxa"/>
          </w:tcPr>
          <w:p w14:paraId="7E9EEB41"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3.92</w:t>
            </w:r>
          </w:p>
        </w:tc>
      </w:tr>
      <w:tr w:rsidR="00724BAB" w:rsidRPr="001C67F0" w14:paraId="50216E75" w14:textId="77777777" w:rsidTr="00E566F7">
        <w:tc>
          <w:tcPr>
            <w:tcW w:w="1620" w:type="dxa"/>
          </w:tcPr>
          <w:p w14:paraId="64160304"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2013</w:t>
            </w:r>
          </w:p>
        </w:tc>
        <w:tc>
          <w:tcPr>
            <w:tcW w:w="1980" w:type="dxa"/>
          </w:tcPr>
          <w:p w14:paraId="3B7E9801"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1,726</w:t>
            </w:r>
          </w:p>
        </w:tc>
        <w:tc>
          <w:tcPr>
            <w:tcW w:w="1675" w:type="dxa"/>
          </w:tcPr>
          <w:p w14:paraId="029A3941"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10</w:t>
            </w:r>
          </w:p>
        </w:tc>
        <w:tc>
          <w:tcPr>
            <w:tcW w:w="2045" w:type="dxa"/>
          </w:tcPr>
          <w:p w14:paraId="719332C0"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11.7</w:t>
            </w:r>
          </w:p>
        </w:tc>
        <w:tc>
          <w:tcPr>
            <w:tcW w:w="1945" w:type="dxa"/>
          </w:tcPr>
          <w:p w14:paraId="370EDC2D"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3.87</w:t>
            </w:r>
          </w:p>
        </w:tc>
      </w:tr>
      <w:tr w:rsidR="00724BAB" w:rsidRPr="001C67F0" w14:paraId="39EE4424" w14:textId="77777777" w:rsidTr="00E566F7">
        <w:tc>
          <w:tcPr>
            <w:tcW w:w="1620" w:type="dxa"/>
          </w:tcPr>
          <w:p w14:paraId="2D975C9E"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2014</w:t>
            </w:r>
          </w:p>
        </w:tc>
        <w:tc>
          <w:tcPr>
            <w:tcW w:w="1980" w:type="dxa"/>
          </w:tcPr>
          <w:p w14:paraId="22C8D245"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1,896</w:t>
            </w:r>
          </w:p>
        </w:tc>
        <w:tc>
          <w:tcPr>
            <w:tcW w:w="1675" w:type="dxa"/>
          </w:tcPr>
          <w:p w14:paraId="0D3775BD"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10</w:t>
            </w:r>
          </w:p>
        </w:tc>
        <w:tc>
          <w:tcPr>
            <w:tcW w:w="2045" w:type="dxa"/>
          </w:tcPr>
          <w:p w14:paraId="23AC90E1"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15.7</w:t>
            </w:r>
          </w:p>
        </w:tc>
        <w:tc>
          <w:tcPr>
            <w:tcW w:w="1945" w:type="dxa"/>
          </w:tcPr>
          <w:p w14:paraId="2E3ECA93"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3.68</w:t>
            </w:r>
          </w:p>
        </w:tc>
      </w:tr>
      <w:tr w:rsidR="00724BAB" w:rsidRPr="001C67F0" w14:paraId="06E8FB4F" w14:textId="77777777" w:rsidTr="00E566F7">
        <w:tc>
          <w:tcPr>
            <w:tcW w:w="1620" w:type="dxa"/>
          </w:tcPr>
          <w:p w14:paraId="04B8F1A6"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2015</w:t>
            </w:r>
          </w:p>
        </w:tc>
        <w:tc>
          <w:tcPr>
            <w:tcW w:w="1980" w:type="dxa"/>
          </w:tcPr>
          <w:p w14:paraId="461B153E"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1,950</w:t>
            </w:r>
          </w:p>
        </w:tc>
        <w:tc>
          <w:tcPr>
            <w:tcW w:w="1675" w:type="dxa"/>
          </w:tcPr>
          <w:p w14:paraId="180ABE3F"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13</w:t>
            </w:r>
          </w:p>
        </w:tc>
        <w:tc>
          <w:tcPr>
            <w:tcW w:w="2045" w:type="dxa"/>
          </w:tcPr>
          <w:p w14:paraId="6F313EBE" w14:textId="77777777" w:rsidR="00724BAB" w:rsidRPr="001C67F0" w:rsidRDefault="00724BAB" w:rsidP="00E566F7">
            <w:pPr>
              <w:pStyle w:val="NoSpacing"/>
              <w:jc w:val="center"/>
              <w:rPr>
                <w:rFonts w:asciiTheme="minorHAnsi" w:hAnsiTheme="minorHAnsi"/>
              </w:rPr>
            </w:pPr>
            <w:r w:rsidRPr="001C67F0">
              <w:rPr>
                <w:rFonts w:asciiTheme="minorHAnsi" w:hAnsiTheme="minorHAnsi"/>
              </w:rPr>
              <w:t>15.4</w:t>
            </w:r>
          </w:p>
        </w:tc>
        <w:tc>
          <w:tcPr>
            <w:tcW w:w="1945" w:type="dxa"/>
          </w:tcPr>
          <w:p w14:paraId="4F40E048" w14:textId="77777777" w:rsidR="00724BAB" w:rsidRPr="001C67F0" w:rsidRDefault="00724BAB" w:rsidP="00E566F7">
            <w:pPr>
              <w:pStyle w:val="NoSpacing"/>
              <w:jc w:val="center"/>
              <w:rPr>
                <w:rFonts w:asciiTheme="minorHAnsi" w:hAnsiTheme="minorHAnsi"/>
              </w:rPr>
            </w:pPr>
          </w:p>
        </w:tc>
      </w:tr>
    </w:tbl>
    <w:p w14:paraId="32FDAE50" w14:textId="77777777" w:rsidR="00724BAB" w:rsidRPr="007925A8" w:rsidRDefault="00724BAB" w:rsidP="00724BAB">
      <w:pPr>
        <w:pStyle w:val="NoSpacing"/>
        <w:spacing w:after="240"/>
        <w:rPr>
          <w:rStyle w:val="NoSpacingChar"/>
          <w:rFonts w:ascii="Garamond" w:hAnsi="Garamond" w:cs="Times New Roman"/>
          <w:b/>
          <w:sz w:val="20"/>
          <w:szCs w:val="20"/>
        </w:rPr>
      </w:pPr>
      <w:r w:rsidRPr="007925A8">
        <w:rPr>
          <w:rStyle w:val="NoSpacingChar"/>
          <w:rFonts w:ascii="Garamond" w:hAnsi="Garamond" w:cs="Times New Roman"/>
          <w:i/>
          <w:sz w:val="20"/>
          <w:szCs w:val="20"/>
        </w:rPr>
        <w:t>Source</w:t>
      </w:r>
      <w:r w:rsidRPr="007925A8">
        <w:rPr>
          <w:rStyle w:val="NoSpacingChar"/>
          <w:rFonts w:ascii="Garamond" w:hAnsi="Garamond" w:cs="Times New Roman"/>
          <w:sz w:val="20"/>
          <w:szCs w:val="20"/>
        </w:rPr>
        <w:t>: Baah, 2015.</w:t>
      </w:r>
    </w:p>
    <w:p w14:paraId="4914F7C6" w14:textId="77777777" w:rsidR="00724BAB" w:rsidRPr="00A10065" w:rsidRDefault="00724BAB" w:rsidP="00724BAB">
      <w:pPr>
        <w:pStyle w:val="ListParagraph"/>
        <w:numPr>
          <w:ilvl w:val="0"/>
          <w:numId w:val="13"/>
        </w:numPr>
      </w:pPr>
      <w:r w:rsidRPr="00A10065">
        <w:rPr>
          <w:b/>
        </w:rPr>
        <w:t>The SSSS was designed to consolidate a highly fragmented public sector pay structure.</w:t>
      </w:r>
      <w:r w:rsidRPr="00A10065">
        <w:t xml:space="preserve"> Prior to 2006, the public sector included 18 different compensation regimes, each with its own collective bargaining arrangements, which resulted in a highly unequal distribution of wages. Importantly, the bargaining power of different branches of the public service not only influenced the wages of sector-specific employees, such as teachers or nurses, but also those of general service and administrative staff. For example, because the health sector had negotiated an especially generous compensation package, </w:t>
      </w:r>
      <w:r>
        <w:t xml:space="preserve">vehicle </w:t>
      </w:r>
      <w:r w:rsidRPr="00A10065">
        <w:t>drivers in the health sector were paid substantially more than drivers in other sectors. Under the SSSS, these 18 compensation regimes would be consolidated into a single pay scale, and all public employees would be classified according to a uniform system of occupational grades, with each grade’s compensation determined by its position on the pay scale (</w:t>
      </w:r>
      <w:r w:rsidRPr="00A10065">
        <w:fldChar w:fldCharType="begin"/>
      </w:r>
      <w:r w:rsidRPr="00A10065">
        <w:instrText xml:space="preserve"> REF _Ref470271142 \h </w:instrText>
      </w:r>
      <w:r w:rsidRPr="00A10065">
        <w:fldChar w:fldCharType="separate"/>
      </w:r>
      <w:r w:rsidR="007B1CE6" w:rsidRPr="00A10065">
        <w:t xml:space="preserve">Figure </w:t>
      </w:r>
      <w:r w:rsidR="007B1CE6">
        <w:rPr>
          <w:noProof/>
        </w:rPr>
        <w:t>3</w:t>
      </w:r>
      <w:r w:rsidR="007B1CE6">
        <w:t>.</w:t>
      </w:r>
      <w:r w:rsidR="007B1CE6">
        <w:rPr>
          <w:noProof/>
        </w:rPr>
        <w:t>1</w:t>
      </w:r>
      <w:r w:rsidRPr="00A10065">
        <w:fldChar w:fldCharType="end"/>
      </w:r>
      <w:r w:rsidRPr="00A10065">
        <w:t xml:space="preserve">). </w:t>
      </w:r>
    </w:p>
    <w:p w14:paraId="4472300F" w14:textId="77777777" w:rsidR="00724BAB" w:rsidRPr="00A10065" w:rsidRDefault="00724BAB" w:rsidP="00724BAB">
      <w:pPr>
        <w:pStyle w:val="Caption"/>
        <w:rPr>
          <w:lang w:val="en-US"/>
        </w:rPr>
      </w:pPr>
      <w:bookmarkStart w:id="125" w:name="_Ref470271142"/>
      <w:bookmarkStart w:id="126" w:name="_Toc479624931"/>
      <w:r w:rsidRPr="00A10065">
        <w:rPr>
          <w:lang w:val="en-US"/>
        </w:rPr>
        <w:lastRenderedPageBreak/>
        <w:t xml:space="preserve">Figure </w:t>
      </w:r>
      <w:r w:rsidR="005C0067">
        <w:rPr>
          <w:lang w:val="en-US"/>
        </w:rPr>
        <w:fldChar w:fldCharType="begin"/>
      </w:r>
      <w:r w:rsidR="005C0067">
        <w:rPr>
          <w:lang w:val="en-US"/>
        </w:rPr>
        <w:instrText xml:space="preserve"> STYLEREF 1 \s </w:instrText>
      </w:r>
      <w:r w:rsidR="005C0067">
        <w:rPr>
          <w:lang w:val="en-US"/>
        </w:rPr>
        <w:fldChar w:fldCharType="separate"/>
      </w:r>
      <w:r w:rsidR="007B1CE6">
        <w:rPr>
          <w:noProof/>
          <w:lang w:val="en-US"/>
        </w:rPr>
        <w:t>3</w:t>
      </w:r>
      <w:r w:rsidR="005C0067">
        <w:rPr>
          <w:lang w:val="en-US"/>
        </w:rPr>
        <w:fldChar w:fldCharType="end"/>
      </w:r>
      <w:r w:rsidR="005C0067">
        <w:rPr>
          <w:lang w:val="en-US"/>
        </w:rPr>
        <w:t>.</w:t>
      </w:r>
      <w:r w:rsidR="005C0067">
        <w:rPr>
          <w:lang w:val="en-US"/>
        </w:rPr>
        <w:fldChar w:fldCharType="begin"/>
      </w:r>
      <w:r w:rsidR="005C0067">
        <w:rPr>
          <w:lang w:val="en-US"/>
        </w:rPr>
        <w:instrText xml:space="preserve"> SEQ Figure \* ARABIC \s 1 </w:instrText>
      </w:r>
      <w:r w:rsidR="005C0067">
        <w:rPr>
          <w:lang w:val="en-US"/>
        </w:rPr>
        <w:fldChar w:fldCharType="separate"/>
      </w:r>
      <w:r w:rsidR="007B1CE6">
        <w:rPr>
          <w:noProof/>
          <w:lang w:val="en-US"/>
        </w:rPr>
        <w:t>1</w:t>
      </w:r>
      <w:r w:rsidR="005C0067">
        <w:rPr>
          <w:lang w:val="en-US"/>
        </w:rPr>
        <w:fldChar w:fldCharType="end"/>
      </w:r>
      <w:bookmarkEnd w:id="125"/>
      <w:r w:rsidRPr="00A10065">
        <w:rPr>
          <w:lang w:val="en-US"/>
        </w:rPr>
        <w:t>: Diagram of a Model SSSS System</w:t>
      </w:r>
      <w:bookmarkEnd w:id="126"/>
    </w:p>
    <w:tbl>
      <w:tblPr>
        <w:tblW w:w="5822" w:type="dxa"/>
        <w:jc w:val="center"/>
        <w:tblLayout w:type="fixed"/>
        <w:tblLook w:val="04A0" w:firstRow="1" w:lastRow="0" w:firstColumn="1" w:lastColumn="0" w:noHBand="0" w:noVBand="1"/>
      </w:tblPr>
      <w:tblGrid>
        <w:gridCol w:w="870"/>
        <w:gridCol w:w="900"/>
        <w:gridCol w:w="274"/>
        <w:gridCol w:w="441"/>
        <w:gridCol w:w="253"/>
        <w:gridCol w:w="253"/>
        <w:gridCol w:w="253"/>
        <w:gridCol w:w="253"/>
        <w:gridCol w:w="837"/>
        <w:gridCol w:w="1488"/>
      </w:tblGrid>
      <w:tr w:rsidR="00724BAB" w:rsidRPr="0023527A" w14:paraId="1B57AC1E" w14:textId="77777777" w:rsidTr="00E566F7">
        <w:trPr>
          <w:trHeight w:val="264"/>
          <w:jc w:val="center"/>
        </w:trPr>
        <w:tc>
          <w:tcPr>
            <w:tcW w:w="1770" w:type="dxa"/>
            <w:gridSpan w:val="2"/>
            <w:tcBorders>
              <w:top w:val="single" w:sz="4" w:space="0" w:color="auto"/>
              <w:left w:val="single" w:sz="4" w:space="0" w:color="auto"/>
              <w:bottom w:val="nil"/>
              <w:right w:val="nil"/>
            </w:tcBorders>
            <w:shd w:val="clear" w:color="auto" w:fill="auto"/>
            <w:noWrap/>
            <w:vAlign w:val="center"/>
            <w:hideMark/>
          </w:tcPr>
          <w:p w14:paraId="6BAA9413" w14:textId="77777777" w:rsidR="00724BAB" w:rsidRPr="007925A8" w:rsidRDefault="00724BAB" w:rsidP="00E566F7">
            <w:pPr>
              <w:keepNext/>
              <w:jc w:val="center"/>
              <w:rPr>
                <w:rFonts w:ascii="Garamond" w:eastAsia="Times New Roman" w:hAnsi="Garamond"/>
                <w:sz w:val="20"/>
                <w:szCs w:val="20"/>
                <w:lang w:eastAsia="en-GB"/>
              </w:rPr>
            </w:pPr>
            <w:r w:rsidRPr="007925A8">
              <w:rPr>
                <w:rFonts w:ascii="Garamond" w:eastAsia="Times New Roman" w:hAnsi="Garamond"/>
                <w:sz w:val="20"/>
                <w:szCs w:val="20"/>
                <w:lang w:eastAsia="en-GB"/>
              </w:rPr>
              <w:t>PAY SPINE</w:t>
            </w:r>
          </w:p>
        </w:tc>
        <w:tc>
          <w:tcPr>
            <w:tcW w:w="274" w:type="dxa"/>
            <w:tcBorders>
              <w:top w:val="single" w:sz="4" w:space="0" w:color="auto"/>
              <w:left w:val="nil"/>
              <w:bottom w:val="nil"/>
              <w:right w:val="nil"/>
            </w:tcBorders>
            <w:shd w:val="clear" w:color="auto" w:fill="auto"/>
            <w:noWrap/>
            <w:vAlign w:val="bottom"/>
            <w:hideMark/>
          </w:tcPr>
          <w:p w14:paraId="09FF9AEF" w14:textId="77777777" w:rsidR="00724BAB" w:rsidRPr="007925A8" w:rsidRDefault="00724BAB" w:rsidP="00E566F7">
            <w:pPr>
              <w:keepNext/>
              <w:rPr>
                <w:rFonts w:ascii="Garamond" w:eastAsia="Times New Roman" w:hAnsi="Garamond"/>
                <w:sz w:val="20"/>
                <w:szCs w:val="20"/>
                <w:lang w:eastAsia="en-GB"/>
              </w:rPr>
            </w:pPr>
          </w:p>
        </w:tc>
        <w:tc>
          <w:tcPr>
            <w:tcW w:w="441" w:type="dxa"/>
            <w:tcBorders>
              <w:top w:val="single" w:sz="4" w:space="0" w:color="auto"/>
              <w:left w:val="nil"/>
              <w:bottom w:val="nil"/>
              <w:right w:val="nil"/>
            </w:tcBorders>
            <w:shd w:val="clear" w:color="auto" w:fill="auto"/>
            <w:noWrap/>
            <w:vAlign w:val="bottom"/>
            <w:hideMark/>
          </w:tcPr>
          <w:p w14:paraId="2DE78A62"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single" w:sz="4" w:space="0" w:color="auto"/>
              <w:left w:val="nil"/>
              <w:bottom w:val="nil"/>
              <w:right w:val="nil"/>
            </w:tcBorders>
            <w:shd w:val="clear" w:color="auto" w:fill="auto"/>
            <w:noWrap/>
            <w:vAlign w:val="bottom"/>
            <w:hideMark/>
          </w:tcPr>
          <w:p w14:paraId="26B496FD"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single" w:sz="4" w:space="0" w:color="auto"/>
              <w:left w:val="nil"/>
              <w:bottom w:val="nil"/>
              <w:right w:val="nil"/>
            </w:tcBorders>
            <w:shd w:val="clear" w:color="auto" w:fill="auto"/>
            <w:noWrap/>
            <w:vAlign w:val="bottom"/>
            <w:hideMark/>
          </w:tcPr>
          <w:p w14:paraId="79112307"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single" w:sz="4" w:space="0" w:color="auto"/>
              <w:left w:val="nil"/>
              <w:bottom w:val="nil"/>
              <w:right w:val="nil"/>
            </w:tcBorders>
            <w:shd w:val="clear" w:color="auto" w:fill="auto"/>
            <w:noWrap/>
            <w:vAlign w:val="bottom"/>
            <w:hideMark/>
          </w:tcPr>
          <w:p w14:paraId="2179A973"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single" w:sz="4" w:space="0" w:color="auto"/>
              <w:left w:val="nil"/>
              <w:bottom w:val="nil"/>
              <w:right w:val="nil"/>
            </w:tcBorders>
            <w:shd w:val="clear" w:color="auto" w:fill="auto"/>
            <w:noWrap/>
            <w:vAlign w:val="bottom"/>
            <w:hideMark/>
          </w:tcPr>
          <w:p w14:paraId="53665573" w14:textId="77777777" w:rsidR="00724BAB" w:rsidRPr="007925A8" w:rsidRDefault="00724BAB" w:rsidP="00E566F7">
            <w:pPr>
              <w:keepNext/>
              <w:rPr>
                <w:rFonts w:ascii="Garamond" w:eastAsia="Times New Roman" w:hAnsi="Garamond"/>
                <w:sz w:val="20"/>
                <w:szCs w:val="20"/>
                <w:lang w:eastAsia="en-GB"/>
              </w:rPr>
            </w:pPr>
          </w:p>
        </w:tc>
        <w:tc>
          <w:tcPr>
            <w:tcW w:w="837" w:type="dxa"/>
            <w:tcBorders>
              <w:top w:val="single" w:sz="4" w:space="0" w:color="auto"/>
              <w:left w:val="nil"/>
              <w:bottom w:val="nil"/>
              <w:right w:val="nil"/>
            </w:tcBorders>
            <w:shd w:val="clear" w:color="auto" w:fill="auto"/>
            <w:noWrap/>
            <w:vAlign w:val="bottom"/>
            <w:hideMark/>
          </w:tcPr>
          <w:p w14:paraId="17E91138" w14:textId="77777777" w:rsidR="00724BAB" w:rsidRPr="007925A8" w:rsidRDefault="00724BAB" w:rsidP="00E566F7">
            <w:pPr>
              <w:keepNext/>
              <w:rPr>
                <w:rFonts w:ascii="Garamond" w:eastAsia="Times New Roman" w:hAnsi="Garamond"/>
                <w:sz w:val="20"/>
                <w:szCs w:val="20"/>
                <w:lang w:eastAsia="en-GB"/>
              </w:rPr>
            </w:pPr>
          </w:p>
        </w:tc>
        <w:tc>
          <w:tcPr>
            <w:tcW w:w="1488" w:type="dxa"/>
            <w:tcBorders>
              <w:top w:val="single" w:sz="4" w:space="0" w:color="auto"/>
              <w:left w:val="nil"/>
              <w:bottom w:val="nil"/>
              <w:right w:val="single" w:sz="4" w:space="0" w:color="auto"/>
            </w:tcBorders>
            <w:shd w:val="clear" w:color="auto" w:fill="auto"/>
            <w:noWrap/>
            <w:vAlign w:val="bottom"/>
            <w:hideMark/>
          </w:tcPr>
          <w:p w14:paraId="63464F28" w14:textId="77777777" w:rsidR="00724BAB" w:rsidRPr="007925A8" w:rsidRDefault="00724BAB" w:rsidP="00E566F7">
            <w:pPr>
              <w:keepNext/>
              <w:rPr>
                <w:rFonts w:ascii="Garamond" w:eastAsia="Times New Roman" w:hAnsi="Garamond"/>
                <w:sz w:val="20"/>
                <w:szCs w:val="20"/>
                <w:lang w:eastAsia="en-GB"/>
              </w:rPr>
            </w:pPr>
          </w:p>
        </w:tc>
      </w:tr>
      <w:tr w:rsidR="00724BAB" w:rsidRPr="0023527A" w14:paraId="478668DB" w14:textId="77777777" w:rsidTr="00E566F7">
        <w:trPr>
          <w:trHeight w:val="606"/>
          <w:jc w:val="center"/>
        </w:trPr>
        <w:tc>
          <w:tcPr>
            <w:tcW w:w="870" w:type="dxa"/>
            <w:tcBorders>
              <w:top w:val="nil"/>
              <w:left w:val="single" w:sz="4" w:space="0" w:color="auto"/>
              <w:bottom w:val="nil"/>
              <w:right w:val="nil"/>
            </w:tcBorders>
            <w:shd w:val="clear" w:color="auto" w:fill="auto"/>
            <w:hideMark/>
          </w:tcPr>
          <w:p w14:paraId="0D72B4AC" w14:textId="77777777" w:rsidR="00724BAB" w:rsidRPr="007925A8" w:rsidRDefault="00724BAB" w:rsidP="00E566F7">
            <w:pPr>
              <w:keepNext/>
              <w:jc w:val="center"/>
              <w:rPr>
                <w:rFonts w:ascii="Garamond" w:eastAsia="Times New Roman" w:hAnsi="Garamond"/>
                <w:sz w:val="20"/>
                <w:szCs w:val="20"/>
                <w:lang w:eastAsia="en-GB"/>
              </w:rPr>
            </w:pPr>
            <w:r w:rsidRPr="007925A8">
              <w:rPr>
                <w:rFonts w:ascii="Garamond" w:eastAsia="Times New Roman" w:hAnsi="Garamond"/>
                <w:sz w:val="20"/>
                <w:szCs w:val="20"/>
                <w:lang w:eastAsia="en-GB"/>
              </w:rPr>
              <w:t>Pay Points</w:t>
            </w:r>
          </w:p>
        </w:tc>
        <w:tc>
          <w:tcPr>
            <w:tcW w:w="900" w:type="dxa"/>
            <w:tcBorders>
              <w:top w:val="nil"/>
              <w:left w:val="nil"/>
              <w:bottom w:val="nil"/>
              <w:right w:val="nil"/>
            </w:tcBorders>
            <w:shd w:val="clear" w:color="auto" w:fill="auto"/>
            <w:hideMark/>
          </w:tcPr>
          <w:p w14:paraId="0489DFB0" w14:textId="77777777" w:rsidR="00724BAB" w:rsidRPr="007925A8" w:rsidRDefault="00724BAB" w:rsidP="00E566F7">
            <w:pPr>
              <w:keepNext/>
              <w:jc w:val="center"/>
              <w:rPr>
                <w:rFonts w:ascii="Garamond" w:eastAsia="Times New Roman" w:hAnsi="Garamond"/>
                <w:sz w:val="20"/>
                <w:szCs w:val="20"/>
                <w:lang w:eastAsia="en-GB"/>
              </w:rPr>
            </w:pPr>
            <w:r w:rsidRPr="007925A8">
              <w:rPr>
                <w:rFonts w:ascii="Garamond" w:eastAsia="Times New Roman" w:hAnsi="Garamond"/>
                <w:sz w:val="20"/>
                <w:szCs w:val="20"/>
                <w:lang w:eastAsia="en-GB"/>
              </w:rPr>
              <w:t>Base Pay</w:t>
            </w:r>
          </w:p>
        </w:tc>
        <w:tc>
          <w:tcPr>
            <w:tcW w:w="274" w:type="dxa"/>
            <w:tcBorders>
              <w:top w:val="nil"/>
              <w:left w:val="nil"/>
              <w:bottom w:val="nil"/>
              <w:right w:val="nil"/>
            </w:tcBorders>
            <w:shd w:val="clear" w:color="auto" w:fill="auto"/>
            <w:hideMark/>
          </w:tcPr>
          <w:p w14:paraId="38571511" w14:textId="77777777" w:rsidR="00724BAB" w:rsidRPr="007925A8" w:rsidRDefault="00724BAB" w:rsidP="00E566F7">
            <w:pPr>
              <w:keepNext/>
              <w:rPr>
                <w:rFonts w:ascii="Garamond" w:eastAsia="Times New Roman" w:hAnsi="Garamond"/>
                <w:sz w:val="20"/>
                <w:szCs w:val="20"/>
                <w:lang w:eastAsia="en-GB"/>
              </w:rPr>
            </w:pPr>
          </w:p>
        </w:tc>
        <w:tc>
          <w:tcPr>
            <w:tcW w:w="1453" w:type="dxa"/>
            <w:gridSpan w:val="5"/>
            <w:tcBorders>
              <w:top w:val="nil"/>
              <w:left w:val="nil"/>
              <w:bottom w:val="nil"/>
              <w:right w:val="nil"/>
            </w:tcBorders>
            <w:shd w:val="clear" w:color="auto" w:fill="auto"/>
            <w:noWrap/>
            <w:vAlign w:val="bottom"/>
            <w:hideMark/>
          </w:tcPr>
          <w:p w14:paraId="7FCFF481" w14:textId="77777777" w:rsidR="00724BAB" w:rsidRPr="007925A8" w:rsidRDefault="00724BAB" w:rsidP="00E566F7">
            <w:pPr>
              <w:keepNext/>
              <w:rPr>
                <w:rFonts w:ascii="Garamond" w:eastAsia="Times New Roman" w:hAnsi="Garamond"/>
                <w:sz w:val="20"/>
                <w:szCs w:val="20"/>
                <w:lang w:eastAsia="en-GB"/>
              </w:rPr>
            </w:pPr>
          </w:p>
          <w:tbl>
            <w:tblPr>
              <w:tblW w:w="0" w:type="auto"/>
              <w:tblCellSpacing w:w="0" w:type="dxa"/>
              <w:tblLayout w:type="fixed"/>
              <w:tblCellMar>
                <w:left w:w="0" w:type="dxa"/>
                <w:right w:w="0" w:type="dxa"/>
              </w:tblCellMar>
              <w:tblLook w:val="04A0" w:firstRow="1" w:lastRow="0" w:firstColumn="1" w:lastColumn="0" w:noHBand="0" w:noVBand="1"/>
            </w:tblPr>
            <w:tblGrid>
              <w:gridCol w:w="1107"/>
            </w:tblGrid>
            <w:tr w:rsidR="00724BAB" w:rsidRPr="002C5D6A" w14:paraId="2F63D819" w14:textId="77777777" w:rsidTr="00E566F7">
              <w:trPr>
                <w:trHeight w:val="606"/>
                <w:tblCellSpacing w:w="0" w:type="dxa"/>
              </w:trPr>
              <w:tc>
                <w:tcPr>
                  <w:tcW w:w="1107" w:type="dxa"/>
                  <w:tcBorders>
                    <w:top w:val="nil"/>
                    <w:left w:val="nil"/>
                    <w:bottom w:val="nil"/>
                    <w:right w:val="nil"/>
                  </w:tcBorders>
                  <w:shd w:val="clear" w:color="auto" w:fill="auto"/>
                  <w:vAlign w:val="center"/>
                  <w:hideMark/>
                </w:tcPr>
                <w:p w14:paraId="67E3F611"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sz w:val="20"/>
                      <w:szCs w:val="20"/>
                      <w:lang w:eastAsia="en-GB"/>
                    </w:rPr>
                    <w:t>GRADES</w:t>
                  </w:r>
                </w:p>
              </w:tc>
            </w:tr>
          </w:tbl>
          <w:p w14:paraId="2465FC78" w14:textId="77777777" w:rsidR="00724BAB" w:rsidRPr="007925A8" w:rsidRDefault="00724BAB" w:rsidP="00E566F7">
            <w:pPr>
              <w:keepNext/>
              <w:rPr>
                <w:rFonts w:ascii="Garamond" w:eastAsia="Times New Roman" w:hAnsi="Garamond"/>
                <w:sz w:val="20"/>
                <w:szCs w:val="20"/>
                <w:lang w:eastAsia="en-GB"/>
              </w:rPr>
            </w:pPr>
          </w:p>
        </w:tc>
        <w:tc>
          <w:tcPr>
            <w:tcW w:w="837" w:type="dxa"/>
            <w:tcBorders>
              <w:top w:val="nil"/>
              <w:left w:val="nil"/>
              <w:bottom w:val="nil"/>
              <w:right w:val="nil"/>
            </w:tcBorders>
            <w:shd w:val="clear" w:color="auto" w:fill="auto"/>
            <w:hideMark/>
          </w:tcPr>
          <w:p w14:paraId="779342B6"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noProof/>
                <w:sz w:val="20"/>
                <w:szCs w:val="20"/>
              </w:rPr>
              <mc:AlternateContent>
                <mc:Choice Requires="wps">
                  <w:drawing>
                    <wp:anchor distT="0" distB="0" distL="114300" distR="114300" simplePos="0" relativeHeight="251666432" behindDoc="0" locked="0" layoutInCell="1" allowOverlap="1" wp14:anchorId="56411CD0" wp14:editId="1AFB3693">
                      <wp:simplePos x="0" y="0"/>
                      <wp:positionH relativeFrom="column">
                        <wp:posOffset>-158115</wp:posOffset>
                      </wp:positionH>
                      <wp:positionV relativeFrom="paragraph">
                        <wp:posOffset>304800</wp:posOffset>
                      </wp:positionV>
                      <wp:extent cx="457200" cy="167640"/>
                      <wp:effectExtent l="0" t="19050" r="38100" b="41910"/>
                      <wp:wrapNone/>
                      <wp:docPr id="6" name="Right Arrow 6"/>
                      <wp:cNvGraphicFramePr/>
                      <a:graphic xmlns:a="http://schemas.openxmlformats.org/drawingml/2006/main">
                        <a:graphicData uri="http://schemas.microsoft.com/office/word/2010/wordprocessingShape">
                          <wps:wsp>
                            <wps:cNvSpPr/>
                            <wps:spPr>
                              <a:xfrm>
                                <a:off x="0" y="0"/>
                                <a:ext cx="457200" cy="167640"/>
                              </a:xfrm>
                              <a:prstGeom prst="rightArrow">
                                <a:avLst/>
                              </a:prstGeom>
                              <a:solidFill>
                                <a:srgbClr val="ED7D31">
                                  <a:lumMod val="75000"/>
                                </a:srgbClr>
                              </a:solidFill>
                              <a:ln w="12700" cap="flat" cmpd="sng" algn="ctr">
                                <a:solidFill>
                                  <a:srgbClr val="5B9BD5">
                                    <a:shade val="50000"/>
                                  </a:srgbClr>
                                </a:solidFill>
                                <a:prstDash val="solid"/>
                                <a:miter lim="800000"/>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160417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12.45pt;margin-top:24pt;width:36pt;height:1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" adj="17640" fillcolor="#c55a11" strokecolor="#41719c" strokeweight="1pt"/>
                  </w:pict>
                </mc:Fallback>
              </mc:AlternateContent>
            </w:r>
          </w:p>
        </w:tc>
        <w:tc>
          <w:tcPr>
            <w:tcW w:w="1488" w:type="dxa"/>
            <w:tcBorders>
              <w:top w:val="nil"/>
              <w:left w:val="nil"/>
              <w:bottom w:val="nil"/>
              <w:right w:val="single" w:sz="4" w:space="0" w:color="auto"/>
            </w:tcBorders>
            <w:shd w:val="clear" w:color="auto" w:fill="auto"/>
            <w:hideMark/>
          </w:tcPr>
          <w:p w14:paraId="67732605" w14:textId="77777777" w:rsidR="00724BAB" w:rsidRPr="007925A8" w:rsidRDefault="00724BAB" w:rsidP="00E566F7">
            <w:pPr>
              <w:keepNext/>
              <w:rPr>
                <w:rFonts w:ascii="Garamond" w:eastAsia="Times New Roman" w:hAnsi="Garamond"/>
                <w:sz w:val="20"/>
                <w:szCs w:val="20"/>
                <w:lang w:eastAsia="en-GB"/>
              </w:rPr>
            </w:pPr>
          </w:p>
        </w:tc>
      </w:tr>
      <w:tr w:rsidR="00724BAB" w:rsidRPr="0023527A" w14:paraId="4068B314" w14:textId="77777777" w:rsidTr="00E566F7">
        <w:trPr>
          <w:trHeight w:val="187"/>
          <w:jc w:val="center"/>
        </w:trPr>
        <w:tc>
          <w:tcPr>
            <w:tcW w:w="870" w:type="dxa"/>
            <w:tcBorders>
              <w:top w:val="nil"/>
              <w:left w:val="single" w:sz="4" w:space="0" w:color="auto"/>
              <w:bottom w:val="nil"/>
              <w:right w:val="nil"/>
            </w:tcBorders>
            <w:shd w:val="clear" w:color="auto" w:fill="auto"/>
            <w:noWrap/>
            <w:vAlign w:val="bottom"/>
            <w:hideMark/>
          </w:tcPr>
          <w:p w14:paraId="0A7167A3"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sz w:val="20"/>
                <w:szCs w:val="20"/>
                <w:lang w:eastAsia="en-GB"/>
              </w:rPr>
              <w:t>13</w:t>
            </w:r>
          </w:p>
        </w:tc>
        <w:tc>
          <w:tcPr>
            <w:tcW w:w="900" w:type="dxa"/>
            <w:vMerge w:val="restart"/>
            <w:tcBorders>
              <w:top w:val="nil"/>
              <w:left w:val="nil"/>
              <w:bottom w:val="nil"/>
              <w:right w:val="nil"/>
            </w:tcBorders>
            <w:shd w:val="clear" w:color="auto" w:fill="auto"/>
            <w:hideMark/>
          </w:tcPr>
          <w:p w14:paraId="3BA19608"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noProof/>
                <w:sz w:val="20"/>
                <w:szCs w:val="20"/>
              </w:rPr>
              <mc:AlternateContent>
                <mc:Choice Requires="wps">
                  <w:drawing>
                    <wp:anchor distT="0" distB="0" distL="114300" distR="114300" simplePos="0" relativeHeight="251665408" behindDoc="0" locked="0" layoutInCell="1" allowOverlap="1" wp14:anchorId="3269652B" wp14:editId="105AEC34">
                      <wp:simplePos x="0" y="0"/>
                      <wp:positionH relativeFrom="column">
                        <wp:posOffset>213360</wp:posOffset>
                      </wp:positionH>
                      <wp:positionV relativeFrom="paragraph">
                        <wp:posOffset>91440</wp:posOffset>
                      </wp:positionV>
                      <wp:extent cx="175260" cy="289560"/>
                      <wp:effectExtent l="19050" t="19050" r="34290" b="15240"/>
                      <wp:wrapNone/>
                      <wp:docPr id="1" name="Up Arrow 1"/>
                      <wp:cNvGraphicFramePr/>
                      <a:graphic xmlns:a="http://schemas.openxmlformats.org/drawingml/2006/main">
                        <a:graphicData uri="http://schemas.microsoft.com/office/word/2010/wordprocessingShape">
                          <wps:wsp>
                            <wps:cNvSpPr/>
                            <wps:spPr>
                              <a:xfrm>
                                <a:off x="0" y="0"/>
                                <a:ext cx="129540" cy="27432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03923B8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 o:spid="_x0000_s1026" type="#_x0000_t68" style="position:absolute;margin-left:16.8pt;margin-top:7.2pt;width:13.8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" adj="5100" fillcolor="#5b9bd5" strokecolor="#41719c" strokeweight="1pt"/>
                  </w:pict>
                </mc:Fallback>
              </mc:AlternateContent>
            </w:r>
          </w:p>
        </w:tc>
        <w:tc>
          <w:tcPr>
            <w:tcW w:w="274" w:type="dxa"/>
            <w:tcBorders>
              <w:top w:val="nil"/>
              <w:left w:val="nil"/>
              <w:bottom w:val="nil"/>
              <w:right w:val="nil"/>
            </w:tcBorders>
            <w:shd w:val="clear" w:color="auto" w:fill="auto"/>
            <w:hideMark/>
          </w:tcPr>
          <w:p w14:paraId="41058520" w14:textId="77777777" w:rsidR="00724BAB" w:rsidRPr="007925A8" w:rsidRDefault="00724BAB" w:rsidP="00E566F7">
            <w:pPr>
              <w:keepNext/>
              <w:rPr>
                <w:rFonts w:ascii="Garamond" w:eastAsia="Times New Roman" w:hAnsi="Garamond"/>
                <w:sz w:val="20"/>
                <w:szCs w:val="20"/>
                <w:lang w:eastAsia="en-GB"/>
              </w:rPr>
            </w:pPr>
          </w:p>
        </w:tc>
        <w:tc>
          <w:tcPr>
            <w:tcW w:w="441" w:type="dxa"/>
            <w:tcBorders>
              <w:top w:val="nil"/>
              <w:left w:val="nil"/>
              <w:bottom w:val="nil"/>
              <w:right w:val="nil"/>
            </w:tcBorders>
            <w:shd w:val="clear" w:color="auto" w:fill="auto"/>
            <w:hideMark/>
          </w:tcPr>
          <w:p w14:paraId="0BD0FCC3"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hideMark/>
          </w:tcPr>
          <w:p w14:paraId="6B7D7A09"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hideMark/>
          </w:tcPr>
          <w:p w14:paraId="47BFAA1F"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hideMark/>
          </w:tcPr>
          <w:p w14:paraId="1EEE5509"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hideMark/>
          </w:tcPr>
          <w:p w14:paraId="3840F1B8" w14:textId="77777777" w:rsidR="00724BAB" w:rsidRPr="007925A8" w:rsidRDefault="00724BAB" w:rsidP="00E566F7">
            <w:pPr>
              <w:keepNext/>
              <w:rPr>
                <w:rFonts w:ascii="Garamond" w:eastAsia="Times New Roman" w:hAnsi="Garamond"/>
                <w:sz w:val="20"/>
                <w:szCs w:val="20"/>
                <w:lang w:eastAsia="en-GB"/>
              </w:rPr>
            </w:pPr>
          </w:p>
        </w:tc>
        <w:tc>
          <w:tcPr>
            <w:tcW w:w="837" w:type="dxa"/>
            <w:tcBorders>
              <w:top w:val="nil"/>
              <w:left w:val="nil"/>
              <w:bottom w:val="nil"/>
              <w:right w:val="nil"/>
            </w:tcBorders>
            <w:shd w:val="clear" w:color="auto" w:fill="auto"/>
            <w:hideMark/>
          </w:tcPr>
          <w:p w14:paraId="2E85E335" w14:textId="77777777" w:rsidR="00724BAB" w:rsidRPr="007925A8" w:rsidRDefault="00724BAB" w:rsidP="00E566F7">
            <w:pPr>
              <w:keepNext/>
              <w:rPr>
                <w:rFonts w:ascii="Garamond" w:eastAsia="Times New Roman" w:hAnsi="Garamond"/>
                <w:sz w:val="20"/>
                <w:szCs w:val="20"/>
                <w:lang w:eastAsia="en-GB"/>
              </w:rPr>
            </w:pPr>
          </w:p>
        </w:tc>
        <w:tc>
          <w:tcPr>
            <w:tcW w:w="1488" w:type="dxa"/>
            <w:tcBorders>
              <w:top w:val="nil"/>
              <w:left w:val="nil"/>
              <w:bottom w:val="nil"/>
              <w:right w:val="single" w:sz="4" w:space="0" w:color="auto"/>
            </w:tcBorders>
            <w:shd w:val="clear" w:color="auto" w:fill="auto"/>
            <w:hideMark/>
          </w:tcPr>
          <w:p w14:paraId="616A270B" w14:textId="77777777" w:rsidR="00724BAB" w:rsidRPr="007925A8" w:rsidRDefault="00724BAB" w:rsidP="00E566F7">
            <w:pPr>
              <w:keepNext/>
              <w:rPr>
                <w:rFonts w:ascii="Garamond" w:eastAsia="Times New Roman" w:hAnsi="Garamond"/>
                <w:sz w:val="20"/>
                <w:szCs w:val="20"/>
                <w:lang w:eastAsia="en-GB"/>
              </w:rPr>
            </w:pPr>
          </w:p>
        </w:tc>
      </w:tr>
      <w:tr w:rsidR="00724BAB" w:rsidRPr="0023527A" w14:paraId="7FFEDD5F" w14:textId="77777777" w:rsidTr="00E566F7">
        <w:trPr>
          <w:trHeight w:val="187"/>
          <w:jc w:val="center"/>
        </w:trPr>
        <w:tc>
          <w:tcPr>
            <w:tcW w:w="870" w:type="dxa"/>
            <w:tcBorders>
              <w:top w:val="nil"/>
              <w:left w:val="single" w:sz="4" w:space="0" w:color="auto"/>
              <w:bottom w:val="nil"/>
              <w:right w:val="nil"/>
            </w:tcBorders>
            <w:shd w:val="clear" w:color="auto" w:fill="auto"/>
            <w:noWrap/>
            <w:vAlign w:val="bottom"/>
            <w:hideMark/>
          </w:tcPr>
          <w:p w14:paraId="0BAAD731"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sz w:val="20"/>
                <w:szCs w:val="20"/>
                <w:lang w:eastAsia="en-GB"/>
              </w:rPr>
              <w:t>12</w:t>
            </w:r>
          </w:p>
        </w:tc>
        <w:tc>
          <w:tcPr>
            <w:tcW w:w="900" w:type="dxa"/>
            <w:vMerge/>
            <w:tcBorders>
              <w:top w:val="nil"/>
              <w:left w:val="nil"/>
              <w:bottom w:val="nil"/>
              <w:right w:val="nil"/>
            </w:tcBorders>
            <w:vAlign w:val="center"/>
            <w:hideMark/>
          </w:tcPr>
          <w:p w14:paraId="340E2CDF" w14:textId="77777777" w:rsidR="00724BAB" w:rsidRPr="007925A8" w:rsidRDefault="00724BAB" w:rsidP="00E566F7">
            <w:pPr>
              <w:keepNext/>
              <w:rPr>
                <w:rFonts w:ascii="Garamond" w:eastAsia="Times New Roman" w:hAnsi="Garamond"/>
                <w:sz w:val="20"/>
                <w:szCs w:val="20"/>
                <w:lang w:eastAsia="en-GB"/>
              </w:rPr>
            </w:pPr>
          </w:p>
        </w:tc>
        <w:tc>
          <w:tcPr>
            <w:tcW w:w="274" w:type="dxa"/>
            <w:tcBorders>
              <w:top w:val="nil"/>
              <w:left w:val="nil"/>
              <w:bottom w:val="nil"/>
              <w:right w:val="nil"/>
            </w:tcBorders>
            <w:shd w:val="clear" w:color="auto" w:fill="auto"/>
            <w:hideMark/>
          </w:tcPr>
          <w:p w14:paraId="1EDC3816" w14:textId="77777777" w:rsidR="00724BAB" w:rsidRPr="007925A8" w:rsidRDefault="00724BAB" w:rsidP="00E566F7">
            <w:pPr>
              <w:keepNext/>
              <w:rPr>
                <w:rFonts w:ascii="Garamond" w:eastAsia="Times New Roman" w:hAnsi="Garamond"/>
                <w:sz w:val="20"/>
                <w:szCs w:val="20"/>
                <w:lang w:eastAsia="en-GB"/>
              </w:rPr>
            </w:pPr>
          </w:p>
        </w:tc>
        <w:tc>
          <w:tcPr>
            <w:tcW w:w="441" w:type="dxa"/>
            <w:tcBorders>
              <w:top w:val="nil"/>
              <w:left w:val="nil"/>
              <w:bottom w:val="nil"/>
              <w:right w:val="nil"/>
            </w:tcBorders>
            <w:shd w:val="clear" w:color="auto" w:fill="auto"/>
            <w:hideMark/>
          </w:tcPr>
          <w:p w14:paraId="01606C01"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hideMark/>
          </w:tcPr>
          <w:p w14:paraId="6B1C04D4"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hideMark/>
          </w:tcPr>
          <w:p w14:paraId="2CF22823"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hideMark/>
          </w:tcPr>
          <w:p w14:paraId="60FA941D"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000000" w:fill="D9D9D9"/>
            <w:noWrap/>
            <w:vAlign w:val="bottom"/>
            <w:hideMark/>
          </w:tcPr>
          <w:p w14:paraId="08110EBB" w14:textId="77777777" w:rsidR="00724BAB" w:rsidRPr="007925A8" w:rsidRDefault="00724BAB" w:rsidP="00E566F7">
            <w:pPr>
              <w:keepNext/>
              <w:rPr>
                <w:rFonts w:ascii="Garamond" w:eastAsia="Times New Roman" w:hAnsi="Garamond"/>
                <w:sz w:val="20"/>
                <w:szCs w:val="20"/>
                <w:lang w:eastAsia="en-GB"/>
              </w:rPr>
            </w:pPr>
          </w:p>
        </w:tc>
        <w:tc>
          <w:tcPr>
            <w:tcW w:w="837" w:type="dxa"/>
            <w:tcBorders>
              <w:top w:val="nil"/>
              <w:left w:val="nil"/>
              <w:bottom w:val="nil"/>
              <w:right w:val="nil"/>
            </w:tcBorders>
            <w:shd w:val="clear" w:color="auto" w:fill="auto"/>
            <w:hideMark/>
          </w:tcPr>
          <w:p w14:paraId="116EC885" w14:textId="77777777" w:rsidR="00724BAB" w:rsidRPr="007925A8" w:rsidRDefault="00724BAB" w:rsidP="00E566F7">
            <w:pPr>
              <w:keepNext/>
              <w:rPr>
                <w:rFonts w:ascii="Garamond" w:eastAsia="Times New Roman" w:hAnsi="Garamond"/>
                <w:sz w:val="20"/>
                <w:szCs w:val="20"/>
                <w:lang w:eastAsia="en-GB"/>
              </w:rPr>
            </w:pPr>
          </w:p>
        </w:tc>
        <w:tc>
          <w:tcPr>
            <w:tcW w:w="1488" w:type="dxa"/>
            <w:tcBorders>
              <w:top w:val="nil"/>
              <w:left w:val="nil"/>
              <w:bottom w:val="nil"/>
              <w:right w:val="single" w:sz="4" w:space="0" w:color="auto"/>
            </w:tcBorders>
            <w:shd w:val="clear" w:color="auto" w:fill="auto"/>
            <w:hideMark/>
          </w:tcPr>
          <w:p w14:paraId="620F4CB6" w14:textId="77777777" w:rsidR="00724BAB" w:rsidRPr="007925A8" w:rsidRDefault="00724BAB" w:rsidP="00E566F7">
            <w:pPr>
              <w:keepNext/>
              <w:rPr>
                <w:rFonts w:ascii="Garamond" w:eastAsia="Times New Roman" w:hAnsi="Garamond"/>
                <w:sz w:val="20"/>
                <w:szCs w:val="20"/>
                <w:lang w:eastAsia="en-GB"/>
              </w:rPr>
            </w:pPr>
          </w:p>
        </w:tc>
      </w:tr>
      <w:tr w:rsidR="00724BAB" w:rsidRPr="0023527A" w14:paraId="32F16D50" w14:textId="77777777" w:rsidTr="00E566F7">
        <w:trPr>
          <w:trHeight w:val="187"/>
          <w:jc w:val="center"/>
        </w:trPr>
        <w:tc>
          <w:tcPr>
            <w:tcW w:w="870" w:type="dxa"/>
            <w:tcBorders>
              <w:top w:val="nil"/>
              <w:left w:val="single" w:sz="4" w:space="0" w:color="auto"/>
              <w:bottom w:val="nil"/>
              <w:right w:val="nil"/>
            </w:tcBorders>
            <w:shd w:val="clear" w:color="auto" w:fill="auto"/>
            <w:noWrap/>
            <w:vAlign w:val="bottom"/>
            <w:hideMark/>
          </w:tcPr>
          <w:p w14:paraId="6F7F7DFE"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sz w:val="20"/>
                <w:szCs w:val="20"/>
                <w:lang w:eastAsia="en-GB"/>
              </w:rPr>
              <w:t>11</w:t>
            </w:r>
          </w:p>
        </w:tc>
        <w:tc>
          <w:tcPr>
            <w:tcW w:w="900" w:type="dxa"/>
            <w:vMerge/>
            <w:tcBorders>
              <w:top w:val="nil"/>
              <w:left w:val="nil"/>
              <w:bottom w:val="nil"/>
              <w:right w:val="nil"/>
            </w:tcBorders>
            <w:vAlign w:val="center"/>
            <w:hideMark/>
          </w:tcPr>
          <w:p w14:paraId="09117C7A" w14:textId="77777777" w:rsidR="00724BAB" w:rsidRPr="007925A8" w:rsidRDefault="00724BAB" w:rsidP="00E566F7">
            <w:pPr>
              <w:keepNext/>
              <w:rPr>
                <w:rFonts w:ascii="Garamond" w:eastAsia="Times New Roman" w:hAnsi="Garamond"/>
                <w:sz w:val="20"/>
                <w:szCs w:val="20"/>
                <w:lang w:eastAsia="en-GB"/>
              </w:rPr>
            </w:pPr>
          </w:p>
        </w:tc>
        <w:tc>
          <w:tcPr>
            <w:tcW w:w="274" w:type="dxa"/>
            <w:tcBorders>
              <w:top w:val="nil"/>
              <w:left w:val="nil"/>
              <w:bottom w:val="nil"/>
              <w:right w:val="nil"/>
            </w:tcBorders>
            <w:shd w:val="clear" w:color="auto" w:fill="auto"/>
            <w:hideMark/>
          </w:tcPr>
          <w:p w14:paraId="7EE109E4" w14:textId="77777777" w:rsidR="00724BAB" w:rsidRPr="007925A8" w:rsidRDefault="00724BAB" w:rsidP="00E566F7">
            <w:pPr>
              <w:keepNext/>
              <w:rPr>
                <w:rFonts w:ascii="Garamond" w:eastAsia="Times New Roman" w:hAnsi="Garamond"/>
                <w:sz w:val="20"/>
                <w:szCs w:val="20"/>
                <w:lang w:eastAsia="en-GB"/>
              </w:rPr>
            </w:pPr>
          </w:p>
        </w:tc>
        <w:tc>
          <w:tcPr>
            <w:tcW w:w="441" w:type="dxa"/>
            <w:tcBorders>
              <w:top w:val="nil"/>
              <w:left w:val="nil"/>
              <w:bottom w:val="nil"/>
              <w:right w:val="nil"/>
            </w:tcBorders>
            <w:shd w:val="clear" w:color="auto" w:fill="auto"/>
            <w:hideMark/>
          </w:tcPr>
          <w:p w14:paraId="1A456B2A"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hideMark/>
          </w:tcPr>
          <w:p w14:paraId="742CDD22"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hideMark/>
          </w:tcPr>
          <w:p w14:paraId="782C4800"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hideMark/>
          </w:tcPr>
          <w:p w14:paraId="55D32282"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000000" w:fill="D9D9D9"/>
            <w:noWrap/>
            <w:vAlign w:val="bottom"/>
            <w:hideMark/>
          </w:tcPr>
          <w:p w14:paraId="1FDFAE78" w14:textId="77777777" w:rsidR="00724BAB" w:rsidRPr="007925A8" w:rsidRDefault="00724BAB" w:rsidP="00E566F7">
            <w:pPr>
              <w:keepNext/>
              <w:rPr>
                <w:rFonts w:ascii="Garamond" w:eastAsia="Times New Roman" w:hAnsi="Garamond"/>
                <w:sz w:val="20"/>
                <w:szCs w:val="20"/>
                <w:lang w:eastAsia="en-GB"/>
              </w:rPr>
            </w:pPr>
          </w:p>
        </w:tc>
        <w:tc>
          <w:tcPr>
            <w:tcW w:w="837" w:type="dxa"/>
            <w:tcBorders>
              <w:top w:val="nil"/>
              <w:left w:val="nil"/>
              <w:bottom w:val="nil"/>
              <w:right w:val="nil"/>
            </w:tcBorders>
            <w:shd w:val="clear" w:color="auto" w:fill="auto"/>
            <w:hideMark/>
          </w:tcPr>
          <w:p w14:paraId="6334F1E1" w14:textId="77777777" w:rsidR="00724BAB" w:rsidRPr="007925A8" w:rsidRDefault="00724BAB" w:rsidP="00E566F7">
            <w:pPr>
              <w:keepNext/>
              <w:rPr>
                <w:rFonts w:ascii="Garamond" w:eastAsia="Times New Roman" w:hAnsi="Garamond"/>
                <w:sz w:val="20"/>
                <w:szCs w:val="20"/>
                <w:lang w:eastAsia="en-GB"/>
              </w:rPr>
            </w:pPr>
          </w:p>
        </w:tc>
        <w:tc>
          <w:tcPr>
            <w:tcW w:w="1488" w:type="dxa"/>
            <w:tcBorders>
              <w:top w:val="nil"/>
              <w:left w:val="nil"/>
              <w:bottom w:val="nil"/>
              <w:right w:val="single" w:sz="4" w:space="0" w:color="auto"/>
            </w:tcBorders>
            <w:shd w:val="clear" w:color="auto" w:fill="auto"/>
            <w:hideMark/>
          </w:tcPr>
          <w:p w14:paraId="01303F1A" w14:textId="77777777" w:rsidR="00724BAB" w:rsidRPr="007925A8" w:rsidRDefault="00724BAB" w:rsidP="00E566F7">
            <w:pPr>
              <w:keepNext/>
              <w:rPr>
                <w:rFonts w:ascii="Garamond" w:eastAsia="Times New Roman" w:hAnsi="Garamond"/>
                <w:sz w:val="20"/>
                <w:szCs w:val="20"/>
                <w:lang w:eastAsia="en-GB"/>
              </w:rPr>
            </w:pPr>
          </w:p>
        </w:tc>
      </w:tr>
      <w:tr w:rsidR="00724BAB" w:rsidRPr="0023527A" w14:paraId="64D1FE3E" w14:textId="77777777" w:rsidTr="00E566F7">
        <w:trPr>
          <w:trHeight w:val="187"/>
          <w:jc w:val="center"/>
        </w:trPr>
        <w:tc>
          <w:tcPr>
            <w:tcW w:w="870" w:type="dxa"/>
            <w:tcBorders>
              <w:top w:val="nil"/>
              <w:left w:val="single" w:sz="4" w:space="0" w:color="auto"/>
              <w:bottom w:val="nil"/>
              <w:right w:val="nil"/>
            </w:tcBorders>
            <w:shd w:val="clear" w:color="auto" w:fill="auto"/>
            <w:noWrap/>
            <w:vAlign w:val="bottom"/>
            <w:hideMark/>
          </w:tcPr>
          <w:p w14:paraId="72FB57A0"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sz w:val="20"/>
                <w:szCs w:val="20"/>
                <w:lang w:eastAsia="en-GB"/>
              </w:rPr>
              <w:t>10</w:t>
            </w:r>
          </w:p>
        </w:tc>
        <w:tc>
          <w:tcPr>
            <w:tcW w:w="900" w:type="dxa"/>
            <w:tcBorders>
              <w:top w:val="nil"/>
              <w:left w:val="nil"/>
              <w:bottom w:val="nil"/>
              <w:right w:val="nil"/>
            </w:tcBorders>
            <w:shd w:val="clear" w:color="auto" w:fill="auto"/>
            <w:noWrap/>
            <w:vAlign w:val="bottom"/>
            <w:hideMark/>
          </w:tcPr>
          <w:p w14:paraId="2F5D77FF"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sz w:val="20"/>
                <w:szCs w:val="20"/>
                <w:lang w:eastAsia="en-GB"/>
              </w:rPr>
              <w:t>$1,143</w:t>
            </w:r>
          </w:p>
        </w:tc>
        <w:tc>
          <w:tcPr>
            <w:tcW w:w="274" w:type="dxa"/>
            <w:tcBorders>
              <w:top w:val="nil"/>
              <w:left w:val="nil"/>
              <w:bottom w:val="nil"/>
              <w:right w:val="nil"/>
            </w:tcBorders>
            <w:shd w:val="clear" w:color="auto" w:fill="auto"/>
            <w:noWrap/>
            <w:vAlign w:val="bottom"/>
            <w:hideMark/>
          </w:tcPr>
          <w:p w14:paraId="2FD12BDB" w14:textId="77777777" w:rsidR="00724BAB" w:rsidRPr="007925A8" w:rsidRDefault="00724BAB" w:rsidP="00E566F7">
            <w:pPr>
              <w:keepNext/>
              <w:rPr>
                <w:rFonts w:ascii="Garamond" w:eastAsia="Times New Roman" w:hAnsi="Garamond"/>
                <w:sz w:val="20"/>
                <w:szCs w:val="20"/>
                <w:lang w:eastAsia="en-GB"/>
              </w:rPr>
            </w:pPr>
          </w:p>
        </w:tc>
        <w:tc>
          <w:tcPr>
            <w:tcW w:w="441" w:type="dxa"/>
            <w:tcBorders>
              <w:top w:val="nil"/>
              <w:left w:val="nil"/>
              <w:bottom w:val="nil"/>
              <w:right w:val="nil"/>
            </w:tcBorders>
            <w:shd w:val="clear" w:color="auto" w:fill="auto"/>
            <w:noWrap/>
            <w:vAlign w:val="bottom"/>
            <w:hideMark/>
          </w:tcPr>
          <w:p w14:paraId="068C4F92"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noProof/>
                <w:sz w:val="20"/>
                <w:szCs w:val="20"/>
              </w:rPr>
              <mc:AlternateContent>
                <mc:Choice Requires="wps">
                  <w:drawing>
                    <wp:anchor distT="0" distB="0" distL="114300" distR="114300" simplePos="0" relativeHeight="251662336" behindDoc="0" locked="0" layoutInCell="1" allowOverlap="1" wp14:anchorId="0B24489B" wp14:editId="0A022141">
                      <wp:simplePos x="0" y="0"/>
                      <wp:positionH relativeFrom="column">
                        <wp:posOffset>792480</wp:posOffset>
                      </wp:positionH>
                      <wp:positionV relativeFrom="paragraph">
                        <wp:posOffset>81915</wp:posOffset>
                      </wp:positionV>
                      <wp:extent cx="335280" cy="678180"/>
                      <wp:effectExtent l="38100" t="38100" r="26670" b="26670"/>
                      <wp:wrapNone/>
                      <wp:docPr id="2" name="Straight Arrow Connector 2"/>
                      <wp:cNvGraphicFramePr/>
                      <a:graphic xmlns:a="http://schemas.openxmlformats.org/drawingml/2006/main">
                        <a:graphicData uri="http://schemas.microsoft.com/office/word/2010/wordprocessingShape">
                          <wps:wsp>
                            <wps:cNvCnPr/>
                            <wps:spPr>
                              <a:xfrm flipH="1" flipV="1">
                                <a:off x="0" y="0"/>
                                <a:ext cx="335280" cy="67818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536B20D2" id="_x0000_t32" coordsize="21600,21600" o:spt="32" o:oned="t" path="m,l21600,21600e" filled="f">
                      <v:path arrowok="t" fillok="f" o:connecttype="none"/>
                      <o:lock v:ext="edit" shapetype="t"/>
                    </v:shapetype>
                    <v:shape id="Straight Arrow Connector 2" o:spid="_x0000_s1026" type="#_x0000_t32" style="position:absolute;margin-left:62.4pt;margin-top:6.45pt;width:26.4pt;height:53.4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" strokecolor="#5b9bd5" strokeweight=".5pt">
                      <v:stroke endarrow="block" joinstyle="miter"/>
                    </v:shape>
                  </w:pict>
                </mc:Fallback>
              </mc:AlternateContent>
            </w:r>
          </w:p>
          <w:tbl>
            <w:tblPr>
              <w:tblW w:w="225" w:type="dxa"/>
              <w:tblCellSpacing w:w="0" w:type="dxa"/>
              <w:tblLayout w:type="fixed"/>
              <w:tblCellMar>
                <w:left w:w="0" w:type="dxa"/>
                <w:right w:w="0" w:type="dxa"/>
              </w:tblCellMar>
              <w:tblLook w:val="04A0" w:firstRow="1" w:lastRow="0" w:firstColumn="1" w:lastColumn="0" w:noHBand="0" w:noVBand="1"/>
            </w:tblPr>
            <w:tblGrid>
              <w:gridCol w:w="225"/>
            </w:tblGrid>
            <w:tr w:rsidR="00724BAB" w:rsidRPr="002C5D6A" w14:paraId="45FCCF6A" w14:textId="77777777" w:rsidTr="00E566F7">
              <w:trPr>
                <w:trHeight w:val="187"/>
                <w:tblCellSpacing w:w="0" w:type="dxa"/>
              </w:trPr>
              <w:tc>
                <w:tcPr>
                  <w:tcW w:w="225" w:type="dxa"/>
                  <w:tcBorders>
                    <w:top w:val="nil"/>
                    <w:left w:val="nil"/>
                    <w:bottom w:val="nil"/>
                    <w:right w:val="nil"/>
                  </w:tcBorders>
                  <w:shd w:val="clear" w:color="auto" w:fill="auto"/>
                  <w:noWrap/>
                  <w:vAlign w:val="bottom"/>
                  <w:hideMark/>
                </w:tcPr>
                <w:p w14:paraId="4FD553CD" w14:textId="77777777" w:rsidR="00724BAB" w:rsidRPr="007925A8" w:rsidRDefault="00724BAB" w:rsidP="00E566F7">
                  <w:pPr>
                    <w:keepNext/>
                    <w:rPr>
                      <w:rFonts w:ascii="Garamond" w:eastAsia="Times New Roman" w:hAnsi="Garamond"/>
                      <w:sz w:val="20"/>
                      <w:szCs w:val="20"/>
                      <w:lang w:eastAsia="en-GB"/>
                    </w:rPr>
                  </w:pPr>
                </w:p>
              </w:tc>
            </w:tr>
          </w:tbl>
          <w:p w14:paraId="0EADFD96"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43E6226F"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6EC3C5FA"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678EF6DD"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000000" w:fill="D9D9D9"/>
            <w:noWrap/>
            <w:vAlign w:val="bottom"/>
            <w:hideMark/>
          </w:tcPr>
          <w:p w14:paraId="72A15D9D" w14:textId="77777777" w:rsidR="00724BAB" w:rsidRPr="007925A8" w:rsidRDefault="00724BAB" w:rsidP="00E566F7">
            <w:pPr>
              <w:keepNext/>
              <w:rPr>
                <w:rFonts w:ascii="Garamond" w:eastAsia="Times New Roman" w:hAnsi="Garamond"/>
                <w:sz w:val="20"/>
                <w:szCs w:val="20"/>
                <w:lang w:eastAsia="en-GB"/>
              </w:rPr>
            </w:pPr>
          </w:p>
        </w:tc>
        <w:tc>
          <w:tcPr>
            <w:tcW w:w="837" w:type="dxa"/>
            <w:tcBorders>
              <w:top w:val="nil"/>
              <w:left w:val="nil"/>
              <w:bottom w:val="nil"/>
              <w:right w:val="nil"/>
            </w:tcBorders>
            <w:shd w:val="clear" w:color="auto" w:fill="auto"/>
            <w:noWrap/>
            <w:vAlign w:val="bottom"/>
            <w:hideMark/>
          </w:tcPr>
          <w:p w14:paraId="33914E5E" w14:textId="77777777" w:rsidR="00724BAB" w:rsidRPr="007925A8" w:rsidRDefault="00724BAB" w:rsidP="00E566F7">
            <w:pPr>
              <w:keepNext/>
              <w:rPr>
                <w:rFonts w:ascii="Garamond" w:eastAsia="Times New Roman" w:hAnsi="Garamond"/>
                <w:sz w:val="20"/>
                <w:szCs w:val="20"/>
                <w:lang w:eastAsia="en-GB"/>
              </w:rPr>
            </w:pPr>
          </w:p>
        </w:tc>
        <w:tc>
          <w:tcPr>
            <w:tcW w:w="1488" w:type="dxa"/>
            <w:tcBorders>
              <w:top w:val="nil"/>
              <w:left w:val="nil"/>
              <w:bottom w:val="nil"/>
              <w:right w:val="single" w:sz="4" w:space="0" w:color="auto"/>
            </w:tcBorders>
            <w:shd w:val="clear" w:color="auto" w:fill="auto"/>
            <w:noWrap/>
            <w:vAlign w:val="bottom"/>
            <w:hideMark/>
          </w:tcPr>
          <w:p w14:paraId="68782936" w14:textId="77777777" w:rsidR="00724BAB" w:rsidRPr="007925A8" w:rsidRDefault="00724BAB" w:rsidP="00E566F7">
            <w:pPr>
              <w:keepNext/>
              <w:rPr>
                <w:rFonts w:ascii="Garamond" w:eastAsia="Times New Roman" w:hAnsi="Garamond"/>
                <w:sz w:val="20"/>
                <w:szCs w:val="20"/>
                <w:lang w:eastAsia="en-GB"/>
              </w:rPr>
            </w:pPr>
          </w:p>
        </w:tc>
      </w:tr>
      <w:tr w:rsidR="00724BAB" w:rsidRPr="0023527A" w14:paraId="33F12106" w14:textId="77777777" w:rsidTr="00E566F7">
        <w:trPr>
          <w:trHeight w:val="187"/>
          <w:jc w:val="center"/>
        </w:trPr>
        <w:tc>
          <w:tcPr>
            <w:tcW w:w="870" w:type="dxa"/>
            <w:tcBorders>
              <w:top w:val="nil"/>
              <w:left w:val="single" w:sz="4" w:space="0" w:color="auto"/>
              <w:bottom w:val="nil"/>
              <w:right w:val="nil"/>
            </w:tcBorders>
            <w:shd w:val="clear" w:color="auto" w:fill="auto"/>
            <w:noWrap/>
            <w:vAlign w:val="bottom"/>
            <w:hideMark/>
          </w:tcPr>
          <w:p w14:paraId="67137380"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sz w:val="20"/>
                <w:szCs w:val="20"/>
                <w:lang w:eastAsia="en-GB"/>
              </w:rPr>
              <w:t>9</w:t>
            </w:r>
          </w:p>
        </w:tc>
        <w:tc>
          <w:tcPr>
            <w:tcW w:w="900" w:type="dxa"/>
            <w:tcBorders>
              <w:top w:val="nil"/>
              <w:left w:val="nil"/>
              <w:bottom w:val="nil"/>
              <w:right w:val="nil"/>
            </w:tcBorders>
            <w:shd w:val="clear" w:color="auto" w:fill="auto"/>
            <w:noWrap/>
            <w:vAlign w:val="bottom"/>
            <w:hideMark/>
          </w:tcPr>
          <w:p w14:paraId="7042F3AD"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sz w:val="20"/>
                <w:szCs w:val="20"/>
                <w:lang w:eastAsia="en-GB"/>
              </w:rPr>
              <w:t>$1,126</w:t>
            </w:r>
          </w:p>
        </w:tc>
        <w:tc>
          <w:tcPr>
            <w:tcW w:w="274" w:type="dxa"/>
            <w:tcBorders>
              <w:top w:val="nil"/>
              <w:left w:val="nil"/>
              <w:bottom w:val="nil"/>
              <w:right w:val="nil"/>
            </w:tcBorders>
            <w:shd w:val="clear" w:color="auto" w:fill="auto"/>
            <w:noWrap/>
            <w:vAlign w:val="bottom"/>
            <w:hideMark/>
          </w:tcPr>
          <w:p w14:paraId="538B2F8E" w14:textId="77777777" w:rsidR="00724BAB" w:rsidRPr="007925A8" w:rsidRDefault="00724BAB" w:rsidP="00E566F7">
            <w:pPr>
              <w:keepNext/>
              <w:rPr>
                <w:rFonts w:ascii="Garamond" w:eastAsia="Times New Roman" w:hAnsi="Garamond"/>
                <w:sz w:val="20"/>
                <w:szCs w:val="20"/>
                <w:lang w:eastAsia="en-GB"/>
              </w:rPr>
            </w:pPr>
          </w:p>
        </w:tc>
        <w:tc>
          <w:tcPr>
            <w:tcW w:w="441" w:type="dxa"/>
            <w:tcBorders>
              <w:top w:val="nil"/>
              <w:left w:val="nil"/>
              <w:bottom w:val="nil"/>
              <w:right w:val="nil"/>
            </w:tcBorders>
            <w:shd w:val="clear" w:color="auto" w:fill="auto"/>
            <w:noWrap/>
            <w:vAlign w:val="bottom"/>
            <w:hideMark/>
          </w:tcPr>
          <w:p w14:paraId="1DAC303B"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71C31282"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63AA0594"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0CA4DE74"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000000" w:fill="D9D9D9"/>
            <w:noWrap/>
            <w:vAlign w:val="bottom"/>
            <w:hideMark/>
          </w:tcPr>
          <w:p w14:paraId="2BF6B9E5" w14:textId="77777777" w:rsidR="00724BAB" w:rsidRPr="007925A8" w:rsidRDefault="00724BAB" w:rsidP="00E566F7">
            <w:pPr>
              <w:keepNext/>
              <w:rPr>
                <w:rFonts w:ascii="Garamond" w:eastAsia="Times New Roman" w:hAnsi="Garamond"/>
                <w:sz w:val="20"/>
                <w:szCs w:val="20"/>
                <w:lang w:eastAsia="en-GB"/>
              </w:rPr>
            </w:pPr>
          </w:p>
        </w:tc>
        <w:tc>
          <w:tcPr>
            <w:tcW w:w="837" w:type="dxa"/>
            <w:tcBorders>
              <w:top w:val="nil"/>
              <w:left w:val="nil"/>
              <w:bottom w:val="nil"/>
              <w:right w:val="nil"/>
            </w:tcBorders>
            <w:shd w:val="clear" w:color="auto" w:fill="auto"/>
            <w:noWrap/>
            <w:vAlign w:val="bottom"/>
            <w:hideMark/>
          </w:tcPr>
          <w:p w14:paraId="3346510C" w14:textId="77777777" w:rsidR="00724BAB" w:rsidRPr="007925A8" w:rsidRDefault="00724BAB" w:rsidP="00E566F7">
            <w:pPr>
              <w:keepNext/>
              <w:rPr>
                <w:rFonts w:ascii="Garamond" w:eastAsia="Times New Roman" w:hAnsi="Garamond"/>
                <w:sz w:val="20"/>
                <w:szCs w:val="20"/>
                <w:lang w:eastAsia="en-GB"/>
              </w:rPr>
            </w:pPr>
          </w:p>
        </w:tc>
        <w:tc>
          <w:tcPr>
            <w:tcW w:w="1488" w:type="dxa"/>
            <w:tcBorders>
              <w:top w:val="nil"/>
              <w:left w:val="nil"/>
              <w:bottom w:val="nil"/>
              <w:right w:val="single" w:sz="4" w:space="0" w:color="auto"/>
            </w:tcBorders>
            <w:shd w:val="clear" w:color="auto" w:fill="auto"/>
            <w:noWrap/>
            <w:vAlign w:val="bottom"/>
            <w:hideMark/>
          </w:tcPr>
          <w:p w14:paraId="2B9FFE72" w14:textId="77777777" w:rsidR="00724BAB" w:rsidRPr="007925A8" w:rsidRDefault="00724BAB" w:rsidP="00E566F7">
            <w:pPr>
              <w:keepNext/>
              <w:rPr>
                <w:rFonts w:ascii="Garamond" w:eastAsia="Times New Roman" w:hAnsi="Garamond"/>
                <w:sz w:val="20"/>
                <w:szCs w:val="20"/>
                <w:lang w:eastAsia="en-GB"/>
              </w:rPr>
            </w:pPr>
          </w:p>
        </w:tc>
      </w:tr>
      <w:tr w:rsidR="00724BAB" w:rsidRPr="0023527A" w14:paraId="33A7B03C" w14:textId="77777777" w:rsidTr="00E566F7">
        <w:trPr>
          <w:trHeight w:val="187"/>
          <w:jc w:val="center"/>
        </w:trPr>
        <w:tc>
          <w:tcPr>
            <w:tcW w:w="870" w:type="dxa"/>
            <w:tcBorders>
              <w:top w:val="nil"/>
              <w:left w:val="single" w:sz="4" w:space="0" w:color="auto"/>
              <w:bottom w:val="nil"/>
              <w:right w:val="nil"/>
            </w:tcBorders>
            <w:shd w:val="clear" w:color="auto" w:fill="auto"/>
            <w:noWrap/>
            <w:vAlign w:val="bottom"/>
            <w:hideMark/>
          </w:tcPr>
          <w:p w14:paraId="448CB334"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sz w:val="20"/>
                <w:szCs w:val="20"/>
                <w:lang w:eastAsia="en-GB"/>
              </w:rPr>
              <w:t>8</w:t>
            </w:r>
          </w:p>
        </w:tc>
        <w:tc>
          <w:tcPr>
            <w:tcW w:w="900" w:type="dxa"/>
            <w:tcBorders>
              <w:top w:val="nil"/>
              <w:left w:val="nil"/>
              <w:bottom w:val="nil"/>
              <w:right w:val="nil"/>
            </w:tcBorders>
            <w:shd w:val="clear" w:color="auto" w:fill="auto"/>
            <w:noWrap/>
            <w:vAlign w:val="bottom"/>
            <w:hideMark/>
          </w:tcPr>
          <w:p w14:paraId="64C3AB6E"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sz w:val="20"/>
                <w:szCs w:val="20"/>
                <w:lang w:eastAsia="en-GB"/>
              </w:rPr>
              <w:t>$1,110</w:t>
            </w:r>
          </w:p>
        </w:tc>
        <w:tc>
          <w:tcPr>
            <w:tcW w:w="274" w:type="dxa"/>
            <w:tcBorders>
              <w:top w:val="nil"/>
              <w:left w:val="nil"/>
              <w:bottom w:val="nil"/>
              <w:right w:val="nil"/>
            </w:tcBorders>
            <w:shd w:val="clear" w:color="auto" w:fill="auto"/>
            <w:noWrap/>
            <w:vAlign w:val="bottom"/>
            <w:hideMark/>
          </w:tcPr>
          <w:p w14:paraId="4194771F" w14:textId="77777777" w:rsidR="00724BAB" w:rsidRPr="007925A8" w:rsidRDefault="00724BAB" w:rsidP="00E566F7">
            <w:pPr>
              <w:keepNext/>
              <w:rPr>
                <w:rFonts w:ascii="Garamond" w:eastAsia="Times New Roman" w:hAnsi="Garamond"/>
                <w:sz w:val="20"/>
                <w:szCs w:val="20"/>
                <w:lang w:eastAsia="en-GB"/>
              </w:rPr>
            </w:pPr>
          </w:p>
        </w:tc>
        <w:tc>
          <w:tcPr>
            <w:tcW w:w="441" w:type="dxa"/>
            <w:tcBorders>
              <w:top w:val="nil"/>
              <w:left w:val="nil"/>
              <w:bottom w:val="nil"/>
              <w:right w:val="nil"/>
            </w:tcBorders>
            <w:shd w:val="clear" w:color="auto" w:fill="auto"/>
            <w:noWrap/>
            <w:vAlign w:val="bottom"/>
            <w:hideMark/>
          </w:tcPr>
          <w:p w14:paraId="77AACA22"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6E196D70"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608861E3"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6B203993"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000000" w:fill="D9D9D9"/>
            <w:noWrap/>
            <w:vAlign w:val="bottom"/>
            <w:hideMark/>
          </w:tcPr>
          <w:p w14:paraId="4E4D9CC2" w14:textId="77777777" w:rsidR="00724BAB" w:rsidRPr="007925A8" w:rsidRDefault="00724BAB" w:rsidP="00E566F7">
            <w:pPr>
              <w:keepNext/>
              <w:rPr>
                <w:rFonts w:ascii="Garamond" w:eastAsia="Times New Roman" w:hAnsi="Garamond"/>
                <w:sz w:val="20"/>
                <w:szCs w:val="20"/>
                <w:lang w:eastAsia="en-GB"/>
              </w:rPr>
            </w:pPr>
          </w:p>
        </w:tc>
        <w:tc>
          <w:tcPr>
            <w:tcW w:w="837" w:type="dxa"/>
            <w:tcBorders>
              <w:top w:val="nil"/>
              <w:left w:val="nil"/>
              <w:bottom w:val="nil"/>
              <w:right w:val="nil"/>
            </w:tcBorders>
            <w:shd w:val="clear" w:color="auto" w:fill="auto"/>
            <w:noWrap/>
            <w:vAlign w:val="bottom"/>
            <w:hideMark/>
          </w:tcPr>
          <w:p w14:paraId="1283AF19" w14:textId="77777777" w:rsidR="00724BAB" w:rsidRPr="007925A8" w:rsidRDefault="002C5D6A" w:rsidP="00E566F7">
            <w:pPr>
              <w:keepNext/>
              <w:rPr>
                <w:rFonts w:ascii="Garamond" w:eastAsia="Times New Roman" w:hAnsi="Garamond"/>
                <w:sz w:val="20"/>
                <w:szCs w:val="20"/>
                <w:lang w:eastAsia="en-GB"/>
              </w:rPr>
            </w:pPr>
            <w:r w:rsidRPr="007925A8">
              <w:rPr>
                <w:rFonts w:ascii="Garamond" w:eastAsia="Times New Roman" w:hAnsi="Garamond"/>
                <w:noProof/>
                <w:sz w:val="20"/>
                <w:szCs w:val="20"/>
              </w:rPr>
              <mc:AlternateContent>
                <mc:Choice Requires="wps">
                  <w:drawing>
                    <wp:anchor distT="0" distB="0" distL="114300" distR="114300" simplePos="0" relativeHeight="251661312" behindDoc="0" locked="0" layoutInCell="1" allowOverlap="1" wp14:anchorId="0EC25DE8" wp14:editId="519955F6">
                      <wp:simplePos x="0" y="0"/>
                      <wp:positionH relativeFrom="column">
                        <wp:posOffset>194945</wp:posOffset>
                      </wp:positionH>
                      <wp:positionV relativeFrom="paragraph">
                        <wp:posOffset>95885</wp:posOffset>
                      </wp:positionV>
                      <wp:extent cx="1135380" cy="795020"/>
                      <wp:effectExtent l="0" t="0" r="0" b="0"/>
                      <wp:wrapNone/>
                      <wp:docPr id="9" name="Text Box 9"/>
                      <wp:cNvGraphicFramePr/>
                      <a:graphic xmlns:a="http://schemas.openxmlformats.org/drawingml/2006/main">
                        <a:graphicData uri="http://schemas.microsoft.com/office/word/2010/wordprocessingShape">
                          <wps:wsp>
                            <wps:cNvSpPr txBox="1"/>
                            <wps:spPr>
                              <a:xfrm>
                                <a:off x="0" y="0"/>
                                <a:ext cx="1135380" cy="795020"/>
                              </a:xfrm>
                              <a:prstGeom prst="rect">
                                <a:avLst/>
                              </a:prstGeom>
                              <a:noFill/>
                              <a:ln>
                                <a:noFill/>
                              </a:ln>
                              <a:effectLst/>
                            </wps:spPr>
                            <wps:txbx>
                              <w:txbxContent>
                                <w:p w14:paraId="3F4E8614" w14:textId="77777777" w:rsidR="00A75A08" w:rsidRDefault="00A75A08" w:rsidP="00724BAB">
                                  <w:pPr>
                                    <w:pStyle w:val="NormalWeb"/>
                                  </w:pPr>
                                  <w:r>
                                    <w:t>Occupation types and grade levels</w:t>
                                  </w:r>
                                </w:p>
                              </w:txbxContent>
                            </wps:txbx>
                            <wps:bodyPr vertOverflow="clip" horzOverflow="clip" wrap="square" rtlCol="0" anchor="t">
                              <a:spAutoFit/>
                            </wps:bodyPr>
                          </wps:wsp>
                        </a:graphicData>
                      </a:graphic>
                      <wp14:sizeRelH relativeFrom="page">
                        <wp14:pctWidth>0</wp14:pctWidth>
                      </wp14:sizeRelH>
                      <wp14:sizeRelV relativeFrom="page">
                        <wp14:pctHeight>0</wp14:pctHeight>
                      </wp14:sizeRelV>
                    </wp:anchor>
                  </w:drawing>
                </mc:Choice>
                <mc:Fallback>
                  <w:pict>
                    <v:shape w14:anchorId="0EC25DE8" id="Text Box 9" o:spid="_x0000_s1027" type="#_x0000_t202" style="position:absolute;margin-left:15.35pt;margin-top:7.55pt;width:89.4pt;height:6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" filled="f" stroked="f">
                      <v:textbox style="mso-fit-shape-to-text:t">
                        <w:txbxContent>
                          <w:p w14:paraId="3F4E8614" w14:textId="77777777" w:rsidR="00A75A08" w:rsidRDefault="00A75A08" w:rsidP="00724BAB">
                            <w:pPr>
                              <w:pStyle w:val="NormalWeb"/>
                            </w:pPr>
                            <w:r>
                              <w:t>Occupation types and grade levels</w:t>
                            </w:r>
                          </w:p>
                        </w:txbxContent>
                      </v:textbox>
                    </v:shape>
                  </w:pict>
                </mc:Fallback>
              </mc:AlternateContent>
            </w:r>
          </w:p>
        </w:tc>
        <w:tc>
          <w:tcPr>
            <w:tcW w:w="1488" w:type="dxa"/>
            <w:tcBorders>
              <w:top w:val="nil"/>
              <w:left w:val="nil"/>
              <w:bottom w:val="nil"/>
              <w:right w:val="single" w:sz="4" w:space="0" w:color="auto"/>
            </w:tcBorders>
            <w:shd w:val="clear" w:color="auto" w:fill="auto"/>
            <w:noWrap/>
            <w:vAlign w:val="bottom"/>
            <w:hideMark/>
          </w:tcPr>
          <w:p w14:paraId="60E105C8" w14:textId="77777777" w:rsidR="00724BAB" w:rsidRPr="007925A8" w:rsidRDefault="00724BAB" w:rsidP="00E566F7">
            <w:pPr>
              <w:keepNext/>
              <w:rPr>
                <w:rFonts w:ascii="Garamond" w:eastAsia="Times New Roman" w:hAnsi="Garamond"/>
                <w:sz w:val="20"/>
                <w:szCs w:val="20"/>
                <w:lang w:eastAsia="en-GB"/>
              </w:rPr>
            </w:pPr>
          </w:p>
        </w:tc>
      </w:tr>
      <w:tr w:rsidR="00724BAB" w:rsidRPr="0023527A" w14:paraId="611071A4" w14:textId="77777777" w:rsidTr="00E566F7">
        <w:trPr>
          <w:trHeight w:val="187"/>
          <w:jc w:val="center"/>
        </w:trPr>
        <w:tc>
          <w:tcPr>
            <w:tcW w:w="870" w:type="dxa"/>
            <w:tcBorders>
              <w:top w:val="nil"/>
              <w:left w:val="single" w:sz="4" w:space="0" w:color="auto"/>
              <w:bottom w:val="nil"/>
              <w:right w:val="nil"/>
            </w:tcBorders>
            <w:shd w:val="clear" w:color="auto" w:fill="auto"/>
            <w:noWrap/>
            <w:vAlign w:val="bottom"/>
            <w:hideMark/>
          </w:tcPr>
          <w:p w14:paraId="4320BAD3"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sz w:val="20"/>
                <w:szCs w:val="20"/>
                <w:lang w:eastAsia="en-GB"/>
              </w:rPr>
              <w:t>7</w:t>
            </w:r>
          </w:p>
        </w:tc>
        <w:tc>
          <w:tcPr>
            <w:tcW w:w="900" w:type="dxa"/>
            <w:tcBorders>
              <w:top w:val="nil"/>
              <w:left w:val="nil"/>
              <w:bottom w:val="nil"/>
              <w:right w:val="nil"/>
            </w:tcBorders>
            <w:shd w:val="clear" w:color="auto" w:fill="auto"/>
            <w:noWrap/>
            <w:vAlign w:val="bottom"/>
            <w:hideMark/>
          </w:tcPr>
          <w:p w14:paraId="59AC0000"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sz w:val="20"/>
                <w:szCs w:val="20"/>
                <w:lang w:eastAsia="en-GB"/>
              </w:rPr>
              <w:t>$1,093</w:t>
            </w:r>
          </w:p>
        </w:tc>
        <w:tc>
          <w:tcPr>
            <w:tcW w:w="274" w:type="dxa"/>
            <w:tcBorders>
              <w:top w:val="nil"/>
              <w:left w:val="nil"/>
              <w:bottom w:val="nil"/>
              <w:right w:val="nil"/>
            </w:tcBorders>
            <w:shd w:val="clear" w:color="auto" w:fill="auto"/>
            <w:noWrap/>
            <w:vAlign w:val="bottom"/>
            <w:hideMark/>
          </w:tcPr>
          <w:p w14:paraId="3688E78D" w14:textId="77777777" w:rsidR="00724BAB" w:rsidRPr="007925A8" w:rsidRDefault="00724BAB" w:rsidP="00E566F7">
            <w:pPr>
              <w:keepNext/>
              <w:rPr>
                <w:rFonts w:ascii="Garamond" w:eastAsia="Times New Roman" w:hAnsi="Garamond"/>
                <w:sz w:val="20"/>
                <w:szCs w:val="20"/>
                <w:lang w:eastAsia="en-GB"/>
              </w:rPr>
            </w:pPr>
          </w:p>
        </w:tc>
        <w:tc>
          <w:tcPr>
            <w:tcW w:w="441" w:type="dxa"/>
            <w:tcBorders>
              <w:top w:val="nil"/>
              <w:left w:val="nil"/>
              <w:bottom w:val="nil"/>
              <w:right w:val="nil"/>
            </w:tcBorders>
            <w:shd w:val="clear" w:color="auto" w:fill="auto"/>
            <w:noWrap/>
            <w:vAlign w:val="bottom"/>
            <w:hideMark/>
          </w:tcPr>
          <w:p w14:paraId="3D27E71C"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3EDA03AD"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000000" w:fill="A6A6A6"/>
            <w:noWrap/>
            <w:vAlign w:val="bottom"/>
            <w:hideMark/>
          </w:tcPr>
          <w:p w14:paraId="4CCBC9E8"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410D9CC0"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000000" w:fill="D9D9D9"/>
            <w:noWrap/>
            <w:vAlign w:val="bottom"/>
            <w:hideMark/>
          </w:tcPr>
          <w:p w14:paraId="424358ED" w14:textId="77777777" w:rsidR="00724BAB" w:rsidRPr="007925A8" w:rsidRDefault="00724BAB" w:rsidP="00E566F7">
            <w:pPr>
              <w:keepNext/>
              <w:rPr>
                <w:rFonts w:ascii="Garamond" w:eastAsia="Times New Roman" w:hAnsi="Garamond"/>
                <w:sz w:val="20"/>
                <w:szCs w:val="20"/>
                <w:lang w:eastAsia="en-GB"/>
              </w:rPr>
            </w:pPr>
          </w:p>
        </w:tc>
        <w:tc>
          <w:tcPr>
            <w:tcW w:w="837" w:type="dxa"/>
            <w:tcBorders>
              <w:top w:val="nil"/>
              <w:left w:val="nil"/>
              <w:bottom w:val="nil"/>
              <w:right w:val="nil"/>
            </w:tcBorders>
            <w:shd w:val="clear" w:color="auto" w:fill="auto"/>
            <w:noWrap/>
            <w:vAlign w:val="bottom"/>
            <w:hideMark/>
          </w:tcPr>
          <w:p w14:paraId="2CB75A82" w14:textId="77777777" w:rsidR="00724BAB" w:rsidRPr="007925A8" w:rsidRDefault="00724BAB" w:rsidP="00E566F7">
            <w:pPr>
              <w:keepNext/>
              <w:rPr>
                <w:rFonts w:ascii="Garamond" w:eastAsia="Times New Roman" w:hAnsi="Garamond"/>
                <w:sz w:val="20"/>
                <w:szCs w:val="20"/>
                <w:lang w:eastAsia="en-GB"/>
              </w:rPr>
            </w:pPr>
          </w:p>
        </w:tc>
        <w:tc>
          <w:tcPr>
            <w:tcW w:w="1488" w:type="dxa"/>
            <w:tcBorders>
              <w:top w:val="nil"/>
              <w:left w:val="nil"/>
              <w:bottom w:val="nil"/>
              <w:right w:val="single" w:sz="4" w:space="0" w:color="auto"/>
            </w:tcBorders>
            <w:shd w:val="clear" w:color="auto" w:fill="auto"/>
            <w:noWrap/>
            <w:vAlign w:val="bottom"/>
            <w:hideMark/>
          </w:tcPr>
          <w:p w14:paraId="111801F9" w14:textId="77777777" w:rsidR="00724BAB" w:rsidRPr="007925A8" w:rsidRDefault="00724BAB" w:rsidP="00E566F7">
            <w:pPr>
              <w:keepNext/>
              <w:rPr>
                <w:rFonts w:ascii="Garamond" w:eastAsia="Times New Roman" w:hAnsi="Garamond"/>
                <w:sz w:val="20"/>
                <w:szCs w:val="20"/>
                <w:lang w:eastAsia="en-GB"/>
              </w:rPr>
            </w:pPr>
          </w:p>
        </w:tc>
      </w:tr>
      <w:tr w:rsidR="00724BAB" w:rsidRPr="0023527A" w14:paraId="36A10928" w14:textId="77777777" w:rsidTr="00E566F7">
        <w:trPr>
          <w:trHeight w:val="187"/>
          <w:jc w:val="center"/>
        </w:trPr>
        <w:tc>
          <w:tcPr>
            <w:tcW w:w="870" w:type="dxa"/>
            <w:tcBorders>
              <w:top w:val="nil"/>
              <w:left w:val="single" w:sz="4" w:space="0" w:color="auto"/>
              <w:bottom w:val="nil"/>
              <w:right w:val="nil"/>
            </w:tcBorders>
            <w:shd w:val="clear" w:color="auto" w:fill="auto"/>
            <w:noWrap/>
            <w:vAlign w:val="bottom"/>
            <w:hideMark/>
          </w:tcPr>
          <w:p w14:paraId="4EE485A8"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sz w:val="20"/>
                <w:szCs w:val="20"/>
                <w:lang w:eastAsia="en-GB"/>
              </w:rPr>
              <w:t>6</w:t>
            </w:r>
          </w:p>
        </w:tc>
        <w:tc>
          <w:tcPr>
            <w:tcW w:w="900" w:type="dxa"/>
            <w:tcBorders>
              <w:top w:val="nil"/>
              <w:left w:val="nil"/>
              <w:bottom w:val="nil"/>
              <w:right w:val="nil"/>
            </w:tcBorders>
            <w:shd w:val="clear" w:color="auto" w:fill="auto"/>
            <w:noWrap/>
            <w:vAlign w:val="bottom"/>
            <w:hideMark/>
          </w:tcPr>
          <w:p w14:paraId="2FE85925"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sz w:val="20"/>
                <w:szCs w:val="20"/>
                <w:lang w:eastAsia="en-GB"/>
              </w:rPr>
              <w:t>$1,077</w:t>
            </w:r>
          </w:p>
        </w:tc>
        <w:tc>
          <w:tcPr>
            <w:tcW w:w="274" w:type="dxa"/>
            <w:tcBorders>
              <w:top w:val="nil"/>
              <w:left w:val="nil"/>
              <w:bottom w:val="nil"/>
              <w:right w:val="nil"/>
            </w:tcBorders>
            <w:shd w:val="clear" w:color="auto" w:fill="auto"/>
            <w:noWrap/>
            <w:vAlign w:val="bottom"/>
            <w:hideMark/>
          </w:tcPr>
          <w:p w14:paraId="7FB0B57B" w14:textId="77777777" w:rsidR="00724BAB" w:rsidRPr="007925A8" w:rsidRDefault="00724BAB" w:rsidP="00E566F7">
            <w:pPr>
              <w:keepNext/>
              <w:rPr>
                <w:rFonts w:ascii="Garamond" w:eastAsia="Times New Roman" w:hAnsi="Garamond"/>
                <w:sz w:val="20"/>
                <w:szCs w:val="20"/>
                <w:lang w:eastAsia="en-GB"/>
              </w:rPr>
            </w:pPr>
          </w:p>
        </w:tc>
        <w:tc>
          <w:tcPr>
            <w:tcW w:w="441" w:type="dxa"/>
            <w:tcBorders>
              <w:top w:val="nil"/>
              <w:left w:val="nil"/>
              <w:bottom w:val="nil"/>
              <w:right w:val="nil"/>
            </w:tcBorders>
            <w:shd w:val="clear" w:color="auto" w:fill="auto"/>
            <w:noWrap/>
            <w:vAlign w:val="bottom"/>
            <w:hideMark/>
          </w:tcPr>
          <w:p w14:paraId="392F361B"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633B7E8D"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000000" w:fill="A6A6A6"/>
            <w:noWrap/>
            <w:vAlign w:val="bottom"/>
            <w:hideMark/>
          </w:tcPr>
          <w:p w14:paraId="7C72D1C4"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5BE657A5"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000000" w:fill="D9D9D9"/>
            <w:noWrap/>
            <w:vAlign w:val="bottom"/>
            <w:hideMark/>
          </w:tcPr>
          <w:p w14:paraId="2EBD3021" w14:textId="77777777" w:rsidR="00724BAB" w:rsidRPr="007925A8" w:rsidRDefault="00724BAB" w:rsidP="00E566F7">
            <w:pPr>
              <w:keepNext/>
              <w:rPr>
                <w:rFonts w:ascii="Garamond" w:eastAsia="Times New Roman" w:hAnsi="Garamond"/>
                <w:sz w:val="20"/>
                <w:szCs w:val="20"/>
                <w:lang w:eastAsia="en-GB"/>
              </w:rPr>
            </w:pPr>
          </w:p>
        </w:tc>
        <w:tc>
          <w:tcPr>
            <w:tcW w:w="837" w:type="dxa"/>
            <w:tcBorders>
              <w:top w:val="nil"/>
              <w:left w:val="nil"/>
              <w:bottom w:val="nil"/>
              <w:right w:val="nil"/>
            </w:tcBorders>
            <w:shd w:val="clear" w:color="auto" w:fill="auto"/>
            <w:noWrap/>
            <w:vAlign w:val="bottom"/>
            <w:hideMark/>
          </w:tcPr>
          <w:p w14:paraId="2AEC3E00"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noProof/>
                <w:sz w:val="20"/>
                <w:szCs w:val="20"/>
              </w:rPr>
              <mc:AlternateContent>
                <mc:Choice Requires="wps">
                  <w:drawing>
                    <wp:anchor distT="0" distB="0" distL="114300" distR="114300" simplePos="0" relativeHeight="251663360" behindDoc="0" locked="0" layoutInCell="1" allowOverlap="1" wp14:anchorId="02839F8E" wp14:editId="0E8CAE41">
                      <wp:simplePos x="0" y="0"/>
                      <wp:positionH relativeFrom="column">
                        <wp:posOffset>-426720</wp:posOffset>
                      </wp:positionH>
                      <wp:positionV relativeFrom="paragraph">
                        <wp:posOffset>-231775</wp:posOffset>
                      </wp:positionV>
                      <wp:extent cx="571500" cy="53340"/>
                      <wp:effectExtent l="0" t="57150" r="19050" b="41910"/>
                      <wp:wrapNone/>
                      <wp:docPr id="11" name="Straight Arrow Connector 11"/>
                      <wp:cNvGraphicFramePr/>
                      <a:graphic xmlns:a="http://schemas.openxmlformats.org/drawingml/2006/main">
                        <a:graphicData uri="http://schemas.microsoft.com/office/word/2010/wordprocessingShape">
                          <wps:wsp>
                            <wps:cNvCnPr/>
                            <wps:spPr>
                              <a:xfrm flipH="1" flipV="1">
                                <a:off x="0" y="0"/>
                                <a:ext cx="571500" cy="5334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60577BF" id="Straight Arrow Connector 11" o:spid="_x0000_s1026" type="#_x0000_t32" style="position:absolute;margin-left:-33.6pt;margin-top:-18.25pt;width:45pt;height:4.2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" strokecolor="#5b9bd5" strokeweight=".5pt">
                      <v:stroke endarrow="block" joinstyle="miter"/>
                    </v:shape>
                  </w:pict>
                </mc:Fallback>
              </mc:AlternateContent>
            </w:r>
          </w:p>
        </w:tc>
        <w:tc>
          <w:tcPr>
            <w:tcW w:w="1488" w:type="dxa"/>
            <w:tcBorders>
              <w:top w:val="nil"/>
              <w:left w:val="nil"/>
              <w:bottom w:val="nil"/>
              <w:right w:val="single" w:sz="4" w:space="0" w:color="auto"/>
            </w:tcBorders>
            <w:shd w:val="clear" w:color="auto" w:fill="auto"/>
            <w:noWrap/>
            <w:vAlign w:val="bottom"/>
            <w:hideMark/>
          </w:tcPr>
          <w:p w14:paraId="441361F0" w14:textId="77777777" w:rsidR="00724BAB" w:rsidRPr="007925A8" w:rsidRDefault="00724BAB" w:rsidP="00E566F7">
            <w:pPr>
              <w:keepNext/>
              <w:rPr>
                <w:rFonts w:ascii="Garamond" w:eastAsia="Times New Roman" w:hAnsi="Garamond"/>
                <w:sz w:val="20"/>
                <w:szCs w:val="20"/>
                <w:lang w:eastAsia="en-GB"/>
              </w:rPr>
            </w:pPr>
          </w:p>
        </w:tc>
      </w:tr>
      <w:tr w:rsidR="00724BAB" w:rsidRPr="0023527A" w14:paraId="41D459F1" w14:textId="77777777" w:rsidTr="00E566F7">
        <w:trPr>
          <w:trHeight w:val="187"/>
          <w:jc w:val="center"/>
        </w:trPr>
        <w:tc>
          <w:tcPr>
            <w:tcW w:w="870" w:type="dxa"/>
            <w:tcBorders>
              <w:top w:val="nil"/>
              <w:left w:val="single" w:sz="4" w:space="0" w:color="auto"/>
              <w:bottom w:val="nil"/>
              <w:right w:val="nil"/>
            </w:tcBorders>
            <w:shd w:val="clear" w:color="auto" w:fill="auto"/>
            <w:noWrap/>
            <w:vAlign w:val="bottom"/>
            <w:hideMark/>
          </w:tcPr>
          <w:p w14:paraId="5AE91C9F"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sz w:val="20"/>
                <w:szCs w:val="20"/>
                <w:lang w:eastAsia="en-GB"/>
              </w:rPr>
              <w:t>5</w:t>
            </w:r>
          </w:p>
        </w:tc>
        <w:tc>
          <w:tcPr>
            <w:tcW w:w="900" w:type="dxa"/>
            <w:tcBorders>
              <w:top w:val="nil"/>
              <w:left w:val="nil"/>
              <w:bottom w:val="nil"/>
              <w:right w:val="nil"/>
            </w:tcBorders>
            <w:shd w:val="clear" w:color="auto" w:fill="auto"/>
            <w:noWrap/>
            <w:vAlign w:val="bottom"/>
            <w:hideMark/>
          </w:tcPr>
          <w:p w14:paraId="3BFBD87A"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sz w:val="20"/>
                <w:szCs w:val="20"/>
                <w:lang w:eastAsia="en-GB"/>
              </w:rPr>
              <w:t>$1,061</w:t>
            </w:r>
          </w:p>
        </w:tc>
        <w:tc>
          <w:tcPr>
            <w:tcW w:w="274" w:type="dxa"/>
            <w:tcBorders>
              <w:top w:val="nil"/>
              <w:left w:val="nil"/>
              <w:bottom w:val="nil"/>
              <w:right w:val="nil"/>
            </w:tcBorders>
            <w:shd w:val="clear" w:color="auto" w:fill="auto"/>
            <w:noWrap/>
            <w:vAlign w:val="bottom"/>
            <w:hideMark/>
          </w:tcPr>
          <w:p w14:paraId="47AC9C8F" w14:textId="77777777" w:rsidR="00724BAB" w:rsidRPr="007925A8" w:rsidRDefault="00724BAB" w:rsidP="00E566F7">
            <w:pPr>
              <w:keepNext/>
              <w:rPr>
                <w:rFonts w:ascii="Garamond" w:eastAsia="Times New Roman" w:hAnsi="Garamond"/>
                <w:sz w:val="20"/>
                <w:szCs w:val="20"/>
                <w:lang w:eastAsia="en-GB"/>
              </w:rPr>
            </w:pPr>
          </w:p>
        </w:tc>
        <w:tc>
          <w:tcPr>
            <w:tcW w:w="441" w:type="dxa"/>
            <w:tcBorders>
              <w:top w:val="nil"/>
              <w:left w:val="nil"/>
              <w:bottom w:val="nil"/>
              <w:right w:val="nil"/>
            </w:tcBorders>
            <w:shd w:val="clear" w:color="auto" w:fill="auto"/>
            <w:noWrap/>
            <w:vAlign w:val="bottom"/>
            <w:hideMark/>
          </w:tcPr>
          <w:p w14:paraId="43FEE46E"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248E1892"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000000" w:fill="A6A6A6"/>
            <w:noWrap/>
            <w:vAlign w:val="bottom"/>
            <w:hideMark/>
          </w:tcPr>
          <w:p w14:paraId="7A514CE3"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1BFF94FB"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noProof/>
                <w:sz w:val="20"/>
                <w:szCs w:val="20"/>
              </w:rPr>
              <mc:AlternateContent>
                <mc:Choice Requires="wps">
                  <w:drawing>
                    <wp:anchor distT="0" distB="0" distL="114300" distR="114300" simplePos="0" relativeHeight="251664384" behindDoc="0" locked="0" layoutInCell="1" allowOverlap="1" wp14:anchorId="4605B8C6" wp14:editId="648E6782">
                      <wp:simplePos x="0" y="0"/>
                      <wp:positionH relativeFrom="column">
                        <wp:posOffset>-457835</wp:posOffset>
                      </wp:positionH>
                      <wp:positionV relativeFrom="paragraph">
                        <wp:posOffset>-173355</wp:posOffset>
                      </wp:positionV>
                      <wp:extent cx="947420" cy="532130"/>
                      <wp:effectExtent l="38100" t="0" r="24130" b="58420"/>
                      <wp:wrapNone/>
                      <wp:docPr id="12" name="Straight Arrow Connector 12"/>
                      <wp:cNvGraphicFramePr/>
                      <a:graphic xmlns:a="http://schemas.openxmlformats.org/drawingml/2006/main">
                        <a:graphicData uri="http://schemas.microsoft.com/office/word/2010/wordprocessingShape">
                          <wps:wsp>
                            <wps:cNvCnPr/>
                            <wps:spPr>
                              <a:xfrm flipH="1">
                                <a:off x="0" y="0"/>
                                <a:ext cx="947420" cy="53213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66B7584" id="Straight Arrow Connector 12" o:spid="_x0000_s1026" type="#_x0000_t32" style="position:absolute;margin-left:-36.05pt;margin-top:-13.65pt;width:74.6pt;height:41.9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" strokecolor="#5b9bd5" strokeweight=".5pt">
                      <v:stroke endarrow="block" joinstyle="miter"/>
                    </v:shape>
                  </w:pict>
                </mc:Fallback>
              </mc:AlternateContent>
            </w:r>
          </w:p>
        </w:tc>
        <w:tc>
          <w:tcPr>
            <w:tcW w:w="253" w:type="dxa"/>
            <w:tcBorders>
              <w:top w:val="nil"/>
              <w:left w:val="nil"/>
              <w:bottom w:val="nil"/>
              <w:right w:val="nil"/>
            </w:tcBorders>
            <w:shd w:val="clear" w:color="000000" w:fill="D9D9D9"/>
            <w:noWrap/>
            <w:vAlign w:val="bottom"/>
            <w:hideMark/>
          </w:tcPr>
          <w:p w14:paraId="3703260B" w14:textId="77777777" w:rsidR="00724BAB" w:rsidRPr="007925A8" w:rsidRDefault="00724BAB" w:rsidP="00E566F7">
            <w:pPr>
              <w:keepNext/>
              <w:rPr>
                <w:rFonts w:ascii="Garamond" w:eastAsia="Times New Roman" w:hAnsi="Garamond"/>
                <w:sz w:val="20"/>
                <w:szCs w:val="20"/>
                <w:lang w:eastAsia="en-GB"/>
              </w:rPr>
            </w:pPr>
          </w:p>
        </w:tc>
        <w:tc>
          <w:tcPr>
            <w:tcW w:w="837" w:type="dxa"/>
            <w:tcBorders>
              <w:top w:val="nil"/>
              <w:left w:val="nil"/>
              <w:bottom w:val="nil"/>
              <w:right w:val="nil"/>
            </w:tcBorders>
            <w:shd w:val="clear" w:color="auto" w:fill="auto"/>
            <w:noWrap/>
            <w:vAlign w:val="bottom"/>
            <w:hideMark/>
          </w:tcPr>
          <w:p w14:paraId="0ED74B11" w14:textId="77777777" w:rsidR="00724BAB" w:rsidRPr="007925A8" w:rsidRDefault="00724BAB" w:rsidP="00E566F7">
            <w:pPr>
              <w:keepNext/>
              <w:rPr>
                <w:rFonts w:ascii="Garamond" w:eastAsia="Times New Roman" w:hAnsi="Garamond"/>
                <w:sz w:val="20"/>
                <w:szCs w:val="20"/>
                <w:lang w:eastAsia="en-GB"/>
              </w:rPr>
            </w:pPr>
          </w:p>
        </w:tc>
        <w:tc>
          <w:tcPr>
            <w:tcW w:w="1488" w:type="dxa"/>
            <w:tcBorders>
              <w:top w:val="nil"/>
              <w:left w:val="nil"/>
              <w:bottom w:val="nil"/>
              <w:right w:val="single" w:sz="4" w:space="0" w:color="auto"/>
            </w:tcBorders>
            <w:shd w:val="clear" w:color="auto" w:fill="auto"/>
            <w:noWrap/>
            <w:vAlign w:val="bottom"/>
            <w:hideMark/>
          </w:tcPr>
          <w:p w14:paraId="74678132" w14:textId="77777777" w:rsidR="00724BAB" w:rsidRPr="007925A8" w:rsidRDefault="00724BAB" w:rsidP="00E566F7">
            <w:pPr>
              <w:keepNext/>
              <w:rPr>
                <w:rFonts w:ascii="Garamond" w:eastAsia="Times New Roman" w:hAnsi="Garamond"/>
                <w:sz w:val="20"/>
                <w:szCs w:val="20"/>
                <w:lang w:eastAsia="en-GB"/>
              </w:rPr>
            </w:pPr>
          </w:p>
        </w:tc>
      </w:tr>
      <w:tr w:rsidR="00724BAB" w:rsidRPr="0023527A" w14:paraId="172858E9" w14:textId="77777777" w:rsidTr="00E566F7">
        <w:trPr>
          <w:trHeight w:val="187"/>
          <w:jc w:val="center"/>
        </w:trPr>
        <w:tc>
          <w:tcPr>
            <w:tcW w:w="870" w:type="dxa"/>
            <w:tcBorders>
              <w:top w:val="nil"/>
              <w:left w:val="single" w:sz="4" w:space="0" w:color="auto"/>
              <w:bottom w:val="nil"/>
              <w:right w:val="nil"/>
            </w:tcBorders>
            <w:shd w:val="clear" w:color="auto" w:fill="auto"/>
            <w:noWrap/>
            <w:vAlign w:val="bottom"/>
            <w:hideMark/>
          </w:tcPr>
          <w:p w14:paraId="0A8B5948"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sz w:val="20"/>
                <w:szCs w:val="20"/>
                <w:lang w:eastAsia="en-GB"/>
              </w:rPr>
              <w:t>4</w:t>
            </w:r>
          </w:p>
        </w:tc>
        <w:tc>
          <w:tcPr>
            <w:tcW w:w="900" w:type="dxa"/>
            <w:tcBorders>
              <w:top w:val="nil"/>
              <w:left w:val="nil"/>
              <w:bottom w:val="nil"/>
              <w:right w:val="nil"/>
            </w:tcBorders>
            <w:shd w:val="clear" w:color="auto" w:fill="auto"/>
            <w:noWrap/>
            <w:vAlign w:val="bottom"/>
            <w:hideMark/>
          </w:tcPr>
          <w:p w14:paraId="1EECD3C2"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sz w:val="20"/>
                <w:szCs w:val="20"/>
                <w:lang w:eastAsia="en-GB"/>
              </w:rPr>
              <w:t>$1,046</w:t>
            </w:r>
          </w:p>
        </w:tc>
        <w:tc>
          <w:tcPr>
            <w:tcW w:w="274" w:type="dxa"/>
            <w:tcBorders>
              <w:top w:val="nil"/>
              <w:left w:val="nil"/>
              <w:bottom w:val="nil"/>
              <w:right w:val="nil"/>
            </w:tcBorders>
            <w:shd w:val="clear" w:color="auto" w:fill="auto"/>
            <w:noWrap/>
            <w:vAlign w:val="bottom"/>
            <w:hideMark/>
          </w:tcPr>
          <w:p w14:paraId="7E848094" w14:textId="77777777" w:rsidR="00724BAB" w:rsidRPr="007925A8" w:rsidRDefault="00724BAB" w:rsidP="00E566F7">
            <w:pPr>
              <w:keepNext/>
              <w:rPr>
                <w:rFonts w:ascii="Garamond" w:eastAsia="Times New Roman" w:hAnsi="Garamond"/>
                <w:sz w:val="20"/>
                <w:szCs w:val="20"/>
                <w:lang w:eastAsia="en-GB"/>
              </w:rPr>
            </w:pPr>
          </w:p>
        </w:tc>
        <w:tc>
          <w:tcPr>
            <w:tcW w:w="441" w:type="dxa"/>
            <w:tcBorders>
              <w:top w:val="nil"/>
              <w:left w:val="nil"/>
              <w:bottom w:val="nil"/>
              <w:right w:val="nil"/>
            </w:tcBorders>
            <w:shd w:val="clear" w:color="000000" w:fill="808080"/>
            <w:noWrap/>
            <w:vAlign w:val="bottom"/>
            <w:hideMark/>
          </w:tcPr>
          <w:p w14:paraId="3C45BC6E"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5A5A9BCE"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000000" w:fill="A6A6A6"/>
            <w:noWrap/>
            <w:vAlign w:val="bottom"/>
            <w:hideMark/>
          </w:tcPr>
          <w:p w14:paraId="6118117D"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7363D893"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58787C62" w14:textId="77777777" w:rsidR="00724BAB" w:rsidRPr="007925A8" w:rsidRDefault="00724BAB" w:rsidP="00E566F7">
            <w:pPr>
              <w:keepNext/>
              <w:rPr>
                <w:rFonts w:ascii="Garamond" w:eastAsia="Times New Roman" w:hAnsi="Garamond"/>
                <w:sz w:val="20"/>
                <w:szCs w:val="20"/>
                <w:lang w:eastAsia="en-GB"/>
              </w:rPr>
            </w:pPr>
          </w:p>
        </w:tc>
        <w:tc>
          <w:tcPr>
            <w:tcW w:w="837" w:type="dxa"/>
            <w:tcBorders>
              <w:top w:val="nil"/>
              <w:left w:val="nil"/>
              <w:bottom w:val="nil"/>
              <w:right w:val="nil"/>
            </w:tcBorders>
            <w:shd w:val="clear" w:color="auto" w:fill="auto"/>
            <w:noWrap/>
            <w:vAlign w:val="bottom"/>
            <w:hideMark/>
          </w:tcPr>
          <w:p w14:paraId="2148948B" w14:textId="77777777" w:rsidR="00724BAB" w:rsidRPr="007925A8" w:rsidRDefault="00724BAB" w:rsidP="00E566F7">
            <w:pPr>
              <w:keepNext/>
              <w:rPr>
                <w:rFonts w:ascii="Garamond" w:eastAsia="Times New Roman" w:hAnsi="Garamond"/>
                <w:sz w:val="20"/>
                <w:szCs w:val="20"/>
                <w:lang w:eastAsia="en-GB"/>
              </w:rPr>
            </w:pPr>
          </w:p>
        </w:tc>
        <w:tc>
          <w:tcPr>
            <w:tcW w:w="1488" w:type="dxa"/>
            <w:tcBorders>
              <w:top w:val="nil"/>
              <w:left w:val="nil"/>
              <w:bottom w:val="nil"/>
              <w:right w:val="single" w:sz="4" w:space="0" w:color="auto"/>
            </w:tcBorders>
            <w:shd w:val="clear" w:color="auto" w:fill="auto"/>
            <w:noWrap/>
            <w:vAlign w:val="bottom"/>
            <w:hideMark/>
          </w:tcPr>
          <w:p w14:paraId="78776345" w14:textId="77777777" w:rsidR="00724BAB" w:rsidRPr="007925A8" w:rsidRDefault="00724BAB" w:rsidP="00E566F7">
            <w:pPr>
              <w:keepNext/>
              <w:rPr>
                <w:rFonts w:ascii="Garamond" w:eastAsia="Times New Roman" w:hAnsi="Garamond"/>
                <w:sz w:val="20"/>
                <w:szCs w:val="20"/>
                <w:lang w:eastAsia="en-GB"/>
              </w:rPr>
            </w:pPr>
          </w:p>
        </w:tc>
      </w:tr>
      <w:tr w:rsidR="00724BAB" w:rsidRPr="0023527A" w14:paraId="575FAFAA" w14:textId="77777777" w:rsidTr="00E566F7">
        <w:trPr>
          <w:trHeight w:val="187"/>
          <w:jc w:val="center"/>
        </w:trPr>
        <w:tc>
          <w:tcPr>
            <w:tcW w:w="870" w:type="dxa"/>
            <w:tcBorders>
              <w:top w:val="nil"/>
              <w:left w:val="single" w:sz="4" w:space="0" w:color="auto"/>
              <w:bottom w:val="nil"/>
              <w:right w:val="nil"/>
            </w:tcBorders>
            <w:shd w:val="clear" w:color="auto" w:fill="auto"/>
            <w:noWrap/>
            <w:vAlign w:val="bottom"/>
            <w:hideMark/>
          </w:tcPr>
          <w:p w14:paraId="01E7AC74"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sz w:val="20"/>
                <w:szCs w:val="20"/>
                <w:lang w:eastAsia="en-GB"/>
              </w:rPr>
              <w:t>3</w:t>
            </w:r>
          </w:p>
        </w:tc>
        <w:tc>
          <w:tcPr>
            <w:tcW w:w="900" w:type="dxa"/>
            <w:tcBorders>
              <w:top w:val="nil"/>
              <w:left w:val="nil"/>
              <w:bottom w:val="nil"/>
              <w:right w:val="nil"/>
            </w:tcBorders>
            <w:shd w:val="clear" w:color="auto" w:fill="auto"/>
            <w:noWrap/>
            <w:vAlign w:val="bottom"/>
            <w:hideMark/>
          </w:tcPr>
          <w:p w14:paraId="2FCF8E65"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sz w:val="20"/>
                <w:szCs w:val="20"/>
                <w:lang w:eastAsia="en-GB"/>
              </w:rPr>
              <w:t>$1,030</w:t>
            </w:r>
          </w:p>
        </w:tc>
        <w:tc>
          <w:tcPr>
            <w:tcW w:w="274" w:type="dxa"/>
            <w:tcBorders>
              <w:top w:val="nil"/>
              <w:left w:val="nil"/>
              <w:bottom w:val="nil"/>
              <w:right w:val="nil"/>
            </w:tcBorders>
            <w:shd w:val="clear" w:color="auto" w:fill="auto"/>
            <w:noWrap/>
            <w:vAlign w:val="bottom"/>
            <w:hideMark/>
          </w:tcPr>
          <w:p w14:paraId="489691A2" w14:textId="77777777" w:rsidR="00724BAB" w:rsidRPr="007925A8" w:rsidRDefault="00724BAB" w:rsidP="00E566F7">
            <w:pPr>
              <w:keepNext/>
              <w:rPr>
                <w:rFonts w:ascii="Garamond" w:eastAsia="Times New Roman" w:hAnsi="Garamond"/>
                <w:sz w:val="20"/>
                <w:szCs w:val="20"/>
                <w:lang w:eastAsia="en-GB"/>
              </w:rPr>
            </w:pPr>
          </w:p>
        </w:tc>
        <w:tc>
          <w:tcPr>
            <w:tcW w:w="441" w:type="dxa"/>
            <w:tcBorders>
              <w:top w:val="nil"/>
              <w:left w:val="nil"/>
              <w:bottom w:val="nil"/>
              <w:right w:val="nil"/>
            </w:tcBorders>
            <w:shd w:val="clear" w:color="000000" w:fill="808080"/>
            <w:noWrap/>
            <w:vAlign w:val="bottom"/>
            <w:hideMark/>
          </w:tcPr>
          <w:p w14:paraId="535DD5A2"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51D98343"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208D9242"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7230BD8C"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52E4A050" w14:textId="77777777" w:rsidR="00724BAB" w:rsidRPr="007925A8" w:rsidRDefault="00724BAB" w:rsidP="00E566F7">
            <w:pPr>
              <w:keepNext/>
              <w:rPr>
                <w:rFonts w:ascii="Garamond" w:eastAsia="Times New Roman" w:hAnsi="Garamond"/>
                <w:sz w:val="20"/>
                <w:szCs w:val="20"/>
                <w:lang w:eastAsia="en-GB"/>
              </w:rPr>
            </w:pPr>
          </w:p>
        </w:tc>
        <w:tc>
          <w:tcPr>
            <w:tcW w:w="837" w:type="dxa"/>
            <w:tcBorders>
              <w:top w:val="nil"/>
              <w:left w:val="nil"/>
              <w:bottom w:val="nil"/>
              <w:right w:val="nil"/>
            </w:tcBorders>
            <w:shd w:val="clear" w:color="auto" w:fill="auto"/>
            <w:noWrap/>
            <w:vAlign w:val="bottom"/>
            <w:hideMark/>
          </w:tcPr>
          <w:p w14:paraId="27E71207" w14:textId="77777777" w:rsidR="00724BAB" w:rsidRPr="007925A8" w:rsidRDefault="00724BAB" w:rsidP="00E566F7">
            <w:pPr>
              <w:keepNext/>
              <w:rPr>
                <w:rFonts w:ascii="Garamond" w:eastAsia="Times New Roman" w:hAnsi="Garamond"/>
                <w:sz w:val="20"/>
                <w:szCs w:val="20"/>
                <w:lang w:eastAsia="en-GB"/>
              </w:rPr>
            </w:pPr>
          </w:p>
        </w:tc>
        <w:tc>
          <w:tcPr>
            <w:tcW w:w="1488" w:type="dxa"/>
            <w:tcBorders>
              <w:top w:val="nil"/>
              <w:left w:val="nil"/>
              <w:bottom w:val="nil"/>
              <w:right w:val="single" w:sz="4" w:space="0" w:color="auto"/>
            </w:tcBorders>
            <w:shd w:val="clear" w:color="auto" w:fill="auto"/>
            <w:noWrap/>
            <w:vAlign w:val="bottom"/>
            <w:hideMark/>
          </w:tcPr>
          <w:p w14:paraId="66AB5EC6" w14:textId="77777777" w:rsidR="00724BAB" w:rsidRPr="007925A8" w:rsidRDefault="00724BAB" w:rsidP="00E566F7">
            <w:pPr>
              <w:keepNext/>
              <w:rPr>
                <w:rFonts w:ascii="Garamond" w:eastAsia="Times New Roman" w:hAnsi="Garamond"/>
                <w:sz w:val="20"/>
                <w:szCs w:val="20"/>
                <w:lang w:eastAsia="en-GB"/>
              </w:rPr>
            </w:pPr>
          </w:p>
        </w:tc>
      </w:tr>
      <w:tr w:rsidR="00724BAB" w:rsidRPr="0023527A" w14:paraId="0FEE51D8" w14:textId="77777777" w:rsidTr="00E566F7">
        <w:trPr>
          <w:trHeight w:val="198"/>
          <w:jc w:val="center"/>
        </w:trPr>
        <w:tc>
          <w:tcPr>
            <w:tcW w:w="870" w:type="dxa"/>
            <w:tcBorders>
              <w:top w:val="nil"/>
              <w:left w:val="single" w:sz="4" w:space="0" w:color="auto"/>
              <w:bottom w:val="nil"/>
              <w:right w:val="nil"/>
            </w:tcBorders>
            <w:shd w:val="clear" w:color="auto" w:fill="auto"/>
            <w:noWrap/>
            <w:vAlign w:val="bottom"/>
            <w:hideMark/>
          </w:tcPr>
          <w:p w14:paraId="0CE2EF84"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sz w:val="20"/>
                <w:szCs w:val="20"/>
                <w:lang w:eastAsia="en-GB"/>
              </w:rPr>
              <w:t>2</w:t>
            </w:r>
          </w:p>
        </w:tc>
        <w:tc>
          <w:tcPr>
            <w:tcW w:w="900" w:type="dxa"/>
            <w:tcBorders>
              <w:top w:val="nil"/>
              <w:left w:val="nil"/>
              <w:bottom w:val="nil"/>
              <w:right w:val="nil"/>
            </w:tcBorders>
            <w:shd w:val="clear" w:color="auto" w:fill="auto"/>
            <w:noWrap/>
            <w:vAlign w:val="bottom"/>
            <w:hideMark/>
          </w:tcPr>
          <w:p w14:paraId="790B5DDC"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sz w:val="20"/>
                <w:szCs w:val="20"/>
                <w:lang w:eastAsia="en-GB"/>
              </w:rPr>
              <w:t>$1,015</w:t>
            </w:r>
          </w:p>
        </w:tc>
        <w:tc>
          <w:tcPr>
            <w:tcW w:w="274" w:type="dxa"/>
            <w:tcBorders>
              <w:top w:val="nil"/>
              <w:left w:val="nil"/>
              <w:bottom w:val="nil"/>
              <w:right w:val="nil"/>
            </w:tcBorders>
            <w:shd w:val="clear" w:color="auto" w:fill="auto"/>
            <w:noWrap/>
            <w:vAlign w:val="bottom"/>
            <w:hideMark/>
          </w:tcPr>
          <w:p w14:paraId="441CC8FE" w14:textId="77777777" w:rsidR="00724BAB" w:rsidRPr="007925A8" w:rsidRDefault="00724BAB" w:rsidP="00E566F7">
            <w:pPr>
              <w:keepNext/>
              <w:rPr>
                <w:rFonts w:ascii="Garamond" w:eastAsia="Times New Roman" w:hAnsi="Garamond"/>
                <w:sz w:val="20"/>
                <w:szCs w:val="20"/>
                <w:lang w:eastAsia="en-GB"/>
              </w:rPr>
            </w:pPr>
          </w:p>
        </w:tc>
        <w:tc>
          <w:tcPr>
            <w:tcW w:w="441" w:type="dxa"/>
            <w:tcBorders>
              <w:top w:val="nil"/>
              <w:left w:val="nil"/>
              <w:bottom w:val="nil"/>
              <w:right w:val="nil"/>
            </w:tcBorders>
            <w:shd w:val="clear" w:color="000000" w:fill="808080"/>
            <w:noWrap/>
            <w:vAlign w:val="bottom"/>
            <w:hideMark/>
          </w:tcPr>
          <w:p w14:paraId="1F578CB8"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7CBE3D84"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294AE684"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397A2FA5"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1F8290AE" w14:textId="77777777" w:rsidR="00724BAB" w:rsidRPr="007925A8" w:rsidRDefault="00724BAB" w:rsidP="00E566F7">
            <w:pPr>
              <w:keepNext/>
              <w:rPr>
                <w:rFonts w:ascii="Garamond" w:eastAsia="Times New Roman" w:hAnsi="Garamond"/>
                <w:sz w:val="20"/>
                <w:szCs w:val="20"/>
                <w:lang w:eastAsia="en-GB"/>
              </w:rPr>
            </w:pPr>
          </w:p>
        </w:tc>
        <w:tc>
          <w:tcPr>
            <w:tcW w:w="837" w:type="dxa"/>
            <w:tcBorders>
              <w:top w:val="nil"/>
              <w:left w:val="nil"/>
              <w:bottom w:val="nil"/>
              <w:right w:val="nil"/>
            </w:tcBorders>
            <w:shd w:val="clear" w:color="auto" w:fill="auto"/>
            <w:noWrap/>
            <w:vAlign w:val="bottom"/>
            <w:hideMark/>
          </w:tcPr>
          <w:p w14:paraId="6EF51E7A" w14:textId="77777777" w:rsidR="00724BAB" w:rsidRPr="007925A8" w:rsidRDefault="00724BAB" w:rsidP="00E566F7">
            <w:pPr>
              <w:keepNext/>
              <w:rPr>
                <w:rFonts w:ascii="Garamond" w:eastAsia="Times New Roman" w:hAnsi="Garamond"/>
                <w:sz w:val="20"/>
                <w:szCs w:val="20"/>
                <w:lang w:eastAsia="en-GB"/>
              </w:rPr>
            </w:pPr>
          </w:p>
        </w:tc>
        <w:tc>
          <w:tcPr>
            <w:tcW w:w="1488" w:type="dxa"/>
            <w:tcBorders>
              <w:top w:val="nil"/>
              <w:left w:val="nil"/>
              <w:bottom w:val="nil"/>
              <w:right w:val="single" w:sz="4" w:space="0" w:color="auto"/>
            </w:tcBorders>
            <w:shd w:val="clear" w:color="auto" w:fill="auto"/>
            <w:noWrap/>
            <w:vAlign w:val="bottom"/>
            <w:hideMark/>
          </w:tcPr>
          <w:p w14:paraId="4C9F2229" w14:textId="77777777" w:rsidR="00724BAB" w:rsidRPr="007925A8" w:rsidRDefault="00724BAB" w:rsidP="00E566F7">
            <w:pPr>
              <w:keepNext/>
              <w:rPr>
                <w:rFonts w:ascii="Garamond" w:eastAsia="Times New Roman" w:hAnsi="Garamond"/>
                <w:sz w:val="20"/>
                <w:szCs w:val="20"/>
                <w:lang w:eastAsia="en-GB"/>
              </w:rPr>
            </w:pPr>
          </w:p>
        </w:tc>
      </w:tr>
      <w:tr w:rsidR="00724BAB" w:rsidRPr="0023527A" w14:paraId="530FA155" w14:textId="77777777" w:rsidTr="00E566F7">
        <w:trPr>
          <w:trHeight w:val="198"/>
          <w:jc w:val="center"/>
        </w:trPr>
        <w:tc>
          <w:tcPr>
            <w:tcW w:w="870" w:type="dxa"/>
            <w:tcBorders>
              <w:top w:val="nil"/>
              <w:left w:val="single" w:sz="4" w:space="0" w:color="auto"/>
              <w:bottom w:val="nil"/>
              <w:right w:val="nil"/>
            </w:tcBorders>
            <w:shd w:val="clear" w:color="auto" w:fill="auto"/>
            <w:noWrap/>
            <w:vAlign w:val="bottom"/>
            <w:hideMark/>
          </w:tcPr>
          <w:p w14:paraId="44C681DE"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sz w:val="20"/>
                <w:szCs w:val="20"/>
                <w:lang w:eastAsia="en-GB"/>
              </w:rPr>
              <w:t>1</w:t>
            </w:r>
          </w:p>
        </w:tc>
        <w:tc>
          <w:tcPr>
            <w:tcW w:w="9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E70F68C" w14:textId="77777777" w:rsidR="00724BAB" w:rsidRPr="007925A8" w:rsidRDefault="00724BAB" w:rsidP="00E566F7">
            <w:pPr>
              <w:keepNext/>
              <w:rPr>
                <w:rFonts w:ascii="Garamond" w:eastAsia="Times New Roman" w:hAnsi="Garamond"/>
                <w:sz w:val="20"/>
                <w:szCs w:val="20"/>
                <w:lang w:eastAsia="en-GB"/>
              </w:rPr>
            </w:pPr>
            <w:r w:rsidRPr="007925A8">
              <w:rPr>
                <w:rFonts w:ascii="Garamond" w:eastAsia="Times New Roman" w:hAnsi="Garamond"/>
                <w:sz w:val="20"/>
                <w:szCs w:val="20"/>
                <w:lang w:eastAsia="en-GB"/>
              </w:rPr>
              <w:t>$1,000</w:t>
            </w:r>
          </w:p>
        </w:tc>
        <w:tc>
          <w:tcPr>
            <w:tcW w:w="274" w:type="dxa"/>
            <w:tcBorders>
              <w:top w:val="nil"/>
              <w:left w:val="nil"/>
              <w:bottom w:val="nil"/>
              <w:right w:val="nil"/>
            </w:tcBorders>
            <w:shd w:val="clear" w:color="auto" w:fill="auto"/>
            <w:noWrap/>
            <w:vAlign w:val="bottom"/>
            <w:hideMark/>
          </w:tcPr>
          <w:p w14:paraId="1EAF049F" w14:textId="77777777" w:rsidR="00724BAB" w:rsidRPr="007925A8" w:rsidRDefault="00724BAB" w:rsidP="00E566F7">
            <w:pPr>
              <w:keepNext/>
              <w:rPr>
                <w:rFonts w:ascii="Garamond" w:eastAsia="Times New Roman" w:hAnsi="Garamond"/>
                <w:sz w:val="20"/>
                <w:szCs w:val="20"/>
                <w:lang w:eastAsia="en-GB"/>
              </w:rPr>
            </w:pPr>
          </w:p>
        </w:tc>
        <w:tc>
          <w:tcPr>
            <w:tcW w:w="441" w:type="dxa"/>
            <w:tcBorders>
              <w:top w:val="nil"/>
              <w:left w:val="nil"/>
              <w:bottom w:val="nil"/>
              <w:right w:val="nil"/>
            </w:tcBorders>
            <w:shd w:val="clear" w:color="000000" w:fill="808080"/>
            <w:noWrap/>
            <w:vAlign w:val="bottom"/>
            <w:hideMark/>
          </w:tcPr>
          <w:p w14:paraId="3B50FE3C"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2D361FA9"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10696466"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363D53E7" w14:textId="77777777" w:rsidR="00724BAB" w:rsidRPr="007925A8" w:rsidRDefault="00724BAB" w:rsidP="00E566F7">
            <w:pPr>
              <w:keepNext/>
              <w:rPr>
                <w:rFonts w:ascii="Garamond" w:eastAsia="Times New Roman" w:hAnsi="Garamond"/>
                <w:sz w:val="20"/>
                <w:szCs w:val="20"/>
                <w:lang w:eastAsia="en-GB"/>
              </w:rPr>
            </w:pPr>
          </w:p>
        </w:tc>
        <w:tc>
          <w:tcPr>
            <w:tcW w:w="253" w:type="dxa"/>
            <w:tcBorders>
              <w:top w:val="nil"/>
              <w:left w:val="nil"/>
              <w:bottom w:val="nil"/>
              <w:right w:val="nil"/>
            </w:tcBorders>
            <w:shd w:val="clear" w:color="auto" w:fill="auto"/>
            <w:noWrap/>
            <w:vAlign w:val="bottom"/>
            <w:hideMark/>
          </w:tcPr>
          <w:p w14:paraId="69C89D42" w14:textId="77777777" w:rsidR="00724BAB" w:rsidRPr="007925A8" w:rsidRDefault="00724BAB" w:rsidP="00E566F7">
            <w:pPr>
              <w:keepNext/>
              <w:rPr>
                <w:rFonts w:ascii="Garamond" w:eastAsia="Times New Roman" w:hAnsi="Garamond"/>
                <w:sz w:val="20"/>
                <w:szCs w:val="20"/>
                <w:lang w:eastAsia="en-GB"/>
              </w:rPr>
            </w:pPr>
          </w:p>
        </w:tc>
        <w:tc>
          <w:tcPr>
            <w:tcW w:w="837" w:type="dxa"/>
            <w:tcBorders>
              <w:top w:val="nil"/>
              <w:left w:val="nil"/>
              <w:bottom w:val="nil"/>
              <w:right w:val="nil"/>
            </w:tcBorders>
            <w:shd w:val="clear" w:color="auto" w:fill="auto"/>
            <w:noWrap/>
            <w:vAlign w:val="bottom"/>
            <w:hideMark/>
          </w:tcPr>
          <w:p w14:paraId="5045CCBC" w14:textId="77777777" w:rsidR="00724BAB" w:rsidRPr="007925A8" w:rsidRDefault="00724BAB" w:rsidP="00E566F7">
            <w:pPr>
              <w:keepNext/>
              <w:rPr>
                <w:rFonts w:ascii="Garamond" w:eastAsia="Times New Roman" w:hAnsi="Garamond"/>
                <w:sz w:val="20"/>
                <w:szCs w:val="20"/>
                <w:lang w:eastAsia="en-GB"/>
              </w:rPr>
            </w:pPr>
          </w:p>
        </w:tc>
        <w:tc>
          <w:tcPr>
            <w:tcW w:w="1488" w:type="dxa"/>
            <w:tcBorders>
              <w:top w:val="nil"/>
              <w:left w:val="nil"/>
              <w:bottom w:val="nil"/>
              <w:right w:val="single" w:sz="4" w:space="0" w:color="auto"/>
            </w:tcBorders>
            <w:shd w:val="clear" w:color="auto" w:fill="auto"/>
            <w:noWrap/>
            <w:vAlign w:val="bottom"/>
            <w:hideMark/>
          </w:tcPr>
          <w:p w14:paraId="20CC2762" w14:textId="77777777" w:rsidR="00724BAB" w:rsidRPr="007925A8" w:rsidRDefault="00724BAB" w:rsidP="00E566F7">
            <w:pPr>
              <w:keepNext/>
              <w:rPr>
                <w:rFonts w:ascii="Garamond" w:eastAsia="Times New Roman" w:hAnsi="Garamond"/>
                <w:sz w:val="20"/>
                <w:szCs w:val="20"/>
                <w:lang w:eastAsia="en-GB"/>
              </w:rPr>
            </w:pPr>
          </w:p>
        </w:tc>
      </w:tr>
      <w:tr w:rsidR="00724BAB" w:rsidRPr="0023527A" w14:paraId="1696DAA0" w14:textId="77777777" w:rsidTr="00E566F7">
        <w:trPr>
          <w:trHeight w:val="468"/>
          <w:jc w:val="center"/>
        </w:trPr>
        <w:tc>
          <w:tcPr>
            <w:tcW w:w="1770" w:type="dxa"/>
            <w:gridSpan w:val="2"/>
            <w:tcBorders>
              <w:top w:val="nil"/>
              <w:left w:val="single" w:sz="4" w:space="0" w:color="auto"/>
              <w:bottom w:val="single" w:sz="4" w:space="0" w:color="auto"/>
              <w:right w:val="nil"/>
            </w:tcBorders>
            <w:shd w:val="clear" w:color="auto" w:fill="auto"/>
            <w:noWrap/>
            <w:vAlign w:val="bottom"/>
            <w:hideMark/>
          </w:tcPr>
          <w:p w14:paraId="19AD25B4" w14:textId="77777777" w:rsidR="00724BAB" w:rsidRPr="007925A8" w:rsidRDefault="00724BAB" w:rsidP="00E566F7">
            <w:pPr>
              <w:rPr>
                <w:rFonts w:ascii="Garamond" w:eastAsia="Times New Roman" w:hAnsi="Garamond"/>
                <w:sz w:val="20"/>
                <w:szCs w:val="20"/>
                <w:lang w:eastAsia="en-GB"/>
              </w:rPr>
            </w:pPr>
            <w:r w:rsidRPr="007925A8">
              <w:rPr>
                <w:rFonts w:ascii="Garamond" w:eastAsia="Times New Roman" w:hAnsi="Garamond"/>
                <w:sz w:val="20"/>
                <w:szCs w:val="20"/>
                <w:lang w:eastAsia="en-GB"/>
              </w:rPr>
              <w:t>Increment: 1.5%</w:t>
            </w:r>
          </w:p>
        </w:tc>
        <w:tc>
          <w:tcPr>
            <w:tcW w:w="715" w:type="dxa"/>
            <w:gridSpan w:val="2"/>
            <w:tcBorders>
              <w:top w:val="nil"/>
              <w:left w:val="nil"/>
              <w:bottom w:val="single" w:sz="4" w:space="0" w:color="auto"/>
              <w:right w:val="nil"/>
            </w:tcBorders>
            <w:shd w:val="clear" w:color="auto" w:fill="auto"/>
            <w:noWrap/>
            <w:vAlign w:val="bottom"/>
            <w:hideMark/>
          </w:tcPr>
          <w:p w14:paraId="228C2C7B" w14:textId="77777777" w:rsidR="00724BAB" w:rsidRPr="007925A8" w:rsidRDefault="00724BAB" w:rsidP="00E566F7">
            <w:pPr>
              <w:rPr>
                <w:rFonts w:ascii="Garamond" w:eastAsia="Times New Roman" w:hAnsi="Garamond"/>
                <w:sz w:val="20"/>
                <w:szCs w:val="20"/>
                <w:lang w:eastAsia="en-GB"/>
              </w:rPr>
            </w:pPr>
          </w:p>
        </w:tc>
        <w:tc>
          <w:tcPr>
            <w:tcW w:w="253" w:type="dxa"/>
            <w:tcBorders>
              <w:top w:val="nil"/>
              <w:left w:val="nil"/>
              <w:bottom w:val="single" w:sz="4" w:space="0" w:color="auto"/>
              <w:right w:val="nil"/>
            </w:tcBorders>
            <w:shd w:val="clear" w:color="auto" w:fill="auto"/>
            <w:noWrap/>
            <w:vAlign w:val="bottom"/>
            <w:hideMark/>
          </w:tcPr>
          <w:p w14:paraId="76932619" w14:textId="77777777" w:rsidR="00724BAB" w:rsidRPr="007925A8" w:rsidRDefault="00724BAB" w:rsidP="00E566F7">
            <w:pPr>
              <w:rPr>
                <w:rFonts w:ascii="Garamond" w:eastAsia="Times New Roman" w:hAnsi="Garamond"/>
                <w:sz w:val="20"/>
                <w:szCs w:val="20"/>
                <w:lang w:eastAsia="en-GB"/>
              </w:rPr>
            </w:pPr>
          </w:p>
        </w:tc>
        <w:tc>
          <w:tcPr>
            <w:tcW w:w="253" w:type="dxa"/>
            <w:tcBorders>
              <w:top w:val="nil"/>
              <w:left w:val="nil"/>
              <w:bottom w:val="single" w:sz="4" w:space="0" w:color="auto"/>
              <w:right w:val="nil"/>
            </w:tcBorders>
            <w:shd w:val="clear" w:color="auto" w:fill="auto"/>
            <w:noWrap/>
            <w:vAlign w:val="bottom"/>
            <w:hideMark/>
          </w:tcPr>
          <w:p w14:paraId="06298EDD" w14:textId="77777777" w:rsidR="00724BAB" w:rsidRPr="007925A8" w:rsidRDefault="00724BAB" w:rsidP="00E566F7">
            <w:pPr>
              <w:rPr>
                <w:rFonts w:ascii="Garamond" w:eastAsia="Times New Roman" w:hAnsi="Garamond"/>
                <w:sz w:val="20"/>
                <w:szCs w:val="20"/>
                <w:lang w:eastAsia="en-GB"/>
              </w:rPr>
            </w:pPr>
          </w:p>
        </w:tc>
        <w:tc>
          <w:tcPr>
            <w:tcW w:w="253" w:type="dxa"/>
            <w:tcBorders>
              <w:top w:val="nil"/>
              <w:left w:val="nil"/>
              <w:bottom w:val="single" w:sz="4" w:space="0" w:color="auto"/>
              <w:right w:val="nil"/>
            </w:tcBorders>
            <w:shd w:val="clear" w:color="auto" w:fill="auto"/>
            <w:noWrap/>
            <w:vAlign w:val="bottom"/>
            <w:hideMark/>
          </w:tcPr>
          <w:p w14:paraId="035A587B" w14:textId="77777777" w:rsidR="00724BAB" w:rsidRPr="007925A8" w:rsidRDefault="00724BAB" w:rsidP="00E566F7">
            <w:pPr>
              <w:rPr>
                <w:rFonts w:ascii="Garamond" w:eastAsia="Times New Roman" w:hAnsi="Garamond"/>
                <w:sz w:val="20"/>
                <w:szCs w:val="20"/>
                <w:lang w:eastAsia="en-GB"/>
              </w:rPr>
            </w:pPr>
          </w:p>
        </w:tc>
        <w:tc>
          <w:tcPr>
            <w:tcW w:w="253" w:type="dxa"/>
            <w:tcBorders>
              <w:top w:val="nil"/>
              <w:left w:val="nil"/>
              <w:bottom w:val="single" w:sz="4" w:space="0" w:color="auto"/>
              <w:right w:val="nil"/>
            </w:tcBorders>
            <w:shd w:val="clear" w:color="auto" w:fill="auto"/>
            <w:noWrap/>
            <w:vAlign w:val="bottom"/>
            <w:hideMark/>
          </w:tcPr>
          <w:p w14:paraId="3C010FE5" w14:textId="77777777" w:rsidR="00724BAB" w:rsidRPr="007925A8" w:rsidRDefault="00724BAB" w:rsidP="00E566F7">
            <w:pPr>
              <w:rPr>
                <w:rFonts w:ascii="Garamond" w:eastAsia="Times New Roman" w:hAnsi="Garamond"/>
                <w:sz w:val="20"/>
                <w:szCs w:val="20"/>
                <w:lang w:eastAsia="en-GB"/>
              </w:rPr>
            </w:pPr>
          </w:p>
        </w:tc>
        <w:tc>
          <w:tcPr>
            <w:tcW w:w="837" w:type="dxa"/>
            <w:tcBorders>
              <w:top w:val="nil"/>
              <w:left w:val="nil"/>
              <w:bottom w:val="single" w:sz="4" w:space="0" w:color="auto"/>
              <w:right w:val="nil"/>
            </w:tcBorders>
            <w:shd w:val="clear" w:color="auto" w:fill="auto"/>
            <w:noWrap/>
            <w:vAlign w:val="bottom"/>
            <w:hideMark/>
          </w:tcPr>
          <w:p w14:paraId="0FCB9A4A" w14:textId="77777777" w:rsidR="00724BAB" w:rsidRPr="007925A8" w:rsidRDefault="00724BAB" w:rsidP="00E566F7">
            <w:pPr>
              <w:rPr>
                <w:rFonts w:ascii="Garamond" w:eastAsia="Times New Roman" w:hAnsi="Garamond"/>
                <w:sz w:val="20"/>
                <w:szCs w:val="20"/>
                <w:lang w:eastAsia="en-GB"/>
              </w:rPr>
            </w:pPr>
          </w:p>
        </w:tc>
        <w:tc>
          <w:tcPr>
            <w:tcW w:w="1488" w:type="dxa"/>
            <w:tcBorders>
              <w:top w:val="nil"/>
              <w:left w:val="nil"/>
              <w:bottom w:val="single" w:sz="4" w:space="0" w:color="auto"/>
              <w:right w:val="single" w:sz="4" w:space="0" w:color="auto"/>
            </w:tcBorders>
            <w:shd w:val="clear" w:color="auto" w:fill="auto"/>
            <w:noWrap/>
            <w:vAlign w:val="bottom"/>
            <w:hideMark/>
          </w:tcPr>
          <w:p w14:paraId="10EAB10C" w14:textId="77777777" w:rsidR="00724BAB" w:rsidRPr="007925A8" w:rsidRDefault="00724BAB" w:rsidP="00E566F7">
            <w:pPr>
              <w:rPr>
                <w:rFonts w:ascii="Garamond" w:eastAsia="Times New Roman" w:hAnsi="Garamond"/>
                <w:sz w:val="20"/>
                <w:szCs w:val="20"/>
                <w:lang w:eastAsia="en-GB"/>
              </w:rPr>
            </w:pPr>
          </w:p>
        </w:tc>
      </w:tr>
    </w:tbl>
    <w:p w14:paraId="344DE79E" w14:textId="77777777" w:rsidR="00724BAB" w:rsidRPr="00A10065" w:rsidRDefault="00724BAB" w:rsidP="00724BAB">
      <w:pPr>
        <w:pStyle w:val="ListParagraph"/>
        <w:numPr>
          <w:ilvl w:val="0"/>
          <w:numId w:val="13"/>
        </w:numPr>
        <w:spacing w:before="240"/>
      </w:pPr>
      <w:r w:rsidRPr="00A10065">
        <w:rPr>
          <w:b/>
        </w:rPr>
        <w:t xml:space="preserve">However, the original goals of the SSSS were compromised by revisions to its design and by its incomplete implementation. </w:t>
      </w:r>
      <w:r w:rsidRPr="00A10065">
        <w:t>In a conventional SSSS, all jobs are classified into occupational grades using a standard job</w:t>
      </w:r>
      <w:r>
        <w:t>-</w:t>
      </w:r>
      <w:r w:rsidRPr="00A10065">
        <w:t>evaluation methodology. Each grade is matched to a pay range on a single scale (or “spine”) at a level comparable to what is offered by the private sector. That range is fixed in percentage terms. Collective bargaining focuses on determining the lowest po</w:t>
      </w:r>
      <w:r>
        <w:t>i</w:t>
      </w:r>
      <w:r w:rsidRPr="00A10065">
        <w:t xml:space="preserve">nt of the pay range, and whenever it changes, the rest of the range is adjusted accordingly. </w:t>
      </w:r>
      <w:r>
        <w:t>T</w:t>
      </w:r>
      <w:r w:rsidRPr="00A10065">
        <w:t xml:space="preserve">he SSSS design adopted by the Ghanaian government differed from this model in several important respects. </w:t>
      </w:r>
      <w:r>
        <w:t>Rather than</w:t>
      </w:r>
      <w:r w:rsidRPr="00A10065">
        <w:t xml:space="preserve"> </w:t>
      </w:r>
      <w:r>
        <w:t>establishing</w:t>
      </w:r>
      <w:r w:rsidRPr="00A10065">
        <w:t xml:space="preserve"> a single spine that was independent of occupational grades, the government adopted a combined pay/grade grid structure very similar to the one that had been in place prior to 1997.</w:t>
      </w:r>
      <w:r w:rsidRPr="00A10065">
        <w:rPr>
          <w:rStyle w:val="FootnoteReference"/>
        </w:rPr>
        <w:footnoteReference w:id="84"/>
      </w:r>
      <w:r w:rsidRPr="00A10065">
        <w:t xml:space="preserve"> Instead of occupational grades, all public employees </w:t>
      </w:r>
      <w:r>
        <w:t>are</w:t>
      </w:r>
      <w:r w:rsidRPr="00A10065">
        <w:t xml:space="preserve"> </w:t>
      </w:r>
      <w:r>
        <w:t xml:space="preserve">now </w:t>
      </w:r>
      <w:r w:rsidRPr="00A10065">
        <w:t>classified according to a grid</w:t>
      </w:r>
      <w:r>
        <w:t>, which allows</w:t>
      </w:r>
      <w:r w:rsidRPr="00A10065">
        <w:t xml:space="preserve"> for overlaps between lower and upper levels. When annual increments take employees past a </w:t>
      </w:r>
      <w:r>
        <w:t>“</w:t>
      </w:r>
      <w:r w:rsidRPr="00A10065">
        <w:t>crossover</w:t>
      </w:r>
      <w:r>
        <w:t>”</w:t>
      </w:r>
      <w:r w:rsidRPr="00A10065">
        <w:t xml:space="preserve"> point, they can move up multiple steps to maintain pay progression, resulting in minor anomalies.  </w:t>
      </w:r>
    </w:p>
    <w:p w14:paraId="2BBB7AC8" w14:textId="77777777" w:rsidR="00724BAB" w:rsidRPr="00A10065" w:rsidRDefault="00724BAB" w:rsidP="00724BAB">
      <w:pPr>
        <w:pStyle w:val="ListParagraph"/>
        <w:numPr>
          <w:ilvl w:val="0"/>
          <w:numId w:val="13"/>
        </w:numPr>
      </w:pPr>
      <w:r w:rsidRPr="00A10065">
        <w:rPr>
          <w:b/>
        </w:rPr>
        <w:lastRenderedPageBreak/>
        <w:t>While the SSSS has reduced disparities in compensation, it has failed to equalize pay across different branches of the public service or maintain parity with the private sector.</w:t>
      </w:r>
      <w:r w:rsidRPr="00A10065">
        <w:t xml:space="preserve"> Consolidating collective bargaining was a major achievement: as all government employees are now covered by a single wage-negotiation process, no single group can obtain significantly better terms than their peers. However, without a system of occupational grades linked to specific pay ranges, it is difficult to determine whether compensation is equal across the public service or comparable to </w:t>
      </w:r>
      <w:r>
        <w:t xml:space="preserve">that offered by </w:t>
      </w:r>
      <w:r w:rsidRPr="00A10065">
        <w:t>the private labor market. The continued payment of substantial allowances exacerbates this problem. Furthermore, a poorly executed evaluation process has resulted in a standardized set of</w:t>
      </w:r>
      <w:r w:rsidRPr="00A10065" w:rsidDel="00923EF8">
        <w:t xml:space="preserve"> </w:t>
      </w:r>
      <w:r w:rsidRPr="00A10065">
        <w:t>job titles that obscures important differences in rank, and titles such as assistant director, director, and chief director do not consistently reflect specific levels of administrative authority.</w:t>
      </w:r>
    </w:p>
    <w:p w14:paraId="52621117" w14:textId="77777777" w:rsidR="00724BAB" w:rsidRDefault="00724BAB" w:rsidP="00724BAB">
      <w:pPr>
        <w:pStyle w:val="ListParagraph"/>
        <w:numPr>
          <w:ilvl w:val="0"/>
          <w:numId w:val="13"/>
        </w:numPr>
      </w:pPr>
      <w:r w:rsidRPr="00A10065">
        <w:rPr>
          <w:b/>
        </w:rPr>
        <w:t xml:space="preserve">The pay grid that underpins Ghana’s SSSS does not provide adequate information to ensure equal pay for equal work. </w:t>
      </w:r>
      <w:r w:rsidRPr="00DB3EEE">
        <w:t>The</w:t>
      </w:r>
      <w:r>
        <w:rPr>
          <w:b/>
        </w:rPr>
        <w:t xml:space="preserve"> </w:t>
      </w:r>
      <w:r w:rsidRPr="00A10065">
        <w:t>pay grid does not accurately reflect organizational needs or clearly distinguish between different occupations</w:t>
      </w:r>
      <w:r>
        <w:t xml:space="preserve"> (</w:t>
      </w:r>
      <w:r>
        <w:fldChar w:fldCharType="begin"/>
      </w:r>
      <w:r>
        <w:instrText xml:space="preserve"> REF _Ref471743461 \h </w:instrText>
      </w:r>
      <w:r>
        <w:fldChar w:fldCharType="separate"/>
      </w:r>
      <w:r w:rsidR="007B1CE6" w:rsidRPr="00275FDB">
        <w:t xml:space="preserve">Table </w:t>
      </w:r>
      <w:r w:rsidR="007B1CE6">
        <w:rPr>
          <w:noProof/>
        </w:rPr>
        <w:t>3</w:t>
      </w:r>
      <w:r w:rsidR="007B1CE6" w:rsidRPr="00275FDB">
        <w:t>.</w:t>
      </w:r>
      <w:r w:rsidR="007B1CE6">
        <w:rPr>
          <w:noProof/>
        </w:rPr>
        <w:t>6</w:t>
      </w:r>
      <w:r>
        <w:fldChar w:fldCharType="end"/>
      </w:r>
      <w:r>
        <w:t xml:space="preserve">). </w:t>
      </w:r>
      <w:r w:rsidRPr="00A10065">
        <w:t xml:space="preserve">When a position is included in the SSSS, it is assigned to a starting point on the grid. However, the position is not bound to a specified pay range or subject to limits on incremental pay raises. As a result, there is no mechanism to ensure that workers with the same type of jobs receive similar levels of compensation. </w:t>
      </w:r>
    </w:p>
    <w:p w14:paraId="17366F4F" w14:textId="77777777" w:rsidR="00724BAB" w:rsidRDefault="00724BAB" w:rsidP="00724BAB">
      <w:pPr>
        <w:sectPr w:rsidR="00724BAB" w:rsidSect="00E566F7">
          <w:headerReference w:type="default" r:id="rId52"/>
          <w:footerReference w:type="default" r:id="rId53"/>
          <w:footerReference w:type="first" r:id="rId54"/>
          <w:pgSz w:w="12240" w:h="15840"/>
          <w:pgMar w:top="1440" w:right="1440" w:bottom="1440" w:left="1440" w:header="720" w:footer="720" w:gutter="0"/>
          <w:cols w:space="720"/>
          <w:docGrid w:linePitch="360"/>
        </w:sectPr>
      </w:pPr>
    </w:p>
    <w:p w14:paraId="1E58D5E9" w14:textId="77777777" w:rsidR="00724BAB" w:rsidRDefault="00724BAB" w:rsidP="00724BAB"/>
    <w:tbl>
      <w:tblPr>
        <w:tblW w:w="13326" w:type="dxa"/>
        <w:tblLook w:val="04A0" w:firstRow="1" w:lastRow="0" w:firstColumn="1" w:lastColumn="0" w:noHBand="0" w:noVBand="1"/>
      </w:tblPr>
      <w:tblGrid>
        <w:gridCol w:w="717"/>
        <w:gridCol w:w="633"/>
        <w:gridCol w:w="231"/>
        <w:gridCol w:w="862"/>
        <w:gridCol w:w="862"/>
        <w:gridCol w:w="140"/>
        <w:gridCol w:w="723"/>
        <w:gridCol w:w="140"/>
        <w:gridCol w:w="722"/>
        <w:gridCol w:w="140"/>
        <w:gridCol w:w="722"/>
        <w:gridCol w:w="140"/>
        <w:gridCol w:w="722"/>
        <w:gridCol w:w="140"/>
        <w:gridCol w:w="722"/>
        <w:gridCol w:w="140"/>
        <w:gridCol w:w="722"/>
        <w:gridCol w:w="140"/>
        <w:gridCol w:w="722"/>
        <w:gridCol w:w="140"/>
        <w:gridCol w:w="722"/>
        <w:gridCol w:w="60"/>
        <w:gridCol w:w="721"/>
        <w:gridCol w:w="60"/>
        <w:gridCol w:w="721"/>
        <w:gridCol w:w="60"/>
        <w:gridCol w:w="721"/>
        <w:gridCol w:w="60"/>
        <w:gridCol w:w="721"/>
      </w:tblGrid>
      <w:tr w:rsidR="00724BAB" w:rsidRPr="00EC12E7" w14:paraId="61C94ECF" w14:textId="77777777" w:rsidTr="001960C6">
        <w:trPr>
          <w:trHeight w:val="204"/>
        </w:trPr>
        <w:tc>
          <w:tcPr>
            <w:tcW w:w="13326" w:type="dxa"/>
            <w:gridSpan w:val="29"/>
            <w:tcBorders>
              <w:top w:val="nil"/>
              <w:left w:val="nil"/>
              <w:bottom w:val="nil"/>
              <w:right w:val="nil"/>
            </w:tcBorders>
            <w:shd w:val="clear" w:color="auto" w:fill="auto"/>
            <w:noWrap/>
            <w:vAlign w:val="bottom"/>
            <w:hideMark/>
          </w:tcPr>
          <w:p w14:paraId="51130590" w14:textId="77777777" w:rsidR="00724BAB" w:rsidRPr="00275FDB" w:rsidRDefault="00724BAB" w:rsidP="007925A8">
            <w:pPr>
              <w:pStyle w:val="Caption"/>
              <w:spacing w:after="0"/>
              <w:rPr>
                <w:lang w:val="en-US"/>
              </w:rPr>
            </w:pPr>
            <w:bookmarkStart w:id="127" w:name="_Ref471743461"/>
            <w:bookmarkStart w:id="128" w:name="_Toc478837643"/>
            <w:r w:rsidRPr="00275FDB">
              <w:rPr>
                <w:lang w:val="en-US"/>
              </w:rPr>
              <w:t xml:space="preserve">Table </w:t>
            </w:r>
            <w:r w:rsidR="00500291" w:rsidRPr="00275FDB">
              <w:rPr>
                <w:lang w:val="en-US"/>
              </w:rPr>
              <w:fldChar w:fldCharType="begin"/>
            </w:r>
            <w:r w:rsidR="00500291" w:rsidRPr="00275FDB">
              <w:rPr>
                <w:lang w:val="en-US"/>
              </w:rPr>
              <w:instrText xml:space="preserve"> STYLEREF 1 \s </w:instrText>
            </w:r>
            <w:r w:rsidR="00500291" w:rsidRPr="00275FDB">
              <w:rPr>
                <w:lang w:val="en-US"/>
              </w:rPr>
              <w:fldChar w:fldCharType="separate"/>
            </w:r>
            <w:r w:rsidR="007B1CE6">
              <w:rPr>
                <w:noProof/>
                <w:lang w:val="en-US"/>
              </w:rPr>
              <w:t>3</w:t>
            </w:r>
            <w:r w:rsidR="00500291" w:rsidRPr="00275FDB">
              <w:rPr>
                <w:lang w:val="en-US"/>
              </w:rPr>
              <w:fldChar w:fldCharType="end"/>
            </w:r>
            <w:r w:rsidR="00500291" w:rsidRPr="00275FDB">
              <w:rPr>
                <w:lang w:val="en-US"/>
              </w:rPr>
              <w:t>.</w:t>
            </w:r>
            <w:r w:rsidR="00500291" w:rsidRPr="00275FDB">
              <w:rPr>
                <w:lang w:val="en-US"/>
              </w:rPr>
              <w:fldChar w:fldCharType="begin"/>
            </w:r>
            <w:r w:rsidR="00500291" w:rsidRPr="00275FDB">
              <w:rPr>
                <w:lang w:val="en-US"/>
              </w:rPr>
              <w:instrText xml:space="preserve"> SEQ Table \* ARABIC \s 1 </w:instrText>
            </w:r>
            <w:r w:rsidR="00500291" w:rsidRPr="00275FDB">
              <w:rPr>
                <w:lang w:val="en-US"/>
              </w:rPr>
              <w:fldChar w:fldCharType="separate"/>
            </w:r>
            <w:r w:rsidR="007B1CE6">
              <w:rPr>
                <w:noProof/>
                <w:lang w:val="en-US"/>
              </w:rPr>
              <w:t>6</w:t>
            </w:r>
            <w:r w:rsidR="00500291" w:rsidRPr="00275FDB">
              <w:rPr>
                <w:lang w:val="en-US"/>
              </w:rPr>
              <w:fldChar w:fldCharType="end"/>
            </w:r>
            <w:bookmarkEnd w:id="127"/>
            <w:r w:rsidRPr="00275FDB">
              <w:rPr>
                <w:lang w:val="en-US"/>
              </w:rPr>
              <w:t xml:space="preserve"> Ghana’s Single-Spine Salary Structure (GH¢ per year)</w:t>
            </w:r>
            <w:bookmarkEnd w:id="128"/>
          </w:p>
        </w:tc>
      </w:tr>
      <w:tr w:rsidR="00724BAB" w:rsidRPr="002C4E29" w14:paraId="0A8F20CE" w14:textId="77777777" w:rsidTr="001960C6">
        <w:trPr>
          <w:trHeight w:val="204"/>
        </w:trPr>
        <w:tc>
          <w:tcPr>
            <w:tcW w:w="717" w:type="dxa"/>
            <w:tcBorders>
              <w:top w:val="single" w:sz="4" w:space="0" w:color="auto"/>
              <w:left w:val="single" w:sz="4" w:space="0" w:color="auto"/>
              <w:bottom w:val="single" w:sz="4" w:space="0" w:color="auto"/>
              <w:right w:val="single" w:sz="4" w:space="0" w:color="auto"/>
            </w:tcBorders>
            <w:shd w:val="clear" w:color="000000" w:fill="FF99CC"/>
            <w:noWrap/>
            <w:vAlign w:val="bottom"/>
            <w:hideMark/>
          </w:tcPr>
          <w:p w14:paraId="02E151D1"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 xml:space="preserve">Level </w:t>
            </w:r>
          </w:p>
        </w:tc>
        <w:tc>
          <w:tcPr>
            <w:tcW w:w="864" w:type="dxa"/>
            <w:gridSpan w:val="2"/>
            <w:tcBorders>
              <w:top w:val="single" w:sz="4" w:space="0" w:color="auto"/>
              <w:left w:val="nil"/>
              <w:bottom w:val="single" w:sz="4" w:space="0" w:color="auto"/>
              <w:right w:val="single" w:sz="4" w:space="0" w:color="auto"/>
            </w:tcBorders>
            <w:shd w:val="clear" w:color="000000" w:fill="FF99CC"/>
            <w:noWrap/>
            <w:vAlign w:val="bottom"/>
            <w:hideMark/>
          </w:tcPr>
          <w:p w14:paraId="190C60A5"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Step 1</w:t>
            </w:r>
          </w:p>
        </w:tc>
        <w:tc>
          <w:tcPr>
            <w:tcW w:w="862" w:type="dxa"/>
            <w:tcBorders>
              <w:top w:val="single" w:sz="4" w:space="0" w:color="auto"/>
              <w:left w:val="nil"/>
              <w:bottom w:val="single" w:sz="4" w:space="0" w:color="auto"/>
              <w:right w:val="single" w:sz="4" w:space="0" w:color="auto"/>
            </w:tcBorders>
            <w:shd w:val="clear" w:color="000000" w:fill="FF99CC"/>
            <w:noWrap/>
            <w:vAlign w:val="bottom"/>
            <w:hideMark/>
          </w:tcPr>
          <w:p w14:paraId="0AE469BF"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Step 2</w:t>
            </w:r>
          </w:p>
        </w:tc>
        <w:tc>
          <w:tcPr>
            <w:tcW w:w="862" w:type="dxa"/>
            <w:tcBorders>
              <w:top w:val="single" w:sz="4" w:space="0" w:color="auto"/>
              <w:left w:val="nil"/>
              <w:bottom w:val="single" w:sz="4" w:space="0" w:color="auto"/>
              <w:right w:val="single" w:sz="4" w:space="0" w:color="auto"/>
            </w:tcBorders>
            <w:shd w:val="clear" w:color="000000" w:fill="FF99CC"/>
            <w:noWrap/>
            <w:vAlign w:val="bottom"/>
            <w:hideMark/>
          </w:tcPr>
          <w:p w14:paraId="77B979A8"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Step 3</w:t>
            </w:r>
          </w:p>
        </w:tc>
        <w:tc>
          <w:tcPr>
            <w:tcW w:w="863" w:type="dxa"/>
            <w:gridSpan w:val="2"/>
            <w:tcBorders>
              <w:top w:val="single" w:sz="4" w:space="0" w:color="auto"/>
              <w:left w:val="nil"/>
              <w:bottom w:val="single" w:sz="4" w:space="0" w:color="auto"/>
              <w:right w:val="single" w:sz="4" w:space="0" w:color="auto"/>
            </w:tcBorders>
            <w:shd w:val="clear" w:color="000000" w:fill="FF99CC"/>
            <w:noWrap/>
            <w:vAlign w:val="bottom"/>
            <w:hideMark/>
          </w:tcPr>
          <w:p w14:paraId="217D27DB"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Step 4</w:t>
            </w:r>
          </w:p>
        </w:tc>
        <w:tc>
          <w:tcPr>
            <w:tcW w:w="862" w:type="dxa"/>
            <w:gridSpan w:val="2"/>
            <w:tcBorders>
              <w:top w:val="single" w:sz="4" w:space="0" w:color="auto"/>
              <w:left w:val="nil"/>
              <w:bottom w:val="single" w:sz="4" w:space="0" w:color="auto"/>
              <w:right w:val="single" w:sz="4" w:space="0" w:color="auto"/>
            </w:tcBorders>
            <w:shd w:val="clear" w:color="000000" w:fill="FF99CC"/>
            <w:noWrap/>
            <w:vAlign w:val="bottom"/>
            <w:hideMark/>
          </w:tcPr>
          <w:p w14:paraId="596EBFEB"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Step 5</w:t>
            </w:r>
          </w:p>
        </w:tc>
        <w:tc>
          <w:tcPr>
            <w:tcW w:w="862" w:type="dxa"/>
            <w:gridSpan w:val="2"/>
            <w:tcBorders>
              <w:top w:val="single" w:sz="4" w:space="0" w:color="auto"/>
              <w:left w:val="nil"/>
              <w:bottom w:val="single" w:sz="4" w:space="0" w:color="auto"/>
              <w:right w:val="single" w:sz="4" w:space="0" w:color="auto"/>
            </w:tcBorders>
            <w:shd w:val="clear" w:color="000000" w:fill="FF99CC"/>
            <w:noWrap/>
            <w:vAlign w:val="bottom"/>
            <w:hideMark/>
          </w:tcPr>
          <w:p w14:paraId="08C57F87"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Step 6</w:t>
            </w:r>
          </w:p>
        </w:tc>
        <w:tc>
          <w:tcPr>
            <w:tcW w:w="862" w:type="dxa"/>
            <w:gridSpan w:val="2"/>
            <w:tcBorders>
              <w:top w:val="single" w:sz="4" w:space="0" w:color="auto"/>
              <w:left w:val="nil"/>
              <w:bottom w:val="single" w:sz="4" w:space="0" w:color="auto"/>
              <w:right w:val="single" w:sz="4" w:space="0" w:color="auto"/>
            </w:tcBorders>
            <w:shd w:val="clear" w:color="000000" w:fill="FF99CC"/>
            <w:noWrap/>
            <w:vAlign w:val="bottom"/>
            <w:hideMark/>
          </w:tcPr>
          <w:p w14:paraId="1BBA19C3"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Step 7</w:t>
            </w:r>
          </w:p>
        </w:tc>
        <w:tc>
          <w:tcPr>
            <w:tcW w:w="862" w:type="dxa"/>
            <w:gridSpan w:val="2"/>
            <w:tcBorders>
              <w:top w:val="single" w:sz="4" w:space="0" w:color="auto"/>
              <w:left w:val="nil"/>
              <w:bottom w:val="single" w:sz="4" w:space="0" w:color="auto"/>
              <w:right w:val="single" w:sz="4" w:space="0" w:color="auto"/>
            </w:tcBorders>
            <w:shd w:val="clear" w:color="000000" w:fill="FF99CC"/>
            <w:noWrap/>
            <w:vAlign w:val="bottom"/>
            <w:hideMark/>
          </w:tcPr>
          <w:p w14:paraId="4D7B1EC3"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Step 8</w:t>
            </w:r>
          </w:p>
        </w:tc>
        <w:tc>
          <w:tcPr>
            <w:tcW w:w="862" w:type="dxa"/>
            <w:gridSpan w:val="2"/>
            <w:tcBorders>
              <w:top w:val="single" w:sz="4" w:space="0" w:color="auto"/>
              <w:left w:val="nil"/>
              <w:bottom w:val="single" w:sz="4" w:space="0" w:color="auto"/>
              <w:right w:val="single" w:sz="4" w:space="0" w:color="auto"/>
            </w:tcBorders>
            <w:shd w:val="clear" w:color="000000" w:fill="FF99CC"/>
            <w:noWrap/>
            <w:vAlign w:val="bottom"/>
            <w:hideMark/>
          </w:tcPr>
          <w:p w14:paraId="0757FF47"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Step 9</w:t>
            </w:r>
          </w:p>
        </w:tc>
        <w:tc>
          <w:tcPr>
            <w:tcW w:w="862" w:type="dxa"/>
            <w:gridSpan w:val="2"/>
            <w:tcBorders>
              <w:top w:val="single" w:sz="4" w:space="0" w:color="auto"/>
              <w:left w:val="nil"/>
              <w:bottom w:val="single" w:sz="4" w:space="0" w:color="auto"/>
              <w:right w:val="single" w:sz="4" w:space="0" w:color="auto"/>
            </w:tcBorders>
            <w:shd w:val="clear" w:color="000000" w:fill="FF99CC"/>
            <w:noWrap/>
            <w:vAlign w:val="bottom"/>
            <w:hideMark/>
          </w:tcPr>
          <w:p w14:paraId="55E8F180"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Step 10</w:t>
            </w:r>
          </w:p>
        </w:tc>
        <w:tc>
          <w:tcPr>
            <w:tcW w:w="862" w:type="dxa"/>
            <w:gridSpan w:val="2"/>
            <w:tcBorders>
              <w:top w:val="single" w:sz="4" w:space="0" w:color="auto"/>
              <w:left w:val="nil"/>
              <w:bottom w:val="single" w:sz="4" w:space="0" w:color="auto"/>
              <w:right w:val="single" w:sz="4" w:space="0" w:color="auto"/>
            </w:tcBorders>
            <w:shd w:val="clear" w:color="000000" w:fill="FF99CC"/>
            <w:noWrap/>
            <w:vAlign w:val="bottom"/>
            <w:hideMark/>
          </w:tcPr>
          <w:p w14:paraId="6485A9DE"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Step 11</w:t>
            </w:r>
          </w:p>
        </w:tc>
        <w:tc>
          <w:tcPr>
            <w:tcW w:w="781" w:type="dxa"/>
            <w:gridSpan w:val="2"/>
            <w:tcBorders>
              <w:top w:val="single" w:sz="4" w:space="0" w:color="auto"/>
              <w:left w:val="nil"/>
              <w:bottom w:val="single" w:sz="4" w:space="0" w:color="auto"/>
              <w:right w:val="single" w:sz="4" w:space="0" w:color="auto"/>
            </w:tcBorders>
            <w:shd w:val="clear" w:color="000000" w:fill="FF99CC"/>
            <w:noWrap/>
            <w:vAlign w:val="bottom"/>
            <w:hideMark/>
          </w:tcPr>
          <w:p w14:paraId="76D298D7"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Step 12</w:t>
            </w:r>
          </w:p>
        </w:tc>
        <w:tc>
          <w:tcPr>
            <w:tcW w:w="781" w:type="dxa"/>
            <w:gridSpan w:val="2"/>
            <w:tcBorders>
              <w:top w:val="single" w:sz="4" w:space="0" w:color="auto"/>
              <w:left w:val="nil"/>
              <w:bottom w:val="single" w:sz="4" w:space="0" w:color="auto"/>
              <w:right w:val="single" w:sz="4" w:space="0" w:color="auto"/>
            </w:tcBorders>
            <w:shd w:val="clear" w:color="000000" w:fill="FF99CC"/>
            <w:noWrap/>
            <w:vAlign w:val="bottom"/>
            <w:hideMark/>
          </w:tcPr>
          <w:p w14:paraId="083E5F3A"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Step 13</w:t>
            </w:r>
          </w:p>
        </w:tc>
        <w:tc>
          <w:tcPr>
            <w:tcW w:w="781" w:type="dxa"/>
            <w:gridSpan w:val="2"/>
            <w:tcBorders>
              <w:top w:val="single" w:sz="4" w:space="0" w:color="auto"/>
              <w:left w:val="nil"/>
              <w:bottom w:val="single" w:sz="4" w:space="0" w:color="auto"/>
              <w:right w:val="single" w:sz="4" w:space="0" w:color="auto"/>
            </w:tcBorders>
            <w:shd w:val="clear" w:color="000000" w:fill="FF99CC"/>
            <w:noWrap/>
            <w:vAlign w:val="bottom"/>
            <w:hideMark/>
          </w:tcPr>
          <w:p w14:paraId="5BD7F5EE"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Step 14</w:t>
            </w:r>
          </w:p>
        </w:tc>
        <w:tc>
          <w:tcPr>
            <w:tcW w:w="781" w:type="dxa"/>
            <w:gridSpan w:val="2"/>
            <w:tcBorders>
              <w:top w:val="single" w:sz="4" w:space="0" w:color="auto"/>
              <w:left w:val="nil"/>
              <w:bottom w:val="single" w:sz="4" w:space="0" w:color="auto"/>
              <w:right w:val="single" w:sz="4" w:space="0" w:color="auto"/>
            </w:tcBorders>
            <w:shd w:val="clear" w:color="000000" w:fill="FF99CC"/>
            <w:noWrap/>
            <w:vAlign w:val="bottom"/>
            <w:hideMark/>
          </w:tcPr>
          <w:p w14:paraId="07029EB4"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Step 15</w:t>
            </w:r>
          </w:p>
        </w:tc>
      </w:tr>
      <w:tr w:rsidR="00724BAB" w:rsidRPr="002C4E29" w14:paraId="4D5EBCA9"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2FEA4844"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 </w:t>
            </w:r>
          </w:p>
        </w:tc>
        <w:tc>
          <w:tcPr>
            <w:tcW w:w="864" w:type="dxa"/>
            <w:gridSpan w:val="2"/>
            <w:tcBorders>
              <w:top w:val="nil"/>
              <w:left w:val="nil"/>
              <w:bottom w:val="single" w:sz="4" w:space="0" w:color="auto"/>
              <w:right w:val="single" w:sz="4" w:space="0" w:color="auto"/>
            </w:tcBorders>
            <w:shd w:val="clear" w:color="000000" w:fill="FF99CC"/>
            <w:noWrap/>
            <w:vAlign w:val="bottom"/>
            <w:hideMark/>
          </w:tcPr>
          <w:p w14:paraId="49E332D7"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1</w:t>
            </w:r>
          </w:p>
        </w:tc>
        <w:tc>
          <w:tcPr>
            <w:tcW w:w="862" w:type="dxa"/>
            <w:tcBorders>
              <w:top w:val="nil"/>
              <w:left w:val="nil"/>
              <w:bottom w:val="single" w:sz="4" w:space="0" w:color="auto"/>
              <w:right w:val="single" w:sz="4" w:space="0" w:color="auto"/>
            </w:tcBorders>
            <w:shd w:val="clear" w:color="000000" w:fill="FF99CC"/>
            <w:noWrap/>
            <w:vAlign w:val="bottom"/>
            <w:hideMark/>
          </w:tcPr>
          <w:p w14:paraId="2C224FA7"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2</w:t>
            </w:r>
          </w:p>
        </w:tc>
        <w:tc>
          <w:tcPr>
            <w:tcW w:w="862" w:type="dxa"/>
            <w:tcBorders>
              <w:top w:val="nil"/>
              <w:left w:val="nil"/>
              <w:bottom w:val="single" w:sz="4" w:space="0" w:color="auto"/>
              <w:right w:val="single" w:sz="4" w:space="0" w:color="auto"/>
            </w:tcBorders>
            <w:shd w:val="clear" w:color="000000" w:fill="FF99CC"/>
            <w:noWrap/>
            <w:vAlign w:val="bottom"/>
            <w:hideMark/>
          </w:tcPr>
          <w:p w14:paraId="3B568293"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3</w:t>
            </w:r>
          </w:p>
        </w:tc>
        <w:tc>
          <w:tcPr>
            <w:tcW w:w="863" w:type="dxa"/>
            <w:gridSpan w:val="2"/>
            <w:tcBorders>
              <w:top w:val="nil"/>
              <w:left w:val="nil"/>
              <w:bottom w:val="single" w:sz="4" w:space="0" w:color="auto"/>
              <w:right w:val="single" w:sz="4" w:space="0" w:color="auto"/>
            </w:tcBorders>
            <w:shd w:val="clear" w:color="000000" w:fill="FF99CC"/>
            <w:noWrap/>
            <w:vAlign w:val="bottom"/>
            <w:hideMark/>
          </w:tcPr>
          <w:p w14:paraId="00DC1121"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4</w:t>
            </w:r>
          </w:p>
        </w:tc>
        <w:tc>
          <w:tcPr>
            <w:tcW w:w="862" w:type="dxa"/>
            <w:gridSpan w:val="2"/>
            <w:tcBorders>
              <w:top w:val="nil"/>
              <w:left w:val="nil"/>
              <w:bottom w:val="single" w:sz="4" w:space="0" w:color="auto"/>
              <w:right w:val="single" w:sz="4" w:space="0" w:color="auto"/>
            </w:tcBorders>
            <w:shd w:val="clear" w:color="000000" w:fill="FF99CC"/>
            <w:noWrap/>
            <w:vAlign w:val="bottom"/>
            <w:hideMark/>
          </w:tcPr>
          <w:p w14:paraId="1589DCA8"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5</w:t>
            </w:r>
          </w:p>
        </w:tc>
        <w:tc>
          <w:tcPr>
            <w:tcW w:w="862" w:type="dxa"/>
            <w:gridSpan w:val="2"/>
            <w:tcBorders>
              <w:top w:val="nil"/>
              <w:left w:val="nil"/>
              <w:bottom w:val="single" w:sz="4" w:space="0" w:color="auto"/>
              <w:right w:val="single" w:sz="4" w:space="0" w:color="auto"/>
            </w:tcBorders>
            <w:shd w:val="clear" w:color="000000" w:fill="FF99CC"/>
            <w:noWrap/>
            <w:vAlign w:val="bottom"/>
            <w:hideMark/>
          </w:tcPr>
          <w:p w14:paraId="64E2DF50"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6</w:t>
            </w:r>
          </w:p>
        </w:tc>
        <w:tc>
          <w:tcPr>
            <w:tcW w:w="862" w:type="dxa"/>
            <w:gridSpan w:val="2"/>
            <w:tcBorders>
              <w:top w:val="nil"/>
              <w:left w:val="nil"/>
              <w:bottom w:val="single" w:sz="4" w:space="0" w:color="auto"/>
              <w:right w:val="single" w:sz="4" w:space="0" w:color="auto"/>
            </w:tcBorders>
            <w:shd w:val="clear" w:color="000000" w:fill="FF99CC"/>
            <w:noWrap/>
            <w:vAlign w:val="bottom"/>
            <w:hideMark/>
          </w:tcPr>
          <w:p w14:paraId="6E9DF3F0"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7</w:t>
            </w:r>
          </w:p>
        </w:tc>
        <w:tc>
          <w:tcPr>
            <w:tcW w:w="862" w:type="dxa"/>
            <w:gridSpan w:val="2"/>
            <w:tcBorders>
              <w:top w:val="nil"/>
              <w:left w:val="nil"/>
              <w:bottom w:val="single" w:sz="4" w:space="0" w:color="auto"/>
              <w:right w:val="single" w:sz="4" w:space="0" w:color="auto"/>
            </w:tcBorders>
            <w:shd w:val="clear" w:color="000000" w:fill="FF99CC"/>
            <w:noWrap/>
            <w:vAlign w:val="bottom"/>
            <w:hideMark/>
          </w:tcPr>
          <w:p w14:paraId="3CA427B0"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8</w:t>
            </w:r>
          </w:p>
        </w:tc>
        <w:tc>
          <w:tcPr>
            <w:tcW w:w="862" w:type="dxa"/>
            <w:gridSpan w:val="2"/>
            <w:tcBorders>
              <w:top w:val="nil"/>
              <w:left w:val="nil"/>
              <w:bottom w:val="single" w:sz="4" w:space="0" w:color="auto"/>
              <w:right w:val="single" w:sz="4" w:space="0" w:color="auto"/>
            </w:tcBorders>
            <w:shd w:val="clear" w:color="000000" w:fill="FF99CC"/>
            <w:noWrap/>
            <w:vAlign w:val="bottom"/>
            <w:hideMark/>
          </w:tcPr>
          <w:p w14:paraId="00935B31"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9</w:t>
            </w:r>
          </w:p>
        </w:tc>
        <w:tc>
          <w:tcPr>
            <w:tcW w:w="862" w:type="dxa"/>
            <w:gridSpan w:val="2"/>
            <w:tcBorders>
              <w:top w:val="nil"/>
              <w:left w:val="nil"/>
              <w:bottom w:val="single" w:sz="4" w:space="0" w:color="auto"/>
              <w:right w:val="single" w:sz="4" w:space="0" w:color="auto"/>
            </w:tcBorders>
            <w:shd w:val="clear" w:color="000000" w:fill="FF99CC"/>
            <w:noWrap/>
            <w:vAlign w:val="bottom"/>
            <w:hideMark/>
          </w:tcPr>
          <w:p w14:paraId="301E0885"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10</w:t>
            </w:r>
          </w:p>
        </w:tc>
        <w:tc>
          <w:tcPr>
            <w:tcW w:w="862" w:type="dxa"/>
            <w:gridSpan w:val="2"/>
            <w:tcBorders>
              <w:top w:val="nil"/>
              <w:left w:val="nil"/>
              <w:bottom w:val="single" w:sz="4" w:space="0" w:color="auto"/>
              <w:right w:val="single" w:sz="4" w:space="0" w:color="auto"/>
            </w:tcBorders>
            <w:shd w:val="clear" w:color="000000" w:fill="FF99CC"/>
            <w:noWrap/>
            <w:vAlign w:val="bottom"/>
            <w:hideMark/>
          </w:tcPr>
          <w:p w14:paraId="0B39A61F"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11</w:t>
            </w:r>
          </w:p>
        </w:tc>
        <w:tc>
          <w:tcPr>
            <w:tcW w:w="781" w:type="dxa"/>
            <w:gridSpan w:val="2"/>
            <w:tcBorders>
              <w:top w:val="nil"/>
              <w:left w:val="nil"/>
              <w:bottom w:val="single" w:sz="4" w:space="0" w:color="auto"/>
              <w:right w:val="single" w:sz="4" w:space="0" w:color="auto"/>
            </w:tcBorders>
            <w:shd w:val="clear" w:color="000000" w:fill="FF99CC"/>
            <w:noWrap/>
            <w:vAlign w:val="bottom"/>
            <w:hideMark/>
          </w:tcPr>
          <w:p w14:paraId="3DA69D09"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12</w:t>
            </w:r>
          </w:p>
        </w:tc>
        <w:tc>
          <w:tcPr>
            <w:tcW w:w="781" w:type="dxa"/>
            <w:gridSpan w:val="2"/>
            <w:tcBorders>
              <w:top w:val="nil"/>
              <w:left w:val="nil"/>
              <w:bottom w:val="single" w:sz="4" w:space="0" w:color="auto"/>
              <w:right w:val="single" w:sz="4" w:space="0" w:color="auto"/>
            </w:tcBorders>
            <w:shd w:val="clear" w:color="000000" w:fill="FF99CC"/>
            <w:noWrap/>
            <w:vAlign w:val="bottom"/>
            <w:hideMark/>
          </w:tcPr>
          <w:p w14:paraId="3BE33315"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13</w:t>
            </w:r>
          </w:p>
        </w:tc>
        <w:tc>
          <w:tcPr>
            <w:tcW w:w="781" w:type="dxa"/>
            <w:gridSpan w:val="2"/>
            <w:tcBorders>
              <w:top w:val="nil"/>
              <w:left w:val="nil"/>
              <w:bottom w:val="single" w:sz="4" w:space="0" w:color="auto"/>
              <w:right w:val="single" w:sz="4" w:space="0" w:color="auto"/>
            </w:tcBorders>
            <w:shd w:val="clear" w:color="000000" w:fill="FF99CC"/>
            <w:noWrap/>
            <w:vAlign w:val="bottom"/>
            <w:hideMark/>
          </w:tcPr>
          <w:p w14:paraId="162B6F78"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14</w:t>
            </w:r>
          </w:p>
        </w:tc>
        <w:tc>
          <w:tcPr>
            <w:tcW w:w="781" w:type="dxa"/>
            <w:gridSpan w:val="2"/>
            <w:tcBorders>
              <w:top w:val="nil"/>
              <w:left w:val="nil"/>
              <w:bottom w:val="single" w:sz="4" w:space="0" w:color="auto"/>
              <w:right w:val="single" w:sz="4" w:space="0" w:color="auto"/>
            </w:tcBorders>
            <w:shd w:val="clear" w:color="000000" w:fill="FF99CC"/>
            <w:noWrap/>
            <w:vAlign w:val="bottom"/>
            <w:hideMark/>
          </w:tcPr>
          <w:p w14:paraId="1B6002F9" w14:textId="77777777" w:rsidR="00724BAB" w:rsidRPr="00DB3EEE" w:rsidRDefault="00724BAB" w:rsidP="007925A8">
            <w:pPr>
              <w:spacing w:after="0" w:line="240" w:lineRule="auto"/>
              <w:jc w:val="center"/>
              <w:rPr>
                <w:rFonts w:eastAsia="Times New Roman" w:cs="Arial"/>
                <w:b/>
                <w:bCs/>
                <w:sz w:val="16"/>
                <w:szCs w:val="16"/>
                <w:lang w:val="en-GB" w:eastAsia="en-GB"/>
              </w:rPr>
            </w:pPr>
            <w:r w:rsidRPr="00DB3EEE">
              <w:rPr>
                <w:rFonts w:eastAsia="Times New Roman" w:cs="Arial"/>
                <w:b/>
                <w:bCs/>
                <w:sz w:val="16"/>
                <w:szCs w:val="16"/>
                <w:lang w:val="en-GB" w:eastAsia="en-GB"/>
              </w:rPr>
              <w:t>15</w:t>
            </w:r>
          </w:p>
        </w:tc>
      </w:tr>
      <w:tr w:rsidR="00724BAB" w:rsidRPr="002C4E29" w14:paraId="422666B9"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46786DB2"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L25</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15151863"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42,642.23</w:t>
            </w:r>
          </w:p>
        </w:tc>
        <w:tc>
          <w:tcPr>
            <w:tcW w:w="862" w:type="dxa"/>
            <w:tcBorders>
              <w:top w:val="nil"/>
              <w:left w:val="nil"/>
              <w:bottom w:val="single" w:sz="4" w:space="0" w:color="auto"/>
              <w:right w:val="single" w:sz="4" w:space="0" w:color="auto"/>
            </w:tcBorders>
            <w:shd w:val="clear" w:color="auto" w:fill="auto"/>
            <w:noWrap/>
            <w:vAlign w:val="bottom"/>
            <w:hideMark/>
          </w:tcPr>
          <w:p w14:paraId="655555D2"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43,367.15</w:t>
            </w:r>
          </w:p>
        </w:tc>
        <w:tc>
          <w:tcPr>
            <w:tcW w:w="862" w:type="dxa"/>
            <w:tcBorders>
              <w:top w:val="nil"/>
              <w:left w:val="nil"/>
              <w:bottom w:val="single" w:sz="4" w:space="0" w:color="auto"/>
              <w:right w:val="single" w:sz="4" w:space="0" w:color="auto"/>
            </w:tcBorders>
            <w:shd w:val="clear" w:color="auto" w:fill="auto"/>
            <w:noWrap/>
            <w:vAlign w:val="bottom"/>
            <w:hideMark/>
          </w:tcPr>
          <w:p w14:paraId="15CA3A8D"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44,104.39</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0A34DDDC"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44,854.16</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293001F6"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45,616.68</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31C80752"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46,392.17</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61CD9D2B"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47,180.83</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2813664B"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0B4825C3"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69DD6D7F"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6EBEA229"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225FF6DB"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568E020E"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20F1AC67"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726FB2AC"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r>
      <w:tr w:rsidR="00724BAB" w:rsidRPr="002C4E29" w14:paraId="2804830D"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563F92F5"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L24</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5FF5B358"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37,262.52</w:t>
            </w:r>
          </w:p>
        </w:tc>
        <w:tc>
          <w:tcPr>
            <w:tcW w:w="862" w:type="dxa"/>
            <w:tcBorders>
              <w:top w:val="nil"/>
              <w:left w:val="nil"/>
              <w:bottom w:val="single" w:sz="4" w:space="0" w:color="auto"/>
              <w:right w:val="single" w:sz="4" w:space="0" w:color="auto"/>
            </w:tcBorders>
            <w:shd w:val="clear" w:color="auto" w:fill="auto"/>
            <w:noWrap/>
            <w:vAlign w:val="bottom"/>
            <w:hideMark/>
          </w:tcPr>
          <w:p w14:paraId="6FEE17D9"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37,895.99</w:t>
            </w:r>
          </w:p>
        </w:tc>
        <w:tc>
          <w:tcPr>
            <w:tcW w:w="862" w:type="dxa"/>
            <w:tcBorders>
              <w:top w:val="nil"/>
              <w:left w:val="nil"/>
              <w:bottom w:val="single" w:sz="4" w:space="0" w:color="auto"/>
              <w:right w:val="single" w:sz="4" w:space="0" w:color="auto"/>
            </w:tcBorders>
            <w:shd w:val="clear" w:color="auto" w:fill="auto"/>
            <w:noWrap/>
            <w:vAlign w:val="bottom"/>
            <w:hideMark/>
          </w:tcPr>
          <w:p w14:paraId="1C15DAB8"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38,540.22</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0D747420"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39,195.40</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4797BAB4"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39,861.72</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22E26562"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40,539.37</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625819D8"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41,228.54</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68E46AFA"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41,929.43</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1DE8EE29"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0C055F9B"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45318670"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17FF5B52"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3A5F0A18"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6B130220"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5345636F"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r>
      <w:tr w:rsidR="00724BAB" w:rsidRPr="002C4E29" w14:paraId="68A6D0F8"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50244883"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L23</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1AFEABAC"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32,561.52</w:t>
            </w:r>
          </w:p>
        </w:tc>
        <w:tc>
          <w:tcPr>
            <w:tcW w:w="862" w:type="dxa"/>
            <w:tcBorders>
              <w:top w:val="nil"/>
              <w:left w:val="nil"/>
              <w:bottom w:val="single" w:sz="4" w:space="0" w:color="auto"/>
              <w:right w:val="single" w:sz="4" w:space="0" w:color="auto"/>
            </w:tcBorders>
            <w:shd w:val="clear" w:color="auto" w:fill="auto"/>
            <w:noWrap/>
            <w:vAlign w:val="bottom"/>
            <w:hideMark/>
          </w:tcPr>
          <w:p w14:paraId="370CB668"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33,115.06</w:t>
            </w:r>
          </w:p>
        </w:tc>
        <w:tc>
          <w:tcPr>
            <w:tcW w:w="862" w:type="dxa"/>
            <w:tcBorders>
              <w:top w:val="nil"/>
              <w:left w:val="nil"/>
              <w:bottom w:val="single" w:sz="4" w:space="0" w:color="auto"/>
              <w:right w:val="single" w:sz="4" w:space="0" w:color="auto"/>
            </w:tcBorders>
            <w:shd w:val="clear" w:color="auto" w:fill="auto"/>
            <w:noWrap/>
            <w:vAlign w:val="bottom"/>
            <w:hideMark/>
          </w:tcPr>
          <w:p w14:paraId="7DBE9436"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33,678.02</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1348D30E"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34,250.55</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6BD5883D"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34,832.80</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79D8894A"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35,424.96</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0317C2EA"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36,027.19</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419D3531"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36,639.65</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470E7CC2"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11D4F4CC"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31BFF32D"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2BE0E09D"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6D15A3A6"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7234157B"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53290B64"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r>
      <w:tr w:rsidR="00724BAB" w:rsidRPr="002C4E29" w14:paraId="0082BD7A"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62ABAB89"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L22</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6EE080C2"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28,453.59</w:t>
            </w:r>
          </w:p>
        </w:tc>
        <w:tc>
          <w:tcPr>
            <w:tcW w:w="862" w:type="dxa"/>
            <w:tcBorders>
              <w:top w:val="nil"/>
              <w:left w:val="nil"/>
              <w:bottom w:val="single" w:sz="4" w:space="0" w:color="auto"/>
              <w:right w:val="single" w:sz="4" w:space="0" w:color="auto"/>
            </w:tcBorders>
            <w:shd w:val="clear" w:color="auto" w:fill="auto"/>
            <w:noWrap/>
            <w:vAlign w:val="bottom"/>
            <w:hideMark/>
          </w:tcPr>
          <w:p w14:paraId="35B87216"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28,937.30</w:t>
            </w:r>
          </w:p>
        </w:tc>
        <w:tc>
          <w:tcPr>
            <w:tcW w:w="862" w:type="dxa"/>
            <w:tcBorders>
              <w:top w:val="nil"/>
              <w:left w:val="nil"/>
              <w:bottom w:val="single" w:sz="4" w:space="0" w:color="auto"/>
              <w:right w:val="single" w:sz="4" w:space="0" w:color="auto"/>
            </w:tcBorders>
            <w:shd w:val="clear" w:color="auto" w:fill="auto"/>
            <w:noWrap/>
            <w:vAlign w:val="bottom"/>
            <w:hideMark/>
          </w:tcPr>
          <w:p w14:paraId="7FFD8723"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29,429.23</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3C363F0E"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29,929.53</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081DC0F3"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30,438.33</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787FDAFA"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30,955.78</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5C00AB92"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31,482.03</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20C2D888"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32,017.22</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6DF9A0BC"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1C984981"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1948A16C"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1265719F"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58C49BE1"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099CECA5"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642F2A9D"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r>
      <w:tr w:rsidR="00724BAB" w:rsidRPr="002C4E29" w14:paraId="7A13475A"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32ABAF23"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L21</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7F6AA5EF"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24,863.91</w:t>
            </w:r>
          </w:p>
        </w:tc>
        <w:tc>
          <w:tcPr>
            <w:tcW w:w="862" w:type="dxa"/>
            <w:tcBorders>
              <w:top w:val="nil"/>
              <w:left w:val="nil"/>
              <w:bottom w:val="single" w:sz="4" w:space="0" w:color="auto"/>
              <w:right w:val="single" w:sz="4" w:space="0" w:color="auto"/>
            </w:tcBorders>
            <w:shd w:val="clear" w:color="auto" w:fill="auto"/>
            <w:noWrap/>
            <w:vAlign w:val="bottom"/>
            <w:hideMark/>
          </w:tcPr>
          <w:p w14:paraId="396CAD76"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25,286.59</w:t>
            </w:r>
          </w:p>
        </w:tc>
        <w:tc>
          <w:tcPr>
            <w:tcW w:w="862" w:type="dxa"/>
            <w:tcBorders>
              <w:top w:val="nil"/>
              <w:left w:val="nil"/>
              <w:bottom w:val="single" w:sz="4" w:space="0" w:color="auto"/>
              <w:right w:val="single" w:sz="4" w:space="0" w:color="auto"/>
            </w:tcBorders>
            <w:shd w:val="clear" w:color="auto" w:fill="auto"/>
            <w:noWrap/>
            <w:vAlign w:val="bottom"/>
            <w:hideMark/>
          </w:tcPr>
          <w:p w14:paraId="19474BD4"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25,716.47</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5F34D430"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26,153.65</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08BD1CEB"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26,598.26</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5A0B10ED"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27,050.43</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75953EB8"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27,510.29</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799404E3"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27,977.96</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3E8C75F8"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2D968E86"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03E685F2"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3DAD5188"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3D1DA639"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357EAE0D"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57E7FE4A"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r>
      <w:tr w:rsidR="00724BAB" w:rsidRPr="002C4E29" w14:paraId="141A5526"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50A54C2B"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L20</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7067ECDA"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21,363.91</w:t>
            </w:r>
          </w:p>
        </w:tc>
        <w:tc>
          <w:tcPr>
            <w:tcW w:w="862" w:type="dxa"/>
            <w:tcBorders>
              <w:top w:val="nil"/>
              <w:left w:val="nil"/>
              <w:bottom w:val="single" w:sz="4" w:space="0" w:color="auto"/>
              <w:right w:val="single" w:sz="4" w:space="0" w:color="auto"/>
            </w:tcBorders>
            <w:shd w:val="clear" w:color="auto" w:fill="auto"/>
            <w:noWrap/>
            <w:vAlign w:val="bottom"/>
            <w:hideMark/>
          </w:tcPr>
          <w:p w14:paraId="5DF6623A"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21,727.10</w:t>
            </w:r>
          </w:p>
        </w:tc>
        <w:tc>
          <w:tcPr>
            <w:tcW w:w="862" w:type="dxa"/>
            <w:tcBorders>
              <w:top w:val="nil"/>
              <w:left w:val="nil"/>
              <w:bottom w:val="single" w:sz="4" w:space="0" w:color="auto"/>
              <w:right w:val="single" w:sz="4" w:space="0" w:color="auto"/>
            </w:tcBorders>
            <w:shd w:val="clear" w:color="auto" w:fill="auto"/>
            <w:noWrap/>
            <w:vAlign w:val="bottom"/>
            <w:hideMark/>
          </w:tcPr>
          <w:p w14:paraId="50232ECD"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22,096.46</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70C73F3E"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22,472.10</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26D22662"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22,854.13</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671756FD"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23,242.65</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05711C81"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23,637.77</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5F5F2640"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24,039.61</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604B5797"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24,448.29</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456C1CBD"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5F97532D"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4B5EE15B"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11F82B24"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789BB7B3"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08E35401"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r>
      <w:tr w:rsidR="00724BAB" w:rsidRPr="002C4E29" w14:paraId="720643C5"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514161C7"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L19</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5450FA5D"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18,049.75</w:t>
            </w:r>
          </w:p>
        </w:tc>
        <w:tc>
          <w:tcPr>
            <w:tcW w:w="862" w:type="dxa"/>
            <w:tcBorders>
              <w:top w:val="nil"/>
              <w:left w:val="nil"/>
              <w:bottom w:val="single" w:sz="4" w:space="0" w:color="auto"/>
              <w:right w:val="single" w:sz="4" w:space="0" w:color="auto"/>
            </w:tcBorders>
            <w:shd w:val="clear" w:color="auto" w:fill="auto"/>
            <w:noWrap/>
            <w:vAlign w:val="bottom"/>
            <w:hideMark/>
          </w:tcPr>
          <w:p w14:paraId="41A1B147"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18,356.60</w:t>
            </w:r>
          </w:p>
        </w:tc>
        <w:tc>
          <w:tcPr>
            <w:tcW w:w="862" w:type="dxa"/>
            <w:tcBorders>
              <w:top w:val="nil"/>
              <w:left w:val="nil"/>
              <w:bottom w:val="single" w:sz="4" w:space="0" w:color="auto"/>
              <w:right w:val="single" w:sz="4" w:space="0" w:color="auto"/>
            </w:tcBorders>
            <w:shd w:val="clear" w:color="auto" w:fill="auto"/>
            <w:noWrap/>
            <w:vAlign w:val="bottom"/>
            <w:hideMark/>
          </w:tcPr>
          <w:p w14:paraId="731AD56B"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18,668.66</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677A67E6"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18,986.03</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5DF0D079"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19,308.79</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7A7A9DB3"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19,637.04</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4D00E3DF"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19,970.87</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3632C7FD"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20,310.38</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552F16EA"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20,655.65</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0A8EFF54"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2AE5F7B5"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535CAB73"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252A4CAC"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62CC198E"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4AFD49D5"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r>
      <w:tr w:rsidR="00724BAB" w:rsidRPr="002C4E29" w14:paraId="746F7C2D"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7562E322"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L18</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6DB0983E"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16,590.77</w:t>
            </w:r>
          </w:p>
        </w:tc>
        <w:tc>
          <w:tcPr>
            <w:tcW w:w="862" w:type="dxa"/>
            <w:tcBorders>
              <w:top w:val="nil"/>
              <w:left w:val="nil"/>
              <w:bottom w:val="single" w:sz="4" w:space="0" w:color="auto"/>
              <w:right w:val="single" w:sz="4" w:space="0" w:color="auto"/>
            </w:tcBorders>
            <w:shd w:val="clear" w:color="auto" w:fill="auto"/>
            <w:noWrap/>
            <w:vAlign w:val="bottom"/>
            <w:hideMark/>
          </w:tcPr>
          <w:p w14:paraId="2ACD7D55"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16,872.81</w:t>
            </w:r>
          </w:p>
        </w:tc>
        <w:tc>
          <w:tcPr>
            <w:tcW w:w="862" w:type="dxa"/>
            <w:tcBorders>
              <w:top w:val="nil"/>
              <w:left w:val="nil"/>
              <w:bottom w:val="single" w:sz="4" w:space="0" w:color="auto"/>
              <w:right w:val="single" w:sz="4" w:space="0" w:color="auto"/>
            </w:tcBorders>
            <w:shd w:val="clear" w:color="auto" w:fill="auto"/>
            <w:noWrap/>
            <w:vAlign w:val="bottom"/>
            <w:hideMark/>
          </w:tcPr>
          <w:p w14:paraId="284DF4A1"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17,159.65</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51AE9AA8"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17,451.36</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326FF487"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17,748.04</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0C049C30"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18,049.75</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27E8994F"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18,356.60</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214E2433"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18,668.66</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4DCF6A5B"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19,896.03</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292FF6E2"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301EFD11"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2FDF3B29"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21ED6066"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2A97EDFE"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2191E0F3"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r>
      <w:tr w:rsidR="00724BAB" w:rsidRPr="002C4E29" w14:paraId="45247E6D"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73FBC980"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L17</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1D6E16C8"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15,249.72</w:t>
            </w:r>
          </w:p>
        </w:tc>
        <w:tc>
          <w:tcPr>
            <w:tcW w:w="862" w:type="dxa"/>
            <w:tcBorders>
              <w:top w:val="nil"/>
              <w:left w:val="nil"/>
              <w:bottom w:val="single" w:sz="4" w:space="0" w:color="auto"/>
              <w:right w:val="single" w:sz="4" w:space="0" w:color="auto"/>
            </w:tcBorders>
            <w:shd w:val="clear" w:color="auto" w:fill="auto"/>
            <w:noWrap/>
            <w:vAlign w:val="bottom"/>
            <w:hideMark/>
          </w:tcPr>
          <w:p w14:paraId="236CC40F"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15,508.96</w:t>
            </w:r>
          </w:p>
        </w:tc>
        <w:tc>
          <w:tcPr>
            <w:tcW w:w="862" w:type="dxa"/>
            <w:tcBorders>
              <w:top w:val="nil"/>
              <w:left w:val="nil"/>
              <w:bottom w:val="single" w:sz="4" w:space="0" w:color="auto"/>
              <w:right w:val="single" w:sz="4" w:space="0" w:color="auto"/>
            </w:tcBorders>
            <w:shd w:val="clear" w:color="auto" w:fill="auto"/>
            <w:noWrap/>
            <w:vAlign w:val="bottom"/>
            <w:hideMark/>
          </w:tcPr>
          <w:p w14:paraId="1EAA3F47"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15,772.61</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044A59BE"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16,040.75</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3361846C"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16,313.44</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3F21F821"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16,590.77</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1538DC1D"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16,872.81</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4160FB02"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17,159.65</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408A5797"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17,451.36</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164F09DC"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7139F3C4"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5749A4E8"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3F48381D"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509D9696"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48A6E177"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r>
      <w:tr w:rsidR="00724BAB" w:rsidRPr="002C4E29" w14:paraId="41B5B6A2"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24130087"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L16</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08080839"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13,552.36</w:t>
            </w:r>
          </w:p>
        </w:tc>
        <w:tc>
          <w:tcPr>
            <w:tcW w:w="862" w:type="dxa"/>
            <w:tcBorders>
              <w:top w:val="nil"/>
              <w:left w:val="nil"/>
              <w:bottom w:val="single" w:sz="4" w:space="0" w:color="auto"/>
              <w:right w:val="single" w:sz="4" w:space="0" w:color="auto"/>
            </w:tcBorders>
            <w:shd w:val="clear" w:color="auto" w:fill="auto"/>
            <w:noWrap/>
            <w:vAlign w:val="bottom"/>
            <w:hideMark/>
          </w:tcPr>
          <w:p w14:paraId="373029A1"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13,782.76</w:t>
            </w:r>
          </w:p>
        </w:tc>
        <w:tc>
          <w:tcPr>
            <w:tcW w:w="862" w:type="dxa"/>
            <w:tcBorders>
              <w:top w:val="nil"/>
              <w:left w:val="nil"/>
              <w:bottom w:val="single" w:sz="4" w:space="0" w:color="auto"/>
              <w:right w:val="single" w:sz="4" w:space="0" w:color="auto"/>
            </w:tcBorders>
            <w:shd w:val="clear" w:color="auto" w:fill="auto"/>
            <w:noWrap/>
            <w:vAlign w:val="bottom"/>
            <w:hideMark/>
          </w:tcPr>
          <w:p w14:paraId="4DB9E4CC"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14,017.06</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6F8B41BE"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14,255.35</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4C661BD8"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14,497.69</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04471732"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14,744.15</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365197F4"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14,994.80</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733F4DB8"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15,249.72</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5E958321"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15,508.96</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28D4696C"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15,772.61</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77DD254E"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16,040.75</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79ED0FB4"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16805BA9"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55493231"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74176CCC"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r>
      <w:tr w:rsidR="00724BAB" w:rsidRPr="002C4E29" w14:paraId="49A62518"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732C4DAC"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L15</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05ACC41D"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12,043.94</w:t>
            </w:r>
          </w:p>
        </w:tc>
        <w:tc>
          <w:tcPr>
            <w:tcW w:w="862" w:type="dxa"/>
            <w:tcBorders>
              <w:top w:val="nil"/>
              <w:left w:val="nil"/>
              <w:bottom w:val="single" w:sz="4" w:space="0" w:color="auto"/>
              <w:right w:val="single" w:sz="4" w:space="0" w:color="auto"/>
            </w:tcBorders>
            <w:shd w:val="clear" w:color="auto" w:fill="auto"/>
            <w:noWrap/>
            <w:vAlign w:val="bottom"/>
            <w:hideMark/>
          </w:tcPr>
          <w:p w14:paraId="4FEC2D21"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12,248.68</w:t>
            </w:r>
          </w:p>
        </w:tc>
        <w:tc>
          <w:tcPr>
            <w:tcW w:w="862" w:type="dxa"/>
            <w:tcBorders>
              <w:top w:val="nil"/>
              <w:left w:val="nil"/>
              <w:bottom w:val="single" w:sz="4" w:space="0" w:color="auto"/>
              <w:right w:val="single" w:sz="4" w:space="0" w:color="auto"/>
            </w:tcBorders>
            <w:shd w:val="clear" w:color="auto" w:fill="auto"/>
            <w:noWrap/>
            <w:vAlign w:val="bottom"/>
            <w:hideMark/>
          </w:tcPr>
          <w:p w14:paraId="328C255A"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12,456.91</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4581C9C8"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12,668.68</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1F26E090"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12,884.04</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3181C529"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13,103.07</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5A758F5C"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13,325.83</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6B09919D"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13,552.36</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69242207"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13,782.76</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2A3A5943"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14,017.06</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1B7F1657"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14,255.35</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7588C784"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1B5B10D6"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0FA19B37"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45CC4CAB"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r>
      <w:tr w:rsidR="00724BAB" w:rsidRPr="002C4E29" w14:paraId="28494740"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05E9F5EB"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L14</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7B8BF6EF"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10,703.40</w:t>
            </w:r>
          </w:p>
        </w:tc>
        <w:tc>
          <w:tcPr>
            <w:tcW w:w="862" w:type="dxa"/>
            <w:tcBorders>
              <w:top w:val="nil"/>
              <w:left w:val="nil"/>
              <w:bottom w:val="single" w:sz="4" w:space="0" w:color="auto"/>
              <w:right w:val="single" w:sz="4" w:space="0" w:color="auto"/>
            </w:tcBorders>
            <w:shd w:val="clear" w:color="auto" w:fill="auto"/>
            <w:noWrap/>
            <w:vAlign w:val="bottom"/>
            <w:hideMark/>
          </w:tcPr>
          <w:p w14:paraId="438D225D"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10,885.36</w:t>
            </w:r>
          </w:p>
        </w:tc>
        <w:tc>
          <w:tcPr>
            <w:tcW w:w="862" w:type="dxa"/>
            <w:tcBorders>
              <w:top w:val="nil"/>
              <w:left w:val="nil"/>
              <w:bottom w:val="single" w:sz="4" w:space="0" w:color="auto"/>
              <w:right w:val="single" w:sz="4" w:space="0" w:color="auto"/>
            </w:tcBorders>
            <w:shd w:val="clear" w:color="auto" w:fill="auto"/>
            <w:noWrap/>
            <w:vAlign w:val="bottom"/>
            <w:hideMark/>
          </w:tcPr>
          <w:p w14:paraId="186C2739"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11,070.41</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08297C98"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11,258.61</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3A9D8040"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11,450.00</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474DF775"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11,644.65</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151B260A"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11,842.61</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4D8EFBA3"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12,043.94</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01588A4A"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12,248.68</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3CBDE5D7"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12,456.91</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5C274258"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12,668.68</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69291C15"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692743F8"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226761FA"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73268856"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r>
      <w:tr w:rsidR="00724BAB" w:rsidRPr="002C4E29" w14:paraId="2649DC31"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1E3F2D68"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L13</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78BDA95F"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9,512.07</w:t>
            </w:r>
          </w:p>
        </w:tc>
        <w:tc>
          <w:tcPr>
            <w:tcW w:w="862" w:type="dxa"/>
            <w:tcBorders>
              <w:top w:val="nil"/>
              <w:left w:val="nil"/>
              <w:bottom w:val="single" w:sz="4" w:space="0" w:color="auto"/>
              <w:right w:val="single" w:sz="4" w:space="0" w:color="auto"/>
            </w:tcBorders>
            <w:shd w:val="clear" w:color="auto" w:fill="auto"/>
            <w:noWrap/>
            <w:vAlign w:val="bottom"/>
            <w:hideMark/>
          </w:tcPr>
          <w:p w14:paraId="1F17A35D"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9,673.78</w:t>
            </w:r>
          </w:p>
        </w:tc>
        <w:tc>
          <w:tcPr>
            <w:tcW w:w="862" w:type="dxa"/>
            <w:tcBorders>
              <w:top w:val="nil"/>
              <w:left w:val="nil"/>
              <w:bottom w:val="single" w:sz="4" w:space="0" w:color="auto"/>
              <w:right w:val="single" w:sz="4" w:space="0" w:color="auto"/>
            </w:tcBorders>
            <w:shd w:val="clear" w:color="auto" w:fill="auto"/>
            <w:noWrap/>
            <w:vAlign w:val="bottom"/>
            <w:hideMark/>
          </w:tcPr>
          <w:p w14:paraId="68E2F861"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9,838.23</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665F9A05"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10,005.48</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7CA4AA86"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10,175.57</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542EC86C"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10,348.56</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21CBA6E3"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10,524.48</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1CCE092A"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10,703.40</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27425AAA"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10,885.36</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379CED65"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11,070.41</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1A4C1A07"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11,258.61</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748F4C51"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386FAE18"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2F76B380"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77D0F4BD"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r>
      <w:tr w:rsidR="00724BAB" w:rsidRPr="002C4E29" w14:paraId="20D38565"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7A90FC12"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L12</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27232831"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8,453.34</w:t>
            </w:r>
          </w:p>
        </w:tc>
        <w:tc>
          <w:tcPr>
            <w:tcW w:w="862" w:type="dxa"/>
            <w:tcBorders>
              <w:top w:val="nil"/>
              <w:left w:val="nil"/>
              <w:bottom w:val="single" w:sz="4" w:space="0" w:color="auto"/>
              <w:right w:val="single" w:sz="4" w:space="0" w:color="auto"/>
            </w:tcBorders>
            <w:shd w:val="clear" w:color="auto" w:fill="auto"/>
            <w:noWrap/>
            <w:vAlign w:val="bottom"/>
            <w:hideMark/>
          </w:tcPr>
          <w:p w14:paraId="0AC997C7"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8,597.05</w:t>
            </w:r>
          </w:p>
        </w:tc>
        <w:tc>
          <w:tcPr>
            <w:tcW w:w="862" w:type="dxa"/>
            <w:tcBorders>
              <w:top w:val="nil"/>
              <w:left w:val="nil"/>
              <w:bottom w:val="single" w:sz="4" w:space="0" w:color="auto"/>
              <w:right w:val="single" w:sz="4" w:space="0" w:color="auto"/>
            </w:tcBorders>
            <w:shd w:val="clear" w:color="auto" w:fill="auto"/>
            <w:noWrap/>
            <w:vAlign w:val="bottom"/>
            <w:hideMark/>
          </w:tcPr>
          <w:p w14:paraId="72D054B4"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8,743.20</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3D4E6C0F"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8,891.83</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0494603B"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9,042.99</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4B3C76AC"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9,196.72</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69A18A03"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9,353.07</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753873A5"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9,512.07</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11B989FD"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9,673.78</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15EF6AEE"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9,838.23</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1CE5F2E5"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10,005.48</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3CA40B24"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7C4C36A5"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12D95E97"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380E8A11"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r>
      <w:tr w:rsidR="00724BAB" w:rsidRPr="002C4E29" w14:paraId="3D4864EA"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6DB137A6"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L11</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42B0D1D7"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7,512.45</w:t>
            </w:r>
          </w:p>
        </w:tc>
        <w:tc>
          <w:tcPr>
            <w:tcW w:w="862" w:type="dxa"/>
            <w:tcBorders>
              <w:top w:val="nil"/>
              <w:left w:val="nil"/>
              <w:bottom w:val="single" w:sz="4" w:space="0" w:color="auto"/>
              <w:right w:val="single" w:sz="4" w:space="0" w:color="auto"/>
            </w:tcBorders>
            <w:shd w:val="clear" w:color="auto" w:fill="auto"/>
            <w:noWrap/>
            <w:vAlign w:val="bottom"/>
            <w:hideMark/>
          </w:tcPr>
          <w:p w14:paraId="146F0CBC"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7,640.16</w:t>
            </w:r>
          </w:p>
        </w:tc>
        <w:tc>
          <w:tcPr>
            <w:tcW w:w="862" w:type="dxa"/>
            <w:tcBorders>
              <w:top w:val="nil"/>
              <w:left w:val="nil"/>
              <w:bottom w:val="nil"/>
              <w:right w:val="nil"/>
            </w:tcBorders>
            <w:shd w:val="clear" w:color="auto" w:fill="auto"/>
            <w:noWrap/>
            <w:vAlign w:val="bottom"/>
            <w:hideMark/>
          </w:tcPr>
          <w:p w14:paraId="034843CB" w14:textId="77777777" w:rsidR="00724BAB" w:rsidRPr="00DB3EEE" w:rsidRDefault="00724BAB" w:rsidP="007925A8">
            <w:pPr>
              <w:spacing w:after="0" w:line="240" w:lineRule="auto"/>
              <w:jc w:val="right"/>
              <w:rPr>
                <w:rFonts w:eastAsia="Times New Roman" w:cs="Times New Roman"/>
                <w:sz w:val="16"/>
                <w:szCs w:val="16"/>
                <w:lang w:val="en-GB" w:eastAsia="en-GB"/>
              </w:rPr>
            </w:pPr>
            <w:r w:rsidRPr="00DB3EEE">
              <w:rPr>
                <w:rFonts w:eastAsia="Times New Roman" w:cs="Times New Roman"/>
                <w:sz w:val="16"/>
                <w:szCs w:val="16"/>
                <w:lang w:val="en-GB" w:eastAsia="en-GB"/>
              </w:rPr>
              <w:t>7770.05</w:t>
            </w:r>
          </w:p>
        </w:tc>
        <w:tc>
          <w:tcPr>
            <w:tcW w:w="863" w:type="dxa"/>
            <w:gridSpan w:val="2"/>
            <w:tcBorders>
              <w:top w:val="nil"/>
              <w:left w:val="single" w:sz="4" w:space="0" w:color="auto"/>
              <w:bottom w:val="single" w:sz="4" w:space="0" w:color="auto"/>
              <w:right w:val="single" w:sz="4" w:space="0" w:color="auto"/>
            </w:tcBorders>
            <w:shd w:val="clear" w:color="auto" w:fill="auto"/>
            <w:noWrap/>
            <w:vAlign w:val="bottom"/>
            <w:hideMark/>
          </w:tcPr>
          <w:p w14:paraId="065D7EC4"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7,902.14</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4BD4EBA3"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8,036.47</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4260B328"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8,173.09</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12C5E61E"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8,312.04</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4D19C58B"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8,453.34</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70BC4B9F"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8,597.05</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02AE02B5"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8,743.20</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68AA9B9D"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8,891.83</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7420C946"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28D68136"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4827B4FB"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3656DC26"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r>
      <w:tr w:rsidR="00724BAB" w:rsidRPr="002C4E29" w14:paraId="28B11F95"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1D5426F2"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L10</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4066E5C2"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6,676.29</w:t>
            </w:r>
          </w:p>
        </w:tc>
        <w:tc>
          <w:tcPr>
            <w:tcW w:w="862" w:type="dxa"/>
            <w:tcBorders>
              <w:top w:val="nil"/>
              <w:left w:val="nil"/>
              <w:bottom w:val="single" w:sz="4" w:space="0" w:color="auto"/>
              <w:right w:val="single" w:sz="4" w:space="0" w:color="auto"/>
            </w:tcBorders>
            <w:shd w:val="clear" w:color="auto" w:fill="auto"/>
            <w:noWrap/>
            <w:vAlign w:val="bottom"/>
            <w:hideMark/>
          </w:tcPr>
          <w:p w14:paraId="46892722"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6,789.78</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14:paraId="16AF0D29"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6,905.21</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54988E26"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7,022.60</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7B9220BE"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7,141.98</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2FFF0A2B"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7,263.40</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6635D1E2"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7,386.88</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39C1C922"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7,512.45</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5A4DE4C2"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7,640.16</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794DC449"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7,770.05</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37700E3F"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7,902.14</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60DF45C0"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7083BFCC"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0961E847"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0C18A651"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r>
      <w:tr w:rsidR="00724BAB" w:rsidRPr="002C4E29" w14:paraId="39DC6C1A"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2E156CC6"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L9</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06FAB303"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5,933.19</w:t>
            </w:r>
          </w:p>
        </w:tc>
        <w:tc>
          <w:tcPr>
            <w:tcW w:w="862" w:type="dxa"/>
            <w:tcBorders>
              <w:top w:val="nil"/>
              <w:left w:val="nil"/>
              <w:bottom w:val="single" w:sz="4" w:space="0" w:color="auto"/>
              <w:right w:val="single" w:sz="4" w:space="0" w:color="auto"/>
            </w:tcBorders>
            <w:shd w:val="clear" w:color="auto" w:fill="auto"/>
            <w:noWrap/>
            <w:vAlign w:val="bottom"/>
            <w:hideMark/>
          </w:tcPr>
          <w:p w14:paraId="5AB22DB7"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6,034.06</w:t>
            </w:r>
          </w:p>
        </w:tc>
        <w:tc>
          <w:tcPr>
            <w:tcW w:w="862" w:type="dxa"/>
            <w:tcBorders>
              <w:top w:val="nil"/>
              <w:left w:val="nil"/>
              <w:bottom w:val="single" w:sz="4" w:space="0" w:color="auto"/>
              <w:right w:val="single" w:sz="4" w:space="0" w:color="auto"/>
            </w:tcBorders>
            <w:shd w:val="clear" w:color="auto" w:fill="auto"/>
            <w:noWrap/>
            <w:vAlign w:val="bottom"/>
            <w:hideMark/>
          </w:tcPr>
          <w:p w14:paraId="0090A518"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6,136.64</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481A3481"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6,240.96</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305D07D7"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6,347.05</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7C029347"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6,454.95</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09D8F246"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6,564.69</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62D3150F"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6,676.29</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56DBD20A"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6,789.78</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4A15B18F"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6,905.21</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3D499251"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7,022.60</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4A7EFF52"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0515DB16"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32829CDB"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57C84A6F"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r>
      <w:tr w:rsidR="00724BAB" w:rsidRPr="002C4E29" w14:paraId="3BE9B1FA"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582BEAE0"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L8</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27DE6D84"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5,272.81</w:t>
            </w:r>
          </w:p>
        </w:tc>
        <w:tc>
          <w:tcPr>
            <w:tcW w:w="862" w:type="dxa"/>
            <w:tcBorders>
              <w:top w:val="nil"/>
              <w:left w:val="nil"/>
              <w:bottom w:val="single" w:sz="4" w:space="0" w:color="auto"/>
              <w:right w:val="single" w:sz="4" w:space="0" w:color="auto"/>
            </w:tcBorders>
            <w:shd w:val="clear" w:color="auto" w:fill="auto"/>
            <w:noWrap/>
            <w:vAlign w:val="bottom"/>
            <w:hideMark/>
          </w:tcPr>
          <w:p w14:paraId="1B1C2823"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5,632.44</w:t>
            </w:r>
          </w:p>
        </w:tc>
        <w:tc>
          <w:tcPr>
            <w:tcW w:w="862" w:type="dxa"/>
            <w:tcBorders>
              <w:top w:val="nil"/>
              <w:left w:val="nil"/>
              <w:bottom w:val="single" w:sz="4" w:space="0" w:color="auto"/>
              <w:right w:val="single" w:sz="4" w:space="0" w:color="auto"/>
            </w:tcBorders>
            <w:shd w:val="clear" w:color="auto" w:fill="auto"/>
            <w:noWrap/>
            <w:vAlign w:val="bottom"/>
            <w:hideMark/>
          </w:tcPr>
          <w:p w14:paraId="223C8F9F"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5,453.60</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085E967D"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5,546.32</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2FBFF714"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5,640.60</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7276808C"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5,736.49</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472E633C"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5,834.01</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59A1CFAF"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5,933.19</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2FA95314"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6,034.06</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0DE4EC54"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6,136.64</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224AFFA0"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6,240.96</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323D5DF0"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77499E98"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5E562853"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2A55E2C7"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r>
      <w:tr w:rsidR="00724BAB" w:rsidRPr="002C4E29" w14:paraId="34C4F6D5"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0F5D9AD1"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L7</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1508F2FC"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4,685.92</w:t>
            </w:r>
          </w:p>
        </w:tc>
        <w:tc>
          <w:tcPr>
            <w:tcW w:w="862" w:type="dxa"/>
            <w:tcBorders>
              <w:top w:val="nil"/>
              <w:left w:val="nil"/>
              <w:bottom w:val="single" w:sz="4" w:space="0" w:color="auto"/>
              <w:right w:val="single" w:sz="4" w:space="0" w:color="auto"/>
            </w:tcBorders>
            <w:shd w:val="clear" w:color="auto" w:fill="auto"/>
            <w:noWrap/>
            <w:vAlign w:val="bottom"/>
            <w:hideMark/>
          </w:tcPr>
          <w:p w14:paraId="135E63B9"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4,765.58</w:t>
            </w:r>
          </w:p>
        </w:tc>
        <w:tc>
          <w:tcPr>
            <w:tcW w:w="862" w:type="dxa"/>
            <w:tcBorders>
              <w:top w:val="nil"/>
              <w:left w:val="nil"/>
              <w:bottom w:val="single" w:sz="4" w:space="0" w:color="auto"/>
              <w:right w:val="single" w:sz="4" w:space="0" w:color="auto"/>
            </w:tcBorders>
            <w:shd w:val="clear" w:color="auto" w:fill="auto"/>
            <w:noWrap/>
            <w:vAlign w:val="bottom"/>
            <w:hideMark/>
          </w:tcPr>
          <w:p w14:paraId="27247033"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4,846.60</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3BF10CA6"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4,928.99</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297F1805"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5,012.78</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0BC937E2"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5,098.00</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41719831"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5,184.67</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3DE86764"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5,272.81</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17D34E22"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5,362.44</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206929EC"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5,453.60</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7D7A05B8"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5,546.32</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4D3A4C85"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50965AB7"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3322F480"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5F0A9A0E"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r>
      <w:tr w:rsidR="00724BAB" w:rsidRPr="002C4E29" w14:paraId="66E3C807"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033E2ADD"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L6</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02FF1FD4"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4,164.36</w:t>
            </w:r>
          </w:p>
        </w:tc>
        <w:tc>
          <w:tcPr>
            <w:tcW w:w="862" w:type="dxa"/>
            <w:tcBorders>
              <w:top w:val="nil"/>
              <w:left w:val="nil"/>
              <w:bottom w:val="single" w:sz="4" w:space="0" w:color="auto"/>
              <w:right w:val="single" w:sz="4" w:space="0" w:color="auto"/>
            </w:tcBorders>
            <w:shd w:val="clear" w:color="auto" w:fill="auto"/>
            <w:noWrap/>
            <w:vAlign w:val="bottom"/>
            <w:hideMark/>
          </w:tcPr>
          <w:p w14:paraId="1074BCB2"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4,235.16</w:t>
            </w:r>
          </w:p>
        </w:tc>
        <w:tc>
          <w:tcPr>
            <w:tcW w:w="862" w:type="dxa"/>
            <w:tcBorders>
              <w:top w:val="nil"/>
              <w:left w:val="nil"/>
              <w:bottom w:val="single" w:sz="4" w:space="0" w:color="auto"/>
              <w:right w:val="single" w:sz="4" w:space="0" w:color="auto"/>
            </w:tcBorders>
            <w:shd w:val="clear" w:color="auto" w:fill="auto"/>
            <w:noWrap/>
            <w:vAlign w:val="bottom"/>
            <w:hideMark/>
          </w:tcPr>
          <w:p w14:paraId="6977B75F"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4,307.15</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30C2B15D"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4,380.37</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381B1C18"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4,454.84</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0311A05C"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4,530.57</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5641A284"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4,607.59</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2F048B88"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4,685.92</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5C69A843"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4,765.58</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5C68F398"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4,846.60</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41560594"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4,928.99</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1C20E62B"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352ACC93"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45F6EBC8"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c>
          <w:tcPr>
            <w:tcW w:w="781" w:type="dxa"/>
            <w:gridSpan w:val="2"/>
            <w:tcBorders>
              <w:top w:val="nil"/>
              <w:left w:val="nil"/>
              <w:bottom w:val="single" w:sz="4" w:space="0" w:color="auto"/>
              <w:right w:val="single" w:sz="4" w:space="0" w:color="auto"/>
            </w:tcBorders>
            <w:shd w:val="clear" w:color="auto" w:fill="auto"/>
            <w:noWrap/>
            <w:vAlign w:val="bottom"/>
            <w:hideMark/>
          </w:tcPr>
          <w:p w14:paraId="2CC04354" w14:textId="77777777" w:rsidR="00724BAB" w:rsidRPr="00DB3EEE" w:rsidRDefault="00724BAB" w:rsidP="007925A8">
            <w:pPr>
              <w:spacing w:after="0" w:line="240" w:lineRule="auto"/>
              <w:rPr>
                <w:rFonts w:eastAsia="Times New Roman" w:cs="Arial"/>
                <w:sz w:val="16"/>
                <w:szCs w:val="16"/>
                <w:lang w:val="en-GB" w:eastAsia="en-GB"/>
              </w:rPr>
            </w:pPr>
            <w:r w:rsidRPr="00DB3EEE">
              <w:rPr>
                <w:rFonts w:eastAsia="Times New Roman" w:cs="Arial"/>
                <w:sz w:val="16"/>
                <w:szCs w:val="16"/>
                <w:lang w:val="en-GB" w:eastAsia="en-GB"/>
              </w:rPr>
              <w:t> </w:t>
            </w:r>
          </w:p>
        </w:tc>
      </w:tr>
      <w:tr w:rsidR="00724BAB" w:rsidRPr="002C4E29" w14:paraId="2934E7F6"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4B7D9E91"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L5</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2D38FB57"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3,578.16</w:t>
            </w:r>
          </w:p>
        </w:tc>
        <w:tc>
          <w:tcPr>
            <w:tcW w:w="862" w:type="dxa"/>
            <w:tcBorders>
              <w:top w:val="nil"/>
              <w:left w:val="nil"/>
              <w:bottom w:val="single" w:sz="4" w:space="0" w:color="auto"/>
              <w:right w:val="single" w:sz="4" w:space="0" w:color="auto"/>
            </w:tcBorders>
            <w:shd w:val="clear" w:color="auto" w:fill="auto"/>
            <w:noWrap/>
            <w:vAlign w:val="bottom"/>
            <w:hideMark/>
          </w:tcPr>
          <w:p w14:paraId="7E0F0A33"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3,638.99</w:t>
            </w:r>
          </w:p>
        </w:tc>
        <w:tc>
          <w:tcPr>
            <w:tcW w:w="862" w:type="dxa"/>
            <w:tcBorders>
              <w:top w:val="nil"/>
              <w:left w:val="nil"/>
              <w:bottom w:val="single" w:sz="4" w:space="0" w:color="auto"/>
              <w:right w:val="single" w:sz="4" w:space="0" w:color="auto"/>
            </w:tcBorders>
            <w:shd w:val="clear" w:color="auto" w:fill="auto"/>
            <w:noWrap/>
            <w:vAlign w:val="bottom"/>
            <w:hideMark/>
          </w:tcPr>
          <w:p w14:paraId="22073F50"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3,700.85</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0B14B26A"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3,763.77</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340D3186"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3,827.75</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7931B12D"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3,892.82</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026700D7"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3,959.00</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4497E463"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4,026.30</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12219139"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4,094.75</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2CCCE75D"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4,164.36</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4BD4A257"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4,235.16</w:t>
            </w:r>
          </w:p>
        </w:tc>
        <w:tc>
          <w:tcPr>
            <w:tcW w:w="781" w:type="dxa"/>
            <w:gridSpan w:val="2"/>
            <w:tcBorders>
              <w:top w:val="nil"/>
              <w:left w:val="nil"/>
              <w:bottom w:val="single" w:sz="4" w:space="0" w:color="auto"/>
              <w:right w:val="single" w:sz="4" w:space="0" w:color="auto"/>
            </w:tcBorders>
            <w:shd w:val="clear" w:color="000000" w:fill="D9D9D9"/>
            <w:noWrap/>
            <w:vAlign w:val="bottom"/>
            <w:hideMark/>
          </w:tcPr>
          <w:p w14:paraId="3764CF5A"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4,307.15</w:t>
            </w:r>
          </w:p>
        </w:tc>
        <w:tc>
          <w:tcPr>
            <w:tcW w:w="781" w:type="dxa"/>
            <w:gridSpan w:val="2"/>
            <w:tcBorders>
              <w:top w:val="nil"/>
              <w:left w:val="nil"/>
              <w:bottom w:val="single" w:sz="4" w:space="0" w:color="auto"/>
              <w:right w:val="single" w:sz="4" w:space="0" w:color="auto"/>
            </w:tcBorders>
            <w:shd w:val="clear" w:color="000000" w:fill="D9D9D9"/>
            <w:noWrap/>
            <w:vAlign w:val="bottom"/>
            <w:hideMark/>
          </w:tcPr>
          <w:p w14:paraId="3173912E"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4,380.37</w:t>
            </w:r>
          </w:p>
        </w:tc>
        <w:tc>
          <w:tcPr>
            <w:tcW w:w="781" w:type="dxa"/>
            <w:gridSpan w:val="2"/>
            <w:tcBorders>
              <w:top w:val="nil"/>
              <w:left w:val="nil"/>
              <w:bottom w:val="single" w:sz="4" w:space="0" w:color="auto"/>
              <w:right w:val="single" w:sz="4" w:space="0" w:color="auto"/>
            </w:tcBorders>
            <w:shd w:val="clear" w:color="000000" w:fill="D9D9D9"/>
            <w:noWrap/>
            <w:vAlign w:val="bottom"/>
            <w:hideMark/>
          </w:tcPr>
          <w:p w14:paraId="39955140"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4,454.84</w:t>
            </w:r>
          </w:p>
        </w:tc>
        <w:tc>
          <w:tcPr>
            <w:tcW w:w="781" w:type="dxa"/>
            <w:gridSpan w:val="2"/>
            <w:tcBorders>
              <w:top w:val="nil"/>
              <w:left w:val="nil"/>
              <w:bottom w:val="single" w:sz="4" w:space="0" w:color="auto"/>
              <w:right w:val="single" w:sz="4" w:space="0" w:color="auto"/>
            </w:tcBorders>
            <w:shd w:val="clear" w:color="000000" w:fill="D9D9D9"/>
            <w:noWrap/>
            <w:vAlign w:val="bottom"/>
            <w:hideMark/>
          </w:tcPr>
          <w:p w14:paraId="305ADF4A"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4,530.57</w:t>
            </w:r>
          </w:p>
        </w:tc>
      </w:tr>
      <w:tr w:rsidR="00724BAB" w:rsidRPr="002C4E29" w14:paraId="58D266FE"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6DB3862E"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L4</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1B2F8D4C"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3,074.48</w:t>
            </w:r>
          </w:p>
        </w:tc>
        <w:tc>
          <w:tcPr>
            <w:tcW w:w="862" w:type="dxa"/>
            <w:tcBorders>
              <w:top w:val="nil"/>
              <w:left w:val="nil"/>
              <w:bottom w:val="single" w:sz="4" w:space="0" w:color="auto"/>
              <w:right w:val="single" w:sz="4" w:space="0" w:color="auto"/>
            </w:tcBorders>
            <w:shd w:val="clear" w:color="auto" w:fill="auto"/>
            <w:noWrap/>
            <w:vAlign w:val="bottom"/>
            <w:hideMark/>
          </w:tcPr>
          <w:p w14:paraId="0A4C5662"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3,126.74</w:t>
            </w:r>
          </w:p>
        </w:tc>
        <w:tc>
          <w:tcPr>
            <w:tcW w:w="862" w:type="dxa"/>
            <w:tcBorders>
              <w:top w:val="nil"/>
              <w:left w:val="nil"/>
              <w:bottom w:val="single" w:sz="4" w:space="0" w:color="auto"/>
              <w:right w:val="single" w:sz="4" w:space="0" w:color="auto"/>
            </w:tcBorders>
            <w:shd w:val="clear" w:color="auto" w:fill="auto"/>
            <w:noWrap/>
            <w:vAlign w:val="bottom"/>
            <w:hideMark/>
          </w:tcPr>
          <w:p w14:paraId="2D9AA2CD"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3,179.90</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20646AF7"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3,233.96</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47684D10"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3,288.93</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076135A8"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3,344.84</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37543584"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3,401.71</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3495C75F"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3,459.54</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710E46C0"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3,518.35</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4BBD1947"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3,578.16</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307F976E"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3,638.99</w:t>
            </w:r>
          </w:p>
        </w:tc>
        <w:tc>
          <w:tcPr>
            <w:tcW w:w="781" w:type="dxa"/>
            <w:gridSpan w:val="2"/>
            <w:tcBorders>
              <w:top w:val="nil"/>
              <w:left w:val="nil"/>
              <w:bottom w:val="single" w:sz="4" w:space="0" w:color="auto"/>
              <w:right w:val="single" w:sz="4" w:space="0" w:color="auto"/>
            </w:tcBorders>
            <w:shd w:val="clear" w:color="000000" w:fill="D9D9D9"/>
            <w:noWrap/>
            <w:vAlign w:val="bottom"/>
            <w:hideMark/>
          </w:tcPr>
          <w:p w14:paraId="29E11A40"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3,700.85</w:t>
            </w:r>
          </w:p>
        </w:tc>
        <w:tc>
          <w:tcPr>
            <w:tcW w:w="781" w:type="dxa"/>
            <w:gridSpan w:val="2"/>
            <w:tcBorders>
              <w:top w:val="nil"/>
              <w:left w:val="nil"/>
              <w:bottom w:val="single" w:sz="4" w:space="0" w:color="auto"/>
              <w:right w:val="single" w:sz="4" w:space="0" w:color="auto"/>
            </w:tcBorders>
            <w:shd w:val="clear" w:color="000000" w:fill="D9D9D9"/>
            <w:noWrap/>
            <w:vAlign w:val="bottom"/>
            <w:hideMark/>
          </w:tcPr>
          <w:p w14:paraId="3BB8C112"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3,763.77</w:t>
            </w:r>
          </w:p>
        </w:tc>
        <w:tc>
          <w:tcPr>
            <w:tcW w:w="781" w:type="dxa"/>
            <w:gridSpan w:val="2"/>
            <w:tcBorders>
              <w:top w:val="nil"/>
              <w:left w:val="nil"/>
              <w:bottom w:val="single" w:sz="4" w:space="0" w:color="auto"/>
              <w:right w:val="single" w:sz="4" w:space="0" w:color="auto"/>
            </w:tcBorders>
            <w:shd w:val="clear" w:color="000000" w:fill="D9D9D9"/>
            <w:noWrap/>
            <w:vAlign w:val="bottom"/>
            <w:hideMark/>
          </w:tcPr>
          <w:p w14:paraId="39D3B5BE"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3,827.75</w:t>
            </w:r>
          </w:p>
        </w:tc>
        <w:tc>
          <w:tcPr>
            <w:tcW w:w="781" w:type="dxa"/>
            <w:gridSpan w:val="2"/>
            <w:tcBorders>
              <w:top w:val="nil"/>
              <w:left w:val="nil"/>
              <w:bottom w:val="single" w:sz="4" w:space="0" w:color="auto"/>
              <w:right w:val="single" w:sz="4" w:space="0" w:color="auto"/>
            </w:tcBorders>
            <w:shd w:val="clear" w:color="000000" w:fill="D9D9D9"/>
            <w:noWrap/>
            <w:vAlign w:val="bottom"/>
            <w:hideMark/>
          </w:tcPr>
          <w:p w14:paraId="09F00A93"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3,892.82</w:t>
            </w:r>
          </w:p>
        </w:tc>
      </w:tr>
      <w:tr w:rsidR="00724BAB" w:rsidRPr="002C4E29" w14:paraId="3E11D362"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1AC603F4"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L3</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39926DC6"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2,641.69</w:t>
            </w:r>
          </w:p>
        </w:tc>
        <w:tc>
          <w:tcPr>
            <w:tcW w:w="862" w:type="dxa"/>
            <w:tcBorders>
              <w:top w:val="nil"/>
              <w:left w:val="nil"/>
              <w:bottom w:val="single" w:sz="4" w:space="0" w:color="auto"/>
              <w:right w:val="single" w:sz="4" w:space="0" w:color="auto"/>
            </w:tcBorders>
            <w:shd w:val="clear" w:color="auto" w:fill="auto"/>
            <w:noWrap/>
            <w:vAlign w:val="bottom"/>
            <w:hideMark/>
          </w:tcPr>
          <w:p w14:paraId="418A1F5E"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2,686.60</w:t>
            </w:r>
          </w:p>
        </w:tc>
        <w:tc>
          <w:tcPr>
            <w:tcW w:w="862" w:type="dxa"/>
            <w:tcBorders>
              <w:top w:val="nil"/>
              <w:left w:val="nil"/>
              <w:bottom w:val="single" w:sz="4" w:space="0" w:color="auto"/>
              <w:right w:val="single" w:sz="4" w:space="0" w:color="auto"/>
            </w:tcBorders>
            <w:shd w:val="clear" w:color="auto" w:fill="auto"/>
            <w:noWrap/>
            <w:vAlign w:val="bottom"/>
            <w:hideMark/>
          </w:tcPr>
          <w:p w14:paraId="6AE23C34"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2,735.28</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042C75AE"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2,778.72</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38AB3F25"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2,825.96</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1CA24B5B"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2,874.00</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19319E87"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2,922.86</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1F9B6AED"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2,972.55</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2861BD52"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3,023.08</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48A8C79C"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3,074.48</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0DFE76D4"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3,126.74</w:t>
            </w:r>
          </w:p>
        </w:tc>
        <w:tc>
          <w:tcPr>
            <w:tcW w:w="781" w:type="dxa"/>
            <w:gridSpan w:val="2"/>
            <w:tcBorders>
              <w:top w:val="nil"/>
              <w:left w:val="nil"/>
              <w:bottom w:val="single" w:sz="4" w:space="0" w:color="auto"/>
              <w:right w:val="single" w:sz="4" w:space="0" w:color="auto"/>
            </w:tcBorders>
            <w:shd w:val="clear" w:color="000000" w:fill="D9D9D9"/>
            <w:noWrap/>
            <w:vAlign w:val="bottom"/>
            <w:hideMark/>
          </w:tcPr>
          <w:p w14:paraId="76215D9B"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3,179.90</w:t>
            </w:r>
          </w:p>
        </w:tc>
        <w:tc>
          <w:tcPr>
            <w:tcW w:w="781" w:type="dxa"/>
            <w:gridSpan w:val="2"/>
            <w:tcBorders>
              <w:top w:val="nil"/>
              <w:left w:val="nil"/>
              <w:bottom w:val="single" w:sz="4" w:space="0" w:color="auto"/>
              <w:right w:val="single" w:sz="4" w:space="0" w:color="auto"/>
            </w:tcBorders>
            <w:shd w:val="clear" w:color="000000" w:fill="D9D9D9"/>
            <w:noWrap/>
            <w:vAlign w:val="bottom"/>
            <w:hideMark/>
          </w:tcPr>
          <w:p w14:paraId="79110528"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3,233.96</w:t>
            </w:r>
          </w:p>
        </w:tc>
        <w:tc>
          <w:tcPr>
            <w:tcW w:w="781" w:type="dxa"/>
            <w:gridSpan w:val="2"/>
            <w:tcBorders>
              <w:top w:val="nil"/>
              <w:left w:val="nil"/>
              <w:bottom w:val="single" w:sz="4" w:space="0" w:color="auto"/>
              <w:right w:val="single" w:sz="4" w:space="0" w:color="auto"/>
            </w:tcBorders>
            <w:shd w:val="clear" w:color="000000" w:fill="D9D9D9"/>
            <w:noWrap/>
            <w:vAlign w:val="bottom"/>
            <w:hideMark/>
          </w:tcPr>
          <w:p w14:paraId="1CFFC77E"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3,288.93</w:t>
            </w:r>
          </w:p>
        </w:tc>
        <w:tc>
          <w:tcPr>
            <w:tcW w:w="781" w:type="dxa"/>
            <w:gridSpan w:val="2"/>
            <w:tcBorders>
              <w:top w:val="nil"/>
              <w:left w:val="nil"/>
              <w:bottom w:val="single" w:sz="4" w:space="0" w:color="auto"/>
              <w:right w:val="single" w:sz="4" w:space="0" w:color="auto"/>
            </w:tcBorders>
            <w:shd w:val="clear" w:color="000000" w:fill="D9D9D9"/>
            <w:noWrap/>
            <w:vAlign w:val="bottom"/>
            <w:hideMark/>
          </w:tcPr>
          <w:p w14:paraId="1B94FF46"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3,344.84</w:t>
            </w:r>
          </w:p>
        </w:tc>
      </w:tr>
      <w:tr w:rsidR="00724BAB" w:rsidRPr="002C4E29" w14:paraId="5C03A03A"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4CE71DDC"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L2</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597150CB"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2,269.83</w:t>
            </w:r>
          </w:p>
        </w:tc>
        <w:tc>
          <w:tcPr>
            <w:tcW w:w="862" w:type="dxa"/>
            <w:tcBorders>
              <w:top w:val="nil"/>
              <w:left w:val="nil"/>
              <w:bottom w:val="single" w:sz="4" w:space="0" w:color="auto"/>
              <w:right w:val="single" w:sz="4" w:space="0" w:color="auto"/>
            </w:tcBorders>
            <w:shd w:val="clear" w:color="auto" w:fill="auto"/>
            <w:noWrap/>
            <w:vAlign w:val="bottom"/>
            <w:hideMark/>
          </w:tcPr>
          <w:p w14:paraId="6B356DB6"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2,308.42</w:t>
            </w:r>
          </w:p>
        </w:tc>
        <w:tc>
          <w:tcPr>
            <w:tcW w:w="862" w:type="dxa"/>
            <w:tcBorders>
              <w:top w:val="nil"/>
              <w:left w:val="nil"/>
              <w:bottom w:val="single" w:sz="4" w:space="0" w:color="auto"/>
              <w:right w:val="single" w:sz="4" w:space="0" w:color="auto"/>
            </w:tcBorders>
            <w:shd w:val="clear" w:color="auto" w:fill="auto"/>
            <w:noWrap/>
            <w:vAlign w:val="bottom"/>
            <w:hideMark/>
          </w:tcPr>
          <w:p w14:paraId="7BBEC385"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2,347.66</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605FAE70"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2,387.57</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51B3F8E5"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2,428.16</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00604CDA"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2,469.44</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0970EAA4"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2,511.42</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4BE645D5"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2,554.12</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5C11E3B2"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2,597.54</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355900BA"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2,641.69</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327DA9FA"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2,686.60</w:t>
            </w:r>
          </w:p>
        </w:tc>
        <w:tc>
          <w:tcPr>
            <w:tcW w:w="781" w:type="dxa"/>
            <w:gridSpan w:val="2"/>
            <w:tcBorders>
              <w:top w:val="nil"/>
              <w:left w:val="nil"/>
              <w:bottom w:val="single" w:sz="4" w:space="0" w:color="auto"/>
              <w:right w:val="single" w:sz="4" w:space="0" w:color="auto"/>
            </w:tcBorders>
            <w:shd w:val="clear" w:color="000000" w:fill="D9D9D9"/>
            <w:noWrap/>
            <w:vAlign w:val="bottom"/>
            <w:hideMark/>
          </w:tcPr>
          <w:p w14:paraId="19EE9D76"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2,732.28</w:t>
            </w:r>
          </w:p>
        </w:tc>
        <w:tc>
          <w:tcPr>
            <w:tcW w:w="781" w:type="dxa"/>
            <w:gridSpan w:val="2"/>
            <w:tcBorders>
              <w:top w:val="nil"/>
              <w:left w:val="nil"/>
              <w:bottom w:val="single" w:sz="4" w:space="0" w:color="auto"/>
              <w:right w:val="single" w:sz="4" w:space="0" w:color="auto"/>
            </w:tcBorders>
            <w:shd w:val="clear" w:color="000000" w:fill="D9D9D9"/>
            <w:noWrap/>
            <w:vAlign w:val="bottom"/>
            <w:hideMark/>
          </w:tcPr>
          <w:p w14:paraId="721B6FD6"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2,778.72</w:t>
            </w:r>
          </w:p>
        </w:tc>
        <w:tc>
          <w:tcPr>
            <w:tcW w:w="781" w:type="dxa"/>
            <w:gridSpan w:val="2"/>
            <w:tcBorders>
              <w:top w:val="nil"/>
              <w:left w:val="nil"/>
              <w:bottom w:val="single" w:sz="4" w:space="0" w:color="auto"/>
              <w:right w:val="single" w:sz="4" w:space="0" w:color="auto"/>
            </w:tcBorders>
            <w:shd w:val="clear" w:color="000000" w:fill="D9D9D9"/>
            <w:noWrap/>
            <w:vAlign w:val="bottom"/>
            <w:hideMark/>
          </w:tcPr>
          <w:p w14:paraId="219E58E2"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2,825.96</w:t>
            </w:r>
          </w:p>
        </w:tc>
        <w:tc>
          <w:tcPr>
            <w:tcW w:w="781" w:type="dxa"/>
            <w:gridSpan w:val="2"/>
            <w:tcBorders>
              <w:top w:val="nil"/>
              <w:left w:val="nil"/>
              <w:bottom w:val="single" w:sz="4" w:space="0" w:color="auto"/>
              <w:right w:val="single" w:sz="4" w:space="0" w:color="auto"/>
            </w:tcBorders>
            <w:shd w:val="clear" w:color="000000" w:fill="D9D9D9"/>
            <w:noWrap/>
            <w:vAlign w:val="bottom"/>
            <w:hideMark/>
          </w:tcPr>
          <w:p w14:paraId="52C49E8E"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2,874.00</w:t>
            </w:r>
          </w:p>
        </w:tc>
      </w:tr>
      <w:tr w:rsidR="00724BAB" w:rsidRPr="002C4E29" w14:paraId="644A1203" w14:textId="77777777" w:rsidTr="001960C6">
        <w:trPr>
          <w:trHeight w:val="204"/>
        </w:trPr>
        <w:tc>
          <w:tcPr>
            <w:tcW w:w="717" w:type="dxa"/>
            <w:tcBorders>
              <w:top w:val="nil"/>
              <w:left w:val="single" w:sz="4" w:space="0" w:color="auto"/>
              <w:bottom w:val="single" w:sz="4" w:space="0" w:color="auto"/>
              <w:right w:val="single" w:sz="4" w:space="0" w:color="auto"/>
            </w:tcBorders>
            <w:shd w:val="clear" w:color="000000" w:fill="FF99CC"/>
            <w:noWrap/>
            <w:vAlign w:val="bottom"/>
            <w:hideMark/>
          </w:tcPr>
          <w:p w14:paraId="1226A777" w14:textId="77777777" w:rsidR="00724BAB" w:rsidRPr="00DB3EEE" w:rsidRDefault="00724BAB" w:rsidP="007925A8">
            <w:pPr>
              <w:spacing w:after="0" w:line="240" w:lineRule="auto"/>
              <w:jc w:val="center"/>
              <w:rPr>
                <w:rFonts w:eastAsia="Times New Roman" w:cs="Arial"/>
                <w:sz w:val="16"/>
                <w:szCs w:val="16"/>
                <w:lang w:val="en-GB" w:eastAsia="en-GB"/>
              </w:rPr>
            </w:pPr>
            <w:r w:rsidRPr="00DB3EEE">
              <w:rPr>
                <w:rFonts w:eastAsia="Times New Roman" w:cs="Arial"/>
                <w:sz w:val="16"/>
                <w:szCs w:val="16"/>
                <w:lang w:val="en-GB" w:eastAsia="en-GB"/>
              </w:rPr>
              <w:t>L1</w:t>
            </w:r>
          </w:p>
        </w:tc>
        <w:tc>
          <w:tcPr>
            <w:tcW w:w="864" w:type="dxa"/>
            <w:gridSpan w:val="2"/>
            <w:tcBorders>
              <w:top w:val="nil"/>
              <w:left w:val="nil"/>
              <w:bottom w:val="single" w:sz="4" w:space="0" w:color="auto"/>
              <w:right w:val="single" w:sz="4" w:space="0" w:color="auto"/>
            </w:tcBorders>
            <w:shd w:val="clear" w:color="auto" w:fill="auto"/>
            <w:noWrap/>
            <w:vAlign w:val="bottom"/>
            <w:hideMark/>
          </w:tcPr>
          <w:p w14:paraId="6FF34443"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1,950.32</w:t>
            </w:r>
          </w:p>
        </w:tc>
        <w:tc>
          <w:tcPr>
            <w:tcW w:w="862" w:type="dxa"/>
            <w:tcBorders>
              <w:top w:val="nil"/>
              <w:left w:val="nil"/>
              <w:bottom w:val="single" w:sz="4" w:space="0" w:color="auto"/>
              <w:right w:val="single" w:sz="4" w:space="0" w:color="auto"/>
            </w:tcBorders>
            <w:shd w:val="clear" w:color="auto" w:fill="auto"/>
            <w:noWrap/>
            <w:vAlign w:val="bottom"/>
            <w:hideMark/>
          </w:tcPr>
          <w:p w14:paraId="628EBBD8"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1,938.47</w:t>
            </w:r>
          </w:p>
        </w:tc>
        <w:tc>
          <w:tcPr>
            <w:tcW w:w="862" w:type="dxa"/>
            <w:tcBorders>
              <w:top w:val="nil"/>
              <w:left w:val="nil"/>
              <w:bottom w:val="single" w:sz="4" w:space="0" w:color="auto"/>
              <w:right w:val="single" w:sz="4" w:space="0" w:color="auto"/>
            </w:tcBorders>
            <w:shd w:val="clear" w:color="auto" w:fill="auto"/>
            <w:noWrap/>
            <w:vAlign w:val="bottom"/>
            <w:hideMark/>
          </w:tcPr>
          <w:p w14:paraId="18C930E7"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2,017.19</w:t>
            </w:r>
          </w:p>
        </w:tc>
        <w:tc>
          <w:tcPr>
            <w:tcW w:w="863" w:type="dxa"/>
            <w:gridSpan w:val="2"/>
            <w:tcBorders>
              <w:top w:val="nil"/>
              <w:left w:val="nil"/>
              <w:bottom w:val="single" w:sz="4" w:space="0" w:color="auto"/>
              <w:right w:val="single" w:sz="4" w:space="0" w:color="auto"/>
            </w:tcBorders>
            <w:shd w:val="clear" w:color="auto" w:fill="auto"/>
            <w:noWrap/>
            <w:vAlign w:val="bottom"/>
            <w:hideMark/>
          </w:tcPr>
          <w:p w14:paraId="7965C2D0"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2,051.49</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4FEFAEE8"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2,086.36</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3915D22C"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2,121.83</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152CBE4D"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2,157.90</w:t>
            </w:r>
          </w:p>
        </w:tc>
        <w:tc>
          <w:tcPr>
            <w:tcW w:w="862" w:type="dxa"/>
            <w:gridSpan w:val="2"/>
            <w:tcBorders>
              <w:top w:val="nil"/>
              <w:left w:val="nil"/>
              <w:bottom w:val="single" w:sz="4" w:space="0" w:color="auto"/>
              <w:right w:val="single" w:sz="4" w:space="0" w:color="auto"/>
            </w:tcBorders>
            <w:shd w:val="clear" w:color="auto" w:fill="auto"/>
            <w:noWrap/>
            <w:vAlign w:val="bottom"/>
            <w:hideMark/>
          </w:tcPr>
          <w:p w14:paraId="708D3B0E" w14:textId="77777777" w:rsidR="00724BAB" w:rsidRPr="00DB3EEE" w:rsidRDefault="00724BAB" w:rsidP="007925A8">
            <w:pPr>
              <w:spacing w:after="0" w:line="240" w:lineRule="auto"/>
              <w:jc w:val="right"/>
              <w:rPr>
                <w:rFonts w:eastAsia="Times New Roman" w:cs="Arial"/>
                <w:b/>
                <w:bCs/>
                <w:sz w:val="16"/>
                <w:szCs w:val="16"/>
                <w:lang w:val="en-GB" w:eastAsia="en-GB"/>
              </w:rPr>
            </w:pPr>
            <w:r w:rsidRPr="00DB3EEE">
              <w:rPr>
                <w:rFonts w:eastAsia="Times New Roman" w:cs="Arial"/>
                <w:b/>
                <w:bCs/>
                <w:sz w:val="16"/>
                <w:szCs w:val="16"/>
                <w:lang w:val="en-GB" w:eastAsia="en-GB"/>
              </w:rPr>
              <w:t>2,194.58</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751F72EE"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2,231.89</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52891590"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2,269.83</w:t>
            </w:r>
          </w:p>
        </w:tc>
        <w:tc>
          <w:tcPr>
            <w:tcW w:w="862" w:type="dxa"/>
            <w:gridSpan w:val="2"/>
            <w:tcBorders>
              <w:top w:val="nil"/>
              <w:left w:val="nil"/>
              <w:bottom w:val="single" w:sz="4" w:space="0" w:color="auto"/>
              <w:right w:val="single" w:sz="4" w:space="0" w:color="auto"/>
            </w:tcBorders>
            <w:shd w:val="clear" w:color="000000" w:fill="D9D9D9"/>
            <w:noWrap/>
            <w:vAlign w:val="bottom"/>
            <w:hideMark/>
          </w:tcPr>
          <w:p w14:paraId="700D0DF3"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2,308.42</w:t>
            </w:r>
          </w:p>
        </w:tc>
        <w:tc>
          <w:tcPr>
            <w:tcW w:w="781" w:type="dxa"/>
            <w:gridSpan w:val="2"/>
            <w:tcBorders>
              <w:top w:val="nil"/>
              <w:left w:val="nil"/>
              <w:bottom w:val="single" w:sz="4" w:space="0" w:color="auto"/>
              <w:right w:val="single" w:sz="4" w:space="0" w:color="auto"/>
            </w:tcBorders>
            <w:shd w:val="clear" w:color="000000" w:fill="D9D9D9"/>
            <w:noWrap/>
            <w:vAlign w:val="bottom"/>
            <w:hideMark/>
          </w:tcPr>
          <w:p w14:paraId="3FDD1EE9"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2,347.66</w:t>
            </w:r>
          </w:p>
        </w:tc>
        <w:tc>
          <w:tcPr>
            <w:tcW w:w="781" w:type="dxa"/>
            <w:gridSpan w:val="2"/>
            <w:tcBorders>
              <w:top w:val="nil"/>
              <w:left w:val="nil"/>
              <w:bottom w:val="single" w:sz="4" w:space="0" w:color="auto"/>
              <w:right w:val="single" w:sz="4" w:space="0" w:color="auto"/>
            </w:tcBorders>
            <w:shd w:val="clear" w:color="000000" w:fill="D9D9D9"/>
            <w:noWrap/>
            <w:vAlign w:val="bottom"/>
            <w:hideMark/>
          </w:tcPr>
          <w:p w14:paraId="20F79F65"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2,387.57</w:t>
            </w:r>
          </w:p>
        </w:tc>
        <w:tc>
          <w:tcPr>
            <w:tcW w:w="781" w:type="dxa"/>
            <w:gridSpan w:val="2"/>
            <w:tcBorders>
              <w:top w:val="nil"/>
              <w:left w:val="nil"/>
              <w:bottom w:val="single" w:sz="4" w:space="0" w:color="auto"/>
              <w:right w:val="single" w:sz="4" w:space="0" w:color="auto"/>
            </w:tcBorders>
            <w:shd w:val="clear" w:color="000000" w:fill="D9D9D9"/>
            <w:noWrap/>
            <w:vAlign w:val="bottom"/>
            <w:hideMark/>
          </w:tcPr>
          <w:p w14:paraId="56AABBDC"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2,428.16</w:t>
            </w:r>
          </w:p>
        </w:tc>
        <w:tc>
          <w:tcPr>
            <w:tcW w:w="781" w:type="dxa"/>
            <w:gridSpan w:val="2"/>
            <w:tcBorders>
              <w:top w:val="nil"/>
              <w:left w:val="nil"/>
              <w:bottom w:val="single" w:sz="4" w:space="0" w:color="auto"/>
              <w:right w:val="single" w:sz="4" w:space="0" w:color="auto"/>
            </w:tcBorders>
            <w:shd w:val="clear" w:color="000000" w:fill="D9D9D9"/>
            <w:noWrap/>
            <w:vAlign w:val="bottom"/>
            <w:hideMark/>
          </w:tcPr>
          <w:p w14:paraId="6EF5BC6A" w14:textId="77777777" w:rsidR="00724BAB" w:rsidRPr="00DB3EEE" w:rsidRDefault="00724BAB" w:rsidP="007925A8">
            <w:pPr>
              <w:spacing w:after="0" w:line="240" w:lineRule="auto"/>
              <w:jc w:val="right"/>
              <w:rPr>
                <w:rFonts w:eastAsia="Times New Roman" w:cs="Arial"/>
                <w:sz w:val="16"/>
                <w:szCs w:val="16"/>
                <w:lang w:val="en-GB" w:eastAsia="en-GB"/>
              </w:rPr>
            </w:pPr>
            <w:r w:rsidRPr="00DB3EEE">
              <w:rPr>
                <w:rFonts w:eastAsia="Times New Roman" w:cs="Arial"/>
                <w:sz w:val="16"/>
                <w:szCs w:val="16"/>
                <w:lang w:val="en-GB" w:eastAsia="en-GB"/>
              </w:rPr>
              <w:t>2,469.44</w:t>
            </w:r>
          </w:p>
        </w:tc>
      </w:tr>
      <w:tr w:rsidR="001960C6" w:rsidRPr="002C4E29" w14:paraId="5D8CA134" w14:textId="77777777" w:rsidTr="007925A8">
        <w:trPr>
          <w:gridAfter w:val="1"/>
          <w:wAfter w:w="721" w:type="dxa"/>
          <w:trHeight w:val="144"/>
        </w:trPr>
        <w:tc>
          <w:tcPr>
            <w:tcW w:w="1350" w:type="dxa"/>
            <w:gridSpan w:val="2"/>
            <w:tcBorders>
              <w:top w:val="single" w:sz="4" w:space="0" w:color="auto"/>
              <w:left w:val="single" w:sz="4" w:space="0" w:color="auto"/>
              <w:bottom w:val="nil"/>
              <w:right w:val="nil"/>
            </w:tcBorders>
            <w:shd w:val="clear" w:color="auto" w:fill="auto"/>
            <w:noWrap/>
            <w:vAlign w:val="bottom"/>
            <w:hideMark/>
          </w:tcPr>
          <w:p w14:paraId="08A1DF53" w14:textId="77777777" w:rsidR="001960C6" w:rsidRPr="00DB3EEE" w:rsidRDefault="001960C6" w:rsidP="007925A8">
            <w:pPr>
              <w:spacing w:after="0" w:line="240" w:lineRule="auto"/>
              <w:jc w:val="center"/>
              <w:rPr>
                <w:rFonts w:eastAsia="Times New Roman" w:cs="Times New Roman"/>
                <w:sz w:val="16"/>
                <w:szCs w:val="16"/>
                <w:lang w:val="en-GB" w:eastAsia="en-GB"/>
              </w:rPr>
            </w:pPr>
            <w:r w:rsidRPr="00DB3EEE">
              <w:rPr>
                <w:rFonts w:eastAsia="Times New Roman" w:cs="Times New Roman"/>
                <w:sz w:val="16"/>
                <w:szCs w:val="16"/>
                <w:lang w:val="en-GB" w:eastAsia="en-GB"/>
              </w:rPr>
              <w:t>Unshaded =</w:t>
            </w:r>
          </w:p>
        </w:tc>
        <w:tc>
          <w:tcPr>
            <w:tcW w:w="1093" w:type="dxa"/>
            <w:gridSpan w:val="2"/>
            <w:tcBorders>
              <w:top w:val="single" w:sz="4" w:space="0" w:color="auto"/>
              <w:left w:val="nil"/>
              <w:bottom w:val="nil"/>
              <w:right w:val="single" w:sz="4" w:space="0" w:color="auto"/>
            </w:tcBorders>
            <w:shd w:val="clear" w:color="auto" w:fill="auto"/>
            <w:noWrap/>
            <w:vAlign w:val="bottom"/>
            <w:hideMark/>
          </w:tcPr>
          <w:p w14:paraId="45012BA6" w14:textId="77777777" w:rsidR="001960C6" w:rsidRPr="00DB3EEE" w:rsidRDefault="001960C6" w:rsidP="007925A8">
            <w:pPr>
              <w:spacing w:after="0" w:line="240" w:lineRule="auto"/>
              <w:jc w:val="center"/>
              <w:rPr>
                <w:rFonts w:eastAsia="Times New Roman" w:cs="Times New Roman"/>
                <w:sz w:val="18"/>
                <w:szCs w:val="18"/>
                <w:lang w:val="en-GB" w:eastAsia="en-GB"/>
              </w:rPr>
            </w:pPr>
            <w:r w:rsidRPr="00DB3EEE">
              <w:rPr>
                <w:rFonts w:eastAsia="Times New Roman" w:cs="Times New Roman"/>
                <w:sz w:val="16"/>
                <w:szCs w:val="16"/>
                <w:lang w:val="en-GB" w:eastAsia="en-GB"/>
              </w:rPr>
              <w:t>Low</w:t>
            </w:r>
          </w:p>
        </w:tc>
        <w:tc>
          <w:tcPr>
            <w:tcW w:w="1002" w:type="dxa"/>
            <w:gridSpan w:val="2"/>
            <w:tcBorders>
              <w:top w:val="nil"/>
              <w:left w:val="nil"/>
              <w:bottom w:val="nil"/>
              <w:right w:val="nil"/>
            </w:tcBorders>
            <w:shd w:val="clear" w:color="auto" w:fill="auto"/>
            <w:noWrap/>
            <w:vAlign w:val="bottom"/>
            <w:hideMark/>
          </w:tcPr>
          <w:p w14:paraId="58F4577E" w14:textId="77777777" w:rsidR="001960C6" w:rsidRPr="00DB3EEE" w:rsidRDefault="001960C6" w:rsidP="007925A8">
            <w:pPr>
              <w:spacing w:after="0" w:line="240" w:lineRule="auto"/>
              <w:rPr>
                <w:rFonts w:eastAsia="Times New Roman" w:cs="Times New Roman"/>
                <w:sz w:val="18"/>
                <w:szCs w:val="18"/>
                <w:lang w:val="en-GB" w:eastAsia="en-GB"/>
              </w:rPr>
            </w:pPr>
          </w:p>
        </w:tc>
        <w:tc>
          <w:tcPr>
            <w:tcW w:w="863" w:type="dxa"/>
            <w:gridSpan w:val="2"/>
            <w:tcBorders>
              <w:top w:val="nil"/>
              <w:left w:val="nil"/>
              <w:bottom w:val="nil"/>
              <w:right w:val="nil"/>
            </w:tcBorders>
            <w:shd w:val="clear" w:color="auto" w:fill="auto"/>
            <w:noWrap/>
            <w:vAlign w:val="bottom"/>
            <w:hideMark/>
          </w:tcPr>
          <w:p w14:paraId="30CD74F6" w14:textId="77777777" w:rsidR="001960C6" w:rsidRPr="00DB3EEE" w:rsidRDefault="001960C6" w:rsidP="007925A8">
            <w:pPr>
              <w:spacing w:after="0" w:line="240" w:lineRule="auto"/>
              <w:rPr>
                <w:rFonts w:eastAsia="Times New Roman" w:cs="Times New Roman"/>
                <w:sz w:val="18"/>
                <w:szCs w:val="18"/>
                <w:lang w:val="en-GB" w:eastAsia="en-GB"/>
              </w:rPr>
            </w:pPr>
          </w:p>
        </w:tc>
        <w:tc>
          <w:tcPr>
            <w:tcW w:w="862" w:type="dxa"/>
            <w:gridSpan w:val="2"/>
            <w:tcBorders>
              <w:top w:val="nil"/>
              <w:left w:val="nil"/>
              <w:bottom w:val="nil"/>
              <w:right w:val="nil"/>
            </w:tcBorders>
            <w:shd w:val="clear" w:color="auto" w:fill="auto"/>
            <w:noWrap/>
            <w:vAlign w:val="bottom"/>
            <w:hideMark/>
          </w:tcPr>
          <w:p w14:paraId="550CC254" w14:textId="77777777" w:rsidR="001960C6" w:rsidRPr="00DB3EEE" w:rsidRDefault="001960C6" w:rsidP="007925A8">
            <w:pPr>
              <w:spacing w:after="0" w:line="240" w:lineRule="auto"/>
              <w:rPr>
                <w:rFonts w:eastAsia="Times New Roman" w:cs="Times New Roman"/>
                <w:sz w:val="18"/>
                <w:szCs w:val="18"/>
                <w:lang w:val="en-GB" w:eastAsia="en-GB"/>
              </w:rPr>
            </w:pPr>
          </w:p>
        </w:tc>
        <w:tc>
          <w:tcPr>
            <w:tcW w:w="862" w:type="dxa"/>
            <w:gridSpan w:val="2"/>
            <w:tcBorders>
              <w:top w:val="nil"/>
              <w:left w:val="nil"/>
              <w:bottom w:val="nil"/>
              <w:right w:val="nil"/>
            </w:tcBorders>
            <w:shd w:val="clear" w:color="auto" w:fill="auto"/>
            <w:noWrap/>
            <w:vAlign w:val="bottom"/>
            <w:hideMark/>
          </w:tcPr>
          <w:p w14:paraId="6587FCDC" w14:textId="77777777" w:rsidR="001960C6" w:rsidRPr="00DB3EEE" w:rsidRDefault="001960C6" w:rsidP="007925A8">
            <w:pPr>
              <w:spacing w:after="0" w:line="240" w:lineRule="auto"/>
              <w:rPr>
                <w:rFonts w:eastAsia="Times New Roman" w:cs="Times New Roman"/>
                <w:sz w:val="18"/>
                <w:szCs w:val="18"/>
                <w:lang w:val="en-GB" w:eastAsia="en-GB"/>
              </w:rPr>
            </w:pPr>
          </w:p>
        </w:tc>
        <w:tc>
          <w:tcPr>
            <w:tcW w:w="862" w:type="dxa"/>
            <w:gridSpan w:val="2"/>
            <w:tcBorders>
              <w:top w:val="nil"/>
              <w:left w:val="nil"/>
              <w:bottom w:val="nil"/>
              <w:right w:val="nil"/>
            </w:tcBorders>
            <w:shd w:val="clear" w:color="auto" w:fill="auto"/>
            <w:noWrap/>
            <w:vAlign w:val="bottom"/>
            <w:hideMark/>
          </w:tcPr>
          <w:p w14:paraId="2CFC76CA" w14:textId="77777777" w:rsidR="001960C6" w:rsidRPr="00DB3EEE" w:rsidRDefault="001960C6" w:rsidP="007925A8">
            <w:pPr>
              <w:spacing w:after="0" w:line="240" w:lineRule="auto"/>
              <w:rPr>
                <w:rFonts w:eastAsia="Times New Roman" w:cs="Times New Roman"/>
                <w:sz w:val="18"/>
                <w:szCs w:val="18"/>
                <w:lang w:val="en-GB" w:eastAsia="en-GB"/>
              </w:rPr>
            </w:pPr>
          </w:p>
        </w:tc>
        <w:tc>
          <w:tcPr>
            <w:tcW w:w="862" w:type="dxa"/>
            <w:gridSpan w:val="2"/>
            <w:tcBorders>
              <w:top w:val="nil"/>
              <w:left w:val="nil"/>
              <w:bottom w:val="nil"/>
              <w:right w:val="nil"/>
            </w:tcBorders>
            <w:shd w:val="clear" w:color="auto" w:fill="auto"/>
            <w:noWrap/>
            <w:vAlign w:val="bottom"/>
            <w:hideMark/>
          </w:tcPr>
          <w:p w14:paraId="6C65E851" w14:textId="77777777" w:rsidR="001960C6" w:rsidRPr="00DB3EEE" w:rsidRDefault="001960C6" w:rsidP="007925A8">
            <w:pPr>
              <w:spacing w:after="0" w:line="240" w:lineRule="auto"/>
              <w:rPr>
                <w:rFonts w:eastAsia="Times New Roman" w:cs="Times New Roman"/>
                <w:sz w:val="18"/>
                <w:szCs w:val="18"/>
                <w:lang w:val="en-GB" w:eastAsia="en-GB"/>
              </w:rPr>
            </w:pPr>
          </w:p>
        </w:tc>
        <w:tc>
          <w:tcPr>
            <w:tcW w:w="862" w:type="dxa"/>
            <w:gridSpan w:val="2"/>
            <w:tcBorders>
              <w:top w:val="nil"/>
              <w:left w:val="nil"/>
              <w:bottom w:val="nil"/>
              <w:right w:val="nil"/>
            </w:tcBorders>
            <w:shd w:val="clear" w:color="auto" w:fill="auto"/>
            <w:noWrap/>
            <w:vAlign w:val="bottom"/>
            <w:hideMark/>
          </w:tcPr>
          <w:p w14:paraId="1C8E4977" w14:textId="77777777" w:rsidR="001960C6" w:rsidRPr="00DB3EEE" w:rsidRDefault="001960C6" w:rsidP="007925A8">
            <w:pPr>
              <w:spacing w:after="0" w:line="240" w:lineRule="auto"/>
              <w:rPr>
                <w:rFonts w:eastAsia="Times New Roman" w:cs="Times New Roman"/>
                <w:sz w:val="18"/>
                <w:szCs w:val="18"/>
                <w:lang w:val="en-GB" w:eastAsia="en-GB"/>
              </w:rPr>
            </w:pPr>
          </w:p>
        </w:tc>
        <w:tc>
          <w:tcPr>
            <w:tcW w:w="862" w:type="dxa"/>
            <w:gridSpan w:val="2"/>
            <w:tcBorders>
              <w:top w:val="nil"/>
              <w:left w:val="nil"/>
              <w:bottom w:val="nil"/>
              <w:right w:val="nil"/>
            </w:tcBorders>
            <w:shd w:val="clear" w:color="auto" w:fill="auto"/>
            <w:noWrap/>
            <w:vAlign w:val="bottom"/>
            <w:hideMark/>
          </w:tcPr>
          <w:p w14:paraId="19A50C36" w14:textId="77777777" w:rsidR="001960C6" w:rsidRPr="00DB3EEE" w:rsidRDefault="001960C6" w:rsidP="007925A8">
            <w:pPr>
              <w:spacing w:after="0" w:line="240" w:lineRule="auto"/>
              <w:rPr>
                <w:rFonts w:eastAsia="Times New Roman" w:cs="Times New Roman"/>
                <w:sz w:val="18"/>
                <w:szCs w:val="18"/>
                <w:lang w:val="en-GB" w:eastAsia="en-GB"/>
              </w:rPr>
            </w:pPr>
          </w:p>
        </w:tc>
        <w:tc>
          <w:tcPr>
            <w:tcW w:w="782" w:type="dxa"/>
            <w:gridSpan w:val="2"/>
            <w:tcBorders>
              <w:top w:val="nil"/>
              <w:left w:val="nil"/>
              <w:bottom w:val="nil"/>
              <w:right w:val="nil"/>
            </w:tcBorders>
            <w:shd w:val="clear" w:color="auto" w:fill="auto"/>
            <w:noWrap/>
            <w:vAlign w:val="bottom"/>
            <w:hideMark/>
          </w:tcPr>
          <w:p w14:paraId="6BD22D03" w14:textId="77777777" w:rsidR="001960C6" w:rsidRPr="00DB3EEE" w:rsidRDefault="001960C6" w:rsidP="007925A8">
            <w:pPr>
              <w:spacing w:after="0" w:line="240" w:lineRule="auto"/>
              <w:rPr>
                <w:rFonts w:eastAsia="Times New Roman" w:cs="Times New Roman"/>
                <w:sz w:val="18"/>
                <w:szCs w:val="18"/>
                <w:lang w:val="en-GB" w:eastAsia="en-GB"/>
              </w:rPr>
            </w:pPr>
          </w:p>
        </w:tc>
        <w:tc>
          <w:tcPr>
            <w:tcW w:w="781" w:type="dxa"/>
            <w:gridSpan w:val="2"/>
            <w:tcBorders>
              <w:top w:val="nil"/>
              <w:left w:val="nil"/>
              <w:bottom w:val="nil"/>
              <w:right w:val="nil"/>
            </w:tcBorders>
            <w:shd w:val="clear" w:color="auto" w:fill="auto"/>
            <w:noWrap/>
            <w:vAlign w:val="bottom"/>
            <w:hideMark/>
          </w:tcPr>
          <w:p w14:paraId="7915AB2C" w14:textId="77777777" w:rsidR="001960C6" w:rsidRPr="00DB3EEE" w:rsidRDefault="001960C6" w:rsidP="007925A8">
            <w:pPr>
              <w:spacing w:after="0" w:line="240" w:lineRule="auto"/>
              <w:rPr>
                <w:rFonts w:eastAsia="Times New Roman" w:cs="Times New Roman"/>
                <w:sz w:val="18"/>
                <w:szCs w:val="18"/>
                <w:lang w:val="en-GB" w:eastAsia="en-GB"/>
              </w:rPr>
            </w:pPr>
          </w:p>
        </w:tc>
        <w:tc>
          <w:tcPr>
            <w:tcW w:w="781" w:type="dxa"/>
            <w:gridSpan w:val="2"/>
            <w:tcBorders>
              <w:top w:val="nil"/>
              <w:left w:val="nil"/>
              <w:bottom w:val="nil"/>
              <w:right w:val="nil"/>
            </w:tcBorders>
            <w:shd w:val="clear" w:color="auto" w:fill="auto"/>
            <w:noWrap/>
            <w:vAlign w:val="bottom"/>
            <w:hideMark/>
          </w:tcPr>
          <w:p w14:paraId="4F54A427" w14:textId="77777777" w:rsidR="001960C6" w:rsidRPr="00DB3EEE" w:rsidRDefault="001960C6" w:rsidP="007925A8">
            <w:pPr>
              <w:spacing w:after="0" w:line="240" w:lineRule="auto"/>
              <w:rPr>
                <w:rFonts w:eastAsia="Times New Roman" w:cs="Times New Roman"/>
                <w:sz w:val="18"/>
                <w:szCs w:val="18"/>
                <w:lang w:val="en-GB" w:eastAsia="en-GB"/>
              </w:rPr>
            </w:pPr>
          </w:p>
        </w:tc>
        <w:tc>
          <w:tcPr>
            <w:tcW w:w="781" w:type="dxa"/>
            <w:gridSpan w:val="2"/>
            <w:tcBorders>
              <w:top w:val="nil"/>
              <w:left w:val="nil"/>
              <w:bottom w:val="nil"/>
              <w:right w:val="nil"/>
            </w:tcBorders>
            <w:shd w:val="clear" w:color="auto" w:fill="auto"/>
            <w:noWrap/>
            <w:vAlign w:val="bottom"/>
            <w:hideMark/>
          </w:tcPr>
          <w:p w14:paraId="7D2A5F08" w14:textId="77777777" w:rsidR="001960C6" w:rsidRPr="00DB3EEE" w:rsidRDefault="001960C6" w:rsidP="007925A8">
            <w:pPr>
              <w:spacing w:after="0" w:line="240" w:lineRule="auto"/>
              <w:rPr>
                <w:rFonts w:eastAsia="Times New Roman" w:cs="Times New Roman"/>
                <w:sz w:val="18"/>
                <w:szCs w:val="18"/>
                <w:lang w:val="en-GB" w:eastAsia="en-GB"/>
              </w:rPr>
            </w:pPr>
          </w:p>
        </w:tc>
      </w:tr>
      <w:tr w:rsidR="001960C6" w:rsidRPr="002C4E29" w14:paraId="5571D6EB" w14:textId="77777777" w:rsidTr="007925A8">
        <w:trPr>
          <w:gridAfter w:val="1"/>
          <w:wAfter w:w="721" w:type="dxa"/>
          <w:trHeight w:val="144"/>
        </w:trPr>
        <w:tc>
          <w:tcPr>
            <w:tcW w:w="1350" w:type="dxa"/>
            <w:gridSpan w:val="2"/>
            <w:tcBorders>
              <w:top w:val="nil"/>
              <w:left w:val="single" w:sz="4" w:space="0" w:color="auto"/>
              <w:bottom w:val="nil"/>
              <w:right w:val="nil"/>
            </w:tcBorders>
            <w:shd w:val="clear" w:color="auto" w:fill="auto"/>
            <w:noWrap/>
            <w:vAlign w:val="bottom"/>
            <w:hideMark/>
          </w:tcPr>
          <w:p w14:paraId="771125EC" w14:textId="77777777" w:rsidR="001960C6" w:rsidRPr="00DB3EEE" w:rsidRDefault="001960C6" w:rsidP="007925A8">
            <w:pPr>
              <w:spacing w:after="0" w:line="240" w:lineRule="auto"/>
              <w:jc w:val="center"/>
              <w:rPr>
                <w:rFonts w:eastAsia="Times New Roman" w:cs="Times New Roman"/>
                <w:sz w:val="16"/>
                <w:szCs w:val="16"/>
                <w:lang w:val="en-GB" w:eastAsia="en-GB"/>
              </w:rPr>
            </w:pPr>
            <w:r w:rsidRPr="00DB3EEE">
              <w:rPr>
                <w:rFonts w:eastAsia="Times New Roman" w:cs="Times New Roman"/>
                <w:sz w:val="16"/>
                <w:szCs w:val="16"/>
                <w:lang w:val="en-GB" w:eastAsia="en-GB"/>
              </w:rPr>
              <w:t>Bold =</w:t>
            </w:r>
          </w:p>
        </w:tc>
        <w:tc>
          <w:tcPr>
            <w:tcW w:w="1093" w:type="dxa"/>
            <w:gridSpan w:val="2"/>
            <w:tcBorders>
              <w:top w:val="nil"/>
              <w:left w:val="nil"/>
              <w:bottom w:val="nil"/>
              <w:right w:val="single" w:sz="4" w:space="0" w:color="auto"/>
            </w:tcBorders>
            <w:shd w:val="clear" w:color="auto" w:fill="auto"/>
            <w:noWrap/>
            <w:vAlign w:val="bottom"/>
            <w:hideMark/>
          </w:tcPr>
          <w:p w14:paraId="67E8CD5C" w14:textId="77777777" w:rsidR="001960C6" w:rsidRPr="00DB3EEE" w:rsidRDefault="001960C6" w:rsidP="007925A8">
            <w:pPr>
              <w:spacing w:after="0" w:line="240" w:lineRule="auto"/>
              <w:jc w:val="center"/>
              <w:rPr>
                <w:rFonts w:eastAsia="Times New Roman" w:cs="Times New Roman"/>
                <w:sz w:val="18"/>
                <w:szCs w:val="18"/>
                <w:lang w:val="en-GB" w:eastAsia="en-GB"/>
              </w:rPr>
            </w:pPr>
            <w:r w:rsidRPr="00DB3EEE">
              <w:rPr>
                <w:rFonts w:eastAsia="Times New Roman" w:cs="Times New Roman"/>
                <w:sz w:val="16"/>
                <w:szCs w:val="16"/>
                <w:lang w:val="en-GB" w:eastAsia="en-GB"/>
              </w:rPr>
              <w:t>L/H</w:t>
            </w:r>
          </w:p>
        </w:tc>
        <w:tc>
          <w:tcPr>
            <w:tcW w:w="1002" w:type="dxa"/>
            <w:gridSpan w:val="2"/>
            <w:tcBorders>
              <w:top w:val="nil"/>
              <w:left w:val="nil"/>
              <w:bottom w:val="nil"/>
              <w:right w:val="nil"/>
            </w:tcBorders>
            <w:shd w:val="clear" w:color="auto" w:fill="auto"/>
            <w:noWrap/>
            <w:vAlign w:val="bottom"/>
            <w:hideMark/>
          </w:tcPr>
          <w:p w14:paraId="691B41B9" w14:textId="77777777" w:rsidR="001960C6" w:rsidRPr="00DB3EEE" w:rsidRDefault="001960C6" w:rsidP="007925A8">
            <w:pPr>
              <w:spacing w:after="0" w:line="240" w:lineRule="auto"/>
              <w:rPr>
                <w:rFonts w:eastAsia="Times New Roman" w:cs="Times New Roman"/>
                <w:sz w:val="18"/>
                <w:szCs w:val="18"/>
                <w:lang w:val="en-GB" w:eastAsia="en-GB"/>
              </w:rPr>
            </w:pPr>
          </w:p>
        </w:tc>
        <w:tc>
          <w:tcPr>
            <w:tcW w:w="863" w:type="dxa"/>
            <w:gridSpan w:val="2"/>
            <w:tcBorders>
              <w:top w:val="nil"/>
              <w:left w:val="nil"/>
              <w:bottom w:val="nil"/>
              <w:right w:val="nil"/>
            </w:tcBorders>
            <w:shd w:val="clear" w:color="auto" w:fill="auto"/>
            <w:noWrap/>
            <w:vAlign w:val="bottom"/>
            <w:hideMark/>
          </w:tcPr>
          <w:p w14:paraId="55B54759" w14:textId="77777777" w:rsidR="001960C6" w:rsidRPr="00DB3EEE" w:rsidRDefault="001960C6" w:rsidP="007925A8">
            <w:pPr>
              <w:spacing w:after="0" w:line="240" w:lineRule="auto"/>
              <w:rPr>
                <w:rFonts w:eastAsia="Times New Roman" w:cs="Times New Roman"/>
                <w:sz w:val="18"/>
                <w:szCs w:val="18"/>
                <w:lang w:val="en-GB" w:eastAsia="en-GB"/>
              </w:rPr>
            </w:pPr>
          </w:p>
        </w:tc>
        <w:tc>
          <w:tcPr>
            <w:tcW w:w="862" w:type="dxa"/>
            <w:gridSpan w:val="2"/>
            <w:tcBorders>
              <w:top w:val="nil"/>
              <w:left w:val="nil"/>
              <w:bottom w:val="nil"/>
              <w:right w:val="nil"/>
            </w:tcBorders>
            <w:shd w:val="clear" w:color="auto" w:fill="auto"/>
            <w:noWrap/>
            <w:vAlign w:val="bottom"/>
            <w:hideMark/>
          </w:tcPr>
          <w:p w14:paraId="267F05D0" w14:textId="77777777" w:rsidR="001960C6" w:rsidRPr="00DB3EEE" w:rsidRDefault="001960C6" w:rsidP="007925A8">
            <w:pPr>
              <w:spacing w:after="0" w:line="240" w:lineRule="auto"/>
              <w:rPr>
                <w:rFonts w:eastAsia="Times New Roman" w:cs="Times New Roman"/>
                <w:sz w:val="18"/>
                <w:szCs w:val="18"/>
                <w:lang w:val="en-GB" w:eastAsia="en-GB"/>
              </w:rPr>
            </w:pPr>
          </w:p>
        </w:tc>
        <w:tc>
          <w:tcPr>
            <w:tcW w:w="862" w:type="dxa"/>
            <w:gridSpan w:val="2"/>
            <w:tcBorders>
              <w:top w:val="nil"/>
              <w:left w:val="nil"/>
              <w:bottom w:val="nil"/>
              <w:right w:val="nil"/>
            </w:tcBorders>
            <w:shd w:val="clear" w:color="auto" w:fill="auto"/>
            <w:noWrap/>
            <w:vAlign w:val="bottom"/>
            <w:hideMark/>
          </w:tcPr>
          <w:p w14:paraId="720EC64A" w14:textId="77777777" w:rsidR="001960C6" w:rsidRPr="00DB3EEE" w:rsidRDefault="001960C6" w:rsidP="007925A8">
            <w:pPr>
              <w:spacing w:after="0" w:line="240" w:lineRule="auto"/>
              <w:rPr>
                <w:rFonts w:eastAsia="Times New Roman" w:cs="Times New Roman"/>
                <w:sz w:val="18"/>
                <w:szCs w:val="18"/>
                <w:lang w:val="en-GB" w:eastAsia="en-GB"/>
              </w:rPr>
            </w:pPr>
          </w:p>
        </w:tc>
        <w:tc>
          <w:tcPr>
            <w:tcW w:w="862" w:type="dxa"/>
            <w:gridSpan w:val="2"/>
            <w:tcBorders>
              <w:top w:val="nil"/>
              <w:left w:val="nil"/>
              <w:bottom w:val="nil"/>
              <w:right w:val="nil"/>
            </w:tcBorders>
            <w:shd w:val="clear" w:color="auto" w:fill="auto"/>
            <w:noWrap/>
            <w:vAlign w:val="bottom"/>
            <w:hideMark/>
          </w:tcPr>
          <w:p w14:paraId="3BD9FAE5" w14:textId="77777777" w:rsidR="001960C6" w:rsidRPr="00DB3EEE" w:rsidRDefault="001960C6" w:rsidP="007925A8">
            <w:pPr>
              <w:spacing w:after="0" w:line="240" w:lineRule="auto"/>
              <w:rPr>
                <w:rFonts w:eastAsia="Times New Roman" w:cs="Times New Roman"/>
                <w:sz w:val="18"/>
                <w:szCs w:val="18"/>
                <w:lang w:val="en-GB" w:eastAsia="en-GB"/>
              </w:rPr>
            </w:pPr>
          </w:p>
        </w:tc>
        <w:tc>
          <w:tcPr>
            <w:tcW w:w="862" w:type="dxa"/>
            <w:gridSpan w:val="2"/>
            <w:tcBorders>
              <w:top w:val="nil"/>
              <w:left w:val="nil"/>
              <w:bottom w:val="nil"/>
              <w:right w:val="nil"/>
            </w:tcBorders>
            <w:shd w:val="clear" w:color="auto" w:fill="auto"/>
            <w:noWrap/>
            <w:vAlign w:val="bottom"/>
            <w:hideMark/>
          </w:tcPr>
          <w:p w14:paraId="347B0054" w14:textId="77777777" w:rsidR="001960C6" w:rsidRPr="00DB3EEE" w:rsidRDefault="001960C6" w:rsidP="007925A8">
            <w:pPr>
              <w:spacing w:after="0" w:line="240" w:lineRule="auto"/>
              <w:rPr>
                <w:rFonts w:eastAsia="Times New Roman" w:cs="Times New Roman"/>
                <w:sz w:val="18"/>
                <w:szCs w:val="18"/>
                <w:lang w:val="en-GB" w:eastAsia="en-GB"/>
              </w:rPr>
            </w:pPr>
          </w:p>
        </w:tc>
        <w:tc>
          <w:tcPr>
            <w:tcW w:w="862" w:type="dxa"/>
            <w:gridSpan w:val="2"/>
            <w:tcBorders>
              <w:top w:val="nil"/>
              <w:left w:val="nil"/>
              <w:bottom w:val="nil"/>
              <w:right w:val="nil"/>
            </w:tcBorders>
            <w:shd w:val="clear" w:color="auto" w:fill="auto"/>
            <w:noWrap/>
            <w:vAlign w:val="bottom"/>
            <w:hideMark/>
          </w:tcPr>
          <w:p w14:paraId="6DC867E3" w14:textId="77777777" w:rsidR="001960C6" w:rsidRPr="00DB3EEE" w:rsidRDefault="001960C6" w:rsidP="007925A8">
            <w:pPr>
              <w:spacing w:after="0" w:line="240" w:lineRule="auto"/>
              <w:rPr>
                <w:rFonts w:eastAsia="Times New Roman" w:cs="Times New Roman"/>
                <w:sz w:val="18"/>
                <w:szCs w:val="18"/>
                <w:lang w:val="en-GB" w:eastAsia="en-GB"/>
              </w:rPr>
            </w:pPr>
          </w:p>
        </w:tc>
        <w:tc>
          <w:tcPr>
            <w:tcW w:w="862" w:type="dxa"/>
            <w:gridSpan w:val="2"/>
            <w:tcBorders>
              <w:top w:val="nil"/>
              <w:left w:val="nil"/>
              <w:bottom w:val="nil"/>
              <w:right w:val="nil"/>
            </w:tcBorders>
            <w:shd w:val="clear" w:color="auto" w:fill="auto"/>
            <w:noWrap/>
            <w:vAlign w:val="bottom"/>
            <w:hideMark/>
          </w:tcPr>
          <w:p w14:paraId="3C465358" w14:textId="77777777" w:rsidR="001960C6" w:rsidRPr="00DB3EEE" w:rsidRDefault="001960C6" w:rsidP="007925A8">
            <w:pPr>
              <w:spacing w:after="0" w:line="240" w:lineRule="auto"/>
              <w:rPr>
                <w:rFonts w:eastAsia="Times New Roman" w:cs="Times New Roman"/>
                <w:sz w:val="18"/>
                <w:szCs w:val="18"/>
                <w:lang w:val="en-GB" w:eastAsia="en-GB"/>
              </w:rPr>
            </w:pPr>
          </w:p>
        </w:tc>
        <w:tc>
          <w:tcPr>
            <w:tcW w:w="782" w:type="dxa"/>
            <w:gridSpan w:val="2"/>
            <w:tcBorders>
              <w:top w:val="nil"/>
              <w:left w:val="nil"/>
              <w:bottom w:val="nil"/>
              <w:right w:val="nil"/>
            </w:tcBorders>
            <w:shd w:val="clear" w:color="auto" w:fill="auto"/>
            <w:noWrap/>
            <w:vAlign w:val="bottom"/>
            <w:hideMark/>
          </w:tcPr>
          <w:p w14:paraId="70F835C0" w14:textId="77777777" w:rsidR="001960C6" w:rsidRPr="00DB3EEE" w:rsidRDefault="001960C6" w:rsidP="007925A8">
            <w:pPr>
              <w:spacing w:after="0" w:line="240" w:lineRule="auto"/>
              <w:rPr>
                <w:rFonts w:eastAsia="Times New Roman" w:cs="Times New Roman"/>
                <w:sz w:val="18"/>
                <w:szCs w:val="18"/>
                <w:lang w:val="en-GB" w:eastAsia="en-GB"/>
              </w:rPr>
            </w:pPr>
          </w:p>
        </w:tc>
        <w:tc>
          <w:tcPr>
            <w:tcW w:w="781" w:type="dxa"/>
            <w:gridSpan w:val="2"/>
            <w:tcBorders>
              <w:top w:val="nil"/>
              <w:left w:val="nil"/>
              <w:bottom w:val="nil"/>
              <w:right w:val="nil"/>
            </w:tcBorders>
            <w:shd w:val="clear" w:color="auto" w:fill="auto"/>
            <w:noWrap/>
            <w:vAlign w:val="bottom"/>
            <w:hideMark/>
          </w:tcPr>
          <w:p w14:paraId="7D32FE55" w14:textId="77777777" w:rsidR="001960C6" w:rsidRPr="00DB3EEE" w:rsidRDefault="001960C6" w:rsidP="007925A8">
            <w:pPr>
              <w:spacing w:after="0" w:line="240" w:lineRule="auto"/>
              <w:rPr>
                <w:rFonts w:eastAsia="Times New Roman" w:cs="Times New Roman"/>
                <w:sz w:val="18"/>
                <w:szCs w:val="18"/>
                <w:lang w:val="en-GB" w:eastAsia="en-GB"/>
              </w:rPr>
            </w:pPr>
          </w:p>
        </w:tc>
        <w:tc>
          <w:tcPr>
            <w:tcW w:w="781" w:type="dxa"/>
            <w:gridSpan w:val="2"/>
            <w:tcBorders>
              <w:top w:val="nil"/>
              <w:left w:val="nil"/>
              <w:bottom w:val="nil"/>
              <w:right w:val="nil"/>
            </w:tcBorders>
            <w:shd w:val="clear" w:color="auto" w:fill="auto"/>
            <w:noWrap/>
            <w:vAlign w:val="bottom"/>
            <w:hideMark/>
          </w:tcPr>
          <w:p w14:paraId="2853FF30" w14:textId="77777777" w:rsidR="001960C6" w:rsidRPr="00DB3EEE" w:rsidRDefault="001960C6" w:rsidP="007925A8">
            <w:pPr>
              <w:spacing w:after="0" w:line="240" w:lineRule="auto"/>
              <w:rPr>
                <w:rFonts w:eastAsia="Times New Roman" w:cs="Times New Roman"/>
                <w:sz w:val="18"/>
                <w:szCs w:val="18"/>
                <w:lang w:val="en-GB" w:eastAsia="en-GB"/>
              </w:rPr>
            </w:pPr>
          </w:p>
        </w:tc>
        <w:tc>
          <w:tcPr>
            <w:tcW w:w="781" w:type="dxa"/>
            <w:gridSpan w:val="2"/>
            <w:tcBorders>
              <w:top w:val="nil"/>
              <w:left w:val="nil"/>
              <w:bottom w:val="nil"/>
              <w:right w:val="nil"/>
            </w:tcBorders>
            <w:shd w:val="clear" w:color="auto" w:fill="auto"/>
            <w:noWrap/>
            <w:vAlign w:val="bottom"/>
            <w:hideMark/>
          </w:tcPr>
          <w:p w14:paraId="3971951A" w14:textId="77777777" w:rsidR="001960C6" w:rsidRPr="00DB3EEE" w:rsidRDefault="001960C6" w:rsidP="007925A8">
            <w:pPr>
              <w:spacing w:after="0" w:line="240" w:lineRule="auto"/>
              <w:rPr>
                <w:rFonts w:eastAsia="Times New Roman" w:cs="Times New Roman"/>
                <w:sz w:val="18"/>
                <w:szCs w:val="18"/>
                <w:lang w:val="en-GB" w:eastAsia="en-GB"/>
              </w:rPr>
            </w:pPr>
          </w:p>
        </w:tc>
      </w:tr>
      <w:tr w:rsidR="001960C6" w:rsidRPr="002C4E29" w14:paraId="2B058D28" w14:textId="77777777" w:rsidTr="007925A8">
        <w:trPr>
          <w:gridAfter w:val="1"/>
          <w:wAfter w:w="721" w:type="dxa"/>
          <w:trHeight w:val="144"/>
        </w:trPr>
        <w:tc>
          <w:tcPr>
            <w:tcW w:w="1350" w:type="dxa"/>
            <w:gridSpan w:val="2"/>
            <w:tcBorders>
              <w:top w:val="nil"/>
              <w:left w:val="single" w:sz="4" w:space="0" w:color="auto"/>
              <w:bottom w:val="single" w:sz="4" w:space="0" w:color="auto"/>
              <w:right w:val="nil"/>
            </w:tcBorders>
            <w:shd w:val="clear" w:color="auto" w:fill="auto"/>
            <w:noWrap/>
            <w:vAlign w:val="bottom"/>
            <w:hideMark/>
          </w:tcPr>
          <w:p w14:paraId="0B4ED25C" w14:textId="77777777" w:rsidR="001960C6" w:rsidRPr="00DB3EEE" w:rsidRDefault="001960C6" w:rsidP="007925A8">
            <w:pPr>
              <w:spacing w:after="0" w:line="240" w:lineRule="auto"/>
              <w:jc w:val="center"/>
              <w:rPr>
                <w:rFonts w:eastAsia="Times New Roman" w:cs="Times New Roman"/>
                <w:sz w:val="16"/>
                <w:szCs w:val="16"/>
                <w:lang w:val="en-GB" w:eastAsia="en-GB"/>
              </w:rPr>
            </w:pPr>
            <w:r w:rsidRPr="00DB3EEE">
              <w:rPr>
                <w:rFonts w:eastAsia="Times New Roman" w:cs="Times New Roman"/>
                <w:sz w:val="16"/>
                <w:szCs w:val="16"/>
                <w:lang w:val="en-GB" w:eastAsia="en-GB"/>
              </w:rPr>
              <w:t>Shaded =</w:t>
            </w:r>
          </w:p>
        </w:tc>
        <w:tc>
          <w:tcPr>
            <w:tcW w:w="1093" w:type="dxa"/>
            <w:gridSpan w:val="2"/>
            <w:tcBorders>
              <w:top w:val="nil"/>
              <w:left w:val="nil"/>
              <w:bottom w:val="single" w:sz="4" w:space="0" w:color="auto"/>
              <w:right w:val="single" w:sz="4" w:space="0" w:color="auto"/>
            </w:tcBorders>
            <w:shd w:val="clear" w:color="auto" w:fill="auto"/>
            <w:noWrap/>
            <w:vAlign w:val="bottom"/>
            <w:hideMark/>
          </w:tcPr>
          <w:p w14:paraId="69E8D6DB" w14:textId="77777777" w:rsidR="001960C6" w:rsidRPr="00DB3EEE" w:rsidRDefault="001960C6" w:rsidP="007925A8">
            <w:pPr>
              <w:spacing w:after="0" w:line="240" w:lineRule="auto"/>
              <w:jc w:val="center"/>
              <w:rPr>
                <w:rFonts w:eastAsia="Times New Roman" w:cs="Times New Roman"/>
                <w:sz w:val="18"/>
                <w:szCs w:val="18"/>
                <w:lang w:val="en-GB" w:eastAsia="en-GB"/>
              </w:rPr>
            </w:pPr>
            <w:r w:rsidRPr="00DB3EEE">
              <w:rPr>
                <w:rFonts w:eastAsia="Times New Roman" w:cs="Times New Roman"/>
                <w:sz w:val="16"/>
                <w:szCs w:val="16"/>
                <w:lang w:val="en-GB" w:eastAsia="en-GB"/>
              </w:rPr>
              <w:t>High</w:t>
            </w:r>
          </w:p>
        </w:tc>
        <w:tc>
          <w:tcPr>
            <w:tcW w:w="1002" w:type="dxa"/>
            <w:gridSpan w:val="2"/>
            <w:tcBorders>
              <w:top w:val="nil"/>
              <w:left w:val="nil"/>
              <w:bottom w:val="nil"/>
              <w:right w:val="nil"/>
            </w:tcBorders>
            <w:shd w:val="clear" w:color="auto" w:fill="auto"/>
            <w:noWrap/>
            <w:vAlign w:val="bottom"/>
            <w:hideMark/>
          </w:tcPr>
          <w:p w14:paraId="24877BAF" w14:textId="77777777" w:rsidR="001960C6" w:rsidRPr="00DB3EEE" w:rsidRDefault="001960C6" w:rsidP="007925A8">
            <w:pPr>
              <w:spacing w:after="0" w:line="240" w:lineRule="auto"/>
              <w:rPr>
                <w:rFonts w:eastAsia="Times New Roman" w:cs="Times New Roman"/>
                <w:sz w:val="18"/>
                <w:szCs w:val="18"/>
                <w:lang w:val="en-GB" w:eastAsia="en-GB"/>
              </w:rPr>
            </w:pPr>
          </w:p>
        </w:tc>
        <w:tc>
          <w:tcPr>
            <w:tcW w:w="863" w:type="dxa"/>
            <w:gridSpan w:val="2"/>
            <w:tcBorders>
              <w:top w:val="nil"/>
              <w:left w:val="nil"/>
              <w:bottom w:val="nil"/>
              <w:right w:val="nil"/>
            </w:tcBorders>
            <w:shd w:val="clear" w:color="auto" w:fill="auto"/>
            <w:noWrap/>
            <w:vAlign w:val="bottom"/>
            <w:hideMark/>
          </w:tcPr>
          <w:p w14:paraId="7CA0A02B" w14:textId="77777777" w:rsidR="001960C6" w:rsidRPr="00DB3EEE" w:rsidRDefault="001960C6" w:rsidP="007925A8">
            <w:pPr>
              <w:spacing w:after="0" w:line="240" w:lineRule="auto"/>
              <w:rPr>
                <w:rFonts w:eastAsia="Times New Roman" w:cs="Times New Roman"/>
                <w:sz w:val="18"/>
                <w:szCs w:val="18"/>
                <w:lang w:val="en-GB" w:eastAsia="en-GB"/>
              </w:rPr>
            </w:pPr>
          </w:p>
        </w:tc>
        <w:tc>
          <w:tcPr>
            <w:tcW w:w="862" w:type="dxa"/>
            <w:gridSpan w:val="2"/>
            <w:tcBorders>
              <w:top w:val="nil"/>
              <w:left w:val="nil"/>
              <w:bottom w:val="nil"/>
              <w:right w:val="nil"/>
            </w:tcBorders>
            <w:shd w:val="clear" w:color="auto" w:fill="auto"/>
            <w:noWrap/>
            <w:vAlign w:val="bottom"/>
            <w:hideMark/>
          </w:tcPr>
          <w:p w14:paraId="392D8948" w14:textId="77777777" w:rsidR="001960C6" w:rsidRPr="00DB3EEE" w:rsidRDefault="001960C6" w:rsidP="007925A8">
            <w:pPr>
              <w:spacing w:after="0" w:line="240" w:lineRule="auto"/>
              <w:rPr>
                <w:rFonts w:eastAsia="Times New Roman" w:cs="Times New Roman"/>
                <w:sz w:val="18"/>
                <w:szCs w:val="18"/>
                <w:lang w:val="en-GB" w:eastAsia="en-GB"/>
              </w:rPr>
            </w:pPr>
          </w:p>
        </w:tc>
        <w:tc>
          <w:tcPr>
            <w:tcW w:w="862" w:type="dxa"/>
            <w:gridSpan w:val="2"/>
            <w:tcBorders>
              <w:top w:val="nil"/>
              <w:left w:val="nil"/>
              <w:bottom w:val="nil"/>
              <w:right w:val="nil"/>
            </w:tcBorders>
            <w:shd w:val="clear" w:color="auto" w:fill="auto"/>
            <w:noWrap/>
            <w:vAlign w:val="bottom"/>
            <w:hideMark/>
          </w:tcPr>
          <w:p w14:paraId="22F86C25" w14:textId="77777777" w:rsidR="001960C6" w:rsidRPr="00DB3EEE" w:rsidRDefault="001960C6" w:rsidP="007925A8">
            <w:pPr>
              <w:spacing w:after="0" w:line="240" w:lineRule="auto"/>
              <w:rPr>
                <w:rFonts w:eastAsia="Times New Roman" w:cs="Times New Roman"/>
                <w:sz w:val="18"/>
                <w:szCs w:val="18"/>
                <w:lang w:val="en-GB" w:eastAsia="en-GB"/>
              </w:rPr>
            </w:pPr>
          </w:p>
        </w:tc>
        <w:tc>
          <w:tcPr>
            <w:tcW w:w="862" w:type="dxa"/>
            <w:gridSpan w:val="2"/>
            <w:tcBorders>
              <w:top w:val="nil"/>
              <w:left w:val="nil"/>
              <w:bottom w:val="nil"/>
              <w:right w:val="nil"/>
            </w:tcBorders>
            <w:shd w:val="clear" w:color="auto" w:fill="auto"/>
            <w:noWrap/>
            <w:vAlign w:val="bottom"/>
            <w:hideMark/>
          </w:tcPr>
          <w:p w14:paraId="2F598AE1" w14:textId="77777777" w:rsidR="001960C6" w:rsidRPr="00DB3EEE" w:rsidRDefault="001960C6" w:rsidP="007925A8">
            <w:pPr>
              <w:spacing w:after="0" w:line="240" w:lineRule="auto"/>
              <w:rPr>
                <w:rFonts w:eastAsia="Times New Roman" w:cs="Times New Roman"/>
                <w:sz w:val="18"/>
                <w:szCs w:val="18"/>
                <w:lang w:val="en-GB" w:eastAsia="en-GB"/>
              </w:rPr>
            </w:pPr>
          </w:p>
        </w:tc>
        <w:tc>
          <w:tcPr>
            <w:tcW w:w="862" w:type="dxa"/>
            <w:gridSpan w:val="2"/>
            <w:tcBorders>
              <w:top w:val="nil"/>
              <w:left w:val="nil"/>
              <w:bottom w:val="nil"/>
              <w:right w:val="nil"/>
            </w:tcBorders>
            <w:shd w:val="clear" w:color="auto" w:fill="auto"/>
            <w:noWrap/>
            <w:vAlign w:val="bottom"/>
            <w:hideMark/>
          </w:tcPr>
          <w:p w14:paraId="19319F80" w14:textId="77777777" w:rsidR="001960C6" w:rsidRPr="00DB3EEE" w:rsidRDefault="001960C6" w:rsidP="007925A8">
            <w:pPr>
              <w:spacing w:after="0" w:line="240" w:lineRule="auto"/>
              <w:rPr>
                <w:rFonts w:eastAsia="Times New Roman" w:cs="Times New Roman"/>
                <w:sz w:val="18"/>
                <w:szCs w:val="18"/>
                <w:lang w:val="en-GB" w:eastAsia="en-GB"/>
              </w:rPr>
            </w:pPr>
          </w:p>
        </w:tc>
        <w:tc>
          <w:tcPr>
            <w:tcW w:w="862" w:type="dxa"/>
            <w:gridSpan w:val="2"/>
            <w:tcBorders>
              <w:top w:val="nil"/>
              <w:left w:val="nil"/>
              <w:bottom w:val="nil"/>
              <w:right w:val="nil"/>
            </w:tcBorders>
            <w:shd w:val="clear" w:color="auto" w:fill="auto"/>
            <w:noWrap/>
            <w:vAlign w:val="bottom"/>
            <w:hideMark/>
          </w:tcPr>
          <w:p w14:paraId="1FC0A919" w14:textId="77777777" w:rsidR="001960C6" w:rsidRPr="00DB3EEE" w:rsidRDefault="001960C6" w:rsidP="007925A8">
            <w:pPr>
              <w:spacing w:after="0" w:line="240" w:lineRule="auto"/>
              <w:rPr>
                <w:rFonts w:eastAsia="Times New Roman" w:cs="Times New Roman"/>
                <w:sz w:val="18"/>
                <w:szCs w:val="18"/>
                <w:lang w:val="en-GB" w:eastAsia="en-GB"/>
              </w:rPr>
            </w:pPr>
          </w:p>
        </w:tc>
        <w:tc>
          <w:tcPr>
            <w:tcW w:w="862" w:type="dxa"/>
            <w:gridSpan w:val="2"/>
            <w:tcBorders>
              <w:top w:val="nil"/>
              <w:left w:val="nil"/>
              <w:bottom w:val="nil"/>
              <w:right w:val="nil"/>
            </w:tcBorders>
            <w:shd w:val="clear" w:color="auto" w:fill="auto"/>
            <w:noWrap/>
            <w:vAlign w:val="bottom"/>
            <w:hideMark/>
          </w:tcPr>
          <w:p w14:paraId="3D23F561" w14:textId="77777777" w:rsidR="001960C6" w:rsidRPr="00DB3EEE" w:rsidRDefault="001960C6" w:rsidP="007925A8">
            <w:pPr>
              <w:spacing w:after="0" w:line="240" w:lineRule="auto"/>
              <w:rPr>
                <w:rFonts w:eastAsia="Times New Roman" w:cs="Times New Roman"/>
                <w:sz w:val="18"/>
                <w:szCs w:val="18"/>
                <w:lang w:val="en-GB" w:eastAsia="en-GB"/>
              </w:rPr>
            </w:pPr>
          </w:p>
        </w:tc>
        <w:tc>
          <w:tcPr>
            <w:tcW w:w="782" w:type="dxa"/>
            <w:gridSpan w:val="2"/>
            <w:tcBorders>
              <w:top w:val="nil"/>
              <w:left w:val="nil"/>
              <w:bottom w:val="nil"/>
              <w:right w:val="nil"/>
            </w:tcBorders>
            <w:shd w:val="clear" w:color="auto" w:fill="auto"/>
            <w:noWrap/>
            <w:vAlign w:val="bottom"/>
            <w:hideMark/>
          </w:tcPr>
          <w:p w14:paraId="27896727" w14:textId="77777777" w:rsidR="001960C6" w:rsidRPr="00DB3EEE" w:rsidRDefault="001960C6" w:rsidP="007925A8">
            <w:pPr>
              <w:spacing w:after="0" w:line="240" w:lineRule="auto"/>
              <w:rPr>
                <w:rFonts w:eastAsia="Times New Roman" w:cs="Times New Roman"/>
                <w:sz w:val="18"/>
                <w:szCs w:val="18"/>
                <w:lang w:val="en-GB" w:eastAsia="en-GB"/>
              </w:rPr>
            </w:pPr>
          </w:p>
        </w:tc>
        <w:tc>
          <w:tcPr>
            <w:tcW w:w="781" w:type="dxa"/>
            <w:gridSpan w:val="2"/>
            <w:tcBorders>
              <w:top w:val="nil"/>
              <w:left w:val="nil"/>
              <w:bottom w:val="nil"/>
              <w:right w:val="nil"/>
            </w:tcBorders>
            <w:shd w:val="clear" w:color="auto" w:fill="auto"/>
            <w:noWrap/>
            <w:vAlign w:val="bottom"/>
            <w:hideMark/>
          </w:tcPr>
          <w:p w14:paraId="5D46FFA2" w14:textId="77777777" w:rsidR="001960C6" w:rsidRPr="00DB3EEE" w:rsidRDefault="001960C6" w:rsidP="007925A8">
            <w:pPr>
              <w:spacing w:after="0" w:line="240" w:lineRule="auto"/>
              <w:rPr>
                <w:rFonts w:eastAsia="Times New Roman" w:cs="Times New Roman"/>
                <w:sz w:val="18"/>
                <w:szCs w:val="18"/>
                <w:lang w:val="en-GB" w:eastAsia="en-GB"/>
              </w:rPr>
            </w:pPr>
          </w:p>
        </w:tc>
        <w:tc>
          <w:tcPr>
            <w:tcW w:w="781" w:type="dxa"/>
            <w:gridSpan w:val="2"/>
            <w:tcBorders>
              <w:top w:val="nil"/>
              <w:left w:val="nil"/>
              <w:bottom w:val="nil"/>
              <w:right w:val="nil"/>
            </w:tcBorders>
            <w:shd w:val="clear" w:color="auto" w:fill="auto"/>
            <w:noWrap/>
            <w:vAlign w:val="bottom"/>
            <w:hideMark/>
          </w:tcPr>
          <w:p w14:paraId="07C9DA19" w14:textId="77777777" w:rsidR="001960C6" w:rsidRPr="00DB3EEE" w:rsidRDefault="001960C6" w:rsidP="007925A8">
            <w:pPr>
              <w:spacing w:after="0" w:line="240" w:lineRule="auto"/>
              <w:rPr>
                <w:rFonts w:eastAsia="Times New Roman" w:cs="Times New Roman"/>
                <w:sz w:val="18"/>
                <w:szCs w:val="18"/>
                <w:lang w:val="en-GB" w:eastAsia="en-GB"/>
              </w:rPr>
            </w:pPr>
          </w:p>
        </w:tc>
        <w:tc>
          <w:tcPr>
            <w:tcW w:w="781" w:type="dxa"/>
            <w:gridSpan w:val="2"/>
            <w:tcBorders>
              <w:top w:val="nil"/>
              <w:left w:val="nil"/>
              <w:bottom w:val="nil"/>
              <w:right w:val="nil"/>
            </w:tcBorders>
            <w:shd w:val="clear" w:color="auto" w:fill="auto"/>
            <w:noWrap/>
            <w:vAlign w:val="bottom"/>
            <w:hideMark/>
          </w:tcPr>
          <w:p w14:paraId="65C0A84D" w14:textId="77777777" w:rsidR="001960C6" w:rsidRPr="00DB3EEE" w:rsidRDefault="001960C6" w:rsidP="007925A8">
            <w:pPr>
              <w:spacing w:after="0" w:line="240" w:lineRule="auto"/>
              <w:rPr>
                <w:rFonts w:eastAsia="Times New Roman" w:cs="Times New Roman"/>
                <w:sz w:val="18"/>
                <w:szCs w:val="18"/>
                <w:lang w:val="en-GB" w:eastAsia="en-GB"/>
              </w:rPr>
            </w:pPr>
          </w:p>
        </w:tc>
      </w:tr>
    </w:tbl>
    <w:p w14:paraId="0F0502B0" w14:textId="77777777" w:rsidR="00724BAB" w:rsidRPr="00DB3EEE" w:rsidRDefault="00724BAB" w:rsidP="00724BAB">
      <w:pPr>
        <w:pStyle w:val="ListParagraph"/>
        <w:numPr>
          <w:ilvl w:val="0"/>
          <w:numId w:val="0"/>
        </w:numPr>
        <w:rPr>
          <w:sz w:val="20"/>
          <w:szCs w:val="20"/>
        </w:rPr>
      </w:pPr>
      <w:r w:rsidRPr="00643118">
        <w:rPr>
          <w:i/>
          <w:sz w:val="20"/>
          <w:szCs w:val="20"/>
        </w:rPr>
        <w:t>Note</w:t>
      </w:r>
      <w:r w:rsidRPr="00DB3EEE">
        <w:rPr>
          <w:sz w:val="20"/>
          <w:szCs w:val="20"/>
        </w:rPr>
        <w:t>: This table reflects the pay structure effective as of January 1, 2015</w:t>
      </w:r>
    </w:p>
    <w:p w14:paraId="4E44D488" w14:textId="77777777" w:rsidR="00724BAB" w:rsidRDefault="00724BAB" w:rsidP="00724BAB">
      <w:pPr>
        <w:pStyle w:val="ListParagraph"/>
        <w:numPr>
          <w:ilvl w:val="0"/>
          <w:numId w:val="0"/>
        </w:numPr>
        <w:sectPr w:rsidR="00724BAB" w:rsidSect="00E566F7">
          <w:pgSz w:w="15840" w:h="12240" w:orient="landscape"/>
          <w:pgMar w:top="1440" w:right="1440" w:bottom="1440" w:left="1440" w:header="720" w:footer="720" w:gutter="0"/>
          <w:cols w:space="720"/>
          <w:docGrid w:linePitch="360"/>
        </w:sectPr>
      </w:pPr>
    </w:p>
    <w:p w14:paraId="419A40E5" w14:textId="77777777" w:rsidR="00724BAB" w:rsidRPr="00A10065" w:rsidRDefault="00724BAB" w:rsidP="00724BAB">
      <w:pPr>
        <w:pStyle w:val="ListParagraph"/>
        <w:numPr>
          <w:ilvl w:val="0"/>
          <w:numId w:val="13"/>
        </w:numPr>
      </w:pPr>
      <w:r w:rsidRPr="00A10065">
        <w:rPr>
          <w:b/>
        </w:rPr>
        <w:lastRenderedPageBreak/>
        <w:t>Relatively high public sector wage</w:t>
      </w:r>
      <w:r w:rsidR="00FF70A7">
        <w:rPr>
          <w:b/>
        </w:rPr>
        <w:t xml:space="preserve"> </w:t>
      </w:r>
      <w:r w:rsidRPr="00A10065">
        <w:rPr>
          <w:b/>
        </w:rPr>
        <w:t>levels, especially for low-skilled workers, contribute to inflationary pressures and distort labor-market incentives.</w:t>
      </w:r>
      <w:r w:rsidRPr="00A10065">
        <w:t xml:space="preserve"> Excessively generous compensation in the public sector can increase reservation wages economy-wide, compelling private firms to boost their own wages or face a shortage of appropriately skilled workers. In Ghana, public sector workers at senior levels appear to be remunerated at levels comparable to those of the private sector, but compensation for </w:t>
      </w:r>
      <w:r>
        <w:t>less</w:t>
      </w:r>
      <w:r w:rsidRPr="00A10065">
        <w:t>-skilled workers appears to be significantly higher (</w:t>
      </w:r>
      <w:r>
        <w:fldChar w:fldCharType="begin"/>
      </w:r>
      <w:r>
        <w:instrText xml:space="preserve"> REF _Ref471744963 \h </w:instrText>
      </w:r>
      <w:r>
        <w:fldChar w:fldCharType="separate"/>
      </w:r>
      <w:r w:rsidR="007B1CE6" w:rsidRPr="00A10065">
        <w:t xml:space="preserve">Table </w:t>
      </w:r>
      <w:r w:rsidR="007B1CE6">
        <w:rPr>
          <w:noProof/>
        </w:rPr>
        <w:t>3</w:t>
      </w:r>
      <w:r w:rsidR="007B1CE6">
        <w:t>.</w:t>
      </w:r>
      <w:r w:rsidR="007B1CE6">
        <w:rPr>
          <w:noProof/>
        </w:rPr>
        <w:t>7</w:t>
      </w:r>
      <w:r>
        <w:fldChar w:fldCharType="end"/>
      </w:r>
      <w:r w:rsidRPr="00A10065">
        <w:t xml:space="preserve">). </w:t>
      </w:r>
      <w:r w:rsidRPr="00643118">
        <w:t>This observation is supported by evidence of “queueing” for public sector employment, including by workers with tertiary education, who already face limited opportunities in Ghana’s small formal sector.</w:t>
      </w:r>
      <w:r w:rsidRPr="00A10065">
        <w:t xml:space="preserve"> There are </w:t>
      </w:r>
      <w:r>
        <w:t xml:space="preserve">also </w:t>
      </w:r>
      <w:r w:rsidRPr="00A10065">
        <w:t>reports that teachers have been willing to work without remuneration for two years or more while their files are being processed and added to the public payroll, underscoring the desirability of public sector employment.</w:t>
      </w:r>
      <w:r>
        <w:rPr>
          <w:rStyle w:val="FootnoteReference"/>
        </w:rPr>
        <w:footnoteReference w:id="85"/>
      </w:r>
      <w:r w:rsidRPr="00A10065">
        <w:t xml:space="preserve"> </w:t>
      </w:r>
    </w:p>
    <w:p w14:paraId="55B862B6" w14:textId="77777777" w:rsidR="00724BAB" w:rsidRPr="00A10065" w:rsidRDefault="00724BAB" w:rsidP="00724BAB">
      <w:pPr>
        <w:pStyle w:val="Caption"/>
        <w:rPr>
          <w:lang w:val="en-US"/>
        </w:rPr>
      </w:pPr>
      <w:bookmarkStart w:id="129" w:name="_Ref471744963"/>
      <w:bookmarkStart w:id="130" w:name="_Toc478837644"/>
      <w:r w:rsidRPr="00A10065">
        <w:rPr>
          <w:lang w:val="en-US"/>
        </w:rPr>
        <w:t xml:space="preserve">Table </w:t>
      </w:r>
      <w:r w:rsidR="00500291">
        <w:rPr>
          <w:lang w:val="en-US"/>
        </w:rPr>
        <w:fldChar w:fldCharType="begin"/>
      </w:r>
      <w:r w:rsidR="00500291">
        <w:rPr>
          <w:lang w:val="en-US"/>
        </w:rPr>
        <w:instrText xml:space="preserve"> STYLEREF 1 \s </w:instrText>
      </w:r>
      <w:r w:rsidR="00500291">
        <w:rPr>
          <w:lang w:val="en-US"/>
        </w:rPr>
        <w:fldChar w:fldCharType="separate"/>
      </w:r>
      <w:r w:rsidR="007B1CE6">
        <w:rPr>
          <w:noProof/>
          <w:lang w:val="en-US"/>
        </w:rPr>
        <w:t>3</w:t>
      </w:r>
      <w:r w:rsidR="00500291">
        <w:rPr>
          <w:lang w:val="en-US"/>
        </w:rPr>
        <w:fldChar w:fldCharType="end"/>
      </w:r>
      <w:r w:rsidR="00500291">
        <w:rPr>
          <w:lang w:val="en-US"/>
        </w:rPr>
        <w:t>.</w:t>
      </w:r>
      <w:r w:rsidR="00500291">
        <w:rPr>
          <w:lang w:val="en-US"/>
        </w:rPr>
        <w:fldChar w:fldCharType="begin"/>
      </w:r>
      <w:r w:rsidR="00500291">
        <w:rPr>
          <w:lang w:val="en-US"/>
        </w:rPr>
        <w:instrText xml:space="preserve"> SEQ Table \* ARABIC \s 1 </w:instrText>
      </w:r>
      <w:r w:rsidR="00500291">
        <w:rPr>
          <w:lang w:val="en-US"/>
        </w:rPr>
        <w:fldChar w:fldCharType="separate"/>
      </w:r>
      <w:r w:rsidR="007B1CE6">
        <w:rPr>
          <w:noProof/>
          <w:lang w:val="en-US"/>
        </w:rPr>
        <w:t>7</w:t>
      </w:r>
      <w:r w:rsidR="00500291">
        <w:rPr>
          <w:lang w:val="en-US"/>
        </w:rPr>
        <w:fldChar w:fldCharType="end"/>
      </w:r>
      <w:bookmarkEnd w:id="129"/>
      <w:r w:rsidRPr="00A10065">
        <w:rPr>
          <w:lang w:val="en-US"/>
        </w:rPr>
        <w:t>: Public and Private Sector Wage Rates in Ghana</w:t>
      </w:r>
      <w:bookmarkEnd w:id="130"/>
    </w:p>
    <w:tbl>
      <w:tblPr>
        <w:tblW w:w="10105" w:type="dxa"/>
        <w:tblLayout w:type="fixed"/>
        <w:tblLook w:val="04A0" w:firstRow="1" w:lastRow="0" w:firstColumn="1" w:lastColumn="0" w:noHBand="0" w:noVBand="1"/>
      </w:tblPr>
      <w:tblGrid>
        <w:gridCol w:w="1350"/>
        <w:gridCol w:w="906"/>
        <w:gridCol w:w="872"/>
        <w:gridCol w:w="838"/>
        <w:gridCol w:w="872"/>
        <w:gridCol w:w="832"/>
        <w:gridCol w:w="990"/>
        <w:gridCol w:w="900"/>
        <w:gridCol w:w="872"/>
        <w:gridCol w:w="789"/>
        <w:gridCol w:w="884"/>
      </w:tblGrid>
      <w:tr w:rsidR="00724BAB" w:rsidRPr="00981E61" w14:paraId="7DFFACB1" w14:textId="77777777" w:rsidTr="00981E61">
        <w:trPr>
          <w:trHeight w:val="707"/>
        </w:trPr>
        <w:tc>
          <w:tcPr>
            <w:tcW w:w="1350" w:type="dxa"/>
            <w:tcBorders>
              <w:top w:val="single" w:sz="4" w:space="0" w:color="auto"/>
              <w:left w:val="nil"/>
              <w:bottom w:val="nil"/>
              <w:right w:val="nil"/>
            </w:tcBorders>
            <w:shd w:val="clear" w:color="auto" w:fill="auto"/>
            <w:noWrap/>
            <w:vAlign w:val="bottom"/>
            <w:hideMark/>
          </w:tcPr>
          <w:p w14:paraId="1DAFD1F0"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 </w:t>
            </w:r>
          </w:p>
        </w:tc>
        <w:tc>
          <w:tcPr>
            <w:tcW w:w="1778" w:type="dxa"/>
            <w:gridSpan w:val="2"/>
            <w:tcBorders>
              <w:top w:val="single" w:sz="4" w:space="0" w:color="auto"/>
              <w:left w:val="nil"/>
              <w:bottom w:val="single" w:sz="4" w:space="0" w:color="auto"/>
              <w:right w:val="nil"/>
            </w:tcBorders>
            <w:shd w:val="clear" w:color="auto" w:fill="auto"/>
            <w:vAlign w:val="center"/>
            <w:hideMark/>
          </w:tcPr>
          <w:p w14:paraId="7D15944A" w14:textId="77777777" w:rsidR="00724BAB" w:rsidRPr="00981E61" w:rsidRDefault="00724BAB" w:rsidP="00E566F7">
            <w:pPr>
              <w:jc w:val="center"/>
              <w:rPr>
                <w:rFonts w:asciiTheme="minorHAnsi" w:eastAsia="Times New Roman" w:hAnsiTheme="minorHAnsi"/>
                <w:sz w:val="20"/>
                <w:szCs w:val="20"/>
              </w:rPr>
            </w:pPr>
            <w:r w:rsidRPr="00981E61">
              <w:rPr>
                <w:rFonts w:asciiTheme="minorHAnsi" w:eastAsia="Times New Roman" w:hAnsiTheme="minorHAnsi"/>
                <w:sz w:val="20"/>
                <w:szCs w:val="20"/>
              </w:rPr>
              <w:t>Average pay per month</w:t>
            </w:r>
          </w:p>
        </w:tc>
        <w:tc>
          <w:tcPr>
            <w:tcW w:w="1710" w:type="dxa"/>
            <w:gridSpan w:val="2"/>
            <w:tcBorders>
              <w:top w:val="single" w:sz="4" w:space="0" w:color="auto"/>
              <w:left w:val="nil"/>
              <w:bottom w:val="single" w:sz="4" w:space="0" w:color="auto"/>
              <w:right w:val="nil"/>
            </w:tcBorders>
            <w:shd w:val="clear" w:color="auto" w:fill="auto"/>
            <w:vAlign w:val="center"/>
            <w:hideMark/>
          </w:tcPr>
          <w:p w14:paraId="3FE6CC40" w14:textId="77777777" w:rsidR="00724BAB" w:rsidRPr="00981E61" w:rsidRDefault="00724BAB" w:rsidP="00E566F7">
            <w:pPr>
              <w:jc w:val="center"/>
              <w:rPr>
                <w:rFonts w:asciiTheme="minorHAnsi" w:eastAsia="Times New Roman" w:hAnsiTheme="minorHAnsi"/>
                <w:sz w:val="20"/>
                <w:szCs w:val="20"/>
              </w:rPr>
            </w:pPr>
            <w:r w:rsidRPr="00981E61">
              <w:rPr>
                <w:rFonts w:asciiTheme="minorHAnsi" w:eastAsia="Times New Roman" w:hAnsiTheme="minorHAnsi"/>
                <w:sz w:val="20"/>
                <w:szCs w:val="20"/>
              </w:rPr>
              <w:t>Median pay per month</w:t>
            </w:r>
          </w:p>
        </w:tc>
        <w:tc>
          <w:tcPr>
            <w:tcW w:w="832" w:type="dxa"/>
            <w:vMerge w:val="restart"/>
            <w:tcBorders>
              <w:top w:val="single" w:sz="4" w:space="0" w:color="auto"/>
              <w:left w:val="nil"/>
              <w:bottom w:val="single" w:sz="4" w:space="0" w:color="000000"/>
              <w:right w:val="nil"/>
            </w:tcBorders>
            <w:shd w:val="clear" w:color="auto" w:fill="auto"/>
            <w:vAlign w:val="center"/>
            <w:hideMark/>
          </w:tcPr>
          <w:p w14:paraId="14368659" w14:textId="77777777" w:rsidR="00981E61" w:rsidRDefault="00724BAB" w:rsidP="00E566F7">
            <w:pPr>
              <w:jc w:val="center"/>
              <w:rPr>
                <w:rFonts w:asciiTheme="minorHAnsi" w:eastAsia="Times New Roman" w:hAnsiTheme="minorHAnsi"/>
                <w:sz w:val="20"/>
                <w:szCs w:val="20"/>
              </w:rPr>
            </w:pPr>
            <w:r w:rsidRPr="00981E61">
              <w:rPr>
                <w:rFonts w:asciiTheme="minorHAnsi" w:eastAsia="Times New Roman" w:hAnsiTheme="minorHAnsi"/>
                <w:sz w:val="20"/>
                <w:szCs w:val="20"/>
              </w:rPr>
              <w:t xml:space="preserve">Ratio </w:t>
            </w:r>
          </w:p>
          <w:p w14:paraId="0ACCC8AC" w14:textId="77777777" w:rsidR="00981E61" w:rsidRDefault="00981E61" w:rsidP="00E566F7">
            <w:pPr>
              <w:jc w:val="center"/>
              <w:rPr>
                <w:rFonts w:asciiTheme="minorHAnsi" w:eastAsia="Times New Roman" w:hAnsiTheme="minorHAnsi"/>
                <w:sz w:val="20"/>
                <w:szCs w:val="20"/>
              </w:rPr>
            </w:pPr>
            <w:r w:rsidRPr="00981E61">
              <w:rPr>
                <w:rFonts w:asciiTheme="minorHAnsi" w:eastAsia="Times New Roman" w:hAnsiTheme="minorHAnsi"/>
                <w:sz w:val="20"/>
                <w:szCs w:val="20"/>
              </w:rPr>
              <w:t>O</w:t>
            </w:r>
            <w:r w:rsidR="00724BAB" w:rsidRPr="00981E61">
              <w:rPr>
                <w:rFonts w:asciiTheme="minorHAnsi" w:eastAsia="Times New Roman" w:hAnsiTheme="minorHAnsi"/>
                <w:sz w:val="20"/>
                <w:szCs w:val="20"/>
              </w:rPr>
              <w:t>f</w:t>
            </w:r>
          </w:p>
          <w:p w14:paraId="6D3B14C5" w14:textId="77777777" w:rsidR="00724BAB" w:rsidRPr="00981E61" w:rsidRDefault="00724BAB" w:rsidP="00E566F7">
            <w:pPr>
              <w:jc w:val="center"/>
              <w:rPr>
                <w:rFonts w:asciiTheme="minorHAnsi" w:eastAsia="Times New Roman" w:hAnsiTheme="minorHAnsi"/>
                <w:sz w:val="20"/>
                <w:szCs w:val="20"/>
              </w:rPr>
            </w:pPr>
            <w:r w:rsidRPr="00981E61">
              <w:rPr>
                <w:rFonts w:asciiTheme="minorHAnsi" w:eastAsia="Times New Roman" w:hAnsiTheme="minorHAnsi"/>
                <w:sz w:val="20"/>
                <w:szCs w:val="20"/>
              </w:rPr>
              <w:t xml:space="preserve"> means</w:t>
            </w:r>
          </w:p>
        </w:tc>
        <w:tc>
          <w:tcPr>
            <w:tcW w:w="990" w:type="dxa"/>
            <w:vMerge w:val="restart"/>
            <w:tcBorders>
              <w:top w:val="single" w:sz="4" w:space="0" w:color="auto"/>
              <w:left w:val="nil"/>
              <w:bottom w:val="single" w:sz="4" w:space="0" w:color="000000"/>
              <w:right w:val="nil"/>
            </w:tcBorders>
            <w:shd w:val="clear" w:color="auto" w:fill="auto"/>
            <w:vAlign w:val="center"/>
            <w:hideMark/>
          </w:tcPr>
          <w:p w14:paraId="0E98C2CE" w14:textId="77777777" w:rsidR="00981E61" w:rsidRDefault="00724BAB" w:rsidP="00E566F7">
            <w:pPr>
              <w:jc w:val="center"/>
              <w:rPr>
                <w:rFonts w:asciiTheme="minorHAnsi" w:eastAsia="Times New Roman" w:hAnsiTheme="minorHAnsi"/>
                <w:sz w:val="20"/>
                <w:szCs w:val="20"/>
              </w:rPr>
            </w:pPr>
            <w:r w:rsidRPr="00981E61">
              <w:rPr>
                <w:rFonts w:asciiTheme="minorHAnsi" w:eastAsia="Times New Roman" w:hAnsiTheme="minorHAnsi"/>
                <w:sz w:val="20"/>
                <w:szCs w:val="20"/>
              </w:rPr>
              <w:t>Ratio</w:t>
            </w:r>
          </w:p>
          <w:p w14:paraId="1576086B" w14:textId="77777777" w:rsidR="00981E61" w:rsidRDefault="00724BAB" w:rsidP="00E566F7">
            <w:pPr>
              <w:jc w:val="center"/>
              <w:rPr>
                <w:rFonts w:asciiTheme="minorHAnsi" w:eastAsia="Times New Roman" w:hAnsiTheme="minorHAnsi"/>
                <w:sz w:val="20"/>
                <w:szCs w:val="20"/>
              </w:rPr>
            </w:pPr>
            <w:r w:rsidRPr="00981E61">
              <w:rPr>
                <w:rFonts w:asciiTheme="minorHAnsi" w:eastAsia="Times New Roman" w:hAnsiTheme="minorHAnsi"/>
                <w:sz w:val="20"/>
                <w:szCs w:val="20"/>
              </w:rPr>
              <w:t xml:space="preserve"> </w:t>
            </w:r>
            <w:r w:rsidR="00981E61" w:rsidRPr="00981E61">
              <w:rPr>
                <w:rFonts w:asciiTheme="minorHAnsi" w:eastAsia="Times New Roman" w:hAnsiTheme="minorHAnsi"/>
                <w:sz w:val="20"/>
                <w:szCs w:val="20"/>
              </w:rPr>
              <w:t>O</w:t>
            </w:r>
            <w:r w:rsidRPr="00981E61">
              <w:rPr>
                <w:rFonts w:asciiTheme="minorHAnsi" w:eastAsia="Times New Roman" w:hAnsiTheme="minorHAnsi"/>
                <w:sz w:val="20"/>
                <w:szCs w:val="20"/>
              </w:rPr>
              <w:t>f</w:t>
            </w:r>
          </w:p>
          <w:p w14:paraId="6C2DB175" w14:textId="77777777" w:rsidR="00724BAB" w:rsidRPr="00981E61" w:rsidRDefault="00724BAB" w:rsidP="00E566F7">
            <w:pPr>
              <w:jc w:val="center"/>
              <w:rPr>
                <w:rFonts w:asciiTheme="minorHAnsi" w:eastAsia="Times New Roman" w:hAnsiTheme="minorHAnsi"/>
                <w:sz w:val="20"/>
                <w:szCs w:val="20"/>
              </w:rPr>
            </w:pPr>
            <w:r w:rsidRPr="00981E61">
              <w:rPr>
                <w:rFonts w:asciiTheme="minorHAnsi" w:eastAsia="Times New Roman" w:hAnsiTheme="minorHAnsi"/>
                <w:sz w:val="20"/>
                <w:szCs w:val="20"/>
              </w:rPr>
              <w:t xml:space="preserve"> medians</w:t>
            </w:r>
          </w:p>
        </w:tc>
        <w:tc>
          <w:tcPr>
            <w:tcW w:w="1772" w:type="dxa"/>
            <w:gridSpan w:val="2"/>
            <w:tcBorders>
              <w:top w:val="single" w:sz="4" w:space="0" w:color="auto"/>
              <w:left w:val="nil"/>
              <w:bottom w:val="single" w:sz="4" w:space="0" w:color="auto"/>
              <w:right w:val="nil"/>
            </w:tcBorders>
            <w:shd w:val="clear" w:color="auto" w:fill="auto"/>
            <w:vAlign w:val="center"/>
            <w:hideMark/>
          </w:tcPr>
          <w:p w14:paraId="2FFDC560" w14:textId="77777777" w:rsidR="00724BAB" w:rsidRPr="00981E61" w:rsidRDefault="00724BAB" w:rsidP="00E566F7">
            <w:pPr>
              <w:jc w:val="center"/>
              <w:rPr>
                <w:rFonts w:asciiTheme="minorHAnsi" w:eastAsia="Times New Roman" w:hAnsiTheme="minorHAnsi"/>
                <w:sz w:val="20"/>
                <w:szCs w:val="20"/>
              </w:rPr>
            </w:pPr>
            <w:r w:rsidRPr="00981E61">
              <w:rPr>
                <w:rFonts w:asciiTheme="minorHAnsi" w:eastAsia="Times New Roman" w:hAnsiTheme="minorHAnsi"/>
                <w:sz w:val="20"/>
                <w:szCs w:val="20"/>
              </w:rPr>
              <w:t>Number of workers (thousands)</w:t>
            </w:r>
          </w:p>
        </w:tc>
        <w:tc>
          <w:tcPr>
            <w:tcW w:w="1673" w:type="dxa"/>
            <w:gridSpan w:val="2"/>
            <w:tcBorders>
              <w:top w:val="single" w:sz="4" w:space="0" w:color="auto"/>
              <w:left w:val="nil"/>
              <w:bottom w:val="single" w:sz="4" w:space="0" w:color="auto"/>
              <w:right w:val="nil"/>
            </w:tcBorders>
            <w:shd w:val="clear" w:color="auto" w:fill="auto"/>
            <w:vAlign w:val="center"/>
            <w:hideMark/>
          </w:tcPr>
          <w:p w14:paraId="3589AEB2" w14:textId="77777777" w:rsidR="00724BAB" w:rsidRPr="00981E61" w:rsidRDefault="00724BAB" w:rsidP="00E566F7">
            <w:pPr>
              <w:jc w:val="center"/>
              <w:rPr>
                <w:rFonts w:asciiTheme="minorHAnsi" w:eastAsia="Times New Roman" w:hAnsiTheme="minorHAnsi"/>
                <w:sz w:val="20"/>
                <w:szCs w:val="20"/>
              </w:rPr>
            </w:pPr>
            <w:r w:rsidRPr="00981E61">
              <w:rPr>
                <w:rFonts w:asciiTheme="minorHAnsi" w:eastAsia="Times New Roman" w:hAnsiTheme="minorHAnsi"/>
                <w:sz w:val="20"/>
                <w:szCs w:val="20"/>
              </w:rPr>
              <w:t xml:space="preserve">Wage bill </w:t>
            </w:r>
            <w:r w:rsidRPr="00981E61">
              <w:rPr>
                <w:rFonts w:asciiTheme="minorHAnsi" w:eastAsia="Times New Roman" w:hAnsiTheme="minorHAnsi"/>
                <w:sz w:val="20"/>
                <w:szCs w:val="20"/>
              </w:rPr>
              <w:br/>
              <w:t>(GH¢ billions)</w:t>
            </w:r>
          </w:p>
        </w:tc>
      </w:tr>
      <w:tr w:rsidR="00724BAB" w:rsidRPr="00981E61" w14:paraId="1C835CB9" w14:textId="77777777" w:rsidTr="00981E61">
        <w:trPr>
          <w:trHeight w:val="452"/>
        </w:trPr>
        <w:tc>
          <w:tcPr>
            <w:tcW w:w="1350" w:type="dxa"/>
            <w:tcBorders>
              <w:top w:val="nil"/>
              <w:left w:val="nil"/>
              <w:bottom w:val="single" w:sz="4" w:space="0" w:color="auto"/>
              <w:right w:val="nil"/>
            </w:tcBorders>
            <w:shd w:val="clear" w:color="auto" w:fill="auto"/>
            <w:noWrap/>
            <w:vAlign w:val="bottom"/>
            <w:hideMark/>
          </w:tcPr>
          <w:p w14:paraId="5490EDD2"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 </w:t>
            </w:r>
          </w:p>
        </w:tc>
        <w:tc>
          <w:tcPr>
            <w:tcW w:w="906" w:type="dxa"/>
            <w:tcBorders>
              <w:top w:val="nil"/>
              <w:left w:val="nil"/>
              <w:bottom w:val="single" w:sz="4" w:space="0" w:color="auto"/>
              <w:right w:val="nil"/>
            </w:tcBorders>
            <w:shd w:val="clear" w:color="auto" w:fill="auto"/>
            <w:noWrap/>
            <w:vAlign w:val="center"/>
            <w:hideMark/>
          </w:tcPr>
          <w:p w14:paraId="5700844E"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Public sector</w:t>
            </w:r>
          </w:p>
        </w:tc>
        <w:tc>
          <w:tcPr>
            <w:tcW w:w="872" w:type="dxa"/>
            <w:tcBorders>
              <w:top w:val="nil"/>
              <w:left w:val="nil"/>
              <w:bottom w:val="single" w:sz="4" w:space="0" w:color="auto"/>
              <w:right w:val="nil"/>
            </w:tcBorders>
            <w:shd w:val="clear" w:color="auto" w:fill="auto"/>
            <w:vAlign w:val="center"/>
            <w:hideMark/>
          </w:tcPr>
          <w:p w14:paraId="49E07735"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Formal private sector</w:t>
            </w:r>
          </w:p>
        </w:tc>
        <w:tc>
          <w:tcPr>
            <w:tcW w:w="838" w:type="dxa"/>
            <w:tcBorders>
              <w:top w:val="nil"/>
              <w:left w:val="nil"/>
              <w:bottom w:val="single" w:sz="4" w:space="0" w:color="auto"/>
              <w:right w:val="nil"/>
            </w:tcBorders>
            <w:shd w:val="clear" w:color="auto" w:fill="auto"/>
            <w:noWrap/>
            <w:vAlign w:val="center"/>
            <w:hideMark/>
          </w:tcPr>
          <w:p w14:paraId="434A020C"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Public sector</w:t>
            </w:r>
          </w:p>
        </w:tc>
        <w:tc>
          <w:tcPr>
            <w:tcW w:w="872" w:type="dxa"/>
            <w:tcBorders>
              <w:top w:val="nil"/>
              <w:left w:val="nil"/>
              <w:bottom w:val="single" w:sz="4" w:space="0" w:color="auto"/>
              <w:right w:val="nil"/>
            </w:tcBorders>
            <w:shd w:val="clear" w:color="auto" w:fill="auto"/>
            <w:vAlign w:val="center"/>
            <w:hideMark/>
          </w:tcPr>
          <w:p w14:paraId="093D5F61"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 xml:space="preserve">Formal private sector </w:t>
            </w:r>
          </w:p>
        </w:tc>
        <w:tc>
          <w:tcPr>
            <w:tcW w:w="832" w:type="dxa"/>
            <w:vMerge/>
            <w:tcBorders>
              <w:top w:val="single" w:sz="4" w:space="0" w:color="auto"/>
              <w:left w:val="nil"/>
              <w:bottom w:val="single" w:sz="4" w:space="0" w:color="000000"/>
              <w:right w:val="nil"/>
            </w:tcBorders>
            <w:vAlign w:val="center"/>
            <w:hideMark/>
          </w:tcPr>
          <w:p w14:paraId="1280B7A0" w14:textId="77777777" w:rsidR="00724BAB" w:rsidRPr="00981E61" w:rsidRDefault="00724BAB" w:rsidP="00E566F7">
            <w:pPr>
              <w:rPr>
                <w:rFonts w:asciiTheme="minorHAnsi" w:eastAsia="Times New Roman" w:hAnsiTheme="minorHAnsi"/>
                <w:sz w:val="20"/>
                <w:szCs w:val="20"/>
              </w:rPr>
            </w:pPr>
          </w:p>
        </w:tc>
        <w:tc>
          <w:tcPr>
            <w:tcW w:w="990" w:type="dxa"/>
            <w:vMerge/>
            <w:tcBorders>
              <w:top w:val="single" w:sz="4" w:space="0" w:color="auto"/>
              <w:left w:val="nil"/>
              <w:bottom w:val="single" w:sz="4" w:space="0" w:color="000000"/>
              <w:right w:val="nil"/>
            </w:tcBorders>
            <w:vAlign w:val="center"/>
            <w:hideMark/>
          </w:tcPr>
          <w:p w14:paraId="6F112F1E" w14:textId="77777777" w:rsidR="00724BAB" w:rsidRPr="00981E61" w:rsidRDefault="00724BAB" w:rsidP="00E566F7">
            <w:pPr>
              <w:rPr>
                <w:rFonts w:asciiTheme="minorHAnsi" w:eastAsia="Times New Roman" w:hAnsiTheme="minorHAnsi"/>
                <w:sz w:val="20"/>
                <w:szCs w:val="20"/>
              </w:rPr>
            </w:pPr>
          </w:p>
        </w:tc>
        <w:tc>
          <w:tcPr>
            <w:tcW w:w="900" w:type="dxa"/>
            <w:tcBorders>
              <w:top w:val="nil"/>
              <w:left w:val="nil"/>
              <w:bottom w:val="single" w:sz="4" w:space="0" w:color="auto"/>
              <w:right w:val="nil"/>
            </w:tcBorders>
            <w:shd w:val="clear" w:color="auto" w:fill="auto"/>
            <w:noWrap/>
            <w:vAlign w:val="center"/>
            <w:hideMark/>
          </w:tcPr>
          <w:p w14:paraId="0149825F"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Public sector</w:t>
            </w:r>
          </w:p>
        </w:tc>
        <w:tc>
          <w:tcPr>
            <w:tcW w:w="872" w:type="dxa"/>
            <w:tcBorders>
              <w:top w:val="nil"/>
              <w:left w:val="nil"/>
              <w:bottom w:val="single" w:sz="4" w:space="0" w:color="auto"/>
              <w:right w:val="nil"/>
            </w:tcBorders>
            <w:shd w:val="clear" w:color="auto" w:fill="auto"/>
            <w:vAlign w:val="center"/>
            <w:hideMark/>
          </w:tcPr>
          <w:p w14:paraId="7C1B1C59"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Formal private sector</w:t>
            </w:r>
          </w:p>
        </w:tc>
        <w:tc>
          <w:tcPr>
            <w:tcW w:w="789" w:type="dxa"/>
            <w:tcBorders>
              <w:top w:val="nil"/>
              <w:left w:val="nil"/>
              <w:bottom w:val="single" w:sz="4" w:space="0" w:color="auto"/>
              <w:right w:val="nil"/>
            </w:tcBorders>
            <w:shd w:val="clear" w:color="auto" w:fill="auto"/>
            <w:noWrap/>
            <w:vAlign w:val="center"/>
            <w:hideMark/>
          </w:tcPr>
          <w:p w14:paraId="371B781F"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Public sector</w:t>
            </w:r>
          </w:p>
        </w:tc>
        <w:tc>
          <w:tcPr>
            <w:tcW w:w="884" w:type="dxa"/>
            <w:tcBorders>
              <w:top w:val="nil"/>
              <w:left w:val="nil"/>
              <w:bottom w:val="single" w:sz="4" w:space="0" w:color="auto"/>
              <w:right w:val="nil"/>
            </w:tcBorders>
            <w:shd w:val="clear" w:color="auto" w:fill="auto"/>
            <w:vAlign w:val="center"/>
            <w:hideMark/>
          </w:tcPr>
          <w:p w14:paraId="33DC10F5"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Formal private sector</w:t>
            </w:r>
          </w:p>
        </w:tc>
      </w:tr>
      <w:tr w:rsidR="00724BAB" w:rsidRPr="00981E61" w14:paraId="00AE49D8" w14:textId="77777777" w:rsidTr="00981E61">
        <w:trPr>
          <w:trHeight w:val="226"/>
        </w:trPr>
        <w:tc>
          <w:tcPr>
            <w:tcW w:w="1350" w:type="dxa"/>
            <w:tcBorders>
              <w:top w:val="nil"/>
              <w:left w:val="nil"/>
              <w:bottom w:val="nil"/>
              <w:right w:val="nil"/>
            </w:tcBorders>
            <w:shd w:val="clear" w:color="auto" w:fill="auto"/>
            <w:noWrap/>
            <w:vAlign w:val="bottom"/>
            <w:hideMark/>
          </w:tcPr>
          <w:p w14:paraId="7688F740"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Managers</w:t>
            </w:r>
          </w:p>
        </w:tc>
        <w:tc>
          <w:tcPr>
            <w:tcW w:w="906" w:type="dxa"/>
            <w:tcBorders>
              <w:top w:val="nil"/>
              <w:left w:val="nil"/>
              <w:bottom w:val="nil"/>
              <w:right w:val="nil"/>
            </w:tcBorders>
            <w:shd w:val="clear" w:color="auto" w:fill="auto"/>
            <w:noWrap/>
            <w:vAlign w:val="center"/>
            <w:hideMark/>
          </w:tcPr>
          <w:p w14:paraId="7F824E7A"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1258</w:t>
            </w:r>
          </w:p>
        </w:tc>
        <w:tc>
          <w:tcPr>
            <w:tcW w:w="872" w:type="dxa"/>
            <w:tcBorders>
              <w:top w:val="nil"/>
              <w:left w:val="nil"/>
              <w:bottom w:val="nil"/>
              <w:right w:val="nil"/>
            </w:tcBorders>
            <w:shd w:val="clear" w:color="auto" w:fill="auto"/>
            <w:noWrap/>
            <w:vAlign w:val="center"/>
            <w:hideMark/>
          </w:tcPr>
          <w:p w14:paraId="4509A4D1"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1117</w:t>
            </w:r>
          </w:p>
        </w:tc>
        <w:tc>
          <w:tcPr>
            <w:tcW w:w="838" w:type="dxa"/>
            <w:tcBorders>
              <w:top w:val="nil"/>
              <w:left w:val="nil"/>
              <w:bottom w:val="nil"/>
              <w:right w:val="nil"/>
            </w:tcBorders>
            <w:shd w:val="clear" w:color="auto" w:fill="auto"/>
            <w:noWrap/>
            <w:vAlign w:val="center"/>
            <w:hideMark/>
          </w:tcPr>
          <w:p w14:paraId="1E04C191"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900</w:t>
            </w:r>
          </w:p>
        </w:tc>
        <w:tc>
          <w:tcPr>
            <w:tcW w:w="872" w:type="dxa"/>
            <w:tcBorders>
              <w:top w:val="nil"/>
              <w:left w:val="nil"/>
              <w:bottom w:val="nil"/>
              <w:right w:val="nil"/>
            </w:tcBorders>
            <w:shd w:val="clear" w:color="auto" w:fill="auto"/>
            <w:noWrap/>
            <w:vAlign w:val="center"/>
            <w:hideMark/>
          </w:tcPr>
          <w:p w14:paraId="378290C6"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900</w:t>
            </w:r>
          </w:p>
        </w:tc>
        <w:tc>
          <w:tcPr>
            <w:tcW w:w="832" w:type="dxa"/>
            <w:tcBorders>
              <w:top w:val="nil"/>
              <w:left w:val="nil"/>
              <w:bottom w:val="nil"/>
              <w:right w:val="nil"/>
            </w:tcBorders>
            <w:shd w:val="clear" w:color="auto" w:fill="auto"/>
            <w:noWrap/>
            <w:vAlign w:val="center"/>
            <w:hideMark/>
          </w:tcPr>
          <w:p w14:paraId="26F8BF24" w14:textId="77777777" w:rsidR="00724BAB" w:rsidRPr="00981E61" w:rsidRDefault="00724BAB" w:rsidP="00772DB1">
            <w:pPr>
              <w:jc w:val="center"/>
              <w:rPr>
                <w:rFonts w:asciiTheme="minorHAnsi" w:eastAsia="Times New Roman" w:hAnsiTheme="minorHAnsi"/>
                <w:sz w:val="20"/>
                <w:szCs w:val="20"/>
              </w:rPr>
            </w:pPr>
            <w:r w:rsidRPr="00981E61">
              <w:rPr>
                <w:rFonts w:asciiTheme="minorHAnsi" w:eastAsia="Times New Roman" w:hAnsiTheme="minorHAnsi"/>
                <w:sz w:val="20"/>
                <w:szCs w:val="20"/>
              </w:rPr>
              <w:t>1.1</w:t>
            </w:r>
          </w:p>
        </w:tc>
        <w:tc>
          <w:tcPr>
            <w:tcW w:w="990" w:type="dxa"/>
            <w:tcBorders>
              <w:top w:val="nil"/>
              <w:left w:val="nil"/>
              <w:bottom w:val="nil"/>
              <w:right w:val="nil"/>
            </w:tcBorders>
            <w:shd w:val="clear" w:color="auto" w:fill="auto"/>
            <w:noWrap/>
            <w:vAlign w:val="center"/>
            <w:hideMark/>
          </w:tcPr>
          <w:p w14:paraId="2FC99F4C" w14:textId="77777777" w:rsidR="00724BAB" w:rsidRPr="00981E61" w:rsidRDefault="00724BAB" w:rsidP="00772DB1">
            <w:pPr>
              <w:jc w:val="center"/>
              <w:rPr>
                <w:rFonts w:asciiTheme="minorHAnsi" w:eastAsia="Times New Roman" w:hAnsiTheme="minorHAnsi"/>
                <w:sz w:val="20"/>
                <w:szCs w:val="20"/>
              </w:rPr>
            </w:pPr>
            <w:r w:rsidRPr="00981E61">
              <w:rPr>
                <w:rFonts w:asciiTheme="minorHAnsi" w:eastAsia="Times New Roman" w:hAnsiTheme="minorHAnsi"/>
                <w:sz w:val="20"/>
                <w:szCs w:val="20"/>
              </w:rPr>
              <w:t>1</w:t>
            </w:r>
          </w:p>
        </w:tc>
        <w:tc>
          <w:tcPr>
            <w:tcW w:w="900" w:type="dxa"/>
            <w:tcBorders>
              <w:top w:val="nil"/>
              <w:left w:val="nil"/>
              <w:bottom w:val="nil"/>
              <w:right w:val="nil"/>
            </w:tcBorders>
            <w:shd w:val="clear" w:color="auto" w:fill="auto"/>
            <w:noWrap/>
            <w:vAlign w:val="center"/>
            <w:hideMark/>
          </w:tcPr>
          <w:p w14:paraId="64F0EA91"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32</w:t>
            </w:r>
          </w:p>
        </w:tc>
        <w:tc>
          <w:tcPr>
            <w:tcW w:w="872" w:type="dxa"/>
            <w:tcBorders>
              <w:top w:val="nil"/>
              <w:left w:val="nil"/>
              <w:bottom w:val="nil"/>
              <w:right w:val="nil"/>
            </w:tcBorders>
            <w:shd w:val="clear" w:color="auto" w:fill="auto"/>
            <w:noWrap/>
            <w:vAlign w:val="center"/>
            <w:hideMark/>
          </w:tcPr>
          <w:p w14:paraId="0963B337"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25</w:t>
            </w:r>
          </w:p>
        </w:tc>
        <w:tc>
          <w:tcPr>
            <w:tcW w:w="789" w:type="dxa"/>
            <w:tcBorders>
              <w:top w:val="nil"/>
              <w:left w:val="nil"/>
              <w:bottom w:val="nil"/>
              <w:right w:val="nil"/>
            </w:tcBorders>
            <w:shd w:val="clear" w:color="auto" w:fill="auto"/>
            <w:noWrap/>
            <w:vAlign w:val="center"/>
            <w:hideMark/>
          </w:tcPr>
          <w:p w14:paraId="50DF0618"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0.5</w:t>
            </w:r>
          </w:p>
        </w:tc>
        <w:tc>
          <w:tcPr>
            <w:tcW w:w="884" w:type="dxa"/>
            <w:tcBorders>
              <w:top w:val="nil"/>
              <w:left w:val="nil"/>
              <w:bottom w:val="nil"/>
              <w:right w:val="nil"/>
            </w:tcBorders>
            <w:shd w:val="clear" w:color="auto" w:fill="auto"/>
            <w:noWrap/>
            <w:vAlign w:val="center"/>
            <w:hideMark/>
          </w:tcPr>
          <w:p w14:paraId="16F99AA4"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0.3</w:t>
            </w:r>
          </w:p>
        </w:tc>
      </w:tr>
      <w:tr w:rsidR="00724BAB" w:rsidRPr="00981E61" w14:paraId="6B6A669C" w14:textId="77777777" w:rsidTr="00981E61">
        <w:trPr>
          <w:trHeight w:val="226"/>
        </w:trPr>
        <w:tc>
          <w:tcPr>
            <w:tcW w:w="1350" w:type="dxa"/>
            <w:tcBorders>
              <w:top w:val="nil"/>
              <w:left w:val="nil"/>
              <w:bottom w:val="nil"/>
              <w:right w:val="nil"/>
            </w:tcBorders>
            <w:shd w:val="clear" w:color="auto" w:fill="auto"/>
            <w:noWrap/>
            <w:vAlign w:val="bottom"/>
            <w:hideMark/>
          </w:tcPr>
          <w:p w14:paraId="395382CA"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 xml:space="preserve">Professionals </w:t>
            </w:r>
          </w:p>
        </w:tc>
        <w:tc>
          <w:tcPr>
            <w:tcW w:w="906" w:type="dxa"/>
            <w:tcBorders>
              <w:top w:val="nil"/>
              <w:left w:val="nil"/>
              <w:bottom w:val="nil"/>
              <w:right w:val="nil"/>
            </w:tcBorders>
            <w:shd w:val="clear" w:color="auto" w:fill="auto"/>
            <w:noWrap/>
            <w:vAlign w:val="center"/>
            <w:hideMark/>
          </w:tcPr>
          <w:p w14:paraId="53CD5660"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879</w:t>
            </w:r>
          </w:p>
        </w:tc>
        <w:tc>
          <w:tcPr>
            <w:tcW w:w="872" w:type="dxa"/>
            <w:tcBorders>
              <w:top w:val="nil"/>
              <w:left w:val="nil"/>
              <w:bottom w:val="nil"/>
              <w:right w:val="nil"/>
            </w:tcBorders>
            <w:shd w:val="clear" w:color="auto" w:fill="auto"/>
            <w:noWrap/>
            <w:vAlign w:val="center"/>
            <w:hideMark/>
          </w:tcPr>
          <w:p w14:paraId="077781C3"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1068</w:t>
            </w:r>
          </w:p>
        </w:tc>
        <w:tc>
          <w:tcPr>
            <w:tcW w:w="838" w:type="dxa"/>
            <w:tcBorders>
              <w:top w:val="nil"/>
              <w:left w:val="nil"/>
              <w:bottom w:val="nil"/>
              <w:right w:val="nil"/>
            </w:tcBorders>
            <w:shd w:val="clear" w:color="auto" w:fill="auto"/>
            <w:noWrap/>
            <w:vAlign w:val="center"/>
            <w:hideMark/>
          </w:tcPr>
          <w:p w14:paraId="0EB9C400"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700</w:t>
            </w:r>
          </w:p>
        </w:tc>
        <w:tc>
          <w:tcPr>
            <w:tcW w:w="872" w:type="dxa"/>
            <w:tcBorders>
              <w:top w:val="nil"/>
              <w:left w:val="nil"/>
              <w:bottom w:val="nil"/>
              <w:right w:val="nil"/>
            </w:tcBorders>
            <w:shd w:val="clear" w:color="auto" w:fill="auto"/>
            <w:noWrap/>
            <w:vAlign w:val="center"/>
            <w:hideMark/>
          </w:tcPr>
          <w:p w14:paraId="07A0E349"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750</w:t>
            </w:r>
          </w:p>
        </w:tc>
        <w:tc>
          <w:tcPr>
            <w:tcW w:w="832" w:type="dxa"/>
            <w:tcBorders>
              <w:top w:val="nil"/>
              <w:left w:val="nil"/>
              <w:bottom w:val="nil"/>
              <w:right w:val="nil"/>
            </w:tcBorders>
            <w:shd w:val="clear" w:color="auto" w:fill="auto"/>
            <w:noWrap/>
            <w:vAlign w:val="center"/>
            <w:hideMark/>
          </w:tcPr>
          <w:p w14:paraId="423C0C3C" w14:textId="77777777" w:rsidR="00724BAB" w:rsidRPr="00981E61" w:rsidRDefault="00724BAB" w:rsidP="00772DB1">
            <w:pPr>
              <w:jc w:val="center"/>
              <w:rPr>
                <w:rFonts w:asciiTheme="minorHAnsi" w:eastAsia="Times New Roman" w:hAnsiTheme="minorHAnsi"/>
                <w:sz w:val="20"/>
                <w:szCs w:val="20"/>
              </w:rPr>
            </w:pPr>
            <w:r w:rsidRPr="00981E61">
              <w:rPr>
                <w:rFonts w:asciiTheme="minorHAnsi" w:eastAsia="Times New Roman" w:hAnsiTheme="minorHAnsi"/>
                <w:sz w:val="20"/>
                <w:szCs w:val="20"/>
              </w:rPr>
              <w:t>0.8</w:t>
            </w:r>
          </w:p>
        </w:tc>
        <w:tc>
          <w:tcPr>
            <w:tcW w:w="990" w:type="dxa"/>
            <w:tcBorders>
              <w:top w:val="nil"/>
              <w:left w:val="nil"/>
              <w:bottom w:val="nil"/>
              <w:right w:val="nil"/>
            </w:tcBorders>
            <w:shd w:val="clear" w:color="auto" w:fill="auto"/>
            <w:noWrap/>
            <w:vAlign w:val="center"/>
            <w:hideMark/>
          </w:tcPr>
          <w:p w14:paraId="14AE33CA" w14:textId="77777777" w:rsidR="00724BAB" w:rsidRPr="00981E61" w:rsidRDefault="00724BAB" w:rsidP="00772DB1">
            <w:pPr>
              <w:jc w:val="center"/>
              <w:rPr>
                <w:rFonts w:asciiTheme="minorHAnsi" w:eastAsia="Times New Roman" w:hAnsiTheme="minorHAnsi"/>
                <w:sz w:val="20"/>
                <w:szCs w:val="20"/>
              </w:rPr>
            </w:pPr>
            <w:r w:rsidRPr="00981E61">
              <w:rPr>
                <w:rFonts w:asciiTheme="minorHAnsi" w:eastAsia="Times New Roman" w:hAnsiTheme="minorHAnsi"/>
                <w:sz w:val="20"/>
                <w:szCs w:val="20"/>
              </w:rPr>
              <w:t>0.9</w:t>
            </w:r>
          </w:p>
        </w:tc>
        <w:tc>
          <w:tcPr>
            <w:tcW w:w="900" w:type="dxa"/>
            <w:tcBorders>
              <w:top w:val="nil"/>
              <w:left w:val="nil"/>
              <w:bottom w:val="nil"/>
              <w:right w:val="nil"/>
            </w:tcBorders>
            <w:shd w:val="clear" w:color="auto" w:fill="auto"/>
            <w:noWrap/>
            <w:vAlign w:val="center"/>
            <w:hideMark/>
          </w:tcPr>
          <w:p w14:paraId="7A0585A0"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34</w:t>
            </w:r>
          </w:p>
        </w:tc>
        <w:tc>
          <w:tcPr>
            <w:tcW w:w="872" w:type="dxa"/>
            <w:tcBorders>
              <w:top w:val="nil"/>
              <w:left w:val="nil"/>
              <w:bottom w:val="nil"/>
              <w:right w:val="nil"/>
            </w:tcBorders>
            <w:shd w:val="clear" w:color="auto" w:fill="auto"/>
            <w:noWrap/>
            <w:vAlign w:val="center"/>
            <w:hideMark/>
          </w:tcPr>
          <w:p w14:paraId="40E442A3"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55</w:t>
            </w:r>
          </w:p>
        </w:tc>
        <w:tc>
          <w:tcPr>
            <w:tcW w:w="789" w:type="dxa"/>
            <w:tcBorders>
              <w:top w:val="nil"/>
              <w:left w:val="nil"/>
              <w:bottom w:val="nil"/>
              <w:right w:val="nil"/>
            </w:tcBorders>
            <w:shd w:val="clear" w:color="auto" w:fill="auto"/>
            <w:noWrap/>
            <w:vAlign w:val="center"/>
            <w:hideMark/>
          </w:tcPr>
          <w:p w14:paraId="0FDD3644"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0.4</w:t>
            </w:r>
          </w:p>
        </w:tc>
        <w:tc>
          <w:tcPr>
            <w:tcW w:w="884" w:type="dxa"/>
            <w:tcBorders>
              <w:top w:val="nil"/>
              <w:left w:val="nil"/>
              <w:bottom w:val="nil"/>
              <w:right w:val="nil"/>
            </w:tcBorders>
            <w:shd w:val="clear" w:color="auto" w:fill="auto"/>
            <w:noWrap/>
            <w:vAlign w:val="center"/>
            <w:hideMark/>
          </w:tcPr>
          <w:p w14:paraId="34779A62"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0.7</w:t>
            </w:r>
          </w:p>
        </w:tc>
      </w:tr>
      <w:tr w:rsidR="00724BAB" w:rsidRPr="00981E61" w14:paraId="34D13809" w14:textId="77777777" w:rsidTr="00981E61">
        <w:trPr>
          <w:trHeight w:val="226"/>
        </w:trPr>
        <w:tc>
          <w:tcPr>
            <w:tcW w:w="1350" w:type="dxa"/>
            <w:tcBorders>
              <w:top w:val="nil"/>
              <w:left w:val="nil"/>
              <w:bottom w:val="nil"/>
              <w:right w:val="nil"/>
            </w:tcBorders>
            <w:shd w:val="clear" w:color="auto" w:fill="auto"/>
            <w:noWrap/>
            <w:vAlign w:val="bottom"/>
            <w:hideMark/>
          </w:tcPr>
          <w:p w14:paraId="6BEF53AC"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Health</w:t>
            </w:r>
          </w:p>
        </w:tc>
        <w:tc>
          <w:tcPr>
            <w:tcW w:w="906" w:type="dxa"/>
            <w:tcBorders>
              <w:top w:val="nil"/>
              <w:left w:val="nil"/>
              <w:bottom w:val="nil"/>
              <w:right w:val="nil"/>
            </w:tcBorders>
            <w:shd w:val="clear" w:color="auto" w:fill="auto"/>
            <w:noWrap/>
            <w:vAlign w:val="center"/>
            <w:hideMark/>
          </w:tcPr>
          <w:p w14:paraId="5769E7FE"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939</w:t>
            </w:r>
          </w:p>
        </w:tc>
        <w:tc>
          <w:tcPr>
            <w:tcW w:w="872" w:type="dxa"/>
            <w:tcBorders>
              <w:top w:val="nil"/>
              <w:left w:val="nil"/>
              <w:bottom w:val="nil"/>
              <w:right w:val="nil"/>
            </w:tcBorders>
            <w:shd w:val="clear" w:color="auto" w:fill="auto"/>
            <w:noWrap/>
            <w:vAlign w:val="center"/>
            <w:hideMark/>
          </w:tcPr>
          <w:p w14:paraId="14F5D484"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769</w:t>
            </w:r>
          </w:p>
        </w:tc>
        <w:tc>
          <w:tcPr>
            <w:tcW w:w="838" w:type="dxa"/>
            <w:tcBorders>
              <w:top w:val="nil"/>
              <w:left w:val="nil"/>
              <w:bottom w:val="nil"/>
              <w:right w:val="nil"/>
            </w:tcBorders>
            <w:shd w:val="clear" w:color="auto" w:fill="auto"/>
            <w:noWrap/>
            <w:vAlign w:val="center"/>
            <w:hideMark/>
          </w:tcPr>
          <w:p w14:paraId="35E68C3E"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800</w:t>
            </w:r>
          </w:p>
        </w:tc>
        <w:tc>
          <w:tcPr>
            <w:tcW w:w="872" w:type="dxa"/>
            <w:tcBorders>
              <w:top w:val="nil"/>
              <w:left w:val="nil"/>
              <w:bottom w:val="nil"/>
              <w:right w:val="nil"/>
            </w:tcBorders>
            <w:shd w:val="clear" w:color="auto" w:fill="auto"/>
            <w:noWrap/>
            <w:vAlign w:val="center"/>
            <w:hideMark/>
          </w:tcPr>
          <w:p w14:paraId="689EFA84"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900</w:t>
            </w:r>
          </w:p>
        </w:tc>
        <w:tc>
          <w:tcPr>
            <w:tcW w:w="832" w:type="dxa"/>
            <w:tcBorders>
              <w:top w:val="nil"/>
              <w:left w:val="nil"/>
              <w:bottom w:val="nil"/>
              <w:right w:val="nil"/>
            </w:tcBorders>
            <w:shd w:val="clear" w:color="auto" w:fill="auto"/>
            <w:noWrap/>
            <w:vAlign w:val="center"/>
            <w:hideMark/>
          </w:tcPr>
          <w:p w14:paraId="35FD8B8C" w14:textId="77777777" w:rsidR="00724BAB" w:rsidRPr="00981E61" w:rsidRDefault="00724BAB" w:rsidP="00772DB1">
            <w:pPr>
              <w:jc w:val="center"/>
              <w:rPr>
                <w:rFonts w:asciiTheme="minorHAnsi" w:eastAsia="Times New Roman" w:hAnsiTheme="minorHAnsi"/>
                <w:sz w:val="20"/>
                <w:szCs w:val="20"/>
              </w:rPr>
            </w:pPr>
            <w:r w:rsidRPr="00981E61">
              <w:rPr>
                <w:rFonts w:asciiTheme="minorHAnsi" w:eastAsia="Times New Roman" w:hAnsiTheme="minorHAnsi"/>
                <w:sz w:val="20"/>
                <w:szCs w:val="20"/>
              </w:rPr>
              <w:t>1.2</w:t>
            </w:r>
          </w:p>
        </w:tc>
        <w:tc>
          <w:tcPr>
            <w:tcW w:w="990" w:type="dxa"/>
            <w:tcBorders>
              <w:top w:val="nil"/>
              <w:left w:val="nil"/>
              <w:bottom w:val="nil"/>
              <w:right w:val="nil"/>
            </w:tcBorders>
            <w:shd w:val="clear" w:color="auto" w:fill="auto"/>
            <w:noWrap/>
            <w:vAlign w:val="center"/>
            <w:hideMark/>
          </w:tcPr>
          <w:p w14:paraId="5ADF3B6C" w14:textId="77777777" w:rsidR="00724BAB" w:rsidRPr="00981E61" w:rsidRDefault="00724BAB" w:rsidP="00772DB1">
            <w:pPr>
              <w:jc w:val="center"/>
              <w:rPr>
                <w:rFonts w:asciiTheme="minorHAnsi" w:eastAsia="Times New Roman" w:hAnsiTheme="minorHAnsi"/>
                <w:sz w:val="20"/>
                <w:szCs w:val="20"/>
              </w:rPr>
            </w:pPr>
            <w:r w:rsidRPr="00981E61">
              <w:rPr>
                <w:rFonts w:asciiTheme="minorHAnsi" w:eastAsia="Times New Roman" w:hAnsiTheme="minorHAnsi"/>
                <w:sz w:val="20"/>
                <w:szCs w:val="20"/>
              </w:rPr>
              <w:t>0.9</w:t>
            </w:r>
          </w:p>
        </w:tc>
        <w:tc>
          <w:tcPr>
            <w:tcW w:w="900" w:type="dxa"/>
            <w:tcBorders>
              <w:top w:val="nil"/>
              <w:left w:val="nil"/>
              <w:bottom w:val="nil"/>
              <w:right w:val="nil"/>
            </w:tcBorders>
            <w:shd w:val="clear" w:color="auto" w:fill="auto"/>
            <w:noWrap/>
            <w:vAlign w:val="center"/>
            <w:hideMark/>
          </w:tcPr>
          <w:p w14:paraId="40F7759A"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38</w:t>
            </w:r>
          </w:p>
        </w:tc>
        <w:tc>
          <w:tcPr>
            <w:tcW w:w="872" w:type="dxa"/>
            <w:tcBorders>
              <w:top w:val="nil"/>
              <w:left w:val="nil"/>
              <w:bottom w:val="nil"/>
              <w:right w:val="nil"/>
            </w:tcBorders>
            <w:shd w:val="clear" w:color="auto" w:fill="auto"/>
            <w:noWrap/>
            <w:vAlign w:val="center"/>
            <w:hideMark/>
          </w:tcPr>
          <w:p w14:paraId="706766D7"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5</w:t>
            </w:r>
          </w:p>
        </w:tc>
        <w:tc>
          <w:tcPr>
            <w:tcW w:w="789" w:type="dxa"/>
            <w:tcBorders>
              <w:top w:val="nil"/>
              <w:left w:val="nil"/>
              <w:bottom w:val="nil"/>
              <w:right w:val="nil"/>
            </w:tcBorders>
            <w:shd w:val="clear" w:color="auto" w:fill="auto"/>
            <w:noWrap/>
            <w:vAlign w:val="center"/>
            <w:hideMark/>
          </w:tcPr>
          <w:p w14:paraId="49E13466"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0.4</w:t>
            </w:r>
          </w:p>
        </w:tc>
        <w:tc>
          <w:tcPr>
            <w:tcW w:w="884" w:type="dxa"/>
            <w:tcBorders>
              <w:top w:val="nil"/>
              <w:left w:val="nil"/>
              <w:bottom w:val="nil"/>
              <w:right w:val="nil"/>
            </w:tcBorders>
            <w:shd w:val="clear" w:color="auto" w:fill="auto"/>
            <w:noWrap/>
            <w:vAlign w:val="center"/>
            <w:hideMark/>
          </w:tcPr>
          <w:p w14:paraId="5FA41547"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0.1</w:t>
            </w:r>
          </w:p>
        </w:tc>
      </w:tr>
      <w:tr w:rsidR="00724BAB" w:rsidRPr="00981E61" w14:paraId="39704EF8" w14:textId="77777777" w:rsidTr="00981E61">
        <w:trPr>
          <w:trHeight w:val="226"/>
        </w:trPr>
        <w:tc>
          <w:tcPr>
            <w:tcW w:w="1350" w:type="dxa"/>
            <w:tcBorders>
              <w:top w:val="nil"/>
              <w:left w:val="nil"/>
              <w:bottom w:val="nil"/>
              <w:right w:val="nil"/>
            </w:tcBorders>
            <w:shd w:val="clear" w:color="auto" w:fill="auto"/>
            <w:noWrap/>
            <w:vAlign w:val="bottom"/>
            <w:hideMark/>
          </w:tcPr>
          <w:p w14:paraId="595F72AE"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Education</w:t>
            </w:r>
          </w:p>
        </w:tc>
        <w:tc>
          <w:tcPr>
            <w:tcW w:w="906" w:type="dxa"/>
            <w:tcBorders>
              <w:top w:val="nil"/>
              <w:left w:val="nil"/>
              <w:bottom w:val="nil"/>
              <w:right w:val="nil"/>
            </w:tcBorders>
            <w:shd w:val="clear" w:color="auto" w:fill="auto"/>
            <w:noWrap/>
            <w:vAlign w:val="center"/>
            <w:hideMark/>
          </w:tcPr>
          <w:p w14:paraId="3DBF6D01"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1280</w:t>
            </w:r>
          </w:p>
        </w:tc>
        <w:tc>
          <w:tcPr>
            <w:tcW w:w="872" w:type="dxa"/>
            <w:tcBorders>
              <w:top w:val="nil"/>
              <w:left w:val="nil"/>
              <w:bottom w:val="nil"/>
              <w:right w:val="nil"/>
            </w:tcBorders>
            <w:shd w:val="clear" w:color="auto" w:fill="auto"/>
            <w:noWrap/>
            <w:vAlign w:val="center"/>
            <w:hideMark/>
          </w:tcPr>
          <w:p w14:paraId="73C59980"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385</w:t>
            </w:r>
          </w:p>
        </w:tc>
        <w:tc>
          <w:tcPr>
            <w:tcW w:w="838" w:type="dxa"/>
            <w:tcBorders>
              <w:top w:val="nil"/>
              <w:left w:val="nil"/>
              <w:bottom w:val="nil"/>
              <w:right w:val="nil"/>
            </w:tcBorders>
            <w:shd w:val="clear" w:color="auto" w:fill="auto"/>
            <w:noWrap/>
            <w:vAlign w:val="center"/>
            <w:hideMark/>
          </w:tcPr>
          <w:p w14:paraId="7E9EB10B"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700</w:t>
            </w:r>
          </w:p>
        </w:tc>
        <w:tc>
          <w:tcPr>
            <w:tcW w:w="872" w:type="dxa"/>
            <w:tcBorders>
              <w:top w:val="nil"/>
              <w:left w:val="nil"/>
              <w:bottom w:val="nil"/>
              <w:right w:val="nil"/>
            </w:tcBorders>
            <w:shd w:val="clear" w:color="auto" w:fill="auto"/>
            <w:noWrap/>
            <w:vAlign w:val="center"/>
            <w:hideMark/>
          </w:tcPr>
          <w:p w14:paraId="28FAE26B"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200</w:t>
            </w:r>
          </w:p>
        </w:tc>
        <w:tc>
          <w:tcPr>
            <w:tcW w:w="832" w:type="dxa"/>
            <w:tcBorders>
              <w:top w:val="nil"/>
              <w:left w:val="nil"/>
              <w:bottom w:val="nil"/>
              <w:right w:val="nil"/>
            </w:tcBorders>
            <w:shd w:val="clear" w:color="auto" w:fill="auto"/>
            <w:noWrap/>
            <w:vAlign w:val="center"/>
            <w:hideMark/>
          </w:tcPr>
          <w:p w14:paraId="3BCCDA3E" w14:textId="77777777" w:rsidR="00724BAB" w:rsidRPr="00981E61" w:rsidRDefault="00724BAB" w:rsidP="00772DB1">
            <w:pPr>
              <w:jc w:val="center"/>
              <w:rPr>
                <w:rFonts w:asciiTheme="minorHAnsi" w:eastAsia="Times New Roman" w:hAnsiTheme="minorHAnsi"/>
                <w:sz w:val="20"/>
                <w:szCs w:val="20"/>
              </w:rPr>
            </w:pPr>
            <w:r w:rsidRPr="00981E61">
              <w:rPr>
                <w:rFonts w:asciiTheme="minorHAnsi" w:eastAsia="Times New Roman" w:hAnsiTheme="minorHAnsi"/>
                <w:sz w:val="20"/>
                <w:szCs w:val="20"/>
              </w:rPr>
              <w:t>3.3</w:t>
            </w:r>
          </w:p>
        </w:tc>
        <w:tc>
          <w:tcPr>
            <w:tcW w:w="990" w:type="dxa"/>
            <w:tcBorders>
              <w:top w:val="nil"/>
              <w:left w:val="nil"/>
              <w:bottom w:val="nil"/>
              <w:right w:val="nil"/>
            </w:tcBorders>
            <w:shd w:val="clear" w:color="auto" w:fill="auto"/>
            <w:noWrap/>
            <w:vAlign w:val="center"/>
            <w:hideMark/>
          </w:tcPr>
          <w:p w14:paraId="3CDD5F48" w14:textId="77777777" w:rsidR="00724BAB" w:rsidRPr="00981E61" w:rsidRDefault="00724BAB" w:rsidP="00772DB1">
            <w:pPr>
              <w:jc w:val="center"/>
              <w:rPr>
                <w:rFonts w:asciiTheme="minorHAnsi" w:eastAsia="Times New Roman" w:hAnsiTheme="minorHAnsi"/>
                <w:sz w:val="20"/>
                <w:szCs w:val="20"/>
              </w:rPr>
            </w:pPr>
            <w:r w:rsidRPr="00981E61">
              <w:rPr>
                <w:rFonts w:asciiTheme="minorHAnsi" w:eastAsia="Times New Roman" w:hAnsiTheme="minorHAnsi"/>
                <w:sz w:val="20"/>
                <w:szCs w:val="20"/>
              </w:rPr>
              <w:t>3.5</w:t>
            </w:r>
          </w:p>
        </w:tc>
        <w:tc>
          <w:tcPr>
            <w:tcW w:w="900" w:type="dxa"/>
            <w:tcBorders>
              <w:top w:val="nil"/>
              <w:left w:val="nil"/>
              <w:bottom w:val="nil"/>
              <w:right w:val="nil"/>
            </w:tcBorders>
            <w:shd w:val="clear" w:color="auto" w:fill="auto"/>
            <w:noWrap/>
            <w:vAlign w:val="center"/>
            <w:hideMark/>
          </w:tcPr>
          <w:p w14:paraId="139D1012"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187</w:t>
            </w:r>
          </w:p>
        </w:tc>
        <w:tc>
          <w:tcPr>
            <w:tcW w:w="872" w:type="dxa"/>
            <w:tcBorders>
              <w:top w:val="nil"/>
              <w:left w:val="nil"/>
              <w:bottom w:val="nil"/>
              <w:right w:val="nil"/>
            </w:tcBorders>
            <w:shd w:val="clear" w:color="auto" w:fill="auto"/>
            <w:noWrap/>
            <w:vAlign w:val="center"/>
            <w:hideMark/>
          </w:tcPr>
          <w:p w14:paraId="0B7E3DE3"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53</w:t>
            </w:r>
          </w:p>
        </w:tc>
        <w:tc>
          <w:tcPr>
            <w:tcW w:w="789" w:type="dxa"/>
            <w:tcBorders>
              <w:top w:val="nil"/>
              <w:left w:val="nil"/>
              <w:bottom w:val="nil"/>
              <w:right w:val="nil"/>
            </w:tcBorders>
            <w:shd w:val="clear" w:color="auto" w:fill="auto"/>
            <w:noWrap/>
            <w:vAlign w:val="center"/>
            <w:hideMark/>
          </w:tcPr>
          <w:p w14:paraId="0518DB8D"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2.9</w:t>
            </w:r>
          </w:p>
        </w:tc>
        <w:tc>
          <w:tcPr>
            <w:tcW w:w="884" w:type="dxa"/>
            <w:tcBorders>
              <w:top w:val="nil"/>
              <w:left w:val="nil"/>
              <w:bottom w:val="nil"/>
              <w:right w:val="nil"/>
            </w:tcBorders>
            <w:shd w:val="clear" w:color="auto" w:fill="auto"/>
            <w:noWrap/>
            <w:vAlign w:val="center"/>
            <w:hideMark/>
          </w:tcPr>
          <w:p w14:paraId="25AB5889"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0.2</w:t>
            </w:r>
          </w:p>
        </w:tc>
      </w:tr>
      <w:tr w:rsidR="00724BAB" w:rsidRPr="00981E61" w14:paraId="2B44EBF2" w14:textId="77777777" w:rsidTr="00981E61">
        <w:trPr>
          <w:trHeight w:val="226"/>
        </w:trPr>
        <w:tc>
          <w:tcPr>
            <w:tcW w:w="1350" w:type="dxa"/>
            <w:tcBorders>
              <w:top w:val="nil"/>
              <w:left w:val="nil"/>
              <w:bottom w:val="nil"/>
              <w:right w:val="nil"/>
            </w:tcBorders>
            <w:shd w:val="clear" w:color="auto" w:fill="auto"/>
            <w:noWrap/>
            <w:vAlign w:val="bottom"/>
            <w:hideMark/>
          </w:tcPr>
          <w:p w14:paraId="249259B6"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Technical</w:t>
            </w:r>
          </w:p>
        </w:tc>
        <w:tc>
          <w:tcPr>
            <w:tcW w:w="906" w:type="dxa"/>
            <w:tcBorders>
              <w:top w:val="nil"/>
              <w:left w:val="nil"/>
              <w:bottom w:val="nil"/>
              <w:right w:val="nil"/>
            </w:tcBorders>
            <w:shd w:val="clear" w:color="auto" w:fill="auto"/>
            <w:noWrap/>
            <w:vAlign w:val="center"/>
            <w:hideMark/>
          </w:tcPr>
          <w:p w14:paraId="1D8857E3"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721</w:t>
            </w:r>
          </w:p>
        </w:tc>
        <w:tc>
          <w:tcPr>
            <w:tcW w:w="872" w:type="dxa"/>
            <w:tcBorders>
              <w:top w:val="nil"/>
              <w:left w:val="nil"/>
              <w:bottom w:val="nil"/>
              <w:right w:val="nil"/>
            </w:tcBorders>
            <w:shd w:val="clear" w:color="auto" w:fill="auto"/>
            <w:noWrap/>
            <w:vAlign w:val="center"/>
            <w:hideMark/>
          </w:tcPr>
          <w:p w14:paraId="12A05EDB"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612</w:t>
            </w:r>
          </w:p>
        </w:tc>
        <w:tc>
          <w:tcPr>
            <w:tcW w:w="838" w:type="dxa"/>
            <w:tcBorders>
              <w:top w:val="nil"/>
              <w:left w:val="nil"/>
              <w:bottom w:val="nil"/>
              <w:right w:val="nil"/>
            </w:tcBorders>
            <w:shd w:val="clear" w:color="auto" w:fill="auto"/>
            <w:noWrap/>
            <w:vAlign w:val="center"/>
            <w:hideMark/>
          </w:tcPr>
          <w:p w14:paraId="2D63C4A9"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650</w:t>
            </w:r>
          </w:p>
        </w:tc>
        <w:tc>
          <w:tcPr>
            <w:tcW w:w="872" w:type="dxa"/>
            <w:tcBorders>
              <w:top w:val="nil"/>
              <w:left w:val="nil"/>
              <w:bottom w:val="nil"/>
              <w:right w:val="nil"/>
            </w:tcBorders>
            <w:shd w:val="clear" w:color="auto" w:fill="auto"/>
            <w:noWrap/>
            <w:vAlign w:val="center"/>
            <w:hideMark/>
          </w:tcPr>
          <w:p w14:paraId="677C5DB6"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400</w:t>
            </w:r>
          </w:p>
        </w:tc>
        <w:tc>
          <w:tcPr>
            <w:tcW w:w="832" w:type="dxa"/>
            <w:tcBorders>
              <w:top w:val="nil"/>
              <w:left w:val="nil"/>
              <w:bottom w:val="nil"/>
              <w:right w:val="nil"/>
            </w:tcBorders>
            <w:shd w:val="clear" w:color="auto" w:fill="auto"/>
            <w:noWrap/>
            <w:vAlign w:val="center"/>
            <w:hideMark/>
          </w:tcPr>
          <w:p w14:paraId="2923F28C" w14:textId="77777777" w:rsidR="00724BAB" w:rsidRPr="00981E61" w:rsidRDefault="00724BAB" w:rsidP="00772DB1">
            <w:pPr>
              <w:jc w:val="center"/>
              <w:rPr>
                <w:rFonts w:asciiTheme="minorHAnsi" w:eastAsia="Times New Roman" w:hAnsiTheme="minorHAnsi"/>
                <w:sz w:val="20"/>
                <w:szCs w:val="20"/>
              </w:rPr>
            </w:pPr>
            <w:r w:rsidRPr="00981E61">
              <w:rPr>
                <w:rFonts w:asciiTheme="minorHAnsi" w:eastAsia="Times New Roman" w:hAnsiTheme="minorHAnsi"/>
                <w:sz w:val="20"/>
                <w:szCs w:val="20"/>
              </w:rPr>
              <w:t>1.2</w:t>
            </w:r>
          </w:p>
        </w:tc>
        <w:tc>
          <w:tcPr>
            <w:tcW w:w="990" w:type="dxa"/>
            <w:tcBorders>
              <w:top w:val="nil"/>
              <w:left w:val="nil"/>
              <w:bottom w:val="nil"/>
              <w:right w:val="nil"/>
            </w:tcBorders>
            <w:shd w:val="clear" w:color="auto" w:fill="auto"/>
            <w:noWrap/>
            <w:vAlign w:val="center"/>
            <w:hideMark/>
          </w:tcPr>
          <w:p w14:paraId="631CC01F" w14:textId="77777777" w:rsidR="00724BAB" w:rsidRPr="00981E61" w:rsidRDefault="00724BAB" w:rsidP="00772DB1">
            <w:pPr>
              <w:jc w:val="center"/>
              <w:rPr>
                <w:rFonts w:asciiTheme="minorHAnsi" w:eastAsia="Times New Roman" w:hAnsiTheme="minorHAnsi"/>
                <w:sz w:val="20"/>
                <w:szCs w:val="20"/>
              </w:rPr>
            </w:pPr>
            <w:r w:rsidRPr="00981E61">
              <w:rPr>
                <w:rFonts w:asciiTheme="minorHAnsi" w:eastAsia="Times New Roman" w:hAnsiTheme="minorHAnsi"/>
                <w:sz w:val="20"/>
                <w:szCs w:val="20"/>
              </w:rPr>
              <w:t>1.6</w:t>
            </w:r>
          </w:p>
        </w:tc>
        <w:tc>
          <w:tcPr>
            <w:tcW w:w="900" w:type="dxa"/>
            <w:tcBorders>
              <w:top w:val="nil"/>
              <w:left w:val="nil"/>
              <w:bottom w:val="nil"/>
              <w:right w:val="nil"/>
            </w:tcBorders>
            <w:shd w:val="clear" w:color="auto" w:fill="auto"/>
            <w:noWrap/>
            <w:vAlign w:val="center"/>
            <w:hideMark/>
          </w:tcPr>
          <w:p w14:paraId="6103483E"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61</w:t>
            </w:r>
          </w:p>
        </w:tc>
        <w:tc>
          <w:tcPr>
            <w:tcW w:w="872" w:type="dxa"/>
            <w:tcBorders>
              <w:top w:val="nil"/>
              <w:left w:val="nil"/>
              <w:bottom w:val="nil"/>
              <w:right w:val="nil"/>
            </w:tcBorders>
            <w:shd w:val="clear" w:color="auto" w:fill="auto"/>
            <w:noWrap/>
            <w:vAlign w:val="center"/>
            <w:hideMark/>
          </w:tcPr>
          <w:p w14:paraId="55F74A57"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39</w:t>
            </w:r>
          </w:p>
        </w:tc>
        <w:tc>
          <w:tcPr>
            <w:tcW w:w="789" w:type="dxa"/>
            <w:tcBorders>
              <w:top w:val="nil"/>
              <w:left w:val="nil"/>
              <w:bottom w:val="nil"/>
              <w:right w:val="nil"/>
            </w:tcBorders>
            <w:shd w:val="clear" w:color="auto" w:fill="auto"/>
            <w:noWrap/>
            <w:vAlign w:val="center"/>
            <w:hideMark/>
          </w:tcPr>
          <w:p w14:paraId="0AEBC0F4"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0.5</w:t>
            </w:r>
          </w:p>
        </w:tc>
        <w:tc>
          <w:tcPr>
            <w:tcW w:w="884" w:type="dxa"/>
            <w:tcBorders>
              <w:top w:val="nil"/>
              <w:left w:val="nil"/>
              <w:bottom w:val="nil"/>
              <w:right w:val="nil"/>
            </w:tcBorders>
            <w:shd w:val="clear" w:color="auto" w:fill="auto"/>
            <w:noWrap/>
            <w:vAlign w:val="center"/>
            <w:hideMark/>
          </w:tcPr>
          <w:p w14:paraId="1155FFD9"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0.3</w:t>
            </w:r>
          </w:p>
        </w:tc>
      </w:tr>
      <w:tr w:rsidR="00724BAB" w:rsidRPr="00981E61" w14:paraId="262DA27C" w14:textId="77777777" w:rsidTr="00981E61">
        <w:trPr>
          <w:trHeight w:val="226"/>
        </w:trPr>
        <w:tc>
          <w:tcPr>
            <w:tcW w:w="1350" w:type="dxa"/>
            <w:tcBorders>
              <w:top w:val="nil"/>
              <w:left w:val="nil"/>
              <w:bottom w:val="nil"/>
              <w:right w:val="nil"/>
            </w:tcBorders>
            <w:shd w:val="clear" w:color="auto" w:fill="auto"/>
            <w:noWrap/>
            <w:vAlign w:val="bottom"/>
            <w:hideMark/>
          </w:tcPr>
          <w:p w14:paraId="0E1C5AAA"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Clerical</w:t>
            </w:r>
          </w:p>
        </w:tc>
        <w:tc>
          <w:tcPr>
            <w:tcW w:w="906" w:type="dxa"/>
            <w:tcBorders>
              <w:top w:val="nil"/>
              <w:left w:val="nil"/>
              <w:bottom w:val="nil"/>
              <w:right w:val="nil"/>
            </w:tcBorders>
            <w:shd w:val="clear" w:color="auto" w:fill="auto"/>
            <w:noWrap/>
            <w:vAlign w:val="center"/>
            <w:hideMark/>
          </w:tcPr>
          <w:p w14:paraId="70CEE4A0"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1031</w:t>
            </w:r>
          </w:p>
        </w:tc>
        <w:tc>
          <w:tcPr>
            <w:tcW w:w="872" w:type="dxa"/>
            <w:tcBorders>
              <w:top w:val="nil"/>
              <w:left w:val="nil"/>
              <w:bottom w:val="nil"/>
              <w:right w:val="nil"/>
            </w:tcBorders>
            <w:shd w:val="clear" w:color="auto" w:fill="auto"/>
            <w:noWrap/>
            <w:vAlign w:val="center"/>
            <w:hideMark/>
          </w:tcPr>
          <w:p w14:paraId="4C25C928"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471</w:t>
            </w:r>
          </w:p>
        </w:tc>
        <w:tc>
          <w:tcPr>
            <w:tcW w:w="838" w:type="dxa"/>
            <w:tcBorders>
              <w:top w:val="nil"/>
              <w:left w:val="nil"/>
              <w:bottom w:val="nil"/>
              <w:right w:val="nil"/>
            </w:tcBorders>
            <w:shd w:val="clear" w:color="auto" w:fill="auto"/>
            <w:noWrap/>
            <w:vAlign w:val="center"/>
            <w:hideMark/>
          </w:tcPr>
          <w:p w14:paraId="60A2E742"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450</w:t>
            </w:r>
          </w:p>
        </w:tc>
        <w:tc>
          <w:tcPr>
            <w:tcW w:w="872" w:type="dxa"/>
            <w:tcBorders>
              <w:top w:val="nil"/>
              <w:left w:val="nil"/>
              <w:bottom w:val="nil"/>
              <w:right w:val="nil"/>
            </w:tcBorders>
            <w:shd w:val="clear" w:color="auto" w:fill="auto"/>
            <w:noWrap/>
            <w:vAlign w:val="center"/>
            <w:hideMark/>
          </w:tcPr>
          <w:p w14:paraId="648EC61C"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250</w:t>
            </w:r>
          </w:p>
        </w:tc>
        <w:tc>
          <w:tcPr>
            <w:tcW w:w="832" w:type="dxa"/>
            <w:tcBorders>
              <w:top w:val="nil"/>
              <w:left w:val="nil"/>
              <w:bottom w:val="nil"/>
              <w:right w:val="nil"/>
            </w:tcBorders>
            <w:shd w:val="clear" w:color="auto" w:fill="auto"/>
            <w:noWrap/>
            <w:vAlign w:val="center"/>
            <w:hideMark/>
          </w:tcPr>
          <w:p w14:paraId="54531908" w14:textId="77777777" w:rsidR="00724BAB" w:rsidRPr="00981E61" w:rsidRDefault="00724BAB" w:rsidP="00772DB1">
            <w:pPr>
              <w:jc w:val="center"/>
              <w:rPr>
                <w:rFonts w:asciiTheme="minorHAnsi" w:eastAsia="Times New Roman" w:hAnsiTheme="minorHAnsi"/>
                <w:sz w:val="20"/>
                <w:szCs w:val="20"/>
              </w:rPr>
            </w:pPr>
            <w:r w:rsidRPr="00981E61">
              <w:rPr>
                <w:rFonts w:asciiTheme="minorHAnsi" w:eastAsia="Times New Roman" w:hAnsiTheme="minorHAnsi"/>
                <w:sz w:val="20"/>
                <w:szCs w:val="20"/>
              </w:rPr>
              <w:t>2.2</w:t>
            </w:r>
          </w:p>
        </w:tc>
        <w:tc>
          <w:tcPr>
            <w:tcW w:w="990" w:type="dxa"/>
            <w:tcBorders>
              <w:top w:val="nil"/>
              <w:left w:val="nil"/>
              <w:bottom w:val="nil"/>
              <w:right w:val="nil"/>
            </w:tcBorders>
            <w:shd w:val="clear" w:color="auto" w:fill="auto"/>
            <w:noWrap/>
            <w:vAlign w:val="center"/>
            <w:hideMark/>
          </w:tcPr>
          <w:p w14:paraId="12F42139" w14:textId="77777777" w:rsidR="00724BAB" w:rsidRPr="00981E61" w:rsidRDefault="00724BAB" w:rsidP="00772DB1">
            <w:pPr>
              <w:jc w:val="center"/>
              <w:rPr>
                <w:rFonts w:asciiTheme="minorHAnsi" w:eastAsia="Times New Roman" w:hAnsiTheme="minorHAnsi"/>
                <w:sz w:val="20"/>
                <w:szCs w:val="20"/>
              </w:rPr>
            </w:pPr>
            <w:r w:rsidRPr="00981E61">
              <w:rPr>
                <w:rFonts w:asciiTheme="minorHAnsi" w:eastAsia="Times New Roman" w:hAnsiTheme="minorHAnsi"/>
                <w:sz w:val="20"/>
                <w:szCs w:val="20"/>
              </w:rPr>
              <w:t>1.6</w:t>
            </w:r>
          </w:p>
        </w:tc>
        <w:tc>
          <w:tcPr>
            <w:tcW w:w="900" w:type="dxa"/>
            <w:tcBorders>
              <w:top w:val="nil"/>
              <w:left w:val="nil"/>
              <w:bottom w:val="nil"/>
              <w:right w:val="nil"/>
            </w:tcBorders>
            <w:shd w:val="clear" w:color="auto" w:fill="auto"/>
            <w:noWrap/>
            <w:vAlign w:val="center"/>
            <w:hideMark/>
          </w:tcPr>
          <w:p w14:paraId="3AAB4EF7"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95</w:t>
            </w:r>
          </w:p>
        </w:tc>
        <w:tc>
          <w:tcPr>
            <w:tcW w:w="872" w:type="dxa"/>
            <w:tcBorders>
              <w:top w:val="nil"/>
              <w:left w:val="nil"/>
              <w:bottom w:val="nil"/>
              <w:right w:val="nil"/>
            </w:tcBorders>
            <w:shd w:val="clear" w:color="auto" w:fill="auto"/>
            <w:noWrap/>
            <w:vAlign w:val="center"/>
            <w:hideMark/>
          </w:tcPr>
          <w:p w14:paraId="5901299A"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187</w:t>
            </w:r>
          </w:p>
        </w:tc>
        <w:tc>
          <w:tcPr>
            <w:tcW w:w="789" w:type="dxa"/>
            <w:tcBorders>
              <w:top w:val="nil"/>
              <w:left w:val="nil"/>
              <w:bottom w:val="nil"/>
              <w:right w:val="nil"/>
            </w:tcBorders>
            <w:shd w:val="clear" w:color="auto" w:fill="auto"/>
            <w:noWrap/>
            <w:vAlign w:val="center"/>
            <w:hideMark/>
          </w:tcPr>
          <w:p w14:paraId="1CA5EAEA"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1.2</w:t>
            </w:r>
          </w:p>
        </w:tc>
        <w:tc>
          <w:tcPr>
            <w:tcW w:w="884" w:type="dxa"/>
            <w:tcBorders>
              <w:top w:val="nil"/>
              <w:left w:val="nil"/>
              <w:bottom w:val="nil"/>
              <w:right w:val="nil"/>
            </w:tcBorders>
            <w:shd w:val="clear" w:color="auto" w:fill="auto"/>
            <w:noWrap/>
            <w:vAlign w:val="center"/>
            <w:hideMark/>
          </w:tcPr>
          <w:p w14:paraId="2431D10D"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1.1</w:t>
            </w:r>
          </w:p>
        </w:tc>
      </w:tr>
      <w:tr w:rsidR="00724BAB" w:rsidRPr="00981E61" w14:paraId="31B60A76" w14:textId="77777777" w:rsidTr="00981E61">
        <w:trPr>
          <w:trHeight w:val="226"/>
        </w:trPr>
        <w:tc>
          <w:tcPr>
            <w:tcW w:w="1350" w:type="dxa"/>
            <w:tcBorders>
              <w:top w:val="nil"/>
              <w:left w:val="nil"/>
              <w:bottom w:val="single" w:sz="4" w:space="0" w:color="auto"/>
              <w:right w:val="nil"/>
            </w:tcBorders>
            <w:shd w:val="clear" w:color="auto" w:fill="auto"/>
            <w:noWrap/>
            <w:vAlign w:val="bottom"/>
            <w:hideMark/>
          </w:tcPr>
          <w:p w14:paraId="3FBF42D1"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Unskilled</w:t>
            </w:r>
          </w:p>
        </w:tc>
        <w:tc>
          <w:tcPr>
            <w:tcW w:w="906" w:type="dxa"/>
            <w:tcBorders>
              <w:top w:val="nil"/>
              <w:left w:val="nil"/>
              <w:bottom w:val="single" w:sz="4" w:space="0" w:color="auto"/>
              <w:right w:val="nil"/>
            </w:tcBorders>
            <w:shd w:val="clear" w:color="auto" w:fill="auto"/>
            <w:noWrap/>
            <w:vAlign w:val="center"/>
            <w:hideMark/>
          </w:tcPr>
          <w:p w14:paraId="2773289D"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868</w:t>
            </w:r>
          </w:p>
        </w:tc>
        <w:tc>
          <w:tcPr>
            <w:tcW w:w="872" w:type="dxa"/>
            <w:tcBorders>
              <w:top w:val="nil"/>
              <w:left w:val="nil"/>
              <w:bottom w:val="single" w:sz="4" w:space="0" w:color="auto"/>
              <w:right w:val="nil"/>
            </w:tcBorders>
            <w:shd w:val="clear" w:color="auto" w:fill="auto"/>
            <w:noWrap/>
            <w:vAlign w:val="center"/>
            <w:hideMark/>
          </w:tcPr>
          <w:p w14:paraId="07E9DCF7"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514</w:t>
            </w:r>
          </w:p>
        </w:tc>
        <w:tc>
          <w:tcPr>
            <w:tcW w:w="838" w:type="dxa"/>
            <w:tcBorders>
              <w:top w:val="nil"/>
              <w:left w:val="nil"/>
              <w:bottom w:val="single" w:sz="4" w:space="0" w:color="auto"/>
              <w:right w:val="nil"/>
            </w:tcBorders>
            <w:shd w:val="clear" w:color="auto" w:fill="auto"/>
            <w:noWrap/>
            <w:vAlign w:val="center"/>
            <w:hideMark/>
          </w:tcPr>
          <w:p w14:paraId="31CE9F9C"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375</w:t>
            </w:r>
          </w:p>
        </w:tc>
        <w:tc>
          <w:tcPr>
            <w:tcW w:w="872" w:type="dxa"/>
            <w:tcBorders>
              <w:top w:val="nil"/>
              <w:left w:val="nil"/>
              <w:bottom w:val="single" w:sz="4" w:space="0" w:color="auto"/>
              <w:right w:val="nil"/>
            </w:tcBorders>
            <w:shd w:val="clear" w:color="auto" w:fill="auto"/>
            <w:noWrap/>
            <w:vAlign w:val="center"/>
            <w:hideMark/>
          </w:tcPr>
          <w:p w14:paraId="5ECE0022"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300</w:t>
            </w:r>
          </w:p>
        </w:tc>
        <w:tc>
          <w:tcPr>
            <w:tcW w:w="832" w:type="dxa"/>
            <w:tcBorders>
              <w:top w:val="nil"/>
              <w:left w:val="nil"/>
              <w:bottom w:val="single" w:sz="4" w:space="0" w:color="auto"/>
              <w:right w:val="nil"/>
            </w:tcBorders>
            <w:shd w:val="clear" w:color="auto" w:fill="auto"/>
            <w:noWrap/>
            <w:vAlign w:val="center"/>
            <w:hideMark/>
          </w:tcPr>
          <w:p w14:paraId="1FE7F7BD" w14:textId="77777777" w:rsidR="00724BAB" w:rsidRPr="00981E61" w:rsidRDefault="00724BAB" w:rsidP="00772DB1">
            <w:pPr>
              <w:jc w:val="center"/>
              <w:rPr>
                <w:rFonts w:asciiTheme="minorHAnsi" w:eastAsia="Times New Roman" w:hAnsiTheme="minorHAnsi"/>
                <w:sz w:val="20"/>
                <w:szCs w:val="20"/>
              </w:rPr>
            </w:pPr>
            <w:r w:rsidRPr="00981E61">
              <w:rPr>
                <w:rFonts w:asciiTheme="minorHAnsi" w:eastAsia="Times New Roman" w:hAnsiTheme="minorHAnsi"/>
                <w:sz w:val="20"/>
                <w:szCs w:val="20"/>
              </w:rPr>
              <w:t>1.7</w:t>
            </w:r>
          </w:p>
        </w:tc>
        <w:tc>
          <w:tcPr>
            <w:tcW w:w="990" w:type="dxa"/>
            <w:tcBorders>
              <w:top w:val="nil"/>
              <w:left w:val="nil"/>
              <w:bottom w:val="single" w:sz="4" w:space="0" w:color="auto"/>
              <w:right w:val="nil"/>
            </w:tcBorders>
            <w:shd w:val="clear" w:color="auto" w:fill="auto"/>
            <w:noWrap/>
            <w:vAlign w:val="center"/>
            <w:hideMark/>
          </w:tcPr>
          <w:p w14:paraId="2117C9E8" w14:textId="77777777" w:rsidR="00724BAB" w:rsidRPr="00981E61" w:rsidRDefault="00724BAB" w:rsidP="00772DB1">
            <w:pPr>
              <w:jc w:val="center"/>
              <w:rPr>
                <w:rFonts w:asciiTheme="minorHAnsi" w:eastAsia="Times New Roman" w:hAnsiTheme="minorHAnsi"/>
                <w:sz w:val="20"/>
                <w:szCs w:val="20"/>
              </w:rPr>
            </w:pPr>
            <w:r w:rsidRPr="00981E61">
              <w:rPr>
                <w:rFonts w:asciiTheme="minorHAnsi" w:eastAsia="Times New Roman" w:hAnsiTheme="minorHAnsi"/>
                <w:sz w:val="20"/>
                <w:szCs w:val="20"/>
              </w:rPr>
              <w:t>1.3</w:t>
            </w:r>
          </w:p>
        </w:tc>
        <w:tc>
          <w:tcPr>
            <w:tcW w:w="900" w:type="dxa"/>
            <w:tcBorders>
              <w:top w:val="nil"/>
              <w:left w:val="nil"/>
              <w:bottom w:val="single" w:sz="4" w:space="0" w:color="auto"/>
              <w:right w:val="nil"/>
            </w:tcBorders>
            <w:shd w:val="clear" w:color="auto" w:fill="auto"/>
            <w:noWrap/>
            <w:vAlign w:val="center"/>
            <w:hideMark/>
          </w:tcPr>
          <w:p w14:paraId="28A97E42"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78</w:t>
            </w:r>
          </w:p>
        </w:tc>
        <w:tc>
          <w:tcPr>
            <w:tcW w:w="872" w:type="dxa"/>
            <w:tcBorders>
              <w:top w:val="nil"/>
              <w:left w:val="nil"/>
              <w:bottom w:val="single" w:sz="4" w:space="0" w:color="auto"/>
              <w:right w:val="nil"/>
            </w:tcBorders>
            <w:shd w:val="clear" w:color="auto" w:fill="auto"/>
            <w:noWrap/>
            <w:vAlign w:val="center"/>
            <w:hideMark/>
          </w:tcPr>
          <w:p w14:paraId="095D6D91"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205</w:t>
            </w:r>
          </w:p>
        </w:tc>
        <w:tc>
          <w:tcPr>
            <w:tcW w:w="789" w:type="dxa"/>
            <w:tcBorders>
              <w:top w:val="nil"/>
              <w:left w:val="nil"/>
              <w:bottom w:val="single" w:sz="4" w:space="0" w:color="auto"/>
              <w:right w:val="nil"/>
            </w:tcBorders>
            <w:shd w:val="clear" w:color="auto" w:fill="auto"/>
            <w:noWrap/>
            <w:vAlign w:val="center"/>
            <w:hideMark/>
          </w:tcPr>
          <w:p w14:paraId="60410101"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0.8</w:t>
            </w:r>
          </w:p>
        </w:tc>
        <w:tc>
          <w:tcPr>
            <w:tcW w:w="884" w:type="dxa"/>
            <w:tcBorders>
              <w:top w:val="nil"/>
              <w:left w:val="nil"/>
              <w:bottom w:val="single" w:sz="4" w:space="0" w:color="auto"/>
              <w:right w:val="nil"/>
            </w:tcBorders>
            <w:shd w:val="clear" w:color="auto" w:fill="auto"/>
            <w:noWrap/>
            <w:vAlign w:val="center"/>
            <w:hideMark/>
          </w:tcPr>
          <w:p w14:paraId="38D07F72"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1.3</w:t>
            </w:r>
          </w:p>
        </w:tc>
      </w:tr>
      <w:tr w:rsidR="00724BAB" w:rsidRPr="00981E61" w14:paraId="302AE8A4" w14:textId="77777777" w:rsidTr="00981E61">
        <w:trPr>
          <w:trHeight w:val="226"/>
        </w:trPr>
        <w:tc>
          <w:tcPr>
            <w:tcW w:w="1350" w:type="dxa"/>
            <w:tcBorders>
              <w:top w:val="nil"/>
              <w:left w:val="nil"/>
              <w:bottom w:val="single" w:sz="4" w:space="0" w:color="auto"/>
              <w:right w:val="nil"/>
            </w:tcBorders>
            <w:shd w:val="clear" w:color="auto" w:fill="auto"/>
            <w:noWrap/>
            <w:vAlign w:val="bottom"/>
            <w:hideMark/>
          </w:tcPr>
          <w:p w14:paraId="2FBC26BD"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Total</w:t>
            </w:r>
          </w:p>
        </w:tc>
        <w:tc>
          <w:tcPr>
            <w:tcW w:w="906" w:type="dxa"/>
            <w:tcBorders>
              <w:top w:val="nil"/>
              <w:left w:val="nil"/>
              <w:bottom w:val="single" w:sz="4" w:space="0" w:color="auto"/>
              <w:right w:val="nil"/>
            </w:tcBorders>
            <w:shd w:val="clear" w:color="auto" w:fill="auto"/>
            <w:noWrap/>
            <w:vAlign w:val="center"/>
            <w:hideMark/>
          </w:tcPr>
          <w:p w14:paraId="6026DA47"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1057</w:t>
            </w:r>
          </w:p>
        </w:tc>
        <w:tc>
          <w:tcPr>
            <w:tcW w:w="872" w:type="dxa"/>
            <w:tcBorders>
              <w:top w:val="nil"/>
              <w:left w:val="nil"/>
              <w:bottom w:val="single" w:sz="4" w:space="0" w:color="auto"/>
              <w:right w:val="nil"/>
            </w:tcBorders>
            <w:shd w:val="clear" w:color="auto" w:fill="auto"/>
            <w:noWrap/>
            <w:vAlign w:val="center"/>
            <w:hideMark/>
          </w:tcPr>
          <w:p w14:paraId="4D90C9C8"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577</w:t>
            </w:r>
          </w:p>
        </w:tc>
        <w:tc>
          <w:tcPr>
            <w:tcW w:w="838" w:type="dxa"/>
            <w:tcBorders>
              <w:top w:val="nil"/>
              <w:left w:val="nil"/>
              <w:bottom w:val="single" w:sz="4" w:space="0" w:color="auto"/>
              <w:right w:val="nil"/>
            </w:tcBorders>
            <w:shd w:val="clear" w:color="auto" w:fill="auto"/>
            <w:noWrap/>
            <w:vAlign w:val="center"/>
            <w:hideMark/>
          </w:tcPr>
          <w:p w14:paraId="4699DE63"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609</w:t>
            </w:r>
          </w:p>
        </w:tc>
        <w:tc>
          <w:tcPr>
            <w:tcW w:w="872" w:type="dxa"/>
            <w:tcBorders>
              <w:top w:val="nil"/>
              <w:left w:val="nil"/>
              <w:bottom w:val="single" w:sz="4" w:space="0" w:color="auto"/>
              <w:right w:val="nil"/>
            </w:tcBorders>
            <w:shd w:val="clear" w:color="auto" w:fill="auto"/>
            <w:noWrap/>
            <w:vAlign w:val="center"/>
            <w:hideMark/>
          </w:tcPr>
          <w:p w14:paraId="17F568EA"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577</w:t>
            </w:r>
          </w:p>
        </w:tc>
        <w:tc>
          <w:tcPr>
            <w:tcW w:w="832" w:type="dxa"/>
            <w:tcBorders>
              <w:top w:val="nil"/>
              <w:left w:val="nil"/>
              <w:bottom w:val="single" w:sz="4" w:space="0" w:color="auto"/>
              <w:right w:val="nil"/>
            </w:tcBorders>
            <w:shd w:val="clear" w:color="auto" w:fill="auto"/>
            <w:noWrap/>
            <w:vAlign w:val="center"/>
            <w:hideMark/>
          </w:tcPr>
          <w:p w14:paraId="3CC69088" w14:textId="77777777" w:rsidR="00724BAB" w:rsidRPr="00981E61" w:rsidRDefault="00724BAB" w:rsidP="00772DB1">
            <w:pPr>
              <w:jc w:val="center"/>
              <w:rPr>
                <w:rFonts w:asciiTheme="minorHAnsi" w:eastAsia="Times New Roman" w:hAnsiTheme="minorHAnsi"/>
                <w:sz w:val="20"/>
                <w:szCs w:val="20"/>
              </w:rPr>
            </w:pPr>
            <w:r w:rsidRPr="00981E61">
              <w:rPr>
                <w:rFonts w:asciiTheme="minorHAnsi" w:eastAsia="Times New Roman" w:hAnsiTheme="minorHAnsi"/>
                <w:sz w:val="20"/>
                <w:szCs w:val="20"/>
              </w:rPr>
              <w:t>1.8</w:t>
            </w:r>
          </w:p>
        </w:tc>
        <w:tc>
          <w:tcPr>
            <w:tcW w:w="990" w:type="dxa"/>
            <w:tcBorders>
              <w:top w:val="nil"/>
              <w:left w:val="nil"/>
              <w:bottom w:val="single" w:sz="4" w:space="0" w:color="auto"/>
              <w:right w:val="nil"/>
            </w:tcBorders>
            <w:shd w:val="clear" w:color="auto" w:fill="auto"/>
            <w:noWrap/>
            <w:vAlign w:val="center"/>
            <w:hideMark/>
          </w:tcPr>
          <w:p w14:paraId="28A37BBD" w14:textId="77777777" w:rsidR="00724BAB" w:rsidRPr="00981E61" w:rsidRDefault="00724BAB" w:rsidP="00772DB1">
            <w:pPr>
              <w:jc w:val="center"/>
              <w:rPr>
                <w:rFonts w:asciiTheme="minorHAnsi" w:eastAsia="Times New Roman" w:hAnsiTheme="minorHAnsi"/>
                <w:sz w:val="20"/>
                <w:szCs w:val="20"/>
              </w:rPr>
            </w:pPr>
            <w:r w:rsidRPr="00981E61">
              <w:rPr>
                <w:rFonts w:asciiTheme="minorHAnsi" w:eastAsia="Times New Roman" w:hAnsiTheme="minorHAnsi"/>
                <w:sz w:val="20"/>
                <w:szCs w:val="20"/>
              </w:rPr>
              <w:t>1.1</w:t>
            </w:r>
          </w:p>
        </w:tc>
        <w:tc>
          <w:tcPr>
            <w:tcW w:w="900" w:type="dxa"/>
            <w:tcBorders>
              <w:top w:val="nil"/>
              <w:left w:val="nil"/>
              <w:bottom w:val="single" w:sz="4" w:space="0" w:color="auto"/>
              <w:right w:val="nil"/>
            </w:tcBorders>
            <w:shd w:val="clear" w:color="auto" w:fill="auto"/>
            <w:noWrap/>
            <w:vAlign w:val="center"/>
            <w:hideMark/>
          </w:tcPr>
          <w:p w14:paraId="22CEBC55"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525</w:t>
            </w:r>
          </w:p>
        </w:tc>
        <w:tc>
          <w:tcPr>
            <w:tcW w:w="872" w:type="dxa"/>
            <w:tcBorders>
              <w:top w:val="nil"/>
              <w:left w:val="nil"/>
              <w:bottom w:val="single" w:sz="4" w:space="0" w:color="auto"/>
              <w:right w:val="nil"/>
            </w:tcBorders>
            <w:shd w:val="clear" w:color="auto" w:fill="auto"/>
            <w:noWrap/>
            <w:vAlign w:val="center"/>
            <w:hideMark/>
          </w:tcPr>
          <w:p w14:paraId="701BC4F8"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570</w:t>
            </w:r>
          </w:p>
        </w:tc>
        <w:tc>
          <w:tcPr>
            <w:tcW w:w="789" w:type="dxa"/>
            <w:tcBorders>
              <w:top w:val="nil"/>
              <w:left w:val="nil"/>
              <w:bottom w:val="single" w:sz="4" w:space="0" w:color="auto"/>
              <w:right w:val="nil"/>
            </w:tcBorders>
            <w:shd w:val="clear" w:color="auto" w:fill="auto"/>
            <w:noWrap/>
            <w:vAlign w:val="center"/>
            <w:hideMark/>
          </w:tcPr>
          <w:p w14:paraId="746051DB"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6.7</w:t>
            </w:r>
          </w:p>
        </w:tc>
        <w:tc>
          <w:tcPr>
            <w:tcW w:w="884" w:type="dxa"/>
            <w:tcBorders>
              <w:top w:val="nil"/>
              <w:left w:val="nil"/>
              <w:bottom w:val="single" w:sz="4" w:space="0" w:color="auto"/>
              <w:right w:val="nil"/>
            </w:tcBorders>
            <w:shd w:val="clear" w:color="auto" w:fill="auto"/>
            <w:noWrap/>
            <w:vAlign w:val="center"/>
            <w:hideMark/>
          </w:tcPr>
          <w:p w14:paraId="2E3130D3" w14:textId="77777777" w:rsidR="00724BAB" w:rsidRPr="00981E61" w:rsidRDefault="00724BAB" w:rsidP="00E566F7">
            <w:pPr>
              <w:rPr>
                <w:rFonts w:asciiTheme="minorHAnsi" w:eastAsia="Times New Roman" w:hAnsiTheme="minorHAnsi"/>
                <w:sz w:val="20"/>
                <w:szCs w:val="20"/>
              </w:rPr>
            </w:pPr>
            <w:r w:rsidRPr="00981E61">
              <w:rPr>
                <w:rFonts w:asciiTheme="minorHAnsi" w:eastAsia="Times New Roman" w:hAnsiTheme="minorHAnsi"/>
                <w:sz w:val="20"/>
                <w:szCs w:val="20"/>
              </w:rPr>
              <w:t>3.9</w:t>
            </w:r>
          </w:p>
        </w:tc>
      </w:tr>
    </w:tbl>
    <w:p w14:paraId="792BBB2F" w14:textId="77777777" w:rsidR="00724BAB" w:rsidRPr="00A10065" w:rsidRDefault="00724BAB" w:rsidP="00724BAB">
      <w:pPr>
        <w:spacing w:after="240"/>
        <w:rPr>
          <w:b/>
          <w:sz w:val="20"/>
          <w:szCs w:val="20"/>
        </w:rPr>
      </w:pPr>
      <w:r w:rsidRPr="00A10065">
        <w:rPr>
          <w:i/>
          <w:sz w:val="20"/>
          <w:szCs w:val="20"/>
        </w:rPr>
        <w:t xml:space="preserve">Source: </w:t>
      </w:r>
      <w:r w:rsidRPr="00A10065">
        <w:rPr>
          <w:sz w:val="20"/>
          <w:szCs w:val="20"/>
        </w:rPr>
        <w:t>Ghana Statistical Service, Ghana Living Standards Survey 6</w:t>
      </w:r>
    </w:p>
    <w:p w14:paraId="1DB8F196" w14:textId="77777777" w:rsidR="00724BAB" w:rsidRPr="00A10065" w:rsidRDefault="00724BAB" w:rsidP="00724BAB">
      <w:pPr>
        <w:pStyle w:val="ListParagraph"/>
        <w:numPr>
          <w:ilvl w:val="0"/>
          <w:numId w:val="13"/>
        </w:numPr>
        <w:spacing w:after="0"/>
      </w:pPr>
      <w:r w:rsidRPr="00A10065">
        <w:rPr>
          <w:b/>
        </w:rPr>
        <w:t>The SSSS compensation structure does not reflect rates in the private sector.</w:t>
      </w:r>
      <w:r w:rsidRPr="00A10065">
        <w:t xml:space="preserve"> Without systematic and rigorous pay surveys, public sector compensation cannot be benchmarked against the private sector. Moreover, such surveys would not be reliable in the absence of occupational pay grades based on clearly defined professional responsibilities. Under a model system, lower-level staff should be compensated at rates close to those prevail</w:t>
      </w:r>
      <w:r>
        <w:t xml:space="preserve">ing in the private sector. This helps </w:t>
      </w:r>
      <w:r w:rsidRPr="00A10065">
        <w:t xml:space="preserve">ensure an adequate supply of qualified </w:t>
      </w:r>
      <w:r>
        <w:t xml:space="preserve">civil servants </w:t>
      </w:r>
      <w:r w:rsidRPr="00A10065">
        <w:t>while minimizing the distortive effect of public sector wages</w:t>
      </w:r>
      <w:r>
        <w:t xml:space="preserve"> on labor </w:t>
      </w:r>
      <w:r w:rsidRPr="00A10065">
        <w:t xml:space="preserve">market incentives. However, high-level public employees should be paid somewhat less than their private sector counterparts to reflect the greater job security, </w:t>
      </w:r>
      <w:r w:rsidRPr="00A37553">
        <w:t>better</w:t>
      </w:r>
      <w:r>
        <w:t xml:space="preserve"> </w:t>
      </w:r>
      <w:r w:rsidRPr="00A10065">
        <w:t xml:space="preserve">training opportunities, </w:t>
      </w:r>
      <w:r w:rsidRPr="00A37553">
        <w:t>guaranteed</w:t>
      </w:r>
      <w:r>
        <w:t xml:space="preserve"> </w:t>
      </w:r>
      <w:r w:rsidRPr="00A10065">
        <w:t>pensions, and other non</w:t>
      </w:r>
      <w:r w:rsidR="00A7070E">
        <w:t>-</w:t>
      </w:r>
      <w:r w:rsidRPr="00A10065">
        <w:t>monetary benefits of public sector employment.</w:t>
      </w:r>
    </w:p>
    <w:p w14:paraId="5B18D68A" w14:textId="77777777" w:rsidR="00724BAB" w:rsidRPr="00DB3EEE" w:rsidRDefault="00724BAB" w:rsidP="00AD44DF">
      <w:pPr>
        <w:pStyle w:val="Heading2"/>
      </w:pPr>
      <w:bookmarkStart w:id="131" w:name="_Toc479624894"/>
      <w:r w:rsidRPr="00DB3EEE">
        <w:lastRenderedPageBreak/>
        <w:t>The Coverage of the SSSS</w:t>
      </w:r>
      <w:bookmarkEnd w:id="131"/>
    </w:p>
    <w:p w14:paraId="62EB5E2C" w14:textId="77777777" w:rsidR="00724BAB" w:rsidRPr="00A10065" w:rsidRDefault="00724BAB" w:rsidP="00724BAB">
      <w:pPr>
        <w:pStyle w:val="ListParagraph"/>
        <w:numPr>
          <w:ilvl w:val="0"/>
          <w:numId w:val="13"/>
        </w:numPr>
      </w:pPr>
      <w:r w:rsidRPr="00A10065">
        <w:rPr>
          <w:b/>
        </w:rPr>
        <w:t>The SSSS was intended to cover all of the public service institutions listed in Article 190 of the 1992 Constitution that are paid from the Consolidated Fund.</w:t>
      </w:r>
      <w:r w:rsidRPr="00A10065">
        <w:rPr>
          <w:rStyle w:val="FootnoteReference"/>
        </w:rPr>
        <w:footnoteReference w:id="86"/>
      </w:r>
      <w:r w:rsidRPr="00A10065">
        <w:t xml:space="preserve"> It was also designed to include public non</w:t>
      </w:r>
      <w:r w:rsidR="00A7070E">
        <w:t>-</w:t>
      </w:r>
      <w:r w:rsidRPr="00A10065">
        <w:t>commercial corporations and all public services established by the Constitution or the Parliament.</w:t>
      </w:r>
      <w:r w:rsidRPr="00A10065">
        <w:rPr>
          <w:rStyle w:val="FootnoteReference"/>
        </w:rPr>
        <w:footnoteReference w:id="87"/>
      </w:r>
      <w:r w:rsidRPr="00A10065">
        <w:t xml:space="preserve"> In an effort to address one of the problems that hampered the implementation of the previous public sector compensation regime, the Ghana Universal Salary Structure, participation in the SSSS was mandated for all eligible public service institutions. However, some of these institutions have yet to adopt the SSSS, including the FWSC, the Ghana Audit Service, the Parliamentary Service, the Judicial Service, </w:t>
      </w:r>
      <w:r w:rsidR="00A0442D">
        <w:t>the GRA</w:t>
      </w:r>
      <w:r w:rsidRPr="00A10065">
        <w:t xml:space="preserve">, and the Bureau of National Investigations. </w:t>
      </w:r>
    </w:p>
    <w:p w14:paraId="7A88A95A" w14:textId="77777777" w:rsidR="00724BAB" w:rsidRPr="00A10065" w:rsidRDefault="00724BAB" w:rsidP="00724BAB">
      <w:pPr>
        <w:pStyle w:val="ListParagraph"/>
        <w:numPr>
          <w:ilvl w:val="0"/>
          <w:numId w:val="13"/>
        </w:numPr>
        <w:rPr>
          <w:rFonts w:eastAsia="Times New Roman"/>
        </w:rPr>
      </w:pPr>
      <w:r w:rsidRPr="00A10065">
        <w:rPr>
          <w:b/>
        </w:rPr>
        <w:t>Some of the remaining institutions may eventually adopt the SSSS, while others will maintain their own salary structures due to their unique circumstances.</w:t>
      </w:r>
      <w:r w:rsidRPr="00A10065">
        <w:t xml:space="preserve"> For example, the FWSC was established in 2007, one year after the job evaluation surveys and initial processes for the SSSS were conducted. It is not expected to adopt the SSSS, as its oversight role in the public payroll system could create conflicts of interest if its own staff were to be graded and placed on the grid.</w:t>
      </w:r>
      <w:r w:rsidRPr="00A10065">
        <w:rPr>
          <w:rFonts w:eastAsia="Times New Roman"/>
        </w:rPr>
        <w:t xml:space="preserve"> Similarly, the B</w:t>
      </w:r>
      <w:r>
        <w:rPr>
          <w:rFonts w:eastAsia="Times New Roman"/>
        </w:rPr>
        <w:t xml:space="preserve">ureau of </w:t>
      </w:r>
      <w:r w:rsidRPr="00A10065">
        <w:rPr>
          <w:rFonts w:eastAsia="Times New Roman"/>
        </w:rPr>
        <w:t>N</w:t>
      </w:r>
      <w:r>
        <w:rPr>
          <w:rFonts w:eastAsia="Times New Roman"/>
        </w:rPr>
        <w:t xml:space="preserve">ational </w:t>
      </w:r>
      <w:r w:rsidRPr="00A10065">
        <w:rPr>
          <w:rFonts w:eastAsia="Times New Roman"/>
        </w:rPr>
        <w:t>I</w:t>
      </w:r>
      <w:r>
        <w:rPr>
          <w:rFonts w:eastAsia="Times New Roman"/>
        </w:rPr>
        <w:t>nvestigations</w:t>
      </w:r>
      <w:r w:rsidRPr="00A10065">
        <w:rPr>
          <w:rFonts w:eastAsia="Times New Roman"/>
        </w:rPr>
        <w:t xml:space="preserve"> has not been incorporated into the SSSS due to its role in investigating public corruption, which requires a significant degree of administrative independence.</w:t>
      </w:r>
      <w:r w:rsidRPr="00A10065">
        <w:rPr>
          <w:rStyle w:val="FootnoteReference"/>
          <w:rFonts w:eastAsia="Times New Roman" w:cs="Times New Roman"/>
        </w:rPr>
        <w:footnoteReference w:id="88"/>
      </w:r>
      <w:r w:rsidRPr="00A10065">
        <w:rPr>
          <w:rFonts w:eastAsia="Times New Roman"/>
        </w:rPr>
        <w:t xml:space="preserve"> O</w:t>
      </w:r>
      <w:r w:rsidRPr="00A10065">
        <w:rPr>
          <w:rFonts w:eastAsia="Times New Roman"/>
          <w:bCs/>
        </w:rPr>
        <w:t xml:space="preserve">ther exceptions include </w:t>
      </w:r>
      <w:r w:rsidRPr="00A10065">
        <w:rPr>
          <w:rFonts w:eastAsia="Times New Roman"/>
        </w:rPr>
        <w:t>the Audit Service,</w:t>
      </w:r>
      <w:r w:rsidRPr="00A10065">
        <w:rPr>
          <w:rStyle w:val="FootnoteReference"/>
          <w:rFonts w:eastAsia="Times New Roman" w:cs="Times New Roman"/>
        </w:rPr>
        <w:footnoteReference w:id="89"/>
      </w:r>
      <w:r w:rsidRPr="00A10065">
        <w:rPr>
          <w:rFonts w:eastAsia="Times New Roman"/>
        </w:rPr>
        <w:t xml:space="preserve"> the Judicial Service</w:t>
      </w:r>
      <w:r w:rsidR="007F1BE5">
        <w:rPr>
          <w:rFonts w:eastAsia="Times New Roman"/>
        </w:rPr>
        <w:t>,</w:t>
      </w:r>
      <w:r w:rsidRPr="00A10065">
        <w:rPr>
          <w:rFonts w:eastAsia="Times New Roman"/>
        </w:rPr>
        <w:t xml:space="preserve"> and the Parliamentary Service, as their salaries and conditions of service are dictated by the Constitution or other legislation. </w:t>
      </w:r>
      <w:r>
        <w:rPr>
          <w:rFonts w:eastAsia="Times New Roman"/>
        </w:rPr>
        <w:t>In addition, t</w:t>
      </w:r>
      <w:r w:rsidRPr="00A10065">
        <w:rPr>
          <w:rFonts w:eastAsia="Times New Roman"/>
        </w:rPr>
        <w:t xml:space="preserve">he </w:t>
      </w:r>
      <w:r w:rsidR="00A0442D">
        <w:rPr>
          <w:rFonts w:eastAsia="Times New Roman"/>
        </w:rPr>
        <w:t>GR</w:t>
      </w:r>
      <w:r>
        <w:rPr>
          <w:rFonts w:eastAsia="Times New Roman"/>
        </w:rPr>
        <w:t>A’s</w:t>
      </w:r>
      <w:r w:rsidRPr="00A10065">
        <w:rPr>
          <w:rFonts w:eastAsia="Times New Roman"/>
        </w:rPr>
        <w:t xml:space="preserve"> governing legislation</w:t>
      </w:r>
      <w:r w:rsidRPr="00A10065">
        <w:rPr>
          <w:rStyle w:val="FootnoteReference"/>
          <w:rFonts w:eastAsia="Times New Roman"/>
        </w:rPr>
        <w:footnoteReference w:id="90"/>
      </w:r>
      <w:r w:rsidRPr="00A10065">
        <w:rPr>
          <w:rFonts w:eastAsia="Times New Roman"/>
        </w:rPr>
        <w:t xml:space="preserve"> </w:t>
      </w:r>
      <w:r w:rsidRPr="00A10065">
        <w:t>stipulates that it shall retain no more than 3 percent of its annual net revenue, which is inconsistent with its adoption of the SSSS</w:t>
      </w:r>
      <w:r w:rsidRPr="00A10065">
        <w:rPr>
          <w:rFonts w:eastAsia="Times New Roman"/>
        </w:rPr>
        <w:t>. Finally, 37 public corporations</w:t>
      </w:r>
      <w:r w:rsidRPr="00A10065">
        <w:rPr>
          <w:rStyle w:val="FootnoteReference"/>
          <w:rFonts w:eastAsia="Times New Roman" w:cs="Times New Roman"/>
        </w:rPr>
        <w:footnoteReference w:id="91"/>
      </w:r>
      <w:r w:rsidRPr="00A10065">
        <w:rPr>
          <w:rFonts w:eastAsia="Times New Roman"/>
        </w:rPr>
        <w:t xml:space="preserve"> have not been migrated to the SSSS largely because of their specific organizational structures and own-source revenue capacity.</w:t>
      </w:r>
    </w:p>
    <w:p w14:paraId="67D5ED0F" w14:textId="77777777" w:rsidR="00724BAB" w:rsidRPr="00A10065" w:rsidRDefault="00724BAB" w:rsidP="00724BAB">
      <w:pPr>
        <w:pStyle w:val="ListParagraph"/>
        <w:numPr>
          <w:ilvl w:val="0"/>
          <w:numId w:val="13"/>
        </w:numPr>
        <w:rPr>
          <w:rFonts w:eastAsia="Times New Roman"/>
        </w:rPr>
      </w:pPr>
      <w:r w:rsidRPr="00A10065">
        <w:rPr>
          <w:rFonts w:eastAsia="Times New Roman"/>
          <w:b/>
        </w:rPr>
        <w:t>These institutions have refused to adopt the SSSS on the grounds that their legal instruments are not aligned with the new system.</w:t>
      </w:r>
      <w:r w:rsidRPr="00A10065">
        <w:rPr>
          <w:rFonts w:eastAsia="Times New Roman"/>
        </w:rPr>
        <w:t xml:space="preserve"> However, this contention is at odds with Section 32 of FWSC Act 737, which repealed all prior arrangements for the setting of salaries and conditions of service, and Section 29, which makes the FWSC solely responsible for all issues related to the administration of the public sector payroll. Expand the coverage of the SSSS to encompass these institutions will require harmonizing their governing legislation with the provisions of the FWSC Act.</w:t>
      </w:r>
    </w:p>
    <w:p w14:paraId="14F452F6" w14:textId="77777777" w:rsidR="00724BAB" w:rsidRPr="002C7146" w:rsidRDefault="00724BAB" w:rsidP="00724BAB">
      <w:pPr>
        <w:pStyle w:val="ListParagraph"/>
        <w:numPr>
          <w:ilvl w:val="0"/>
          <w:numId w:val="13"/>
        </w:numPr>
      </w:pPr>
      <w:r w:rsidRPr="00DB3EEE">
        <w:rPr>
          <w:b/>
        </w:rPr>
        <w:t>The salaries and allowances of Article 71 office</w:t>
      </w:r>
      <w:r w:rsidR="00AA2F3F">
        <w:rPr>
          <w:b/>
        </w:rPr>
        <w:t>-</w:t>
      </w:r>
      <w:r w:rsidRPr="00DB3EEE">
        <w:rPr>
          <w:b/>
        </w:rPr>
        <w:t xml:space="preserve">holders are not determined by the SSSS. </w:t>
      </w:r>
      <w:r w:rsidRPr="00A10065">
        <w:t>Article 71 office</w:t>
      </w:r>
      <w:r w:rsidR="007F1BE5">
        <w:t>-</w:t>
      </w:r>
      <w:r w:rsidRPr="00A10065">
        <w:t>holders are high-level public servants who receive pensions equal to their entire salaries</w:t>
      </w:r>
      <w:r>
        <w:t xml:space="preserve">, and their </w:t>
      </w:r>
      <w:r w:rsidRPr="00A10065">
        <w:t xml:space="preserve">pensions </w:t>
      </w:r>
      <w:r>
        <w:t xml:space="preserve">currently </w:t>
      </w:r>
      <w:r w:rsidRPr="00A10065">
        <w:t xml:space="preserve">represent an estimated </w:t>
      </w:r>
      <w:r w:rsidRPr="00A10065">
        <w:rPr>
          <w:rFonts w:eastAsia="Times New Roman"/>
        </w:rPr>
        <w:t xml:space="preserve">12-15 percent of </w:t>
      </w:r>
      <w:r>
        <w:rPr>
          <w:rFonts w:eastAsia="Times New Roman"/>
        </w:rPr>
        <w:t xml:space="preserve">the government’s </w:t>
      </w:r>
      <w:r w:rsidRPr="00A10065">
        <w:rPr>
          <w:rFonts w:eastAsia="Times New Roman"/>
        </w:rPr>
        <w:t>total pension liabilities</w:t>
      </w:r>
      <w:r w:rsidRPr="00A10065">
        <w:t>.</w:t>
      </w:r>
      <w:r w:rsidRPr="00A10065">
        <w:rPr>
          <w:rStyle w:val="FootnoteReference"/>
        </w:rPr>
        <w:footnoteReference w:id="92"/>
      </w:r>
      <w:r w:rsidRPr="00A10065">
        <w:t xml:space="preserve"> These generous pension payments are designed</w:t>
      </w:r>
      <w:r w:rsidRPr="00A10065">
        <w:rPr>
          <w:rFonts w:eastAsia="Times New Roman"/>
        </w:rPr>
        <w:t xml:space="preserve"> to discourage</w:t>
      </w:r>
      <w:r>
        <w:rPr>
          <w:rFonts w:eastAsia="Times New Roman"/>
        </w:rPr>
        <w:t xml:space="preserve"> influence </w:t>
      </w:r>
      <w:r w:rsidRPr="00A10065">
        <w:rPr>
          <w:rFonts w:eastAsia="Times New Roman"/>
        </w:rPr>
        <w:t xml:space="preserve">peddling </w:t>
      </w:r>
      <w:r w:rsidRPr="00A10065">
        <w:rPr>
          <w:rFonts w:eastAsia="Times New Roman"/>
        </w:rPr>
        <w:lastRenderedPageBreak/>
        <w:t>by reducing the incentive for former government officials to seek employment in the private sector</w:t>
      </w:r>
      <w:r w:rsidRPr="00A10065">
        <w:t xml:space="preserve">. </w:t>
      </w:r>
      <w:r w:rsidRPr="002C7146">
        <w:t>However, the process for determining the salaries—and pensions—of Article 71 office holders is opaque and subject to an inherent conflict of interest.</w:t>
      </w:r>
    </w:p>
    <w:p w14:paraId="7C1F5A2A" w14:textId="77777777" w:rsidR="00724BAB" w:rsidRPr="002C7146" w:rsidRDefault="00724BAB" w:rsidP="00724BAB">
      <w:pPr>
        <w:pStyle w:val="ListParagraph"/>
        <w:numPr>
          <w:ilvl w:val="0"/>
          <w:numId w:val="13"/>
        </w:numPr>
      </w:pPr>
      <w:r w:rsidRPr="002C7146">
        <w:rPr>
          <w:b/>
        </w:rPr>
        <w:t xml:space="preserve">The </w:t>
      </w:r>
      <w:r w:rsidR="007F1BE5">
        <w:rPr>
          <w:b/>
        </w:rPr>
        <w:t>p</w:t>
      </w:r>
      <w:r w:rsidRPr="002C7146">
        <w:rPr>
          <w:b/>
        </w:rPr>
        <w:t>resident appoints a committee to determine the salaries and allowances of Article 71 office</w:t>
      </w:r>
      <w:r w:rsidR="007763CD">
        <w:rPr>
          <w:b/>
        </w:rPr>
        <w:t>-</w:t>
      </w:r>
      <w:r w:rsidRPr="002C7146">
        <w:rPr>
          <w:b/>
        </w:rPr>
        <w:t>holders, but these salaries are never made public.</w:t>
      </w:r>
      <w:r w:rsidRPr="002C7146">
        <w:t xml:space="preserve"> This committee also recommends salaries and allowances for top officials in the executive branch, whose compensation is approved by Parliament. Career officials, such as judges or the Auditor-General, retire on their salaries, whereas elected officials, such as </w:t>
      </w:r>
      <w:r w:rsidR="007F1BE5">
        <w:t>m</w:t>
      </w:r>
      <w:r w:rsidRPr="002C7146">
        <w:t xml:space="preserve">embers of </w:t>
      </w:r>
      <w:r w:rsidR="007F1BE5">
        <w:t>p</w:t>
      </w:r>
      <w:r w:rsidRPr="002C7146">
        <w:t>arliament and ministers, receive lump-sum gratuity payments at the end of their terms in office. These salaries and lump-sum payments are never published, and the reciprocal process for determining them creates a clear incentive for collusion.</w:t>
      </w:r>
    </w:p>
    <w:p w14:paraId="59D3034E" w14:textId="77777777" w:rsidR="00724BAB" w:rsidRPr="00A10065" w:rsidRDefault="00724BAB" w:rsidP="00AD44DF">
      <w:pPr>
        <w:pStyle w:val="Heading2"/>
      </w:pPr>
      <w:bookmarkStart w:id="132" w:name="_Toc479624895"/>
      <w:r w:rsidRPr="00A10065">
        <w:t>The Growth of the Wage Bill</w:t>
      </w:r>
      <w:bookmarkEnd w:id="132"/>
    </w:p>
    <w:p w14:paraId="0F329F88" w14:textId="77777777" w:rsidR="00724BAB" w:rsidRPr="00A10065" w:rsidRDefault="00724BAB" w:rsidP="00724BAB">
      <w:pPr>
        <w:pStyle w:val="ListParagraph"/>
        <w:numPr>
          <w:ilvl w:val="0"/>
          <w:numId w:val="13"/>
        </w:numPr>
      </w:pPr>
      <w:r w:rsidRPr="00A10065">
        <w:rPr>
          <w:b/>
        </w:rPr>
        <w:t>A combination of expanding public sector employment and rising salaries has driven the growth of Ghana’s wage bill.</w:t>
      </w:r>
      <w:r w:rsidRPr="00A10065">
        <w:t xml:space="preserve"> The medium-term expenditure framework should allow policymakers to incorporate hiring strategies into expenditure planning, as any increase in public employment should be effectively approved or denied during the budget process. In practice, however, public agencies often fail to incorporate their hiring strategies into the medium-term expenditure framework, and budget allocations are determined without adequate consideration for anticipated changes in employment or compensation. Weak establishment controls compound deficiencies in budget planning, as new posts are often created without the requisite approvals.</w:t>
      </w:r>
    </w:p>
    <w:p w14:paraId="241ECFDE" w14:textId="62B7350D" w:rsidR="00724BAB" w:rsidRPr="00A10065" w:rsidRDefault="00724BAB" w:rsidP="00724BAB">
      <w:pPr>
        <w:pStyle w:val="ListParagraph"/>
        <w:numPr>
          <w:ilvl w:val="0"/>
          <w:numId w:val="13"/>
        </w:numPr>
      </w:pPr>
      <w:r w:rsidRPr="001A62D8">
        <w:rPr>
          <w:b/>
        </w:rPr>
        <w:t>Wage rates for most of the Ghanaian public sector are determined through collective bargaining with unions and professional associations, though the SSSS has now consolidated this process.</w:t>
      </w:r>
      <w:r w:rsidRPr="00A10065">
        <w:t xml:space="preserve"> In the past, if negotiations were still underway when the annual budget was being prepared, a contingency vote would often be necessary to cover the anticipated increase in the wage bill. Another option would be to pass a supplementary appropriations bill after the fiscal year had begun, which would be subject to legislative debate. </w:t>
      </w:r>
      <w:r w:rsidRPr="001A62D8">
        <w:t>The SSSS can enable a single round of wage negotiations to be conducted before the budget is prepared, allowing policymakers to better incorporate salary increases into budget planning</w:t>
      </w:r>
      <w:r w:rsidR="00A427DC">
        <w:t>.</w:t>
      </w:r>
      <w:r w:rsidR="00233B95">
        <w:t xml:space="preserve"> </w:t>
      </w:r>
      <w:r w:rsidR="00161DD5">
        <w:t>In</w:t>
      </w:r>
      <w:r w:rsidRPr="001A62D8">
        <w:t xml:space="preserve"> 2016</w:t>
      </w:r>
      <w:r w:rsidR="00A427DC">
        <w:t>,</w:t>
      </w:r>
      <w:r w:rsidRPr="001A62D8">
        <w:t xml:space="preserve"> wage negotiations were concluded ahead of the budget-preparation process. Planned wage increases were included in the draft budget, which t</w:t>
      </w:r>
      <w:r w:rsidR="00B84488">
        <w:t>ook</w:t>
      </w:r>
      <w:r w:rsidRPr="001A62D8">
        <w:t xml:space="preserve"> effect in January 2017.</w:t>
      </w:r>
    </w:p>
    <w:p w14:paraId="4D19389C" w14:textId="77777777" w:rsidR="00724BAB" w:rsidRPr="0006272B" w:rsidRDefault="00724BAB" w:rsidP="00724BAB">
      <w:pPr>
        <w:pStyle w:val="ListParagraph"/>
        <w:numPr>
          <w:ilvl w:val="0"/>
          <w:numId w:val="13"/>
        </w:numPr>
      </w:pPr>
      <w:r w:rsidRPr="0007614E">
        <w:rPr>
          <w:b/>
        </w:rPr>
        <w:t>The annual budget did not immediately reflect the fiscal impact of the SSSS.</w:t>
      </w:r>
      <w:r w:rsidRPr="00D02F2C">
        <w:t xml:space="preserve"> Public employees we</w:t>
      </w:r>
      <w:r w:rsidRPr="008964DD">
        <w:t xml:space="preserve">re </w:t>
      </w:r>
      <w:r w:rsidRPr="0006272B">
        <w:t xml:space="preserve">gradually shifted to the new structure, </w:t>
      </w:r>
      <w:r w:rsidRPr="0007614E">
        <w:t>and those who were transferred to it after January 2010 received deferred wage payments.</w:t>
      </w:r>
      <w:r w:rsidRPr="00D02F2C">
        <w:t xml:space="preserve"> </w:t>
      </w:r>
      <w:r w:rsidRPr="008964DD">
        <w:t xml:space="preserve">The </w:t>
      </w:r>
      <w:r w:rsidRPr="0006272B">
        <w:t xml:space="preserve">considerable amount of time required to add new recruits to the payroll—several years in some cases—greatly increased the amount of deferred wages, especially in the educations sector. </w:t>
      </w:r>
    </w:p>
    <w:p w14:paraId="5B9DA504" w14:textId="77777777" w:rsidR="00724BAB" w:rsidRDefault="00724BAB" w:rsidP="00724BAB">
      <w:pPr>
        <w:pStyle w:val="ListParagraph"/>
        <w:numPr>
          <w:ilvl w:val="0"/>
          <w:numId w:val="13"/>
        </w:numPr>
      </w:pPr>
      <w:r w:rsidRPr="002020FF">
        <w:rPr>
          <w:b/>
        </w:rPr>
        <w:t>The amount of deferred payments has varied over time, reaching a peak of 2.6 percent of GDP in 2012.</w:t>
      </w:r>
      <w:r w:rsidRPr="00A10065">
        <w:t xml:space="preserve"> The spike in deferred wages pushed the wage bill’s total fiscal cost to 11.4 percent of GDP (</w:t>
      </w:r>
      <w:r w:rsidR="007763CD">
        <w:t xml:space="preserve">Figure </w:t>
      </w:r>
      <w:r>
        <w:fldChar w:fldCharType="begin"/>
      </w:r>
      <w:r>
        <w:instrText xml:space="preserve"> REF _Ref471747250 \h </w:instrText>
      </w:r>
      <w:r>
        <w:fldChar w:fldCharType="separate"/>
      </w:r>
      <w:r w:rsidR="007B1CE6">
        <w:rPr>
          <w:noProof/>
        </w:rPr>
        <w:t>3</w:t>
      </w:r>
      <w:r w:rsidR="007B1CE6" w:rsidRPr="00417629">
        <w:t>.</w:t>
      </w:r>
      <w:r w:rsidR="007B1CE6">
        <w:rPr>
          <w:noProof/>
        </w:rPr>
        <w:t>2</w:t>
      </w:r>
      <w:r>
        <w:fldChar w:fldCharType="end"/>
      </w:r>
      <w:r w:rsidRPr="00A10065">
        <w:t>)</w:t>
      </w:r>
      <w:r>
        <w:t xml:space="preserve"> </w:t>
      </w:r>
      <w:r w:rsidRPr="0007614E">
        <w:t xml:space="preserve">and over 60 percent of tax revenue </w:t>
      </w:r>
      <w:r w:rsidRPr="00476322">
        <w:t>(</w:t>
      </w:r>
      <w:r w:rsidRPr="00DB3EEE">
        <w:fldChar w:fldCharType="begin"/>
      </w:r>
      <w:r w:rsidRPr="00476322">
        <w:instrText xml:space="preserve"> REF _Ref471747554 \h </w:instrText>
      </w:r>
      <w:r w:rsidRPr="00DB3EEE">
        <w:instrText xml:space="preserve"> \* MERGEFORMAT </w:instrText>
      </w:r>
      <w:r w:rsidRPr="00DB3EEE">
        <w:fldChar w:fldCharType="separate"/>
      </w:r>
      <w:r w:rsidR="007B1CE6" w:rsidRPr="00417629">
        <w:t xml:space="preserve">Figure </w:t>
      </w:r>
      <w:r w:rsidR="007B1CE6">
        <w:rPr>
          <w:noProof/>
        </w:rPr>
        <w:t>3</w:t>
      </w:r>
      <w:r w:rsidR="007B1CE6" w:rsidRPr="00417629">
        <w:rPr>
          <w:noProof/>
        </w:rPr>
        <w:t>.</w:t>
      </w:r>
      <w:r w:rsidR="007B1CE6">
        <w:rPr>
          <w:noProof/>
        </w:rPr>
        <w:t>3</w:t>
      </w:r>
      <w:r w:rsidRPr="00DB3EEE">
        <w:fldChar w:fldCharType="end"/>
      </w:r>
      <w:r w:rsidRPr="00476322">
        <w:t>)</w:t>
      </w:r>
      <w:r>
        <w:t>.</w:t>
      </w:r>
      <w:r w:rsidRPr="00A10065">
        <w:t xml:space="preserve"> The wage bill has since declined as </w:t>
      </w:r>
      <w:r w:rsidRPr="00A10065">
        <w:lastRenderedPageBreak/>
        <w:t xml:space="preserve">deferred wages have been cleared. Between 2009, prior to the introduction of the SSSS, and 2014, when the majority of the public </w:t>
      </w:r>
      <w:r>
        <w:t>sector</w:t>
      </w:r>
      <w:r w:rsidRPr="00A10065">
        <w:t xml:space="preserve"> workers had been migrated to the new system, spending on public sector wages increased by about 2 percentage points of GDP. </w:t>
      </w:r>
      <w:r w:rsidRPr="0007614E">
        <w:t xml:space="preserve">The wage bill peaked in 2013 at 62 percent of tax revenue and 30 percent of total government </w:t>
      </w:r>
      <w:r>
        <w:t>spending,</w:t>
      </w:r>
      <w:r w:rsidRPr="0007614E">
        <w:t xml:space="preserve"> before declining to 53 percent of tax revenue and 29.6 percent of </w:t>
      </w:r>
      <w:r>
        <w:t>spending</w:t>
      </w:r>
      <w:r w:rsidRPr="0007614E">
        <w:t xml:space="preserve"> in 2014. </w:t>
      </w:r>
      <w:r>
        <w:t>The wage bill</w:t>
      </w:r>
      <w:r w:rsidRPr="0007614E">
        <w:t xml:space="preserve"> is projected to fall below 40 percent of tax revenue by 2017.</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00724BAB" w14:paraId="36CDF2BE" w14:textId="77777777" w:rsidTr="00E566F7">
        <w:trPr>
          <w:trHeight w:val="144"/>
        </w:trPr>
        <w:tc>
          <w:tcPr>
            <w:tcW w:w="4675" w:type="dxa"/>
          </w:tcPr>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2"/>
            </w:tblGrid>
            <w:tr w:rsidR="00724BAB" w:rsidRPr="00A10065" w14:paraId="5E6477B9" w14:textId="77777777" w:rsidTr="00E566F7">
              <w:trPr>
                <w:jc w:val="right"/>
              </w:trPr>
              <w:tc>
                <w:tcPr>
                  <w:tcW w:w="4632" w:type="dxa"/>
                </w:tcPr>
                <w:p w14:paraId="49D07D51" w14:textId="77777777" w:rsidR="00724BAB" w:rsidRPr="00417629" w:rsidRDefault="00724BAB" w:rsidP="00E566F7">
                  <w:pPr>
                    <w:pStyle w:val="Caption"/>
                    <w:rPr>
                      <w:lang w:val="en-US"/>
                    </w:rPr>
                  </w:pPr>
                  <w:bookmarkStart w:id="133" w:name="_Toc479624932"/>
                  <w:r w:rsidRPr="00417629">
                    <w:rPr>
                      <w:lang w:val="en-US"/>
                    </w:rPr>
                    <w:t xml:space="preserve">Figure </w:t>
                  </w:r>
                  <w:bookmarkStart w:id="134" w:name="_Ref471747250"/>
                  <w:r w:rsidR="005C0067" w:rsidRPr="00417629">
                    <w:rPr>
                      <w:lang w:val="en-US"/>
                    </w:rPr>
                    <w:fldChar w:fldCharType="begin"/>
                  </w:r>
                  <w:r w:rsidR="005C0067" w:rsidRPr="00417629">
                    <w:rPr>
                      <w:lang w:val="en-US"/>
                    </w:rPr>
                    <w:instrText xml:space="preserve"> STYLEREF 1 \s </w:instrText>
                  </w:r>
                  <w:r w:rsidR="005C0067" w:rsidRPr="00417629">
                    <w:rPr>
                      <w:lang w:val="en-US"/>
                    </w:rPr>
                    <w:fldChar w:fldCharType="separate"/>
                  </w:r>
                  <w:r w:rsidR="007B1CE6">
                    <w:rPr>
                      <w:noProof/>
                      <w:lang w:val="en-US"/>
                    </w:rPr>
                    <w:t>3</w:t>
                  </w:r>
                  <w:r w:rsidR="005C0067" w:rsidRPr="00417629">
                    <w:rPr>
                      <w:lang w:val="en-US"/>
                    </w:rPr>
                    <w:fldChar w:fldCharType="end"/>
                  </w:r>
                  <w:r w:rsidR="005C0067" w:rsidRPr="00417629">
                    <w:rPr>
                      <w:lang w:val="en-US"/>
                    </w:rPr>
                    <w:t>.</w:t>
                  </w:r>
                  <w:r w:rsidR="005C0067" w:rsidRPr="00417629">
                    <w:rPr>
                      <w:lang w:val="en-US"/>
                    </w:rPr>
                    <w:fldChar w:fldCharType="begin"/>
                  </w:r>
                  <w:r w:rsidR="005C0067" w:rsidRPr="00417629">
                    <w:rPr>
                      <w:lang w:val="en-US"/>
                    </w:rPr>
                    <w:instrText xml:space="preserve"> SEQ Figure \* ARABIC \s 1 </w:instrText>
                  </w:r>
                  <w:r w:rsidR="005C0067" w:rsidRPr="00417629">
                    <w:rPr>
                      <w:lang w:val="en-US"/>
                    </w:rPr>
                    <w:fldChar w:fldCharType="separate"/>
                  </w:r>
                  <w:r w:rsidR="007B1CE6">
                    <w:rPr>
                      <w:noProof/>
                      <w:lang w:val="en-US"/>
                    </w:rPr>
                    <w:t>2</w:t>
                  </w:r>
                  <w:r w:rsidR="005C0067" w:rsidRPr="00417629">
                    <w:rPr>
                      <w:lang w:val="en-US"/>
                    </w:rPr>
                    <w:fldChar w:fldCharType="end"/>
                  </w:r>
                  <w:bookmarkEnd w:id="134"/>
                  <w:r w:rsidRPr="00417629">
                    <w:rPr>
                      <w:lang w:val="en-US"/>
                    </w:rPr>
                    <w:t>: The Wage Bill as a Share of GDP, 2004-2016</w:t>
                  </w:r>
                  <w:bookmarkEnd w:id="133"/>
                </w:p>
              </w:tc>
            </w:tr>
            <w:tr w:rsidR="00724BAB" w:rsidRPr="00A10065" w14:paraId="10FB6CCB" w14:textId="77777777" w:rsidTr="00E566F7">
              <w:trPr>
                <w:jc w:val="right"/>
              </w:trPr>
              <w:tc>
                <w:tcPr>
                  <w:tcW w:w="4632" w:type="dxa"/>
                </w:tcPr>
                <w:p w14:paraId="4F51D23E" w14:textId="77777777" w:rsidR="00724BAB" w:rsidRPr="00A10065" w:rsidRDefault="007E539A" w:rsidP="00E566F7">
                  <w:pPr>
                    <w:pStyle w:val="ListParagraph"/>
                    <w:numPr>
                      <w:ilvl w:val="0"/>
                      <w:numId w:val="0"/>
                    </w:numPr>
                    <w:spacing w:after="0"/>
                  </w:pPr>
                  <w:r>
                    <w:rPr>
                      <w:noProof/>
                    </w:rPr>
                    <w:drawing>
                      <wp:inline distT="0" distB="0" distL="0" distR="0" wp14:anchorId="4625CF6D" wp14:editId="33936356">
                        <wp:extent cx="2809875" cy="2340864"/>
                        <wp:effectExtent l="0" t="0" r="0" b="254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31160" cy="2358596"/>
                                </a:xfrm>
                                <a:prstGeom prst="rect">
                                  <a:avLst/>
                                </a:prstGeom>
                                <a:noFill/>
                              </pic:spPr>
                            </pic:pic>
                          </a:graphicData>
                        </a:graphic>
                      </wp:inline>
                    </w:drawing>
                  </w:r>
                </w:p>
              </w:tc>
            </w:tr>
            <w:tr w:rsidR="00724BAB" w:rsidRPr="00A10065" w14:paraId="68552D30" w14:textId="77777777" w:rsidTr="00E566F7">
              <w:trPr>
                <w:jc w:val="right"/>
              </w:trPr>
              <w:tc>
                <w:tcPr>
                  <w:tcW w:w="4632" w:type="dxa"/>
                </w:tcPr>
                <w:p w14:paraId="18895A2D" w14:textId="77777777" w:rsidR="00724BAB" w:rsidRPr="00A10065" w:rsidRDefault="00724BAB" w:rsidP="00E566F7">
                  <w:pPr>
                    <w:pStyle w:val="ListParagraph"/>
                    <w:numPr>
                      <w:ilvl w:val="0"/>
                      <w:numId w:val="0"/>
                    </w:numPr>
                    <w:spacing w:after="0"/>
                  </w:pPr>
                  <w:r w:rsidRPr="00A10065">
                    <w:rPr>
                      <w:i/>
                      <w:sz w:val="20"/>
                      <w:szCs w:val="20"/>
                    </w:rPr>
                    <w:t>Source:</w:t>
                  </w:r>
                  <w:r w:rsidRPr="00A10065">
                    <w:rPr>
                      <w:sz w:val="20"/>
                      <w:szCs w:val="20"/>
                    </w:rPr>
                    <w:t xml:space="preserve"> Ghana Ministry of Finance; </w:t>
                  </w:r>
                  <w:r w:rsidR="007E539A">
                    <w:rPr>
                      <w:sz w:val="20"/>
                      <w:szCs w:val="20"/>
                    </w:rPr>
                    <w:t xml:space="preserve">IMF and </w:t>
                  </w:r>
                  <w:r w:rsidRPr="00A10065">
                    <w:rPr>
                      <w:sz w:val="20"/>
                      <w:szCs w:val="20"/>
                    </w:rPr>
                    <w:t>World Bank</w:t>
                  </w:r>
                </w:p>
              </w:tc>
            </w:tr>
          </w:tbl>
          <w:p w14:paraId="26B37729" w14:textId="77777777" w:rsidR="00724BAB" w:rsidRDefault="00724BAB" w:rsidP="00E566F7">
            <w:pPr>
              <w:pStyle w:val="ListParagraph"/>
              <w:numPr>
                <w:ilvl w:val="0"/>
                <w:numId w:val="0"/>
              </w:numPr>
              <w:spacing w:after="0"/>
            </w:pPr>
          </w:p>
        </w:tc>
        <w:tc>
          <w:tcPr>
            <w:tcW w:w="4675" w:type="dxa"/>
          </w:tcPr>
          <w:tbl>
            <w:tblPr>
              <w:tblStyle w:val="TableGrid"/>
              <w:tblpPr w:leftFromText="180" w:rightFromText="180" w:vertAnchor="text" w:horzAnchor="margin" w:tblpY="-46"/>
              <w:tblOverlap w:val="never"/>
              <w:tblW w:w="4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0"/>
            </w:tblGrid>
            <w:tr w:rsidR="00724BAB" w:rsidRPr="006E370C" w14:paraId="77A99C15" w14:textId="77777777" w:rsidTr="00E566F7">
              <w:trPr>
                <w:trHeight w:val="4321"/>
              </w:trPr>
              <w:tc>
                <w:tcPr>
                  <w:tcW w:w="4580" w:type="dxa"/>
                </w:tcPr>
                <w:p w14:paraId="4DEF28E0" w14:textId="77777777" w:rsidR="00724BAB" w:rsidRPr="00417629" w:rsidRDefault="00724BAB" w:rsidP="00E566F7">
                  <w:pPr>
                    <w:pStyle w:val="Caption"/>
                    <w:rPr>
                      <w:lang w:val="en-US"/>
                    </w:rPr>
                  </w:pPr>
                  <w:bookmarkStart w:id="135" w:name="_Ref471747554"/>
                  <w:bookmarkStart w:id="136" w:name="_Toc479624933"/>
                  <w:r w:rsidRPr="00417629">
                    <w:rPr>
                      <w:lang w:val="en-US"/>
                    </w:rPr>
                    <w:t xml:space="preserve">Figure </w:t>
                  </w:r>
                  <w:r w:rsidR="005C0067" w:rsidRPr="00417629">
                    <w:rPr>
                      <w:lang w:val="en-US"/>
                    </w:rPr>
                    <w:fldChar w:fldCharType="begin"/>
                  </w:r>
                  <w:r w:rsidR="005C0067" w:rsidRPr="00417629">
                    <w:rPr>
                      <w:lang w:val="en-US"/>
                    </w:rPr>
                    <w:instrText xml:space="preserve"> STYLEREF 1 \s </w:instrText>
                  </w:r>
                  <w:r w:rsidR="005C0067" w:rsidRPr="00417629">
                    <w:rPr>
                      <w:lang w:val="en-US"/>
                    </w:rPr>
                    <w:fldChar w:fldCharType="separate"/>
                  </w:r>
                  <w:r w:rsidR="007B1CE6">
                    <w:rPr>
                      <w:noProof/>
                      <w:lang w:val="en-US"/>
                    </w:rPr>
                    <w:t>3</w:t>
                  </w:r>
                  <w:r w:rsidR="005C0067" w:rsidRPr="00417629">
                    <w:rPr>
                      <w:lang w:val="en-US"/>
                    </w:rPr>
                    <w:fldChar w:fldCharType="end"/>
                  </w:r>
                  <w:r w:rsidR="005C0067" w:rsidRPr="00417629">
                    <w:rPr>
                      <w:lang w:val="en-US"/>
                    </w:rPr>
                    <w:t>.</w:t>
                  </w:r>
                  <w:r w:rsidR="005C0067" w:rsidRPr="00417629">
                    <w:rPr>
                      <w:lang w:val="en-US"/>
                    </w:rPr>
                    <w:fldChar w:fldCharType="begin"/>
                  </w:r>
                  <w:r w:rsidR="005C0067" w:rsidRPr="00417629">
                    <w:rPr>
                      <w:lang w:val="en-US"/>
                    </w:rPr>
                    <w:instrText xml:space="preserve"> SEQ Figure \* ARABIC \s 1 </w:instrText>
                  </w:r>
                  <w:r w:rsidR="005C0067" w:rsidRPr="00417629">
                    <w:rPr>
                      <w:lang w:val="en-US"/>
                    </w:rPr>
                    <w:fldChar w:fldCharType="separate"/>
                  </w:r>
                  <w:r w:rsidR="007B1CE6">
                    <w:rPr>
                      <w:noProof/>
                      <w:lang w:val="en-US"/>
                    </w:rPr>
                    <w:t>3</w:t>
                  </w:r>
                  <w:r w:rsidR="005C0067" w:rsidRPr="00417629">
                    <w:rPr>
                      <w:lang w:val="en-US"/>
                    </w:rPr>
                    <w:fldChar w:fldCharType="end"/>
                  </w:r>
                  <w:bookmarkEnd w:id="135"/>
                  <w:r w:rsidRPr="00417629">
                    <w:rPr>
                      <w:lang w:val="en-US"/>
                    </w:rPr>
                    <w:t>: The Wage Bill as a Share of Tax Revenue, 2004-201</w:t>
                  </w:r>
                  <w:r w:rsidR="00076180">
                    <w:rPr>
                      <w:lang w:val="en-US"/>
                    </w:rPr>
                    <w:t>6</w:t>
                  </w:r>
                  <w:r w:rsidRPr="00417629">
                    <w:rPr>
                      <w:lang w:val="en-US"/>
                    </w:rPr>
                    <w:t xml:space="preserve"> (%)</w:t>
                  </w:r>
                  <w:bookmarkEnd w:id="136"/>
                </w:p>
                <w:p w14:paraId="6AFFF011" w14:textId="77777777" w:rsidR="00724BAB" w:rsidRPr="006E370C" w:rsidRDefault="002843FB" w:rsidP="00E566F7">
                  <w:pPr>
                    <w:ind w:right="-82"/>
                    <w:rPr>
                      <w:rFonts w:eastAsia="Calibri" w:cs="Times New Roman"/>
                      <w:b/>
                    </w:rPr>
                  </w:pPr>
                  <w:r>
                    <w:rPr>
                      <w:rFonts w:eastAsia="Calibri" w:cs="Times New Roman"/>
                      <w:b/>
                      <w:noProof/>
                    </w:rPr>
                    <w:drawing>
                      <wp:inline distT="0" distB="0" distL="0" distR="0" wp14:anchorId="3856B2CF" wp14:editId="71167D7F">
                        <wp:extent cx="2700628" cy="2197100"/>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05504" cy="2201067"/>
                                </a:xfrm>
                                <a:prstGeom prst="rect">
                                  <a:avLst/>
                                </a:prstGeom>
                                <a:noFill/>
                              </pic:spPr>
                            </pic:pic>
                          </a:graphicData>
                        </a:graphic>
                      </wp:inline>
                    </w:drawing>
                  </w:r>
                </w:p>
              </w:tc>
            </w:tr>
            <w:tr w:rsidR="00724BAB" w:rsidRPr="006E370C" w14:paraId="62FFCB3B" w14:textId="77777777" w:rsidTr="00E566F7">
              <w:trPr>
                <w:trHeight w:val="150"/>
              </w:trPr>
              <w:tc>
                <w:tcPr>
                  <w:tcW w:w="4580" w:type="dxa"/>
                  <w:vAlign w:val="center"/>
                </w:tcPr>
                <w:p w14:paraId="40D5BEA6" w14:textId="77777777" w:rsidR="00724BAB" w:rsidRPr="00FD6173" w:rsidRDefault="00724BAB" w:rsidP="00E566F7">
                  <w:pPr>
                    <w:ind w:right="-82"/>
                    <w:rPr>
                      <w:rFonts w:ascii="Garamond" w:hAnsi="Garamond"/>
                      <w:sz w:val="20"/>
                      <w:szCs w:val="20"/>
                    </w:rPr>
                  </w:pPr>
                  <w:r w:rsidRPr="00FD6173">
                    <w:rPr>
                      <w:rFonts w:ascii="Garamond" w:hAnsi="Garamond"/>
                      <w:i/>
                      <w:sz w:val="20"/>
                      <w:szCs w:val="20"/>
                    </w:rPr>
                    <w:t>Source:</w:t>
                  </w:r>
                  <w:r w:rsidRPr="00FD6173">
                    <w:rPr>
                      <w:rFonts w:ascii="Garamond" w:hAnsi="Garamond"/>
                      <w:sz w:val="20"/>
                      <w:szCs w:val="20"/>
                    </w:rPr>
                    <w:t xml:space="preserve">  Ghana Ministry of Finance</w:t>
                  </w:r>
                  <w:r w:rsidR="007E539A" w:rsidRPr="00FD6173">
                    <w:rPr>
                      <w:rFonts w:ascii="Garamond" w:hAnsi="Garamond"/>
                      <w:sz w:val="20"/>
                      <w:szCs w:val="20"/>
                    </w:rPr>
                    <w:t>; IMF</w:t>
                  </w:r>
                  <w:r w:rsidRPr="00FD6173">
                    <w:rPr>
                      <w:rFonts w:ascii="Garamond" w:hAnsi="Garamond"/>
                      <w:sz w:val="20"/>
                      <w:szCs w:val="20"/>
                    </w:rPr>
                    <w:t xml:space="preserve"> and World Bank</w:t>
                  </w:r>
                </w:p>
              </w:tc>
            </w:tr>
          </w:tbl>
          <w:p w14:paraId="0A2489FA" w14:textId="77777777" w:rsidR="00724BAB" w:rsidRDefault="00724BAB" w:rsidP="00E566F7">
            <w:pPr>
              <w:pStyle w:val="ListParagraph"/>
              <w:numPr>
                <w:ilvl w:val="0"/>
                <w:numId w:val="0"/>
              </w:numPr>
              <w:spacing w:after="0"/>
            </w:pPr>
          </w:p>
        </w:tc>
      </w:tr>
    </w:tbl>
    <w:p w14:paraId="15E64256" w14:textId="6EF89B1B" w:rsidR="00724BAB" w:rsidRPr="002A2823" w:rsidRDefault="00724BAB" w:rsidP="004752E7">
      <w:pPr>
        <w:pStyle w:val="ListParagraph"/>
        <w:numPr>
          <w:ilvl w:val="0"/>
          <w:numId w:val="13"/>
        </w:numPr>
        <w:spacing w:before="240"/>
      </w:pPr>
      <w:r w:rsidRPr="002A2823">
        <w:rPr>
          <w:b/>
        </w:rPr>
        <w:t>Ghana’s wage bill relative to its budget and the size of the public sector workforce relative to the population are both somewhat large by the standards of comparable countries.</w:t>
      </w:r>
      <w:r w:rsidRPr="002A2823">
        <w:t xml:space="preserve"> The wage bill is exceptionally high as a share of tax revenues, but only moderately high as a share of expenditures or GDP (</w:t>
      </w:r>
      <w:r w:rsidRPr="002A2823">
        <w:fldChar w:fldCharType="begin"/>
      </w:r>
      <w:r w:rsidRPr="002A2823">
        <w:instrText xml:space="preserve"> REF _Ref470619853 \h </w:instrText>
      </w:r>
      <w:r w:rsidR="002A2823">
        <w:instrText xml:space="preserve"> \* MERGEFORMAT </w:instrText>
      </w:r>
      <w:r w:rsidRPr="002A2823">
        <w:fldChar w:fldCharType="separate"/>
      </w:r>
      <w:r w:rsidR="007B1CE6" w:rsidRPr="002020FF">
        <w:t xml:space="preserve">Figure </w:t>
      </w:r>
      <w:r w:rsidR="007B1CE6">
        <w:rPr>
          <w:noProof/>
        </w:rPr>
        <w:t>3.4</w:t>
      </w:r>
      <w:r w:rsidRPr="002A2823">
        <w:fldChar w:fldCharType="end"/>
      </w:r>
      <w:r w:rsidRPr="002A2823">
        <w:t>). Ghana’s wage bill amounted to 6</w:t>
      </w:r>
      <w:r w:rsidR="002843FB">
        <w:t>1</w:t>
      </w:r>
      <w:r w:rsidRPr="002A2823">
        <w:t xml:space="preserve"> percent of tax revenue in 2012, </w:t>
      </w:r>
      <w:r w:rsidR="002843FB">
        <w:t>and fell to</w:t>
      </w:r>
      <w:r w:rsidRPr="002A2823">
        <w:t xml:space="preserve"> 44.2 percent in 2015, </w:t>
      </w:r>
      <w:r w:rsidR="002843FB">
        <w:t xml:space="preserve">still </w:t>
      </w:r>
      <w:r w:rsidRPr="002A2823">
        <w:t xml:space="preserve">well above the </w:t>
      </w:r>
      <w:r w:rsidR="00E25E19" w:rsidRPr="002A2823">
        <w:t>SSA</w:t>
      </w:r>
      <w:r w:rsidRPr="002A2823">
        <w:t xml:space="preserve"> average of 28 percent and the West African Monetary Zone convergence criterion of 35 percent. The wage bill ranges from about 20-25 percent of government spending in advanced economies and emerging markets to almost 30 percent in low-income countries.</w:t>
      </w:r>
      <w:r w:rsidR="00D16D13" w:rsidRPr="002A2823">
        <w:rPr>
          <w:rStyle w:val="FootnoteReference"/>
        </w:rPr>
        <w:footnoteReference w:id="93"/>
      </w:r>
      <w:r w:rsidRPr="002A2823">
        <w:t xml:space="preserve"> In 201</w:t>
      </w:r>
      <w:r w:rsidR="002A2823" w:rsidRPr="002A2823">
        <w:t>6</w:t>
      </w:r>
      <w:r w:rsidRPr="002A2823">
        <w:t>, Ghana’s total public sector wage bill, including deferred wages, represented about 2</w:t>
      </w:r>
      <w:r w:rsidR="002A2823" w:rsidRPr="002A2823">
        <w:t>6</w:t>
      </w:r>
      <w:r w:rsidRPr="002A2823">
        <w:t xml:space="preserve"> percent of government spending and equaled </w:t>
      </w:r>
      <w:r w:rsidR="002A2823" w:rsidRPr="002A2823">
        <w:t>7.2</w:t>
      </w:r>
      <w:r w:rsidRPr="002A2823">
        <w:t xml:space="preserve"> percent of GDP, within the 5-10 percent range for most emerging markets and low-income countries. </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50"/>
      </w:tblGrid>
      <w:tr w:rsidR="00724BAB" w:rsidRPr="0023527A" w14:paraId="1A22F2B9" w14:textId="77777777" w:rsidTr="00E566F7">
        <w:tc>
          <w:tcPr>
            <w:tcW w:w="9450" w:type="dxa"/>
          </w:tcPr>
          <w:p w14:paraId="3D8B9284" w14:textId="77777777" w:rsidR="00724BAB" w:rsidRPr="002020FF" w:rsidRDefault="00724BAB" w:rsidP="00E566F7">
            <w:pPr>
              <w:pStyle w:val="Caption"/>
              <w:rPr>
                <w:lang w:val="en-US"/>
              </w:rPr>
            </w:pPr>
            <w:bookmarkStart w:id="137" w:name="_Ref470619853"/>
            <w:bookmarkStart w:id="138" w:name="_Toc479624934"/>
            <w:r w:rsidRPr="002020FF">
              <w:rPr>
                <w:lang w:val="en-US"/>
              </w:rPr>
              <w:lastRenderedPageBreak/>
              <w:t xml:space="preserve">Figure </w:t>
            </w:r>
            <w:r w:rsidR="005C0067">
              <w:rPr>
                <w:lang w:val="en-US"/>
              </w:rPr>
              <w:fldChar w:fldCharType="begin"/>
            </w:r>
            <w:r w:rsidR="005C0067">
              <w:rPr>
                <w:lang w:val="en-US"/>
              </w:rPr>
              <w:instrText xml:space="preserve"> STYLEREF 1 \s </w:instrText>
            </w:r>
            <w:r w:rsidR="005C0067">
              <w:rPr>
                <w:lang w:val="en-US"/>
              </w:rPr>
              <w:fldChar w:fldCharType="separate"/>
            </w:r>
            <w:r w:rsidR="007B1CE6">
              <w:rPr>
                <w:noProof/>
                <w:lang w:val="en-US"/>
              </w:rPr>
              <w:t>3</w:t>
            </w:r>
            <w:r w:rsidR="005C0067">
              <w:rPr>
                <w:lang w:val="en-US"/>
              </w:rPr>
              <w:fldChar w:fldCharType="end"/>
            </w:r>
            <w:r w:rsidR="005C0067">
              <w:rPr>
                <w:lang w:val="en-US"/>
              </w:rPr>
              <w:t>.</w:t>
            </w:r>
            <w:r w:rsidR="005C0067">
              <w:rPr>
                <w:lang w:val="en-US"/>
              </w:rPr>
              <w:fldChar w:fldCharType="begin"/>
            </w:r>
            <w:r w:rsidR="005C0067">
              <w:rPr>
                <w:lang w:val="en-US"/>
              </w:rPr>
              <w:instrText xml:space="preserve"> SEQ Figure \* ARABIC \s 1 </w:instrText>
            </w:r>
            <w:r w:rsidR="005C0067">
              <w:rPr>
                <w:lang w:val="en-US"/>
              </w:rPr>
              <w:fldChar w:fldCharType="separate"/>
            </w:r>
            <w:r w:rsidR="007B1CE6">
              <w:rPr>
                <w:noProof/>
                <w:lang w:val="en-US"/>
              </w:rPr>
              <w:t>4</w:t>
            </w:r>
            <w:r w:rsidR="005C0067">
              <w:rPr>
                <w:lang w:val="en-US"/>
              </w:rPr>
              <w:fldChar w:fldCharType="end"/>
            </w:r>
            <w:bookmarkEnd w:id="137"/>
            <w:r w:rsidRPr="002020FF">
              <w:rPr>
                <w:lang w:val="en-US"/>
              </w:rPr>
              <w:t>: The Wage Bill as a Share of GDP, Revenues and Expenditures Worldwide</w:t>
            </w:r>
            <w:bookmarkEnd w:id="138"/>
          </w:p>
          <w:p w14:paraId="2E80B16A" w14:textId="77777777" w:rsidR="00724BAB" w:rsidRPr="00A10065" w:rsidRDefault="00724BAB" w:rsidP="00E566F7">
            <w:pPr>
              <w:rPr>
                <w:rFonts w:eastAsia="Calibri"/>
              </w:rPr>
            </w:pPr>
            <w:r w:rsidRPr="00A01E73">
              <w:rPr>
                <w:rFonts w:eastAsia="Calibri"/>
                <w:noProof/>
              </w:rPr>
              <w:drawing>
                <wp:inline distT="0" distB="0" distL="0" distR="0" wp14:anchorId="06D96A3A" wp14:editId="5DCCD490">
                  <wp:extent cx="5873115" cy="2190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a:extLst>
                              <a:ext uri="{28A0092B-C50C-407E-A947-70E740481C1C}">
                                <a14:useLocalDpi xmlns:a14="http://schemas.microsoft.com/office/drawing/2010/main" val="0"/>
                              </a:ext>
                            </a:extLst>
                          </a:blip>
                          <a:srcRect l="1163" t="17004" r="2094" b="3004"/>
                          <a:stretch/>
                        </pic:blipFill>
                        <pic:spPr bwMode="auto">
                          <a:xfrm>
                            <a:off x="0" y="0"/>
                            <a:ext cx="5873194" cy="2190779"/>
                          </a:xfrm>
                          <a:prstGeom prst="rect">
                            <a:avLst/>
                          </a:prstGeom>
                          <a:noFill/>
                          <a:ln>
                            <a:noFill/>
                          </a:ln>
                          <a:extLst>
                            <a:ext uri="{53640926-AAD7-44D8-BBD7-CCE9431645EC}">
                              <a14:shadowObscured xmlns:a14="http://schemas.microsoft.com/office/drawing/2010/main"/>
                            </a:ext>
                          </a:extLst>
                        </pic:spPr>
                      </pic:pic>
                    </a:graphicData>
                  </a:graphic>
                </wp:inline>
              </w:drawing>
            </w:r>
            <w:r w:rsidRPr="00A10065">
              <w:rPr>
                <w:i/>
                <w:sz w:val="20"/>
                <w:szCs w:val="20"/>
              </w:rPr>
              <w:t>Source:</w:t>
            </w:r>
            <w:r w:rsidRPr="00A10065">
              <w:rPr>
                <w:sz w:val="20"/>
                <w:szCs w:val="20"/>
              </w:rPr>
              <w:t xml:space="preserve"> World Bank and IMF Wage Bill Database</w:t>
            </w:r>
          </w:p>
        </w:tc>
      </w:tr>
    </w:tbl>
    <w:p w14:paraId="49C6540F" w14:textId="77777777" w:rsidR="00724BAB" w:rsidRDefault="00724BAB" w:rsidP="007522E4">
      <w:pPr>
        <w:pStyle w:val="ListParagraph"/>
        <w:numPr>
          <w:ilvl w:val="0"/>
          <w:numId w:val="13"/>
        </w:numPr>
        <w:spacing w:before="240"/>
      </w:pPr>
      <w:r w:rsidRPr="002020FF">
        <w:rPr>
          <w:b/>
        </w:rPr>
        <w:t xml:space="preserve">Public sector employment </w:t>
      </w:r>
      <w:r w:rsidRPr="00A10065">
        <w:rPr>
          <w:b/>
        </w:rPr>
        <w:t xml:space="preserve">growth has outpaced </w:t>
      </w:r>
      <w:r w:rsidRPr="002020FF">
        <w:rPr>
          <w:b/>
        </w:rPr>
        <w:t>population</w:t>
      </w:r>
      <w:r w:rsidRPr="00A10065">
        <w:rPr>
          <w:b/>
        </w:rPr>
        <w:t xml:space="preserve"> growth</w:t>
      </w:r>
      <w:r w:rsidRPr="002020FF">
        <w:rPr>
          <w:b/>
        </w:rPr>
        <w:t>, but</w:t>
      </w:r>
      <w:r w:rsidRPr="00A10065">
        <w:rPr>
          <w:b/>
        </w:rPr>
        <w:t xml:space="preserve"> the number of public sector workers per capita remains</w:t>
      </w:r>
      <w:r w:rsidRPr="002020FF">
        <w:rPr>
          <w:b/>
        </w:rPr>
        <w:t xml:space="preserve"> </w:t>
      </w:r>
      <w:r w:rsidRPr="00A10065">
        <w:rPr>
          <w:b/>
        </w:rPr>
        <w:t>in line with global comparators</w:t>
      </w:r>
      <w:r w:rsidRPr="002020FF">
        <w:rPr>
          <w:b/>
        </w:rPr>
        <w:t>.</w:t>
      </w:r>
      <w:r w:rsidRPr="00A10065">
        <w:t xml:space="preserve"> Between 2009 and 2014, public sector employment in Ghana grew by about 23 percent, while the total population grew by about 13 percent. Nevertheless, public sector workers continued to represent less than 2 percent of the population compared to an average of 7-8 percent in OECD countries and about 5 percent in emerging markets and low-income countries (</w:t>
      </w:r>
      <w:r w:rsidR="00967840">
        <w:fldChar w:fldCharType="begin"/>
      </w:r>
      <w:r w:rsidR="00967840">
        <w:instrText xml:space="preserve"> REF _Ref472538509 \h </w:instrText>
      </w:r>
      <w:r w:rsidR="00967840">
        <w:fldChar w:fldCharType="separate"/>
      </w:r>
      <w:r w:rsidR="007B1CE6" w:rsidRPr="002020FF">
        <w:t xml:space="preserve">Table </w:t>
      </w:r>
      <w:r w:rsidR="007B1CE6">
        <w:rPr>
          <w:noProof/>
        </w:rPr>
        <w:t>3</w:t>
      </w:r>
      <w:r w:rsidR="007B1CE6">
        <w:t>.</w:t>
      </w:r>
      <w:r w:rsidR="007B1CE6">
        <w:rPr>
          <w:noProof/>
        </w:rPr>
        <w:t>8</w:t>
      </w:r>
      <w:r w:rsidR="00967840">
        <w:fldChar w:fldCharType="end"/>
      </w:r>
      <w:r w:rsidRPr="00A10065">
        <w:t>).</w:t>
      </w:r>
      <w:r w:rsidRPr="00A10065">
        <w:rPr>
          <w:rStyle w:val="FootnoteReference"/>
        </w:rPr>
        <w:footnoteReference w:id="94"/>
      </w:r>
      <w:r w:rsidRPr="00A10065">
        <w:t xml:space="preserve"> However, Ghana’s entire formal sector only employs about 12 percent of the active labor force, and the public sector represents about half of all formal employment.</w:t>
      </w:r>
      <w:r w:rsidRPr="002020FF">
        <w:rPr>
          <w:rStyle w:val="FootnoteReference"/>
        </w:rPr>
        <w:footnoteReference w:id="95"/>
      </w:r>
      <w:r w:rsidRPr="00A10065">
        <w:t xml:space="preserve"> As a result, public sector wages and employment terms have enormous influence in the formal labor market.</w:t>
      </w:r>
    </w:p>
    <w:p w14:paraId="5893ADC5" w14:textId="77777777" w:rsidR="00724BAB" w:rsidRPr="002020FF" w:rsidRDefault="00724BAB" w:rsidP="00724BAB">
      <w:pPr>
        <w:pStyle w:val="Caption"/>
        <w:rPr>
          <w:lang w:val="en-US"/>
        </w:rPr>
      </w:pPr>
      <w:bookmarkStart w:id="139" w:name="_Ref472538509"/>
      <w:bookmarkStart w:id="140" w:name="_Toc478837645"/>
      <w:r w:rsidRPr="002020FF">
        <w:rPr>
          <w:lang w:val="en-US"/>
        </w:rPr>
        <w:t xml:space="preserve">Table </w:t>
      </w:r>
      <w:r w:rsidR="00500291">
        <w:rPr>
          <w:lang w:val="en-US"/>
        </w:rPr>
        <w:fldChar w:fldCharType="begin"/>
      </w:r>
      <w:r w:rsidR="00500291">
        <w:rPr>
          <w:lang w:val="en-US"/>
        </w:rPr>
        <w:instrText xml:space="preserve"> STYLEREF 1 \s </w:instrText>
      </w:r>
      <w:r w:rsidR="00500291">
        <w:rPr>
          <w:lang w:val="en-US"/>
        </w:rPr>
        <w:fldChar w:fldCharType="separate"/>
      </w:r>
      <w:r w:rsidR="007B1CE6">
        <w:rPr>
          <w:noProof/>
          <w:lang w:val="en-US"/>
        </w:rPr>
        <w:t>3</w:t>
      </w:r>
      <w:r w:rsidR="00500291">
        <w:rPr>
          <w:lang w:val="en-US"/>
        </w:rPr>
        <w:fldChar w:fldCharType="end"/>
      </w:r>
      <w:r w:rsidR="00500291">
        <w:rPr>
          <w:lang w:val="en-US"/>
        </w:rPr>
        <w:t>.</w:t>
      </w:r>
      <w:r w:rsidR="00500291">
        <w:rPr>
          <w:lang w:val="en-US"/>
        </w:rPr>
        <w:fldChar w:fldCharType="begin"/>
      </w:r>
      <w:r w:rsidR="00500291">
        <w:rPr>
          <w:lang w:val="en-US"/>
        </w:rPr>
        <w:instrText xml:space="preserve"> SEQ Table \* ARABIC \s 1 </w:instrText>
      </w:r>
      <w:r w:rsidR="00500291">
        <w:rPr>
          <w:lang w:val="en-US"/>
        </w:rPr>
        <w:fldChar w:fldCharType="separate"/>
      </w:r>
      <w:r w:rsidR="007B1CE6">
        <w:rPr>
          <w:noProof/>
          <w:lang w:val="en-US"/>
        </w:rPr>
        <w:t>8</w:t>
      </w:r>
      <w:r w:rsidR="00500291">
        <w:rPr>
          <w:lang w:val="en-US"/>
        </w:rPr>
        <w:fldChar w:fldCharType="end"/>
      </w:r>
      <w:bookmarkEnd w:id="139"/>
      <w:r w:rsidRPr="002020FF">
        <w:rPr>
          <w:lang w:val="en-US"/>
        </w:rPr>
        <w:t>: The Wage Bill, Public Sector Employment and the Total Population, Relative Sizes and Growth Rates, 2009 and 201</w:t>
      </w:r>
      <w:r>
        <w:rPr>
          <w:lang w:val="en-US"/>
        </w:rPr>
        <w:t>5</w:t>
      </w:r>
      <w:bookmarkEnd w:id="140"/>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5"/>
        <w:gridCol w:w="1170"/>
        <w:gridCol w:w="1170"/>
        <w:gridCol w:w="1440"/>
        <w:gridCol w:w="1170"/>
      </w:tblGrid>
      <w:tr w:rsidR="00724BAB" w:rsidRPr="002843FB" w14:paraId="2C0E858F" w14:textId="77777777" w:rsidTr="00E566F7">
        <w:trPr>
          <w:jc w:val="center"/>
        </w:trPr>
        <w:tc>
          <w:tcPr>
            <w:tcW w:w="2695" w:type="dxa"/>
            <w:shd w:val="clear" w:color="auto" w:fill="auto"/>
            <w:vAlign w:val="bottom"/>
          </w:tcPr>
          <w:p w14:paraId="347E551B" w14:textId="77777777" w:rsidR="00724BAB" w:rsidRPr="002843FB" w:rsidRDefault="00724BAB" w:rsidP="00A05F41">
            <w:pPr>
              <w:keepNext/>
              <w:spacing w:after="0" w:line="240" w:lineRule="auto"/>
              <w:rPr>
                <w:rFonts w:asciiTheme="minorHAnsi" w:hAnsiTheme="minorHAnsi"/>
                <w:lang w:eastAsia="en-GB"/>
              </w:rPr>
            </w:pPr>
          </w:p>
        </w:tc>
        <w:tc>
          <w:tcPr>
            <w:tcW w:w="1170" w:type="dxa"/>
            <w:shd w:val="clear" w:color="auto" w:fill="auto"/>
          </w:tcPr>
          <w:p w14:paraId="6D93ADEB"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2009</w:t>
            </w:r>
          </w:p>
        </w:tc>
        <w:tc>
          <w:tcPr>
            <w:tcW w:w="1170" w:type="dxa"/>
            <w:shd w:val="clear" w:color="auto" w:fill="auto"/>
          </w:tcPr>
          <w:p w14:paraId="55840AA7"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2014</w:t>
            </w:r>
          </w:p>
        </w:tc>
        <w:tc>
          <w:tcPr>
            <w:tcW w:w="1440" w:type="dxa"/>
            <w:shd w:val="clear" w:color="auto" w:fill="auto"/>
          </w:tcPr>
          <w:p w14:paraId="4599934A"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2009-2014</w:t>
            </w:r>
          </w:p>
          <w:p w14:paraId="2FB469EE"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 change)</w:t>
            </w:r>
          </w:p>
        </w:tc>
        <w:tc>
          <w:tcPr>
            <w:tcW w:w="1170" w:type="dxa"/>
          </w:tcPr>
          <w:p w14:paraId="3750A674"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2015</w:t>
            </w:r>
          </w:p>
        </w:tc>
      </w:tr>
      <w:tr w:rsidR="00724BAB" w:rsidRPr="002843FB" w14:paraId="1EF928A6" w14:textId="77777777" w:rsidTr="00E566F7">
        <w:trPr>
          <w:jc w:val="center"/>
        </w:trPr>
        <w:tc>
          <w:tcPr>
            <w:tcW w:w="2695" w:type="dxa"/>
            <w:shd w:val="clear" w:color="auto" w:fill="auto"/>
            <w:vAlign w:val="bottom"/>
          </w:tcPr>
          <w:p w14:paraId="44269B7C" w14:textId="77777777" w:rsidR="00724BAB" w:rsidRPr="002843FB" w:rsidRDefault="00724BAB" w:rsidP="00A05F41">
            <w:pPr>
              <w:keepNext/>
              <w:spacing w:after="0" w:line="240" w:lineRule="auto"/>
              <w:rPr>
                <w:rFonts w:asciiTheme="minorHAnsi" w:hAnsiTheme="minorHAnsi"/>
                <w:lang w:eastAsia="en-GB"/>
              </w:rPr>
            </w:pPr>
            <w:r w:rsidRPr="002843FB">
              <w:rPr>
                <w:rFonts w:asciiTheme="minorHAnsi" w:hAnsiTheme="minorHAnsi"/>
                <w:lang w:eastAsia="en-GB"/>
              </w:rPr>
              <w:t>Wage bill (GH¢ millions)</w:t>
            </w:r>
          </w:p>
        </w:tc>
        <w:tc>
          <w:tcPr>
            <w:tcW w:w="1170" w:type="dxa"/>
            <w:shd w:val="clear" w:color="auto" w:fill="auto"/>
            <w:vAlign w:val="bottom"/>
          </w:tcPr>
          <w:p w14:paraId="1827CA67"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2,447.9</w:t>
            </w:r>
          </w:p>
        </w:tc>
        <w:tc>
          <w:tcPr>
            <w:tcW w:w="1170" w:type="dxa"/>
            <w:shd w:val="clear" w:color="auto" w:fill="auto"/>
            <w:vAlign w:val="bottom"/>
          </w:tcPr>
          <w:p w14:paraId="498C898A"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9,497.3</w:t>
            </w:r>
          </w:p>
        </w:tc>
        <w:tc>
          <w:tcPr>
            <w:tcW w:w="1440" w:type="dxa"/>
            <w:shd w:val="clear" w:color="auto" w:fill="auto"/>
            <w:vAlign w:val="bottom"/>
          </w:tcPr>
          <w:p w14:paraId="2F854ED9"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288%</w:t>
            </w:r>
          </w:p>
        </w:tc>
        <w:tc>
          <w:tcPr>
            <w:tcW w:w="1170" w:type="dxa"/>
          </w:tcPr>
          <w:p w14:paraId="282E9AE6"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rPr>
              <w:t>13,015.24</w:t>
            </w:r>
          </w:p>
        </w:tc>
      </w:tr>
      <w:tr w:rsidR="00724BAB" w:rsidRPr="002843FB" w14:paraId="1475B5F8" w14:textId="77777777" w:rsidTr="00E566F7">
        <w:trPr>
          <w:jc w:val="center"/>
        </w:trPr>
        <w:tc>
          <w:tcPr>
            <w:tcW w:w="2695" w:type="dxa"/>
            <w:shd w:val="clear" w:color="auto" w:fill="auto"/>
            <w:vAlign w:val="bottom"/>
          </w:tcPr>
          <w:p w14:paraId="57991988" w14:textId="77777777" w:rsidR="00724BAB" w:rsidRPr="002843FB" w:rsidRDefault="00724BAB" w:rsidP="00A05F41">
            <w:pPr>
              <w:keepNext/>
              <w:spacing w:after="0" w:line="240" w:lineRule="auto"/>
              <w:rPr>
                <w:rFonts w:asciiTheme="minorHAnsi" w:hAnsiTheme="minorHAnsi"/>
                <w:lang w:eastAsia="en-GB"/>
              </w:rPr>
            </w:pPr>
            <w:r w:rsidRPr="002843FB">
              <w:rPr>
                <w:rFonts w:asciiTheme="minorHAnsi" w:hAnsiTheme="minorHAnsi"/>
                <w:lang w:eastAsia="en-GB"/>
              </w:rPr>
              <w:t xml:space="preserve">     -Education</w:t>
            </w:r>
          </w:p>
        </w:tc>
        <w:tc>
          <w:tcPr>
            <w:tcW w:w="1170" w:type="dxa"/>
            <w:shd w:val="clear" w:color="auto" w:fill="auto"/>
            <w:vAlign w:val="bottom"/>
          </w:tcPr>
          <w:p w14:paraId="27755D36"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1,181.0</w:t>
            </w:r>
          </w:p>
        </w:tc>
        <w:tc>
          <w:tcPr>
            <w:tcW w:w="1170" w:type="dxa"/>
            <w:shd w:val="clear" w:color="auto" w:fill="auto"/>
            <w:vAlign w:val="bottom"/>
          </w:tcPr>
          <w:p w14:paraId="5C859C2F"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4,988.8</w:t>
            </w:r>
          </w:p>
        </w:tc>
        <w:tc>
          <w:tcPr>
            <w:tcW w:w="1440" w:type="dxa"/>
            <w:shd w:val="clear" w:color="auto" w:fill="auto"/>
            <w:vAlign w:val="bottom"/>
          </w:tcPr>
          <w:p w14:paraId="0CC5A06D"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322%</w:t>
            </w:r>
          </w:p>
        </w:tc>
        <w:tc>
          <w:tcPr>
            <w:tcW w:w="1170" w:type="dxa"/>
          </w:tcPr>
          <w:p w14:paraId="14A837EA"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rPr>
              <w:t>5,530.65</w:t>
            </w:r>
          </w:p>
        </w:tc>
      </w:tr>
      <w:tr w:rsidR="00724BAB" w:rsidRPr="002843FB" w14:paraId="5179242C" w14:textId="77777777" w:rsidTr="00E566F7">
        <w:trPr>
          <w:jc w:val="center"/>
        </w:trPr>
        <w:tc>
          <w:tcPr>
            <w:tcW w:w="2695" w:type="dxa"/>
            <w:shd w:val="clear" w:color="auto" w:fill="auto"/>
            <w:vAlign w:val="bottom"/>
          </w:tcPr>
          <w:p w14:paraId="02D2BA26" w14:textId="77777777" w:rsidR="00724BAB" w:rsidRPr="002843FB" w:rsidRDefault="00724BAB" w:rsidP="00A05F41">
            <w:pPr>
              <w:keepNext/>
              <w:spacing w:after="0" w:line="240" w:lineRule="auto"/>
              <w:rPr>
                <w:rFonts w:asciiTheme="minorHAnsi" w:hAnsiTheme="minorHAnsi"/>
                <w:lang w:eastAsia="en-GB"/>
              </w:rPr>
            </w:pPr>
            <w:r w:rsidRPr="002843FB">
              <w:rPr>
                <w:rFonts w:asciiTheme="minorHAnsi" w:hAnsiTheme="minorHAnsi"/>
                <w:lang w:eastAsia="en-GB"/>
              </w:rPr>
              <w:t xml:space="preserve">     -Health</w:t>
            </w:r>
          </w:p>
        </w:tc>
        <w:tc>
          <w:tcPr>
            <w:tcW w:w="1170" w:type="dxa"/>
            <w:shd w:val="clear" w:color="auto" w:fill="auto"/>
            <w:vAlign w:val="bottom"/>
          </w:tcPr>
          <w:p w14:paraId="693BE91E"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398.9</w:t>
            </w:r>
          </w:p>
        </w:tc>
        <w:tc>
          <w:tcPr>
            <w:tcW w:w="1170" w:type="dxa"/>
            <w:shd w:val="clear" w:color="auto" w:fill="auto"/>
            <w:vAlign w:val="bottom"/>
          </w:tcPr>
          <w:p w14:paraId="3A6B0F46"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1,503.8</w:t>
            </w:r>
          </w:p>
        </w:tc>
        <w:tc>
          <w:tcPr>
            <w:tcW w:w="1440" w:type="dxa"/>
            <w:shd w:val="clear" w:color="auto" w:fill="auto"/>
            <w:vAlign w:val="bottom"/>
          </w:tcPr>
          <w:p w14:paraId="3835C613"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277%</w:t>
            </w:r>
          </w:p>
        </w:tc>
        <w:tc>
          <w:tcPr>
            <w:tcW w:w="1170" w:type="dxa"/>
          </w:tcPr>
          <w:p w14:paraId="01FC91FC"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rPr>
              <w:t>2,031.55</w:t>
            </w:r>
          </w:p>
        </w:tc>
      </w:tr>
      <w:tr w:rsidR="00724BAB" w:rsidRPr="002843FB" w14:paraId="7616336B" w14:textId="77777777" w:rsidTr="00E566F7">
        <w:trPr>
          <w:jc w:val="center"/>
        </w:trPr>
        <w:tc>
          <w:tcPr>
            <w:tcW w:w="2695" w:type="dxa"/>
            <w:shd w:val="clear" w:color="auto" w:fill="auto"/>
            <w:vAlign w:val="bottom"/>
          </w:tcPr>
          <w:p w14:paraId="2F6D8B99" w14:textId="77777777" w:rsidR="00724BAB" w:rsidRPr="002843FB" w:rsidRDefault="00724BAB" w:rsidP="00A05F41">
            <w:pPr>
              <w:keepNext/>
              <w:spacing w:after="0" w:line="240" w:lineRule="auto"/>
              <w:rPr>
                <w:rFonts w:asciiTheme="minorHAnsi" w:hAnsiTheme="minorHAnsi"/>
                <w:lang w:eastAsia="en-GB"/>
              </w:rPr>
            </w:pPr>
            <w:r w:rsidRPr="002843FB">
              <w:rPr>
                <w:rFonts w:asciiTheme="minorHAnsi" w:hAnsiTheme="minorHAnsi"/>
                <w:lang w:eastAsia="en-GB"/>
              </w:rPr>
              <w:t xml:space="preserve">     -Other</w:t>
            </w:r>
          </w:p>
        </w:tc>
        <w:tc>
          <w:tcPr>
            <w:tcW w:w="1170" w:type="dxa"/>
            <w:shd w:val="clear" w:color="auto" w:fill="auto"/>
            <w:vAlign w:val="bottom"/>
          </w:tcPr>
          <w:p w14:paraId="18912E5F"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868.0</w:t>
            </w:r>
          </w:p>
        </w:tc>
        <w:tc>
          <w:tcPr>
            <w:tcW w:w="1170" w:type="dxa"/>
            <w:shd w:val="clear" w:color="auto" w:fill="auto"/>
            <w:vAlign w:val="bottom"/>
          </w:tcPr>
          <w:p w14:paraId="14ACB86C"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3,004.7</w:t>
            </w:r>
          </w:p>
        </w:tc>
        <w:tc>
          <w:tcPr>
            <w:tcW w:w="1440" w:type="dxa"/>
            <w:shd w:val="clear" w:color="auto" w:fill="auto"/>
            <w:vAlign w:val="bottom"/>
          </w:tcPr>
          <w:p w14:paraId="412BCCC5"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246%</w:t>
            </w:r>
          </w:p>
        </w:tc>
        <w:tc>
          <w:tcPr>
            <w:tcW w:w="1170" w:type="dxa"/>
          </w:tcPr>
          <w:p w14:paraId="485B6A9F"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rPr>
              <w:t>5,453.04</w:t>
            </w:r>
          </w:p>
        </w:tc>
      </w:tr>
      <w:tr w:rsidR="00724BAB" w:rsidRPr="002843FB" w14:paraId="396FED88" w14:textId="77777777" w:rsidTr="00E566F7">
        <w:trPr>
          <w:jc w:val="center"/>
        </w:trPr>
        <w:tc>
          <w:tcPr>
            <w:tcW w:w="2695" w:type="dxa"/>
            <w:shd w:val="clear" w:color="auto" w:fill="auto"/>
            <w:vAlign w:val="bottom"/>
          </w:tcPr>
          <w:p w14:paraId="4CBF9205" w14:textId="77777777" w:rsidR="00724BAB" w:rsidRPr="002843FB" w:rsidRDefault="00724BAB" w:rsidP="00A05F41">
            <w:pPr>
              <w:keepNext/>
              <w:spacing w:after="0" w:line="240" w:lineRule="auto"/>
              <w:rPr>
                <w:rFonts w:asciiTheme="minorHAnsi" w:hAnsiTheme="minorHAnsi"/>
                <w:lang w:eastAsia="en-GB"/>
              </w:rPr>
            </w:pPr>
          </w:p>
        </w:tc>
        <w:tc>
          <w:tcPr>
            <w:tcW w:w="1170" w:type="dxa"/>
            <w:shd w:val="clear" w:color="auto" w:fill="auto"/>
            <w:vAlign w:val="bottom"/>
          </w:tcPr>
          <w:p w14:paraId="6C51B749" w14:textId="77777777" w:rsidR="00724BAB" w:rsidRPr="002843FB" w:rsidRDefault="00724BAB" w:rsidP="00A05F41">
            <w:pPr>
              <w:keepNext/>
              <w:spacing w:after="0" w:line="240" w:lineRule="auto"/>
              <w:jc w:val="center"/>
              <w:rPr>
                <w:rFonts w:asciiTheme="minorHAnsi" w:hAnsiTheme="minorHAnsi"/>
                <w:lang w:eastAsia="en-GB"/>
              </w:rPr>
            </w:pPr>
          </w:p>
        </w:tc>
        <w:tc>
          <w:tcPr>
            <w:tcW w:w="1170" w:type="dxa"/>
            <w:shd w:val="clear" w:color="auto" w:fill="auto"/>
            <w:vAlign w:val="bottom"/>
          </w:tcPr>
          <w:p w14:paraId="15F153D3" w14:textId="77777777" w:rsidR="00724BAB" w:rsidRPr="002843FB" w:rsidRDefault="00724BAB" w:rsidP="00A05F41">
            <w:pPr>
              <w:keepNext/>
              <w:spacing w:after="0" w:line="240" w:lineRule="auto"/>
              <w:jc w:val="center"/>
              <w:rPr>
                <w:rFonts w:asciiTheme="minorHAnsi" w:hAnsiTheme="minorHAnsi"/>
                <w:lang w:eastAsia="en-GB"/>
              </w:rPr>
            </w:pPr>
          </w:p>
        </w:tc>
        <w:tc>
          <w:tcPr>
            <w:tcW w:w="1440" w:type="dxa"/>
            <w:shd w:val="clear" w:color="auto" w:fill="auto"/>
            <w:vAlign w:val="bottom"/>
          </w:tcPr>
          <w:p w14:paraId="66297322" w14:textId="77777777" w:rsidR="00724BAB" w:rsidRPr="002843FB" w:rsidRDefault="00724BAB" w:rsidP="00A05F41">
            <w:pPr>
              <w:keepNext/>
              <w:spacing w:after="0" w:line="240" w:lineRule="auto"/>
              <w:jc w:val="center"/>
              <w:rPr>
                <w:rFonts w:asciiTheme="minorHAnsi" w:hAnsiTheme="minorHAnsi"/>
                <w:lang w:eastAsia="en-GB"/>
              </w:rPr>
            </w:pPr>
          </w:p>
        </w:tc>
        <w:tc>
          <w:tcPr>
            <w:tcW w:w="1170" w:type="dxa"/>
          </w:tcPr>
          <w:p w14:paraId="5F32C301" w14:textId="77777777" w:rsidR="00724BAB" w:rsidRPr="002843FB" w:rsidRDefault="00724BAB" w:rsidP="00A05F41">
            <w:pPr>
              <w:keepNext/>
              <w:spacing w:after="0" w:line="240" w:lineRule="auto"/>
              <w:jc w:val="center"/>
              <w:rPr>
                <w:rFonts w:asciiTheme="minorHAnsi" w:hAnsiTheme="minorHAnsi"/>
                <w:lang w:eastAsia="en-GB"/>
              </w:rPr>
            </w:pPr>
          </w:p>
        </w:tc>
      </w:tr>
      <w:tr w:rsidR="00724BAB" w:rsidRPr="002843FB" w14:paraId="56A43634" w14:textId="77777777" w:rsidTr="00E566F7">
        <w:trPr>
          <w:jc w:val="center"/>
        </w:trPr>
        <w:tc>
          <w:tcPr>
            <w:tcW w:w="2695" w:type="dxa"/>
            <w:shd w:val="clear" w:color="auto" w:fill="auto"/>
            <w:vAlign w:val="bottom"/>
          </w:tcPr>
          <w:p w14:paraId="15F85107" w14:textId="77777777" w:rsidR="00724BAB" w:rsidRPr="002843FB" w:rsidRDefault="00724BAB" w:rsidP="00A05F41">
            <w:pPr>
              <w:keepNext/>
              <w:spacing w:after="0" w:line="240" w:lineRule="auto"/>
              <w:rPr>
                <w:rFonts w:asciiTheme="minorHAnsi" w:hAnsiTheme="minorHAnsi"/>
                <w:lang w:eastAsia="en-GB"/>
              </w:rPr>
            </w:pPr>
            <w:r w:rsidRPr="002843FB">
              <w:rPr>
                <w:rFonts w:asciiTheme="minorHAnsi" w:hAnsiTheme="minorHAnsi"/>
                <w:lang w:eastAsia="en-GB"/>
              </w:rPr>
              <w:t>Public sector employment (thousands)</w:t>
            </w:r>
          </w:p>
        </w:tc>
        <w:tc>
          <w:tcPr>
            <w:tcW w:w="1170" w:type="dxa"/>
            <w:shd w:val="clear" w:color="auto" w:fill="auto"/>
            <w:vAlign w:val="bottom"/>
          </w:tcPr>
          <w:p w14:paraId="72492C1E"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403</w:t>
            </w:r>
          </w:p>
        </w:tc>
        <w:tc>
          <w:tcPr>
            <w:tcW w:w="1170" w:type="dxa"/>
            <w:shd w:val="clear" w:color="auto" w:fill="auto"/>
            <w:vAlign w:val="bottom"/>
          </w:tcPr>
          <w:p w14:paraId="7C2E6C09"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497</w:t>
            </w:r>
          </w:p>
        </w:tc>
        <w:tc>
          <w:tcPr>
            <w:tcW w:w="1440" w:type="dxa"/>
            <w:shd w:val="clear" w:color="auto" w:fill="auto"/>
            <w:vAlign w:val="bottom"/>
          </w:tcPr>
          <w:p w14:paraId="1BF3A044"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23%</w:t>
            </w:r>
          </w:p>
        </w:tc>
        <w:tc>
          <w:tcPr>
            <w:tcW w:w="1170" w:type="dxa"/>
          </w:tcPr>
          <w:p w14:paraId="6C580214" w14:textId="77777777" w:rsidR="00724BAB" w:rsidRPr="002843FB" w:rsidRDefault="00724BAB" w:rsidP="00A05F41">
            <w:pPr>
              <w:keepNext/>
              <w:spacing w:after="0" w:line="240" w:lineRule="auto"/>
              <w:jc w:val="center"/>
              <w:rPr>
                <w:rFonts w:asciiTheme="minorHAnsi" w:hAnsiTheme="minorHAnsi"/>
              </w:rPr>
            </w:pPr>
          </w:p>
          <w:p w14:paraId="0754AE02"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rPr>
              <w:t>520</w:t>
            </w:r>
          </w:p>
        </w:tc>
      </w:tr>
      <w:tr w:rsidR="00724BAB" w:rsidRPr="002843FB" w14:paraId="2A36E387" w14:textId="77777777" w:rsidTr="00E566F7">
        <w:trPr>
          <w:jc w:val="center"/>
        </w:trPr>
        <w:tc>
          <w:tcPr>
            <w:tcW w:w="2695" w:type="dxa"/>
            <w:shd w:val="clear" w:color="auto" w:fill="auto"/>
            <w:vAlign w:val="bottom"/>
          </w:tcPr>
          <w:p w14:paraId="74C03A8F" w14:textId="77777777" w:rsidR="00724BAB" w:rsidRPr="002843FB" w:rsidRDefault="00724BAB" w:rsidP="00A05F41">
            <w:pPr>
              <w:keepNext/>
              <w:spacing w:after="0" w:line="240" w:lineRule="auto"/>
              <w:rPr>
                <w:rFonts w:asciiTheme="minorHAnsi" w:hAnsiTheme="minorHAnsi"/>
                <w:lang w:eastAsia="en-GB"/>
              </w:rPr>
            </w:pPr>
            <w:r w:rsidRPr="002843FB">
              <w:rPr>
                <w:rFonts w:asciiTheme="minorHAnsi" w:hAnsiTheme="minorHAnsi"/>
                <w:lang w:eastAsia="en-GB"/>
              </w:rPr>
              <w:t xml:space="preserve">     -Education</w:t>
            </w:r>
          </w:p>
        </w:tc>
        <w:tc>
          <w:tcPr>
            <w:tcW w:w="1170" w:type="dxa"/>
            <w:shd w:val="clear" w:color="auto" w:fill="auto"/>
            <w:vAlign w:val="bottom"/>
          </w:tcPr>
          <w:p w14:paraId="0D937FB5"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254</w:t>
            </w:r>
          </w:p>
        </w:tc>
        <w:tc>
          <w:tcPr>
            <w:tcW w:w="1170" w:type="dxa"/>
            <w:shd w:val="clear" w:color="auto" w:fill="auto"/>
            <w:vAlign w:val="bottom"/>
          </w:tcPr>
          <w:p w14:paraId="6E96EAB0"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302</w:t>
            </w:r>
          </w:p>
        </w:tc>
        <w:tc>
          <w:tcPr>
            <w:tcW w:w="1440" w:type="dxa"/>
            <w:shd w:val="clear" w:color="auto" w:fill="auto"/>
            <w:vAlign w:val="bottom"/>
          </w:tcPr>
          <w:p w14:paraId="2EB65B06"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19%</w:t>
            </w:r>
          </w:p>
        </w:tc>
        <w:tc>
          <w:tcPr>
            <w:tcW w:w="1170" w:type="dxa"/>
          </w:tcPr>
          <w:p w14:paraId="24CEBD0A"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rPr>
              <w:t>306</w:t>
            </w:r>
          </w:p>
        </w:tc>
      </w:tr>
      <w:tr w:rsidR="00724BAB" w:rsidRPr="002843FB" w14:paraId="21979659" w14:textId="77777777" w:rsidTr="00E566F7">
        <w:trPr>
          <w:jc w:val="center"/>
        </w:trPr>
        <w:tc>
          <w:tcPr>
            <w:tcW w:w="2695" w:type="dxa"/>
            <w:shd w:val="clear" w:color="auto" w:fill="auto"/>
            <w:vAlign w:val="bottom"/>
          </w:tcPr>
          <w:p w14:paraId="16C3830B" w14:textId="77777777" w:rsidR="00724BAB" w:rsidRPr="002843FB" w:rsidRDefault="00724BAB" w:rsidP="00A05F41">
            <w:pPr>
              <w:keepNext/>
              <w:spacing w:after="0" w:line="240" w:lineRule="auto"/>
              <w:rPr>
                <w:rFonts w:asciiTheme="minorHAnsi" w:hAnsiTheme="minorHAnsi"/>
                <w:lang w:eastAsia="en-GB"/>
              </w:rPr>
            </w:pPr>
            <w:r w:rsidRPr="002843FB">
              <w:rPr>
                <w:rFonts w:asciiTheme="minorHAnsi" w:hAnsiTheme="minorHAnsi"/>
                <w:lang w:eastAsia="en-GB"/>
              </w:rPr>
              <w:t xml:space="preserve">     -Health</w:t>
            </w:r>
          </w:p>
        </w:tc>
        <w:tc>
          <w:tcPr>
            <w:tcW w:w="1170" w:type="dxa"/>
            <w:shd w:val="clear" w:color="auto" w:fill="auto"/>
            <w:vAlign w:val="bottom"/>
          </w:tcPr>
          <w:p w14:paraId="6586FE08"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72</w:t>
            </w:r>
          </w:p>
        </w:tc>
        <w:tc>
          <w:tcPr>
            <w:tcW w:w="1170" w:type="dxa"/>
            <w:shd w:val="clear" w:color="auto" w:fill="auto"/>
            <w:vAlign w:val="bottom"/>
          </w:tcPr>
          <w:p w14:paraId="06CC6C3A"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90</w:t>
            </w:r>
          </w:p>
        </w:tc>
        <w:tc>
          <w:tcPr>
            <w:tcW w:w="1440" w:type="dxa"/>
            <w:shd w:val="clear" w:color="auto" w:fill="auto"/>
            <w:vAlign w:val="bottom"/>
          </w:tcPr>
          <w:p w14:paraId="6B608F16"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25%</w:t>
            </w:r>
          </w:p>
        </w:tc>
        <w:tc>
          <w:tcPr>
            <w:tcW w:w="1170" w:type="dxa"/>
          </w:tcPr>
          <w:p w14:paraId="725E2AA9"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rPr>
              <w:t>108</w:t>
            </w:r>
          </w:p>
        </w:tc>
      </w:tr>
      <w:tr w:rsidR="00724BAB" w:rsidRPr="002843FB" w14:paraId="58E57861" w14:textId="77777777" w:rsidTr="00E566F7">
        <w:trPr>
          <w:jc w:val="center"/>
        </w:trPr>
        <w:tc>
          <w:tcPr>
            <w:tcW w:w="2695" w:type="dxa"/>
            <w:shd w:val="clear" w:color="auto" w:fill="auto"/>
            <w:vAlign w:val="bottom"/>
          </w:tcPr>
          <w:p w14:paraId="4F6F9F09" w14:textId="77777777" w:rsidR="00724BAB" w:rsidRPr="002843FB" w:rsidRDefault="00724BAB" w:rsidP="00A05F41">
            <w:pPr>
              <w:keepNext/>
              <w:spacing w:after="0" w:line="240" w:lineRule="auto"/>
              <w:rPr>
                <w:rFonts w:asciiTheme="minorHAnsi" w:hAnsiTheme="minorHAnsi"/>
                <w:lang w:eastAsia="en-GB"/>
              </w:rPr>
            </w:pPr>
            <w:r w:rsidRPr="002843FB">
              <w:rPr>
                <w:rFonts w:asciiTheme="minorHAnsi" w:hAnsiTheme="minorHAnsi"/>
                <w:lang w:eastAsia="en-GB"/>
              </w:rPr>
              <w:t xml:space="preserve">     -Other</w:t>
            </w:r>
          </w:p>
        </w:tc>
        <w:tc>
          <w:tcPr>
            <w:tcW w:w="1170" w:type="dxa"/>
            <w:shd w:val="clear" w:color="auto" w:fill="auto"/>
            <w:vAlign w:val="bottom"/>
          </w:tcPr>
          <w:p w14:paraId="0834F9C9"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78</w:t>
            </w:r>
          </w:p>
        </w:tc>
        <w:tc>
          <w:tcPr>
            <w:tcW w:w="1170" w:type="dxa"/>
            <w:shd w:val="clear" w:color="auto" w:fill="auto"/>
            <w:vAlign w:val="bottom"/>
          </w:tcPr>
          <w:p w14:paraId="735F3B81"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106</w:t>
            </w:r>
          </w:p>
        </w:tc>
        <w:tc>
          <w:tcPr>
            <w:tcW w:w="1440" w:type="dxa"/>
            <w:shd w:val="clear" w:color="auto" w:fill="auto"/>
            <w:vAlign w:val="bottom"/>
          </w:tcPr>
          <w:p w14:paraId="277AB981"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35%</w:t>
            </w:r>
          </w:p>
        </w:tc>
        <w:tc>
          <w:tcPr>
            <w:tcW w:w="1170" w:type="dxa"/>
          </w:tcPr>
          <w:p w14:paraId="2A2B443C"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rPr>
              <w:t>105</w:t>
            </w:r>
          </w:p>
        </w:tc>
      </w:tr>
      <w:tr w:rsidR="00724BAB" w:rsidRPr="002843FB" w14:paraId="3B8C338B" w14:textId="77777777" w:rsidTr="00E566F7">
        <w:trPr>
          <w:jc w:val="center"/>
        </w:trPr>
        <w:tc>
          <w:tcPr>
            <w:tcW w:w="2695" w:type="dxa"/>
            <w:shd w:val="clear" w:color="auto" w:fill="auto"/>
            <w:vAlign w:val="bottom"/>
          </w:tcPr>
          <w:p w14:paraId="7647FF1F" w14:textId="77777777" w:rsidR="00724BAB" w:rsidRPr="002843FB" w:rsidRDefault="00724BAB" w:rsidP="00A05F41">
            <w:pPr>
              <w:keepNext/>
              <w:spacing w:after="0" w:line="240" w:lineRule="auto"/>
              <w:rPr>
                <w:rFonts w:asciiTheme="minorHAnsi" w:hAnsiTheme="minorHAnsi"/>
                <w:lang w:eastAsia="en-GB"/>
              </w:rPr>
            </w:pPr>
          </w:p>
        </w:tc>
        <w:tc>
          <w:tcPr>
            <w:tcW w:w="1170" w:type="dxa"/>
            <w:shd w:val="clear" w:color="auto" w:fill="auto"/>
            <w:vAlign w:val="bottom"/>
          </w:tcPr>
          <w:p w14:paraId="431338F4" w14:textId="77777777" w:rsidR="00724BAB" w:rsidRPr="002843FB" w:rsidRDefault="00724BAB" w:rsidP="00A05F41">
            <w:pPr>
              <w:keepNext/>
              <w:spacing w:after="0" w:line="240" w:lineRule="auto"/>
              <w:jc w:val="center"/>
              <w:rPr>
                <w:rFonts w:asciiTheme="minorHAnsi" w:hAnsiTheme="minorHAnsi"/>
                <w:lang w:eastAsia="en-GB"/>
              </w:rPr>
            </w:pPr>
          </w:p>
        </w:tc>
        <w:tc>
          <w:tcPr>
            <w:tcW w:w="1170" w:type="dxa"/>
            <w:shd w:val="clear" w:color="auto" w:fill="auto"/>
            <w:vAlign w:val="bottom"/>
          </w:tcPr>
          <w:p w14:paraId="537CC9AC" w14:textId="77777777" w:rsidR="00724BAB" w:rsidRPr="002843FB" w:rsidRDefault="00724BAB" w:rsidP="00A05F41">
            <w:pPr>
              <w:keepNext/>
              <w:spacing w:after="0" w:line="240" w:lineRule="auto"/>
              <w:jc w:val="center"/>
              <w:rPr>
                <w:rFonts w:asciiTheme="minorHAnsi" w:hAnsiTheme="minorHAnsi"/>
                <w:lang w:eastAsia="en-GB"/>
              </w:rPr>
            </w:pPr>
          </w:p>
        </w:tc>
        <w:tc>
          <w:tcPr>
            <w:tcW w:w="1440" w:type="dxa"/>
            <w:shd w:val="clear" w:color="auto" w:fill="auto"/>
            <w:vAlign w:val="bottom"/>
          </w:tcPr>
          <w:p w14:paraId="7551ADF0" w14:textId="77777777" w:rsidR="00724BAB" w:rsidRPr="002843FB" w:rsidRDefault="00724BAB" w:rsidP="00A05F41">
            <w:pPr>
              <w:keepNext/>
              <w:spacing w:after="0" w:line="240" w:lineRule="auto"/>
              <w:jc w:val="center"/>
              <w:rPr>
                <w:rFonts w:asciiTheme="minorHAnsi" w:hAnsiTheme="minorHAnsi"/>
                <w:lang w:eastAsia="en-GB"/>
              </w:rPr>
            </w:pPr>
          </w:p>
        </w:tc>
        <w:tc>
          <w:tcPr>
            <w:tcW w:w="1170" w:type="dxa"/>
          </w:tcPr>
          <w:p w14:paraId="598AC3F3" w14:textId="77777777" w:rsidR="00724BAB" w:rsidRPr="002843FB" w:rsidRDefault="00724BAB" w:rsidP="00A05F41">
            <w:pPr>
              <w:keepNext/>
              <w:spacing w:after="0" w:line="240" w:lineRule="auto"/>
              <w:jc w:val="center"/>
              <w:rPr>
                <w:rFonts w:asciiTheme="minorHAnsi" w:hAnsiTheme="minorHAnsi"/>
                <w:lang w:eastAsia="en-GB"/>
              </w:rPr>
            </w:pPr>
          </w:p>
        </w:tc>
      </w:tr>
      <w:tr w:rsidR="00724BAB" w:rsidRPr="002843FB" w14:paraId="0D8CC088" w14:textId="77777777" w:rsidTr="00E566F7">
        <w:trPr>
          <w:jc w:val="center"/>
        </w:trPr>
        <w:tc>
          <w:tcPr>
            <w:tcW w:w="2695" w:type="dxa"/>
            <w:shd w:val="clear" w:color="auto" w:fill="auto"/>
            <w:vAlign w:val="bottom"/>
          </w:tcPr>
          <w:p w14:paraId="0CA2356A" w14:textId="77777777" w:rsidR="00724BAB" w:rsidRPr="002843FB" w:rsidRDefault="00724BAB" w:rsidP="00A05F41">
            <w:pPr>
              <w:keepNext/>
              <w:spacing w:after="0" w:line="240" w:lineRule="auto"/>
              <w:rPr>
                <w:rFonts w:asciiTheme="minorHAnsi" w:hAnsiTheme="minorHAnsi"/>
                <w:lang w:eastAsia="en-GB"/>
              </w:rPr>
            </w:pPr>
            <w:r w:rsidRPr="002843FB">
              <w:rPr>
                <w:rFonts w:asciiTheme="minorHAnsi" w:hAnsiTheme="minorHAnsi"/>
                <w:lang w:eastAsia="en-GB"/>
              </w:rPr>
              <w:t>Population (thousands)</w:t>
            </w:r>
          </w:p>
        </w:tc>
        <w:tc>
          <w:tcPr>
            <w:tcW w:w="1170" w:type="dxa"/>
            <w:shd w:val="clear" w:color="auto" w:fill="auto"/>
            <w:vAlign w:val="bottom"/>
          </w:tcPr>
          <w:p w14:paraId="45E7D5C9"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23,107.91</w:t>
            </w:r>
          </w:p>
        </w:tc>
        <w:tc>
          <w:tcPr>
            <w:tcW w:w="1170" w:type="dxa"/>
            <w:shd w:val="clear" w:color="auto" w:fill="auto"/>
            <w:vAlign w:val="bottom"/>
          </w:tcPr>
          <w:p w14:paraId="6A015549"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26,216.11</w:t>
            </w:r>
          </w:p>
        </w:tc>
        <w:tc>
          <w:tcPr>
            <w:tcW w:w="1440" w:type="dxa"/>
            <w:shd w:val="clear" w:color="auto" w:fill="auto"/>
            <w:vAlign w:val="bottom"/>
          </w:tcPr>
          <w:p w14:paraId="5031C67B"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lang w:eastAsia="en-GB"/>
              </w:rPr>
              <w:t>13%</w:t>
            </w:r>
          </w:p>
        </w:tc>
        <w:tc>
          <w:tcPr>
            <w:tcW w:w="1170" w:type="dxa"/>
          </w:tcPr>
          <w:p w14:paraId="20984B48" w14:textId="77777777" w:rsidR="00724BAB" w:rsidRPr="002843FB" w:rsidRDefault="00724BAB" w:rsidP="00A05F41">
            <w:pPr>
              <w:keepNext/>
              <w:spacing w:after="0" w:line="240" w:lineRule="auto"/>
              <w:jc w:val="center"/>
              <w:rPr>
                <w:rFonts w:asciiTheme="minorHAnsi" w:hAnsiTheme="minorHAnsi"/>
                <w:lang w:eastAsia="en-GB"/>
              </w:rPr>
            </w:pPr>
            <w:r w:rsidRPr="002843FB">
              <w:rPr>
                <w:rFonts w:asciiTheme="minorHAnsi" w:hAnsiTheme="minorHAnsi"/>
              </w:rPr>
              <w:t>27,670.17</w:t>
            </w:r>
          </w:p>
        </w:tc>
      </w:tr>
    </w:tbl>
    <w:p w14:paraId="6BC2DDCC" w14:textId="77777777" w:rsidR="00724BAB" w:rsidRPr="007925A8" w:rsidRDefault="00724BAB" w:rsidP="00A05F41">
      <w:pPr>
        <w:keepNext/>
        <w:spacing w:after="0" w:line="240" w:lineRule="auto"/>
        <w:ind w:firstLine="720"/>
        <w:rPr>
          <w:rFonts w:ascii="Garamond" w:hAnsi="Garamond"/>
          <w:sz w:val="20"/>
          <w:szCs w:val="20"/>
        </w:rPr>
      </w:pPr>
      <w:r w:rsidRPr="007925A8">
        <w:rPr>
          <w:rFonts w:ascii="Garamond" w:hAnsi="Garamond"/>
          <w:i/>
          <w:sz w:val="20"/>
          <w:szCs w:val="20"/>
        </w:rPr>
        <w:t>Note</w:t>
      </w:r>
      <w:r w:rsidRPr="007925A8">
        <w:rPr>
          <w:rFonts w:ascii="Garamond" w:hAnsi="Garamond"/>
          <w:sz w:val="20"/>
          <w:szCs w:val="20"/>
        </w:rPr>
        <w:t xml:space="preserve">: Public employment figures are based on the automated payroll </w:t>
      </w:r>
    </w:p>
    <w:p w14:paraId="2DC3C463" w14:textId="77777777" w:rsidR="00724BAB" w:rsidRPr="007925A8" w:rsidRDefault="00724BAB" w:rsidP="00A05F41">
      <w:pPr>
        <w:spacing w:after="240" w:line="240" w:lineRule="auto"/>
        <w:ind w:firstLine="720"/>
        <w:rPr>
          <w:rFonts w:ascii="Garamond" w:hAnsi="Garamond"/>
          <w:b/>
          <w:i/>
          <w:sz w:val="20"/>
          <w:szCs w:val="20"/>
        </w:rPr>
      </w:pPr>
      <w:r w:rsidRPr="007925A8">
        <w:rPr>
          <w:rFonts w:ascii="Garamond" w:hAnsi="Garamond"/>
          <w:i/>
          <w:sz w:val="20"/>
          <w:szCs w:val="20"/>
        </w:rPr>
        <w:t xml:space="preserve">Source: </w:t>
      </w:r>
      <w:r w:rsidRPr="007925A8">
        <w:rPr>
          <w:rFonts w:ascii="Garamond" w:hAnsi="Garamond"/>
          <w:sz w:val="20"/>
          <w:szCs w:val="20"/>
        </w:rPr>
        <w:t>Ghana Ministry of Finance</w:t>
      </w:r>
    </w:p>
    <w:p w14:paraId="4A51C562" w14:textId="77777777" w:rsidR="00724BAB" w:rsidRPr="00A10065" w:rsidRDefault="00724BAB" w:rsidP="00724BAB">
      <w:pPr>
        <w:pStyle w:val="ListParagraph"/>
        <w:numPr>
          <w:ilvl w:val="0"/>
          <w:numId w:val="13"/>
        </w:numPr>
      </w:pPr>
      <w:r w:rsidRPr="002020FF">
        <w:rPr>
          <w:b/>
        </w:rPr>
        <w:lastRenderedPageBreak/>
        <w:t>Public employment grew fastest in health, education</w:t>
      </w:r>
      <w:r w:rsidR="00EB257F">
        <w:rPr>
          <w:b/>
        </w:rPr>
        <w:t>,</w:t>
      </w:r>
      <w:r w:rsidRPr="002020FF">
        <w:rPr>
          <w:b/>
        </w:rPr>
        <w:t xml:space="preserve"> and other social services, as the government strove to </w:t>
      </w:r>
      <w:r w:rsidRPr="00A37553">
        <w:rPr>
          <w:b/>
        </w:rPr>
        <w:t>achieve the</w:t>
      </w:r>
      <w:r>
        <w:rPr>
          <w:b/>
        </w:rPr>
        <w:t xml:space="preserve"> </w:t>
      </w:r>
      <w:r w:rsidRPr="002020FF">
        <w:rPr>
          <w:b/>
        </w:rPr>
        <w:t>Millennium Development Goals.</w:t>
      </w:r>
      <w:r w:rsidRPr="00A10065">
        <w:t xml:space="preserve"> Following the implementation of the SSSS in 2010, 94,000 public employees </w:t>
      </w:r>
      <w:r w:rsidRPr="00A37553">
        <w:t>were</w:t>
      </w:r>
      <w:r>
        <w:t xml:space="preserve"> </w:t>
      </w:r>
      <w:r w:rsidRPr="00A10065">
        <w:t xml:space="preserve">added to the payroll, with the largest increase (35 percent) recorded in the social sectors. This includes a 25 percent increase in employment by the Ghana Health Service, reflecting an additional 18,000 workers, and a 19 percent increase by the Ghana Education Service, reflecting 48,000 new workers, most of whom were teachers. While the growth of public employment contributed to the rising wage bill, Ghana’s performance on the </w:t>
      </w:r>
      <w:r w:rsidRPr="00A37553">
        <w:t xml:space="preserve">Millennium </w:t>
      </w:r>
      <w:r w:rsidRPr="003E4FB8">
        <w:t>D</w:t>
      </w:r>
      <w:r w:rsidRPr="00A24FF3">
        <w:t>evelopment Goal</w:t>
      </w:r>
      <w:r w:rsidRPr="00837300">
        <w:t>s</w:t>
      </w:r>
      <w:r w:rsidRPr="00A10065">
        <w:t xml:space="preserve"> was mixed, and it continues to lag behind other middle-income countries in terms of the number of teachers and physicians per capita.</w:t>
      </w:r>
      <w:r w:rsidRPr="00A10065">
        <w:rPr>
          <w:rStyle w:val="FootnoteReference"/>
        </w:rPr>
        <w:footnoteReference w:id="96"/>
      </w:r>
    </w:p>
    <w:p w14:paraId="3E0E1C04" w14:textId="77777777" w:rsidR="00724BAB" w:rsidRPr="00A10065" w:rsidRDefault="00724BAB" w:rsidP="00724BAB">
      <w:pPr>
        <w:pStyle w:val="ListParagraph"/>
        <w:numPr>
          <w:ilvl w:val="0"/>
          <w:numId w:val="13"/>
        </w:numPr>
      </w:pPr>
      <w:r w:rsidRPr="002020FF">
        <w:rPr>
          <w:b/>
        </w:rPr>
        <w:t>While public employment has increased rapidly, rising wage rates have been the single largest contributor to the growth of the wage bill.</w:t>
      </w:r>
      <w:r w:rsidRPr="00A10065">
        <w:t xml:space="preserve"> Public sector wages doubled between 2009 and 2014, driven by large annual pay raises and a one-time cost incurred by the transition to the SSSS. Despite the government’s effort to curb the growth of the wage bill, negotiations between 2009 and 2014 yielded a 20 percent </w:t>
      </w:r>
      <w:r w:rsidRPr="002020FF">
        <w:t>real</w:t>
      </w:r>
      <w:r w:rsidRPr="00A10065">
        <w:rPr>
          <w:i/>
        </w:rPr>
        <w:t xml:space="preserve"> </w:t>
      </w:r>
      <w:r w:rsidRPr="00A10065">
        <w:t>increase in the average public sector wage rate. In 2014, the government agreed to a 10 percent cost of living allowance instead of a general salary increase</w:t>
      </w:r>
      <w:r w:rsidRPr="00A10065" w:rsidDel="004E5EE6">
        <w:t xml:space="preserve"> </w:t>
      </w:r>
      <w:r w:rsidRPr="00A10065">
        <w:t xml:space="preserve">and froze pension payments at their 2014 level. Meanwhile, the one-time cost of shifting to the SSSS reflected an effort to equalize the distribution of wages across sectors by raising them to the level of the health sector. The FWSC, which oversaw the transition, estimated that the average government salary increased by 28 percent as a result of the SSSS. </w:t>
      </w:r>
    </w:p>
    <w:p w14:paraId="3E559002" w14:textId="77777777" w:rsidR="00724BAB" w:rsidRPr="00A10065" w:rsidRDefault="00724BAB" w:rsidP="00724BAB">
      <w:pPr>
        <w:pStyle w:val="ListParagraph"/>
        <w:numPr>
          <w:ilvl w:val="0"/>
          <w:numId w:val="13"/>
        </w:numPr>
      </w:pPr>
      <w:r w:rsidRPr="00A10065">
        <w:rPr>
          <w:b/>
        </w:rPr>
        <w:t>Rising allowances compounded the increase in wage rates.</w:t>
      </w:r>
      <w:r w:rsidRPr="00A10065">
        <w:t xml:space="preserve"> </w:t>
      </w:r>
      <w:r w:rsidRPr="00550169">
        <w:t>Public employees on the SSSS receive allowances in addition to their base pay. Between 2009 and 2014</w:t>
      </w:r>
      <w:r w:rsidR="00EB257F">
        <w:t>,</w:t>
      </w:r>
      <w:r w:rsidRPr="00550169">
        <w:t xml:space="preserve"> these allowances rose dramatically, both in nominal terms and as a share of total compensation</w:t>
      </w:r>
      <w:r w:rsidRPr="00A10065">
        <w:t xml:space="preserve"> (</w:t>
      </w:r>
      <w:r w:rsidRPr="00A10065">
        <w:fldChar w:fldCharType="begin"/>
      </w:r>
      <w:r w:rsidRPr="00A10065">
        <w:instrText xml:space="preserve"> REF _Ref470631860 \h </w:instrText>
      </w:r>
      <w:r w:rsidRPr="00A10065">
        <w:fldChar w:fldCharType="separate"/>
      </w:r>
      <w:r w:rsidR="007B1CE6" w:rsidRPr="002020FF">
        <w:t xml:space="preserve">Table </w:t>
      </w:r>
      <w:r w:rsidR="007B1CE6">
        <w:rPr>
          <w:noProof/>
        </w:rPr>
        <w:t>3</w:t>
      </w:r>
      <w:r w:rsidR="007B1CE6">
        <w:t>.</w:t>
      </w:r>
      <w:r w:rsidR="007B1CE6">
        <w:rPr>
          <w:noProof/>
        </w:rPr>
        <w:t>9</w:t>
      </w:r>
      <w:r w:rsidRPr="00A10065">
        <w:fldChar w:fldCharType="end"/>
      </w:r>
      <w:r w:rsidRPr="00A10065">
        <w:t>). Not all allowances are paid through the same payment system as salaries—some are paid in cash, and cash payments may not be properly accounted. Despite the government’s attempts to contain the growth of the wage bill in the context of its ongoing IMF Extended Credit Facility program, rising allowances in the last quarter of 2015 caused an overrun in the nominal wage bill equal to 0.2 percentage points of GDP, even as salaries declined in real terms.</w:t>
      </w:r>
      <w:r w:rsidRPr="002020FF">
        <w:rPr>
          <w:rStyle w:val="FootnoteReference"/>
        </w:rPr>
        <w:footnoteReference w:id="97"/>
      </w:r>
    </w:p>
    <w:p w14:paraId="73826C4C" w14:textId="77777777" w:rsidR="00724BAB" w:rsidRPr="002020FF" w:rsidRDefault="00724BAB" w:rsidP="00724BAB">
      <w:pPr>
        <w:pStyle w:val="Caption"/>
        <w:rPr>
          <w:lang w:val="en-US"/>
        </w:rPr>
      </w:pPr>
      <w:bookmarkStart w:id="141" w:name="_Ref470631860"/>
      <w:bookmarkStart w:id="142" w:name="_Toc478837646"/>
      <w:r w:rsidRPr="002020FF">
        <w:rPr>
          <w:lang w:val="en-US"/>
        </w:rPr>
        <w:t xml:space="preserve">Table </w:t>
      </w:r>
      <w:r w:rsidR="00500291">
        <w:rPr>
          <w:lang w:val="en-US"/>
        </w:rPr>
        <w:fldChar w:fldCharType="begin"/>
      </w:r>
      <w:r w:rsidR="00500291">
        <w:rPr>
          <w:lang w:val="en-US"/>
        </w:rPr>
        <w:instrText xml:space="preserve"> STYLEREF 1 \s </w:instrText>
      </w:r>
      <w:r w:rsidR="00500291">
        <w:rPr>
          <w:lang w:val="en-US"/>
        </w:rPr>
        <w:fldChar w:fldCharType="separate"/>
      </w:r>
      <w:r w:rsidR="007B1CE6">
        <w:rPr>
          <w:noProof/>
          <w:lang w:val="en-US"/>
        </w:rPr>
        <w:t>3</w:t>
      </w:r>
      <w:r w:rsidR="00500291">
        <w:rPr>
          <w:lang w:val="en-US"/>
        </w:rPr>
        <w:fldChar w:fldCharType="end"/>
      </w:r>
      <w:r w:rsidR="00500291">
        <w:rPr>
          <w:lang w:val="en-US"/>
        </w:rPr>
        <w:t>.</w:t>
      </w:r>
      <w:r w:rsidR="00500291">
        <w:rPr>
          <w:lang w:val="en-US"/>
        </w:rPr>
        <w:fldChar w:fldCharType="begin"/>
      </w:r>
      <w:r w:rsidR="00500291">
        <w:rPr>
          <w:lang w:val="en-US"/>
        </w:rPr>
        <w:instrText xml:space="preserve"> SEQ Table \* ARABIC \s 1 </w:instrText>
      </w:r>
      <w:r w:rsidR="00500291">
        <w:rPr>
          <w:lang w:val="en-US"/>
        </w:rPr>
        <w:fldChar w:fldCharType="separate"/>
      </w:r>
      <w:r w:rsidR="007B1CE6">
        <w:rPr>
          <w:noProof/>
          <w:lang w:val="en-US"/>
        </w:rPr>
        <w:t>9</w:t>
      </w:r>
      <w:r w:rsidR="00500291">
        <w:rPr>
          <w:lang w:val="en-US"/>
        </w:rPr>
        <w:fldChar w:fldCharType="end"/>
      </w:r>
      <w:bookmarkEnd w:id="141"/>
      <w:r w:rsidRPr="002020FF">
        <w:rPr>
          <w:lang w:val="en-US"/>
        </w:rPr>
        <w:t>: Public Sector Compensation, 2009-2014 (</w:t>
      </w:r>
      <w:r>
        <w:rPr>
          <w:lang w:val="en-US"/>
        </w:rPr>
        <w:t>GH</w:t>
      </w:r>
      <w:r w:rsidRPr="002020FF">
        <w:rPr>
          <w:lang w:val="en-US"/>
        </w:rPr>
        <w:t>¢)</w:t>
      </w:r>
      <w:bookmarkEnd w:id="142"/>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990"/>
        <w:gridCol w:w="900"/>
        <w:gridCol w:w="900"/>
        <w:gridCol w:w="884"/>
        <w:gridCol w:w="884"/>
        <w:gridCol w:w="884"/>
        <w:gridCol w:w="1260"/>
      </w:tblGrid>
      <w:tr w:rsidR="00724BAB" w:rsidRPr="002843FB" w14:paraId="2386BC6F" w14:textId="77777777" w:rsidTr="002843FB">
        <w:trPr>
          <w:trHeight w:val="314"/>
          <w:jc w:val="center"/>
        </w:trPr>
        <w:tc>
          <w:tcPr>
            <w:tcW w:w="2875" w:type="dxa"/>
            <w:shd w:val="clear" w:color="auto" w:fill="auto"/>
            <w:vAlign w:val="bottom"/>
            <w:hideMark/>
          </w:tcPr>
          <w:p w14:paraId="6D819C10" w14:textId="77777777" w:rsidR="00724BAB" w:rsidRPr="002843FB" w:rsidRDefault="00724BAB" w:rsidP="00E566F7">
            <w:pPr>
              <w:keepNext/>
              <w:rPr>
                <w:rFonts w:asciiTheme="minorHAnsi" w:hAnsiTheme="minorHAnsi"/>
              </w:rPr>
            </w:pPr>
          </w:p>
        </w:tc>
        <w:tc>
          <w:tcPr>
            <w:tcW w:w="990" w:type="dxa"/>
            <w:shd w:val="clear" w:color="auto" w:fill="auto"/>
            <w:noWrap/>
            <w:vAlign w:val="bottom"/>
            <w:hideMark/>
          </w:tcPr>
          <w:p w14:paraId="204D06C7" w14:textId="77777777" w:rsidR="00724BAB" w:rsidRPr="002843FB" w:rsidRDefault="00724BAB" w:rsidP="002843FB">
            <w:pPr>
              <w:keepNext/>
              <w:jc w:val="center"/>
              <w:rPr>
                <w:rFonts w:asciiTheme="minorHAnsi" w:hAnsiTheme="minorHAnsi"/>
              </w:rPr>
            </w:pPr>
            <w:r w:rsidRPr="002843FB">
              <w:rPr>
                <w:rFonts w:asciiTheme="minorHAnsi" w:hAnsiTheme="minorHAnsi"/>
              </w:rPr>
              <w:t>2009</w:t>
            </w:r>
          </w:p>
        </w:tc>
        <w:tc>
          <w:tcPr>
            <w:tcW w:w="900" w:type="dxa"/>
            <w:shd w:val="clear" w:color="auto" w:fill="auto"/>
            <w:noWrap/>
            <w:vAlign w:val="bottom"/>
            <w:hideMark/>
          </w:tcPr>
          <w:p w14:paraId="4609C899" w14:textId="77777777" w:rsidR="00724BAB" w:rsidRPr="002843FB" w:rsidRDefault="00724BAB" w:rsidP="002843FB">
            <w:pPr>
              <w:keepNext/>
              <w:jc w:val="center"/>
              <w:rPr>
                <w:rFonts w:asciiTheme="minorHAnsi" w:hAnsiTheme="minorHAnsi"/>
              </w:rPr>
            </w:pPr>
            <w:r w:rsidRPr="002843FB">
              <w:rPr>
                <w:rFonts w:asciiTheme="minorHAnsi" w:hAnsiTheme="minorHAnsi"/>
              </w:rPr>
              <w:t>2010</w:t>
            </w:r>
          </w:p>
        </w:tc>
        <w:tc>
          <w:tcPr>
            <w:tcW w:w="900" w:type="dxa"/>
            <w:shd w:val="clear" w:color="auto" w:fill="auto"/>
            <w:noWrap/>
            <w:vAlign w:val="bottom"/>
            <w:hideMark/>
          </w:tcPr>
          <w:p w14:paraId="00617A4A" w14:textId="77777777" w:rsidR="00724BAB" w:rsidRPr="002843FB" w:rsidRDefault="00724BAB" w:rsidP="002843FB">
            <w:pPr>
              <w:keepNext/>
              <w:jc w:val="center"/>
              <w:rPr>
                <w:rFonts w:asciiTheme="minorHAnsi" w:hAnsiTheme="minorHAnsi"/>
              </w:rPr>
            </w:pPr>
            <w:r w:rsidRPr="002843FB">
              <w:rPr>
                <w:rFonts w:asciiTheme="minorHAnsi" w:hAnsiTheme="minorHAnsi"/>
              </w:rPr>
              <w:t>2011</w:t>
            </w:r>
          </w:p>
        </w:tc>
        <w:tc>
          <w:tcPr>
            <w:tcW w:w="831" w:type="dxa"/>
            <w:shd w:val="clear" w:color="auto" w:fill="auto"/>
            <w:noWrap/>
            <w:vAlign w:val="bottom"/>
            <w:hideMark/>
          </w:tcPr>
          <w:p w14:paraId="369D2128" w14:textId="77777777" w:rsidR="00724BAB" w:rsidRPr="002843FB" w:rsidRDefault="00724BAB" w:rsidP="002843FB">
            <w:pPr>
              <w:keepNext/>
              <w:jc w:val="center"/>
              <w:rPr>
                <w:rFonts w:asciiTheme="minorHAnsi" w:hAnsiTheme="minorHAnsi"/>
              </w:rPr>
            </w:pPr>
            <w:r w:rsidRPr="002843FB">
              <w:rPr>
                <w:rFonts w:asciiTheme="minorHAnsi" w:hAnsiTheme="minorHAnsi"/>
              </w:rPr>
              <w:t>2012</w:t>
            </w:r>
          </w:p>
        </w:tc>
        <w:tc>
          <w:tcPr>
            <w:tcW w:w="831" w:type="dxa"/>
            <w:shd w:val="clear" w:color="auto" w:fill="auto"/>
            <w:noWrap/>
            <w:vAlign w:val="bottom"/>
            <w:hideMark/>
          </w:tcPr>
          <w:p w14:paraId="450DBED1" w14:textId="77777777" w:rsidR="00724BAB" w:rsidRPr="002843FB" w:rsidRDefault="00724BAB" w:rsidP="002843FB">
            <w:pPr>
              <w:keepNext/>
              <w:jc w:val="center"/>
              <w:rPr>
                <w:rFonts w:asciiTheme="minorHAnsi" w:hAnsiTheme="minorHAnsi"/>
              </w:rPr>
            </w:pPr>
            <w:r w:rsidRPr="002843FB">
              <w:rPr>
                <w:rFonts w:asciiTheme="minorHAnsi" w:hAnsiTheme="minorHAnsi"/>
              </w:rPr>
              <w:t>2013</w:t>
            </w:r>
          </w:p>
        </w:tc>
        <w:tc>
          <w:tcPr>
            <w:tcW w:w="858" w:type="dxa"/>
            <w:shd w:val="clear" w:color="auto" w:fill="auto"/>
            <w:noWrap/>
            <w:vAlign w:val="bottom"/>
            <w:hideMark/>
          </w:tcPr>
          <w:p w14:paraId="3B5E447F" w14:textId="77777777" w:rsidR="00724BAB" w:rsidRPr="002843FB" w:rsidRDefault="00724BAB" w:rsidP="002843FB">
            <w:pPr>
              <w:keepNext/>
              <w:jc w:val="center"/>
              <w:rPr>
                <w:rFonts w:asciiTheme="minorHAnsi" w:hAnsiTheme="minorHAnsi"/>
              </w:rPr>
            </w:pPr>
            <w:r w:rsidRPr="002843FB">
              <w:rPr>
                <w:rFonts w:asciiTheme="minorHAnsi" w:hAnsiTheme="minorHAnsi"/>
              </w:rPr>
              <w:t>2014</w:t>
            </w:r>
          </w:p>
        </w:tc>
        <w:tc>
          <w:tcPr>
            <w:tcW w:w="1260" w:type="dxa"/>
            <w:shd w:val="clear" w:color="auto" w:fill="auto"/>
            <w:vAlign w:val="bottom"/>
            <w:hideMark/>
          </w:tcPr>
          <w:p w14:paraId="2A769D8C" w14:textId="77777777" w:rsidR="00724BAB" w:rsidRPr="002843FB" w:rsidRDefault="00724BAB" w:rsidP="002843FB">
            <w:pPr>
              <w:keepNext/>
              <w:jc w:val="center"/>
              <w:rPr>
                <w:rFonts w:asciiTheme="minorHAnsi" w:hAnsiTheme="minorHAnsi"/>
              </w:rPr>
            </w:pPr>
            <w:r w:rsidRPr="002843FB">
              <w:rPr>
                <w:rFonts w:asciiTheme="minorHAnsi" w:hAnsiTheme="minorHAnsi"/>
              </w:rPr>
              <w:t>% change</w:t>
            </w:r>
          </w:p>
        </w:tc>
      </w:tr>
      <w:tr w:rsidR="00724BAB" w:rsidRPr="002843FB" w14:paraId="2C5DB92E" w14:textId="77777777" w:rsidTr="002843FB">
        <w:trPr>
          <w:trHeight w:val="288"/>
          <w:jc w:val="center"/>
        </w:trPr>
        <w:tc>
          <w:tcPr>
            <w:tcW w:w="2875" w:type="dxa"/>
            <w:shd w:val="clear" w:color="auto" w:fill="auto"/>
            <w:noWrap/>
            <w:vAlign w:val="bottom"/>
            <w:hideMark/>
          </w:tcPr>
          <w:p w14:paraId="02F7A720" w14:textId="77777777" w:rsidR="00724BAB" w:rsidRPr="002843FB" w:rsidRDefault="00724BAB" w:rsidP="00E566F7">
            <w:pPr>
              <w:keepNext/>
              <w:rPr>
                <w:rFonts w:asciiTheme="minorHAnsi" w:hAnsiTheme="minorHAnsi"/>
                <w:b/>
              </w:rPr>
            </w:pPr>
            <w:r w:rsidRPr="002843FB">
              <w:rPr>
                <w:rFonts w:asciiTheme="minorHAnsi" w:hAnsiTheme="minorHAnsi"/>
                <w:b/>
              </w:rPr>
              <w:t>Salaries</w:t>
            </w:r>
          </w:p>
        </w:tc>
        <w:tc>
          <w:tcPr>
            <w:tcW w:w="990" w:type="dxa"/>
            <w:shd w:val="clear" w:color="auto" w:fill="auto"/>
            <w:noWrap/>
            <w:vAlign w:val="bottom"/>
            <w:hideMark/>
          </w:tcPr>
          <w:p w14:paraId="71D31DF6" w14:textId="77777777" w:rsidR="00724BAB" w:rsidRPr="002843FB" w:rsidRDefault="00724BAB" w:rsidP="002843FB">
            <w:pPr>
              <w:keepNext/>
              <w:jc w:val="center"/>
              <w:rPr>
                <w:rFonts w:asciiTheme="minorHAnsi" w:hAnsiTheme="minorHAnsi"/>
              </w:rPr>
            </w:pPr>
            <w:r w:rsidRPr="002843FB">
              <w:rPr>
                <w:rFonts w:asciiTheme="minorHAnsi" w:hAnsiTheme="minorHAnsi"/>
              </w:rPr>
              <w:t>1</w:t>
            </w:r>
            <w:r w:rsidR="008A6DFF">
              <w:rPr>
                <w:rFonts w:asciiTheme="minorHAnsi" w:hAnsiTheme="minorHAnsi"/>
              </w:rPr>
              <w:t>,</w:t>
            </w:r>
            <w:r w:rsidRPr="002843FB">
              <w:rPr>
                <w:rFonts w:asciiTheme="minorHAnsi" w:hAnsiTheme="minorHAnsi"/>
              </w:rPr>
              <w:t>885.5</w:t>
            </w:r>
          </w:p>
        </w:tc>
        <w:tc>
          <w:tcPr>
            <w:tcW w:w="900" w:type="dxa"/>
            <w:shd w:val="clear" w:color="auto" w:fill="auto"/>
            <w:noWrap/>
            <w:vAlign w:val="bottom"/>
            <w:hideMark/>
          </w:tcPr>
          <w:p w14:paraId="4B314E12" w14:textId="77777777" w:rsidR="00724BAB" w:rsidRPr="002843FB" w:rsidRDefault="00724BAB" w:rsidP="002843FB">
            <w:pPr>
              <w:keepNext/>
              <w:jc w:val="center"/>
              <w:rPr>
                <w:rFonts w:asciiTheme="minorHAnsi" w:hAnsiTheme="minorHAnsi"/>
              </w:rPr>
            </w:pPr>
            <w:r w:rsidRPr="002843FB">
              <w:rPr>
                <w:rFonts w:asciiTheme="minorHAnsi" w:hAnsiTheme="minorHAnsi"/>
              </w:rPr>
              <w:t>2</w:t>
            </w:r>
            <w:r w:rsidR="008A6DFF">
              <w:rPr>
                <w:rFonts w:asciiTheme="minorHAnsi" w:hAnsiTheme="minorHAnsi"/>
              </w:rPr>
              <w:t>,</w:t>
            </w:r>
            <w:r w:rsidRPr="002843FB">
              <w:rPr>
                <w:rFonts w:asciiTheme="minorHAnsi" w:hAnsiTheme="minorHAnsi"/>
              </w:rPr>
              <w:t>063.3</w:t>
            </w:r>
          </w:p>
        </w:tc>
        <w:tc>
          <w:tcPr>
            <w:tcW w:w="900" w:type="dxa"/>
            <w:shd w:val="clear" w:color="auto" w:fill="auto"/>
            <w:noWrap/>
            <w:vAlign w:val="bottom"/>
            <w:hideMark/>
          </w:tcPr>
          <w:p w14:paraId="3D8CE214" w14:textId="77777777" w:rsidR="00724BAB" w:rsidRPr="002843FB" w:rsidRDefault="00724BAB" w:rsidP="002843FB">
            <w:pPr>
              <w:keepNext/>
              <w:jc w:val="center"/>
              <w:rPr>
                <w:rFonts w:asciiTheme="minorHAnsi" w:hAnsiTheme="minorHAnsi"/>
              </w:rPr>
            </w:pPr>
            <w:r w:rsidRPr="002843FB">
              <w:rPr>
                <w:rFonts w:asciiTheme="minorHAnsi" w:hAnsiTheme="minorHAnsi"/>
              </w:rPr>
              <w:t>3</w:t>
            </w:r>
            <w:r w:rsidR="008A6DFF">
              <w:rPr>
                <w:rFonts w:asciiTheme="minorHAnsi" w:hAnsiTheme="minorHAnsi"/>
              </w:rPr>
              <w:t>,</w:t>
            </w:r>
            <w:r w:rsidRPr="002843FB">
              <w:rPr>
                <w:rFonts w:asciiTheme="minorHAnsi" w:hAnsiTheme="minorHAnsi"/>
              </w:rPr>
              <w:t>163.6</w:t>
            </w:r>
          </w:p>
        </w:tc>
        <w:tc>
          <w:tcPr>
            <w:tcW w:w="831" w:type="dxa"/>
            <w:shd w:val="clear" w:color="auto" w:fill="auto"/>
            <w:noWrap/>
            <w:vAlign w:val="bottom"/>
            <w:hideMark/>
          </w:tcPr>
          <w:p w14:paraId="60C9F56D" w14:textId="77777777" w:rsidR="00724BAB" w:rsidRPr="002843FB" w:rsidRDefault="00724BAB" w:rsidP="002843FB">
            <w:pPr>
              <w:keepNext/>
              <w:jc w:val="center"/>
              <w:rPr>
                <w:rFonts w:asciiTheme="minorHAnsi" w:hAnsiTheme="minorHAnsi"/>
              </w:rPr>
            </w:pPr>
            <w:r w:rsidRPr="002843FB">
              <w:rPr>
                <w:rFonts w:asciiTheme="minorHAnsi" w:hAnsiTheme="minorHAnsi"/>
              </w:rPr>
              <w:t>5</w:t>
            </w:r>
            <w:r w:rsidR="008A6DFF">
              <w:rPr>
                <w:rFonts w:asciiTheme="minorHAnsi" w:hAnsiTheme="minorHAnsi"/>
              </w:rPr>
              <w:t>,</w:t>
            </w:r>
            <w:r w:rsidRPr="002843FB">
              <w:rPr>
                <w:rFonts w:asciiTheme="minorHAnsi" w:hAnsiTheme="minorHAnsi"/>
              </w:rPr>
              <w:t>266.2</w:t>
            </w:r>
          </w:p>
        </w:tc>
        <w:tc>
          <w:tcPr>
            <w:tcW w:w="831" w:type="dxa"/>
            <w:shd w:val="clear" w:color="auto" w:fill="auto"/>
            <w:noWrap/>
            <w:vAlign w:val="bottom"/>
            <w:hideMark/>
          </w:tcPr>
          <w:p w14:paraId="3ED94079" w14:textId="77777777" w:rsidR="00724BAB" w:rsidRPr="002843FB" w:rsidRDefault="00724BAB" w:rsidP="002843FB">
            <w:pPr>
              <w:keepNext/>
              <w:jc w:val="center"/>
              <w:rPr>
                <w:rFonts w:asciiTheme="minorHAnsi" w:hAnsiTheme="minorHAnsi"/>
              </w:rPr>
            </w:pPr>
            <w:r w:rsidRPr="002843FB">
              <w:rPr>
                <w:rFonts w:asciiTheme="minorHAnsi" w:hAnsiTheme="minorHAnsi"/>
              </w:rPr>
              <w:t>5</w:t>
            </w:r>
            <w:r w:rsidR="008A6DFF">
              <w:rPr>
                <w:rFonts w:asciiTheme="minorHAnsi" w:hAnsiTheme="minorHAnsi"/>
              </w:rPr>
              <w:t>,</w:t>
            </w:r>
            <w:r w:rsidRPr="002843FB">
              <w:rPr>
                <w:rFonts w:asciiTheme="minorHAnsi" w:hAnsiTheme="minorHAnsi"/>
              </w:rPr>
              <w:t>468.9</w:t>
            </w:r>
          </w:p>
        </w:tc>
        <w:tc>
          <w:tcPr>
            <w:tcW w:w="858" w:type="dxa"/>
            <w:shd w:val="clear" w:color="auto" w:fill="auto"/>
            <w:noWrap/>
            <w:vAlign w:val="bottom"/>
            <w:hideMark/>
          </w:tcPr>
          <w:p w14:paraId="2F8B2EAF" w14:textId="77777777" w:rsidR="00724BAB" w:rsidRPr="002843FB" w:rsidRDefault="00724BAB" w:rsidP="002843FB">
            <w:pPr>
              <w:keepNext/>
              <w:jc w:val="center"/>
              <w:rPr>
                <w:rFonts w:asciiTheme="minorHAnsi" w:hAnsiTheme="minorHAnsi"/>
              </w:rPr>
            </w:pPr>
            <w:r w:rsidRPr="002843FB">
              <w:rPr>
                <w:rFonts w:asciiTheme="minorHAnsi" w:hAnsiTheme="minorHAnsi"/>
              </w:rPr>
              <w:t>5</w:t>
            </w:r>
            <w:r w:rsidR="008A6DFF">
              <w:rPr>
                <w:rFonts w:asciiTheme="minorHAnsi" w:hAnsiTheme="minorHAnsi"/>
              </w:rPr>
              <w:t>,</w:t>
            </w:r>
            <w:r w:rsidRPr="002843FB">
              <w:rPr>
                <w:rFonts w:asciiTheme="minorHAnsi" w:hAnsiTheme="minorHAnsi"/>
              </w:rPr>
              <w:t>604.1</w:t>
            </w:r>
          </w:p>
        </w:tc>
        <w:tc>
          <w:tcPr>
            <w:tcW w:w="1260" w:type="dxa"/>
            <w:shd w:val="clear" w:color="auto" w:fill="auto"/>
            <w:noWrap/>
            <w:vAlign w:val="bottom"/>
            <w:hideMark/>
          </w:tcPr>
          <w:p w14:paraId="098AC96B" w14:textId="77777777" w:rsidR="00724BAB" w:rsidRPr="002843FB" w:rsidRDefault="00724BAB" w:rsidP="002843FB">
            <w:pPr>
              <w:keepNext/>
              <w:jc w:val="center"/>
              <w:rPr>
                <w:rFonts w:asciiTheme="minorHAnsi" w:hAnsiTheme="minorHAnsi"/>
              </w:rPr>
            </w:pPr>
            <w:r w:rsidRPr="002843FB">
              <w:rPr>
                <w:rFonts w:asciiTheme="minorHAnsi" w:hAnsiTheme="minorHAnsi"/>
              </w:rPr>
              <w:t>197.2</w:t>
            </w:r>
          </w:p>
        </w:tc>
      </w:tr>
      <w:tr w:rsidR="00724BAB" w:rsidRPr="002843FB" w14:paraId="1DF4D285" w14:textId="77777777" w:rsidTr="002843FB">
        <w:trPr>
          <w:trHeight w:val="288"/>
          <w:jc w:val="center"/>
        </w:trPr>
        <w:tc>
          <w:tcPr>
            <w:tcW w:w="2875" w:type="dxa"/>
            <w:shd w:val="clear" w:color="auto" w:fill="auto"/>
            <w:noWrap/>
            <w:vAlign w:val="bottom"/>
            <w:hideMark/>
          </w:tcPr>
          <w:p w14:paraId="2295F31A" w14:textId="77777777" w:rsidR="00724BAB" w:rsidRPr="002843FB" w:rsidRDefault="00724BAB" w:rsidP="00E566F7">
            <w:pPr>
              <w:keepNext/>
              <w:rPr>
                <w:rFonts w:asciiTheme="minorHAnsi" w:hAnsiTheme="minorHAnsi"/>
                <w:b/>
              </w:rPr>
            </w:pPr>
            <w:r w:rsidRPr="002843FB">
              <w:rPr>
                <w:rFonts w:asciiTheme="minorHAnsi" w:hAnsiTheme="minorHAnsi"/>
                <w:b/>
              </w:rPr>
              <w:t>Allowances</w:t>
            </w:r>
          </w:p>
        </w:tc>
        <w:tc>
          <w:tcPr>
            <w:tcW w:w="990" w:type="dxa"/>
            <w:shd w:val="clear" w:color="auto" w:fill="auto"/>
            <w:noWrap/>
            <w:vAlign w:val="bottom"/>
            <w:hideMark/>
          </w:tcPr>
          <w:p w14:paraId="6D9BFAAB" w14:textId="77777777" w:rsidR="00724BAB" w:rsidRPr="002843FB" w:rsidRDefault="00724BAB" w:rsidP="002843FB">
            <w:pPr>
              <w:keepNext/>
              <w:jc w:val="center"/>
              <w:rPr>
                <w:rFonts w:asciiTheme="minorHAnsi" w:hAnsiTheme="minorHAnsi"/>
              </w:rPr>
            </w:pPr>
            <w:r w:rsidRPr="002843FB">
              <w:rPr>
                <w:rFonts w:asciiTheme="minorHAnsi" w:hAnsiTheme="minorHAnsi"/>
              </w:rPr>
              <w:t>47.9</w:t>
            </w:r>
          </w:p>
        </w:tc>
        <w:tc>
          <w:tcPr>
            <w:tcW w:w="900" w:type="dxa"/>
            <w:shd w:val="clear" w:color="auto" w:fill="auto"/>
            <w:noWrap/>
            <w:vAlign w:val="bottom"/>
            <w:hideMark/>
          </w:tcPr>
          <w:p w14:paraId="13EC643D" w14:textId="77777777" w:rsidR="00724BAB" w:rsidRPr="002843FB" w:rsidRDefault="00724BAB" w:rsidP="002843FB">
            <w:pPr>
              <w:keepNext/>
              <w:jc w:val="center"/>
              <w:rPr>
                <w:rFonts w:asciiTheme="minorHAnsi" w:hAnsiTheme="minorHAnsi"/>
              </w:rPr>
            </w:pPr>
            <w:r w:rsidRPr="002843FB">
              <w:rPr>
                <w:rFonts w:asciiTheme="minorHAnsi" w:hAnsiTheme="minorHAnsi"/>
              </w:rPr>
              <w:t>233.6</w:t>
            </w:r>
          </w:p>
        </w:tc>
        <w:tc>
          <w:tcPr>
            <w:tcW w:w="900" w:type="dxa"/>
            <w:shd w:val="clear" w:color="auto" w:fill="auto"/>
            <w:noWrap/>
            <w:vAlign w:val="bottom"/>
            <w:hideMark/>
          </w:tcPr>
          <w:p w14:paraId="6ECE4436" w14:textId="77777777" w:rsidR="00724BAB" w:rsidRPr="002843FB" w:rsidRDefault="00724BAB" w:rsidP="002843FB">
            <w:pPr>
              <w:keepNext/>
              <w:jc w:val="center"/>
              <w:rPr>
                <w:rFonts w:asciiTheme="minorHAnsi" w:hAnsiTheme="minorHAnsi"/>
              </w:rPr>
            </w:pPr>
            <w:r w:rsidRPr="002843FB">
              <w:rPr>
                <w:rFonts w:asciiTheme="minorHAnsi" w:hAnsiTheme="minorHAnsi"/>
              </w:rPr>
              <w:t>554.5</w:t>
            </w:r>
          </w:p>
        </w:tc>
        <w:tc>
          <w:tcPr>
            <w:tcW w:w="831" w:type="dxa"/>
            <w:shd w:val="clear" w:color="auto" w:fill="auto"/>
            <w:noWrap/>
            <w:vAlign w:val="bottom"/>
            <w:hideMark/>
          </w:tcPr>
          <w:p w14:paraId="7A1BB377" w14:textId="77777777" w:rsidR="00724BAB" w:rsidRPr="002843FB" w:rsidRDefault="00724BAB" w:rsidP="002843FB">
            <w:pPr>
              <w:keepNext/>
              <w:jc w:val="center"/>
              <w:rPr>
                <w:rFonts w:asciiTheme="minorHAnsi" w:hAnsiTheme="minorHAnsi"/>
              </w:rPr>
            </w:pPr>
            <w:r w:rsidRPr="002843FB">
              <w:rPr>
                <w:rFonts w:asciiTheme="minorHAnsi" w:hAnsiTheme="minorHAnsi"/>
              </w:rPr>
              <w:t>1</w:t>
            </w:r>
            <w:r w:rsidR="008A6DFF">
              <w:rPr>
                <w:rFonts w:asciiTheme="minorHAnsi" w:hAnsiTheme="minorHAnsi"/>
              </w:rPr>
              <w:t>,</w:t>
            </w:r>
            <w:r w:rsidRPr="002843FB">
              <w:rPr>
                <w:rFonts w:asciiTheme="minorHAnsi" w:hAnsiTheme="minorHAnsi"/>
              </w:rPr>
              <w:t>350.2</w:t>
            </w:r>
          </w:p>
        </w:tc>
        <w:tc>
          <w:tcPr>
            <w:tcW w:w="831" w:type="dxa"/>
            <w:shd w:val="clear" w:color="auto" w:fill="auto"/>
            <w:noWrap/>
            <w:vAlign w:val="bottom"/>
            <w:hideMark/>
          </w:tcPr>
          <w:p w14:paraId="13C0D325" w14:textId="77777777" w:rsidR="00724BAB" w:rsidRPr="002843FB" w:rsidRDefault="00724BAB" w:rsidP="002843FB">
            <w:pPr>
              <w:keepNext/>
              <w:jc w:val="center"/>
              <w:rPr>
                <w:rFonts w:asciiTheme="minorHAnsi" w:hAnsiTheme="minorHAnsi"/>
              </w:rPr>
            </w:pPr>
            <w:r w:rsidRPr="002843FB">
              <w:rPr>
                <w:rFonts w:asciiTheme="minorHAnsi" w:hAnsiTheme="minorHAnsi"/>
              </w:rPr>
              <w:t>1</w:t>
            </w:r>
            <w:r w:rsidR="008A6DFF">
              <w:rPr>
                <w:rFonts w:asciiTheme="minorHAnsi" w:hAnsiTheme="minorHAnsi"/>
              </w:rPr>
              <w:t>,</w:t>
            </w:r>
            <w:r w:rsidRPr="002843FB">
              <w:rPr>
                <w:rFonts w:asciiTheme="minorHAnsi" w:hAnsiTheme="minorHAnsi"/>
              </w:rPr>
              <w:t>485.2</w:t>
            </w:r>
          </w:p>
        </w:tc>
        <w:tc>
          <w:tcPr>
            <w:tcW w:w="858" w:type="dxa"/>
            <w:shd w:val="clear" w:color="auto" w:fill="auto"/>
            <w:noWrap/>
            <w:vAlign w:val="bottom"/>
            <w:hideMark/>
          </w:tcPr>
          <w:p w14:paraId="6770F01B" w14:textId="77777777" w:rsidR="00724BAB" w:rsidRPr="002843FB" w:rsidRDefault="00724BAB" w:rsidP="002843FB">
            <w:pPr>
              <w:keepNext/>
              <w:jc w:val="center"/>
              <w:rPr>
                <w:rFonts w:asciiTheme="minorHAnsi" w:hAnsiTheme="minorHAnsi"/>
              </w:rPr>
            </w:pPr>
            <w:r w:rsidRPr="002843FB">
              <w:rPr>
                <w:rFonts w:asciiTheme="minorHAnsi" w:hAnsiTheme="minorHAnsi"/>
              </w:rPr>
              <w:t>1</w:t>
            </w:r>
            <w:r w:rsidR="008A6DFF">
              <w:rPr>
                <w:rFonts w:asciiTheme="minorHAnsi" w:hAnsiTheme="minorHAnsi"/>
              </w:rPr>
              <w:t>,</w:t>
            </w:r>
            <w:r w:rsidRPr="002843FB">
              <w:rPr>
                <w:rFonts w:asciiTheme="minorHAnsi" w:hAnsiTheme="minorHAnsi"/>
              </w:rPr>
              <w:t>769.9</w:t>
            </w:r>
          </w:p>
        </w:tc>
        <w:tc>
          <w:tcPr>
            <w:tcW w:w="1260" w:type="dxa"/>
            <w:shd w:val="clear" w:color="auto" w:fill="auto"/>
            <w:noWrap/>
            <w:vAlign w:val="bottom"/>
            <w:hideMark/>
          </w:tcPr>
          <w:p w14:paraId="72B82874" w14:textId="77777777" w:rsidR="00724BAB" w:rsidRPr="002843FB" w:rsidRDefault="00724BAB" w:rsidP="002843FB">
            <w:pPr>
              <w:keepNext/>
              <w:jc w:val="center"/>
              <w:rPr>
                <w:rFonts w:asciiTheme="minorHAnsi" w:hAnsiTheme="minorHAnsi"/>
              </w:rPr>
            </w:pPr>
            <w:r w:rsidRPr="002843FB">
              <w:rPr>
                <w:rFonts w:asciiTheme="minorHAnsi" w:hAnsiTheme="minorHAnsi"/>
              </w:rPr>
              <w:t>3</w:t>
            </w:r>
            <w:r w:rsidR="008A6DFF">
              <w:rPr>
                <w:rFonts w:asciiTheme="minorHAnsi" w:hAnsiTheme="minorHAnsi"/>
              </w:rPr>
              <w:t>,</w:t>
            </w:r>
            <w:r w:rsidRPr="002843FB">
              <w:rPr>
                <w:rFonts w:asciiTheme="minorHAnsi" w:hAnsiTheme="minorHAnsi"/>
              </w:rPr>
              <w:t>597.0</w:t>
            </w:r>
          </w:p>
        </w:tc>
      </w:tr>
      <w:tr w:rsidR="00724BAB" w:rsidRPr="002843FB" w14:paraId="32F5E843" w14:textId="77777777" w:rsidTr="002843FB">
        <w:trPr>
          <w:trHeight w:val="288"/>
          <w:jc w:val="center"/>
        </w:trPr>
        <w:tc>
          <w:tcPr>
            <w:tcW w:w="2875" w:type="dxa"/>
            <w:shd w:val="clear" w:color="auto" w:fill="auto"/>
            <w:noWrap/>
            <w:vAlign w:val="bottom"/>
            <w:hideMark/>
          </w:tcPr>
          <w:p w14:paraId="543CECD7" w14:textId="77777777" w:rsidR="00724BAB" w:rsidRPr="002843FB" w:rsidRDefault="00724BAB" w:rsidP="00E566F7">
            <w:pPr>
              <w:keepNext/>
              <w:rPr>
                <w:rFonts w:asciiTheme="minorHAnsi" w:hAnsiTheme="minorHAnsi"/>
                <w:b/>
              </w:rPr>
            </w:pPr>
            <w:r w:rsidRPr="002843FB">
              <w:rPr>
                <w:rFonts w:asciiTheme="minorHAnsi" w:hAnsiTheme="minorHAnsi"/>
                <w:b/>
              </w:rPr>
              <w:t>Allowances/Salaries (%)</w:t>
            </w:r>
          </w:p>
        </w:tc>
        <w:tc>
          <w:tcPr>
            <w:tcW w:w="990" w:type="dxa"/>
            <w:shd w:val="clear" w:color="auto" w:fill="auto"/>
            <w:noWrap/>
            <w:vAlign w:val="bottom"/>
            <w:hideMark/>
          </w:tcPr>
          <w:p w14:paraId="4056DA9C" w14:textId="77777777" w:rsidR="00724BAB" w:rsidRPr="002843FB" w:rsidRDefault="00724BAB" w:rsidP="002843FB">
            <w:pPr>
              <w:keepNext/>
              <w:jc w:val="center"/>
              <w:rPr>
                <w:rFonts w:asciiTheme="minorHAnsi" w:hAnsiTheme="minorHAnsi"/>
              </w:rPr>
            </w:pPr>
            <w:r w:rsidRPr="002843FB">
              <w:rPr>
                <w:rFonts w:asciiTheme="minorHAnsi" w:hAnsiTheme="minorHAnsi"/>
              </w:rPr>
              <w:t>2.5</w:t>
            </w:r>
          </w:p>
        </w:tc>
        <w:tc>
          <w:tcPr>
            <w:tcW w:w="900" w:type="dxa"/>
            <w:shd w:val="clear" w:color="auto" w:fill="auto"/>
            <w:noWrap/>
            <w:vAlign w:val="bottom"/>
            <w:hideMark/>
          </w:tcPr>
          <w:p w14:paraId="5F0D58BA" w14:textId="77777777" w:rsidR="00724BAB" w:rsidRPr="002843FB" w:rsidRDefault="00724BAB" w:rsidP="002843FB">
            <w:pPr>
              <w:keepNext/>
              <w:jc w:val="center"/>
              <w:rPr>
                <w:rFonts w:asciiTheme="minorHAnsi" w:hAnsiTheme="minorHAnsi"/>
              </w:rPr>
            </w:pPr>
            <w:r w:rsidRPr="002843FB">
              <w:rPr>
                <w:rFonts w:asciiTheme="minorHAnsi" w:hAnsiTheme="minorHAnsi"/>
              </w:rPr>
              <w:t>11.3</w:t>
            </w:r>
          </w:p>
        </w:tc>
        <w:tc>
          <w:tcPr>
            <w:tcW w:w="900" w:type="dxa"/>
            <w:shd w:val="clear" w:color="auto" w:fill="auto"/>
            <w:noWrap/>
            <w:vAlign w:val="bottom"/>
            <w:hideMark/>
          </w:tcPr>
          <w:p w14:paraId="1E11D168" w14:textId="77777777" w:rsidR="00724BAB" w:rsidRPr="002843FB" w:rsidRDefault="00724BAB" w:rsidP="002843FB">
            <w:pPr>
              <w:keepNext/>
              <w:jc w:val="center"/>
              <w:rPr>
                <w:rFonts w:asciiTheme="minorHAnsi" w:hAnsiTheme="minorHAnsi"/>
              </w:rPr>
            </w:pPr>
            <w:r w:rsidRPr="002843FB">
              <w:rPr>
                <w:rFonts w:asciiTheme="minorHAnsi" w:hAnsiTheme="minorHAnsi"/>
              </w:rPr>
              <w:t>17.5</w:t>
            </w:r>
          </w:p>
        </w:tc>
        <w:tc>
          <w:tcPr>
            <w:tcW w:w="831" w:type="dxa"/>
            <w:shd w:val="clear" w:color="auto" w:fill="auto"/>
            <w:noWrap/>
            <w:vAlign w:val="bottom"/>
            <w:hideMark/>
          </w:tcPr>
          <w:p w14:paraId="2C9B4399" w14:textId="77777777" w:rsidR="00724BAB" w:rsidRPr="002843FB" w:rsidRDefault="00724BAB" w:rsidP="002843FB">
            <w:pPr>
              <w:keepNext/>
              <w:jc w:val="center"/>
              <w:rPr>
                <w:rFonts w:asciiTheme="minorHAnsi" w:hAnsiTheme="minorHAnsi"/>
              </w:rPr>
            </w:pPr>
            <w:r w:rsidRPr="002843FB">
              <w:rPr>
                <w:rFonts w:asciiTheme="minorHAnsi" w:hAnsiTheme="minorHAnsi"/>
              </w:rPr>
              <w:t>25.6</w:t>
            </w:r>
          </w:p>
        </w:tc>
        <w:tc>
          <w:tcPr>
            <w:tcW w:w="831" w:type="dxa"/>
            <w:shd w:val="clear" w:color="auto" w:fill="auto"/>
            <w:noWrap/>
            <w:vAlign w:val="bottom"/>
            <w:hideMark/>
          </w:tcPr>
          <w:p w14:paraId="5B7CFCA1" w14:textId="77777777" w:rsidR="00724BAB" w:rsidRPr="002843FB" w:rsidRDefault="00724BAB" w:rsidP="002843FB">
            <w:pPr>
              <w:keepNext/>
              <w:jc w:val="center"/>
              <w:rPr>
                <w:rFonts w:asciiTheme="minorHAnsi" w:hAnsiTheme="minorHAnsi"/>
              </w:rPr>
            </w:pPr>
            <w:r w:rsidRPr="002843FB">
              <w:rPr>
                <w:rFonts w:asciiTheme="minorHAnsi" w:hAnsiTheme="minorHAnsi"/>
              </w:rPr>
              <w:t>27.2</w:t>
            </w:r>
          </w:p>
        </w:tc>
        <w:tc>
          <w:tcPr>
            <w:tcW w:w="858" w:type="dxa"/>
            <w:shd w:val="clear" w:color="auto" w:fill="auto"/>
            <w:noWrap/>
            <w:vAlign w:val="bottom"/>
            <w:hideMark/>
          </w:tcPr>
          <w:p w14:paraId="64F4813B" w14:textId="77777777" w:rsidR="00724BAB" w:rsidRPr="002843FB" w:rsidRDefault="00724BAB" w:rsidP="002843FB">
            <w:pPr>
              <w:keepNext/>
              <w:jc w:val="center"/>
              <w:rPr>
                <w:rFonts w:asciiTheme="minorHAnsi" w:hAnsiTheme="minorHAnsi"/>
              </w:rPr>
            </w:pPr>
            <w:r w:rsidRPr="002843FB">
              <w:rPr>
                <w:rFonts w:asciiTheme="minorHAnsi" w:hAnsiTheme="minorHAnsi"/>
              </w:rPr>
              <w:t>31.6</w:t>
            </w:r>
          </w:p>
        </w:tc>
        <w:tc>
          <w:tcPr>
            <w:tcW w:w="1260" w:type="dxa"/>
            <w:shd w:val="clear" w:color="auto" w:fill="auto"/>
            <w:noWrap/>
            <w:vAlign w:val="bottom"/>
            <w:hideMark/>
          </w:tcPr>
          <w:p w14:paraId="130E9EFC" w14:textId="77777777" w:rsidR="00724BAB" w:rsidRPr="002843FB" w:rsidRDefault="00724BAB" w:rsidP="002843FB">
            <w:pPr>
              <w:keepNext/>
              <w:jc w:val="center"/>
              <w:rPr>
                <w:rFonts w:asciiTheme="minorHAnsi" w:hAnsiTheme="minorHAnsi"/>
              </w:rPr>
            </w:pPr>
          </w:p>
        </w:tc>
      </w:tr>
    </w:tbl>
    <w:p w14:paraId="1EDC2D74" w14:textId="77777777" w:rsidR="00724BAB" w:rsidRPr="007925A8" w:rsidRDefault="00724BAB" w:rsidP="00724BAB">
      <w:pPr>
        <w:spacing w:after="240"/>
        <w:rPr>
          <w:rFonts w:ascii="Garamond" w:hAnsi="Garamond"/>
          <w:sz w:val="20"/>
          <w:szCs w:val="20"/>
        </w:rPr>
      </w:pPr>
      <w:r w:rsidRPr="007925A8">
        <w:rPr>
          <w:rFonts w:ascii="Garamond" w:hAnsi="Garamond"/>
          <w:i/>
          <w:sz w:val="20"/>
          <w:szCs w:val="20"/>
        </w:rPr>
        <w:t xml:space="preserve">Source: </w:t>
      </w:r>
      <w:r w:rsidRPr="007925A8">
        <w:rPr>
          <w:rFonts w:ascii="Garamond" w:hAnsi="Garamond"/>
          <w:sz w:val="20"/>
          <w:szCs w:val="20"/>
        </w:rPr>
        <w:t>World Bank staff calculation based on data form the Ghana Controller and Accountant General’s Department</w:t>
      </w:r>
    </w:p>
    <w:p w14:paraId="7FC8902E" w14:textId="77777777" w:rsidR="00724BAB" w:rsidRPr="00A10065" w:rsidRDefault="00724BAB" w:rsidP="00724BAB">
      <w:pPr>
        <w:pStyle w:val="ListParagraph"/>
        <w:numPr>
          <w:ilvl w:val="0"/>
          <w:numId w:val="13"/>
        </w:numPr>
      </w:pPr>
      <w:r w:rsidRPr="00A10065">
        <w:rPr>
          <w:b/>
        </w:rPr>
        <w:t>Payroll irregularities have exacerbated the growth of the wage bill.</w:t>
      </w:r>
      <w:r w:rsidRPr="00A10065">
        <w:t xml:space="preserve"> Improper salary and pension payments amounted to approximately G</w:t>
      </w:r>
      <w:r>
        <w:t>H</w:t>
      </w:r>
      <w:r w:rsidRPr="00A10065">
        <w:rPr>
          <w:rFonts w:ascii="Times New Roman" w:hAnsi="Times New Roman" w:cs="Times New Roman"/>
        </w:rPr>
        <w:t xml:space="preserve">¢ </w:t>
      </w:r>
      <w:r w:rsidRPr="00A10065">
        <w:t>1.2 million in 2012 (</w:t>
      </w:r>
      <w:r w:rsidRPr="00A10065">
        <w:fldChar w:fldCharType="begin"/>
      </w:r>
      <w:r w:rsidRPr="00A10065">
        <w:instrText xml:space="preserve"> REF _Ref470690578 \h </w:instrText>
      </w:r>
      <w:r w:rsidRPr="00A10065">
        <w:fldChar w:fldCharType="separate"/>
      </w:r>
      <w:r w:rsidR="007B1CE6" w:rsidRPr="00095875">
        <w:t xml:space="preserve">Table </w:t>
      </w:r>
      <w:r w:rsidR="007B1CE6">
        <w:rPr>
          <w:noProof/>
        </w:rPr>
        <w:t>3</w:t>
      </w:r>
      <w:r w:rsidR="007B1CE6" w:rsidRPr="00095875">
        <w:t>.</w:t>
      </w:r>
      <w:r w:rsidR="007B1CE6">
        <w:rPr>
          <w:noProof/>
        </w:rPr>
        <w:t>10</w:t>
      </w:r>
      <w:r w:rsidRPr="00A10065">
        <w:fldChar w:fldCharType="end"/>
      </w:r>
      <w:r w:rsidRPr="00A10065">
        <w:t>).</w:t>
      </w:r>
      <w:r w:rsidRPr="00A10065">
        <w:rPr>
          <w:rStyle w:val="FootnoteReference"/>
          <w:rFonts w:ascii="Times" w:hAnsi="Times"/>
        </w:rPr>
        <w:footnoteReference w:id="98"/>
      </w:r>
      <w:r w:rsidRPr="00A10065">
        <w:t xml:space="preserve"> Irregularities were observed in twelve government agencies, with the Ministry of Education</w:t>
      </w:r>
      <w:r w:rsidR="00EB59C7">
        <w:t xml:space="preserve"> (MoE)</w:t>
      </w:r>
      <w:r w:rsidRPr="00A10065">
        <w:t xml:space="preserve"> and Ghana </w:t>
      </w:r>
      <w:r w:rsidRPr="00A10065">
        <w:lastRenderedPageBreak/>
        <w:t>Education Service registering the largest amount (G</w:t>
      </w:r>
      <w:r>
        <w:t>H</w:t>
      </w:r>
      <w:r w:rsidRPr="00A10065">
        <w:rPr>
          <w:rFonts w:ascii="Times New Roman" w:hAnsi="Times New Roman" w:cs="Times New Roman"/>
        </w:rPr>
        <w:t xml:space="preserve">¢ </w:t>
      </w:r>
      <w:r w:rsidRPr="00A10065">
        <w:t xml:space="preserve">344,851), followed by the </w:t>
      </w:r>
      <w:r w:rsidR="009863EC">
        <w:t>MoF</w:t>
      </w:r>
      <w:r w:rsidRPr="00A10065">
        <w:t xml:space="preserve"> (G</w:t>
      </w:r>
      <w:r>
        <w:t>H</w:t>
      </w:r>
      <w:r w:rsidRPr="00A10065">
        <w:rPr>
          <w:rFonts w:ascii="Times New Roman" w:hAnsi="Times New Roman" w:cs="Times New Roman"/>
        </w:rPr>
        <w:t xml:space="preserve">¢ </w:t>
      </w:r>
      <w:r w:rsidRPr="00A10065">
        <w:t>311,027), and the Ministry of Health</w:t>
      </w:r>
      <w:r w:rsidR="009863EC">
        <w:t xml:space="preserve"> (MoH)</w:t>
      </w:r>
      <w:r w:rsidRPr="00A10065">
        <w:t xml:space="preserve"> and Ghana Health Service (G</w:t>
      </w:r>
      <w:r>
        <w:t>H</w:t>
      </w:r>
      <w:r w:rsidRPr="00A10065">
        <w:rPr>
          <w:rFonts w:ascii="Times New Roman" w:hAnsi="Times New Roman" w:cs="Times New Roman"/>
        </w:rPr>
        <w:t xml:space="preserve">¢ </w:t>
      </w:r>
      <w:r w:rsidRPr="00A10065">
        <w:rPr>
          <w:rFonts w:cs="Times"/>
        </w:rPr>
        <w:t>115,347). Many of these irregularities were caused by a failure to remove former staff from the payroll, and the commercial banks that received these unearned salaries as direct deposits were often unwilling to cooperate with the authorities in identifying those accounts and returning the improper payments.</w:t>
      </w:r>
    </w:p>
    <w:p w14:paraId="4C503B22" w14:textId="77777777" w:rsidR="00724BAB" w:rsidRPr="00095875" w:rsidRDefault="00724BAB" w:rsidP="00724BAB">
      <w:pPr>
        <w:pStyle w:val="Caption"/>
        <w:rPr>
          <w:lang w:val="en-US"/>
        </w:rPr>
      </w:pPr>
      <w:bookmarkStart w:id="143" w:name="_Ref470690578"/>
      <w:bookmarkStart w:id="144" w:name="_Toc478837647"/>
      <w:r w:rsidRPr="00095875">
        <w:rPr>
          <w:lang w:val="en-US"/>
        </w:rPr>
        <w:t xml:space="preserve">Table </w:t>
      </w:r>
      <w:r w:rsidR="00500291" w:rsidRPr="00095875">
        <w:rPr>
          <w:lang w:val="en-US"/>
        </w:rPr>
        <w:fldChar w:fldCharType="begin"/>
      </w:r>
      <w:r w:rsidR="00500291" w:rsidRPr="00095875">
        <w:rPr>
          <w:lang w:val="en-US"/>
        </w:rPr>
        <w:instrText xml:space="preserve"> STYLEREF 1 \s </w:instrText>
      </w:r>
      <w:r w:rsidR="00500291" w:rsidRPr="00095875">
        <w:rPr>
          <w:lang w:val="en-US"/>
        </w:rPr>
        <w:fldChar w:fldCharType="separate"/>
      </w:r>
      <w:r w:rsidR="007B1CE6">
        <w:rPr>
          <w:noProof/>
          <w:lang w:val="en-US"/>
        </w:rPr>
        <w:t>3</w:t>
      </w:r>
      <w:r w:rsidR="00500291" w:rsidRPr="00095875">
        <w:rPr>
          <w:lang w:val="en-US"/>
        </w:rPr>
        <w:fldChar w:fldCharType="end"/>
      </w:r>
      <w:r w:rsidR="00500291" w:rsidRPr="00095875">
        <w:rPr>
          <w:lang w:val="en-US"/>
        </w:rPr>
        <w:t>.</w:t>
      </w:r>
      <w:r w:rsidR="00500291" w:rsidRPr="00095875">
        <w:rPr>
          <w:lang w:val="en-US"/>
        </w:rPr>
        <w:fldChar w:fldCharType="begin"/>
      </w:r>
      <w:r w:rsidR="00500291" w:rsidRPr="00095875">
        <w:rPr>
          <w:lang w:val="en-US"/>
        </w:rPr>
        <w:instrText xml:space="preserve"> SEQ Table \* ARABIC \s 1 </w:instrText>
      </w:r>
      <w:r w:rsidR="00500291" w:rsidRPr="00095875">
        <w:rPr>
          <w:lang w:val="en-US"/>
        </w:rPr>
        <w:fldChar w:fldCharType="separate"/>
      </w:r>
      <w:r w:rsidR="007B1CE6">
        <w:rPr>
          <w:noProof/>
          <w:lang w:val="en-US"/>
        </w:rPr>
        <w:t>10</w:t>
      </w:r>
      <w:r w:rsidR="00500291" w:rsidRPr="00095875">
        <w:rPr>
          <w:lang w:val="en-US"/>
        </w:rPr>
        <w:fldChar w:fldCharType="end"/>
      </w:r>
      <w:bookmarkEnd w:id="143"/>
      <w:r w:rsidRPr="00095875">
        <w:rPr>
          <w:lang w:val="en-US"/>
        </w:rPr>
        <w:t>: Payroll Irregularities, 2012</w:t>
      </w:r>
      <w:bookmarkEnd w:id="144"/>
    </w:p>
    <w:tbl>
      <w:tblPr>
        <w:tblStyle w:val="TableGrid"/>
        <w:tblW w:w="0" w:type="auto"/>
        <w:tblLook w:val="04A0" w:firstRow="1" w:lastRow="0" w:firstColumn="1" w:lastColumn="0" w:noHBand="0" w:noVBand="1"/>
      </w:tblPr>
      <w:tblGrid>
        <w:gridCol w:w="6025"/>
        <w:gridCol w:w="1710"/>
        <w:gridCol w:w="1615"/>
      </w:tblGrid>
      <w:tr w:rsidR="00724BAB" w:rsidRPr="002843FB" w14:paraId="003DE8C9" w14:textId="77777777" w:rsidTr="00E566F7">
        <w:tc>
          <w:tcPr>
            <w:tcW w:w="6025" w:type="dxa"/>
          </w:tcPr>
          <w:p w14:paraId="3CF95C19"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Ministries, Departments</w:t>
            </w:r>
            <w:r w:rsidR="00095875" w:rsidRPr="002843FB">
              <w:rPr>
                <w:rFonts w:asciiTheme="minorHAnsi" w:hAnsiTheme="minorHAnsi"/>
                <w:lang w:val="en-US"/>
              </w:rPr>
              <w:t>,</w:t>
            </w:r>
            <w:r w:rsidRPr="002843FB">
              <w:rPr>
                <w:rFonts w:asciiTheme="minorHAnsi" w:hAnsiTheme="minorHAnsi"/>
              </w:rPr>
              <w:t xml:space="preserve"> and Other Public Agencies</w:t>
            </w:r>
          </w:p>
        </w:tc>
        <w:tc>
          <w:tcPr>
            <w:tcW w:w="3325" w:type="dxa"/>
            <w:gridSpan w:val="2"/>
          </w:tcPr>
          <w:p w14:paraId="454EEF44"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Payroll Irregularities</w:t>
            </w:r>
          </w:p>
        </w:tc>
      </w:tr>
      <w:tr w:rsidR="00724BAB" w:rsidRPr="002843FB" w14:paraId="1A3F32B3" w14:textId="77777777" w:rsidTr="00E566F7">
        <w:tc>
          <w:tcPr>
            <w:tcW w:w="6025" w:type="dxa"/>
          </w:tcPr>
          <w:p w14:paraId="62181BC4" w14:textId="77777777" w:rsidR="00724BAB" w:rsidRPr="002843FB" w:rsidRDefault="00724BAB" w:rsidP="00E566F7">
            <w:pPr>
              <w:pStyle w:val="NoSpacing"/>
              <w:rPr>
                <w:rFonts w:asciiTheme="minorHAnsi" w:hAnsiTheme="minorHAnsi"/>
                <w:lang w:val="en-US"/>
              </w:rPr>
            </w:pPr>
          </w:p>
        </w:tc>
        <w:tc>
          <w:tcPr>
            <w:tcW w:w="1710" w:type="dxa"/>
          </w:tcPr>
          <w:p w14:paraId="51EE299C"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GH</w:t>
            </w:r>
            <w:r w:rsidRPr="002843FB">
              <w:rPr>
                <w:rFonts w:asciiTheme="minorHAnsi" w:hAnsiTheme="minorHAnsi" w:cs="Times New Roman"/>
              </w:rPr>
              <w:t>¢</w:t>
            </w:r>
          </w:p>
        </w:tc>
        <w:tc>
          <w:tcPr>
            <w:tcW w:w="1615" w:type="dxa"/>
          </w:tcPr>
          <w:p w14:paraId="38BF341E"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US$</w:t>
            </w:r>
          </w:p>
        </w:tc>
      </w:tr>
      <w:tr w:rsidR="00724BAB" w:rsidRPr="002843FB" w14:paraId="3554348E" w14:textId="77777777" w:rsidTr="00E566F7">
        <w:tc>
          <w:tcPr>
            <w:tcW w:w="6025" w:type="dxa"/>
          </w:tcPr>
          <w:p w14:paraId="0588C1AA"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Ministry of Finance</w:t>
            </w:r>
          </w:p>
        </w:tc>
        <w:tc>
          <w:tcPr>
            <w:tcW w:w="1710" w:type="dxa"/>
          </w:tcPr>
          <w:p w14:paraId="6A7A58EB"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311,027.38</w:t>
            </w:r>
          </w:p>
        </w:tc>
        <w:tc>
          <w:tcPr>
            <w:tcW w:w="1615" w:type="dxa"/>
          </w:tcPr>
          <w:p w14:paraId="72B2181E"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w:t>
            </w:r>
          </w:p>
        </w:tc>
      </w:tr>
      <w:tr w:rsidR="00724BAB" w:rsidRPr="002843FB" w14:paraId="0E707696" w14:textId="77777777" w:rsidTr="00E566F7">
        <w:tc>
          <w:tcPr>
            <w:tcW w:w="6025" w:type="dxa"/>
          </w:tcPr>
          <w:p w14:paraId="7A70F696"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Ministry of Food &amp; Agriculture</w:t>
            </w:r>
          </w:p>
        </w:tc>
        <w:tc>
          <w:tcPr>
            <w:tcW w:w="1710" w:type="dxa"/>
          </w:tcPr>
          <w:p w14:paraId="5AB0D1E0"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115,347.89</w:t>
            </w:r>
          </w:p>
        </w:tc>
        <w:tc>
          <w:tcPr>
            <w:tcW w:w="1615" w:type="dxa"/>
          </w:tcPr>
          <w:p w14:paraId="4C70621B"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w:t>
            </w:r>
          </w:p>
        </w:tc>
      </w:tr>
      <w:tr w:rsidR="00724BAB" w:rsidRPr="002843FB" w14:paraId="63428392" w14:textId="77777777" w:rsidTr="00E566F7">
        <w:tc>
          <w:tcPr>
            <w:tcW w:w="6025" w:type="dxa"/>
          </w:tcPr>
          <w:p w14:paraId="0B8204A1"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Ministry of Education (G</w:t>
            </w:r>
            <w:r w:rsidR="006F7921" w:rsidRPr="002843FB">
              <w:rPr>
                <w:rFonts w:asciiTheme="minorHAnsi" w:hAnsiTheme="minorHAnsi"/>
              </w:rPr>
              <w:t xml:space="preserve">hana </w:t>
            </w:r>
            <w:r w:rsidRPr="002843FB">
              <w:rPr>
                <w:rFonts w:asciiTheme="minorHAnsi" w:hAnsiTheme="minorHAnsi"/>
              </w:rPr>
              <w:t>E</w:t>
            </w:r>
            <w:r w:rsidR="006F7921" w:rsidRPr="002843FB">
              <w:rPr>
                <w:rFonts w:asciiTheme="minorHAnsi" w:hAnsiTheme="minorHAnsi"/>
              </w:rPr>
              <w:t xml:space="preserve">ducation </w:t>
            </w:r>
            <w:r w:rsidRPr="002843FB">
              <w:rPr>
                <w:rFonts w:asciiTheme="minorHAnsi" w:hAnsiTheme="minorHAnsi"/>
              </w:rPr>
              <w:t>S</w:t>
            </w:r>
            <w:r w:rsidR="006F7921" w:rsidRPr="002843FB">
              <w:rPr>
                <w:rFonts w:asciiTheme="minorHAnsi" w:hAnsiTheme="minorHAnsi"/>
              </w:rPr>
              <w:t>ervice</w:t>
            </w:r>
            <w:r w:rsidRPr="002843FB">
              <w:rPr>
                <w:rFonts w:asciiTheme="minorHAnsi" w:hAnsiTheme="minorHAnsi"/>
              </w:rPr>
              <w:t>)</w:t>
            </w:r>
          </w:p>
        </w:tc>
        <w:tc>
          <w:tcPr>
            <w:tcW w:w="1710" w:type="dxa"/>
          </w:tcPr>
          <w:p w14:paraId="15F84771"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344,851.86</w:t>
            </w:r>
          </w:p>
        </w:tc>
        <w:tc>
          <w:tcPr>
            <w:tcW w:w="1615" w:type="dxa"/>
          </w:tcPr>
          <w:p w14:paraId="70D9814E"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w:t>
            </w:r>
          </w:p>
        </w:tc>
      </w:tr>
      <w:tr w:rsidR="00724BAB" w:rsidRPr="002843FB" w14:paraId="6BE51EB0" w14:textId="77777777" w:rsidTr="00E566F7">
        <w:tc>
          <w:tcPr>
            <w:tcW w:w="6025" w:type="dxa"/>
          </w:tcPr>
          <w:p w14:paraId="09BE6A29"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Ministry of Foreign Affairs</w:t>
            </w:r>
          </w:p>
        </w:tc>
        <w:tc>
          <w:tcPr>
            <w:tcW w:w="1710" w:type="dxa"/>
          </w:tcPr>
          <w:p w14:paraId="68FB4C82"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w:t>
            </w:r>
          </w:p>
        </w:tc>
        <w:tc>
          <w:tcPr>
            <w:tcW w:w="1615" w:type="dxa"/>
          </w:tcPr>
          <w:p w14:paraId="0BB2F81D"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1.033.22</w:t>
            </w:r>
          </w:p>
        </w:tc>
      </w:tr>
      <w:tr w:rsidR="00724BAB" w:rsidRPr="002843FB" w14:paraId="496E98D7" w14:textId="77777777" w:rsidTr="00E566F7">
        <w:tc>
          <w:tcPr>
            <w:tcW w:w="6025" w:type="dxa"/>
          </w:tcPr>
          <w:p w14:paraId="4FD741F1"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Ministry of Interior</w:t>
            </w:r>
          </w:p>
        </w:tc>
        <w:tc>
          <w:tcPr>
            <w:tcW w:w="1710" w:type="dxa"/>
          </w:tcPr>
          <w:p w14:paraId="1009AC12"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43,948.08</w:t>
            </w:r>
          </w:p>
        </w:tc>
        <w:tc>
          <w:tcPr>
            <w:tcW w:w="1615" w:type="dxa"/>
          </w:tcPr>
          <w:p w14:paraId="5E1AE922"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w:t>
            </w:r>
          </w:p>
        </w:tc>
      </w:tr>
      <w:tr w:rsidR="00724BAB" w:rsidRPr="002843FB" w14:paraId="3AE4F6D2" w14:textId="77777777" w:rsidTr="00E566F7">
        <w:tc>
          <w:tcPr>
            <w:tcW w:w="6025" w:type="dxa"/>
          </w:tcPr>
          <w:p w14:paraId="32EA41A1"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Ministry of Roads and Highways</w:t>
            </w:r>
          </w:p>
        </w:tc>
        <w:tc>
          <w:tcPr>
            <w:tcW w:w="1710" w:type="dxa"/>
          </w:tcPr>
          <w:p w14:paraId="5FE488F0"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56,121.43</w:t>
            </w:r>
          </w:p>
        </w:tc>
        <w:tc>
          <w:tcPr>
            <w:tcW w:w="1615" w:type="dxa"/>
          </w:tcPr>
          <w:p w14:paraId="5D665C04"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w:t>
            </w:r>
          </w:p>
        </w:tc>
      </w:tr>
      <w:tr w:rsidR="00724BAB" w:rsidRPr="002843FB" w14:paraId="0330D1AB" w14:textId="77777777" w:rsidTr="00E566F7">
        <w:tc>
          <w:tcPr>
            <w:tcW w:w="6025" w:type="dxa"/>
          </w:tcPr>
          <w:p w14:paraId="7CDDA94E"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Ministry of Local Govt. &amp; Rural Development</w:t>
            </w:r>
          </w:p>
        </w:tc>
        <w:tc>
          <w:tcPr>
            <w:tcW w:w="1710" w:type="dxa"/>
          </w:tcPr>
          <w:p w14:paraId="5EB51F6D"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24,643.35</w:t>
            </w:r>
          </w:p>
        </w:tc>
        <w:tc>
          <w:tcPr>
            <w:tcW w:w="1615" w:type="dxa"/>
          </w:tcPr>
          <w:p w14:paraId="65838FCE"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w:t>
            </w:r>
          </w:p>
        </w:tc>
      </w:tr>
      <w:tr w:rsidR="00724BAB" w:rsidRPr="002843FB" w14:paraId="783FE44E" w14:textId="77777777" w:rsidTr="00E566F7">
        <w:tc>
          <w:tcPr>
            <w:tcW w:w="6025" w:type="dxa"/>
          </w:tcPr>
          <w:p w14:paraId="02E83BF5"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Ministry of Lands, Forestry &amp; Mining</w:t>
            </w:r>
          </w:p>
        </w:tc>
        <w:tc>
          <w:tcPr>
            <w:tcW w:w="1710" w:type="dxa"/>
          </w:tcPr>
          <w:p w14:paraId="2250C747"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3,779.85</w:t>
            </w:r>
          </w:p>
        </w:tc>
        <w:tc>
          <w:tcPr>
            <w:tcW w:w="1615" w:type="dxa"/>
          </w:tcPr>
          <w:p w14:paraId="0FF9ABC8"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w:t>
            </w:r>
          </w:p>
        </w:tc>
      </w:tr>
      <w:tr w:rsidR="00724BAB" w:rsidRPr="002843FB" w14:paraId="2C0B5339" w14:textId="77777777" w:rsidTr="00E566F7">
        <w:tc>
          <w:tcPr>
            <w:tcW w:w="6025" w:type="dxa"/>
          </w:tcPr>
          <w:p w14:paraId="46267D92"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Ministry of Justice and Attorney General</w:t>
            </w:r>
          </w:p>
        </w:tc>
        <w:tc>
          <w:tcPr>
            <w:tcW w:w="1710" w:type="dxa"/>
          </w:tcPr>
          <w:p w14:paraId="4DAC1FFB"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10,772.01</w:t>
            </w:r>
          </w:p>
        </w:tc>
        <w:tc>
          <w:tcPr>
            <w:tcW w:w="1615" w:type="dxa"/>
          </w:tcPr>
          <w:p w14:paraId="5F53C722"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w:t>
            </w:r>
          </w:p>
        </w:tc>
      </w:tr>
      <w:tr w:rsidR="00724BAB" w:rsidRPr="002843FB" w14:paraId="0E775157" w14:textId="77777777" w:rsidTr="00E566F7">
        <w:tc>
          <w:tcPr>
            <w:tcW w:w="6025" w:type="dxa"/>
          </w:tcPr>
          <w:p w14:paraId="49846C73"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Ministry of Youth and Sports</w:t>
            </w:r>
          </w:p>
        </w:tc>
        <w:tc>
          <w:tcPr>
            <w:tcW w:w="1710" w:type="dxa"/>
          </w:tcPr>
          <w:p w14:paraId="78416133"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42,549.98</w:t>
            </w:r>
          </w:p>
        </w:tc>
        <w:tc>
          <w:tcPr>
            <w:tcW w:w="1615" w:type="dxa"/>
          </w:tcPr>
          <w:p w14:paraId="7F3AD12B"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w:t>
            </w:r>
          </w:p>
        </w:tc>
      </w:tr>
      <w:tr w:rsidR="00724BAB" w:rsidRPr="002843FB" w14:paraId="5D047FBE" w14:textId="77777777" w:rsidTr="00E566F7">
        <w:tc>
          <w:tcPr>
            <w:tcW w:w="6025" w:type="dxa"/>
          </w:tcPr>
          <w:p w14:paraId="12782DAE"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Judicial Service</w:t>
            </w:r>
          </w:p>
        </w:tc>
        <w:tc>
          <w:tcPr>
            <w:tcW w:w="1710" w:type="dxa"/>
          </w:tcPr>
          <w:p w14:paraId="277D3318"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98,686.61</w:t>
            </w:r>
          </w:p>
        </w:tc>
        <w:tc>
          <w:tcPr>
            <w:tcW w:w="1615" w:type="dxa"/>
          </w:tcPr>
          <w:p w14:paraId="091DF31E"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w:t>
            </w:r>
          </w:p>
        </w:tc>
      </w:tr>
      <w:tr w:rsidR="00724BAB" w:rsidRPr="002843FB" w14:paraId="6D38886F" w14:textId="77777777" w:rsidTr="00E566F7">
        <w:tc>
          <w:tcPr>
            <w:tcW w:w="6025" w:type="dxa"/>
          </w:tcPr>
          <w:p w14:paraId="10A57E8F"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Office of Government Machinery &amp; Other Agencies</w:t>
            </w:r>
          </w:p>
        </w:tc>
        <w:tc>
          <w:tcPr>
            <w:tcW w:w="1710" w:type="dxa"/>
          </w:tcPr>
          <w:p w14:paraId="37F4E1F5"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34,156.62</w:t>
            </w:r>
          </w:p>
        </w:tc>
        <w:tc>
          <w:tcPr>
            <w:tcW w:w="1615" w:type="dxa"/>
          </w:tcPr>
          <w:p w14:paraId="488D3BB6"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w:t>
            </w:r>
          </w:p>
        </w:tc>
      </w:tr>
      <w:tr w:rsidR="00724BAB" w:rsidRPr="002843FB" w14:paraId="0BC2D082" w14:textId="77777777" w:rsidTr="00E566F7">
        <w:tc>
          <w:tcPr>
            <w:tcW w:w="6025" w:type="dxa"/>
          </w:tcPr>
          <w:p w14:paraId="2CD709EE"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TOTAL</w:t>
            </w:r>
          </w:p>
        </w:tc>
        <w:tc>
          <w:tcPr>
            <w:tcW w:w="1710" w:type="dxa"/>
          </w:tcPr>
          <w:p w14:paraId="50A4AFD3"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1,156,017.56</w:t>
            </w:r>
          </w:p>
        </w:tc>
        <w:tc>
          <w:tcPr>
            <w:tcW w:w="1615" w:type="dxa"/>
          </w:tcPr>
          <w:p w14:paraId="58FA0C9D" w14:textId="77777777" w:rsidR="00724BAB" w:rsidRPr="002843FB" w:rsidRDefault="00724BAB" w:rsidP="00E566F7">
            <w:pPr>
              <w:pStyle w:val="NoSpacing"/>
              <w:rPr>
                <w:rFonts w:asciiTheme="minorHAnsi" w:hAnsiTheme="minorHAnsi"/>
                <w:lang w:val="en-US"/>
              </w:rPr>
            </w:pPr>
            <w:r w:rsidRPr="002843FB">
              <w:rPr>
                <w:rFonts w:asciiTheme="minorHAnsi" w:hAnsiTheme="minorHAnsi"/>
              </w:rPr>
              <w:t>1,033.22</w:t>
            </w:r>
          </w:p>
        </w:tc>
      </w:tr>
    </w:tbl>
    <w:p w14:paraId="4BC5CD2A" w14:textId="77777777" w:rsidR="00724BAB" w:rsidRPr="00A10065" w:rsidRDefault="00724BAB" w:rsidP="00724BAB">
      <w:pPr>
        <w:spacing w:after="240"/>
        <w:rPr>
          <w:sz w:val="20"/>
          <w:szCs w:val="20"/>
        </w:rPr>
      </w:pPr>
      <w:r w:rsidRPr="00A10065">
        <w:rPr>
          <w:i/>
          <w:sz w:val="20"/>
          <w:szCs w:val="20"/>
        </w:rPr>
        <w:t>Source</w:t>
      </w:r>
      <w:r w:rsidRPr="00A10065">
        <w:rPr>
          <w:sz w:val="20"/>
          <w:szCs w:val="20"/>
        </w:rPr>
        <w:t>: Report of the Auditor-General on the Public Accounts of Ghana, December, 2012</w:t>
      </w:r>
    </w:p>
    <w:p w14:paraId="7E5C9819" w14:textId="77777777" w:rsidR="00724BAB" w:rsidRPr="00A10065" w:rsidRDefault="00724BAB" w:rsidP="00724BAB">
      <w:pPr>
        <w:pStyle w:val="ListParagraph"/>
        <w:numPr>
          <w:ilvl w:val="0"/>
          <w:numId w:val="13"/>
        </w:numPr>
      </w:pPr>
      <w:r w:rsidRPr="00A10065">
        <w:rPr>
          <w:b/>
        </w:rPr>
        <w:t>There are indications that “ghost workers” inflat</w:t>
      </w:r>
      <w:r w:rsidR="00B27FB1">
        <w:rPr>
          <w:b/>
        </w:rPr>
        <w:t>ed</w:t>
      </w:r>
      <w:r w:rsidRPr="00A10065">
        <w:rPr>
          <w:b/>
        </w:rPr>
        <w:t xml:space="preserve"> the payroll. </w:t>
      </w:r>
      <w:r w:rsidRPr="002020FF">
        <w:t>G</w:t>
      </w:r>
      <w:r w:rsidRPr="00A10065">
        <w:rPr>
          <w:rStyle w:val="tgc"/>
          <w:rFonts w:cs="Times New Roman"/>
          <w:bCs/>
          <w:color w:val="222222"/>
        </w:rPr>
        <w:t>host</w:t>
      </w:r>
      <w:r w:rsidRPr="00A10065">
        <w:rPr>
          <w:rStyle w:val="tgc"/>
          <w:rFonts w:cs="Times New Roman"/>
          <w:color w:val="222222"/>
        </w:rPr>
        <w:t xml:space="preserve"> workers are names recorded in the payroll system that do not correspond to an active employee. Ghost workers may be real individuals who collect unearned salaries or fictional identities created to defraud the payroll system. While it is unclear how widespread the problem of ghost workers is, the phenomenon seems to have been especially prevalent in the Ghana Education Service, which accounts for about two-thirds of the total government payroll. </w:t>
      </w:r>
      <w:r>
        <w:rPr>
          <w:rStyle w:val="tgc"/>
          <w:rFonts w:cs="Times New Roman"/>
          <w:color w:val="222222"/>
        </w:rPr>
        <w:t>T</w:t>
      </w:r>
      <w:r w:rsidRPr="00A10065">
        <w:rPr>
          <w:rStyle w:val="tgc"/>
          <w:rFonts w:cs="Times New Roman"/>
          <w:color w:val="222222"/>
        </w:rPr>
        <w:t xml:space="preserve">he </w:t>
      </w:r>
      <w:r w:rsidRPr="00550169">
        <w:rPr>
          <w:rStyle w:val="tgc"/>
          <w:rFonts w:cs="Times New Roman"/>
          <w:color w:val="222222"/>
        </w:rPr>
        <w:t xml:space="preserve">government </w:t>
      </w:r>
      <w:r>
        <w:rPr>
          <w:rStyle w:val="tgc"/>
          <w:rFonts w:cs="Times New Roman"/>
          <w:color w:val="222222"/>
        </w:rPr>
        <w:t xml:space="preserve">has </w:t>
      </w:r>
      <w:r w:rsidRPr="00550169">
        <w:rPr>
          <w:rStyle w:val="tgc"/>
          <w:rFonts w:cs="Times New Roman"/>
          <w:color w:val="222222"/>
        </w:rPr>
        <w:t>already remove</w:t>
      </w:r>
      <w:r>
        <w:rPr>
          <w:rStyle w:val="tgc"/>
          <w:rFonts w:cs="Times New Roman"/>
          <w:color w:val="222222"/>
        </w:rPr>
        <w:t>d</w:t>
      </w:r>
      <w:r w:rsidRPr="00550169">
        <w:rPr>
          <w:rStyle w:val="tgc"/>
          <w:rFonts w:cs="Times New Roman"/>
          <w:color w:val="222222"/>
        </w:rPr>
        <w:t xml:space="preserve"> </w:t>
      </w:r>
      <w:r>
        <w:rPr>
          <w:rStyle w:val="tgc"/>
          <w:rFonts w:cs="Times New Roman"/>
          <w:color w:val="222222"/>
        </w:rPr>
        <w:t>over 3</w:t>
      </w:r>
      <w:r w:rsidRPr="00550169">
        <w:rPr>
          <w:rStyle w:val="tgc"/>
          <w:rFonts w:cs="Times New Roman"/>
          <w:color w:val="222222"/>
        </w:rPr>
        <w:t>,000 teachers from the payroll who were not at their assigned posts.</w:t>
      </w:r>
      <w:r w:rsidRPr="00550169">
        <w:rPr>
          <w:rStyle w:val="FootnoteReference"/>
          <w:rFonts w:cs="Times New Roman"/>
          <w:color w:val="222222"/>
        </w:rPr>
        <w:footnoteReference w:id="99"/>
      </w:r>
      <w:r w:rsidRPr="00550169">
        <w:rPr>
          <w:rStyle w:val="tgc"/>
          <w:rFonts w:cs="Times New Roman"/>
          <w:color w:val="222222"/>
        </w:rPr>
        <w:t xml:space="preserve"> </w:t>
      </w:r>
    </w:p>
    <w:p w14:paraId="4144011A" w14:textId="77777777" w:rsidR="00724BAB" w:rsidRPr="00A10065" w:rsidRDefault="00724BAB" w:rsidP="00AD44DF">
      <w:pPr>
        <w:pStyle w:val="Heading2"/>
      </w:pPr>
      <w:bookmarkStart w:id="145" w:name="_Toc479624896"/>
      <w:r w:rsidRPr="00A10065">
        <w:t>Reforms Undertaken Since 2014</w:t>
      </w:r>
      <w:bookmarkEnd w:id="145"/>
    </w:p>
    <w:p w14:paraId="68EB0C66" w14:textId="77777777" w:rsidR="00724BAB" w:rsidRPr="00A10065" w:rsidRDefault="00724BAB" w:rsidP="00724BAB">
      <w:pPr>
        <w:pStyle w:val="ListParagraph"/>
        <w:numPr>
          <w:ilvl w:val="0"/>
          <w:numId w:val="13"/>
        </w:numPr>
      </w:pPr>
      <w:r w:rsidRPr="002020FF">
        <w:rPr>
          <w:b/>
        </w:rPr>
        <w:t>Ghana has committed to curbing wage-bill overruns as part of its IMF</w:t>
      </w:r>
      <w:r>
        <w:rPr>
          <w:b/>
        </w:rPr>
        <w:t>-supported</w:t>
      </w:r>
      <w:r w:rsidRPr="002020FF" w:rsidDel="00770921">
        <w:rPr>
          <w:b/>
        </w:rPr>
        <w:t xml:space="preserve"> </w:t>
      </w:r>
      <w:r>
        <w:rPr>
          <w:b/>
        </w:rPr>
        <w:t>stabilization program</w:t>
      </w:r>
      <w:r w:rsidRPr="002020FF">
        <w:rPr>
          <w:b/>
        </w:rPr>
        <w:t>, and the government has launched a number of measures designed to reduce the size of the wage bill and mitigate the risks it poses to macroeconomic stability.</w:t>
      </w:r>
      <w:r w:rsidRPr="00A10065">
        <w:t xml:space="preserve"> In November 2014, the government appointed a Cabinet Inter-Ministerial Committee to monitor payroll reforms. In March 2015, this committee adopted a seven-point plan for resolving payroll irregularities, which included: (i) the removal from the payroll of public employees without listed bank accounts; (ii) the suspension and verification of salary payments to employees without social security numbers; (iii) the implementation of a biometric validation exercise for all employees on the automated payroll system; (iv) the establishment of the electronic wage payment system to enable monthly staff verification by all department heads before payments are made; (v) a payroll security assessment </w:t>
      </w:r>
      <w:r w:rsidRPr="00A10065">
        <w:lastRenderedPageBreak/>
        <w:t xml:space="preserve">conducted through an audit of the payroll databases; (vi) the </w:t>
      </w:r>
      <w:r w:rsidRPr="00A10065">
        <w:rPr>
          <w:rStyle w:val="Strong"/>
          <w:rFonts w:cs="Times New Roman"/>
          <w:b w:val="0"/>
          <w:color w:val="auto"/>
        </w:rPr>
        <w:t>migration of subvented</w:t>
      </w:r>
      <w:r>
        <w:rPr>
          <w:rStyle w:val="FootnoteReference"/>
          <w:rFonts w:cs="Times New Roman"/>
          <w:bCs/>
          <w:spacing w:val="5"/>
        </w:rPr>
        <w:footnoteReference w:id="100"/>
      </w:r>
      <w:r w:rsidR="00806706">
        <w:rPr>
          <w:rStyle w:val="Strong"/>
          <w:rFonts w:cs="Times New Roman"/>
          <w:b w:val="0"/>
          <w:color w:val="auto"/>
        </w:rPr>
        <w:t>entities</w:t>
      </w:r>
      <w:r w:rsidRPr="00A10065">
        <w:rPr>
          <w:rStyle w:val="Strong"/>
          <w:rFonts w:cs="Times New Roman"/>
          <w:b w:val="0"/>
          <w:color w:val="auto"/>
        </w:rPr>
        <w:t xml:space="preserve"> onto the automated payroll databases;</w:t>
      </w:r>
      <w:r w:rsidRPr="00A10065">
        <w:rPr>
          <w:rStyle w:val="FootnoteReference"/>
          <w:rFonts w:cs="Times New Roman"/>
          <w:bCs/>
        </w:rPr>
        <w:footnoteReference w:id="101"/>
      </w:r>
      <w:r w:rsidRPr="00A10065">
        <w:rPr>
          <w:rStyle w:val="Strong"/>
          <w:rFonts w:cs="Times New Roman"/>
          <w:b w:val="0"/>
          <w:color w:val="auto"/>
        </w:rPr>
        <w:t xml:space="preserve"> </w:t>
      </w:r>
      <w:r w:rsidRPr="00A10065">
        <w:t xml:space="preserve">and (vii) a large-scale public payroll management audit designed to identify the officials responsible for irregularities and inform any legal action the government may pursue. </w:t>
      </w:r>
    </w:p>
    <w:p w14:paraId="1C47899C" w14:textId="77777777" w:rsidR="00724BAB" w:rsidRDefault="00724BAB" w:rsidP="00724BAB">
      <w:pPr>
        <w:pStyle w:val="ListParagraph"/>
        <w:numPr>
          <w:ilvl w:val="0"/>
          <w:numId w:val="13"/>
        </w:numPr>
      </w:pPr>
      <w:r w:rsidRPr="002020FF">
        <w:rPr>
          <w:rStyle w:val="Strong"/>
          <w:bCs w:val="0"/>
          <w:color w:val="000000"/>
          <w:spacing w:val="0"/>
        </w:rPr>
        <w:t xml:space="preserve">The authorities are also implementing several new electronic payroll-management platforms and integrating the payroll with other </w:t>
      </w:r>
      <w:r w:rsidR="006E38A0">
        <w:rPr>
          <w:rStyle w:val="Strong"/>
          <w:bCs w:val="0"/>
          <w:color w:val="000000"/>
          <w:spacing w:val="0"/>
        </w:rPr>
        <w:t>PFM</w:t>
      </w:r>
      <w:r w:rsidRPr="002020FF">
        <w:rPr>
          <w:rStyle w:val="Strong"/>
          <w:bCs w:val="0"/>
          <w:color w:val="000000"/>
          <w:spacing w:val="0"/>
        </w:rPr>
        <w:t xml:space="preserve"> systems.</w:t>
      </w:r>
      <w:r w:rsidRPr="00A10065">
        <w:rPr>
          <w:rStyle w:val="FootnoteReference"/>
        </w:rPr>
        <w:footnoteReference w:id="102"/>
      </w:r>
      <w:r w:rsidRPr="00A10065">
        <w:rPr>
          <w:rStyle w:val="Strong"/>
          <w:b w:val="0"/>
          <w:bCs w:val="0"/>
          <w:color w:val="000000"/>
          <w:spacing w:val="0"/>
        </w:rPr>
        <w:t xml:space="preserve"> Key measures include the establishment of the Electronic Salary Payment Voucher System, the E-Payslip System, the E-zwich Payment System,</w:t>
      </w:r>
      <w:r w:rsidRPr="002020FF">
        <w:rPr>
          <w:rStyle w:val="FootnoteReference"/>
        </w:rPr>
        <w:footnoteReference w:id="103"/>
      </w:r>
      <w:r w:rsidRPr="00A10065">
        <w:rPr>
          <w:rStyle w:val="Strong"/>
          <w:b w:val="0"/>
          <w:bCs w:val="0"/>
          <w:color w:val="000000"/>
          <w:spacing w:val="0"/>
        </w:rPr>
        <w:t xml:space="preserve"> and the Human Resource Management Information System for public sector employees,</w:t>
      </w:r>
      <w:r w:rsidRPr="002020FF">
        <w:rPr>
          <w:rStyle w:val="FootnoteReference"/>
        </w:rPr>
        <w:footnoteReference w:id="104"/>
      </w:r>
      <w:r w:rsidRPr="00A10065">
        <w:rPr>
          <w:rStyle w:val="Strong"/>
          <w:b w:val="0"/>
          <w:bCs w:val="0"/>
          <w:color w:val="000000"/>
          <w:spacing w:val="0"/>
        </w:rPr>
        <w:t xml:space="preserve"> as well as the automation of payroll input forms by the Controller and Accountant General’s Department. </w:t>
      </w:r>
      <w:r>
        <w:rPr>
          <w:rStyle w:val="Strong"/>
          <w:b w:val="0"/>
          <w:bCs w:val="0"/>
          <w:color w:val="000000"/>
          <w:spacing w:val="0"/>
        </w:rPr>
        <w:t xml:space="preserve">The government is also upgrading its Oracle database </w:t>
      </w:r>
      <w:r w:rsidRPr="00B937AE">
        <w:t xml:space="preserve">to </w:t>
      </w:r>
      <w:r>
        <w:t xml:space="preserve">reduce </w:t>
      </w:r>
      <w:r w:rsidRPr="00B937AE">
        <w:t xml:space="preserve">configuration errors, </w:t>
      </w:r>
      <w:r>
        <w:t>enhance its default settings</w:t>
      </w:r>
      <w:r w:rsidR="00FF12A7">
        <w:t>,</w:t>
      </w:r>
      <w:r w:rsidRPr="00B937AE">
        <w:t xml:space="preserve"> and </w:t>
      </w:r>
      <w:r>
        <w:t xml:space="preserve">address </w:t>
      </w:r>
      <w:r w:rsidRPr="00B937AE">
        <w:t xml:space="preserve">a fundamental misalignment of the </w:t>
      </w:r>
      <w:r>
        <w:t xml:space="preserve">database </w:t>
      </w:r>
      <w:r w:rsidRPr="00B937AE">
        <w:t xml:space="preserve">tiers. </w:t>
      </w:r>
      <w:r>
        <w:t xml:space="preserve">If successfully implemented, these improvements could reduce payroll-processing runtimes from </w:t>
      </w:r>
      <w:r w:rsidRPr="00B937AE">
        <w:t xml:space="preserve">4-5 days </w:t>
      </w:r>
      <w:r>
        <w:t>to</w:t>
      </w:r>
      <w:r w:rsidRPr="00B937AE">
        <w:t xml:space="preserve"> </w:t>
      </w:r>
      <w:r>
        <w:t>about two hours, the</w:t>
      </w:r>
      <w:r w:rsidRPr="00B937AE">
        <w:t xml:space="preserve"> global </w:t>
      </w:r>
      <w:r>
        <w:t>standard for a payroll of 500,000. However, s</w:t>
      </w:r>
      <w:r w:rsidRPr="00B937AE">
        <w:t xml:space="preserve">torage capacity </w:t>
      </w:r>
      <w:r>
        <w:t>remains very</w:t>
      </w:r>
      <w:r w:rsidRPr="00B937AE">
        <w:t xml:space="preserve"> </w:t>
      </w:r>
      <w:r>
        <w:t>limited</w:t>
      </w:r>
      <w:r w:rsidRPr="00B937AE">
        <w:t>, and provision</w:t>
      </w:r>
      <w:r>
        <w:t>s</w:t>
      </w:r>
      <w:r w:rsidRPr="00B937AE">
        <w:t xml:space="preserve"> for disaster recovery</w:t>
      </w:r>
      <w:r>
        <w:t xml:space="preserve"> are inadequate.</w:t>
      </w:r>
    </w:p>
    <w:p w14:paraId="7F76F65E" w14:textId="77777777" w:rsidR="00724BAB" w:rsidRPr="005B372F" w:rsidRDefault="00724BAB" w:rsidP="00724BAB">
      <w:pPr>
        <w:pStyle w:val="ListParagraph"/>
        <w:numPr>
          <w:ilvl w:val="0"/>
          <w:numId w:val="13"/>
        </w:numPr>
      </w:pPr>
      <w:r w:rsidRPr="00B937AE">
        <w:rPr>
          <w:rStyle w:val="Strong"/>
          <w:bCs w:val="0"/>
          <w:color w:val="000000"/>
          <w:spacing w:val="0"/>
        </w:rPr>
        <w:t>The Ministry of Finance’s</w:t>
      </w:r>
      <w:r w:rsidRPr="00B937AE">
        <w:rPr>
          <w:rStyle w:val="Strong"/>
          <w:b w:val="0"/>
          <w:bCs w:val="0"/>
          <w:color w:val="000000"/>
          <w:spacing w:val="0"/>
        </w:rPr>
        <w:t xml:space="preserve"> </w:t>
      </w:r>
      <w:r w:rsidRPr="00B937AE">
        <w:rPr>
          <w:b/>
        </w:rPr>
        <w:t xml:space="preserve">2014 Economic Policy and Budget Statement </w:t>
      </w:r>
      <w:r>
        <w:rPr>
          <w:b/>
        </w:rPr>
        <w:t xml:space="preserve">specified a set of payroll </w:t>
      </w:r>
      <w:r w:rsidRPr="00B937AE">
        <w:rPr>
          <w:b/>
        </w:rPr>
        <w:t>control</w:t>
      </w:r>
      <w:r>
        <w:rPr>
          <w:b/>
        </w:rPr>
        <w:t>s</w:t>
      </w:r>
      <w:r w:rsidRPr="00B937AE">
        <w:rPr>
          <w:b/>
        </w:rPr>
        <w:t xml:space="preserve"> designed to complement the work of the Cabinet Inter-Ministerial Committee.</w:t>
      </w:r>
      <w:r w:rsidRPr="00B937AE">
        <w:t xml:space="preserve"> </w:t>
      </w:r>
      <w:r w:rsidRPr="00A10065">
        <w:t xml:space="preserve">These included </w:t>
      </w:r>
      <w:r>
        <w:t>measures to contain</w:t>
      </w:r>
      <w:r w:rsidRPr="00A10065">
        <w:t xml:space="preserve"> annual wage </w:t>
      </w:r>
      <w:r w:rsidRPr="005B372F">
        <w:t xml:space="preserve">increases, </w:t>
      </w:r>
      <w:r>
        <w:t>limit</w:t>
      </w:r>
      <w:r w:rsidRPr="005B372F">
        <w:t xml:space="preserve"> the establishment of new positions </w:t>
      </w:r>
      <w:r>
        <w:t>(</w:t>
      </w:r>
      <w:r w:rsidRPr="005B372F">
        <w:t>except in key areas such as education and health care</w:t>
      </w:r>
      <w:r>
        <w:t>), conduct</w:t>
      </w:r>
      <w:r w:rsidRPr="005B372F">
        <w:t xml:space="preserve"> a human resource audit and person</w:t>
      </w:r>
      <w:r>
        <w:t>nel headcount, and strengthen</w:t>
      </w:r>
      <w:r w:rsidRPr="005B372F">
        <w:t xml:space="preserve"> </w:t>
      </w:r>
      <w:r>
        <w:t xml:space="preserve">the government’s </w:t>
      </w:r>
      <w:r w:rsidRPr="005B372F">
        <w:t xml:space="preserve">oversight of </w:t>
      </w:r>
      <w:r>
        <w:t xml:space="preserve">public </w:t>
      </w:r>
      <w:r w:rsidRPr="005B372F">
        <w:t>employment and compensation by modernizing the Human Resource Management Information System</w:t>
      </w:r>
      <w:r w:rsidRPr="00B937AE">
        <w:t xml:space="preserve"> </w:t>
      </w:r>
      <w:r>
        <w:t>(</w:t>
      </w:r>
      <w:r w:rsidRPr="00A10065">
        <w:t>see Annex</w:t>
      </w:r>
      <w:r>
        <w:t xml:space="preserve"> I</w:t>
      </w:r>
      <w:r w:rsidRPr="00A10065">
        <w:t>)</w:t>
      </w:r>
      <w:r w:rsidRPr="005B372F">
        <w:t>. These initiatives are part of a broader public service reform strategy unveiled in early 2016.</w:t>
      </w:r>
      <w:r w:rsidRPr="005B372F">
        <w:rPr>
          <w:rStyle w:val="FootnoteReference"/>
        </w:rPr>
        <w:footnoteReference w:id="105"/>
      </w:r>
    </w:p>
    <w:p w14:paraId="11D6660B" w14:textId="77777777" w:rsidR="00724BAB" w:rsidRPr="005B372F" w:rsidRDefault="00724BAB" w:rsidP="00724BAB">
      <w:pPr>
        <w:pStyle w:val="ListParagraph"/>
        <w:numPr>
          <w:ilvl w:val="0"/>
          <w:numId w:val="13"/>
        </w:numPr>
      </w:pPr>
      <w:r>
        <w:rPr>
          <w:b/>
        </w:rPr>
        <w:t>As a result of t</w:t>
      </w:r>
      <w:r w:rsidRPr="002020FF">
        <w:rPr>
          <w:b/>
        </w:rPr>
        <w:t>he government’s efforts</w:t>
      </w:r>
      <w:r w:rsidR="00DA3D9F">
        <w:rPr>
          <w:b/>
        </w:rPr>
        <w:t>,</w:t>
      </w:r>
      <w:r w:rsidRPr="002020FF">
        <w:rPr>
          <w:b/>
        </w:rPr>
        <w:t xml:space="preserve"> the wage bill </w:t>
      </w:r>
      <w:r>
        <w:rPr>
          <w:b/>
        </w:rPr>
        <w:t xml:space="preserve">fell </w:t>
      </w:r>
      <w:r w:rsidRPr="002020FF">
        <w:rPr>
          <w:b/>
        </w:rPr>
        <w:t>from 8.3 percent of GDP in 2014 to 7.5 percent in 2015, slightly below the target of 7.7 percent.</w:t>
      </w:r>
      <w:r w:rsidRPr="005B372F">
        <w:t xml:space="preserve"> As a share of public revenue, the wage bill peaked at 62 percent in 2012 before falling to 44.2 percent in 2015. </w:t>
      </w:r>
      <w:r w:rsidR="00FB30BB">
        <w:t xml:space="preserve">As of </w:t>
      </w:r>
      <w:r w:rsidRPr="005B372F">
        <w:t xml:space="preserve">April 2016, the public sector employed </w:t>
      </w:r>
      <w:r w:rsidRPr="00550169">
        <w:t>an estimated</w:t>
      </w:r>
      <w:r>
        <w:t xml:space="preserve"> </w:t>
      </w:r>
      <w:r w:rsidRPr="005B372F">
        <w:t xml:space="preserve">519,000 active workers, with another 80,000 on pensions. </w:t>
      </w:r>
      <w:r w:rsidRPr="005B372F">
        <w:lastRenderedPageBreak/>
        <w:t xml:space="preserve">Subvented agencies employed an additional 134,000 workers. </w:t>
      </w:r>
      <w:r w:rsidR="00DB4512">
        <w:t>Despite the pressures ahead of elections,</w:t>
      </w:r>
      <w:r w:rsidRPr="005B372F">
        <w:t xml:space="preserve"> </w:t>
      </w:r>
      <w:r w:rsidR="00DB4512">
        <w:t>Ghana managed to reduce the wage bill further to 7.2 percent of GDP</w:t>
      </w:r>
      <w:r w:rsidR="00D16D13">
        <w:t xml:space="preserve"> in 2016</w:t>
      </w:r>
      <w:r w:rsidRPr="005B372F">
        <w:t>.</w:t>
      </w:r>
      <w:r w:rsidRPr="006A099B">
        <w:rPr>
          <w:rStyle w:val="FootnoteReference"/>
          <w:rFonts w:cs="Times New Roman"/>
        </w:rPr>
        <w:footnoteReference w:id="106"/>
      </w:r>
      <w:r w:rsidRPr="006A099B">
        <w:t xml:space="preserve"> </w:t>
      </w:r>
    </w:p>
    <w:p w14:paraId="69156B11" w14:textId="77777777" w:rsidR="00724BAB" w:rsidRPr="005B372F" w:rsidRDefault="00724BAB" w:rsidP="00AD44DF">
      <w:pPr>
        <w:pStyle w:val="Heading2"/>
      </w:pPr>
      <w:bookmarkStart w:id="146" w:name="_Toc479624897"/>
      <w:r>
        <w:t xml:space="preserve">The </w:t>
      </w:r>
      <w:r w:rsidRPr="005B372F">
        <w:t xml:space="preserve">Political Economy of </w:t>
      </w:r>
      <w:r>
        <w:t xml:space="preserve">Public Sector </w:t>
      </w:r>
      <w:r w:rsidRPr="005B372F">
        <w:t>Pay Reform</w:t>
      </w:r>
      <w:bookmarkEnd w:id="146"/>
    </w:p>
    <w:p w14:paraId="75B9586B" w14:textId="77777777" w:rsidR="00724BAB" w:rsidRPr="005B372F" w:rsidRDefault="00724BAB" w:rsidP="00724BAB">
      <w:pPr>
        <w:pStyle w:val="ListParagraph"/>
        <w:numPr>
          <w:ilvl w:val="0"/>
          <w:numId w:val="13"/>
        </w:numPr>
      </w:pPr>
      <w:r w:rsidRPr="002020FF">
        <w:rPr>
          <w:b/>
        </w:rPr>
        <w:t>Effective wage-bill reform</w:t>
      </w:r>
      <w:r>
        <w:rPr>
          <w:b/>
        </w:rPr>
        <w:t>s</w:t>
      </w:r>
      <w:r w:rsidRPr="002020FF">
        <w:rPr>
          <w:b/>
        </w:rPr>
        <w:t xml:space="preserve"> must reflect the </w:t>
      </w:r>
      <w:r>
        <w:rPr>
          <w:b/>
        </w:rPr>
        <w:t>complex</w:t>
      </w:r>
      <w:r w:rsidRPr="002020FF">
        <w:rPr>
          <w:b/>
        </w:rPr>
        <w:t xml:space="preserve"> political</w:t>
      </w:r>
      <w:r w:rsidRPr="005B372F">
        <w:rPr>
          <w:b/>
        </w:rPr>
        <w:t xml:space="preserve"> </w:t>
      </w:r>
      <w:r w:rsidRPr="002020FF">
        <w:rPr>
          <w:b/>
        </w:rPr>
        <w:t>econom</w:t>
      </w:r>
      <w:r>
        <w:rPr>
          <w:b/>
        </w:rPr>
        <w:t xml:space="preserve">y </w:t>
      </w:r>
      <w:r w:rsidRPr="002020FF">
        <w:rPr>
          <w:b/>
        </w:rPr>
        <w:t>of the Ghanaian public sector.</w:t>
      </w:r>
      <w:r w:rsidRPr="005B372F">
        <w:t xml:space="preserve"> </w:t>
      </w:r>
      <w:r w:rsidRPr="00201694">
        <w:t>The persistent upward pressure on public sector wages is due in part to Ghana’s relative political liberalism, which has allowed for the formation of a strong labor movement capable of mounting strikes and pursuing other forms of collective action. Meanwhile</w:t>
      </w:r>
      <w:r>
        <w:t>,</w:t>
      </w:r>
      <w:r w:rsidRPr="00201694">
        <w:t xml:space="preserve"> the complexity </w:t>
      </w:r>
      <w:r>
        <w:t xml:space="preserve">and administrative fragmentation </w:t>
      </w:r>
      <w:r w:rsidRPr="00201694">
        <w:t>of the pay-setting process limits the government’s ability to coordinate negotiations.</w:t>
      </w:r>
      <w:r>
        <w:t xml:space="preserve"> In addition to Ghana’s numerous public sector unions and professional associations, a full 17 government </w:t>
      </w:r>
      <w:r w:rsidRPr="005B372F">
        <w:t>institutions</w:t>
      </w:r>
      <w:r>
        <w:t xml:space="preserve"> are</w:t>
      </w:r>
      <w:r w:rsidRPr="005B372F">
        <w:t xml:space="preserve"> either directly or indirectly involved in </w:t>
      </w:r>
      <w:r>
        <w:t>establishing compensation rates and terms.</w:t>
      </w:r>
      <w:r>
        <w:rPr>
          <w:rStyle w:val="FootnoteReference"/>
        </w:rPr>
        <w:footnoteReference w:id="107"/>
      </w:r>
      <w:r w:rsidRPr="005B372F">
        <w:t xml:space="preserve"> </w:t>
      </w:r>
      <w:r>
        <w:t>T</w:t>
      </w:r>
      <w:r w:rsidRPr="005B372F">
        <w:t xml:space="preserve">he FWSC Act of 2007 (Act 737) stipulates that </w:t>
      </w:r>
      <w:r>
        <w:t>al</w:t>
      </w:r>
      <w:r w:rsidRPr="005B372F">
        <w:t>though</w:t>
      </w:r>
      <w:r>
        <w:t xml:space="preserve"> in principle the FWSC supersedes</w:t>
      </w:r>
      <w:r w:rsidRPr="005B372F">
        <w:t xml:space="preserve"> all the other </w:t>
      </w:r>
      <w:r>
        <w:t xml:space="preserve">pay-setting </w:t>
      </w:r>
      <w:r w:rsidRPr="005B372F">
        <w:t>arrangements, “institutions such as the Office of the President, the Ministry of Finance and Economic Planning,</w:t>
      </w:r>
      <w:r w:rsidRPr="005B372F">
        <w:rPr>
          <w:rStyle w:val="FootnoteReference"/>
        </w:rPr>
        <w:footnoteReference w:id="108"/>
      </w:r>
      <w:r w:rsidRPr="005B372F">
        <w:t xml:space="preserve"> the Public Services Commission and the Ministry of Employment and Social Welfare that have been involved in reviewing salaries and allowances of Public Service institutions over the years should support and cooperate with the FWSC in the delivery of its mandate</w:t>
      </w:r>
      <w:r>
        <w:t>.</w:t>
      </w:r>
      <w:r w:rsidRPr="005B372F">
        <w:t>”</w:t>
      </w:r>
      <w:r w:rsidRPr="004970EF">
        <w:t xml:space="preserve"> The large number of institutions</w:t>
      </w:r>
      <w:r>
        <w:t xml:space="preserve"> involved in setting wages</w:t>
      </w:r>
      <w:r w:rsidRPr="004970EF">
        <w:t xml:space="preserve"> is </w:t>
      </w:r>
      <w:r>
        <w:t>a major obstacle to payroll reform</w:t>
      </w:r>
      <w:r w:rsidRPr="004970EF">
        <w:t xml:space="preserve"> in Ghana</w:t>
      </w:r>
      <w:r>
        <w:t xml:space="preserve">, as the involvement of many </w:t>
      </w:r>
      <w:r w:rsidRPr="004970EF">
        <w:t xml:space="preserve">diverse </w:t>
      </w:r>
      <w:r>
        <w:t xml:space="preserve">agencies </w:t>
      </w:r>
      <w:r w:rsidRPr="004970EF">
        <w:t>with differing interests and perspectives</w:t>
      </w:r>
      <w:r>
        <w:t xml:space="preserve"> intensifies the difficulty of coordinating</w:t>
      </w:r>
      <w:r w:rsidRPr="004970EF">
        <w:t xml:space="preserve"> </w:t>
      </w:r>
      <w:r>
        <w:t>policy actions across the public sector</w:t>
      </w:r>
      <w:r w:rsidRPr="004970EF">
        <w:t>.</w:t>
      </w:r>
    </w:p>
    <w:p w14:paraId="6281FAA1" w14:textId="77777777" w:rsidR="00724BAB" w:rsidRPr="005B372F" w:rsidRDefault="00724BAB" w:rsidP="00724BAB">
      <w:pPr>
        <w:pStyle w:val="ListParagraph"/>
        <w:numPr>
          <w:ilvl w:val="0"/>
          <w:numId w:val="13"/>
        </w:numPr>
      </w:pPr>
      <w:r>
        <w:rPr>
          <w:b/>
        </w:rPr>
        <w:t>The fragmentation of pay-setting authority across public institutions greatly expands opportunities for patronage</w:t>
      </w:r>
      <w:r w:rsidRPr="00A10065">
        <w:t>.</w:t>
      </w:r>
      <w:r>
        <w:rPr>
          <w:rStyle w:val="FootnoteReference"/>
        </w:rPr>
        <w:footnoteReference w:id="109"/>
      </w:r>
      <w:r w:rsidRPr="00A10065">
        <w:t xml:space="preserve"> </w:t>
      </w:r>
      <w:r>
        <w:t>While the SSSS was designed to consolidate wage negotiations under the oversight of the FWSC, influence over wages and benefits</w:t>
      </w:r>
      <w:r w:rsidRPr="005B372F">
        <w:t xml:space="preserve"> </w:t>
      </w:r>
      <w:r>
        <w:t>remains</w:t>
      </w:r>
      <w:r w:rsidRPr="005B372F">
        <w:t xml:space="preserve"> </w:t>
      </w:r>
      <w:r>
        <w:t xml:space="preserve">subject to </w:t>
      </w:r>
      <w:r w:rsidRPr="005B372F">
        <w:t xml:space="preserve">capture by private </w:t>
      </w:r>
      <w:r>
        <w:t>interests</w:t>
      </w:r>
      <w:r w:rsidRPr="005B372F">
        <w:t xml:space="preserve">. </w:t>
      </w:r>
      <w:r>
        <w:t>Recent efforts to purge ghost workers from the payroll are a positive step, but permanent improvements in monitoring and accountability will be necessary to curb the abuse of pay-setting authority</w:t>
      </w:r>
      <w:r w:rsidRPr="005B372F">
        <w:t xml:space="preserve">. </w:t>
      </w:r>
    </w:p>
    <w:p w14:paraId="2F78D2C6" w14:textId="77777777" w:rsidR="00724BAB" w:rsidRPr="001611F3" w:rsidRDefault="00724BAB" w:rsidP="00724BAB">
      <w:pPr>
        <w:pStyle w:val="ListParagraph"/>
        <w:numPr>
          <w:ilvl w:val="0"/>
          <w:numId w:val="13"/>
        </w:numPr>
      </w:pPr>
      <w:r w:rsidRPr="002020FF">
        <w:rPr>
          <w:b/>
        </w:rPr>
        <w:t>Moreover, Ghana’s relatively strong democratic institutions allow for a more organized public sector workforce capable of bringing substantial pressure to bear on policymakers.</w:t>
      </w:r>
      <w:r w:rsidRPr="005B372F">
        <w:t xml:space="preserve"> The return to constitutional rule in 1992 has </w:t>
      </w:r>
      <w:r>
        <w:t>empowered a range of stakeholders, including public sector unions, and integrated them into inclusive</w:t>
      </w:r>
      <w:r w:rsidRPr="005B372F">
        <w:t xml:space="preserve"> decision-making processes.</w:t>
      </w:r>
      <w:r>
        <w:rPr>
          <w:rStyle w:val="FootnoteReference"/>
        </w:rPr>
        <w:footnoteReference w:id="110"/>
      </w:r>
      <w:r>
        <w:t xml:space="preserve"> </w:t>
      </w:r>
      <w:r>
        <w:rPr>
          <w:rFonts w:eastAsia="Times New Roman"/>
        </w:rPr>
        <w:t>Twenty-eight</w:t>
      </w:r>
      <w:r w:rsidRPr="001611F3">
        <w:rPr>
          <w:rFonts w:eastAsia="Times New Roman"/>
        </w:rPr>
        <w:t xml:space="preserve"> labor unions</w:t>
      </w:r>
      <w:r>
        <w:rPr>
          <w:rFonts w:eastAsia="Times New Roman"/>
        </w:rPr>
        <w:t xml:space="preserve"> and professional </w:t>
      </w:r>
      <w:r w:rsidRPr="001611F3">
        <w:rPr>
          <w:rFonts w:eastAsia="Times New Roman"/>
        </w:rPr>
        <w:t>associations</w:t>
      </w:r>
      <w:r>
        <w:rPr>
          <w:rFonts w:eastAsia="Times New Roman"/>
        </w:rPr>
        <w:t xml:space="preserve"> comprise</w:t>
      </w:r>
      <w:r w:rsidRPr="001611F3">
        <w:rPr>
          <w:rFonts w:eastAsia="Times New Roman"/>
        </w:rPr>
        <w:t xml:space="preserve"> the </w:t>
      </w:r>
      <w:r w:rsidRPr="001611F3">
        <w:t>Public Services Joint Standing Negotiating Committee</w:t>
      </w:r>
      <w:r w:rsidRPr="001611F3">
        <w:rPr>
          <w:rFonts w:eastAsia="Times New Roman"/>
        </w:rPr>
        <w:t xml:space="preserve">, </w:t>
      </w:r>
      <w:r>
        <w:rPr>
          <w:rFonts w:eastAsia="Times New Roman"/>
        </w:rPr>
        <w:t>which represents public sector workers in salary negotiations</w:t>
      </w:r>
      <w:r w:rsidRPr="001611F3">
        <w:rPr>
          <w:rFonts w:eastAsia="Times New Roman"/>
        </w:rPr>
        <w:t xml:space="preserve">. </w:t>
      </w:r>
      <w:r>
        <w:rPr>
          <w:rFonts w:eastAsia="Times New Roman"/>
        </w:rPr>
        <w:t>The strength of Ghana’s labor</w:t>
      </w:r>
      <w:r w:rsidRPr="001611F3">
        <w:rPr>
          <w:rFonts w:eastAsia="Times New Roman"/>
        </w:rPr>
        <w:t xml:space="preserve"> unions </w:t>
      </w:r>
      <w:r>
        <w:rPr>
          <w:rFonts w:eastAsia="Times New Roman"/>
        </w:rPr>
        <w:t xml:space="preserve">reflects </w:t>
      </w:r>
      <w:r w:rsidRPr="001611F3">
        <w:t xml:space="preserve">the country’s relative freedom </w:t>
      </w:r>
      <w:r>
        <w:t xml:space="preserve">of association </w:t>
      </w:r>
      <w:r w:rsidRPr="001611F3">
        <w:t xml:space="preserve">and </w:t>
      </w:r>
      <w:r>
        <w:t xml:space="preserve">respect for </w:t>
      </w:r>
      <w:r w:rsidRPr="001611F3">
        <w:t xml:space="preserve">political </w:t>
      </w:r>
      <w:r>
        <w:t xml:space="preserve">advocacy, but it also results in continuous upward pressure on </w:t>
      </w:r>
      <w:r w:rsidRPr="001611F3">
        <w:t>public sector wages.</w:t>
      </w:r>
    </w:p>
    <w:p w14:paraId="493AB911" w14:textId="77777777" w:rsidR="00724BAB" w:rsidRPr="005B372F" w:rsidRDefault="00724BAB" w:rsidP="00724BAB">
      <w:pPr>
        <w:pStyle w:val="ListParagraph"/>
        <w:numPr>
          <w:ilvl w:val="0"/>
          <w:numId w:val="13"/>
        </w:numPr>
      </w:pPr>
      <w:r w:rsidRPr="002020FF">
        <w:rPr>
          <w:b/>
        </w:rPr>
        <w:lastRenderedPageBreak/>
        <w:t xml:space="preserve">The close elections of recent years have increased the political leverage of </w:t>
      </w:r>
      <w:r>
        <w:rPr>
          <w:b/>
        </w:rPr>
        <w:t>public sector unions</w:t>
      </w:r>
      <w:r w:rsidRPr="002020FF">
        <w:rPr>
          <w:b/>
        </w:rPr>
        <w:t>.</w:t>
      </w:r>
      <w:r>
        <w:rPr>
          <w:b/>
        </w:rPr>
        <w:t xml:space="preserve"> </w:t>
      </w:r>
      <w:r>
        <w:t>In a context of tight electoral contests, labor representatives who can credibly wield the electoral power of their constituents are in a strong position to negotiate for higher wages</w:t>
      </w:r>
      <w:r w:rsidRPr="005B372F">
        <w:t xml:space="preserve">. </w:t>
      </w:r>
      <w:r>
        <w:t>Ghana’s public sector unions have also proven adept at using political power to resist efforts to strengthen performance oversight and enforce sanctions for illegal strikes</w:t>
      </w:r>
      <w:r w:rsidRPr="005B372F">
        <w:t>.</w:t>
      </w:r>
    </w:p>
    <w:p w14:paraId="6CDA916C" w14:textId="77777777" w:rsidR="00724BAB" w:rsidRPr="005B372F" w:rsidRDefault="00724BAB" w:rsidP="00724BAB">
      <w:pPr>
        <w:pStyle w:val="ListParagraph"/>
        <w:numPr>
          <w:ilvl w:val="0"/>
          <w:numId w:val="13"/>
        </w:numPr>
      </w:pPr>
      <w:r w:rsidRPr="002020FF">
        <w:rPr>
          <w:b/>
        </w:rPr>
        <w:t xml:space="preserve">Finally, </w:t>
      </w:r>
      <w:r>
        <w:rPr>
          <w:b/>
        </w:rPr>
        <w:t>structural deficiencies</w:t>
      </w:r>
      <w:r w:rsidRPr="002020FF">
        <w:rPr>
          <w:b/>
        </w:rPr>
        <w:t xml:space="preserve"> in </w:t>
      </w:r>
      <w:r>
        <w:rPr>
          <w:b/>
        </w:rPr>
        <w:t xml:space="preserve">the legislative framework for </w:t>
      </w:r>
      <w:r w:rsidRPr="002020FF">
        <w:rPr>
          <w:b/>
        </w:rPr>
        <w:t>pay-setting generate conflicts of interest.</w:t>
      </w:r>
      <w:r w:rsidRPr="005B372F">
        <w:t xml:space="preserve"> </w:t>
      </w:r>
      <w:r>
        <w:t>For example, the President appoints the</w:t>
      </w:r>
      <w:r w:rsidRPr="005B372F">
        <w:t xml:space="preserve"> committee </w:t>
      </w:r>
      <w:r>
        <w:t>that</w:t>
      </w:r>
      <w:r w:rsidRPr="005B372F">
        <w:t xml:space="preserve"> determine</w:t>
      </w:r>
      <w:r>
        <w:t>s</w:t>
      </w:r>
      <w:r w:rsidRPr="005B372F">
        <w:t xml:space="preserve"> the salaries of Article 71 officeholders</w:t>
      </w:r>
      <w:r>
        <w:t>, which</w:t>
      </w:r>
      <w:r w:rsidRPr="005B372F">
        <w:t xml:space="preserve"> includ</w:t>
      </w:r>
      <w:r>
        <w:t>e</w:t>
      </w:r>
      <w:r w:rsidRPr="005B372F">
        <w:t xml:space="preserve"> </w:t>
      </w:r>
      <w:r w:rsidR="0070755D">
        <w:t>m</w:t>
      </w:r>
      <w:r w:rsidRPr="005B372F">
        <w:t xml:space="preserve">embers of Parliament, while Parliament is empowered to determine the </w:t>
      </w:r>
      <w:r>
        <w:t>salary of the</w:t>
      </w:r>
      <w:r w:rsidRPr="005B372F">
        <w:t xml:space="preserve"> </w:t>
      </w:r>
      <w:r w:rsidR="0070755D">
        <w:t>p</w:t>
      </w:r>
      <w:r w:rsidRPr="005B372F">
        <w:t>resident</w:t>
      </w:r>
      <w:r>
        <w:t xml:space="preserve"> and other top-level executives</w:t>
      </w:r>
      <w:r w:rsidRPr="005B372F">
        <w:t xml:space="preserve">. This arrangement </w:t>
      </w:r>
      <w:r>
        <w:t>creates a clear incentive for collusion</w:t>
      </w:r>
      <w:r w:rsidRPr="005B372F">
        <w:t xml:space="preserve">. </w:t>
      </w:r>
      <w:r>
        <w:rPr>
          <w:rFonts w:eastAsia="Times New Roman"/>
        </w:rPr>
        <w:t>Indeed, the entire system for determining the salaries and benefits of</w:t>
      </w:r>
      <w:r w:rsidRPr="005B372F">
        <w:t xml:space="preserve"> Article 71 officeholders </w:t>
      </w:r>
      <w:r>
        <w:t>is deeply</w:t>
      </w:r>
      <w:r w:rsidRPr="005B372F">
        <w:t xml:space="preserve"> problematic </w:t>
      </w:r>
      <w:r>
        <w:t>and inherently vulnerable to abuse</w:t>
      </w:r>
      <w:r w:rsidRPr="005B372F">
        <w:t>.</w:t>
      </w:r>
    </w:p>
    <w:p w14:paraId="1809CAAE" w14:textId="77777777" w:rsidR="00724BAB" w:rsidRDefault="00724BAB" w:rsidP="00AD44DF">
      <w:pPr>
        <w:pStyle w:val="Heading2"/>
      </w:pPr>
      <w:bookmarkStart w:id="147" w:name="_Toc479624898"/>
      <w:r w:rsidRPr="005B372F">
        <w:t>Conclusion</w:t>
      </w:r>
      <w:r>
        <w:t xml:space="preserve"> and Recommendations</w:t>
      </w:r>
      <w:bookmarkEnd w:id="147"/>
    </w:p>
    <w:p w14:paraId="4AB14529" w14:textId="77777777" w:rsidR="00724BAB" w:rsidRPr="00A23AAF" w:rsidRDefault="00724BAB" w:rsidP="00724BAB">
      <w:pPr>
        <w:pStyle w:val="ListParagraph"/>
        <w:numPr>
          <w:ilvl w:val="0"/>
          <w:numId w:val="13"/>
        </w:numPr>
      </w:pPr>
      <w:r w:rsidRPr="00E06134">
        <w:rPr>
          <w:b/>
        </w:rPr>
        <w:t>Reducing the public sector wage bill is among the most difficult austerity measures to implement, as it directly affects the interests of powerful groups.</w:t>
      </w:r>
      <w:r w:rsidRPr="00E06134">
        <w:t xml:space="preserve"> Public sector employment is a major source of income for educated workers in urban areas, and it can be leveraged to garner support from important political constituencies.</w:t>
      </w:r>
      <w:r w:rsidRPr="00E06134">
        <w:rPr>
          <w:rStyle w:val="FootnoteReference"/>
        </w:rPr>
        <w:footnoteReference w:id="111"/>
      </w:r>
      <w:r w:rsidRPr="00E06134">
        <w:t xml:space="preserve"> Public sector jobs can also serve as a vital social-insurance mechanism, particularly in economies vulnerable to shocks, as public employees constitute a large </w:t>
      </w:r>
      <w:r w:rsidRPr="00A23AAF">
        <w:t>share of the non-agricultural workforce in most developing countries.</w:t>
      </w:r>
      <w:r w:rsidRPr="00A23AAF">
        <w:rPr>
          <w:rStyle w:val="FootnoteReference"/>
        </w:rPr>
        <w:footnoteReference w:id="112"/>
      </w:r>
      <w:r w:rsidRPr="00A23AAF">
        <w:t xml:space="preserve"> As a result, governments often attempt to protect spending on public sector wages even in the face of tight fiscal constraints.</w:t>
      </w:r>
      <w:r w:rsidRPr="00A23AAF">
        <w:rPr>
          <w:rStyle w:val="FootnoteReference"/>
        </w:rPr>
        <w:footnoteReference w:id="113"/>
      </w:r>
      <w:r w:rsidRPr="00A23AAF">
        <w:t xml:space="preserve"> In this challenging context, policymakers can successfully keep the wage bill in check by focusing their efforts on key strategic objectives, including those outlined below.</w:t>
      </w:r>
    </w:p>
    <w:p w14:paraId="0DB70878" w14:textId="77777777" w:rsidR="00724BAB" w:rsidRPr="00A23AAF" w:rsidRDefault="00724BAB" w:rsidP="000E7654">
      <w:pPr>
        <w:pStyle w:val="Heading3"/>
      </w:pPr>
      <w:r w:rsidRPr="00A23AAF">
        <w:t>Integrating Wage Bill Controls into Macro-Fiscal Management</w:t>
      </w:r>
    </w:p>
    <w:p w14:paraId="41CC9D83" w14:textId="77777777" w:rsidR="00724BAB" w:rsidRPr="00A23AAF" w:rsidRDefault="00724BAB" w:rsidP="00724BAB">
      <w:pPr>
        <w:pStyle w:val="ListParagraph"/>
        <w:numPr>
          <w:ilvl w:val="0"/>
          <w:numId w:val="13"/>
        </w:numPr>
      </w:pPr>
      <w:r w:rsidRPr="00A23AAF">
        <w:rPr>
          <w:b/>
        </w:rPr>
        <w:t>To meet its regional convergence and multilateral commitments, Ghana’s government will need to continue tightening its control over public sector wages and benefits.</w:t>
      </w:r>
      <w:r w:rsidRPr="00A23AAF">
        <w:t xml:space="preserve"> As part of its </w:t>
      </w:r>
      <w:r w:rsidR="00BB0F81">
        <w:t>stabilization program</w:t>
      </w:r>
      <w:r w:rsidRPr="00A23AAF">
        <w:t xml:space="preserve">, the government has pledged to reduce the size of the wage bill relative to both GDP and tax revenue. Ghana’s wage bill amounted to 44.2 percent of </w:t>
      </w:r>
      <w:r w:rsidR="007D5B84">
        <w:t>tax</w:t>
      </w:r>
      <w:r w:rsidRPr="00A23AAF">
        <w:t xml:space="preserve"> revenue in 2015, and though it is trending downward it remains well above the </w:t>
      </w:r>
      <w:r w:rsidR="00733CA5">
        <w:t xml:space="preserve">ECOWAS </w:t>
      </w:r>
      <w:r w:rsidRPr="00A23AAF">
        <w:t>convergence criterion of 35 percent. However, the government did not set a target percentage in its IMF-supported National Public Sector Reform Strategy for 2017-27, which offered few specifics on how the authorities plan to further reduce the wage bill.</w:t>
      </w:r>
    </w:p>
    <w:p w14:paraId="61C39416" w14:textId="77777777" w:rsidR="00724BAB" w:rsidRPr="00A23AAF" w:rsidRDefault="00724BAB" w:rsidP="00724BAB">
      <w:pPr>
        <w:pStyle w:val="ListParagraph"/>
        <w:numPr>
          <w:ilvl w:val="0"/>
          <w:numId w:val="13"/>
        </w:numPr>
      </w:pPr>
      <w:r w:rsidRPr="00A23AAF">
        <w:rPr>
          <w:b/>
        </w:rPr>
        <w:t>In the medium</w:t>
      </w:r>
      <w:r w:rsidR="0070755D">
        <w:rPr>
          <w:b/>
        </w:rPr>
        <w:t xml:space="preserve"> </w:t>
      </w:r>
      <w:r w:rsidRPr="00A23AAF">
        <w:rPr>
          <w:b/>
        </w:rPr>
        <w:t>term, the ongoing expansion of the health and education sectors will continue to put upward pressure on the wage bill, and increasing revenues will be as important as reducing expenditures.</w:t>
      </w:r>
      <w:r w:rsidRPr="00A23AAF">
        <w:t xml:space="preserve"> The World Bank is currently supporting the development of a data warehouse and improved business intelligence systems to enhance the GRA’s collection efficiency. Additional technological upgrades could further strengthen tax administration and boost domestic revenue mobilization. </w:t>
      </w:r>
    </w:p>
    <w:p w14:paraId="2715069B" w14:textId="77777777" w:rsidR="00724BAB" w:rsidRPr="00A23AAF" w:rsidRDefault="00724BAB" w:rsidP="000E7654">
      <w:pPr>
        <w:pStyle w:val="Heading3"/>
      </w:pPr>
      <w:r w:rsidRPr="00A23AAF">
        <w:lastRenderedPageBreak/>
        <w:t>Containing the Growth of Staff Levels</w:t>
      </w:r>
    </w:p>
    <w:p w14:paraId="6CAB3063" w14:textId="77777777" w:rsidR="00724BAB" w:rsidRPr="00A23AAF" w:rsidRDefault="00724BAB" w:rsidP="00724BAB">
      <w:pPr>
        <w:pStyle w:val="ListParagraph"/>
        <w:numPr>
          <w:ilvl w:val="0"/>
          <w:numId w:val="13"/>
        </w:numPr>
      </w:pPr>
      <w:r w:rsidRPr="00A23AAF">
        <w:rPr>
          <w:b/>
        </w:rPr>
        <w:t>The authorities should maintain the hiring freeze in all sectors except health and education.</w:t>
      </w:r>
      <w:r w:rsidRPr="00A23AAF">
        <w:t xml:space="preserve"> New staff should be recruited only to fill vacancies for budgeted positions. Establishing a pre-payroll system would help to ensure that new hires are promptly added to the payroll so that arrears do not accumulate. The new Human Resources Management Information System should be augmented with a web-based pre-payroll system that operates in real time. Such a system would not only accelerate the integration of new staff into the payroll, but can also regulate how many employees may be recruited in each sector. </w:t>
      </w:r>
    </w:p>
    <w:p w14:paraId="7E6C3C20" w14:textId="77777777" w:rsidR="00724BAB" w:rsidRPr="00A23AAF" w:rsidRDefault="00724BAB" w:rsidP="00724BAB">
      <w:pPr>
        <w:pStyle w:val="ListParagraph"/>
        <w:numPr>
          <w:ilvl w:val="0"/>
          <w:numId w:val="13"/>
        </w:numPr>
      </w:pPr>
      <w:r w:rsidRPr="00A23AAF">
        <w:rPr>
          <w:b/>
        </w:rPr>
        <w:t>Further efforts to eliminate payroll irregularities would reduce costs incurred through inefficiency and fraud</w:t>
      </w:r>
      <w:r w:rsidRPr="00A23AAF">
        <w:t>. The government has been purging ghost workers, duplicate post-holders and employees over the retirement age, as well as eliminating vacant posts and addressing other payroll irregularities. Continuing these efforts is expected to yield additional fiscal savings.</w:t>
      </w:r>
    </w:p>
    <w:p w14:paraId="194B82B3" w14:textId="77777777" w:rsidR="00724BAB" w:rsidRPr="007925A8" w:rsidRDefault="00724BAB" w:rsidP="00724BAB">
      <w:pPr>
        <w:pStyle w:val="ListParagraph"/>
        <w:numPr>
          <w:ilvl w:val="0"/>
          <w:numId w:val="13"/>
        </w:numPr>
      </w:pPr>
      <w:r w:rsidRPr="00A23AAF">
        <w:rPr>
          <w:b/>
        </w:rPr>
        <w:t>Undertaking functional reviews of service delivery could reveal additional ways to reduce staff.</w:t>
      </w:r>
      <w:r w:rsidRPr="00A23AAF">
        <w:t xml:space="preserve"> It is unlikely that the selective hiring freeze and payroll reforms will be sufficient to achieve the government’s wage-bill objectives. Functional reviews of service delivery conducted by independent teams could identify new areas for cost savings and develop strategies to enhance service quality with a limited number of staff. These teams could report to an inter-ministerial group convened exclusively for </w:t>
      </w:r>
      <w:r w:rsidRPr="007925A8">
        <w:t xml:space="preserve">this purpose. </w:t>
      </w:r>
    </w:p>
    <w:p w14:paraId="00E1D63D" w14:textId="77777777" w:rsidR="00724BAB" w:rsidRPr="007925A8" w:rsidRDefault="00724BAB" w:rsidP="000E7654">
      <w:pPr>
        <w:pStyle w:val="Heading3"/>
      </w:pPr>
      <w:r w:rsidRPr="007925A8">
        <w:t>Limiting Future Pay Increases</w:t>
      </w:r>
    </w:p>
    <w:p w14:paraId="72E48107" w14:textId="77777777" w:rsidR="00C77FA3" w:rsidRPr="007925A8" w:rsidRDefault="005B2821" w:rsidP="00EF7A9F">
      <w:pPr>
        <w:pStyle w:val="ListParagraph"/>
        <w:numPr>
          <w:ilvl w:val="0"/>
          <w:numId w:val="13"/>
        </w:numPr>
      </w:pPr>
      <w:r w:rsidRPr="007925A8">
        <w:rPr>
          <w:b/>
        </w:rPr>
        <w:t xml:space="preserve">Over the medium term, the authorities should </w:t>
      </w:r>
      <w:r w:rsidR="00214C91" w:rsidRPr="007925A8">
        <w:rPr>
          <w:b/>
        </w:rPr>
        <w:t xml:space="preserve">continue to </w:t>
      </w:r>
      <w:r w:rsidRPr="007925A8">
        <w:rPr>
          <w:b/>
        </w:rPr>
        <w:t>exercise tight control over a</w:t>
      </w:r>
      <w:r w:rsidR="004E3DBB" w:rsidRPr="007925A8">
        <w:rPr>
          <w:b/>
        </w:rPr>
        <w:t>nnual wage increase</w:t>
      </w:r>
      <w:r w:rsidRPr="007925A8">
        <w:rPr>
          <w:b/>
        </w:rPr>
        <w:t>s</w:t>
      </w:r>
      <w:r w:rsidR="00C77FA3" w:rsidRPr="007925A8">
        <w:rPr>
          <w:b/>
        </w:rPr>
        <w:t>.</w:t>
      </w:r>
      <w:r w:rsidR="00C77FA3" w:rsidRPr="007925A8">
        <w:t xml:space="preserve"> </w:t>
      </w:r>
      <w:r w:rsidR="00C86C2E" w:rsidRPr="007925A8">
        <w:t>Enabling further</w:t>
      </w:r>
      <w:r w:rsidR="00C77FA3" w:rsidRPr="007925A8">
        <w:t xml:space="preserve"> employment growth in key sectors, such as health and education, </w:t>
      </w:r>
      <w:r w:rsidR="00C86C2E" w:rsidRPr="007925A8">
        <w:t xml:space="preserve">without compromising the sustainability of the wage bill will </w:t>
      </w:r>
      <w:r w:rsidR="00C77FA3" w:rsidRPr="007925A8">
        <w:t xml:space="preserve">require </w:t>
      </w:r>
      <w:r w:rsidR="00CC5734" w:rsidRPr="007925A8">
        <w:t xml:space="preserve">keeping </w:t>
      </w:r>
      <w:r w:rsidR="00C77FA3" w:rsidRPr="007925A8">
        <w:t xml:space="preserve">average pay </w:t>
      </w:r>
      <w:r w:rsidR="00CC5734" w:rsidRPr="007925A8">
        <w:t xml:space="preserve">at or near its current level for at least </w:t>
      </w:r>
      <w:r w:rsidR="00C77FA3" w:rsidRPr="007925A8">
        <w:t xml:space="preserve">the next three years. </w:t>
      </w:r>
      <w:r w:rsidR="00CC5734" w:rsidRPr="007925A8">
        <w:t>Statistical</w:t>
      </w:r>
      <w:r w:rsidR="00470070" w:rsidRPr="007925A8">
        <w:t xml:space="preserve"> simulation</w:t>
      </w:r>
      <w:r w:rsidR="00CC5734" w:rsidRPr="007925A8">
        <w:t>s</w:t>
      </w:r>
      <w:r w:rsidR="00470070" w:rsidRPr="007925A8">
        <w:t xml:space="preserve"> </w:t>
      </w:r>
      <w:r w:rsidR="00CC5734" w:rsidRPr="007925A8">
        <w:t>indicate that</w:t>
      </w:r>
      <w:r w:rsidR="00470070" w:rsidRPr="007925A8">
        <w:t xml:space="preserve"> </w:t>
      </w:r>
      <w:r w:rsidR="00CC5734" w:rsidRPr="007925A8">
        <w:t xml:space="preserve">the government </w:t>
      </w:r>
      <w:r w:rsidR="00517A71" w:rsidRPr="007925A8">
        <w:t>will need to</w:t>
      </w:r>
      <w:r w:rsidR="00CC5734" w:rsidRPr="007925A8">
        <w:t xml:space="preserve"> limit real wage increases </w:t>
      </w:r>
      <w:r w:rsidR="00EF7A9F" w:rsidRPr="007925A8">
        <w:t xml:space="preserve">to no more than 4 percent </w:t>
      </w:r>
      <w:r w:rsidR="00CC5734" w:rsidRPr="007925A8">
        <w:t xml:space="preserve">per year in order </w:t>
      </w:r>
      <w:r w:rsidR="00EF7A9F" w:rsidRPr="007925A8">
        <w:t xml:space="preserve">to accommodate the </w:t>
      </w:r>
      <w:r w:rsidR="00CC5734" w:rsidRPr="007925A8">
        <w:t xml:space="preserve">anticipated </w:t>
      </w:r>
      <w:r w:rsidR="00EF7A9F" w:rsidRPr="007925A8">
        <w:t xml:space="preserve">8,000 </w:t>
      </w:r>
      <w:r w:rsidR="00CC5734" w:rsidRPr="007925A8">
        <w:t xml:space="preserve">new </w:t>
      </w:r>
      <w:r w:rsidR="00EF7A9F" w:rsidRPr="007925A8">
        <w:t xml:space="preserve">employees </w:t>
      </w:r>
      <w:r w:rsidR="00CC5734" w:rsidRPr="007925A8">
        <w:t xml:space="preserve">entering the </w:t>
      </w:r>
      <w:r w:rsidR="00EF7A9F" w:rsidRPr="007925A8">
        <w:t xml:space="preserve">education and health </w:t>
      </w:r>
      <w:r w:rsidR="00CC5734" w:rsidRPr="007925A8">
        <w:t>sectors</w:t>
      </w:r>
      <w:r w:rsidR="004E3DBB" w:rsidRPr="007925A8">
        <w:t>.</w:t>
      </w:r>
      <w:r w:rsidR="00470070" w:rsidRPr="007925A8">
        <w:rPr>
          <w:rStyle w:val="FootnoteReference"/>
        </w:rPr>
        <w:footnoteReference w:id="114"/>
      </w:r>
    </w:p>
    <w:p w14:paraId="4336E374" w14:textId="77777777" w:rsidR="00724BAB" w:rsidRPr="007925A8" w:rsidRDefault="00724BAB" w:rsidP="00C77FA3">
      <w:pPr>
        <w:pStyle w:val="ListParagraph"/>
        <w:numPr>
          <w:ilvl w:val="0"/>
          <w:numId w:val="13"/>
        </w:numPr>
      </w:pPr>
      <w:r w:rsidRPr="007925A8">
        <w:rPr>
          <w:b/>
        </w:rPr>
        <w:t>Ending the use of “market premium” payments would slow the growth of the wage bill.</w:t>
      </w:r>
      <w:r w:rsidRPr="007925A8">
        <w:t xml:space="preserve"> In principle, market premium payments are allowances paid to staff with difficult-to-find skills. In practice, however, it is unclear whether these payments are justified by either the skills of individual staff members or the wages offered by the private sector. Moreover, public sector unions are currently attempting to expand their use, which could undermine payroll controls. Suspending these payments would yield an immediate savings pending a wider review of wage competitiveness.</w:t>
      </w:r>
    </w:p>
    <w:p w14:paraId="2BC0AC8A" w14:textId="77777777" w:rsidR="00724BAB" w:rsidRPr="007925A8" w:rsidRDefault="00724BAB" w:rsidP="000E7654">
      <w:pPr>
        <w:pStyle w:val="Heading3"/>
      </w:pPr>
      <w:r w:rsidRPr="007925A8">
        <w:t>Maintaining Wage Parity with the Private Sector</w:t>
      </w:r>
    </w:p>
    <w:p w14:paraId="19A7E3FB" w14:textId="77777777" w:rsidR="00724BAB" w:rsidRPr="007925A8" w:rsidRDefault="00724BAB" w:rsidP="00724BAB">
      <w:pPr>
        <w:pStyle w:val="ListParagraph"/>
        <w:numPr>
          <w:ilvl w:val="0"/>
          <w:numId w:val="13"/>
        </w:numPr>
      </w:pPr>
      <w:r w:rsidRPr="007925A8">
        <w:rPr>
          <w:b/>
        </w:rPr>
        <w:t xml:space="preserve">The government should take steps to ensure that public sector wage rates remain aligned with those of the private sector. </w:t>
      </w:r>
      <w:r w:rsidRPr="007925A8">
        <w:t>Commissioning independent reviews of wage levels in the local economy may be technically challenging, but these reviews can establish the analytical foundation for maintaining wage parity with the private sector.</w:t>
      </w:r>
      <w:r w:rsidRPr="007925A8">
        <w:rPr>
          <w:rStyle w:val="FootnoteReference"/>
        </w:rPr>
        <w:footnoteReference w:id="115"/>
      </w:r>
      <w:r w:rsidRPr="007925A8">
        <w:t xml:space="preserve"> Data on private sector wage rates can also be used to anchor wage negotiations with public sector unions. </w:t>
      </w:r>
    </w:p>
    <w:p w14:paraId="58E1D05A" w14:textId="77777777" w:rsidR="00724BAB" w:rsidRPr="00A23AAF" w:rsidRDefault="00724BAB" w:rsidP="00724BAB">
      <w:pPr>
        <w:pStyle w:val="ListParagraph"/>
        <w:numPr>
          <w:ilvl w:val="0"/>
          <w:numId w:val="13"/>
        </w:numPr>
      </w:pPr>
      <w:r w:rsidRPr="00A23AAF">
        <w:rPr>
          <w:b/>
        </w:rPr>
        <w:lastRenderedPageBreak/>
        <w:t>Review allowances and nonwage benefits with a view to reducing their size relative to salaries.</w:t>
      </w:r>
      <w:r w:rsidRPr="00A23AAF">
        <w:t xml:space="preserve"> OECD countries are striving to bring the base pay for civil servants close to 100 percent of their total remuneration, with allowances used only in exceptional circumstances. Minimizing the use of allowances and nonwage benefits can help strengthen expenditure oversight and control. In Ghana, the authorities should begin by ending the practice of paying cash allowances to staff who attend meetings outside the office. As with other nonwage benefits in Ghana’s public sector, these allowances are inadequately monitored and serve no clear administrative purpose. </w:t>
      </w:r>
    </w:p>
    <w:p w14:paraId="6A02E110" w14:textId="77777777" w:rsidR="00724BAB" w:rsidRPr="00A23AAF" w:rsidRDefault="00724BAB" w:rsidP="00724BAB">
      <w:pPr>
        <w:pStyle w:val="ListParagraph"/>
        <w:numPr>
          <w:ilvl w:val="0"/>
          <w:numId w:val="13"/>
        </w:numPr>
      </w:pPr>
      <w:r w:rsidRPr="00A23AAF">
        <w:rPr>
          <w:b/>
        </w:rPr>
        <w:t>Over the longer term, the government should replace the SSSS pay grid with a set of occupation-specific pay grades.</w:t>
      </w:r>
      <w:r w:rsidRPr="00A23AAF">
        <w:t xml:space="preserve"> Developing a competitive pay policy for each occupational group in the public service based on data from the independent reviews can help mitigate the impact of public sector wages on the private labor market. This is especially critical in Ghana, where the small formal private sector is highly sensitive to public sector price signals. </w:t>
      </w:r>
    </w:p>
    <w:p w14:paraId="0B8110E3" w14:textId="77777777" w:rsidR="00724BAB" w:rsidRPr="00A23AAF" w:rsidRDefault="00724BAB" w:rsidP="000E7654">
      <w:pPr>
        <w:pStyle w:val="Heading3"/>
      </w:pPr>
      <w:r w:rsidRPr="00A23AAF">
        <w:t>Improving Transparency and Strengthening Oversight</w:t>
      </w:r>
    </w:p>
    <w:p w14:paraId="7171816B" w14:textId="77777777" w:rsidR="00724BAB" w:rsidRPr="00A23AAF" w:rsidRDefault="00724BAB" w:rsidP="00724BAB">
      <w:pPr>
        <w:pStyle w:val="ListParagraph"/>
        <w:numPr>
          <w:ilvl w:val="0"/>
          <w:numId w:val="13"/>
        </w:numPr>
      </w:pPr>
      <w:r w:rsidRPr="00A23AAF">
        <w:rPr>
          <w:b/>
        </w:rPr>
        <w:t>The total compensation paid to Article 71 officeholders—including all wages, allowances, and benefits—should be made publicly available.</w:t>
      </w:r>
      <w:r w:rsidRPr="00A23AAF">
        <w:t xml:space="preserve"> Full disclosure of the compensation offered to top government officials is consistent with international best practices. Similar to the process used in other Commonwealth countries, an independent review commission should be established to analyze the compensation paid to Article 71 officeholders. </w:t>
      </w:r>
    </w:p>
    <w:p w14:paraId="2A7EE57A" w14:textId="77777777" w:rsidR="00164F60" w:rsidRDefault="00724BAB" w:rsidP="00164F60">
      <w:pPr>
        <w:pStyle w:val="ListParagraph"/>
        <w:numPr>
          <w:ilvl w:val="0"/>
          <w:numId w:val="13"/>
        </w:numPr>
      </w:pPr>
      <w:r w:rsidRPr="00A23AAF">
        <w:rPr>
          <w:b/>
        </w:rPr>
        <w:t>The authorities should expand the use of modern performance-evaluation techniques across the public sector.</w:t>
      </w:r>
      <w:r w:rsidRPr="00A23AAF">
        <w:t xml:space="preserve"> Performance monitoring is crucial to the effectiveness of the public administration and should serve as the basis for wage increases</w:t>
      </w:r>
      <w:r>
        <w:t xml:space="preserve"> and promotions. At present, the lack of a</w:t>
      </w:r>
      <w:r w:rsidRPr="005B372F">
        <w:t xml:space="preserve"> systematic </w:t>
      </w:r>
      <w:r>
        <w:t>performance</w:t>
      </w:r>
      <w:r w:rsidRPr="005B372F">
        <w:t xml:space="preserve"> evaluation </w:t>
      </w:r>
      <w:r>
        <w:t xml:space="preserve">process results in pay inequalities within the public sector </w:t>
      </w:r>
      <w:r w:rsidRPr="005B372F">
        <w:t xml:space="preserve">and </w:t>
      </w:r>
      <w:r>
        <w:t xml:space="preserve">distorts </w:t>
      </w:r>
      <w:r w:rsidRPr="005B372F">
        <w:t>remuneration</w:t>
      </w:r>
      <w:r>
        <w:t xml:space="preserve"> levels between the public and private sectors</w:t>
      </w:r>
      <w:r w:rsidRPr="005B372F">
        <w:t>.</w:t>
      </w:r>
      <w:r w:rsidR="00164F60">
        <w:t xml:space="preserve"> </w:t>
      </w:r>
    </w:p>
    <w:p w14:paraId="613639AF" w14:textId="77777777" w:rsidR="00164F60" w:rsidRPr="00B7445F" w:rsidRDefault="00164F60" w:rsidP="00164F60">
      <w:pPr>
        <w:pStyle w:val="Heading3"/>
      </w:pPr>
      <w:r w:rsidRPr="00B7445F">
        <w:t>Stimulating Private Sector Development</w:t>
      </w:r>
    </w:p>
    <w:p w14:paraId="784FC989" w14:textId="77777777" w:rsidR="00EB4232" w:rsidRPr="00B7445F" w:rsidRDefault="00164F60" w:rsidP="00EB4232">
      <w:pPr>
        <w:pStyle w:val="ListParagraph"/>
        <w:numPr>
          <w:ilvl w:val="0"/>
          <w:numId w:val="13"/>
        </w:numPr>
      </w:pPr>
      <w:r w:rsidRPr="00B7445F">
        <w:rPr>
          <w:b/>
        </w:rPr>
        <w:t xml:space="preserve">Creating opportunities for formal wage employment outside of the public sector should be a high priority for </w:t>
      </w:r>
      <w:r w:rsidR="006D1622" w:rsidRPr="00B7445F">
        <w:rPr>
          <w:b/>
        </w:rPr>
        <w:t>the Government</w:t>
      </w:r>
      <w:r w:rsidRPr="00B7445F">
        <w:t xml:space="preserve">. </w:t>
      </w:r>
      <w:r w:rsidR="000A5F81" w:rsidRPr="00B7445F">
        <w:t xml:space="preserve">The public sector wage premium and limited growth of private sector jobs </w:t>
      </w:r>
      <w:r w:rsidR="00CE4370" w:rsidRPr="00B7445F">
        <w:t xml:space="preserve">make </w:t>
      </w:r>
      <w:r w:rsidR="000A5F81" w:rsidRPr="00B7445F">
        <w:t>the public sector the primary source of wage employment</w:t>
      </w:r>
      <w:r w:rsidR="00CE4370" w:rsidRPr="00B7445F">
        <w:t xml:space="preserve"> and </w:t>
      </w:r>
      <w:r w:rsidR="000A5F81" w:rsidRPr="00B7445F">
        <w:t>ultimately lead to over-staffing and</w:t>
      </w:r>
      <w:r w:rsidR="007067FD" w:rsidRPr="00B7445F">
        <w:t xml:space="preserve"> the</w:t>
      </w:r>
      <w:r w:rsidR="000A5F81" w:rsidRPr="00B7445F">
        <w:t xml:space="preserve"> “queueing” phenomenon described above</w:t>
      </w:r>
      <w:r w:rsidR="00CE4370" w:rsidRPr="00B7445F">
        <w:t>. Hence, there is a</w:t>
      </w:r>
      <w:r w:rsidR="006D1622" w:rsidRPr="00B7445F">
        <w:t xml:space="preserve">n urgent </w:t>
      </w:r>
      <w:r w:rsidR="00CE4370" w:rsidRPr="00B7445F">
        <w:t xml:space="preserve">need </w:t>
      </w:r>
      <w:r w:rsidR="000A5F81" w:rsidRPr="00B7445F">
        <w:t xml:space="preserve">to stimulate development of the formal private sector to ease the pressure on </w:t>
      </w:r>
      <w:r w:rsidR="00CE4370" w:rsidRPr="00B7445F">
        <w:t>public sector</w:t>
      </w:r>
      <w:r w:rsidR="006D1622" w:rsidRPr="00B7445F">
        <w:t xml:space="preserve"> </w:t>
      </w:r>
      <w:r w:rsidR="00EB4232" w:rsidRPr="00B7445F">
        <w:t>job creation</w:t>
      </w:r>
      <w:r w:rsidR="00AA585D">
        <w:t>.</w:t>
      </w:r>
      <w:r w:rsidR="00EB4232" w:rsidRPr="00B7445F">
        <w:t xml:space="preserve"> </w:t>
      </w:r>
      <w:r w:rsidR="00AA585D">
        <w:t xml:space="preserve">This is </w:t>
      </w:r>
      <w:r w:rsidR="006D1622" w:rsidRPr="00B7445F">
        <w:t xml:space="preserve">particularly important in the light of the large numbers of tertiary education graduates </w:t>
      </w:r>
      <w:r w:rsidR="00EB4232" w:rsidRPr="00B7445F">
        <w:t xml:space="preserve">expected </w:t>
      </w:r>
      <w:r w:rsidR="006D1622" w:rsidRPr="00B7445F">
        <w:t>in the coming years from the various educational institutions currently in operation</w:t>
      </w:r>
      <w:r w:rsidR="00EB4232" w:rsidRPr="00B7445F">
        <w:t xml:space="preserve"> (Annex 3.2). </w:t>
      </w:r>
    </w:p>
    <w:p w14:paraId="27F37A3E" w14:textId="77777777" w:rsidR="00724BAB" w:rsidRDefault="00724BAB" w:rsidP="00164F60">
      <w:pPr>
        <w:pStyle w:val="ListParagraph"/>
        <w:numPr>
          <w:ilvl w:val="0"/>
          <w:numId w:val="13"/>
        </w:numPr>
      </w:pPr>
      <w:r w:rsidRPr="00A01E73">
        <w:br w:type="page"/>
      </w:r>
    </w:p>
    <w:p w14:paraId="42A55E89" w14:textId="77777777" w:rsidR="00724BAB" w:rsidRPr="005B372F" w:rsidRDefault="00724BAB" w:rsidP="00894F2B">
      <w:pPr>
        <w:pStyle w:val="Heading2"/>
      </w:pPr>
      <w:bookmarkStart w:id="148" w:name="_Toc479624899"/>
      <w:r w:rsidRPr="005B372F">
        <w:lastRenderedPageBreak/>
        <w:t>References</w:t>
      </w:r>
      <w:bookmarkEnd w:id="148"/>
    </w:p>
    <w:p w14:paraId="5D288895" w14:textId="77777777" w:rsidR="00724BAB" w:rsidRPr="000E7654" w:rsidRDefault="00724BAB" w:rsidP="00724BAB">
      <w:pPr>
        <w:spacing w:after="240"/>
        <w:rPr>
          <w:rFonts w:ascii="Garamond" w:hAnsi="Garamond"/>
          <w:lang w:val="en-GB"/>
        </w:rPr>
      </w:pPr>
      <w:r w:rsidRPr="000E7654">
        <w:rPr>
          <w:rFonts w:ascii="Garamond" w:hAnsi="Garamond"/>
          <w:lang w:val="en-GB"/>
        </w:rPr>
        <w:t>Barma, N. and J. Orac. 2014.</w:t>
      </w:r>
      <w:r w:rsidRPr="000E7654" w:rsidDel="00F533E1">
        <w:rPr>
          <w:rFonts w:ascii="Garamond" w:hAnsi="Garamond"/>
          <w:lang w:val="en-GB"/>
        </w:rPr>
        <w:t xml:space="preserve"> </w:t>
      </w:r>
      <w:r w:rsidRPr="000E7654">
        <w:rPr>
          <w:rFonts w:ascii="Garamond" w:hAnsi="Garamond"/>
          <w:lang w:val="en-GB"/>
        </w:rPr>
        <w:t>“Tailoring Civil Service Pay Analysis and Advice to Context.” Policy Research Working Paper WSP6744, The World Bank, January 2014.</w:t>
      </w:r>
    </w:p>
    <w:p w14:paraId="770C9BA9" w14:textId="77777777" w:rsidR="00724BAB" w:rsidRPr="000E7654" w:rsidRDefault="00724BAB" w:rsidP="00724BAB">
      <w:pPr>
        <w:spacing w:after="240"/>
        <w:rPr>
          <w:rFonts w:ascii="Garamond" w:hAnsi="Garamond"/>
        </w:rPr>
      </w:pPr>
      <w:r w:rsidRPr="000E7654">
        <w:rPr>
          <w:rFonts w:ascii="Garamond" w:hAnsi="Garamond"/>
          <w:lang w:val="en-GB"/>
        </w:rPr>
        <w:t xml:space="preserve">Baah, Y. 2015. PowerPoint presentation by the </w:t>
      </w:r>
      <w:r w:rsidRPr="000E7654">
        <w:rPr>
          <w:rFonts w:ascii="Garamond" w:hAnsi="Garamond"/>
        </w:rPr>
        <w:t>Deputy Secretary General of the TUC on the “Role and Expectations of the Unions in the implementation of the Single Spine Salary Structure” at an August forum in Accra, Ghana</w:t>
      </w:r>
    </w:p>
    <w:p w14:paraId="39BC92F0" w14:textId="77777777" w:rsidR="00724BAB" w:rsidRPr="000E7654" w:rsidRDefault="00724BAB" w:rsidP="00724BAB">
      <w:pPr>
        <w:spacing w:after="240"/>
        <w:rPr>
          <w:rFonts w:ascii="Garamond" w:hAnsi="Garamond"/>
        </w:rPr>
      </w:pPr>
      <w:r w:rsidRPr="000E7654">
        <w:rPr>
          <w:rFonts w:ascii="Garamond" w:hAnsi="Garamond"/>
        </w:rPr>
        <w:t>Booth, D, R. Crook, E. Gyimah-Boadi, T. Killick and R. Luckham, with N. Boateng. 2005. “What are the Drivers of Change in Ghana?” Ghana Center for Democratic Development/Overseas Development Institute Policy Brief No. 1 (November).</w:t>
      </w:r>
    </w:p>
    <w:p w14:paraId="125DD470" w14:textId="77777777" w:rsidR="00724BAB" w:rsidRPr="000E7654" w:rsidRDefault="00724BAB" w:rsidP="00724BAB">
      <w:pPr>
        <w:spacing w:after="240"/>
        <w:rPr>
          <w:rFonts w:ascii="Garamond" w:hAnsi="Garamond"/>
        </w:rPr>
      </w:pPr>
      <w:r w:rsidRPr="000E7654">
        <w:rPr>
          <w:rFonts w:ascii="Garamond" w:hAnsi="Garamond"/>
        </w:rPr>
        <w:t>Burton, M. and K. Sadiq. 2013. “Tax Expenditure Management – A Critical Assessment”. Cambridge Tax Law Series. Cambridge: Cambridge University Press</w:t>
      </w:r>
    </w:p>
    <w:p w14:paraId="34AB7899" w14:textId="77777777" w:rsidR="00724BAB" w:rsidRPr="000E7654" w:rsidRDefault="00724BAB" w:rsidP="00724BAB">
      <w:pPr>
        <w:spacing w:after="240"/>
        <w:rPr>
          <w:rFonts w:ascii="Garamond" w:hAnsi="Garamond"/>
        </w:rPr>
      </w:pPr>
      <w:r w:rsidRPr="000E7654">
        <w:rPr>
          <w:rFonts w:ascii="Garamond" w:hAnsi="Garamond"/>
        </w:rPr>
        <w:t xml:space="preserve">Fair Wages and Salaries Commission. 2016 “Fact Sheet: Job Analysis and Evaluation.” Accra: Government of Ghana </w:t>
      </w:r>
      <w:hyperlink r:id="rId58" w:history="1">
        <w:r w:rsidRPr="000E7654">
          <w:rPr>
            <w:rStyle w:val="Hyperlink"/>
            <w:rFonts w:ascii="Garamond" w:hAnsi="Garamond"/>
          </w:rPr>
          <w:t>http://fairwages.gov.gh/component/option,com_jefaq/Itemid,30/view,faq/</w:t>
        </w:r>
      </w:hyperlink>
    </w:p>
    <w:p w14:paraId="313E49FE" w14:textId="77777777" w:rsidR="00724BAB" w:rsidRPr="000E7654" w:rsidRDefault="00724BAB" w:rsidP="00724BAB">
      <w:pPr>
        <w:spacing w:after="240"/>
        <w:rPr>
          <w:rFonts w:ascii="Garamond" w:hAnsi="Garamond"/>
        </w:rPr>
      </w:pPr>
      <w:r w:rsidRPr="000E7654">
        <w:rPr>
          <w:rFonts w:ascii="Garamond" w:hAnsi="Garamond"/>
        </w:rPr>
        <w:t xml:space="preserve">Formi, L and N. Novta. 2014. “Public Employment Compensation Reform during times of Fiscal Consolidation.” </w:t>
      </w:r>
      <w:r w:rsidRPr="000E7654">
        <w:rPr>
          <w:rFonts w:ascii="Garamond" w:hAnsi="Garamond"/>
          <w:i/>
        </w:rPr>
        <w:t>IMF Working Paper</w:t>
      </w:r>
      <w:r w:rsidRPr="000E7654">
        <w:rPr>
          <w:rFonts w:ascii="Garamond" w:hAnsi="Garamond"/>
        </w:rPr>
        <w:t xml:space="preserve"> WP12/192. Washington, DC: IMF.</w:t>
      </w:r>
    </w:p>
    <w:p w14:paraId="3DA968E5" w14:textId="77777777" w:rsidR="00724BAB" w:rsidRPr="000E7654" w:rsidRDefault="00724BAB" w:rsidP="00724BAB">
      <w:pPr>
        <w:spacing w:after="240"/>
        <w:rPr>
          <w:rFonts w:ascii="Garamond" w:hAnsi="Garamond" w:cs="AGaramondPro-Regular"/>
        </w:rPr>
      </w:pPr>
      <w:r w:rsidRPr="000E7654">
        <w:rPr>
          <w:rFonts w:ascii="Garamond" w:hAnsi="Garamond" w:cs="AGaramondPro-Regular"/>
        </w:rPr>
        <w:t xml:space="preserve">GhanaWeb. 2016a. “Cedi to depreciate by 15 per cent in 2016 – InvestCorp”. </w:t>
      </w:r>
      <w:hyperlink r:id="rId59" w:history="1">
        <w:r w:rsidRPr="000E7654">
          <w:rPr>
            <w:rStyle w:val="Hyperlink"/>
            <w:rFonts w:ascii="Garamond" w:hAnsi="Garamond" w:cs="AGaramondPro-Regular"/>
          </w:rPr>
          <w:t>www.ghanaweb.com/GhanaHomePage/NewsArchive/Cedi-to-dep</w:t>
        </w:r>
      </w:hyperlink>
      <w:r w:rsidRPr="000E7654">
        <w:rPr>
          <w:rFonts w:ascii="Garamond" w:hAnsi="Garamond" w:cs="AGaramondPro-Regular"/>
        </w:rPr>
        <w:t xml:space="preserve"> </w:t>
      </w:r>
    </w:p>
    <w:p w14:paraId="2729E7F1" w14:textId="77777777" w:rsidR="00724BAB" w:rsidRPr="000E7654" w:rsidRDefault="00724BAB" w:rsidP="00724BAB">
      <w:pPr>
        <w:spacing w:after="240"/>
        <w:rPr>
          <w:rFonts w:ascii="Garamond" w:hAnsi="Garamond" w:cs="AGaramondPro-Regular"/>
        </w:rPr>
      </w:pPr>
      <w:r w:rsidRPr="000E7654">
        <w:rPr>
          <w:rFonts w:ascii="Garamond" w:hAnsi="Garamond" w:cs="AGaramondPro-Regular"/>
        </w:rPr>
        <w:t xml:space="preserve">GhanaWeb. 2016b. “Gov’t suspends plan to pay public workers via E-Zwich”. </w:t>
      </w:r>
      <w:hyperlink r:id="rId60" w:history="1">
        <w:r w:rsidRPr="000E7654">
          <w:rPr>
            <w:rStyle w:val="Hyperlink"/>
            <w:rFonts w:ascii="Garamond" w:hAnsi="Garamond" w:cs="AGaramondPro-Regular"/>
          </w:rPr>
          <w:t>www.ghanaweb.com/GhanaHomePage/NewsArchive/Gov-t-suspend</w:t>
        </w:r>
      </w:hyperlink>
      <w:r w:rsidRPr="000E7654">
        <w:rPr>
          <w:rFonts w:ascii="Garamond" w:hAnsi="Garamond" w:cs="AGaramondPro-Regular"/>
        </w:rPr>
        <w:t xml:space="preserve"> </w:t>
      </w:r>
    </w:p>
    <w:p w14:paraId="0DB3DEB9" w14:textId="77777777" w:rsidR="00724BAB" w:rsidRPr="000E7654" w:rsidRDefault="00724BAB" w:rsidP="00724BAB">
      <w:pPr>
        <w:spacing w:after="240"/>
        <w:rPr>
          <w:rFonts w:ascii="Garamond" w:hAnsi="Garamond" w:cs="AGaramondPro-Regular"/>
        </w:rPr>
      </w:pPr>
      <w:r w:rsidRPr="000E7654">
        <w:rPr>
          <w:rFonts w:ascii="Garamond" w:hAnsi="Garamond" w:cs="AGaramondPro-Regular"/>
        </w:rPr>
        <w:t xml:space="preserve">Ghana Broadcasting Corporation. 2016. “BNI Presents Proposal to Parliament”. </w:t>
      </w:r>
      <w:hyperlink r:id="rId61" w:history="1">
        <w:r w:rsidRPr="000E7654">
          <w:rPr>
            <w:rStyle w:val="Hyperlink"/>
            <w:rFonts w:ascii="Garamond" w:hAnsi="Garamond" w:cs="AGaramondPro-Regular"/>
          </w:rPr>
          <w:t>www.m.gbcghana.com/1.8528704</w:t>
        </w:r>
      </w:hyperlink>
      <w:r w:rsidRPr="000E7654">
        <w:rPr>
          <w:rFonts w:ascii="Garamond" w:hAnsi="Garamond" w:cs="AGaramondPro-Regular"/>
        </w:rPr>
        <w:t xml:space="preserve"> </w:t>
      </w:r>
    </w:p>
    <w:p w14:paraId="48740E56" w14:textId="77777777" w:rsidR="00724BAB" w:rsidRPr="000E7654" w:rsidRDefault="00724BAB" w:rsidP="00724BAB">
      <w:pPr>
        <w:spacing w:after="240"/>
        <w:rPr>
          <w:rFonts w:ascii="Garamond" w:hAnsi="Garamond" w:cs="AGaramondPro-Regular"/>
        </w:rPr>
      </w:pPr>
      <w:r w:rsidRPr="000E7654">
        <w:rPr>
          <w:rFonts w:ascii="Garamond" w:hAnsi="Garamond" w:cs="AGaramondPro-Regular"/>
        </w:rPr>
        <w:t>Guelfi, A. 2015. “Public Sector Employment in Ghana: A Note,” Washington, DC: The World Bank.</w:t>
      </w:r>
    </w:p>
    <w:p w14:paraId="2756DCC0" w14:textId="77777777" w:rsidR="00724BAB" w:rsidRPr="000E7654" w:rsidRDefault="00724BAB" w:rsidP="00724BAB">
      <w:pPr>
        <w:spacing w:after="240"/>
        <w:rPr>
          <w:rFonts w:ascii="Garamond" w:hAnsi="Garamond"/>
        </w:rPr>
      </w:pPr>
      <w:r w:rsidRPr="000E7654">
        <w:rPr>
          <w:rFonts w:ascii="Garamond" w:hAnsi="Garamond" w:cs="AGaramondPro-Regular"/>
        </w:rPr>
        <w:t xml:space="preserve">Herrera, S. and D. Aykut. 2014. </w:t>
      </w:r>
      <w:r w:rsidRPr="000E7654">
        <w:rPr>
          <w:rFonts w:ascii="Garamond" w:hAnsi="Garamond"/>
        </w:rPr>
        <w:t>“</w:t>
      </w:r>
      <w:r w:rsidR="00C11140">
        <w:rPr>
          <w:rFonts w:ascii="Garamond" w:hAnsi="Garamond"/>
        </w:rPr>
        <w:t xml:space="preserve">Long </w:t>
      </w:r>
      <w:r w:rsidRPr="000E7654">
        <w:rPr>
          <w:rFonts w:ascii="Garamond" w:hAnsi="Garamond"/>
        </w:rPr>
        <w:t xml:space="preserve">Run Growth in Ghana: Determinants and Prospects” World Bank Policy Research Working Paper No. 7115. </w:t>
      </w:r>
      <w:hyperlink r:id="rId62" w:history="1">
        <w:r w:rsidRPr="000E7654">
          <w:rPr>
            <w:rStyle w:val="Hyperlink"/>
            <w:rFonts w:ascii="Garamond" w:hAnsi="Garamond"/>
          </w:rPr>
          <w:t>http://ssrn.com/abstract=2526572</w:t>
        </w:r>
      </w:hyperlink>
      <w:r w:rsidRPr="000E7654">
        <w:rPr>
          <w:rFonts w:ascii="Garamond" w:hAnsi="Garamond"/>
        </w:rPr>
        <w:t xml:space="preserve"> </w:t>
      </w:r>
    </w:p>
    <w:p w14:paraId="4A5F6D9E" w14:textId="77777777" w:rsidR="00724BAB" w:rsidRPr="000E7654" w:rsidRDefault="00724BAB" w:rsidP="00724BAB">
      <w:pPr>
        <w:spacing w:after="240"/>
        <w:rPr>
          <w:rFonts w:ascii="Garamond" w:hAnsi="Garamond"/>
        </w:rPr>
      </w:pPr>
      <w:r w:rsidRPr="000E7654">
        <w:rPr>
          <w:rFonts w:ascii="Garamond" w:hAnsi="Garamond"/>
        </w:rPr>
        <w:t>Hutton, E. 2010. “</w:t>
      </w:r>
      <w:r w:rsidRPr="000E7654">
        <w:rPr>
          <w:rFonts w:ascii="Garamond" w:hAnsi="Garamond" w:cs="Unit-Medium"/>
        </w:rPr>
        <w:t>A Basic Framework for Evaluating Value Added Tax Expenditures</w:t>
      </w:r>
      <w:r w:rsidRPr="000E7654">
        <w:rPr>
          <w:rFonts w:ascii="Garamond" w:hAnsi="Garamond"/>
        </w:rPr>
        <w:t>”, Inter-American Development Bank Discussion Paper IDB-DB-138.</w:t>
      </w:r>
    </w:p>
    <w:p w14:paraId="49FD2542" w14:textId="77777777" w:rsidR="00F315DC" w:rsidRPr="000E7654" w:rsidRDefault="00F315DC" w:rsidP="00F315DC">
      <w:pPr>
        <w:spacing w:after="240"/>
        <w:rPr>
          <w:rFonts w:ascii="Garamond" w:hAnsi="Garamond"/>
        </w:rPr>
      </w:pPr>
      <w:r w:rsidRPr="000E7654">
        <w:rPr>
          <w:rFonts w:ascii="Garamond" w:hAnsi="Garamond"/>
        </w:rPr>
        <w:t>IMF. 201</w:t>
      </w:r>
      <w:r>
        <w:rPr>
          <w:rFonts w:ascii="Garamond" w:hAnsi="Garamond"/>
        </w:rPr>
        <w:t>5</w:t>
      </w:r>
      <w:r w:rsidRPr="000E7654">
        <w:rPr>
          <w:rFonts w:ascii="Garamond" w:hAnsi="Garamond"/>
        </w:rPr>
        <w:t xml:space="preserve">. “Ghana: </w:t>
      </w:r>
      <w:r>
        <w:rPr>
          <w:rFonts w:ascii="Garamond" w:hAnsi="Garamond"/>
        </w:rPr>
        <w:t>Second</w:t>
      </w:r>
      <w:r w:rsidRPr="000E7654">
        <w:rPr>
          <w:rFonts w:ascii="Garamond" w:hAnsi="Garamond"/>
        </w:rPr>
        <w:t xml:space="preserve"> Review Under the Extended Credit Facility Arrangement.” Washington, DC: IMF.</w:t>
      </w:r>
    </w:p>
    <w:p w14:paraId="0F8B2D2C" w14:textId="77777777" w:rsidR="00724BAB" w:rsidRPr="000E7654" w:rsidRDefault="00724BAB" w:rsidP="00724BAB">
      <w:pPr>
        <w:spacing w:after="240"/>
        <w:rPr>
          <w:rFonts w:ascii="Garamond" w:hAnsi="Garamond"/>
        </w:rPr>
      </w:pPr>
      <w:r w:rsidRPr="000E7654">
        <w:rPr>
          <w:rFonts w:ascii="Garamond" w:hAnsi="Garamond"/>
        </w:rPr>
        <w:t>IMF. 2016. “Ghana: Third Review Under the Extended Credit Facility Arrangement.” Washington, DC: IMF.</w:t>
      </w:r>
    </w:p>
    <w:p w14:paraId="69509C71" w14:textId="77777777" w:rsidR="00724BAB" w:rsidRPr="000E7654" w:rsidRDefault="00724BAB" w:rsidP="00724BAB">
      <w:pPr>
        <w:spacing w:after="240"/>
        <w:rPr>
          <w:rFonts w:ascii="Garamond" w:hAnsi="Garamond"/>
        </w:rPr>
      </w:pPr>
      <w:r w:rsidRPr="000E7654">
        <w:rPr>
          <w:rFonts w:ascii="Garamond" w:hAnsi="Garamond"/>
        </w:rPr>
        <w:t xml:space="preserve">James, S. 2014. “Effectiveness of Tax and Non-Tax Incentives – Evidence and Policy Implications.” World Bank Policy Paper (mimeo). </w:t>
      </w:r>
      <w:hyperlink r:id="rId63" w:history="1">
        <w:r w:rsidRPr="000E7654">
          <w:rPr>
            <w:rStyle w:val="Hyperlink"/>
            <w:rFonts w:ascii="Garamond" w:hAnsi="Garamond"/>
          </w:rPr>
          <w:t>http://papers.ssrn.com/sol3/papers.cfm?abstract_id=2401905</w:t>
        </w:r>
      </w:hyperlink>
    </w:p>
    <w:p w14:paraId="548E8260" w14:textId="77777777" w:rsidR="00724BAB" w:rsidRPr="000E7654" w:rsidRDefault="00724BAB" w:rsidP="00724BAB">
      <w:pPr>
        <w:spacing w:after="240"/>
        <w:rPr>
          <w:rFonts w:ascii="Garamond" w:hAnsi="Garamond"/>
        </w:rPr>
      </w:pPr>
      <w:r w:rsidRPr="000E7654">
        <w:rPr>
          <w:rFonts w:ascii="Garamond" w:hAnsi="Garamond"/>
        </w:rPr>
        <w:t>Joint Committee on Taxation. 2008. “Estimates of Federal Tax Expenditures for Fiscal Years 2008–2012,” House Committee on Ways and Means and Senate Committee on Finance, US Government Printing Office, JCS–2–08</w:t>
      </w:r>
    </w:p>
    <w:p w14:paraId="7A2C8938" w14:textId="77777777" w:rsidR="00724BAB" w:rsidRPr="000E7654" w:rsidRDefault="00724BAB" w:rsidP="00724BAB">
      <w:pPr>
        <w:spacing w:after="240"/>
        <w:rPr>
          <w:rFonts w:ascii="Garamond" w:hAnsi="Garamond"/>
        </w:rPr>
      </w:pPr>
      <w:r w:rsidRPr="000E7654">
        <w:rPr>
          <w:rFonts w:ascii="Garamond" w:hAnsi="Garamond"/>
        </w:rPr>
        <w:lastRenderedPageBreak/>
        <w:t>Keen, M. 2013. “The Anatomy of the VAT”, IMF Working Paper WP/13/111. Washington, DC: International Monetary Fund</w:t>
      </w:r>
    </w:p>
    <w:p w14:paraId="19991C36" w14:textId="77777777" w:rsidR="00724BAB" w:rsidRPr="000E7654" w:rsidRDefault="00724BAB" w:rsidP="00724BAB">
      <w:pPr>
        <w:spacing w:after="240"/>
        <w:rPr>
          <w:rFonts w:ascii="Garamond" w:hAnsi="Garamond"/>
        </w:rPr>
      </w:pPr>
      <w:r w:rsidRPr="000E7654">
        <w:rPr>
          <w:rFonts w:ascii="Garamond" w:hAnsi="Garamond"/>
        </w:rPr>
        <w:t xml:space="preserve">Lenhardt, A., A.R. Menocal and J. Engel. 2015. “Ghana: The Rising Star – Progress in Political Voice, Health and Education.” London: Overseas Development Institute. </w:t>
      </w:r>
    </w:p>
    <w:p w14:paraId="21DC08A1" w14:textId="77777777" w:rsidR="00724BAB" w:rsidRPr="000E7654" w:rsidRDefault="00724BAB" w:rsidP="00724BAB">
      <w:pPr>
        <w:spacing w:after="240"/>
        <w:rPr>
          <w:rFonts w:ascii="Garamond" w:hAnsi="Garamond"/>
        </w:rPr>
      </w:pPr>
      <w:r w:rsidRPr="00C65C8B">
        <w:rPr>
          <w:rFonts w:ascii="Garamond" w:hAnsi="Garamond"/>
        </w:rPr>
        <w:t>Modern Ghana. 2007</w:t>
      </w:r>
      <w:r w:rsidRPr="000E7654">
        <w:rPr>
          <w:rFonts w:ascii="Garamond" w:hAnsi="Garamond"/>
        </w:rPr>
        <w:t xml:space="preserve">. “TUC Boss Hails Pay Reforms.” </w:t>
      </w:r>
      <w:hyperlink r:id="rId64" w:history="1">
        <w:r w:rsidRPr="000E7654">
          <w:rPr>
            <w:rStyle w:val="Hyperlink"/>
            <w:rFonts w:ascii="Garamond" w:hAnsi="Garamond"/>
          </w:rPr>
          <w:t>https://www.modernghana.com/news/136058/tuc-boss-hails-pay-reforms.html</w:t>
        </w:r>
      </w:hyperlink>
    </w:p>
    <w:p w14:paraId="1143C722" w14:textId="77777777" w:rsidR="00724BAB" w:rsidRPr="000E7654" w:rsidRDefault="00724BAB" w:rsidP="00724BAB">
      <w:pPr>
        <w:spacing w:after="240"/>
        <w:rPr>
          <w:rFonts w:ascii="Garamond" w:hAnsi="Garamond"/>
        </w:rPr>
      </w:pPr>
      <w:r w:rsidRPr="000E7654">
        <w:rPr>
          <w:rFonts w:ascii="Garamond" w:hAnsi="Garamond"/>
        </w:rPr>
        <w:t xml:space="preserve">Mahdavi, S. 2004. “Shifts in the Composition of Government Spending in Response to External Debt Burden.” </w:t>
      </w:r>
      <w:r w:rsidRPr="000E7654">
        <w:rPr>
          <w:rFonts w:ascii="Garamond" w:hAnsi="Garamond"/>
          <w:i/>
        </w:rPr>
        <w:t>World Development</w:t>
      </w:r>
      <w:r w:rsidRPr="000E7654">
        <w:rPr>
          <w:rFonts w:ascii="Garamond" w:hAnsi="Garamond"/>
        </w:rPr>
        <w:t xml:space="preserve"> 32(7): 1139-57.</w:t>
      </w:r>
    </w:p>
    <w:p w14:paraId="703B1121" w14:textId="77777777" w:rsidR="00724BAB" w:rsidRPr="000E7654" w:rsidRDefault="00724BAB" w:rsidP="00724BAB">
      <w:pPr>
        <w:spacing w:after="240"/>
        <w:rPr>
          <w:rFonts w:ascii="Garamond" w:hAnsi="Garamond"/>
        </w:rPr>
      </w:pPr>
      <w:r w:rsidRPr="000E7654">
        <w:rPr>
          <w:rFonts w:ascii="Garamond" w:hAnsi="Garamond"/>
        </w:rPr>
        <w:t xml:space="preserve">Myjoyonline. 2016. “Remove names of over 4,029 ‘fake’ teachers from payroll” – FWSC”. www.myjoyonline.com/news/2016/May-2nd/remove-names-of-over 4,029  </w:t>
      </w:r>
    </w:p>
    <w:p w14:paraId="250D1E85" w14:textId="77777777" w:rsidR="00724BAB" w:rsidRPr="000E7654" w:rsidRDefault="00724BAB" w:rsidP="00724BAB">
      <w:pPr>
        <w:spacing w:after="240"/>
        <w:rPr>
          <w:rFonts w:ascii="Garamond" w:hAnsi="Garamond"/>
        </w:rPr>
      </w:pPr>
      <w:r w:rsidRPr="000E7654">
        <w:rPr>
          <w:rFonts w:ascii="Garamond" w:hAnsi="Garamond"/>
        </w:rPr>
        <w:t xml:space="preserve">National Development Planning Commission. 2016. “Wage Bill to Shoot Up” </w:t>
      </w:r>
      <w:hyperlink r:id="rId65" w:history="1">
        <w:r w:rsidRPr="000E7654">
          <w:rPr>
            <w:rStyle w:val="Hyperlink"/>
            <w:rFonts w:ascii="Garamond" w:hAnsi="Garamond"/>
          </w:rPr>
          <w:t>www.ndpc.gov.gh/news/413/</w:t>
        </w:r>
      </w:hyperlink>
      <w:r w:rsidRPr="000E7654">
        <w:rPr>
          <w:rFonts w:ascii="Garamond" w:hAnsi="Garamond"/>
        </w:rPr>
        <w:t xml:space="preserve"> </w:t>
      </w:r>
    </w:p>
    <w:p w14:paraId="03588DCA" w14:textId="77777777" w:rsidR="00724BAB" w:rsidRPr="000E7654" w:rsidRDefault="00724BAB" w:rsidP="00724BAB">
      <w:pPr>
        <w:spacing w:after="240"/>
        <w:rPr>
          <w:rFonts w:ascii="Garamond" w:hAnsi="Garamond"/>
        </w:rPr>
      </w:pPr>
      <w:r w:rsidRPr="000E7654">
        <w:rPr>
          <w:rFonts w:ascii="Garamond" w:hAnsi="Garamond"/>
        </w:rPr>
        <w:t xml:space="preserve">Nooruddin, I. and J.R. Vreeland. 2010. “The Effect of IMF Programs on Public Wages and Salaries.” in J. Clapp and R. Wilkinson (eds.), </w:t>
      </w:r>
      <w:r w:rsidRPr="000E7654">
        <w:rPr>
          <w:rFonts w:ascii="Garamond" w:hAnsi="Garamond"/>
          <w:u w:val="single"/>
        </w:rPr>
        <w:t>Global Governance, Poverty and Inequality.</w:t>
      </w:r>
      <w:r w:rsidRPr="000E7654">
        <w:rPr>
          <w:rFonts w:ascii="Garamond" w:hAnsi="Garamond"/>
        </w:rPr>
        <w:t xml:space="preserve"> London: Routledge.</w:t>
      </w:r>
    </w:p>
    <w:p w14:paraId="77443E12" w14:textId="77777777" w:rsidR="00724BAB" w:rsidRPr="000E7654" w:rsidRDefault="00724BAB" w:rsidP="00724BAB">
      <w:pPr>
        <w:spacing w:after="240"/>
        <w:rPr>
          <w:rFonts w:ascii="Garamond" w:hAnsi="Garamond"/>
        </w:rPr>
      </w:pPr>
      <w:r w:rsidRPr="000E7654">
        <w:rPr>
          <w:rFonts w:ascii="Garamond" w:hAnsi="Garamond"/>
        </w:rPr>
        <w:t>OECD. 2013. “Analysis of Tax Expenditures in Ghana” OECD Tax and Development, Paris, France.</w:t>
      </w:r>
    </w:p>
    <w:p w14:paraId="100E2184" w14:textId="77777777" w:rsidR="00724BAB" w:rsidRPr="000E7654" w:rsidRDefault="00724BAB" w:rsidP="00724BAB">
      <w:pPr>
        <w:spacing w:after="240"/>
        <w:rPr>
          <w:rFonts w:ascii="Garamond" w:hAnsi="Garamond"/>
          <w:lang w:val="pt-BR"/>
        </w:rPr>
      </w:pPr>
      <w:r w:rsidRPr="000E7654">
        <w:rPr>
          <w:rFonts w:ascii="Garamond" w:hAnsi="Garamond"/>
        </w:rPr>
        <w:t xml:space="preserve">Republic of Ghana. 2013. Ghana: Public Expenditure &amp; Financial Accountability (PEFA) Performance Review. </w:t>
      </w:r>
      <w:hyperlink r:id="rId66" w:history="1">
        <w:r w:rsidRPr="000E7654">
          <w:rPr>
            <w:rStyle w:val="Hyperlink"/>
            <w:rFonts w:ascii="Garamond" w:hAnsi="Garamond"/>
            <w:lang w:val="pt-BR"/>
          </w:rPr>
          <w:t>http://www.mofep.gov.gh/sites/default/files/reports/Ghana_PEFA_2012_Report%20.pdf</w:t>
        </w:r>
      </w:hyperlink>
    </w:p>
    <w:p w14:paraId="09288ADD" w14:textId="77777777" w:rsidR="00724BAB" w:rsidRPr="000E7654" w:rsidRDefault="00724BAB" w:rsidP="00724BAB">
      <w:pPr>
        <w:spacing w:after="240"/>
        <w:rPr>
          <w:rFonts w:ascii="Garamond" w:hAnsi="Garamond"/>
        </w:rPr>
      </w:pPr>
      <w:r w:rsidRPr="000E7654">
        <w:rPr>
          <w:rFonts w:ascii="Garamond" w:hAnsi="Garamond"/>
        </w:rPr>
        <w:t xml:space="preserve">Rodrik, D. 2000. “What Drives Public Employment in Developing Countries?” </w:t>
      </w:r>
      <w:r w:rsidRPr="000E7654">
        <w:rPr>
          <w:rFonts w:ascii="Garamond" w:hAnsi="Garamond"/>
          <w:i/>
        </w:rPr>
        <w:t>Review of Development Economics</w:t>
      </w:r>
      <w:r w:rsidRPr="000E7654">
        <w:rPr>
          <w:rFonts w:ascii="Garamond" w:hAnsi="Garamond"/>
        </w:rPr>
        <w:t xml:space="preserve"> 4(3): 229-43</w:t>
      </w:r>
    </w:p>
    <w:p w14:paraId="736405D1" w14:textId="77777777" w:rsidR="00724BAB" w:rsidRPr="000E7654" w:rsidRDefault="00724BAB" w:rsidP="00724BAB">
      <w:pPr>
        <w:spacing w:after="240"/>
        <w:rPr>
          <w:rFonts w:ascii="Garamond" w:hAnsi="Garamond"/>
        </w:rPr>
      </w:pPr>
      <w:r w:rsidRPr="00C76493">
        <w:rPr>
          <w:rFonts w:ascii="Garamond" w:hAnsi="Garamond"/>
        </w:rPr>
        <w:t>Trading Economics. 2016</w:t>
      </w:r>
      <w:r w:rsidRPr="000E7654">
        <w:rPr>
          <w:rFonts w:ascii="Garamond" w:hAnsi="Garamond"/>
        </w:rPr>
        <w:t xml:space="preserve">. “Ghana Inflation Rate, 1998-2016” </w:t>
      </w:r>
      <w:hyperlink r:id="rId67" w:history="1">
        <w:r w:rsidRPr="000E7654">
          <w:rPr>
            <w:rStyle w:val="Hyperlink"/>
            <w:rFonts w:ascii="Garamond" w:hAnsi="Garamond"/>
          </w:rPr>
          <w:t>www.tradingeconomics.com/ghana/inflation-cpi</w:t>
        </w:r>
      </w:hyperlink>
      <w:r w:rsidRPr="000E7654">
        <w:rPr>
          <w:rFonts w:ascii="Garamond" w:hAnsi="Garamond"/>
        </w:rPr>
        <w:t xml:space="preserve"> </w:t>
      </w:r>
    </w:p>
    <w:p w14:paraId="5F401258" w14:textId="77777777" w:rsidR="00724BAB" w:rsidRPr="000E7654" w:rsidRDefault="00724BAB" w:rsidP="00724BAB">
      <w:pPr>
        <w:spacing w:after="240"/>
        <w:rPr>
          <w:rFonts w:ascii="Garamond" w:hAnsi="Garamond"/>
        </w:rPr>
      </w:pPr>
      <w:r w:rsidRPr="000E7654">
        <w:rPr>
          <w:rFonts w:ascii="Garamond" w:hAnsi="Garamond"/>
        </w:rPr>
        <w:t>Ueda, J. and M. Thackray. 2015. “South Africa – Revenue Administration Gap Analysis Program – The Value Added Tax Gap.” Washington, DC: IMF.</w:t>
      </w:r>
    </w:p>
    <w:p w14:paraId="380C97B4" w14:textId="77777777" w:rsidR="00724BAB" w:rsidRPr="000E7654" w:rsidRDefault="00724BAB" w:rsidP="00724BAB">
      <w:pPr>
        <w:spacing w:after="240"/>
        <w:rPr>
          <w:rFonts w:ascii="Garamond" w:hAnsi="Garamond"/>
        </w:rPr>
      </w:pPr>
      <w:r w:rsidRPr="000E7654">
        <w:rPr>
          <w:rFonts w:ascii="Garamond" w:hAnsi="Garamond"/>
        </w:rPr>
        <w:t xml:space="preserve">World Bank. 2014. “Mozambique Public Expenditure Review: Addressing the Challenges of Today, Seizing the Opportunities of Tomorrow.” Washington, DC: World Bank Group. </w:t>
      </w:r>
      <w:hyperlink r:id="rId68" w:history="1">
        <w:r w:rsidRPr="000E7654">
          <w:rPr>
            <w:rStyle w:val="Hyperlink"/>
            <w:rFonts w:ascii="Garamond" w:hAnsi="Garamond"/>
          </w:rPr>
          <w:t>http://documents.worldbank.org/curated/en/2014/09/23069780/mozambique-public-expenditure-review-addressing-challenges-today-seizing-opportunities-tomorrow</w:t>
        </w:r>
      </w:hyperlink>
      <w:r w:rsidRPr="000E7654">
        <w:rPr>
          <w:rFonts w:ascii="Garamond" w:hAnsi="Garamond"/>
        </w:rPr>
        <w:t xml:space="preserve"> </w:t>
      </w:r>
    </w:p>
    <w:p w14:paraId="5624B725" w14:textId="77777777" w:rsidR="00724BAB" w:rsidRPr="000E7654" w:rsidRDefault="00724BAB" w:rsidP="00724BAB">
      <w:pPr>
        <w:spacing w:after="240"/>
        <w:rPr>
          <w:rFonts w:ascii="Garamond" w:hAnsi="Garamond"/>
        </w:rPr>
      </w:pPr>
      <w:r w:rsidRPr="000E7654">
        <w:rPr>
          <w:rFonts w:ascii="Garamond" w:hAnsi="Garamond"/>
        </w:rPr>
        <w:t>Zee H.H., J.G. Stotsky and E. Ley. 2001. “Tax Incentives for Business Investment: A Primer for Tax Policy Makers in Developing Countries.” Washington DC: IMF.</w:t>
      </w:r>
      <w:r w:rsidRPr="000E7654">
        <w:rPr>
          <w:rFonts w:ascii="Garamond" w:hAnsi="Garamond"/>
        </w:rPr>
        <w:br w:type="page"/>
      </w:r>
    </w:p>
    <w:p w14:paraId="5992EFB7" w14:textId="5C2E87B4" w:rsidR="00724BAB" w:rsidRDefault="00004310" w:rsidP="00AD44DF">
      <w:pPr>
        <w:pStyle w:val="Heading2"/>
      </w:pPr>
      <w:bookmarkStart w:id="149" w:name="_Toc479624900"/>
      <w:r>
        <w:lastRenderedPageBreak/>
        <w:t>Annex</w:t>
      </w:r>
      <w:r w:rsidR="00724BAB" w:rsidRPr="00A01E73">
        <w:t xml:space="preserve"> </w:t>
      </w:r>
      <w:r w:rsidR="00AD66D6">
        <w:t>3.1</w:t>
      </w:r>
      <w:r>
        <w:t xml:space="preserve">: short-to-medium term measures to address the Sustainability of the </w:t>
      </w:r>
      <w:r w:rsidR="00954D10">
        <w:t xml:space="preserve">paY </w:t>
      </w:r>
      <w:r>
        <w:t>policy in the 2014 budget statement and economic policy</w:t>
      </w:r>
      <w:bookmarkEnd w:id="149"/>
    </w:p>
    <w:p w14:paraId="7503212F" w14:textId="77777777" w:rsidR="00DD102E" w:rsidRPr="00301C1A" w:rsidRDefault="00DD102E" w:rsidP="00DD102E">
      <w:pPr>
        <w:spacing w:after="0" w:line="240" w:lineRule="auto"/>
        <w:contextualSpacing/>
        <w:jc w:val="both"/>
        <w:rPr>
          <w:rFonts w:ascii="Garamond" w:hAnsi="Garamond"/>
          <w:sz w:val="24"/>
          <w:szCs w:val="24"/>
        </w:rPr>
      </w:pPr>
      <w:r w:rsidRPr="00301C1A">
        <w:rPr>
          <w:rFonts w:ascii="Garamond" w:hAnsi="Garamond"/>
          <w:b/>
          <w:bCs/>
          <w:sz w:val="24"/>
          <w:szCs w:val="24"/>
        </w:rPr>
        <w:t>Institutional Arrangements</w:t>
      </w:r>
      <w:r w:rsidRPr="00301C1A">
        <w:rPr>
          <w:rFonts w:ascii="Garamond" w:hAnsi="Garamond"/>
          <w:sz w:val="24"/>
          <w:szCs w:val="24"/>
        </w:rPr>
        <w:t xml:space="preserve">: The </w:t>
      </w:r>
      <w:r w:rsidR="009863EC">
        <w:rPr>
          <w:rFonts w:ascii="Garamond" w:hAnsi="Garamond"/>
          <w:sz w:val="24"/>
          <w:szCs w:val="24"/>
        </w:rPr>
        <w:t>MoF</w:t>
      </w:r>
      <w:r w:rsidRPr="00301C1A">
        <w:rPr>
          <w:rFonts w:ascii="Garamond" w:hAnsi="Garamond"/>
          <w:sz w:val="24"/>
          <w:szCs w:val="24"/>
        </w:rPr>
        <w:t xml:space="preserve"> has established a Compensation of Employees Unit under the Budget Division to deal with all compensation issues including those relating to wages and salaries, allowances, pensions, social security, and gratuities. In addition, the Ministry has constituted a Compensation Committee with membership drawn from the </w:t>
      </w:r>
      <w:r w:rsidR="009863EC">
        <w:rPr>
          <w:rFonts w:ascii="Garamond" w:hAnsi="Garamond"/>
          <w:sz w:val="24"/>
          <w:szCs w:val="24"/>
        </w:rPr>
        <w:t>MoF</w:t>
      </w:r>
      <w:r w:rsidRPr="00301C1A">
        <w:rPr>
          <w:rFonts w:ascii="Garamond" w:hAnsi="Garamond"/>
          <w:sz w:val="24"/>
          <w:szCs w:val="24"/>
        </w:rPr>
        <w:t xml:space="preserve">, </w:t>
      </w:r>
      <w:r w:rsidR="00ED17D0">
        <w:rPr>
          <w:rFonts w:ascii="Garamond" w:hAnsi="Garamond"/>
          <w:sz w:val="24"/>
          <w:szCs w:val="24"/>
        </w:rPr>
        <w:t xml:space="preserve">the </w:t>
      </w:r>
      <w:r w:rsidR="00ED17D0" w:rsidRPr="00ED17D0">
        <w:rPr>
          <w:rFonts w:ascii="Garamond" w:hAnsi="Garamond"/>
          <w:sz w:val="24"/>
          <w:szCs w:val="24"/>
        </w:rPr>
        <w:t>CAGD</w:t>
      </w:r>
      <w:r w:rsidRPr="00301C1A">
        <w:rPr>
          <w:rFonts w:ascii="Garamond" w:hAnsi="Garamond"/>
          <w:sz w:val="24"/>
          <w:szCs w:val="24"/>
        </w:rPr>
        <w:t xml:space="preserve">, the </w:t>
      </w:r>
      <w:r w:rsidR="001A716D" w:rsidRPr="001A716D">
        <w:rPr>
          <w:rFonts w:ascii="Garamond" w:hAnsi="Garamond"/>
          <w:sz w:val="24"/>
          <w:szCs w:val="24"/>
        </w:rPr>
        <w:t>FWSC</w:t>
      </w:r>
      <w:r w:rsidRPr="00301C1A">
        <w:rPr>
          <w:rFonts w:ascii="Garamond" w:hAnsi="Garamond"/>
          <w:sz w:val="24"/>
          <w:szCs w:val="24"/>
        </w:rPr>
        <w:t>, and the Public Services Commission to advise on compensation issues.</w:t>
      </w:r>
    </w:p>
    <w:p w14:paraId="141D02E2" w14:textId="77777777" w:rsidR="00DD102E" w:rsidRPr="00301C1A" w:rsidRDefault="00DD102E" w:rsidP="00DD102E">
      <w:pPr>
        <w:spacing w:after="0" w:line="240" w:lineRule="auto"/>
        <w:contextualSpacing/>
        <w:jc w:val="both"/>
        <w:rPr>
          <w:rFonts w:ascii="Garamond" w:hAnsi="Garamond"/>
          <w:sz w:val="24"/>
          <w:szCs w:val="24"/>
        </w:rPr>
      </w:pPr>
    </w:p>
    <w:p w14:paraId="380466DA" w14:textId="77777777" w:rsidR="00DD102E" w:rsidRPr="00301C1A" w:rsidRDefault="00DD102E" w:rsidP="00DD102E">
      <w:pPr>
        <w:spacing w:after="0" w:line="240" w:lineRule="auto"/>
        <w:contextualSpacing/>
        <w:jc w:val="both"/>
        <w:rPr>
          <w:rFonts w:ascii="Garamond" w:hAnsi="Garamond"/>
          <w:sz w:val="24"/>
          <w:szCs w:val="24"/>
        </w:rPr>
      </w:pPr>
      <w:r w:rsidRPr="00301C1A">
        <w:rPr>
          <w:rFonts w:ascii="Garamond" w:hAnsi="Garamond"/>
          <w:b/>
          <w:bCs/>
          <w:sz w:val="24"/>
          <w:szCs w:val="24"/>
        </w:rPr>
        <w:t>Weaning off Subvented Agencies from Government Payroll</w:t>
      </w:r>
      <w:r w:rsidRPr="00301C1A">
        <w:rPr>
          <w:rFonts w:ascii="Garamond" w:hAnsi="Garamond"/>
          <w:sz w:val="24"/>
          <w:szCs w:val="24"/>
        </w:rPr>
        <w:t>:12 subvented agencies which have the capacity to be on their own with regards to payment of their personal emoluments have been identified to be weaned-off Government subvention. Measures and modalities will be established to assist the identified institutions to be weaned-off Government payroll. This exercise will continue in the medium term until all such institutions are weaned off.</w:t>
      </w:r>
    </w:p>
    <w:p w14:paraId="1BEA8F5E" w14:textId="77777777" w:rsidR="00DD102E" w:rsidRPr="00301C1A" w:rsidRDefault="00DD102E" w:rsidP="00DD102E">
      <w:pPr>
        <w:spacing w:after="0" w:line="240" w:lineRule="auto"/>
        <w:contextualSpacing/>
        <w:jc w:val="both"/>
        <w:rPr>
          <w:rFonts w:ascii="Garamond" w:hAnsi="Garamond"/>
          <w:sz w:val="24"/>
          <w:szCs w:val="24"/>
        </w:rPr>
      </w:pPr>
    </w:p>
    <w:p w14:paraId="108AB848" w14:textId="77777777" w:rsidR="00DD102E" w:rsidRPr="00301C1A" w:rsidRDefault="00DD102E" w:rsidP="00DD102E">
      <w:pPr>
        <w:spacing w:after="0" w:line="240" w:lineRule="auto"/>
        <w:contextualSpacing/>
        <w:jc w:val="both"/>
        <w:rPr>
          <w:rFonts w:ascii="Garamond" w:hAnsi="Garamond"/>
          <w:sz w:val="24"/>
          <w:szCs w:val="24"/>
        </w:rPr>
      </w:pPr>
      <w:r w:rsidRPr="00301C1A">
        <w:rPr>
          <w:rFonts w:ascii="Garamond" w:hAnsi="Garamond"/>
          <w:b/>
          <w:bCs/>
          <w:sz w:val="24"/>
          <w:szCs w:val="24"/>
        </w:rPr>
        <w:t>Recruitment and Replacement</w:t>
      </w:r>
      <w:r w:rsidRPr="00301C1A">
        <w:rPr>
          <w:rFonts w:ascii="Garamond" w:hAnsi="Garamond"/>
          <w:sz w:val="24"/>
          <w:szCs w:val="24"/>
        </w:rPr>
        <w:t xml:space="preserve">: From 2014, the wages and salaries vote of MDAs and MMDAs in respect of recruitment and replacement of staff in public sector institutions, will be subjected to budget constraint. In this regard, the </w:t>
      </w:r>
      <w:r w:rsidR="009863EC">
        <w:rPr>
          <w:rFonts w:ascii="Garamond" w:hAnsi="Garamond"/>
          <w:sz w:val="24"/>
          <w:szCs w:val="24"/>
        </w:rPr>
        <w:t>MoF</w:t>
      </w:r>
      <w:r w:rsidRPr="00301C1A">
        <w:rPr>
          <w:rFonts w:ascii="Garamond" w:hAnsi="Garamond"/>
          <w:sz w:val="24"/>
          <w:szCs w:val="24"/>
        </w:rPr>
        <w:t xml:space="preserve"> will collaborate with the Public Services Commission and Office of the Head of Civil Service to ensure that due process, including seeking financial clearance before undertaking recruitment and replacement, are observed. Sanctions will be imposed on heads of institutions who do not follow the due process.</w:t>
      </w:r>
    </w:p>
    <w:p w14:paraId="34CC5F4C" w14:textId="77777777" w:rsidR="00DD102E" w:rsidRPr="00301C1A" w:rsidRDefault="00DD102E" w:rsidP="00DD102E">
      <w:pPr>
        <w:spacing w:after="0" w:line="240" w:lineRule="auto"/>
        <w:contextualSpacing/>
        <w:jc w:val="both"/>
        <w:rPr>
          <w:rFonts w:ascii="Garamond" w:hAnsi="Garamond"/>
          <w:sz w:val="24"/>
          <w:szCs w:val="24"/>
        </w:rPr>
      </w:pPr>
    </w:p>
    <w:p w14:paraId="1F70C8D8" w14:textId="77777777" w:rsidR="00DD102E" w:rsidRPr="00301C1A" w:rsidRDefault="00DD102E" w:rsidP="00DD102E">
      <w:pPr>
        <w:spacing w:after="0" w:line="240" w:lineRule="auto"/>
        <w:contextualSpacing/>
        <w:jc w:val="both"/>
        <w:rPr>
          <w:rFonts w:ascii="Garamond" w:hAnsi="Garamond"/>
          <w:sz w:val="24"/>
          <w:szCs w:val="24"/>
        </w:rPr>
      </w:pPr>
      <w:r w:rsidRPr="00301C1A">
        <w:rPr>
          <w:rFonts w:ascii="Garamond" w:hAnsi="Garamond"/>
          <w:b/>
          <w:bCs/>
          <w:sz w:val="24"/>
          <w:szCs w:val="24"/>
        </w:rPr>
        <w:t>Market Premium</w:t>
      </w:r>
      <w:r w:rsidRPr="00301C1A">
        <w:rPr>
          <w:rFonts w:ascii="Garamond" w:hAnsi="Garamond"/>
          <w:sz w:val="24"/>
          <w:szCs w:val="24"/>
        </w:rPr>
        <w:t xml:space="preserve">: Government will implement the White Paper on Market Premium without further delay. To this effect, Government has directed the </w:t>
      </w:r>
      <w:r w:rsidR="001A716D" w:rsidRPr="001A716D">
        <w:rPr>
          <w:rFonts w:ascii="Garamond" w:hAnsi="Garamond"/>
          <w:sz w:val="24"/>
          <w:szCs w:val="24"/>
        </w:rPr>
        <w:t>FWSC</w:t>
      </w:r>
      <w:r w:rsidR="001A716D" w:rsidRPr="001A716D" w:rsidDel="001A716D">
        <w:rPr>
          <w:rFonts w:ascii="Garamond" w:hAnsi="Garamond"/>
          <w:sz w:val="24"/>
          <w:szCs w:val="24"/>
        </w:rPr>
        <w:t xml:space="preserve"> </w:t>
      </w:r>
      <w:r w:rsidRPr="00301C1A">
        <w:rPr>
          <w:rFonts w:ascii="Garamond" w:hAnsi="Garamond"/>
          <w:sz w:val="24"/>
          <w:szCs w:val="24"/>
        </w:rPr>
        <w:t>and the Ghana Statistical Service to undertake a Labour Market Survey to inform the determination of critical skills in short supply and their market premium, starting with the Health and Education sectors. From January 2014, the existing interim market premium paid to some workers will be abolished and replaced by market premium determined in consonance with the White Paper.</w:t>
      </w:r>
    </w:p>
    <w:p w14:paraId="44D5BEF7" w14:textId="77777777" w:rsidR="00DD102E" w:rsidRPr="00301C1A" w:rsidRDefault="00DD102E" w:rsidP="00DD102E">
      <w:pPr>
        <w:spacing w:after="0" w:line="240" w:lineRule="auto"/>
        <w:contextualSpacing/>
        <w:jc w:val="both"/>
        <w:rPr>
          <w:rFonts w:ascii="Garamond" w:hAnsi="Garamond"/>
          <w:sz w:val="24"/>
          <w:szCs w:val="24"/>
        </w:rPr>
      </w:pPr>
    </w:p>
    <w:p w14:paraId="570BE1EC" w14:textId="77777777" w:rsidR="00DD102E" w:rsidRPr="00301C1A" w:rsidRDefault="00DD102E" w:rsidP="00DD102E">
      <w:pPr>
        <w:spacing w:after="0" w:line="240" w:lineRule="auto"/>
        <w:contextualSpacing/>
        <w:jc w:val="both"/>
        <w:rPr>
          <w:rFonts w:ascii="Garamond" w:hAnsi="Garamond"/>
          <w:sz w:val="24"/>
          <w:szCs w:val="24"/>
        </w:rPr>
      </w:pPr>
      <w:r w:rsidRPr="00301C1A">
        <w:rPr>
          <w:rFonts w:ascii="Garamond" w:hAnsi="Garamond"/>
          <w:b/>
          <w:bCs/>
          <w:sz w:val="24"/>
          <w:szCs w:val="24"/>
        </w:rPr>
        <w:t>Public Service-Wide Performance Management System</w:t>
      </w:r>
      <w:r w:rsidRPr="00301C1A">
        <w:rPr>
          <w:rFonts w:ascii="Garamond" w:hAnsi="Garamond"/>
          <w:sz w:val="24"/>
          <w:szCs w:val="24"/>
        </w:rPr>
        <w:t xml:space="preserve">: Linking pay to productivity is one of the phases in the implementation of the SSPP. To this end, the </w:t>
      </w:r>
      <w:r w:rsidR="001A716D" w:rsidRPr="001A716D">
        <w:rPr>
          <w:rFonts w:ascii="Garamond" w:hAnsi="Garamond"/>
          <w:sz w:val="24"/>
          <w:szCs w:val="24"/>
        </w:rPr>
        <w:t>FWSC</w:t>
      </w:r>
      <w:r w:rsidR="001A716D" w:rsidRPr="001A716D" w:rsidDel="001A716D">
        <w:rPr>
          <w:rFonts w:ascii="Garamond" w:hAnsi="Garamond"/>
          <w:sz w:val="24"/>
          <w:szCs w:val="24"/>
        </w:rPr>
        <w:t xml:space="preserve"> </w:t>
      </w:r>
      <w:r w:rsidRPr="00301C1A">
        <w:rPr>
          <w:rFonts w:ascii="Garamond" w:hAnsi="Garamond"/>
          <w:sz w:val="24"/>
          <w:szCs w:val="24"/>
        </w:rPr>
        <w:t>in collaboration with the Public Services Commission and the Management Development and Productivity Institute will expedite action on the modalities for the introduction of the Public Service-Wide Performance Management System.</w:t>
      </w:r>
    </w:p>
    <w:p w14:paraId="7DE6EC8D" w14:textId="77777777" w:rsidR="00DD102E" w:rsidRPr="00301C1A" w:rsidRDefault="00DD102E" w:rsidP="00DD102E">
      <w:pPr>
        <w:spacing w:after="0" w:line="240" w:lineRule="auto"/>
        <w:contextualSpacing/>
        <w:jc w:val="both"/>
        <w:rPr>
          <w:rFonts w:ascii="Garamond" w:hAnsi="Garamond"/>
          <w:sz w:val="24"/>
          <w:szCs w:val="24"/>
        </w:rPr>
      </w:pPr>
    </w:p>
    <w:p w14:paraId="1F0DEAEA" w14:textId="77777777" w:rsidR="00DD102E" w:rsidRPr="00301C1A" w:rsidRDefault="00DD102E" w:rsidP="00DD102E">
      <w:pPr>
        <w:spacing w:after="0" w:line="240" w:lineRule="auto"/>
        <w:contextualSpacing/>
        <w:jc w:val="both"/>
        <w:rPr>
          <w:rFonts w:ascii="Garamond" w:hAnsi="Garamond"/>
          <w:sz w:val="24"/>
          <w:szCs w:val="24"/>
        </w:rPr>
      </w:pPr>
      <w:r w:rsidRPr="00301C1A">
        <w:rPr>
          <w:rFonts w:ascii="Garamond" w:hAnsi="Garamond"/>
          <w:b/>
          <w:bCs/>
          <w:sz w:val="24"/>
          <w:szCs w:val="24"/>
        </w:rPr>
        <w:t>Categories 2 &amp; 3 Allowances</w:t>
      </w:r>
      <w:r w:rsidRPr="00301C1A">
        <w:rPr>
          <w:rFonts w:ascii="Garamond" w:hAnsi="Garamond"/>
          <w:sz w:val="24"/>
          <w:szCs w:val="24"/>
        </w:rPr>
        <w:t xml:space="preserve">: Government has observed the existence of several allowances in the public service and the need to streamline and bring sanity into the administration of these allowances. As part of the implementation the Single Spine Pay Policy, the </w:t>
      </w:r>
      <w:r w:rsidR="001A716D" w:rsidRPr="001A716D">
        <w:rPr>
          <w:rFonts w:ascii="Garamond" w:hAnsi="Garamond"/>
          <w:sz w:val="24"/>
          <w:szCs w:val="24"/>
        </w:rPr>
        <w:t>FWSC</w:t>
      </w:r>
      <w:r w:rsidR="001A716D" w:rsidRPr="001A716D" w:rsidDel="001A716D">
        <w:rPr>
          <w:rFonts w:ascii="Garamond" w:hAnsi="Garamond"/>
          <w:sz w:val="24"/>
          <w:szCs w:val="24"/>
        </w:rPr>
        <w:t xml:space="preserve"> </w:t>
      </w:r>
      <w:r w:rsidRPr="00301C1A">
        <w:rPr>
          <w:rFonts w:ascii="Garamond" w:hAnsi="Garamond"/>
          <w:sz w:val="24"/>
          <w:szCs w:val="24"/>
        </w:rPr>
        <w:t xml:space="preserve">in collaboration with the Public Services Joint Standing Negotiation Committee (PSJSNC) is working on the harmonization and standardization of categories 2 and 3 allowances. To ensure that this phase of the SSPP is sustainable, the FWSC and the </w:t>
      </w:r>
      <w:r w:rsidR="009863EC">
        <w:rPr>
          <w:rFonts w:ascii="Garamond" w:hAnsi="Garamond"/>
          <w:sz w:val="24"/>
          <w:szCs w:val="24"/>
        </w:rPr>
        <w:t>MoF</w:t>
      </w:r>
      <w:r w:rsidRPr="00301C1A">
        <w:rPr>
          <w:rFonts w:ascii="Garamond" w:hAnsi="Garamond"/>
          <w:sz w:val="24"/>
          <w:szCs w:val="24"/>
        </w:rPr>
        <w:t xml:space="preserve"> will engage Organized Labour to ensure that the implementation of the categories 2 and 3 allowances is executed within budget constraints and is properly phased. Measures will also be</w:t>
      </w:r>
      <w:r w:rsidR="000E50A8">
        <w:rPr>
          <w:rFonts w:ascii="Garamond" w:hAnsi="Garamond"/>
          <w:sz w:val="24"/>
          <w:szCs w:val="24"/>
        </w:rPr>
        <w:t xml:space="preserve"> </w:t>
      </w:r>
      <w:r w:rsidRPr="00301C1A">
        <w:rPr>
          <w:rFonts w:ascii="Garamond" w:hAnsi="Garamond"/>
          <w:sz w:val="24"/>
          <w:szCs w:val="24"/>
        </w:rPr>
        <w:t>implemented to ensure that existing allowances are not abused and are executed based on approved budget of MDAs.</w:t>
      </w:r>
    </w:p>
    <w:p w14:paraId="73F9D910" w14:textId="77777777" w:rsidR="00DD102E" w:rsidRPr="00301C1A" w:rsidRDefault="00DD102E" w:rsidP="00DD102E">
      <w:pPr>
        <w:spacing w:after="0" w:line="240" w:lineRule="auto"/>
        <w:contextualSpacing/>
        <w:jc w:val="both"/>
        <w:rPr>
          <w:rFonts w:ascii="Garamond" w:hAnsi="Garamond"/>
          <w:sz w:val="24"/>
          <w:szCs w:val="24"/>
        </w:rPr>
      </w:pPr>
    </w:p>
    <w:p w14:paraId="530934A5" w14:textId="77777777" w:rsidR="00DD102E" w:rsidRPr="00301C1A" w:rsidRDefault="00DD102E" w:rsidP="00DD102E">
      <w:pPr>
        <w:spacing w:after="0" w:line="240" w:lineRule="auto"/>
        <w:contextualSpacing/>
        <w:jc w:val="both"/>
        <w:rPr>
          <w:rFonts w:ascii="Garamond" w:hAnsi="Garamond"/>
          <w:sz w:val="24"/>
          <w:szCs w:val="24"/>
        </w:rPr>
      </w:pPr>
      <w:r w:rsidRPr="00301C1A">
        <w:rPr>
          <w:rFonts w:ascii="Garamond" w:hAnsi="Garamond"/>
          <w:b/>
          <w:bCs/>
          <w:sz w:val="24"/>
          <w:szCs w:val="24"/>
        </w:rPr>
        <w:t>Use of Internally Generated Funds</w:t>
      </w:r>
      <w:r w:rsidRPr="00301C1A">
        <w:rPr>
          <w:rFonts w:ascii="Garamond" w:hAnsi="Garamond"/>
          <w:sz w:val="24"/>
          <w:szCs w:val="24"/>
        </w:rPr>
        <w:t xml:space="preserve">: Some institutions use their Internally Generated Funds (IGFs) to honour unapproved payments such as payments of salary supplements contrary to what the law on </w:t>
      </w:r>
      <w:r w:rsidRPr="00301C1A">
        <w:rPr>
          <w:rFonts w:ascii="Garamond" w:hAnsi="Garamond"/>
          <w:sz w:val="24"/>
          <w:szCs w:val="24"/>
        </w:rPr>
        <w:lastRenderedPageBreak/>
        <w:t>the use of IGF stipulates. These actions are illegal and any institution found indulging in this act will be sanctioned accordingly. To ensure efficient, effective, and lawful use of IGFs, the IGFs of MDAs will be administered using the warrant system through the GIFMIS as required by Regulation 165 of the FAR.</w:t>
      </w:r>
    </w:p>
    <w:p w14:paraId="23358545" w14:textId="77777777" w:rsidR="00DD102E" w:rsidRPr="00301C1A" w:rsidRDefault="00DD102E" w:rsidP="00DD102E">
      <w:pPr>
        <w:spacing w:after="0" w:line="240" w:lineRule="auto"/>
        <w:contextualSpacing/>
        <w:jc w:val="both"/>
        <w:rPr>
          <w:rFonts w:ascii="Garamond" w:hAnsi="Garamond"/>
          <w:sz w:val="24"/>
          <w:szCs w:val="24"/>
        </w:rPr>
      </w:pPr>
    </w:p>
    <w:p w14:paraId="57466E0C" w14:textId="77777777" w:rsidR="00DD102E" w:rsidRPr="00301C1A" w:rsidRDefault="00DD102E" w:rsidP="00DD102E">
      <w:pPr>
        <w:spacing w:after="0" w:line="240" w:lineRule="auto"/>
        <w:contextualSpacing/>
        <w:jc w:val="both"/>
        <w:rPr>
          <w:rFonts w:ascii="Garamond" w:hAnsi="Garamond"/>
          <w:sz w:val="24"/>
          <w:szCs w:val="24"/>
        </w:rPr>
      </w:pPr>
      <w:r w:rsidRPr="00301C1A">
        <w:rPr>
          <w:rFonts w:ascii="Garamond" w:hAnsi="Garamond"/>
          <w:b/>
          <w:bCs/>
          <w:sz w:val="24"/>
          <w:szCs w:val="24"/>
        </w:rPr>
        <w:t>Book and Research Facility</w:t>
      </w:r>
      <w:r w:rsidRPr="00301C1A">
        <w:rPr>
          <w:rFonts w:ascii="Garamond" w:hAnsi="Garamond"/>
          <w:sz w:val="24"/>
          <w:szCs w:val="24"/>
        </w:rPr>
        <w:t xml:space="preserve">: Government recognizes the importance of research in teaching and learning in all higher institutions of education. In order to encourage more research work in tertiary institutions and to realize its full benefits, Government has decided to review the existing system of payment of the book and research allowance, and replace it with a Research Facility. The Ministry of Education through the National Council for Tertiary Education has set aside Ghana Health </w:t>
      </w:r>
      <w:r w:rsidRPr="00301C1A">
        <w:rPr>
          <w:rFonts w:ascii="Garamond" w:eastAsia="Times New Roman" w:hAnsi="Garamond"/>
          <w:sz w:val="24"/>
          <w:szCs w:val="24"/>
        </w:rPr>
        <w:t xml:space="preserve">Service </w:t>
      </w:r>
      <w:r w:rsidRPr="00301C1A">
        <w:rPr>
          <w:rFonts w:ascii="Garamond" w:hAnsi="Garamond"/>
          <w:sz w:val="24"/>
          <w:szCs w:val="24"/>
        </w:rPr>
        <w:t>15 million towards the establishment of a Research and Innovation Facility. The Ministry is to develop guidelines for the operationalization of the Facility, whiles engaging stakeholders on exploring other sources of making the Facility sustainable.</w:t>
      </w:r>
    </w:p>
    <w:p w14:paraId="43F8B539" w14:textId="77777777" w:rsidR="00DD102E" w:rsidRPr="00301C1A" w:rsidRDefault="00DD102E" w:rsidP="00DD102E">
      <w:pPr>
        <w:spacing w:after="0" w:line="240" w:lineRule="auto"/>
        <w:contextualSpacing/>
        <w:jc w:val="both"/>
        <w:rPr>
          <w:rFonts w:ascii="Garamond" w:hAnsi="Garamond"/>
          <w:sz w:val="24"/>
          <w:szCs w:val="24"/>
        </w:rPr>
      </w:pPr>
    </w:p>
    <w:p w14:paraId="374D3701" w14:textId="77777777" w:rsidR="00DD102E" w:rsidRPr="00301C1A" w:rsidRDefault="00DD102E" w:rsidP="00DD102E">
      <w:pPr>
        <w:spacing w:after="0" w:line="240" w:lineRule="auto"/>
        <w:contextualSpacing/>
        <w:jc w:val="both"/>
        <w:rPr>
          <w:rFonts w:ascii="Garamond" w:hAnsi="Garamond"/>
          <w:sz w:val="24"/>
          <w:szCs w:val="24"/>
        </w:rPr>
      </w:pPr>
      <w:r w:rsidRPr="00301C1A">
        <w:rPr>
          <w:rFonts w:ascii="Garamond" w:hAnsi="Garamond"/>
          <w:b/>
          <w:bCs/>
          <w:sz w:val="24"/>
          <w:szCs w:val="24"/>
        </w:rPr>
        <w:t>Human Resource Management Policy</w:t>
      </w:r>
      <w:r w:rsidRPr="00301C1A">
        <w:rPr>
          <w:rFonts w:ascii="Garamond" w:hAnsi="Garamond"/>
          <w:sz w:val="24"/>
          <w:szCs w:val="24"/>
        </w:rPr>
        <w:t>: The Public Services Commission has developed a comprehensive Human Resource Management Policy Framework and Manual. This is aimed at reviewing and remolding past and outmoded procedures and processes to conform standards in human resource management. This will also strengthen the overall capacity of the public service for effective service delivery. In line with government’s policy determination to control the rising wage bill, the Public Services Commission has been mandated to build a human resource database of Government employees (HRMIS) to enable Government effectively control the entry and exit of workers in public sector institutions. This will, in part, allow Government to constantly review the staff ceilings and mandates of public institutions to identify overlap of functions and recommend appropriate right-sizing of MDAs and MMDAs, where necessary.</w:t>
      </w:r>
    </w:p>
    <w:p w14:paraId="2843FF66" w14:textId="77777777" w:rsidR="00DD102E" w:rsidRPr="00301C1A" w:rsidRDefault="00DD102E" w:rsidP="00DD102E">
      <w:pPr>
        <w:spacing w:after="0" w:line="240" w:lineRule="auto"/>
        <w:contextualSpacing/>
        <w:jc w:val="both"/>
        <w:rPr>
          <w:rFonts w:ascii="Garamond" w:hAnsi="Garamond"/>
          <w:sz w:val="24"/>
          <w:szCs w:val="24"/>
        </w:rPr>
      </w:pPr>
    </w:p>
    <w:p w14:paraId="53A9C452" w14:textId="77777777" w:rsidR="00DD102E" w:rsidRPr="00301C1A" w:rsidRDefault="00DD102E" w:rsidP="00DD102E">
      <w:pPr>
        <w:spacing w:after="0" w:line="240" w:lineRule="auto"/>
        <w:contextualSpacing/>
        <w:jc w:val="both"/>
        <w:rPr>
          <w:rFonts w:ascii="Garamond" w:hAnsi="Garamond"/>
          <w:sz w:val="24"/>
          <w:szCs w:val="24"/>
        </w:rPr>
      </w:pPr>
      <w:r w:rsidRPr="00301C1A">
        <w:rPr>
          <w:rFonts w:ascii="Garamond" w:hAnsi="Garamond"/>
          <w:b/>
          <w:bCs/>
          <w:sz w:val="24"/>
          <w:szCs w:val="24"/>
        </w:rPr>
        <w:t>Payroll Upgrade</w:t>
      </w:r>
      <w:r w:rsidRPr="00301C1A">
        <w:rPr>
          <w:rFonts w:ascii="Garamond" w:hAnsi="Garamond"/>
          <w:sz w:val="24"/>
          <w:szCs w:val="24"/>
        </w:rPr>
        <w:t xml:space="preserve">: The </w:t>
      </w:r>
      <w:r w:rsidR="00ED17D0" w:rsidRPr="00ED17D0">
        <w:rPr>
          <w:rFonts w:ascii="Garamond" w:hAnsi="Garamond"/>
          <w:sz w:val="24"/>
          <w:szCs w:val="24"/>
        </w:rPr>
        <w:t>CAGD</w:t>
      </w:r>
      <w:r w:rsidR="00ED17D0" w:rsidRPr="00ED17D0" w:rsidDel="00ED17D0">
        <w:rPr>
          <w:rFonts w:ascii="Garamond" w:hAnsi="Garamond"/>
          <w:sz w:val="24"/>
          <w:szCs w:val="24"/>
        </w:rPr>
        <w:t xml:space="preserve"> </w:t>
      </w:r>
      <w:r w:rsidRPr="00301C1A">
        <w:rPr>
          <w:rFonts w:ascii="Garamond" w:hAnsi="Garamond"/>
          <w:sz w:val="24"/>
          <w:szCs w:val="24"/>
        </w:rPr>
        <w:t>is upgrading the payroll system to enhance efficiency by allowing more time for payroll update, improve performance by minimizing human intervention during payroll run, and reduce payroll processing time. The payroll upgrade is expected to be completed in December 2013. After completing the payroll upgrade, the IPPD will be integrated into GIFMIS to facilitate automatic accounting for payroll data as well as strengthen budgetary control on payment of salaries and wages. The integration of the Payroll and HRMIS systems will resolve many issues surrounding effective payroll administration, including recruitment, transfers, promotion, and termination of staff from the public services.</w:t>
      </w:r>
    </w:p>
    <w:p w14:paraId="32DD5695" w14:textId="77777777" w:rsidR="00DD102E" w:rsidRPr="00301C1A" w:rsidRDefault="00DD102E" w:rsidP="00DD102E">
      <w:pPr>
        <w:spacing w:after="0" w:line="240" w:lineRule="auto"/>
        <w:contextualSpacing/>
        <w:jc w:val="both"/>
        <w:rPr>
          <w:rFonts w:ascii="Garamond" w:hAnsi="Garamond"/>
          <w:sz w:val="24"/>
          <w:szCs w:val="24"/>
        </w:rPr>
      </w:pPr>
    </w:p>
    <w:p w14:paraId="704F4EF8" w14:textId="77777777" w:rsidR="00DD102E" w:rsidRPr="00301C1A" w:rsidRDefault="00DD102E" w:rsidP="00DD102E">
      <w:pPr>
        <w:spacing w:after="0" w:line="240" w:lineRule="auto"/>
        <w:contextualSpacing/>
        <w:jc w:val="both"/>
        <w:rPr>
          <w:rFonts w:ascii="Garamond" w:hAnsi="Garamond"/>
          <w:sz w:val="24"/>
          <w:szCs w:val="24"/>
        </w:rPr>
      </w:pPr>
      <w:r w:rsidRPr="00301C1A">
        <w:rPr>
          <w:rFonts w:ascii="Garamond" w:hAnsi="Garamond"/>
          <w:b/>
          <w:bCs/>
          <w:sz w:val="24"/>
          <w:szCs w:val="24"/>
        </w:rPr>
        <w:t>Payroll Audit</w:t>
      </w:r>
      <w:r w:rsidRPr="00301C1A">
        <w:rPr>
          <w:rFonts w:ascii="Garamond" w:hAnsi="Garamond"/>
          <w:sz w:val="24"/>
          <w:szCs w:val="24"/>
        </w:rPr>
        <w:t>: Government has commissioned the Internal Audit Agency to audit the 2011 and 2012 payroll of selected institutions with the support of the CAGD. This exercise will focus on Ghana Education Service and Ghana Health Service as the first phase.  The review and the head count exercise will be extended nationwide.</w:t>
      </w:r>
    </w:p>
    <w:p w14:paraId="2D956CD1" w14:textId="77777777" w:rsidR="00DD102E" w:rsidRPr="00301C1A" w:rsidRDefault="00DD102E" w:rsidP="00DD102E">
      <w:pPr>
        <w:spacing w:after="0" w:line="240" w:lineRule="auto"/>
        <w:contextualSpacing/>
        <w:jc w:val="both"/>
        <w:rPr>
          <w:rFonts w:ascii="Garamond" w:hAnsi="Garamond"/>
          <w:sz w:val="24"/>
          <w:szCs w:val="24"/>
        </w:rPr>
      </w:pPr>
    </w:p>
    <w:p w14:paraId="587C56FB" w14:textId="77777777" w:rsidR="00DD102E" w:rsidRPr="00301C1A" w:rsidRDefault="00DD102E" w:rsidP="00DD102E">
      <w:pPr>
        <w:spacing w:after="0" w:line="240" w:lineRule="auto"/>
        <w:contextualSpacing/>
        <w:jc w:val="both"/>
        <w:rPr>
          <w:rFonts w:ascii="Garamond" w:hAnsi="Garamond"/>
          <w:sz w:val="24"/>
          <w:szCs w:val="24"/>
        </w:rPr>
      </w:pPr>
      <w:r w:rsidRPr="00301C1A">
        <w:rPr>
          <w:rFonts w:ascii="Garamond" w:hAnsi="Garamond"/>
          <w:b/>
          <w:bCs/>
          <w:sz w:val="24"/>
          <w:szCs w:val="24"/>
        </w:rPr>
        <w:t>Biometric Registration</w:t>
      </w:r>
      <w:r w:rsidRPr="00301C1A">
        <w:rPr>
          <w:rFonts w:ascii="Garamond" w:hAnsi="Garamond"/>
          <w:sz w:val="24"/>
          <w:szCs w:val="24"/>
        </w:rPr>
        <w:t>: The CAGD in collaboration with the National Identification Authority is to start the clean-up of the biometric data of Public Servants on Government Payroll and also validate the existence of active and retired officers as well as new entrants by November 2013.</w:t>
      </w:r>
    </w:p>
    <w:p w14:paraId="3521B8D8" w14:textId="77777777" w:rsidR="00DD102E" w:rsidRPr="00301C1A" w:rsidRDefault="00DD102E" w:rsidP="00DD102E">
      <w:pPr>
        <w:spacing w:after="0" w:line="240" w:lineRule="auto"/>
        <w:contextualSpacing/>
        <w:jc w:val="both"/>
        <w:rPr>
          <w:rFonts w:ascii="Garamond" w:hAnsi="Garamond"/>
          <w:sz w:val="24"/>
          <w:szCs w:val="24"/>
        </w:rPr>
      </w:pPr>
    </w:p>
    <w:p w14:paraId="69BD1241" w14:textId="77777777" w:rsidR="00DD102E" w:rsidRPr="00301C1A" w:rsidRDefault="00DD102E" w:rsidP="00DD102E">
      <w:pPr>
        <w:spacing w:after="0" w:line="240" w:lineRule="auto"/>
        <w:contextualSpacing/>
        <w:jc w:val="both"/>
        <w:rPr>
          <w:rFonts w:ascii="Garamond" w:hAnsi="Garamond"/>
          <w:sz w:val="24"/>
          <w:szCs w:val="24"/>
        </w:rPr>
      </w:pPr>
      <w:r w:rsidRPr="00301C1A">
        <w:rPr>
          <w:rFonts w:ascii="Garamond" w:hAnsi="Garamond"/>
          <w:b/>
          <w:bCs/>
          <w:sz w:val="24"/>
          <w:szCs w:val="24"/>
        </w:rPr>
        <w:t>Electronic Salary Payment Vouchers (ESPV)</w:t>
      </w:r>
      <w:r w:rsidRPr="00301C1A">
        <w:rPr>
          <w:rFonts w:ascii="Garamond" w:hAnsi="Garamond"/>
          <w:sz w:val="24"/>
          <w:szCs w:val="24"/>
        </w:rPr>
        <w:t xml:space="preserve">. To facilitate the review and certification of salary payment vouchers, the CAGD is implementing an Electronic Salary Payment Voucher System (ESPVS) and plans are far advanced for its roll out. Heads of MDAs and MMDAs will henceforth, be required to certify on a monthly basis, staff on their nominal payroll before the </w:t>
      </w:r>
      <w:r w:rsidR="009863EC">
        <w:rPr>
          <w:rFonts w:ascii="Garamond" w:hAnsi="Garamond"/>
          <w:sz w:val="24"/>
          <w:szCs w:val="24"/>
        </w:rPr>
        <w:t>MoF</w:t>
      </w:r>
      <w:r w:rsidRPr="00301C1A">
        <w:rPr>
          <w:rFonts w:ascii="Garamond" w:hAnsi="Garamond"/>
          <w:sz w:val="24"/>
          <w:szCs w:val="24"/>
        </w:rPr>
        <w:t xml:space="preserve"> issues a warrant </w:t>
      </w:r>
      <w:r w:rsidRPr="00301C1A">
        <w:rPr>
          <w:rFonts w:ascii="Garamond" w:hAnsi="Garamond"/>
          <w:sz w:val="24"/>
          <w:szCs w:val="24"/>
        </w:rPr>
        <w:lastRenderedPageBreak/>
        <w:t xml:space="preserve">for payment of their salaries. This will make Heads of Institutions responsible for managing their own wages and salaries budgets and reduce the phenomenon of “ghost names” on the payroll. </w:t>
      </w:r>
    </w:p>
    <w:p w14:paraId="15723503" w14:textId="77777777" w:rsidR="00DD102E" w:rsidRPr="00301C1A" w:rsidRDefault="00DD102E" w:rsidP="00DD102E">
      <w:pPr>
        <w:spacing w:after="0" w:line="240" w:lineRule="auto"/>
        <w:contextualSpacing/>
        <w:jc w:val="both"/>
        <w:rPr>
          <w:rFonts w:ascii="Garamond" w:hAnsi="Garamond"/>
          <w:sz w:val="24"/>
          <w:szCs w:val="24"/>
        </w:rPr>
      </w:pPr>
    </w:p>
    <w:p w14:paraId="59686F0F" w14:textId="77777777" w:rsidR="00DD102E" w:rsidRPr="00301C1A" w:rsidRDefault="00DD102E" w:rsidP="00DD102E">
      <w:pPr>
        <w:spacing w:after="0" w:line="240" w:lineRule="auto"/>
        <w:contextualSpacing/>
        <w:jc w:val="both"/>
        <w:rPr>
          <w:rFonts w:ascii="Garamond" w:hAnsi="Garamond"/>
          <w:sz w:val="24"/>
          <w:szCs w:val="24"/>
        </w:rPr>
      </w:pPr>
      <w:r w:rsidRPr="00301C1A">
        <w:rPr>
          <w:rFonts w:ascii="Garamond" w:hAnsi="Garamond"/>
          <w:b/>
          <w:bCs/>
          <w:sz w:val="24"/>
          <w:szCs w:val="24"/>
        </w:rPr>
        <w:t>Electronic Pay Slips</w:t>
      </w:r>
      <w:r w:rsidRPr="00301C1A">
        <w:rPr>
          <w:rFonts w:ascii="Garamond" w:hAnsi="Garamond"/>
          <w:sz w:val="24"/>
          <w:szCs w:val="24"/>
        </w:rPr>
        <w:t>: To facilitate timely information on salaries paid to public sector employees, an Electronic Pay Slips System has been developed and deployed to MDAs to enable employees access their pay slips on mobile phones or computers with internet connectivity before they go to the bank.</w:t>
      </w:r>
    </w:p>
    <w:p w14:paraId="16796A6B" w14:textId="77777777" w:rsidR="00DD102E" w:rsidRPr="00301C1A" w:rsidRDefault="00DD102E" w:rsidP="00DD102E">
      <w:pPr>
        <w:spacing w:after="0" w:line="240" w:lineRule="auto"/>
        <w:contextualSpacing/>
        <w:jc w:val="both"/>
        <w:rPr>
          <w:rFonts w:ascii="Garamond" w:hAnsi="Garamond"/>
          <w:sz w:val="24"/>
          <w:szCs w:val="24"/>
        </w:rPr>
      </w:pPr>
    </w:p>
    <w:p w14:paraId="4AF447CA" w14:textId="77777777" w:rsidR="00724BAB" w:rsidRPr="00A27B56" w:rsidRDefault="00DD102E" w:rsidP="00A27B56">
      <w:pPr>
        <w:spacing w:after="0" w:line="240" w:lineRule="auto"/>
        <w:contextualSpacing/>
        <w:jc w:val="both"/>
        <w:rPr>
          <w:rFonts w:ascii="Garamond" w:hAnsi="Garamond"/>
          <w:sz w:val="24"/>
          <w:szCs w:val="24"/>
        </w:rPr>
      </w:pPr>
      <w:r w:rsidRPr="00301C1A">
        <w:rPr>
          <w:rFonts w:ascii="Garamond" w:hAnsi="Garamond"/>
          <w:i/>
          <w:sz w:val="24"/>
          <w:szCs w:val="24"/>
        </w:rPr>
        <w:t>Source:</w:t>
      </w:r>
      <w:r w:rsidRPr="00301C1A">
        <w:rPr>
          <w:rFonts w:ascii="Garamond" w:hAnsi="Garamond"/>
          <w:sz w:val="24"/>
          <w:szCs w:val="24"/>
        </w:rPr>
        <w:t xml:space="preserve"> Republic of Ghana (2013) Budget Statement and Economic Policy of the Ghana of Ghana for 2014.</w:t>
      </w:r>
    </w:p>
    <w:p w14:paraId="1872DDB6" w14:textId="77777777" w:rsidR="00724BAB" w:rsidRPr="005B372F" w:rsidRDefault="00FE6EF9" w:rsidP="00AD44DF">
      <w:pPr>
        <w:pStyle w:val="Heading2"/>
      </w:pPr>
      <w:bookmarkStart w:id="150" w:name="_Toc479624901"/>
      <w:r>
        <w:t>Annex</w:t>
      </w:r>
      <w:r w:rsidR="003B0AEF">
        <w:t xml:space="preserve"> </w:t>
      </w:r>
      <w:r w:rsidR="002A4C31">
        <w:t>3.2</w:t>
      </w:r>
      <w:bookmarkEnd w:id="150"/>
    </w:p>
    <w:p w14:paraId="09B053FB" w14:textId="77777777" w:rsidR="009D0EDC" w:rsidRDefault="002E0015" w:rsidP="009D0EDC">
      <w:pPr>
        <w:pStyle w:val="Figure2"/>
      </w:pPr>
      <w:r>
        <w:t xml:space="preserve">Figure </w:t>
      </w:r>
      <w:r w:rsidR="005C0067">
        <w:fldChar w:fldCharType="begin"/>
      </w:r>
      <w:r w:rsidR="005C0067">
        <w:instrText xml:space="preserve"> STYLEREF 1 \s </w:instrText>
      </w:r>
      <w:r w:rsidR="005C0067">
        <w:fldChar w:fldCharType="separate"/>
      </w:r>
      <w:r w:rsidR="007B1CE6">
        <w:rPr>
          <w:noProof/>
        </w:rPr>
        <w:t>3</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5</w:t>
      </w:r>
      <w:r w:rsidR="005C0067">
        <w:fldChar w:fldCharType="end"/>
      </w:r>
      <w:r>
        <w:t xml:space="preserve">: </w:t>
      </w:r>
      <w:r w:rsidR="00724BAB" w:rsidRPr="005B372F">
        <w:t>Level of Education by Employment Status</w:t>
      </w:r>
    </w:p>
    <w:p w14:paraId="4C9274E3" w14:textId="77777777" w:rsidR="00724BAB" w:rsidRPr="005B372F" w:rsidRDefault="00724BAB" w:rsidP="00A27B56">
      <w:pPr>
        <w:jc w:val="center"/>
        <w:rPr>
          <w:bCs/>
        </w:rPr>
      </w:pPr>
      <w:r w:rsidRPr="00A01E73">
        <w:rPr>
          <w:noProof/>
        </w:rPr>
        <w:drawing>
          <wp:inline distT="0" distB="0" distL="0" distR="0" wp14:anchorId="16037993" wp14:editId="1E5BA70A">
            <wp:extent cx="3756660" cy="2665994"/>
            <wp:effectExtent l="19050" t="19050" r="15240" b="20320"/>
            <wp:docPr id="19" name="Picture 19" descr="cid:image005.png@01D24198.575AD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24198.575AD250"/>
                    <pic:cNvPicPr>
                      <a:picLocks noChangeAspect="1" noChangeArrowheads="1"/>
                    </pic:cNvPicPr>
                  </pic:nvPicPr>
                  <pic:blipFill rotWithShape="1">
                    <a:blip r:embed="rId69" r:link="rId70" cstate="print">
                      <a:extLst>
                        <a:ext uri="{28A0092B-C50C-407E-A947-70E740481C1C}">
                          <a14:useLocalDpi xmlns:a14="http://schemas.microsoft.com/office/drawing/2010/main" val="0"/>
                        </a:ext>
                      </a:extLst>
                    </a:blip>
                    <a:srcRect l="1289" b="3755"/>
                    <a:stretch/>
                  </pic:blipFill>
                  <pic:spPr bwMode="auto">
                    <a:xfrm>
                      <a:off x="0" y="0"/>
                      <a:ext cx="3759562" cy="266805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99B04DA" w14:textId="77777777" w:rsidR="00724BAB" w:rsidRPr="005B372F" w:rsidRDefault="00724BAB" w:rsidP="00724BAB">
      <w:pPr>
        <w:pStyle w:val="Default"/>
        <w:ind w:left="720" w:firstLine="720"/>
        <w:rPr>
          <w:rFonts w:ascii="Garamond" w:hAnsi="Garamond"/>
          <w:sz w:val="20"/>
          <w:szCs w:val="20"/>
        </w:rPr>
      </w:pPr>
      <w:bookmarkStart w:id="151" w:name="_Toc418172907"/>
      <w:r w:rsidRPr="00B264B8">
        <w:rPr>
          <w:rFonts w:ascii="Garamond" w:hAnsi="Garamond"/>
          <w:i/>
          <w:sz w:val="20"/>
          <w:szCs w:val="20"/>
        </w:rPr>
        <w:t>Source</w:t>
      </w:r>
      <w:r w:rsidRPr="005B372F">
        <w:rPr>
          <w:rFonts w:ascii="Garamond" w:hAnsi="Garamond"/>
          <w:sz w:val="20"/>
          <w:szCs w:val="20"/>
        </w:rPr>
        <w:t>: World Bank Skills Report (Authors’ calculation based on the STEP survey</w:t>
      </w:r>
      <w:bookmarkEnd w:id="151"/>
      <w:r w:rsidRPr="005B372F">
        <w:rPr>
          <w:rFonts w:ascii="Garamond" w:hAnsi="Garamond"/>
          <w:sz w:val="20"/>
          <w:szCs w:val="20"/>
        </w:rPr>
        <w:t xml:space="preserve">) </w:t>
      </w:r>
    </w:p>
    <w:p w14:paraId="3B15F79C" w14:textId="77777777" w:rsidR="00724BAB" w:rsidRPr="005B372F" w:rsidRDefault="00724BAB" w:rsidP="00724BAB">
      <w:pPr>
        <w:pStyle w:val="Default"/>
        <w:spacing w:after="240"/>
        <w:ind w:left="720" w:firstLine="720"/>
        <w:rPr>
          <w:rFonts w:ascii="Garamond" w:hAnsi="Garamond"/>
          <w:sz w:val="20"/>
          <w:szCs w:val="20"/>
        </w:rPr>
      </w:pPr>
      <w:r w:rsidRPr="00B264B8">
        <w:rPr>
          <w:rFonts w:ascii="Garamond" w:hAnsi="Garamond"/>
          <w:i/>
          <w:sz w:val="20"/>
          <w:szCs w:val="20"/>
        </w:rPr>
        <w:t>Note</w:t>
      </w:r>
      <w:r w:rsidRPr="005B372F">
        <w:rPr>
          <w:rFonts w:ascii="Garamond" w:hAnsi="Garamond"/>
          <w:sz w:val="20"/>
          <w:szCs w:val="20"/>
        </w:rPr>
        <w:t>: Excludes people currently attending school.</w:t>
      </w:r>
    </w:p>
    <w:p w14:paraId="54C90266" w14:textId="77777777" w:rsidR="00724BAB" w:rsidRPr="005B372F" w:rsidRDefault="005E3B6E" w:rsidP="00724BAB">
      <w:pPr>
        <w:pStyle w:val="Caption"/>
        <w:rPr>
          <w:lang w:val="en-US"/>
        </w:rPr>
      </w:pPr>
      <w:bookmarkStart w:id="152" w:name="_Toc456978949"/>
      <w:bookmarkStart w:id="153" w:name="_Ref387150916"/>
      <w:bookmarkStart w:id="154" w:name="_Toc478837648"/>
      <w:bookmarkEnd w:id="152"/>
      <w:r>
        <w:t xml:space="preserve">Table </w:t>
      </w:r>
      <w:r w:rsidR="00500291">
        <w:fldChar w:fldCharType="begin"/>
      </w:r>
      <w:r w:rsidR="00500291">
        <w:instrText xml:space="preserve"> STYLEREF 1 \s </w:instrText>
      </w:r>
      <w:r w:rsidR="00500291">
        <w:fldChar w:fldCharType="separate"/>
      </w:r>
      <w:r w:rsidR="007B1CE6">
        <w:rPr>
          <w:noProof/>
        </w:rPr>
        <w:t>3</w:t>
      </w:r>
      <w:r w:rsidR="00500291">
        <w:fldChar w:fldCharType="end"/>
      </w:r>
      <w:r w:rsidR="00500291">
        <w:t>.</w:t>
      </w:r>
      <w:r w:rsidR="00500291">
        <w:fldChar w:fldCharType="begin"/>
      </w:r>
      <w:r w:rsidR="00500291">
        <w:instrText xml:space="preserve"> SEQ Table \* ARABIC \s 1 </w:instrText>
      </w:r>
      <w:r w:rsidR="00500291">
        <w:fldChar w:fldCharType="separate"/>
      </w:r>
      <w:r w:rsidR="007B1CE6">
        <w:rPr>
          <w:noProof/>
        </w:rPr>
        <w:t>11</w:t>
      </w:r>
      <w:r w:rsidR="00500291">
        <w:fldChar w:fldCharType="end"/>
      </w:r>
      <w:r>
        <w:t xml:space="preserve">: </w:t>
      </w:r>
      <w:bookmarkEnd w:id="153"/>
      <w:r w:rsidR="00724BAB" w:rsidRPr="005B372F">
        <w:rPr>
          <w:lang w:val="en-US"/>
        </w:rPr>
        <w:t>Enrolment in tertiary institutions (ESPR 2016)</w:t>
      </w:r>
      <w:bookmarkEnd w:id="154"/>
    </w:p>
    <w:tbl>
      <w:tblPr>
        <w:tblW w:w="9340" w:type="dxa"/>
        <w:jc w:val="center"/>
        <w:tblCellMar>
          <w:left w:w="0" w:type="dxa"/>
          <w:right w:w="0" w:type="dxa"/>
        </w:tblCellMar>
        <w:tblLook w:val="04A0" w:firstRow="1" w:lastRow="0" w:firstColumn="1" w:lastColumn="0" w:noHBand="0" w:noVBand="1"/>
      </w:tblPr>
      <w:tblGrid>
        <w:gridCol w:w="3142"/>
        <w:gridCol w:w="1006"/>
        <w:gridCol w:w="1006"/>
        <w:gridCol w:w="1036"/>
        <w:gridCol w:w="1000"/>
        <w:gridCol w:w="1144"/>
        <w:gridCol w:w="1006"/>
      </w:tblGrid>
      <w:tr w:rsidR="00724BAB" w:rsidRPr="009D2D83" w14:paraId="65891909" w14:textId="77777777" w:rsidTr="00E566F7">
        <w:trPr>
          <w:trHeight w:val="315"/>
          <w:jc w:val="center"/>
        </w:trPr>
        <w:tc>
          <w:tcPr>
            <w:tcW w:w="3142" w:type="dxa"/>
            <w:tcBorders>
              <w:top w:val="single" w:sz="8" w:space="0" w:color="auto"/>
              <w:left w:val="single" w:sz="8" w:space="0" w:color="auto"/>
              <w:bottom w:val="single" w:sz="12" w:space="0" w:color="auto"/>
              <w:right w:val="single" w:sz="8" w:space="0" w:color="auto"/>
            </w:tcBorders>
            <w:noWrap/>
            <w:tcMar>
              <w:top w:w="0" w:type="dxa"/>
              <w:left w:w="108" w:type="dxa"/>
              <w:bottom w:w="0" w:type="dxa"/>
              <w:right w:w="108" w:type="dxa"/>
            </w:tcMar>
            <w:vAlign w:val="center"/>
            <w:hideMark/>
          </w:tcPr>
          <w:p w14:paraId="3E6DDE05"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Details</w:t>
            </w:r>
          </w:p>
        </w:tc>
        <w:tc>
          <w:tcPr>
            <w:tcW w:w="1006" w:type="dxa"/>
            <w:tcBorders>
              <w:top w:val="single" w:sz="8" w:space="0" w:color="auto"/>
              <w:left w:val="nil"/>
              <w:bottom w:val="single" w:sz="12" w:space="0" w:color="auto"/>
              <w:right w:val="single" w:sz="8" w:space="0" w:color="auto"/>
            </w:tcBorders>
            <w:noWrap/>
            <w:tcMar>
              <w:top w:w="0" w:type="dxa"/>
              <w:left w:w="108" w:type="dxa"/>
              <w:bottom w:w="0" w:type="dxa"/>
              <w:right w:w="108" w:type="dxa"/>
            </w:tcMar>
            <w:vAlign w:val="center"/>
            <w:hideMark/>
          </w:tcPr>
          <w:p w14:paraId="17EB2CED"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2009/10</w:t>
            </w:r>
          </w:p>
        </w:tc>
        <w:tc>
          <w:tcPr>
            <w:tcW w:w="1006" w:type="dxa"/>
            <w:tcBorders>
              <w:top w:val="single" w:sz="8" w:space="0" w:color="auto"/>
              <w:left w:val="nil"/>
              <w:bottom w:val="single" w:sz="12" w:space="0" w:color="auto"/>
              <w:right w:val="single" w:sz="8" w:space="0" w:color="auto"/>
            </w:tcBorders>
            <w:noWrap/>
            <w:tcMar>
              <w:top w:w="0" w:type="dxa"/>
              <w:left w:w="108" w:type="dxa"/>
              <w:bottom w:w="0" w:type="dxa"/>
              <w:right w:w="108" w:type="dxa"/>
            </w:tcMar>
            <w:vAlign w:val="center"/>
            <w:hideMark/>
          </w:tcPr>
          <w:p w14:paraId="34274209"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2010/11</w:t>
            </w:r>
          </w:p>
        </w:tc>
        <w:tc>
          <w:tcPr>
            <w:tcW w:w="1036" w:type="dxa"/>
            <w:tcBorders>
              <w:top w:val="single" w:sz="8" w:space="0" w:color="auto"/>
              <w:left w:val="nil"/>
              <w:bottom w:val="single" w:sz="12" w:space="0" w:color="auto"/>
              <w:right w:val="single" w:sz="8" w:space="0" w:color="auto"/>
            </w:tcBorders>
            <w:noWrap/>
            <w:tcMar>
              <w:top w:w="0" w:type="dxa"/>
              <w:left w:w="108" w:type="dxa"/>
              <w:bottom w:w="0" w:type="dxa"/>
              <w:right w:w="108" w:type="dxa"/>
            </w:tcMar>
            <w:vAlign w:val="center"/>
            <w:hideMark/>
          </w:tcPr>
          <w:p w14:paraId="611D271D"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2011/12</w:t>
            </w:r>
          </w:p>
        </w:tc>
        <w:tc>
          <w:tcPr>
            <w:tcW w:w="1000" w:type="dxa"/>
            <w:tcBorders>
              <w:top w:val="single" w:sz="8" w:space="0" w:color="auto"/>
              <w:left w:val="nil"/>
              <w:bottom w:val="single" w:sz="12" w:space="0" w:color="auto"/>
              <w:right w:val="single" w:sz="8" w:space="0" w:color="auto"/>
            </w:tcBorders>
            <w:noWrap/>
            <w:tcMar>
              <w:top w:w="0" w:type="dxa"/>
              <w:left w:w="108" w:type="dxa"/>
              <w:bottom w:w="0" w:type="dxa"/>
              <w:right w:w="108" w:type="dxa"/>
            </w:tcMar>
            <w:vAlign w:val="center"/>
            <w:hideMark/>
          </w:tcPr>
          <w:p w14:paraId="36726731"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2012/13</w:t>
            </w:r>
          </w:p>
        </w:tc>
        <w:tc>
          <w:tcPr>
            <w:tcW w:w="1144" w:type="dxa"/>
            <w:tcBorders>
              <w:top w:val="single" w:sz="8" w:space="0" w:color="auto"/>
              <w:left w:val="nil"/>
              <w:bottom w:val="single" w:sz="12" w:space="0" w:color="auto"/>
              <w:right w:val="single" w:sz="8" w:space="0" w:color="auto"/>
            </w:tcBorders>
            <w:tcMar>
              <w:top w:w="0" w:type="dxa"/>
              <w:left w:w="108" w:type="dxa"/>
              <w:bottom w:w="0" w:type="dxa"/>
              <w:right w:w="108" w:type="dxa"/>
            </w:tcMar>
            <w:vAlign w:val="center"/>
            <w:hideMark/>
          </w:tcPr>
          <w:p w14:paraId="5DED8C9B"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2013/14</w:t>
            </w:r>
          </w:p>
        </w:tc>
        <w:tc>
          <w:tcPr>
            <w:tcW w:w="1006" w:type="dxa"/>
            <w:tcBorders>
              <w:top w:val="single" w:sz="8" w:space="0" w:color="auto"/>
              <w:left w:val="nil"/>
              <w:bottom w:val="single" w:sz="12" w:space="0" w:color="auto"/>
              <w:right w:val="single" w:sz="8" w:space="0" w:color="auto"/>
            </w:tcBorders>
            <w:tcMar>
              <w:top w:w="0" w:type="dxa"/>
              <w:left w:w="108" w:type="dxa"/>
              <w:bottom w:w="0" w:type="dxa"/>
              <w:right w:w="108" w:type="dxa"/>
            </w:tcMar>
            <w:vAlign w:val="center"/>
            <w:hideMark/>
          </w:tcPr>
          <w:p w14:paraId="7D37ECEC"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2014/15</w:t>
            </w:r>
          </w:p>
        </w:tc>
      </w:tr>
      <w:tr w:rsidR="00724BAB" w:rsidRPr="009D2D83" w14:paraId="324B7BB6" w14:textId="77777777" w:rsidTr="00E566F7">
        <w:trPr>
          <w:trHeight w:val="315"/>
          <w:jc w:val="center"/>
        </w:trPr>
        <w:tc>
          <w:tcPr>
            <w:tcW w:w="3142"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57925F7C"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Public Institutions</w:t>
            </w:r>
          </w:p>
        </w:tc>
        <w:tc>
          <w:tcPr>
            <w:tcW w:w="1006"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tcPr>
          <w:p w14:paraId="2566037F" w14:textId="77777777" w:rsidR="00724BAB" w:rsidRPr="009D2D83" w:rsidRDefault="00724BAB" w:rsidP="00E566F7">
            <w:pPr>
              <w:rPr>
                <w:rFonts w:ascii="Garamond" w:hAnsi="Garamond"/>
                <w:sz w:val="20"/>
                <w:szCs w:val="20"/>
                <w:lang w:eastAsia="en-GB"/>
              </w:rPr>
            </w:pPr>
          </w:p>
        </w:tc>
        <w:tc>
          <w:tcPr>
            <w:tcW w:w="1006"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tcPr>
          <w:p w14:paraId="55A0E4BE" w14:textId="77777777" w:rsidR="00724BAB" w:rsidRPr="009D2D83" w:rsidRDefault="00724BAB" w:rsidP="00E566F7">
            <w:pPr>
              <w:rPr>
                <w:rFonts w:ascii="Garamond" w:hAnsi="Garamond"/>
                <w:sz w:val="20"/>
                <w:szCs w:val="20"/>
                <w:lang w:eastAsia="en-GB"/>
              </w:rPr>
            </w:pPr>
          </w:p>
        </w:tc>
        <w:tc>
          <w:tcPr>
            <w:tcW w:w="1036"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tcPr>
          <w:p w14:paraId="1874436A" w14:textId="77777777" w:rsidR="00724BAB" w:rsidRPr="009D2D83" w:rsidRDefault="00724BAB" w:rsidP="00E566F7">
            <w:pPr>
              <w:rPr>
                <w:rFonts w:ascii="Garamond" w:hAnsi="Garamond"/>
                <w:sz w:val="20"/>
                <w:szCs w:val="20"/>
                <w:lang w:eastAsia="en-GB"/>
              </w:rPr>
            </w:pPr>
          </w:p>
        </w:tc>
        <w:tc>
          <w:tcPr>
            <w:tcW w:w="1000"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tcPr>
          <w:p w14:paraId="3F4AECAF" w14:textId="77777777" w:rsidR="00724BAB" w:rsidRPr="009D2D83" w:rsidRDefault="00724BAB" w:rsidP="00E566F7">
            <w:pPr>
              <w:rPr>
                <w:rFonts w:ascii="Garamond" w:hAnsi="Garamond"/>
                <w:sz w:val="20"/>
                <w:szCs w:val="20"/>
                <w:lang w:eastAsia="en-GB"/>
              </w:rPr>
            </w:pPr>
          </w:p>
        </w:tc>
        <w:tc>
          <w:tcPr>
            <w:tcW w:w="114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3866D1BD" w14:textId="77777777" w:rsidR="00724BAB" w:rsidRPr="009D2D83" w:rsidRDefault="00724BAB" w:rsidP="00E566F7">
            <w:pPr>
              <w:rPr>
                <w:rFonts w:ascii="Garamond" w:hAnsi="Garamond"/>
                <w:sz w:val="20"/>
                <w:szCs w:val="20"/>
                <w:lang w:eastAsia="en-GB"/>
              </w:rPr>
            </w:pPr>
          </w:p>
        </w:tc>
        <w:tc>
          <w:tcPr>
            <w:tcW w:w="100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5B89032B" w14:textId="77777777" w:rsidR="00724BAB" w:rsidRPr="009D2D83" w:rsidRDefault="00724BAB" w:rsidP="00E566F7">
            <w:pPr>
              <w:rPr>
                <w:rFonts w:ascii="Garamond" w:hAnsi="Garamond"/>
                <w:sz w:val="20"/>
                <w:szCs w:val="20"/>
                <w:lang w:eastAsia="en-GB"/>
              </w:rPr>
            </w:pPr>
          </w:p>
        </w:tc>
      </w:tr>
      <w:tr w:rsidR="00724BAB" w:rsidRPr="009D2D83" w14:paraId="41DD823F" w14:textId="77777777" w:rsidTr="00E566F7">
        <w:trPr>
          <w:trHeight w:val="315"/>
          <w:jc w:val="center"/>
        </w:trPr>
        <w:tc>
          <w:tcPr>
            <w:tcW w:w="31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4D5CEF6"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Public Universities</w:t>
            </w:r>
          </w:p>
        </w:tc>
        <w:tc>
          <w:tcPr>
            <w:tcW w:w="10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715EAC"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107,058</w:t>
            </w:r>
          </w:p>
        </w:tc>
        <w:tc>
          <w:tcPr>
            <w:tcW w:w="10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49EC3D"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115,452</w:t>
            </w:r>
          </w:p>
        </w:tc>
        <w:tc>
          <w:tcPr>
            <w:tcW w:w="10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F8AE62"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109,278</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46D7B7"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128,326</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CE79D3"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138,416</w:t>
            </w:r>
          </w:p>
        </w:tc>
        <w:tc>
          <w:tcPr>
            <w:tcW w:w="10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244E53"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147,180</w:t>
            </w:r>
          </w:p>
        </w:tc>
      </w:tr>
      <w:tr w:rsidR="00724BAB" w:rsidRPr="009D2D83" w14:paraId="7C957CFF" w14:textId="77777777" w:rsidTr="00E566F7">
        <w:trPr>
          <w:trHeight w:val="315"/>
          <w:jc w:val="center"/>
        </w:trPr>
        <w:tc>
          <w:tcPr>
            <w:tcW w:w="31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DA7849"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Polytechnics</w:t>
            </w:r>
          </w:p>
        </w:tc>
        <w:tc>
          <w:tcPr>
            <w:tcW w:w="10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D457AB5"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46,079</w:t>
            </w:r>
          </w:p>
        </w:tc>
        <w:tc>
          <w:tcPr>
            <w:tcW w:w="10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816B0F"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43,113</w:t>
            </w:r>
          </w:p>
        </w:tc>
        <w:tc>
          <w:tcPr>
            <w:tcW w:w="10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F521A7"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47,294</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18B93F"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53,078</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7547E"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54,897</w:t>
            </w:r>
          </w:p>
        </w:tc>
        <w:tc>
          <w:tcPr>
            <w:tcW w:w="10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13EDD"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53,978</w:t>
            </w:r>
          </w:p>
        </w:tc>
      </w:tr>
      <w:tr w:rsidR="00724BAB" w:rsidRPr="009D2D83" w14:paraId="313D5FBD" w14:textId="77777777" w:rsidTr="00E566F7">
        <w:trPr>
          <w:trHeight w:val="315"/>
          <w:jc w:val="center"/>
        </w:trPr>
        <w:tc>
          <w:tcPr>
            <w:tcW w:w="31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DE9453D"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Colleges of Education (Public)</w:t>
            </w:r>
          </w:p>
        </w:tc>
        <w:tc>
          <w:tcPr>
            <w:tcW w:w="10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11FFB7"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26,861</w:t>
            </w:r>
          </w:p>
        </w:tc>
        <w:tc>
          <w:tcPr>
            <w:tcW w:w="10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8BDF0E"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26,703</w:t>
            </w:r>
          </w:p>
        </w:tc>
        <w:tc>
          <w:tcPr>
            <w:tcW w:w="10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F8F22D"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27,580</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6F9D3D"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27,906</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EFEE6D"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33,526</w:t>
            </w:r>
          </w:p>
        </w:tc>
        <w:tc>
          <w:tcPr>
            <w:tcW w:w="10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9A8717"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36,563</w:t>
            </w:r>
          </w:p>
        </w:tc>
      </w:tr>
      <w:tr w:rsidR="00724BAB" w:rsidRPr="009D2D83" w14:paraId="6C32CE8F" w14:textId="77777777" w:rsidTr="00E566F7">
        <w:trPr>
          <w:trHeight w:val="315"/>
          <w:jc w:val="center"/>
        </w:trPr>
        <w:tc>
          <w:tcPr>
            <w:tcW w:w="3142"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A8E9C18"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Specialized/Professional Institutions</w:t>
            </w:r>
          </w:p>
        </w:tc>
        <w:tc>
          <w:tcPr>
            <w:tcW w:w="10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0714AA" w14:textId="77777777" w:rsidR="00724BAB" w:rsidRPr="009D2D83" w:rsidRDefault="00724BAB" w:rsidP="00E566F7">
            <w:pPr>
              <w:rPr>
                <w:rFonts w:ascii="Garamond" w:hAnsi="Garamond"/>
                <w:sz w:val="20"/>
                <w:szCs w:val="20"/>
                <w:lang w:eastAsia="en-GB"/>
              </w:rPr>
            </w:pPr>
          </w:p>
        </w:tc>
        <w:tc>
          <w:tcPr>
            <w:tcW w:w="100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B0B6B1" w14:textId="77777777" w:rsidR="00724BAB" w:rsidRPr="009D2D83" w:rsidRDefault="00724BAB" w:rsidP="00E566F7">
            <w:pPr>
              <w:rPr>
                <w:rFonts w:ascii="Garamond" w:eastAsia="Times New Roman" w:hAnsi="Garamond"/>
                <w:sz w:val="20"/>
                <w:szCs w:val="20"/>
              </w:rPr>
            </w:pPr>
          </w:p>
        </w:tc>
        <w:tc>
          <w:tcPr>
            <w:tcW w:w="10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5D84BC"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14,951</w:t>
            </w:r>
          </w:p>
        </w:tc>
        <w:tc>
          <w:tcPr>
            <w:tcW w:w="10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B9F15F"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7,715</w:t>
            </w:r>
          </w:p>
        </w:tc>
        <w:tc>
          <w:tcPr>
            <w:tcW w:w="11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6D9185"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11,735</w:t>
            </w:r>
          </w:p>
        </w:tc>
        <w:tc>
          <w:tcPr>
            <w:tcW w:w="10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746425"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10,786</w:t>
            </w:r>
          </w:p>
        </w:tc>
      </w:tr>
      <w:tr w:rsidR="00724BAB" w:rsidRPr="009D2D83" w14:paraId="2DECBC81" w14:textId="77777777" w:rsidTr="00E566F7">
        <w:trPr>
          <w:trHeight w:val="315"/>
          <w:jc w:val="center"/>
        </w:trPr>
        <w:tc>
          <w:tcPr>
            <w:tcW w:w="3142" w:type="dxa"/>
            <w:tcBorders>
              <w:top w:val="nil"/>
              <w:left w:val="single" w:sz="8" w:space="0" w:color="auto"/>
              <w:bottom w:val="single" w:sz="12" w:space="0" w:color="auto"/>
              <w:right w:val="single" w:sz="8" w:space="0" w:color="auto"/>
            </w:tcBorders>
            <w:noWrap/>
            <w:tcMar>
              <w:top w:w="0" w:type="dxa"/>
              <w:left w:w="108" w:type="dxa"/>
              <w:bottom w:w="0" w:type="dxa"/>
              <w:right w:w="108" w:type="dxa"/>
            </w:tcMar>
            <w:vAlign w:val="center"/>
            <w:hideMark/>
          </w:tcPr>
          <w:p w14:paraId="742B2C19"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Total Public Institutions</w:t>
            </w:r>
          </w:p>
        </w:tc>
        <w:tc>
          <w:tcPr>
            <w:tcW w:w="1006" w:type="dxa"/>
            <w:tcBorders>
              <w:top w:val="nil"/>
              <w:left w:val="nil"/>
              <w:bottom w:val="single" w:sz="12" w:space="0" w:color="auto"/>
              <w:right w:val="single" w:sz="8" w:space="0" w:color="auto"/>
            </w:tcBorders>
            <w:noWrap/>
            <w:tcMar>
              <w:top w:w="0" w:type="dxa"/>
              <w:left w:w="108" w:type="dxa"/>
              <w:bottom w:w="0" w:type="dxa"/>
              <w:right w:w="108" w:type="dxa"/>
            </w:tcMar>
            <w:vAlign w:val="center"/>
            <w:hideMark/>
          </w:tcPr>
          <w:p w14:paraId="3747A781"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179,998</w:t>
            </w:r>
          </w:p>
        </w:tc>
        <w:tc>
          <w:tcPr>
            <w:tcW w:w="1006" w:type="dxa"/>
            <w:tcBorders>
              <w:top w:val="nil"/>
              <w:left w:val="nil"/>
              <w:bottom w:val="single" w:sz="12" w:space="0" w:color="auto"/>
              <w:right w:val="single" w:sz="8" w:space="0" w:color="auto"/>
            </w:tcBorders>
            <w:noWrap/>
            <w:tcMar>
              <w:top w:w="0" w:type="dxa"/>
              <w:left w:w="108" w:type="dxa"/>
              <w:bottom w:w="0" w:type="dxa"/>
              <w:right w:w="108" w:type="dxa"/>
            </w:tcMar>
            <w:vAlign w:val="center"/>
            <w:hideMark/>
          </w:tcPr>
          <w:p w14:paraId="52F1D368"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185,268</w:t>
            </w:r>
          </w:p>
        </w:tc>
        <w:tc>
          <w:tcPr>
            <w:tcW w:w="1036" w:type="dxa"/>
            <w:tcBorders>
              <w:top w:val="nil"/>
              <w:left w:val="nil"/>
              <w:bottom w:val="single" w:sz="12" w:space="0" w:color="auto"/>
              <w:right w:val="single" w:sz="8" w:space="0" w:color="auto"/>
            </w:tcBorders>
            <w:noWrap/>
            <w:tcMar>
              <w:top w:w="0" w:type="dxa"/>
              <w:left w:w="108" w:type="dxa"/>
              <w:bottom w:w="0" w:type="dxa"/>
              <w:right w:w="108" w:type="dxa"/>
            </w:tcMar>
            <w:vAlign w:val="center"/>
            <w:hideMark/>
          </w:tcPr>
          <w:p w14:paraId="22482AEE"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202,063</w:t>
            </w:r>
          </w:p>
        </w:tc>
        <w:tc>
          <w:tcPr>
            <w:tcW w:w="1000" w:type="dxa"/>
            <w:tcBorders>
              <w:top w:val="nil"/>
              <w:left w:val="nil"/>
              <w:bottom w:val="single" w:sz="12" w:space="0" w:color="auto"/>
              <w:right w:val="single" w:sz="8" w:space="0" w:color="auto"/>
            </w:tcBorders>
            <w:noWrap/>
            <w:tcMar>
              <w:top w:w="0" w:type="dxa"/>
              <w:left w:w="108" w:type="dxa"/>
              <w:bottom w:w="0" w:type="dxa"/>
              <w:right w:w="108" w:type="dxa"/>
            </w:tcMar>
            <w:vAlign w:val="center"/>
            <w:hideMark/>
          </w:tcPr>
          <w:p w14:paraId="45A3A063"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221,632</w:t>
            </w:r>
          </w:p>
        </w:tc>
        <w:tc>
          <w:tcPr>
            <w:tcW w:w="1144"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14:paraId="314CCB16"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238,574</w:t>
            </w:r>
          </w:p>
        </w:tc>
        <w:tc>
          <w:tcPr>
            <w:tcW w:w="1006"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14:paraId="6A17CBA7"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248,507</w:t>
            </w:r>
          </w:p>
        </w:tc>
      </w:tr>
      <w:tr w:rsidR="00724BAB" w:rsidRPr="009D2D83" w14:paraId="7D122903" w14:textId="77777777" w:rsidTr="00E566F7">
        <w:trPr>
          <w:trHeight w:val="315"/>
          <w:jc w:val="center"/>
        </w:trPr>
        <w:tc>
          <w:tcPr>
            <w:tcW w:w="3142"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6E087DD9"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Private Institutions</w:t>
            </w:r>
          </w:p>
        </w:tc>
        <w:tc>
          <w:tcPr>
            <w:tcW w:w="1006"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tcPr>
          <w:p w14:paraId="56D0D7A1" w14:textId="77777777" w:rsidR="00724BAB" w:rsidRPr="009D2D83" w:rsidRDefault="00724BAB" w:rsidP="00E566F7">
            <w:pPr>
              <w:rPr>
                <w:rFonts w:ascii="Garamond" w:hAnsi="Garamond"/>
                <w:sz w:val="20"/>
                <w:szCs w:val="20"/>
                <w:lang w:eastAsia="en-GB"/>
              </w:rPr>
            </w:pPr>
          </w:p>
        </w:tc>
        <w:tc>
          <w:tcPr>
            <w:tcW w:w="1006"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tcPr>
          <w:p w14:paraId="24ED279D" w14:textId="77777777" w:rsidR="00724BAB" w:rsidRPr="009D2D83" w:rsidRDefault="00724BAB" w:rsidP="00E566F7">
            <w:pPr>
              <w:rPr>
                <w:rFonts w:ascii="Garamond" w:hAnsi="Garamond"/>
                <w:sz w:val="20"/>
                <w:szCs w:val="20"/>
                <w:lang w:eastAsia="en-GB"/>
              </w:rPr>
            </w:pPr>
          </w:p>
        </w:tc>
        <w:tc>
          <w:tcPr>
            <w:tcW w:w="1036"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tcPr>
          <w:p w14:paraId="391569A2" w14:textId="77777777" w:rsidR="00724BAB" w:rsidRPr="009D2D83" w:rsidRDefault="00724BAB" w:rsidP="00E566F7">
            <w:pPr>
              <w:rPr>
                <w:rFonts w:ascii="Garamond" w:hAnsi="Garamond"/>
                <w:sz w:val="20"/>
                <w:szCs w:val="20"/>
                <w:lang w:eastAsia="en-GB"/>
              </w:rPr>
            </w:pPr>
          </w:p>
        </w:tc>
        <w:tc>
          <w:tcPr>
            <w:tcW w:w="1000"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tcPr>
          <w:p w14:paraId="05823D27" w14:textId="77777777" w:rsidR="00724BAB" w:rsidRPr="009D2D83" w:rsidRDefault="00724BAB" w:rsidP="00E566F7">
            <w:pPr>
              <w:rPr>
                <w:rFonts w:ascii="Garamond" w:hAnsi="Garamond"/>
                <w:sz w:val="20"/>
                <w:szCs w:val="20"/>
                <w:lang w:eastAsia="en-GB"/>
              </w:rPr>
            </w:pPr>
          </w:p>
        </w:tc>
        <w:tc>
          <w:tcPr>
            <w:tcW w:w="114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070B7B7" w14:textId="77777777" w:rsidR="00724BAB" w:rsidRPr="009D2D83" w:rsidRDefault="00724BAB" w:rsidP="00E566F7">
            <w:pPr>
              <w:rPr>
                <w:rFonts w:ascii="Garamond" w:hAnsi="Garamond"/>
                <w:sz w:val="20"/>
                <w:szCs w:val="20"/>
                <w:lang w:eastAsia="en-GB"/>
              </w:rPr>
            </w:pPr>
          </w:p>
        </w:tc>
        <w:tc>
          <w:tcPr>
            <w:tcW w:w="100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2F44CA50" w14:textId="77777777" w:rsidR="00724BAB" w:rsidRPr="009D2D83" w:rsidRDefault="00724BAB" w:rsidP="00E566F7">
            <w:pPr>
              <w:rPr>
                <w:rFonts w:ascii="Garamond" w:hAnsi="Garamond"/>
                <w:sz w:val="20"/>
                <w:szCs w:val="20"/>
                <w:lang w:eastAsia="en-GB"/>
              </w:rPr>
            </w:pPr>
          </w:p>
        </w:tc>
      </w:tr>
      <w:tr w:rsidR="00724BAB" w:rsidRPr="009D2D83" w14:paraId="3F84651F" w14:textId="77777777" w:rsidTr="00E566F7">
        <w:trPr>
          <w:trHeight w:val="315"/>
          <w:jc w:val="center"/>
        </w:trPr>
        <w:tc>
          <w:tcPr>
            <w:tcW w:w="3142" w:type="dxa"/>
            <w:tcBorders>
              <w:top w:val="nil"/>
              <w:left w:val="single" w:sz="8" w:space="0" w:color="auto"/>
              <w:bottom w:val="single" w:sz="12" w:space="0" w:color="auto"/>
              <w:right w:val="single" w:sz="8" w:space="0" w:color="auto"/>
            </w:tcBorders>
            <w:noWrap/>
            <w:tcMar>
              <w:top w:w="0" w:type="dxa"/>
              <w:left w:w="108" w:type="dxa"/>
              <w:bottom w:w="0" w:type="dxa"/>
              <w:right w:w="108" w:type="dxa"/>
            </w:tcMar>
            <w:vAlign w:val="center"/>
            <w:hideMark/>
          </w:tcPr>
          <w:p w14:paraId="3CBC6302"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lastRenderedPageBreak/>
              <w:t>Total Private Institutions*</w:t>
            </w:r>
          </w:p>
        </w:tc>
        <w:tc>
          <w:tcPr>
            <w:tcW w:w="1006" w:type="dxa"/>
            <w:tcBorders>
              <w:top w:val="nil"/>
              <w:left w:val="nil"/>
              <w:bottom w:val="single" w:sz="12" w:space="0" w:color="auto"/>
              <w:right w:val="single" w:sz="8" w:space="0" w:color="auto"/>
            </w:tcBorders>
            <w:noWrap/>
            <w:tcMar>
              <w:top w:w="0" w:type="dxa"/>
              <w:left w:w="108" w:type="dxa"/>
              <w:bottom w:w="0" w:type="dxa"/>
              <w:right w:w="108" w:type="dxa"/>
            </w:tcMar>
            <w:vAlign w:val="center"/>
          </w:tcPr>
          <w:p w14:paraId="222F1494" w14:textId="77777777" w:rsidR="00724BAB" w:rsidRPr="009D2D83" w:rsidRDefault="00724BAB" w:rsidP="00E566F7">
            <w:pPr>
              <w:rPr>
                <w:rFonts w:ascii="Garamond" w:hAnsi="Garamond"/>
                <w:sz w:val="20"/>
                <w:szCs w:val="20"/>
                <w:lang w:eastAsia="en-GB"/>
              </w:rPr>
            </w:pPr>
          </w:p>
        </w:tc>
        <w:tc>
          <w:tcPr>
            <w:tcW w:w="1006" w:type="dxa"/>
            <w:tcBorders>
              <w:top w:val="nil"/>
              <w:left w:val="nil"/>
              <w:bottom w:val="single" w:sz="12" w:space="0" w:color="auto"/>
              <w:right w:val="single" w:sz="8" w:space="0" w:color="auto"/>
            </w:tcBorders>
            <w:noWrap/>
            <w:tcMar>
              <w:top w:w="0" w:type="dxa"/>
              <w:left w:w="108" w:type="dxa"/>
              <w:bottom w:w="0" w:type="dxa"/>
              <w:right w:w="108" w:type="dxa"/>
            </w:tcMar>
            <w:vAlign w:val="center"/>
            <w:hideMark/>
          </w:tcPr>
          <w:p w14:paraId="033524DF"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32,275</w:t>
            </w:r>
          </w:p>
        </w:tc>
        <w:tc>
          <w:tcPr>
            <w:tcW w:w="1036" w:type="dxa"/>
            <w:tcBorders>
              <w:top w:val="nil"/>
              <w:left w:val="nil"/>
              <w:bottom w:val="single" w:sz="12" w:space="0" w:color="auto"/>
              <w:right w:val="single" w:sz="8" w:space="0" w:color="auto"/>
            </w:tcBorders>
            <w:noWrap/>
            <w:tcMar>
              <w:top w:w="0" w:type="dxa"/>
              <w:left w:w="108" w:type="dxa"/>
              <w:bottom w:w="0" w:type="dxa"/>
              <w:right w:w="108" w:type="dxa"/>
            </w:tcMar>
            <w:vAlign w:val="center"/>
            <w:hideMark/>
          </w:tcPr>
          <w:p w14:paraId="28D42DD8"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59,899</w:t>
            </w:r>
          </w:p>
        </w:tc>
        <w:tc>
          <w:tcPr>
            <w:tcW w:w="1000" w:type="dxa"/>
            <w:tcBorders>
              <w:top w:val="nil"/>
              <w:left w:val="nil"/>
              <w:bottom w:val="single" w:sz="12" w:space="0" w:color="auto"/>
              <w:right w:val="single" w:sz="8" w:space="0" w:color="auto"/>
            </w:tcBorders>
            <w:noWrap/>
            <w:tcMar>
              <w:top w:w="0" w:type="dxa"/>
              <w:left w:w="108" w:type="dxa"/>
              <w:bottom w:w="0" w:type="dxa"/>
              <w:right w:w="108" w:type="dxa"/>
            </w:tcMar>
            <w:vAlign w:val="center"/>
            <w:hideMark/>
          </w:tcPr>
          <w:p w14:paraId="6EEF7F1A"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61,874</w:t>
            </w:r>
          </w:p>
        </w:tc>
        <w:tc>
          <w:tcPr>
            <w:tcW w:w="1144"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14:paraId="74EBEBCC"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75,272</w:t>
            </w:r>
          </w:p>
        </w:tc>
        <w:tc>
          <w:tcPr>
            <w:tcW w:w="1006" w:type="dxa"/>
            <w:tcBorders>
              <w:top w:val="nil"/>
              <w:left w:val="nil"/>
              <w:bottom w:val="single" w:sz="12" w:space="0" w:color="auto"/>
              <w:right w:val="single" w:sz="8" w:space="0" w:color="auto"/>
            </w:tcBorders>
            <w:tcMar>
              <w:top w:w="0" w:type="dxa"/>
              <w:left w:w="108" w:type="dxa"/>
              <w:bottom w:w="0" w:type="dxa"/>
              <w:right w:w="108" w:type="dxa"/>
            </w:tcMar>
            <w:vAlign w:val="center"/>
            <w:hideMark/>
          </w:tcPr>
          <w:p w14:paraId="19C1EBEB"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72,239</w:t>
            </w:r>
          </w:p>
        </w:tc>
      </w:tr>
      <w:tr w:rsidR="00724BAB" w:rsidRPr="009D2D83" w14:paraId="5056236E" w14:textId="77777777" w:rsidTr="00E566F7">
        <w:trPr>
          <w:trHeight w:val="315"/>
          <w:jc w:val="center"/>
        </w:trPr>
        <w:tc>
          <w:tcPr>
            <w:tcW w:w="3142" w:type="dxa"/>
            <w:tcBorders>
              <w:top w:val="nil"/>
              <w:left w:val="single" w:sz="8" w:space="0" w:color="auto"/>
              <w:bottom w:val="single" w:sz="8" w:space="0" w:color="auto"/>
              <w:right w:val="single" w:sz="8" w:space="0" w:color="auto"/>
            </w:tcBorders>
            <w:shd w:val="clear" w:color="auto" w:fill="A6A6A6"/>
            <w:noWrap/>
            <w:tcMar>
              <w:top w:w="0" w:type="dxa"/>
              <w:left w:w="108" w:type="dxa"/>
              <w:bottom w:w="0" w:type="dxa"/>
              <w:right w:w="108" w:type="dxa"/>
            </w:tcMar>
            <w:vAlign w:val="center"/>
            <w:hideMark/>
          </w:tcPr>
          <w:p w14:paraId="55282C6E"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Total tertiary enrolment</w:t>
            </w:r>
          </w:p>
        </w:tc>
        <w:tc>
          <w:tcPr>
            <w:tcW w:w="1006"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center"/>
            <w:hideMark/>
          </w:tcPr>
          <w:p w14:paraId="013D4D75" w14:textId="77777777" w:rsidR="00724BAB" w:rsidRPr="009D2D83" w:rsidRDefault="00724BAB" w:rsidP="00E566F7">
            <w:pPr>
              <w:rPr>
                <w:rFonts w:ascii="Garamond" w:hAnsi="Garamond"/>
                <w:sz w:val="20"/>
                <w:szCs w:val="20"/>
                <w:lang w:eastAsia="en-GB"/>
              </w:rPr>
            </w:pPr>
          </w:p>
        </w:tc>
        <w:tc>
          <w:tcPr>
            <w:tcW w:w="1006"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center"/>
            <w:hideMark/>
          </w:tcPr>
          <w:p w14:paraId="27D13EA6"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217,543</w:t>
            </w:r>
          </w:p>
        </w:tc>
        <w:tc>
          <w:tcPr>
            <w:tcW w:w="1036"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center"/>
            <w:hideMark/>
          </w:tcPr>
          <w:p w14:paraId="215D222D"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261,962</w:t>
            </w:r>
          </w:p>
        </w:tc>
        <w:tc>
          <w:tcPr>
            <w:tcW w:w="1000" w:type="dxa"/>
            <w:tcBorders>
              <w:top w:val="nil"/>
              <w:left w:val="nil"/>
              <w:bottom w:val="single" w:sz="8" w:space="0" w:color="auto"/>
              <w:right w:val="single" w:sz="8" w:space="0" w:color="auto"/>
            </w:tcBorders>
            <w:shd w:val="clear" w:color="auto" w:fill="A6A6A6"/>
            <w:noWrap/>
            <w:tcMar>
              <w:top w:w="0" w:type="dxa"/>
              <w:left w:w="108" w:type="dxa"/>
              <w:bottom w:w="0" w:type="dxa"/>
              <w:right w:w="108" w:type="dxa"/>
            </w:tcMar>
            <w:vAlign w:val="center"/>
            <w:hideMark/>
          </w:tcPr>
          <w:p w14:paraId="0CF4DC59"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283,506</w:t>
            </w:r>
          </w:p>
        </w:tc>
        <w:tc>
          <w:tcPr>
            <w:tcW w:w="1144"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28B602CF"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313,846</w:t>
            </w:r>
          </w:p>
        </w:tc>
        <w:tc>
          <w:tcPr>
            <w:tcW w:w="1006"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6996916E"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320,746</w:t>
            </w:r>
          </w:p>
        </w:tc>
      </w:tr>
      <w:tr w:rsidR="00724BAB" w:rsidRPr="009D2D83" w14:paraId="1A2BAC27" w14:textId="77777777" w:rsidTr="00E566F7">
        <w:trPr>
          <w:trHeight w:val="315"/>
          <w:jc w:val="center"/>
        </w:trPr>
        <w:tc>
          <w:tcPr>
            <w:tcW w:w="9340"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9A1BDD" w14:textId="77777777" w:rsidR="00724BAB" w:rsidRPr="009D2D83" w:rsidRDefault="00724BAB" w:rsidP="00E566F7">
            <w:pPr>
              <w:rPr>
                <w:rFonts w:ascii="Garamond" w:hAnsi="Garamond"/>
                <w:sz w:val="20"/>
                <w:szCs w:val="20"/>
                <w:lang w:eastAsia="en-GB"/>
              </w:rPr>
            </w:pPr>
            <w:r w:rsidRPr="009D2D83">
              <w:rPr>
                <w:rFonts w:ascii="Garamond" w:hAnsi="Garamond"/>
                <w:sz w:val="20"/>
                <w:szCs w:val="20"/>
                <w:lang w:eastAsia="en-GB"/>
              </w:rPr>
              <w:t>*includes: private universities and private Colleges of Education</w:t>
            </w:r>
          </w:p>
        </w:tc>
      </w:tr>
    </w:tbl>
    <w:p w14:paraId="187816DB" w14:textId="77777777" w:rsidR="005306F1" w:rsidRDefault="005306F1" w:rsidP="00724BAB"/>
    <w:p w14:paraId="52119C5C" w14:textId="77777777" w:rsidR="005306F1" w:rsidRDefault="005306F1">
      <w:r>
        <w:br w:type="page"/>
      </w:r>
    </w:p>
    <w:p w14:paraId="08A8563C" w14:textId="77777777" w:rsidR="001F21D2" w:rsidRPr="004255EE" w:rsidRDefault="000E7654" w:rsidP="00B33493">
      <w:pPr>
        <w:pStyle w:val="Heading1"/>
      </w:pPr>
      <w:bookmarkStart w:id="155" w:name="_Toc479624902"/>
      <w:r>
        <w:lastRenderedPageBreak/>
        <w:t>Bu</w:t>
      </w:r>
      <w:r w:rsidR="00E00FDA">
        <w:t>I</w:t>
      </w:r>
      <w:r>
        <w:t>lding Human Capital through Investment in the Public Education and Health Sectors</w:t>
      </w:r>
      <w:bookmarkEnd w:id="155"/>
    </w:p>
    <w:p w14:paraId="3D00E2FC" w14:textId="77777777" w:rsidR="008B281B" w:rsidRDefault="008B281B" w:rsidP="008B281B">
      <w:pPr>
        <w:pStyle w:val="ListParagraph"/>
        <w:numPr>
          <w:ilvl w:val="0"/>
          <w:numId w:val="0"/>
        </w:numPr>
        <w:pBdr>
          <w:top w:val="single" w:sz="4" w:space="1" w:color="auto"/>
          <w:left w:val="single" w:sz="4" w:space="4" w:color="auto"/>
          <w:bottom w:val="single" w:sz="4" w:space="1" w:color="auto"/>
          <w:right w:val="single" w:sz="4" w:space="4" w:color="auto"/>
        </w:pBdr>
        <w:shd w:val="clear" w:color="auto" w:fill="DBDBDB" w:themeFill="accent3" w:themeFillTint="66"/>
      </w:pPr>
      <w:r>
        <w:t>Sustainable and inclusive long-term growth requires a healthy, educated labor force with the skills and flexibility necessary to meet the evolving demands of a dynamic economy. Robust investment in human capital, complemented by high-quality physical infrastructure and an efficient, sophisticated public administration, is essential to increase labor productivity. Recognizing the foundational role of human capital formation in economic growth and development, the Government of Ghana devotes a large share of its budget to the health and education sectors. Over the last five years, public spending on health and education have accounted for an average of 25 and 8 percent of the central government budget, respectively. While Ghana’s education budget compares favorably with those of peer countries, its health spending is relatively modest.</w:t>
      </w:r>
    </w:p>
    <w:p w14:paraId="6610B74F" w14:textId="77777777" w:rsidR="008B281B" w:rsidRDefault="008B281B" w:rsidP="008B281B">
      <w:pPr>
        <w:pStyle w:val="ListParagraph"/>
        <w:numPr>
          <w:ilvl w:val="0"/>
          <w:numId w:val="0"/>
        </w:numPr>
        <w:pBdr>
          <w:top w:val="single" w:sz="4" w:space="1" w:color="auto"/>
          <w:left w:val="single" w:sz="4" w:space="4" w:color="auto"/>
          <w:bottom w:val="single" w:sz="4" w:space="1" w:color="auto"/>
          <w:right w:val="single" w:sz="4" w:space="4" w:color="auto"/>
        </w:pBdr>
        <w:shd w:val="clear" w:color="auto" w:fill="DBDBDB" w:themeFill="accent3" w:themeFillTint="66"/>
      </w:pPr>
      <w:r>
        <w:t xml:space="preserve">Total public spending on health and education has steadily increased in nominal terms to address a growing demand for social services. A dramatic rise in public employment has facilitated the rapid expansion of education and health services, and the wage bill has driven the growth of public spending in both sectors. However, as the quantity of public education and health services has increased, the quality of those services has diminished. </w:t>
      </w:r>
    </w:p>
    <w:p w14:paraId="2A5542C5" w14:textId="77777777" w:rsidR="000A09C9" w:rsidRDefault="008B281B" w:rsidP="008B281B">
      <w:pPr>
        <w:pStyle w:val="ListParagraph"/>
        <w:numPr>
          <w:ilvl w:val="0"/>
          <w:numId w:val="0"/>
        </w:numPr>
        <w:pBdr>
          <w:top w:val="single" w:sz="4" w:space="1" w:color="auto"/>
          <w:left w:val="single" w:sz="4" w:space="4" w:color="auto"/>
          <w:bottom w:val="single" w:sz="4" w:space="1" w:color="auto"/>
          <w:right w:val="single" w:sz="4" w:space="4" w:color="auto"/>
        </w:pBdr>
        <w:shd w:val="clear" w:color="auto" w:fill="DBDBDB" w:themeFill="accent3" w:themeFillTint="66"/>
      </w:pPr>
      <w:r>
        <w:t xml:space="preserve">This chapter analyzes public education and health spending by examining their sources and levels of funding, both public and private, as well as the allocation of budgetary resources within each sector, the evolution of service quality and changes in outcome indicators. The analysis reveals that, similar to trends observed in Ghana’s other major sectors, both the sources of health and education financing and the responsibilities for executing sectoral programming are fragmented across a range of government agencies. This complicates efforts to monitor spending, evaluate progress against strategic objectives, and design appropriate policy changes or institutional reforms. Moreover, the bulk of the increase in health and education spending has gone to finance wages and benefits for a rising number of teachers and health personnel, while the budgets for other current expenditures and capital investment have grown </w:t>
      </w:r>
      <w:r w:rsidR="00E00FDA">
        <w:t xml:space="preserve">only </w:t>
      </w:r>
      <w:r>
        <w:t xml:space="preserve">marginally or not at all. </w:t>
      </w:r>
    </w:p>
    <w:p w14:paraId="23EF36B7" w14:textId="77777777" w:rsidR="008B281B" w:rsidRDefault="000A09C9" w:rsidP="008B281B">
      <w:pPr>
        <w:pStyle w:val="ListParagraph"/>
        <w:numPr>
          <w:ilvl w:val="0"/>
          <w:numId w:val="0"/>
        </w:numPr>
        <w:pBdr>
          <w:top w:val="single" w:sz="4" w:space="1" w:color="auto"/>
          <w:left w:val="single" w:sz="4" w:space="4" w:color="auto"/>
          <w:bottom w:val="single" w:sz="4" w:space="1" w:color="auto"/>
          <w:right w:val="single" w:sz="4" w:space="4" w:color="auto"/>
        </w:pBdr>
        <w:shd w:val="clear" w:color="auto" w:fill="DBDBDB" w:themeFill="accent3" w:themeFillTint="66"/>
      </w:pPr>
      <w:r w:rsidRPr="000A09C9">
        <w:t>The supply of education services has increased rapidly over the last decade. School enrollment rates have increased at all education levels, and most gender-parity indicators have improved. However, measures of reading and mathematics skills show little overall progress and reveal vast disparities between poorer and wealthier districts and between rural and urban areas.</w:t>
      </w:r>
    </w:p>
    <w:p w14:paraId="2B12D855" w14:textId="77777777" w:rsidR="000A09C9" w:rsidRDefault="000A09C9" w:rsidP="008B281B">
      <w:pPr>
        <w:pStyle w:val="ListParagraph"/>
        <w:numPr>
          <w:ilvl w:val="0"/>
          <w:numId w:val="0"/>
        </w:numPr>
        <w:pBdr>
          <w:top w:val="single" w:sz="4" w:space="1" w:color="auto"/>
          <w:left w:val="single" w:sz="4" w:space="4" w:color="auto"/>
          <w:bottom w:val="single" w:sz="4" w:space="1" w:color="auto"/>
          <w:right w:val="single" w:sz="4" w:space="4" w:color="auto"/>
        </w:pBdr>
        <w:shd w:val="clear" w:color="auto" w:fill="DBDBDB" w:themeFill="accent3" w:themeFillTint="66"/>
      </w:pPr>
      <w:r w:rsidRPr="000A09C9">
        <w:t>The supply of health services has also grown dramatically, supported by a mix of government, faith-based and private facilities, an increasing number of public health workers, and a burgeoning domestic pharmaceutical market. However, progress in improving health indicators has been mixed: the share of births attended by a skilled healthcare worker has risen, but the use of modern contraceptives has only modestly increased, while immunization rates have marginally declined, and the proportion of children taking anti-malarial drugs has fallen. Moreover, as with education, health sector indicators show vast disparities between rural and urban areas and between poor and wealthy households. Going forward, ameliorating unequal health and education outcomes through broad-based improvements in service quality will pose a pivotal challenge for policymakers in both sectors.</w:t>
      </w:r>
    </w:p>
    <w:p w14:paraId="0D020428" w14:textId="77777777" w:rsidR="008B281B" w:rsidRPr="008B281B" w:rsidRDefault="008B281B" w:rsidP="008B281B">
      <w:pPr>
        <w:pStyle w:val="ListParagraph"/>
        <w:numPr>
          <w:ilvl w:val="0"/>
          <w:numId w:val="0"/>
        </w:numPr>
      </w:pPr>
    </w:p>
    <w:p w14:paraId="21662CC1" w14:textId="77777777" w:rsidR="001F21D2" w:rsidRPr="00E45355" w:rsidRDefault="001F21D2" w:rsidP="004E34F1">
      <w:pPr>
        <w:pStyle w:val="Heading2"/>
        <w:numPr>
          <w:ilvl w:val="0"/>
          <w:numId w:val="0"/>
        </w:numPr>
      </w:pPr>
      <w:bookmarkStart w:id="156" w:name="_Toc479624903"/>
      <w:r w:rsidRPr="00E45355">
        <w:lastRenderedPageBreak/>
        <w:t>I</w:t>
      </w:r>
      <w:r w:rsidR="003E4C80">
        <w:t>ntroduction</w:t>
      </w:r>
      <w:bookmarkEnd w:id="156"/>
    </w:p>
    <w:p w14:paraId="67CFA0C2" w14:textId="77777777" w:rsidR="001F21D2" w:rsidRPr="00533642" w:rsidRDefault="001F21D2" w:rsidP="00724BAB">
      <w:pPr>
        <w:pStyle w:val="ListParagraph"/>
        <w:numPr>
          <w:ilvl w:val="0"/>
          <w:numId w:val="9"/>
        </w:numPr>
      </w:pPr>
      <w:r w:rsidRPr="00D775DD">
        <w:rPr>
          <w:b/>
        </w:rPr>
        <w:t>The Government of Ghana devotes a large share of its budget to the education and health sectors.</w:t>
      </w:r>
      <w:r w:rsidRPr="00533642">
        <w:t xml:space="preserve"> </w:t>
      </w:r>
      <w:r>
        <w:t>Over the last five years, t</w:t>
      </w:r>
      <w:r w:rsidRPr="00533642">
        <w:t>otal</w:t>
      </w:r>
      <w:r w:rsidRPr="00D775DD">
        <w:t xml:space="preserve"> public </w:t>
      </w:r>
      <w:r w:rsidRPr="00533642">
        <w:t>spending</w:t>
      </w:r>
      <w:r w:rsidRPr="00D775DD">
        <w:t xml:space="preserve"> on </w:t>
      </w:r>
      <w:r>
        <w:t>education</w:t>
      </w:r>
      <w:r w:rsidRPr="00D775DD">
        <w:t xml:space="preserve"> and </w:t>
      </w:r>
      <w:r>
        <w:t>health</w:t>
      </w:r>
      <w:r w:rsidRPr="00D775DD">
        <w:t xml:space="preserve"> </w:t>
      </w:r>
      <w:r w:rsidRPr="00533642">
        <w:t>have represented an</w:t>
      </w:r>
      <w:r w:rsidRPr="00D775DD">
        <w:t xml:space="preserve"> average</w:t>
      </w:r>
      <w:r w:rsidRPr="00533642">
        <w:t xml:space="preserve"> of</w:t>
      </w:r>
      <w:r w:rsidRPr="00D775DD">
        <w:t xml:space="preserve"> 2</w:t>
      </w:r>
      <w:r>
        <w:t>3.7</w:t>
      </w:r>
      <w:r w:rsidRPr="00D775DD">
        <w:t xml:space="preserve"> and 8 percent</w:t>
      </w:r>
      <w:r>
        <w:t xml:space="preserve"> </w:t>
      </w:r>
      <w:r w:rsidRPr="00D775DD">
        <w:t>of the central government budget</w:t>
      </w:r>
      <w:r w:rsidRPr="00533642">
        <w:t>, respectively</w:t>
      </w:r>
      <w:r w:rsidRPr="00D775DD">
        <w:t xml:space="preserve">. </w:t>
      </w:r>
      <w:r>
        <w:t>The level of p</w:t>
      </w:r>
      <w:r w:rsidRPr="00533642">
        <w:t>ublic education spending</w:t>
      </w:r>
      <w:r w:rsidRPr="00D775DD">
        <w:t xml:space="preserve"> </w:t>
      </w:r>
      <w:r w:rsidRPr="00533642">
        <w:t xml:space="preserve">is broadly in line with that of </w:t>
      </w:r>
      <w:r w:rsidRPr="00D775DD">
        <w:t>compara</w:t>
      </w:r>
      <w:r>
        <w:t>ble</w:t>
      </w:r>
      <w:r w:rsidRPr="00D775DD">
        <w:t xml:space="preserve"> countries</w:t>
      </w:r>
      <w:r w:rsidRPr="00533642">
        <w:t xml:space="preserve"> and above the average for both lower-middle-income and SSA </w:t>
      </w:r>
      <w:r w:rsidRPr="00D775DD">
        <w:t>(</w:t>
      </w:r>
      <w:r w:rsidR="00A015A0">
        <w:fldChar w:fldCharType="begin"/>
      </w:r>
      <w:r w:rsidR="00A015A0">
        <w:instrText xml:space="preserve"> REF _Ref472430209 \h </w:instrText>
      </w:r>
      <w:r w:rsidR="00A015A0">
        <w:fldChar w:fldCharType="separate"/>
      </w:r>
      <w:r w:rsidR="007B1CE6" w:rsidRPr="00857F04">
        <w:t xml:space="preserve">Table </w:t>
      </w:r>
      <w:r w:rsidR="007B1CE6">
        <w:rPr>
          <w:noProof/>
        </w:rPr>
        <w:t>4</w:t>
      </w:r>
      <w:r w:rsidR="007B1CE6" w:rsidRPr="00857F04">
        <w:t>.</w:t>
      </w:r>
      <w:r w:rsidR="007B1CE6">
        <w:rPr>
          <w:noProof/>
        </w:rPr>
        <w:t>1</w:t>
      </w:r>
      <w:r w:rsidR="00A015A0">
        <w:fldChar w:fldCharType="end"/>
      </w:r>
      <w:r w:rsidRPr="00D775DD">
        <w:t xml:space="preserve">). </w:t>
      </w:r>
    </w:p>
    <w:p w14:paraId="2357189B" w14:textId="77777777" w:rsidR="001F21D2" w:rsidRPr="00533642" w:rsidRDefault="001F21D2" w:rsidP="00724BAB">
      <w:pPr>
        <w:pStyle w:val="ListParagraph"/>
        <w:numPr>
          <w:ilvl w:val="0"/>
          <w:numId w:val="9"/>
        </w:numPr>
      </w:pPr>
      <w:r w:rsidRPr="00D775DD">
        <w:rPr>
          <w:b/>
        </w:rPr>
        <w:t xml:space="preserve">While education spending represents a large share of the budget, the </w:t>
      </w:r>
      <w:r>
        <w:rPr>
          <w:b/>
        </w:rPr>
        <w:t>share</w:t>
      </w:r>
      <w:r w:rsidRPr="00D775DD">
        <w:rPr>
          <w:b/>
        </w:rPr>
        <w:t xml:space="preserve"> devoted to public health is low by international standards.</w:t>
      </w:r>
      <w:r w:rsidRPr="00533642">
        <w:t xml:space="preserve"> </w:t>
      </w:r>
      <w:r>
        <w:t>Ghana devotes a smaller portion of its budget to p</w:t>
      </w:r>
      <w:r w:rsidRPr="00533642">
        <w:t xml:space="preserve">ublic </w:t>
      </w:r>
      <w:r w:rsidRPr="00D775DD">
        <w:t>hea</w:t>
      </w:r>
      <w:r w:rsidRPr="00533642">
        <w:t>l</w:t>
      </w:r>
      <w:r w:rsidRPr="00D775DD">
        <w:t xml:space="preserve">th </w:t>
      </w:r>
      <w:r w:rsidRPr="00533642">
        <w:t xml:space="preserve">spending </w:t>
      </w:r>
      <w:r>
        <w:t>than</w:t>
      </w:r>
      <w:r w:rsidRPr="00533642">
        <w:t xml:space="preserve"> the average for both lower-middle-income and SSA countries. On a per capita basis, Ghana’s health spending is the</w:t>
      </w:r>
      <w:r w:rsidRPr="00D775DD">
        <w:t xml:space="preserve"> </w:t>
      </w:r>
      <w:r w:rsidRPr="00533642">
        <w:t>9</w:t>
      </w:r>
      <w:r w:rsidRPr="00533642">
        <w:rPr>
          <w:vertAlign w:val="superscript"/>
        </w:rPr>
        <w:t>th</w:t>
      </w:r>
      <w:r w:rsidRPr="00D775DD">
        <w:t xml:space="preserve"> lowest globally and </w:t>
      </w:r>
      <w:r w:rsidRPr="00533642">
        <w:t>the 3</w:t>
      </w:r>
      <w:r w:rsidRPr="00533642">
        <w:rPr>
          <w:vertAlign w:val="superscript"/>
        </w:rPr>
        <w:t>rd</w:t>
      </w:r>
      <w:r w:rsidRPr="00D775DD">
        <w:t xml:space="preserve"> lowest in SSA</w:t>
      </w:r>
      <w:r w:rsidRPr="00533642">
        <w:t xml:space="preserve">. </w:t>
      </w:r>
      <w:r w:rsidR="0059034D">
        <w:t>A</w:t>
      </w:r>
      <w:r w:rsidRPr="00533642">
        <w:t xml:space="preserve">t just </w:t>
      </w:r>
      <w:r w:rsidR="00910409">
        <w:t>1.41</w:t>
      </w:r>
      <w:r w:rsidRPr="00533642">
        <w:t xml:space="preserve"> percent of GDP, Ghana’s health spending is the 10</w:t>
      </w:r>
      <w:r w:rsidRPr="00533642">
        <w:rPr>
          <w:vertAlign w:val="superscript"/>
        </w:rPr>
        <w:t>th</w:t>
      </w:r>
      <w:r w:rsidRPr="00533642">
        <w:t xml:space="preserve"> lowest globally and the lowest in SSA relative to the size of its economy. </w:t>
      </w:r>
    </w:p>
    <w:p w14:paraId="5F57BBE3" w14:textId="77777777" w:rsidR="001F21D2" w:rsidRPr="00857F04" w:rsidRDefault="007A0C35" w:rsidP="007A0C35">
      <w:pPr>
        <w:pStyle w:val="Caption"/>
        <w:rPr>
          <w:lang w:val="en-US"/>
        </w:rPr>
      </w:pPr>
      <w:bookmarkStart w:id="157" w:name="_Ref472430209"/>
      <w:bookmarkStart w:id="158" w:name="_Toc478837649"/>
      <w:r w:rsidRPr="00857F04">
        <w:rPr>
          <w:lang w:val="en-US"/>
        </w:rPr>
        <w:t xml:space="preserve">Table </w:t>
      </w:r>
      <w:r w:rsidR="00500291" w:rsidRPr="00857F04">
        <w:rPr>
          <w:lang w:val="en-US"/>
        </w:rPr>
        <w:fldChar w:fldCharType="begin"/>
      </w:r>
      <w:r w:rsidR="00500291" w:rsidRPr="00857F04">
        <w:rPr>
          <w:lang w:val="en-US"/>
        </w:rPr>
        <w:instrText xml:space="preserve"> STYLEREF 1 \s </w:instrText>
      </w:r>
      <w:r w:rsidR="00500291" w:rsidRPr="00857F04">
        <w:rPr>
          <w:lang w:val="en-US"/>
        </w:rPr>
        <w:fldChar w:fldCharType="separate"/>
      </w:r>
      <w:r w:rsidR="007B1CE6">
        <w:rPr>
          <w:noProof/>
          <w:lang w:val="en-US"/>
        </w:rPr>
        <w:t>4</w:t>
      </w:r>
      <w:r w:rsidR="00500291" w:rsidRPr="00857F04">
        <w:rPr>
          <w:lang w:val="en-US"/>
        </w:rPr>
        <w:fldChar w:fldCharType="end"/>
      </w:r>
      <w:r w:rsidR="00500291" w:rsidRPr="00857F04">
        <w:rPr>
          <w:lang w:val="en-US"/>
        </w:rPr>
        <w:t>.</w:t>
      </w:r>
      <w:r w:rsidR="00500291" w:rsidRPr="00857F04">
        <w:rPr>
          <w:lang w:val="en-US"/>
        </w:rPr>
        <w:fldChar w:fldCharType="begin"/>
      </w:r>
      <w:r w:rsidR="00500291" w:rsidRPr="00857F04">
        <w:rPr>
          <w:lang w:val="en-US"/>
        </w:rPr>
        <w:instrText xml:space="preserve"> SEQ Table \* ARABIC \s 1 </w:instrText>
      </w:r>
      <w:r w:rsidR="00500291" w:rsidRPr="00857F04">
        <w:rPr>
          <w:lang w:val="en-US"/>
        </w:rPr>
        <w:fldChar w:fldCharType="separate"/>
      </w:r>
      <w:r w:rsidR="007B1CE6">
        <w:rPr>
          <w:noProof/>
          <w:lang w:val="en-US"/>
        </w:rPr>
        <w:t>1</w:t>
      </w:r>
      <w:r w:rsidR="00500291" w:rsidRPr="00857F04">
        <w:rPr>
          <w:lang w:val="en-US"/>
        </w:rPr>
        <w:fldChar w:fldCharType="end"/>
      </w:r>
      <w:bookmarkEnd w:id="157"/>
      <w:r w:rsidRPr="00857F04">
        <w:rPr>
          <w:lang w:val="en-US"/>
        </w:rPr>
        <w:t xml:space="preserve">: </w:t>
      </w:r>
      <w:r w:rsidR="001F21D2" w:rsidRPr="00857F04">
        <w:rPr>
          <w:lang w:val="en-US"/>
        </w:rPr>
        <w:t>Public Education and Health Spending as a Share of GDP, 2014</w:t>
      </w:r>
      <w:bookmarkEnd w:id="158"/>
    </w:p>
    <w:tbl>
      <w:tblPr>
        <w:tblW w:w="6400" w:type="dxa"/>
        <w:jc w:val="center"/>
        <w:tblLook w:val="04A0" w:firstRow="1" w:lastRow="0" w:firstColumn="1" w:lastColumn="0" w:noHBand="0" w:noVBand="1"/>
      </w:tblPr>
      <w:tblGrid>
        <w:gridCol w:w="3960"/>
        <w:gridCol w:w="1190"/>
        <w:gridCol w:w="1250"/>
      </w:tblGrid>
      <w:tr w:rsidR="001F21D2" w:rsidRPr="00533642" w14:paraId="538EB4A6" w14:textId="77777777" w:rsidTr="005A7652">
        <w:trPr>
          <w:trHeight w:val="300"/>
          <w:jc w:val="center"/>
        </w:trPr>
        <w:tc>
          <w:tcPr>
            <w:tcW w:w="3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CFDB8A"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 </w:t>
            </w:r>
          </w:p>
        </w:tc>
        <w:tc>
          <w:tcPr>
            <w:tcW w:w="1190" w:type="dxa"/>
            <w:tcBorders>
              <w:top w:val="single" w:sz="8" w:space="0" w:color="auto"/>
              <w:left w:val="nil"/>
              <w:bottom w:val="single" w:sz="8" w:space="0" w:color="auto"/>
              <w:right w:val="single" w:sz="8" w:space="0" w:color="auto"/>
            </w:tcBorders>
            <w:shd w:val="clear" w:color="auto" w:fill="auto"/>
            <w:noWrap/>
            <w:vAlign w:val="center"/>
            <w:hideMark/>
          </w:tcPr>
          <w:p w14:paraId="18262270"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Education</w:t>
            </w:r>
          </w:p>
        </w:tc>
        <w:tc>
          <w:tcPr>
            <w:tcW w:w="1250" w:type="dxa"/>
            <w:tcBorders>
              <w:top w:val="single" w:sz="8" w:space="0" w:color="auto"/>
              <w:left w:val="nil"/>
              <w:bottom w:val="single" w:sz="8" w:space="0" w:color="auto"/>
              <w:right w:val="single" w:sz="8" w:space="0" w:color="auto"/>
            </w:tcBorders>
            <w:shd w:val="clear" w:color="auto" w:fill="auto"/>
            <w:noWrap/>
            <w:vAlign w:val="center"/>
            <w:hideMark/>
          </w:tcPr>
          <w:p w14:paraId="0A03EC58"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Health</w:t>
            </w:r>
          </w:p>
        </w:tc>
      </w:tr>
      <w:tr w:rsidR="001F21D2" w:rsidRPr="00533642" w14:paraId="64F96E31" w14:textId="77777777" w:rsidTr="005A7652">
        <w:trPr>
          <w:trHeight w:val="300"/>
          <w:jc w:val="center"/>
        </w:trPr>
        <w:tc>
          <w:tcPr>
            <w:tcW w:w="3960" w:type="dxa"/>
            <w:tcBorders>
              <w:top w:val="nil"/>
              <w:left w:val="single" w:sz="8" w:space="0" w:color="auto"/>
              <w:bottom w:val="single" w:sz="8" w:space="0" w:color="auto"/>
              <w:right w:val="single" w:sz="8" w:space="0" w:color="auto"/>
            </w:tcBorders>
            <w:shd w:val="clear" w:color="auto" w:fill="auto"/>
            <w:vAlign w:val="center"/>
            <w:hideMark/>
          </w:tcPr>
          <w:p w14:paraId="24B5257D"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Ghana</w:t>
            </w:r>
          </w:p>
        </w:tc>
        <w:tc>
          <w:tcPr>
            <w:tcW w:w="1190" w:type="dxa"/>
            <w:tcBorders>
              <w:top w:val="nil"/>
              <w:left w:val="nil"/>
              <w:bottom w:val="single" w:sz="8" w:space="0" w:color="auto"/>
              <w:right w:val="single" w:sz="8" w:space="0" w:color="auto"/>
            </w:tcBorders>
            <w:shd w:val="clear" w:color="auto" w:fill="auto"/>
            <w:noWrap/>
            <w:vAlign w:val="center"/>
            <w:hideMark/>
          </w:tcPr>
          <w:p w14:paraId="546BF670" w14:textId="77777777" w:rsidR="001F21D2" w:rsidRPr="00D775DD" w:rsidRDefault="001F21D2" w:rsidP="005A7652">
            <w:pPr>
              <w:spacing w:after="120"/>
              <w:rPr>
                <w:rFonts w:ascii="Garamond" w:hAnsi="Garamond"/>
                <w:sz w:val="20"/>
                <w:szCs w:val="20"/>
              </w:rPr>
            </w:pPr>
            <w:r>
              <w:rPr>
                <w:rFonts w:ascii="Garamond" w:hAnsi="Garamond"/>
                <w:sz w:val="20"/>
                <w:szCs w:val="20"/>
              </w:rPr>
              <w:t>4.62</w:t>
            </w:r>
          </w:p>
        </w:tc>
        <w:tc>
          <w:tcPr>
            <w:tcW w:w="1250" w:type="dxa"/>
            <w:tcBorders>
              <w:top w:val="nil"/>
              <w:left w:val="nil"/>
              <w:bottom w:val="single" w:sz="8" w:space="0" w:color="auto"/>
              <w:right w:val="single" w:sz="8" w:space="0" w:color="auto"/>
            </w:tcBorders>
            <w:shd w:val="clear" w:color="auto" w:fill="auto"/>
            <w:noWrap/>
            <w:vAlign w:val="center"/>
            <w:hideMark/>
          </w:tcPr>
          <w:p w14:paraId="4CDA1236"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1.41</w:t>
            </w:r>
          </w:p>
        </w:tc>
      </w:tr>
      <w:tr w:rsidR="001F21D2" w:rsidRPr="00533642" w14:paraId="7C9943FA" w14:textId="77777777" w:rsidTr="005A7652">
        <w:trPr>
          <w:trHeight w:val="300"/>
          <w:jc w:val="center"/>
        </w:trPr>
        <w:tc>
          <w:tcPr>
            <w:tcW w:w="3960" w:type="dxa"/>
            <w:tcBorders>
              <w:top w:val="nil"/>
              <w:left w:val="single" w:sz="8" w:space="0" w:color="auto"/>
              <w:bottom w:val="single" w:sz="8" w:space="0" w:color="auto"/>
              <w:right w:val="single" w:sz="8" w:space="0" w:color="auto"/>
            </w:tcBorders>
            <w:shd w:val="clear" w:color="auto" w:fill="auto"/>
            <w:vAlign w:val="center"/>
            <w:hideMark/>
          </w:tcPr>
          <w:p w14:paraId="50054011"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Cote d'Ivoire</w:t>
            </w:r>
          </w:p>
        </w:tc>
        <w:tc>
          <w:tcPr>
            <w:tcW w:w="1190" w:type="dxa"/>
            <w:tcBorders>
              <w:top w:val="nil"/>
              <w:left w:val="nil"/>
              <w:bottom w:val="single" w:sz="8" w:space="0" w:color="auto"/>
              <w:right w:val="single" w:sz="8" w:space="0" w:color="auto"/>
            </w:tcBorders>
            <w:shd w:val="clear" w:color="auto" w:fill="auto"/>
            <w:noWrap/>
            <w:vAlign w:val="center"/>
            <w:hideMark/>
          </w:tcPr>
          <w:p w14:paraId="7477A616"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4.56</w:t>
            </w:r>
          </w:p>
        </w:tc>
        <w:tc>
          <w:tcPr>
            <w:tcW w:w="1250" w:type="dxa"/>
            <w:tcBorders>
              <w:top w:val="nil"/>
              <w:left w:val="nil"/>
              <w:bottom w:val="single" w:sz="8" w:space="0" w:color="auto"/>
              <w:right w:val="single" w:sz="8" w:space="0" w:color="auto"/>
            </w:tcBorders>
            <w:shd w:val="clear" w:color="auto" w:fill="auto"/>
            <w:noWrap/>
            <w:vAlign w:val="center"/>
            <w:hideMark/>
          </w:tcPr>
          <w:p w14:paraId="2D2B98FF"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1.68</w:t>
            </w:r>
          </w:p>
        </w:tc>
      </w:tr>
      <w:tr w:rsidR="001F21D2" w:rsidRPr="00533642" w14:paraId="10BBEA18" w14:textId="77777777" w:rsidTr="005A7652">
        <w:trPr>
          <w:trHeight w:val="300"/>
          <w:jc w:val="center"/>
        </w:trPr>
        <w:tc>
          <w:tcPr>
            <w:tcW w:w="3960" w:type="dxa"/>
            <w:tcBorders>
              <w:top w:val="nil"/>
              <w:left w:val="single" w:sz="8" w:space="0" w:color="auto"/>
              <w:bottom w:val="single" w:sz="8" w:space="0" w:color="auto"/>
              <w:right w:val="single" w:sz="8" w:space="0" w:color="auto"/>
            </w:tcBorders>
            <w:shd w:val="clear" w:color="auto" w:fill="auto"/>
            <w:vAlign w:val="center"/>
            <w:hideMark/>
          </w:tcPr>
          <w:p w14:paraId="1ED1C9C1"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Kenya</w:t>
            </w:r>
          </w:p>
        </w:tc>
        <w:tc>
          <w:tcPr>
            <w:tcW w:w="1190" w:type="dxa"/>
            <w:tcBorders>
              <w:top w:val="nil"/>
              <w:left w:val="nil"/>
              <w:bottom w:val="single" w:sz="8" w:space="0" w:color="auto"/>
              <w:right w:val="single" w:sz="8" w:space="0" w:color="auto"/>
            </w:tcBorders>
            <w:shd w:val="clear" w:color="auto" w:fill="auto"/>
            <w:noWrap/>
            <w:vAlign w:val="center"/>
            <w:hideMark/>
          </w:tcPr>
          <w:p w14:paraId="7135B55F"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4.88</w:t>
            </w:r>
          </w:p>
        </w:tc>
        <w:tc>
          <w:tcPr>
            <w:tcW w:w="1250" w:type="dxa"/>
            <w:tcBorders>
              <w:top w:val="nil"/>
              <w:left w:val="nil"/>
              <w:bottom w:val="single" w:sz="8" w:space="0" w:color="auto"/>
              <w:right w:val="single" w:sz="8" w:space="0" w:color="auto"/>
            </w:tcBorders>
            <w:shd w:val="clear" w:color="auto" w:fill="auto"/>
            <w:noWrap/>
            <w:vAlign w:val="center"/>
            <w:hideMark/>
          </w:tcPr>
          <w:p w14:paraId="347BE98F"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3.50</w:t>
            </w:r>
          </w:p>
        </w:tc>
      </w:tr>
      <w:tr w:rsidR="001F21D2" w:rsidRPr="00533642" w14:paraId="65A79C53" w14:textId="77777777" w:rsidTr="005A7652">
        <w:trPr>
          <w:trHeight w:val="300"/>
          <w:jc w:val="center"/>
        </w:trPr>
        <w:tc>
          <w:tcPr>
            <w:tcW w:w="3960" w:type="dxa"/>
            <w:tcBorders>
              <w:top w:val="nil"/>
              <w:left w:val="single" w:sz="8" w:space="0" w:color="auto"/>
              <w:bottom w:val="single" w:sz="8" w:space="0" w:color="auto"/>
              <w:right w:val="single" w:sz="8" w:space="0" w:color="auto"/>
            </w:tcBorders>
            <w:shd w:val="clear" w:color="auto" w:fill="auto"/>
            <w:vAlign w:val="center"/>
            <w:hideMark/>
          </w:tcPr>
          <w:p w14:paraId="141057B7"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Tanzania</w:t>
            </w:r>
          </w:p>
        </w:tc>
        <w:tc>
          <w:tcPr>
            <w:tcW w:w="1190" w:type="dxa"/>
            <w:tcBorders>
              <w:top w:val="nil"/>
              <w:left w:val="nil"/>
              <w:bottom w:val="single" w:sz="8" w:space="0" w:color="auto"/>
              <w:right w:val="single" w:sz="8" w:space="0" w:color="auto"/>
            </w:tcBorders>
            <w:shd w:val="clear" w:color="auto" w:fill="auto"/>
            <w:noWrap/>
            <w:vAlign w:val="center"/>
            <w:hideMark/>
          </w:tcPr>
          <w:p w14:paraId="5201B569"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3.73</w:t>
            </w:r>
          </w:p>
        </w:tc>
        <w:tc>
          <w:tcPr>
            <w:tcW w:w="1250" w:type="dxa"/>
            <w:tcBorders>
              <w:top w:val="nil"/>
              <w:left w:val="nil"/>
              <w:bottom w:val="single" w:sz="8" w:space="0" w:color="auto"/>
              <w:right w:val="single" w:sz="8" w:space="0" w:color="auto"/>
            </w:tcBorders>
            <w:shd w:val="clear" w:color="auto" w:fill="auto"/>
            <w:noWrap/>
            <w:vAlign w:val="center"/>
            <w:hideMark/>
          </w:tcPr>
          <w:p w14:paraId="2699643F"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2.59</w:t>
            </w:r>
          </w:p>
        </w:tc>
      </w:tr>
      <w:tr w:rsidR="001F21D2" w:rsidRPr="00533642" w14:paraId="5F2ECEBD" w14:textId="77777777" w:rsidTr="005A7652">
        <w:trPr>
          <w:trHeight w:val="300"/>
          <w:jc w:val="center"/>
        </w:trPr>
        <w:tc>
          <w:tcPr>
            <w:tcW w:w="3960" w:type="dxa"/>
            <w:tcBorders>
              <w:top w:val="nil"/>
              <w:left w:val="single" w:sz="8" w:space="0" w:color="auto"/>
              <w:bottom w:val="single" w:sz="8" w:space="0" w:color="auto"/>
              <w:right w:val="single" w:sz="8" w:space="0" w:color="auto"/>
            </w:tcBorders>
            <w:shd w:val="clear" w:color="auto" w:fill="auto"/>
            <w:vAlign w:val="center"/>
            <w:hideMark/>
          </w:tcPr>
          <w:p w14:paraId="6A251B61"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Uganda</w:t>
            </w:r>
          </w:p>
        </w:tc>
        <w:tc>
          <w:tcPr>
            <w:tcW w:w="1190" w:type="dxa"/>
            <w:tcBorders>
              <w:top w:val="nil"/>
              <w:left w:val="nil"/>
              <w:bottom w:val="single" w:sz="8" w:space="0" w:color="auto"/>
              <w:right w:val="single" w:sz="8" w:space="0" w:color="auto"/>
            </w:tcBorders>
            <w:shd w:val="clear" w:color="auto" w:fill="auto"/>
            <w:noWrap/>
            <w:vAlign w:val="center"/>
            <w:hideMark/>
          </w:tcPr>
          <w:p w14:paraId="2C98426A"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2.00</w:t>
            </w:r>
          </w:p>
        </w:tc>
        <w:tc>
          <w:tcPr>
            <w:tcW w:w="1250" w:type="dxa"/>
            <w:tcBorders>
              <w:top w:val="nil"/>
              <w:left w:val="nil"/>
              <w:bottom w:val="single" w:sz="8" w:space="0" w:color="auto"/>
              <w:right w:val="single" w:sz="8" w:space="0" w:color="auto"/>
            </w:tcBorders>
            <w:shd w:val="clear" w:color="auto" w:fill="auto"/>
            <w:noWrap/>
            <w:vAlign w:val="center"/>
            <w:hideMark/>
          </w:tcPr>
          <w:p w14:paraId="68389EBE"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1.80</w:t>
            </w:r>
          </w:p>
        </w:tc>
      </w:tr>
      <w:tr w:rsidR="001F21D2" w:rsidRPr="00533642" w14:paraId="736FCDDE" w14:textId="77777777" w:rsidTr="005A7652">
        <w:trPr>
          <w:trHeight w:val="300"/>
          <w:jc w:val="center"/>
        </w:trPr>
        <w:tc>
          <w:tcPr>
            <w:tcW w:w="3960" w:type="dxa"/>
            <w:tcBorders>
              <w:top w:val="nil"/>
              <w:left w:val="single" w:sz="8" w:space="0" w:color="auto"/>
              <w:bottom w:val="single" w:sz="8" w:space="0" w:color="auto"/>
              <w:right w:val="single" w:sz="8" w:space="0" w:color="auto"/>
            </w:tcBorders>
            <w:shd w:val="clear" w:color="auto" w:fill="auto"/>
            <w:vAlign w:val="center"/>
            <w:hideMark/>
          </w:tcPr>
          <w:p w14:paraId="21BE2232"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Zambia</w:t>
            </w:r>
          </w:p>
        </w:tc>
        <w:tc>
          <w:tcPr>
            <w:tcW w:w="1190" w:type="dxa"/>
            <w:tcBorders>
              <w:top w:val="nil"/>
              <w:left w:val="nil"/>
              <w:bottom w:val="single" w:sz="8" w:space="0" w:color="auto"/>
              <w:right w:val="single" w:sz="8" w:space="0" w:color="auto"/>
            </w:tcBorders>
            <w:shd w:val="clear" w:color="auto" w:fill="auto"/>
            <w:noWrap/>
            <w:vAlign w:val="center"/>
            <w:hideMark/>
          </w:tcPr>
          <w:p w14:paraId="1632A378"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1.06</w:t>
            </w:r>
          </w:p>
        </w:tc>
        <w:tc>
          <w:tcPr>
            <w:tcW w:w="1250" w:type="dxa"/>
            <w:tcBorders>
              <w:top w:val="nil"/>
              <w:left w:val="nil"/>
              <w:bottom w:val="single" w:sz="8" w:space="0" w:color="auto"/>
              <w:right w:val="single" w:sz="8" w:space="0" w:color="auto"/>
            </w:tcBorders>
            <w:shd w:val="clear" w:color="auto" w:fill="auto"/>
            <w:noWrap/>
            <w:vAlign w:val="center"/>
            <w:hideMark/>
          </w:tcPr>
          <w:p w14:paraId="2FB5FB20"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2.76</w:t>
            </w:r>
          </w:p>
        </w:tc>
      </w:tr>
      <w:tr w:rsidR="001F21D2" w:rsidRPr="00533642" w14:paraId="64BF704F" w14:textId="77777777" w:rsidTr="005A7652">
        <w:trPr>
          <w:trHeight w:val="300"/>
          <w:jc w:val="center"/>
        </w:trPr>
        <w:tc>
          <w:tcPr>
            <w:tcW w:w="3960" w:type="dxa"/>
            <w:tcBorders>
              <w:top w:val="nil"/>
              <w:left w:val="single" w:sz="8" w:space="0" w:color="auto"/>
              <w:bottom w:val="single" w:sz="8" w:space="0" w:color="auto"/>
              <w:right w:val="single" w:sz="8" w:space="0" w:color="auto"/>
            </w:tcBorders>
            <w:shd w:val="clear" w:color="auto" w:fill="auto"/>
            <w:vAlign w:val="center"/>
            <w:hideMark/>
          </w:tcPr>
          <w:p w14:paraId="2339B649"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South Africa</w:t>
            </w:r>
          </w:p>
        </w:tc>
        <w:tc>
          <w:tcPr>
            <w:tcW w:w="1190" w:type="dxa"/>
            <w:tcBorders>
              <w:top w:val="nil"/>
              <w:left w:val="nil"/>
              <w:bottom w:val="single" w:sz="8" w:space="0" w:color="auto"/>
              <w:right w:val="single" w:sz="8" w:space="0" w:color="auto"/>
            </w:tcBorders>
            <w:shd w:val="clear" w:color="auto" w:fill="auto"/>
            <w:noWrap/>
            <w:vAlign w:val="center"/>
            <w:hideMark/>
          </w:tcPr>
          <w:p w14:paraId="7812D313"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5.97</w:t>
            </w:r>
          </w:p>
        </w:tc>
        <w:tc>
          <w:tcPr>
            <w:tcW w:w="1250" w:type="dxa"/>
            <w:tcBorders>
              <w:top w:val="nil"/>
              <w:left w:val="nil"/>
              <w:bottom w:val="single" w:sz="8" w:space="0" w:color="auto"/>
              <w:right w:val="single" w:sz="8" w:space="0" w:color="auto"/>
            </w:tcBorders>
            <w:shd w:val="clear" w:color="auto" w:fill="auto"/>
            <w:noWrap/>
            <w:vAlign w:val="center"/>
            <w:hideMark/>
          </w:tcPr>
          <w:p w14:paraId="053887D4"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4.24</w:t>
            </w:r>
          </w:p>
        </w:tc>
      </w:tr>
      <w:tr w:rsidR="001F21D2" w:rsidRPr="00533642" w14:paraId="4C7EFC1A" w14:textId="77777777" w:rsidTr="005A7652">
        <w:trPr>
          <w:trHeight w:val="300"/>
          <w:jc w:val="center"/>
        </w:trPr>
        <w:tc>
          <w:tcPr>
            <w:tcW w:w="3960" w:type="dxa"/>
            <w:tcBorders>
              <w:top w:val="nil"/>
              <w:left w:val="single" w:sz="8" w:space="0" w:color="auto"/>
              <w:bottom w:val="single" w:sz="8" w:space="0" w:color="auto"/>
              <w:right w:val="single" w:sz="8" w:space="0" w:color="auto"/>
            </w:tcBorders>
            <w:shd w:val="clear" w:color="auto" w:fill="auto"/>
            <w:vAlign w:val="center"/>
            <w:hideMark/>
          </w:tcPr>
          <w:p w14:paraId="1F446B8E"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Senegal</w:t>
            </w:r>
          </w:p>
        </w:tc>
        <w:tc>
          <w:tcPr>
            <w:tcW w:w="1190" w:type="dxa"/>
            <w:tcBorders>
              <w:top w:val="nil"/>
              <w:left w:val="nil"/>
              <w:bottom w:val="single" w:sz="8" w:space="0" w:color="auto"/>
              <w:right w:val="single" w:sz="8" w:space="0" w:color="auto"/>
            </w:tcBorders>
            <w:shd w:val="clear" w:color="auto" w:fill="auto"/>
            <w:noWrap/>
            <w:vAlign w:val="center"/>
            <w:hideMark/>
          </w:tcPr>
          <w:p w14:paraId="1EDEECCC"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5.19</w:t>
            </w:r>
          </w:p>
        </w:tc>
        <w:tc>
          <w:tcPr>
            <w:tcW w:w="1250" w:type="dxa"/>
            <w:tcBorders>
              <w:top w:val="nil"/>
              <w:left w:val="nil"/>
              <w:bottom w:val="single" w:sz="8" w:space="0" w:color="auto"/>
              <w:right w:val="single" w:sz="8" w:space="0" w:color="auto"/>
            </w:tcBorders>
            <w:shd w:val="clear" w:color="auto" w:fill="auto"/>
            <w:noWrap/>
            <w:vAlign w:val="center"/>
            <w:hideMark/>
          </w:tcPr>
          <w:p w14:paraId="692F0927"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2.42</w:t>
            </w:r>
          </w:p>
        </w:tc>
      </w:tr>
      <w:tr w:rsidR="001F21D2" w:rsidRPr="00533642" w14:paraId="7D56FA6B" w14:textId="77777777" w:rsidTr="005A7652">
        <w:trPr>
          <w:trHeight w:val="286"/>
          <w:jc w:val="center"/>
        </w:trPr>
        <w:tc>
          <w:tcPr>
            <w:tcW w:w="3960" w:type="dxa"/>
            <w:tcBorders>
              <w:top w:val="nil"/>
              <w:left w:val="single" w:sz="8" w:space="0" w:color="auto"/>
              <w:bottom w:val="single" w:sz="8" w:space="0" w:color="auto"/>
              <w:right w:val="single" w:sz="8" w:space="0" w:color="auto"/>
            </w:tcBorders>
            <w:shd w:val="clear" w:color="auto" w:fill="auto"/>
            <w:vAlign w:val="center"/>
            <w:hideMark/>
          </w:tcPr>
          <w:p w14:paraId="3E9A509B"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Lower-Middle-Income Countries</w:t>
            </w:r>
          </w:p>
        </w:tc>
        <w:tc>
          <w:tcPr>
            <w:tcW w:w="1190" w:type="dxa"/>
            <w:tcBorders>
              <w:top w:val="nil"/>
              <w:left w:val="nil"/>
              <w:bottom w:val="single" w:sz="8" w:space="0" w:color="auto"/>
              <w:right w:val="single" w:sz="8" w:space="0" w:color="auto"/>
            </w:tcBorders>
            <w:shd w:val="clear" w:color="auto" w:fill="auto"/>
            <w:noWrap/>
            <w:vAlign w:val="center"/>
            <w:hideMark/>
          </w:tcPr>
          <w:p w14:paraId="41131802"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3.06</w:t>
            </w:r>
          </w:p>
        </w:tc>
        <w:tc>
          <w:tcPr>
            <w:tcW w:w="1250" w:type="dxa"/>
            <w:tcBorders>
              <w:top w:val="nil"/>
              <w:left w:val="nil"/>
              <w:bottom w:val="single" w:sz="8" w:space="0" w:color="auto"/>
              <w:right w:val="single" w:sz="8" w:space="0" w:color="auto"/>
            </w:tcBorders>
            <w:shd w:val="clear" w:color="auto" w:fill="auto"/>
            <w:noWrap/>
            <w:vAlign w:val="center"/>
            <w:hideMark/>
          </w:tcPr>
          <w:p w14:paraId="148CEC6E"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1.64</w:t>
            </w:r>
          </w:p>
        </w:tc>
      </w:tr>
      <w:tr w:rsidR="001F21D2" w:rsidRPr="00533642" w14:paraId="1D39AAB8" w14:textId="77777777" w:rsidTr="005A7652">
        <w:trPr>
          <w:trHeight w:val="187"/>
          <w:jc w:val="center"/>
        </w:trPr>
        <w:tc>
          <w:tcPr>
            <w:tcW w:w="3960" w:type="dxa"/>
            <w:tcBorders>
              <w:top w:val="nil"/>
              <w:left w:val="single" w:sz="8" w:space="0" w:color="auto"/>
              <w:bottom w:val="single" w:sz="8" w:space="0" w:color="auto"/>
              <w:right w:val="single" w:sz="8" w:space="0" w:color="auto"/>
            </w:tcBorders>
            <w:shd w:val="clear" w:color="auto" w:fill="auto"/>
            <w:vAlign w:val="center"/>
            <w:hideMark/>
          </w:tcPr>
          <w:p w14:paraId="0CD1DF7F"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Sub-Saharan Africa</w:t>
            </w:r>
          </w:p>
        </w:tc>
        <w:tc>
          <w:tcPr>
            <w:tcW w:w="1190" w:type="dxa"/>
            <w:tcBorders>
              <w:top w:val="nil"/>
              <w:left w:val="nil"/>
              <w:bottom w:val="single" w:sz="8" w:space="0" w:color="auto"/>
              <w:right w:val="single" w:sz="8" w:space="0" w:color="auto"/>
            </w:tcBorders>
            <w:shd w:val="clear" w:color="auto" w:fill="auto"/>
            <w:noWrap/>
            <w:vAlign w:val="center"/>
            <w:hideMark/>
          </w:tcPr>
          <w:p w14:paraId="6A77D217"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3.20</w:t>
            </w:r>
          </w:p>
        </w:tc>
        <w:tc>
          <w:tcPr>
            <w:tcW w:w="1250" w:type="dxa"/>
            <w:tcBorders>
              <w:top w:val="nil"/>
              <w:left w:val="nil"/>
              <w:bottom w:val="single" w:sz="8" w:space="0" w:color="auto"/>
              <w:right w:val="single" w:sz="8" w:space="0" w:color="auto"/>
            </w:tcBorders>
            <w:shd w:val="clear" w:color="auto" w:fill="auto"/>
            <w:noWrap/>
            <w:vAlign w:val="center"/>
            <w:hideMark/>
          </w:tcPr>
          <w:p w14:paraId="11C3BD16"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2.31</w:t>
            </w:r>
          </w:p>
        </w:tc>
      </w:tr>
    </w:tbl>
    <w:p w14:paraId="48571163" w14:textId="77777777" w:rsidR="001F21D2" w:rsidRPr="00533642" w:rsidRDefault="001F21D2" w:rsidP="001F21D2">
      <w:pPr>
        <w:keepNext/>
        <w:spacing w:after="0"/>
        <w:ind w:left="1440" w:right="1440"/>
        <w:rPr>
          <w:rFonts w:ascii="Garamond" w:hAnsi="Garamond"/>
          <w:sz w:val="20"/>
          <w:szCs w:val="20"/>
        </w:rPr>
      </w:pPr>
      <w:r w:rsidRPr="00D775DD">
        <w:rPr>
          <w:rFonts w:ascii="Garamond" w:hAnsi="Garamond"/>
          <w:i/>
          <w:noProof/>
          <w:sz w:val="20"/>
          <w:szCs w:val="20"/>
        </w:rPr>
        <w:t xml:space="preserve">Source: </w:t>
      </w:r>
      <w:r w:rsidRPr="00D775DD">
        <w:rPr>
          <w:rFonts w:ascii="Garamond" w:hAnsi="Garamond"/>
          <w:noProof/>
          <w:sz w:val="20"/>
          <w:szCs w:val="20"/>
        </w:rPr>
        <w:t>Ghana Controller and Accountant-General</w:t>
      </w:r>
      <w:r>
        <w:rPr>
          <w:rFonts w:ascii="Garamond" w:hAnsi="Garamond"/>
          <w:noProof/>
          <w:sz w:val="20"/>
          <w:szCs w:val="20"/>
        </w:rPr>
        <w:t>’s</w:t>
      </w:r>
      <w:r w:rsidRPr="00D775DD">
        <w:rPr>
          <w:rFonts w:ascii="Garamond" w:hAnsi="Garamond"/>
          <w:noProof/>
          <w:sz w:val="20"/>
          <w:szCs w:val="20"/>
        </w:rPr>
        <w:t xml:space="preserve"> Department; World Development Indicators.</w:t>
      </w:r>
      <w:r w:rsidRPr="00533642" w:rsidDel="008D56E3">
        <w:rPr>
          <w:rFonts w:ascii="Garamond" w:hAnsi="Garamond"/>
          <w:sz w:val="20"/>
          <w:szCs w:val="20"/>
        </w:rPr>
        <w:t xml:space="preserve"> </w:t>
      </w:r>
    </w:p>
    <w:p w14:paraId="4F42D3D0" w14:textId="77777777" w:rsidR="001F21D2" w:rsidRPr="00D775DD" w:rsidRDefault="001F21D2" w:rsidP="001F21D2">
      <w:pPr>
        <w:ind w:left="1440" w:right="1440"/>
        <w:rPr>
          <w:rFonts w:ascii="Garamond" w:hAnsi="Garamond"/>
          <w:sz w:val="20"/>
          <w:szCs w:val="20"/>
        </w:rPr>
      </w:pPr>
      <w:r w:rsidRPr="00533642">
        <w:rPr>
          <w:rFonts w:ascii="Garamond" w:hAnsi="Garamond"/>
          <w:i/>
          <w:noProof/>
          <w:sz w:val="20"/>
          <w:szCs w:val="20"/>
        </w:rPr>
        <w:t xml:space="preserve">Note: </w:t>
      </w:r>
      <w:r w:rsidRPr="00533642">
        <w:rPr>
          <w:rFonts w:ascii="Garamond" w:hAnsi="Garamond"/>
          <w:noProof/>
          <w:sz w:val="20"/>
          <w:szCs w:val="20"/>
        </w:rPr>
        <w:t>The figures for</w:t>
      </w:r>
      <w:r w:rsidRPr="00533642">
        <w:rPr>
          <w:rFonts w:ascii="Garamond" w:hAnsi="Garamond"/>
          <w:i/>
          <w:noProof/>
          <w:sz w:val="20"/>
          <w:szCs w:val="20"/>
        </w:rPr>
        <w:t xml:space="preserve"> </w:t>
      </w:r>
      <w:r w:rsidRPr="00533642">
        <w:rPr>
          <w:rFonts w:ascii="Garamond" w:hAnsi="Garamond"/>
          <w:sz w:val="20"/>
          <w:szCs w:val="20"/>
        </w:rPr>
        <w:t>e</w:t>
      </w:r>
      <w:r w:rsidRPr="00D775DD">
        <w:rPr>
          <w:rFonts w:ascii="Garamond" w:hAnsi="Garamond"/>
          <w:sz w:val="20"/>
          <w:szCs w:val="20"/>
        </w:rPr>
        <w:t xml:space="preserve">ducation spending </w:t>
      </w:r>
      <w:r w:rsidRPr="00533642">
        <w:rPr>
          <w:rFonts w:ascii="Garamond" w:hAnsi="Garamond"/>
          <w:sz w:val="20"/>
          <w:szCs w:val="20"/>
        </w:rPr>
        <w:t>reflect</w:t>
      </w:r>
      <w:r w:rsidRPr="00D775DD">
        <w:rPr>
          <w:rFonts w:ascii="Garamond" w:hAnsi="Garamond"/>
          <w:sz w:val="20"/>
          <w:szCs w:val="20"/>
        </w:rPr>
        <w:t xml:space="preserve"> current expenditures only, while </w:t>
      </w:r>
      <w:r w:rsidRPr="00533642">
        <w:rPr>
          <w:rFonts w:ascii="Garamond" w:hAnsi="Garamond"/>
          <w:sz w:val="20"/>
          <w:szCs w:val="20"/>
        </w:rPr>
        <w:t xml:space="preserve">the figures for </w:t>
      </w:r>
      <w:r w:rsidRPr="00D775DD">
        <w:rPr>
          <w:rFonts w:ascii="Garamond" w:hAnsi="Garamond"/>
          <w:sz w:val="20"/>
          <w:szCs w:val="20"/>
        </w:rPr>
        <w:t xml:space="preserve">health spending </w:t>
      </w:r>
      <w:r w:rsidRPr="00533642">
        <w:rPr>
          <w:rFonts w:ascii="Garamond" w:hAnsi="Garamond"/>
          <w:sz w:val="20"/>
          <w:szCs w:val="20"/>
        </w:rPr>
        <w:t>include</w:t>
      </w:r>
      <w:r w:rsidRPr="00D775DD">
        <w:rPr>
          <w:rFonts w:ascii="Garamond" w:hAnsi="Garamond"/>
          <w:sz w:val="20"/>
          <w:szCs w:val="20"/>
        </w:rPr>
        <w:t xml:space="preserve"> both current and capital expenditures</w:t>
      </w:r>
      <w:r w:rsidRPr="00533642">
        <w:rPr>
          <w:rFonts w:ascii="Garamond" w:hAnsi="Garamond"/>
          <w:sz w:val="20"/>
          <w:szCs w:val="20"/>
        </w:rPr>
        <w:t>, but not user fees or other forms of private, out-of-pocket spending</w:t>
      </w:r>
      <w:r w:rsidRPr="00D775DD">
        <w:rPr>
          <w:rFonts w:ascii="Garamond" w:hAnsi="Garamond"/>
          <w:sz w:val="20"/>
          <w:szCs w:val="20"/>
        </w:rPr>
        <w:t xml:space="preserve">. </w:t>
      </w:r>
    </w:p>
    <w:p w14:paraId="51C4AC07" w14:textId="77777777" w:rsidR="001F21D2" w:rsidRPr="00533642" w:rsidRDefault="001F21D2" w:rsidP="00724BAB">
      <w:pPr>
        <w:pStyle w:val="ListParagraph"/>
        <w:numPr>
          <w:ilvl w:val="0"/>
          <w:numId w:val="9"/>
        </w:numPr>
      </w:pPr>
      <w:r w:rsidRPr="00D775DD">
        <w:rPr>
          <w:b/>
        </w:rPr>
        <w:t xml:space="preserve">In </w:t>
      </w:r>
      <w:r>
        <w:rPr>
          <w:b/>
        </w:rPr>
        <w:t>an effort</w:t>
      </w:r>
      <w:r w:rsidRPr="00D775DD">
        <w:rPr>
          <w:b/>
        </w:rPr>
        <w:t xml:space="preserve"> to expand service delivery, the government hired 150,000 new teachers and 18,000 new health workers between 2009 and 2015</w:t>
      </w:r>
      <w:r>
        <w:rPr>
          <w:b/>
        </w:rPr>
        <w:t>, and the w</w:t>
      </w:r>
      <w:r w:rsidRPr="00D775DD">
        <w:rPr>
          <w:b/>
        </w:rPr>
        <w:t>age</w:t>
      </w:r>
      <w:r>
        <w:rPr>
          <w:b/>
        </w:rPr>
        <w:t xml:space="preserve"> bill</w:t>
      </w:r>
      <w:r w:rsidRPr="00D775DD">
        <w:rPr>
          <w:b/>
        </w:rPr>
        <w:t xml:space="preserve"> </w:t>
      </w:r>
      <w:r>
        <w:rPr>
          <w:b/>
        </w:rPr>
        <w:t xml:space="preserve">now </w:t>
      </w:r>
      <w:r w:rsidRPr="00D775DD">
        <w:rPr>
          <w:b/>
        </w:rPr>
        <w:t>dominate</w:t>
      </w:r>
      <w:r>
        <w:rPr>
          <w:b/>
        </w:rPr>
        <w:t>s</w:t>
      </w:r>
      <w:r w:rsidRPr="00D775DD">
        <w:rPr>
          <w:b/>
        </w:rPr>
        <w:t xml:space="preserve"> both</w:t>
      </w:r>
      <w:r w:rsidR="00C314C5">
        <w:rPr>
          <w:b/>
        </w:rPr>
        <w:t xml:space="preserve"> the</w:t>
      </w:r>
      <w:r w:rsidRPr="00D775DD">
        <w:rPr>
          <w:b/>
        </w:rPr>
        <w:t xml:space="preserve"> health and education </w:t>
      </w:r>
      <w:r>
        <w:rPr>
          <w:b/>
        </w:rPr>
        <w:t>budgets</w:t>
      </w:r>
      <w:r w:rsidRPr="00D775DD">
        <w:rPr>
          <w:b/>
        </w:rPr>
        <w:t>.</w:t>
      </w:r>
      <w:r w:rsidRPr="00D775DD">
        <w:t xml:space="preserve"> </w:t>
      </w:r>
      <w:r>
        <w:t xml:space="preserve">In the education sector, </w:t>
      </w:r>
      <w:r w:rsidRPr="00D775DD">
        <w:t xml:space="preserve">the rapid growth </w:t>
      </w:r>
      <w:r w:rsidRPr="00533642">
        <w:t>of the</w:t>
      </w:r>
      <w:r w:rsidRPr="00D775DD">
        <w:t xml:space="preserve"> wage </w:t>
      </w:r>
      <w:r w:rsidRPr="00533642">
        <w:t xml:space="preserve">bill </w:t>
      </w:r>
      <w:r>
        <w:t xml:space="preserve">has </w:t>
      </w:r>
      <w:r w:rsidRPr="00533642">
        <w:t>crowd</w:t>
      </w:r>
      <w:r>
        <w:t>ed</w:t>
      </w:r>
      <w:r w:rsidRPr="00533642">
        <w:t xml:space="preserve"> out other forms of current spending</w:t>
      </w:r>
      <w:r>
        <w:t xml:space="preserve"> and</w:t>
      </w:r>
      <w:r w:rsidRPr="00533642">
        <w:t xml:space="preserve"> capital investment</w:t>
      </w:r>
      <w:r>
        <w:t>.</w:t>
      </w:r>
      <w:r w:rsidRPr="00533642">
        <w:t xml:space="preserve"> </w:t>
      </w:r>
      <w:r>
        <w:t>T</w:t>
      </w:r>
      <w:r w:rsidRPr="00533642">
        <w:t xml:space="preserve">he unsustainable trajectory of personnel costs </w:t>
      </w:r>
      <w:r>
        <w:t>has also</w:t>
      </w:r>
      <w:r w:rsidRPr="00533642">
        <w:t xml:space="preserve"> contributed</w:t>
      </w:r>
      <w:r w:rsidRPr="00D775DD">
        <w:t xml:space="preserve"> to </w:t>
      </w:r>
      <w:r w:rsidRPr="00533642">
        <w:t xml:space="preserve">the accumulation </w:t>
      </w:r>
      <w:r w:rsidRPr="00D775DD">
        <w:t>of arrears</w:t>
      </w:r>
      <w:r w:rsidR="00C23527">
        <w:t>,</w:t>
      </w:r>
      <w:r w:rsidRPr="00D775DD">
        <w:t xml:space="preserve"> </w:t>
      </w:r>
      <w:r w:rsidRPr="00533642">
        <w:t xml:space="preserve">as authorities </w:t>
      </w:r>
      <w:r>
        <w:t xml:space="preserve">have </w:t>
      </w:r>
      <w:r w:rsidRPr="00533642">
        <w:t>struggled to</w:t>
      </w:r>
      <w:r w:rsidRPr="00D775DD">
        <w:t xml:space="preserve"> meet</w:t>
      </w:r>
      <w:r w:rsidRPr="00533642">
        <w:t xml:space="preserve"> their</w:t>
      </w:r>
      <w:r w:rsidRPr="00D775DD">
        <w:t xml:space="preserve"> payroll obligations. </w:t>
      </w:r>
      <w:r w:rsidRPr="00533642">
        <w:t xml:space="preserve">Meanwhile, the expansion of </w:t>
      </w:r>
      <w:r>
        <w:t>education services</w:t>
      </w:r>
      <w:r w:rsidRPr="00533642">
        <w:t xml:space="preserve"> </w:t>
      </w:r>
      <w:r>
        <w:t>was accomplished</w:t>
      </w:r>
      <w:r w:rsidRPr="00533642">
        <w:t xml:space="preserve"> at the expense of quality</w:t>
      </w:r>
      <w:r>
        <w:t xml:space="preserve">, and </w:t>
      </w:r>
      <w:r w:rsidRPr="00533642">
        <w:t>rising expenditures have not generated commensurate improvements in education and health outcomes</w:t>
      </w:r>
      <w:r w:rsidRPr="00D775DD">
        <w:t>.</w:t>
      </w:r>
      <w:r>
        <w:t xml:space="preserve"> The government has recently tightened restrictions on public employment in an attempt to control the growth of the wage bill, but measures to enhance the effectiveness of existing personnel will be necessary to improve the efficiency of current spending.</w:t>
      </w:r>
    </w:p>
    <w:p w14:paraId="01085DBE" w14:textId="77777777" w:rsidR="001F21D2" w:rsidRPr="00E45355" w:rsidRDefault="001F21D2" w:rsidP="002642FC">
      <w:pPr>
        <w:pStyle w:val="Heading2"/>
      </w:pPr>
      <w:bookmarkStart w:id="159" w:name="_Toc479624904"/>
      <w:r w:rsidRPr="00E45355">
        <w:lastRenderedPageBreak/>
        <w:t>T</w:t>
      </w:r>
      <w:r w:rsidR="003E4C80">
        <w:t>he education sector</w:t>
      </w:r>
      <w:bookmarkEnd w:id="159"/>
    </w:p>
    <w:p w14:paraId="3900E34B" w14:textId="77777777" w:rsidR="001F21D2" w:rsidRPr="000F2237" w:rsidRDefault="001F21D2" w:rsidP="00857F04">
      <w:pPr>
        <w:pStyle w:val="Heading3"/>
        <w:keepNext/>
      </w:pPr>
      <w:r w:rsidRPr="000F2237">
        <w:t>Financing</w:t>
      </w:r>
    </w:p>
    <w:p w14:paraId="721C8099" w14:textId="77777777" w:rsidR="001F21D2" w:rsidRPr="00533642" w:rsidRDefault="001F21D2" w:rsidP="00724BAB">
      <w:pPr>
        <w:pStyle w:val="ListParagraph"/>
        <w:numPr>
          <w:ilvl w:val="0"/>
          <w:numId w:val="9"/>
        </w:numPr>
      </w:pPr>
      <w:r>
        <w:rPr>
          <w:b/>
        </w:rPr>
        <w:t xml:space="preserve">As part of </w:t>
      </w:r>
      <w:r w:rsidRPr="00D775DD">
        <w:rPr>
          <w:b/>
        </w:rPr>
        <w:t>Ghana</w:t>
      </w:r>
      <w:r>
        <w:rPr>
          <w:b/>
        </w:rPr>
        <w:t xml:space="preserve">’s ongoing fiscal-consolidation effort, </w:t>
      </w:r>
      <w:r w:rsidRPr="00D775DD">
        <w:rPr>
          <w:b/>
        </w:rPr>
        <w:t xml:space="preserve">education </w:t>
      </w:r>
      <w:r>
        <w:rPr>
          <w:b/>
        </w:rPr>
        <w:t xml:space="preserve">spending has steadily declined as a share of the </w:t>
      </w:r>
      <w:r w:rsidRPr="00F0436D">
        <w:rPr>
          <w:b/>
        </w:rPr>
        <w:t>total</w:t>
      </w:r>
      <w:r>
        <w:t xml:space="preserve"> </w:t>
      </w:r>
      <w:r>
        <w:rPr>
          <w:b/>
        </w:rPr>
        <w:t>government budget</w:t>
      </w:r>
      <w:r w:rsidRPr="00D775DD">
        <w:rPr>
          <w:b/>
        </w:rPr>
        <w:t>.</w:t>
      </w:r>
      <w:r w:rsidRPr="00D775DD">
        <w:t xml:space="preserve"> </w:t>
      </w:r>
      <w:r w:rsidRPr="00533642">
        <w:t>E</w:t>
      </w:r>
      <w:r w:rsidRPr="00D775DD">
        <w:t xml:space="preserve">ducation </w:t>
      </w:r>
      <w:r w:rsidRPr="00533642">
        <w:t xml:space="preserve">spending </w:t>
      </w:r>
      <w:r w:rsidRPr="00D775DD">
        <w:t xml:space="preserve">fell from </w:t>
      </w:r>
      <w:r w:rsidRPr="00533642">
        <w:t>nearly 30</w:t>
      </w:r>
      <w:r w:rsidRPr="00D775DD">
        <w:t xml:space="preserve"> percent of </w:t>
      </w:r>
      <w:r>
        <w:t>public revenue</w:t>
      </w:r>
      <w:r w:rsidRPr="00D775DD">
        <w:t xml:space="preserve"> in 2012 to </w:t>
      </w:r>
      <w:r>
        <w:t xml:space="preserve">just over </w:t>
      </w:r>
      <w:r w:rsidRPr="00D775DD">
        <w:t xml:space="preserve">20 percent </w:t>
      </w:r>
      <w:r w:rsidRPr="00533642">
        <w:t>in</w:t>
      </w:r>
      <w:r w:rsidRPr="00D775DD">
        <w:t xml:space="preserve"> 2015 (</w:t>
      </w:r>
      <w:r w:rsidR="00A015A0">
        <w:fldChar w:fldCharType="begin"/>
      </w:r>
      <w:r w:rsidR="00A015A0">
        <w:instrText xml:space="preserve"> REF _Ref472430217 \h </w:instrText>
      </w:r>
      <w:r w:rsidR="00A015A0">
        <w:fldChar w:fldCharType="separate"/>
      </w:r>
      <w:r w:rsidR="007B1CE6" w:rsidRPr="00857F04">
        <w:t xml:space="preserve">Table </w:t>
      </w:r>
      <w:r w:rsidR="007B1CE6">
        <w:rPr>
          <w:noProof/>
        </w:rPr>
        <w:t>4</w:t>
      </w:r>
      <w:r w:rsidR="007B1CE6" w:rsidRPr="00857F04">
        <w:t>.</w:t>
      </w:r>
      <w:r w:rsidR="007B1CE6">
        <w:rPr>
          <w:noProof/>
        </w:rPr>
        <w:t>2</w:t>
      </w:r>
      <w:r w:rsidR="00A015A0">
        <w:fldChar w:fldCharType="end"/>
      </w:r>
      <w:r w:rsidRPr="00D775DD">
        <w:t>)</w:t>
      </w:r>
      <w:r>
        <w:t xml:space="preserve">. Nevertheless, the education budget </w:t>
      </w:r>
      <w:r w:rsidRPr="00533642">
        <w:t>remain</w:t>
      </w:r>
      <w:r>
        <w:t>s</w:t>
      </w:r>
      <w:r w:rsidRPr="00533642">
        <w:t xml:space="preserve"> above </w:t>
      </w:r>
      <w:r w:rsidRPr="00D775DD">
        <w:t xml:space="preserve">the </w:t>
      </w:r>
      <w:r w:rsidRPr="00533642">
        <w:t xml:space="preserve">20 percent benchmark </w:t>
      </w:r>
      <w:r w:rsidRPr="00D775DD">
        <w:t>set by the Global Partnership for Education</w:t>
      </w:r>
      <w:r w:rsidRPr="00533642">
        <w:t>,</w:t>
      </w:r>
      <w:r w:rsidRPr="00D775DD">
        <w:rPr>
          <w:vertAlign w:val="superscript"/>
        </w:rPr>
        <w:footnoteReference w:id="116"/>
      </w:r>
      <w:r w:rsidRPr="00D775DD">
        <w:t xml:space="preserve"> </w:t>
      </w:r>
      <w:r w:rsidRPr="00533642">
        <w:t>reflecting</w:t>
      </w:r>
      <w:r w:rsidRPr="00D775DD">
        <w:t xml:space="preserve"> the </w:t>
      </w:r>
      <w:r w:rsidRPr="00533642">
        <w:t xml:space="preserve">government’s </w:t>
      </w:r>
      <w:r w:rsidRPr="00D775DD">
        <w:t xml:space="preserve">commitment to </w:t>
      </w:r>
      <w:r>
        <w:t>achieving its objectives for the education sector</w:t>
      </w:r>
      <w:r w:rsidRPr="00D775DD">
        <w:t xml:space="preserve">. Over the last four decades, </w:t>
      </w:r>
      <w:r>
        <w:t>public</w:t>
      </w:r>
      <w:r w:rsidRPr="00D775DD">
        <w:t xml:space="preserve"> spending on education has </w:t>
      </w:r>
      <w:r w:rsidRPr="00533642">
        <w:t>experienced</w:t>
      </w:r>
      <w:r w:rsidRPr="00D775DD">
        <w:t xml:space="preserve"> cycles of </w:t>
      </w:r>
      <w:r w:rsidRPr="00533642">
        <w:t>growth</w:t>
      </w:r>
      <w:r w:rsidRPr="00D775DD">
        <w:t xml:space="preserve"> and</w:t>
      </w:r>
      <w:r w:rsidRPr="00A84D4D">
        <w:t xml:space="preserve"> </w:t>
      </w:r>
      <w:r w:rsidRPr="00D775DD">
        <w:t xml:space="preserve">decline. </w:t>
      </w:r>
      <w:r>
        <w:t>In the most recent cycle, e</w:t>
      </w:r>
      <w:r w:rsidRPr="00D775DD">
        <w:t xml:space="preserve">ducation </w:t>
      </w:r>
      <w:r w:rsidRPr="00533642">
        <w:t>spending rose to a peak of</w:t>
      </w:r>
      <w:r w:rsidRPr="00D775DD">
        <w:t xml:space="preserve"> 6.</w:t>
      </w:r>
      <w:r w:rsidR="007666AE">
        <w:t>4</w:t>
      </w:r>
      <w:r w:rsidRPr="00533642">
        <w:t xml:space="preserve"> percent</w:t>
      </w:r>
      <w:r w:rsidRPr="00D775DD">
        <w:t xml:space="preserve"> </w:t>
      </w:r>
      <w:r w:rsidRPr="00533642">
        <w:t xml:space="preserve">of GDP </w:t>
      </w:r>
      <w:r w:rsidRPr="00D775DD">
        <w:t>in 2012</w:t>
      </w:r>
      <w:r>
        <w:t>, then</w:t>
      </w:r>
      <w:r w:rsidRPr="00D775DD">
        <w:t xml:space="preserve"> </w:t>
      </w:r>
      <w:r w:rsidRPr="00533642">
        <w:t>fell to a</w:t>
      </w:r>
      <w:r w:rsidRPr="00D775DD">
        <w:t xml:space="preserve"> low </w:t>
      </w:r>
      <w:r w:rsidRPr="00533642">
        <w:t>of</w:t>
      </w:r>
      <w:r w:rsidRPr="00D775DD">
        <w:t xml:space="preserve"> 4.</w:t>
      </w:r>
      <w:r w:rsidR="007666AE">
        <w:t>4</w:t>
      </w:r>
      <w:r w:rsidRPr="00D775DD">
        <w:t xml:space="preserve"> </w:t>
      </w:r>
      <w:r w:rsidRPr="00533642">
        <w:t>percent</w:t>
      </w:r>
      <w:r w:rsidRPr="00D775DD">
        <w:t xml:space="preserve"> </w:t>
      </w:r>
      <w:r w:rsidRPr="00533642">
        <w:t xml:space="preserve">of GDP </w:t>
      </w:r>
      <w:r w:rsidRPr="00D775DD">
        <w:t xml:space="preserve">in 2015. </w:t>
      </w:r>
    </w:p>
    <w:p w14:paraId="4A7E5668" w14:textId="77777777" w:rsidR="001F21D2" w:rsidRPr="00857F04" w:rsidRDefault="007A0C35" w:rsidP="007A0C35">
      <w:pPr>
        <w:pStyle w:val="Caption"/>
        <w:rPr>
          <w:lang w:val="en-US"/>
        </w:rPr>
      </w:pPr>
      <w:bookmarkStart w:id="160" w:name="_Ref472430217"/>
      <w:bookmarkStart w:id="161" w:name="_Toc478837650"/>
      <w:r w:rsidRPr="00857F04">
        <w:rPr>
          <w:lang w:val="en-US"/>
        </w:rPr>
        <w:t xml:space="preserve">Table </w:t>
      </w:r>
      <w:r w:rsidR="00500291" w:rsidRPr="00857F04">
        <w:rPr>
          <w:lang w:val="en-US"/>
        </w:rPr>
        <w:fldChar w:fldCharType="begin"/>
      </w:r>
      <w:r w:rsidR="00500291" w:rsidRPr="00857F04">
        <w:rPr>
          <w:lang w:val="en-US"/>
        </w:rPr>
        <w:instrText xml:space="preserve"> STYLEREF 1 \s </w:instrText>
      </w:r>
      <w:r w:rsidR="00500291" w:rsidRPr="00857F04">
        <w:rPr>
          <w:lang w:val="en-US"/>
        </w:rPr>
        <w:fldChar w:fldCharType="separate"/>
      </w:r>
      <w:r w:rsidR="007B1CE6">
        <w:rPr>
          <w:noProof/>
          <w:lang w:val="en-US"/>
        </w:rPr>
        <w:t>4</w:t>
      </w:r>
      <w:r w:rsidR="00500291" w:rsidRPr="00857F04">
        <w:rPr>
          <w:lang w:val="en-US"/>
        </w:rPr>
        <w:fldChar w:fldCharType="end"/>
      </w:r>
      <w:r w:rsidR="00500291" w:rsidRPr="00857F04">
        <w:rPr>
          <w:lang w:val="en-US"/>
        </w:rPr>
        <w:t>.</w:t>
      </w:r>
      <w:r w:rsidR="00500291" w:rsidRPr="00857F04">
        <w:rPr>
          <w:lang w:val="en-US"/>
        </w:rPr>
        <w:fldChar w:fldCharType="begin"/>
      </w:r>
      <w:r w:rsidR="00500291" w:rsidRPr="00857F04">
        <w:rPr>
          <w:lang w:val="en-US"/>
        </w:rPr>
        <w:instrText xml:space="preserve"> SEQ Table \* ARABIC \s 1 </w:instrText>
      </w:r>
      <w:r w:rsidR="00500291" w:rsidRPr="00857F04">
        <w:rPr>
          <w:lang w:val="en-US"/>
        </w:rPr>
        <w:fldChar w:fldCharType="separate"/>
      </w:r>
      <w:r w:rsidR="007B1CE6">
        <w:rPr>
          <w:noProof/>
          <w:lang w:val="en-US"/>
        </w:rPr>
        <w:t>2</w:t>
      </w:r>
      <w:r w:rsidR="00500291" w:rsidRPr="00857F04">
        <w:rPr>
          <w:lang w:val="en-US"/>
        </w:rPr>
        <w:fldChar w:fldCharType="end"/>
      </w:r>
      <w:bookmarkEnd w:id="160"/>
      <w:r w:rsidR="001F21D2" w:rsidRPr="00857F04">
        <w:rPr>
          <w:lang w:val="en-US"/>
        </w:rPr>
        <w:t>: Education Funding by Source, 2011-2015 (in GH</w:t>
      </w:r>
      <w:r w:rsidR="001F21D2" w:rsidRPr="00857F04">
        <w:rPr>
          <w:rFonts w:cs="Calibri"/>
          <w:lang w:val="en-US"/>
        </w:rPr>
        <w:t>¢</w:t>
      </w:r>
      <w:r w:rsidR="001F21D2" w:rsidRPr="00857F04">
        <w:rPr>
          <w:lang w:val="en-US"/>
        </w:rPr>
        <w:t xml:space="preserve"> millions unless otherwise specified)</w:t>
      </w:r>
      <w:bookmarkEnd w:id="161"/>
    </w:p>
    <w:tbl>
      <w:tblPr>
        <w:tblW w:w="9257" w:type="dxa"/>
        <w:jc w:val="center"/>
        <w:tblLook w:val="04A0" w:firstRow="1" w:lastRow="0" w:firstColumn="1" w:lastColumn="0" w:noHBand="0" w:noVBand="1"/>
      </w:tblPr>
      <w:tblGrid>
        <w:gridCol w:w="3827"/>
        <w:gridCol w:w="1098"/>
        <w:gridCol w:w="1083"/>
        <w:gridCol w:w="1083"/>
        <w:gridCol w:w="1083"/>
        <w:gridCol w:w="1083"/>
      </w:tblGrid>
      <w:tr w:rsidR="001F21D2" w:rsidRPr="007F21EC" w14:paraId="1CEBE4C8" w14:textId="77777777" w:rsidTr="00093DD8">
        <w:trPr>
          <w:trHeight w:val="280"/>
          <w:jc w:val="center"/>
        </w:trPr>
        <w:tc>
          <w:tcPr>
            <w:tcW w:w="38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C5B21D" w14:textId="77777777" w:rsidR="001F21D2" w:rsidRPr="007F21EC" w:rsidRDefault="001F21D2" w:rsidP="005A7652">
            <w:pPr>
              <w:spacing w:after="120"/>
              <w:rPr>
                <w:rFonts w:ascii="Garamond" w:hAnsi="Garamond"/>
                <w:sz w:val="20"/>
                <w:szCs w:val="20"/>
              </w:rPr>
            </w:pPr>
            <w:r w:rsidRPr="007F21EC">
              <w:rPr>
                <w:rFonts w:ascii="Garamond" w:hAnsi="Garamond"/>
                <w:sz w:val="20"/>
                <w:szCs w:val="20"/>
              </w:rPr>
              <w:t> Funding Sources</w:t>
            </w:r>
          </w:p>
        </w:tc>
        <w:tc>
          <w:tcPr>
            <w:tcW w:w="1098" w:type="dxa"/>
            <w:tcBorders>
              <w:top w:val="single" w:sz="8" w:space="0" w:color="auto"/>
              <w:left w:val="nil"/>
              <w:bottom w:val="single" w:sz="8" w:space="0" w:color="auto"/>
              <w:right w:val="single" w:sz="8" w:space="0" w:color="auto"/>
            </w:tcBorders>
            <w:shd w:val="clear" w:color="auto" w:fill="auto"/>
            <w:noWrap/>
            <w:vAlign w:val="center"/>
            <w:hideMark/>
          </w:tcPr>
          <w:p w14:paraId="1A4EF6AD" w14:textId="77777777" w:rsidR="001F21D2" w:rsidRPr="007F21EC" w:rsidRDefault="001F21D2" w:rsidP="005A7652">
            <w:pPr>
              <w:spacing w:after="120"/>
              <w:rPr>
                <w:rFonts w:ascii="Garamond" w:hAnsi="Garamond"/>
                <w:sz w:val="20"/>
                <w:szCs w:val="20"/>
              </w:rPr>
            </w:pPr>
            <w:r w:rsidRPr="007F21EC">
              <w:rPr>
                <w:rFonts w:ascii="Garamond" w:hAnsi="Garamond"/>
                <w:sz w:val="20"/>
                <w:szCs w:val="20"/>
              </w:rPr>
              <w:t>2011</w:t>
            </w:r>
          </w:p>
        </w:tc>
        <w:tc>
          <w:tcPr>
            <w:tcW w:w="1083" w:type="dxa"/>
            <w:tcBorders>
              <w:top w:val="single" w:sz="8" w:space="0" w:color="auto"/>
              <w:left w:val="nil"/>
              <w:bottom w:val="single" w:sz="8" w:space="0" w:color="auto"/>
              <w:right w:val="single" w:sz="8" w:space="0" w:color="auto"/>
            </w:tcBorders>
            <w:shd w:val="clear" w:color="auto" w:fill="auto"/>
            <w:noWrap/>
            <w:vAlign w:val="center"/>
            <w:hideMark/>
          </w:tcPr>
          <w:p w14:paraId="625A134D" w14:textId="77777777" w:rsidR="001F21D2" w:rsidRPr="007F21EC" w:rsidRDefault="001F21D2" w:rsidP="005A7652">
            <w:pPr>
              <w:spacing w:after="120"/>
              <w:rPr>
                <w:rFonts w:ascii="Garamond" w:hAnsi="Garamond"/>
                <w:sz w:val="20"/>
                <w:szCs w:val="20"/>
              </w:rPr>
            </w:pPr>
            <w:r w:rsidRPr="007F21EC">
              <w:rPr>
                <w:rFonts w:ascii="Garamond" w:hAnsi="Garamond"/>
                <w:sz w:val="20"/>
                <w:szCs w:val="20"/>
              </w:rPr>
              <w:t>2012</w:t>
            </w:r>
          </w:p>
        </w:tc>
        <w:tc>
          <w:tcPr>
            <w:tcW w:w="1083" w:type="dxa"/>
            <w:tcBorders>
              <w:top w:val="single" w:sz="8" w:space="0" w:color="auto"/>
              <w:left w:val="nil"/>
              <w:bottom w:val="single" w:sz="8" w:space="0" w:color="auto"/>
              <w:right w:val="single" w:sz="8" w:space="0" w:color="auto"/>
            </w:tcBorders>
            <w:shd w:val="clear" w:color="auto" w:fill="auto"/>
            <w:noWrap/>
            <w:vAlign w:val="center"/>
            <w:hideMark/>
          </w:tcPr>
          <w:p w14:paraId="34A3639D" w14:textId="77777777" w:rsidR="001F21D2" w:rsidRPr="007F21EC" w:rsidRDefault="001F21D2" w:rsidP="005A7652">
            <w:pPr>
              <w:spacing w:after="120"/>
              <w:rPr>
                <w:rFonts w:ascii="Garamond" w:hAnsi="Garamond"/>
                <w:sz w:val="20"/>
                <w:szCs w:val="20"/>
              </w:rPr>
            </w:pPr>
            <w:r w:rsidRPr="007F21EC">
              <w:rPr>
                <w:rFonts w:ascii="Garamond" w:hAnsi="Garamond"/>
                <w:sz w:val="20"/>
                <w:szCs w:val="20"/>
              </w:rPr>
              <w:t>2013</w:t>
            </w:r>
          </w:p>
        </w:tc>
        <w:tc>
          <w:tcPr>
            <w:tcW w:w="1083" w:type="dxa"/>
            <w:tcBorders>
              <w:top w:val="single" w:sz="8" w:space="0" w:color="auto"/>
              <w:left w:val="nil"/>
              <w:bottom w:val="single" w:sz="8" w:space="0" w:color="auto"/>
              <w:right w:val="single" w:sz="8" w:space="0" w:color="auto"/>
            </w:tcBorders>
            <w:shd w:val="clear" w:color="auto" w:fill="auto"/>
            <w:noWrap/>
            <w:vAlign w:val="center"/>
            <w:hideMark/>
          </w:tcPr>
          <w:p w14:paraId="7B31546D" w14:textId="77777777" w:rsidR="001F21D2" w:rsidRPr="007F21EC" w:rsidRDefault="001F21D2" w:rsidP="005A7652">
            <w:pPr>
              <w:spacing w:after="120"/>
              <w:rPr>
                <w:rFonts w:ascii="Garamond" w:hAnsi="Garamond"/>
                <w:sz w:val="20"/>
                <w:szCs w:val="20"/>
              </w:rPr>
            </w:pPr>
            <w:r w:rsidRPr="007F21EC">
              <w:rPr>
                <w:rFonts w:ascii="Garamond" w:hAnsi="Garamond"/>
                <w:sz w:val="20"/>
                <w:szCs w:val="20"/>
              </w:rPr>
              <w:t>2014</w:t>
            </w:r>
          </w:p>
        </w:tc>
        <w:tc>
          <w:tcPr>
            <w:tcW w:w="1083" w:type="dxa"/>
            <w:tcBorders>
              <w:top w:val="single" w:sz="8" w:space="0" w:color="auto"/>
              <w:left w:val="nil"/>
              <w:bottom w:val="single" w:sz="8" w:space="0" w:color="auto"/>
              <w:right w:val="single" w:sz="8" w:space="0" w:color="auto"/>
            </w:tcBorders>
            <w:shd w:val="clear" w:color="auto" w:fill="auto"/>
            <w:noWrap/>
            <w:vAlign w:val="center"/>
            <w:hideMark/>
          </w:tcPr>
          <w:p w14:paraId="2E80C3FF" w14:textId="77777777" w:rsidR="001F21D2" w:rsidRPr="007F21EC" w:rsidRDefault="001F21D2" w:rsidP="005A7652">
            <w:pPr>
              <w:spacing w:after="120"/>
              <w:rPr>
                <w:rFonts w:ascii="Garamond" w:hAnsi="Garamond"/>
                <w:sz w:val="20"/>
                <w:szCs w:val="20"/>
              </w:rPr>
            </w:pPr>
            <w:r w:rsidRPr="007F21EC">
              <w:rPr>
                <w:rFonts w:ascii="Garamond" w:hAnsi="Garamond"/>
                <w:sz w:val="20"/>
                <w:szCs w:val="20"/>
              </w:rPr>
              <w:t>2015</w:t>
            </w:r>
          </w:p>
        </w:tc>
      </w:tr>
      <w:tr w:rsidR="007F21EC" w:rsidRPr="007F21EC" w14:paraId="3E847F2F" w14:textId="77777777" w:rsidTr="00093DD8">
        <w:trPr>
          <w:trHeight w:val="280"/>
          <w:jc w:val="center"/>
        </w:trPr>
        <w:tc>
          <w:tcPr>
            <w:tcW w:w="3827" w:type="dxa"/>
            <w:tcBorders>
              <w:top w:val="nil"/>
              <w:left w:val="single" w:sz="8" w:space="0" w:color="auto"/>
              <w:bottom w:val="single" w:sz="8" w:space="0" w:color="auto"/>
              <w:right w:val="single" w:sz="8" w:space="0" w:color="auto"/>
            </w:tcBorders>
            <w:shd w:val="clear" w:color="auto" w:fill="auto"/>
            <w:noWrap/>
            <w:vAlign w:val="center"/>
            <w:hideMark/>
          </w:tcPr>
          <w:p w14:paraId="20B489A6"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Government of Ghana</w:t>
            </w:r>
          </w:p>
        </w:tc>
        <w:tc>
          <w:tcPr>
            <w:tcW w:w="1098" w:type="dxa"/>
            <w:tcBorders>
              <w:top w:val="nil"/>
              <w:left w:val="nil"/>
              <w:bottom w:val="single" w:sz="8" w:space="0" w:color="auto"/>
              <w:right w:val="single" w:sz="8" w:space="0" w:color="auto"/>
            </w:tcBorders>
            <w:shd w:val="clear" w:color="auto" w:fill="auto"/>
            <w:noWrap/>
            <w:hideMark/>
          </w:tcPr>
          <w:p w14:paraId="49117999"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2,563.39</w:t>
            </w:r>
          </w:p>
        </w:tc>
        <w:tc>
          <w:tcPr>
            <w:tcW w:w="1083" w:type="dxa"/>
            <w:tcBorders>
              <w:top w:val="nil"/>
              <w:left w:val="nil"/>
              <w:bottom w:val="single" w:sz="8" w:space="0" w:color="auto"/>
              <w:right w:val="single" w:sz="8" w:space="0" w:color="auto"/>
            </w:tcBorders>
            <w:shd w:val="clear" w:color="auto" w:fill="auto"/>
            <w:noWrap/>
            <w:hideMark/>
          </w:tcPr>
          <w:p w14:paraId="3E72C9AF"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4,587.18</w:t>
            </w:r>
          </w:p>
        </w:tc>
        <w:tc>
          <w:tcPr>
            <w:tcW w:w="1083" w:type="dxa"/>
            <w:tcBorders>
              <w:top w:val="nil"/>
              <w:left w:val="nil"/>
              <w:bottom w:val="single" w:sz="8" w:space="0" w:color="auto"/>
              <w:right w:val="single" w:sz="8" w:space="0" w:color="auto"/>
            </w:tcBorders>
            <w:shd w:val="clear" w:color="auto" w:fill="auto"/>
            <w:noWrap/>
            <w:hideMark/>
          </w:tcPr>
          <w:p w14:paraId="54B01604"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4,503.78</w:t>
            </w:r>
          </w:p>
        </w:tc>
        <w:tc>
          <w:tcPr>
            <w:tcW w:w="1083" w:type="dxa"/>
            <w:tcBorders>
              <w:top w:val="nil"/>
              <w:left w:val="nil"/>
              <w:bottom w:val="single" w:sz="8" w:space="0" w:color="auto"/>
              <w:right w:val="single" w:sz="8" w:space="0" w:color="auto"/>
            </w:tcBorders>
            <w:shd w:val="clear" w:color="auto" w:fill="auto"/>
            <w:noWrap/>
            <w:hideMark/>
          </w:tcPr>
          <w:p w14:paraId="02497052"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5,235.93</w:t>
            </w:r>
          </w:p>
        </w:tc>
        <w:tc>
          <w:tcPr>
            <w:tcW w:w="1083" w:type="dxa"/>
            <w:tcBorders>
              <w:top w:val="nil"/>
              <w:left w:val="nil"/>
              <w:bottom w:val="single" w:sz="8" w:space="0" w:color="auto"/>
              <w:right w:val="single" w:sz="8" w:space="0" w:color="auto"/>
            </w:tcBorders>
            <w:shd w:val="clear" w:color="auto" w:fill="auto"/>
            <w:noWrap/>
            <w:hideMark/>
          </w:tcPr>
          <w:p w14:paraId="5666BD99"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5,911.25</w:t>
            </w:r>
          </w:p>
        </w:tc>
      </w:tr>
      <w:tr w:rsidR="007F21EC" w:rsidRPr="007F21EC" w14:paraId="3F12130E" w14:textId="77777777" w:rsidTr="00093DD8">
        <w:trPr>
          <w:trHeight w:val="280"/>
          <w:jc w:val="center"/>
        </w:trPr>
        <w:tc>
          <w:tcPr>
            <w:tcW w:w="3827" w:type="dxa"/>
            <w:tcBorders>
              <w:top w:val="nil"/>
              <w:left w:val="single" w:sz="8" w:space="0" w:color="auto"/>
              <w:bottom w:val="single" w:sz="8" w:space="0" w:color="auto"/>
              <w:right w:val="single" w:sz="8" w:space="0" w:color="auto"/>
            </w:tcBorders>
            <w:shd w:val="clear" w:color="auto" w:fill="auto"/>
            <w:noWrap/>
            <w:vAlign w:val="center"/>
            <w:hideMark/>
          </w:tcPr>
          <w:p w14:paraId="7C100E6E"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Government (% of GDP)</w:t>
            </w:r>
          </w:p>
        </w:tc>
        <w:tc>
          <w:tcPr>
            <w:tcW w:w="1098" w:type="dxa"/>
            <w:tcBorders>
              <w:top w:val="nil"/>
              <w:left w:val="nil"/>
              <w:bottom w:val="single" w:sz="8" w:space="0" w:color="auto"/>
              <w:right w:val="single" w:sz="8" w:space="0" w:color="auto"/>
            </w:tcBorders>
            <w:shd w:val="clear" w:color="auto" w:fill="auto"/>
            <w:noWrap/>
            <w:hideMark/>
          </w:tcPr>
          <w:p w14:paraId="0F06826E" w14:textId="77777777" w:rsidR="007F21EC" w:rsidRPr="007F21EC" w:rsidRDefault="007F21EC" w:rsidP="007666AE">
            <w:pPr>
              <w:spacing w:after="120"/>
              <w:rPr>
                <w:rFonts w:ascii="Garamond" w:hAnsi="Garamond"/>
                <w:sz w:val="20"/>
                <w:szCs w:val="20"/>
              </w:rPr>
            </w:pPr>
            <w:r w:rsidRPr="007F21EC">
              <w:rPr>
                <w:rFonts w:ascii="Garamond" w:hAnsi="Garamond"/>
                <w:sz w:val="20"/>
                <w:szCs w:val="20"/>
              </w:rPr>
              <w:t>4.5</w:t>
            </w:r>
          </w:p>
        </w:tc>
        <w:tc>
          <w:tcPr>
            <w:tcW w:w="1083" w:type="dxa"/>
            <w:tcBorders>
              <w:top w:val="nil"/>
              <w:left w:val="nil"/>
              <w:bottom w:val="single" w:sz="8" w:space="0" w:color="auto"/>
              <w:right w:val="single" w:sz="8" w:space="0" w:color="auto"/>
            </w:tcBorders>
            <w:shd w:val="clear" w:color="auto" w:fill="auto"/>
            <w:noWrap/>
            <w:hideMark/>
          </w:tcPr>
          <w:p w14:paraId="07C6822B" w14:textId="77777777" w:rsidR="007F21EC" w:rsidRPr="007F21EC" w:rsidRDefault="007F21EC" w:rsidP="007666AE">
            <w:pPr>
              <w:spacing w:after="120"/>
              <w:rPr>
                <w:rFonts w:ascii="Garamond" w:hAnsi="Garamond"/>
                <w:sz w:val="20"/>
                <w:szCs w:val="20"/>
              </w:rPr>
            </w:pPr>
            <w:r w:rsidRPr="007F21EC">
              <w:rPr>
                <w:rFonts w:ascii="Garamond" w:hAnsi="Garamond"/>
                <w:sz w:val="20"/>
                <w:szCs w:val="20"/>
              </w:rPr>
              <w:t>6.</w:t>
            </w:r>
            <w:r w:rsidR="007666AE">
              <w:rPr>
                <w:rFonts w:ascii="Garamond" w:hAnsi="Garamond"/>
                <w:sz w:val="20"/>
                <w:szCs w:val="20"/>
              </w:rPr>
              <w:t>4</w:t>
            </w:r>
          </w:p>
        </w:tc>
        <w:tc>
          <w:tcPr>
            <w:tcW w:w="1083" w:type="dxa"/>
            <w:tcBorders>
              <w:top w:val="nil"/>
              <w:left w:val="nil"/>
              <w:bottom w:val="single" w:sz="8" w:space="0" w:color="auto"/>
              <w:right w:val="single" w:sz="8" w:space="0" w:color="auto"/>
            </w:tcBorders>
            <w:shd w:val="clear" w:color="auto" w:fill="auto"/>
            <w:noWrap/>
            <w:hideMark/>
          </w:tcPr>
          <w:p w14:paraId="657C54AE" w14:textId="77777777" w:rsidR="007F21EC" w:rsidRPr="007F21EC" w:rsidRDefault="007F21EC" w:rsidP="007666AE">
            <w:pPr>
              <w:spacing w:after="120"/>
              <w:rPr>
                <w:rFonts w:ascii="Garamond" w:hAnsi="Garamond"/>
                <w:sz w:val="20"/>
                <w:szCs w:val="20"/>
              </w:rPr>
            </w:pPr>
            <w:r w:rsidRPr="007F21EC">
              <w:rPr>
                <w:rFonts w:ascii="Garamond" w:hAnsi="Garamond"/>
                <w:sz w:val="20"/>
                <w:szCs w:val="20"/>
              </w:rPr>
              <w:t>4.8</w:t>
            </w:r>
          </w:p>
        </w:tc>
        <w:tc>
          <w:tcPr>
            <w:tcW w:w="1083" w:type="dxa"/>
            <w:tcBorders>
              <w:top w:val="nil"/>
              <w:left w:val="nil"/>
              <w:bottom w:val="single" w:sz="8" w:space="0" w:color="auto"/>
              <w:right w:val="single" w:sz="8" w:space="0" w:color="auto"/>
            </w:tcBorders>
            <w:shd w:val="clear" w:color="auto" w:fill="auto"/>
            <w:noWrap/>
            <w:hideMark/>
          </w:tcPr>
          <w:p w14:paraId="6DC985BA" w14:textId="77777777" w:rsidR="007F21EC" w:rsidRPr="007F21EC" w:rsidRDefault="007F21EC" w:rsidP="007666AE">
            <w:pPr>
              <w:spacing w:after="120"/>
              <w:rPr>
                <w:rFonts w:ascii="Garamond" w:hAnsi="Garamond"/>
                <w:sz w:val="20"/>
                <w:szCs w:val="20"/>
              </w:rPr>
            </w:pPr>
            <w:r w:rsidRPr="007F21EC">
              <w:rPr>
                <w:rFonts w:ascii="Garamond" w:hAnsi="Garamond"/>
                <w:sz w:val="20"/>
                <w:szCs w:val="20"/>
              </w:rPr>
              <w:t>4.6</w:t>
            </w:r>
          </w:p>
        </w:tc>
        <w:tc>
          <w:tcPr>
            <w:tcW w:w="1083" w:type="dxa"/>
            <w:tcBorders>
              <w:top w:val="nil"/>
              <w:left w:val="nil"/>
              <w:bottom w:val="single" w:sz="8" w:space="0" w:color="auto"/>
              <w:right w:val="single" w:sz="8" w:space="0" w:color="auto"/>
            </w:tcBorders>
            <w:shd w:val="clear" w:color="auto" w:fill="auto"/>
            <w:noWrap/>
            <w:hideMark/>
          </w:tcPr>
          <w:p w14:paraId="671C2DB3" w14:textId="77777777" w:rsidR="007F21EC" w:rsidRPr="007F21EC" w:rsidRDefault="007F21EC" w:rsidP="007666AE">
            <w:pPr>
              <w:spacing w:after="120"/>
              <w:rPr>
                <w:rFonts w:ascii="Garamond" w:hAnsi="Garamond"/>
                <w:sz w:val="20"/>
                <w:szCs w:val="20"/>
              </w:rPr>
            </w:pPr>
            <w:r w:rsidRPr="007F21EC">
              <w:rPr>
                <w:rFonts w:ascii="Garamond" w:hAnsi="Garamond"/>
                <w:sz w:val="20"/>
                <w:szCs w:val="20"/>
              </w:rPr>
              <w:t>4.4</w:t>
            </w:r>
          </w:p>
        </w:tc>
      </w:tr>
      <w:tr w:rsidR="007F21EC" w:rsidRPr="007F21EC" w14:paraId="2E010D16" w14:textId="77777777" w:rsidTr="00093DD8">
        <w:trPr>
          <w:trHeight w:val="280"/>
          <w:jc w:val="center"/>
        </w:trPr>
        <w:tc>
          <w:tcPr>
            <w:tcW w:w="3827" w:type="dxa"/>
            <w:tcBorders>
              <w:top w:val="nil"/>
              <w:left w:val="single" w:sz="8" w:space="0" w:color="auto"/>
              <w:bottom w:val="single" w:sz="8" w:space="0" w:color="auto"/>
              <w:right w:val="single" w:sz="8" w:space="0" w:color="auto"/>
            </w:tcBorders>
            <w:shd w:val="clear" w:color="auto" w:fill="auto"/>
            <w:noWrap/>
            <w:vAlign w:val="center"/>
            <w:hideMark/>
          </w:tcPr>
          <w:p w14:paraId="3371D08F"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Government (% of Total Revenue)</w:t>
            </w:r>
          </w:p>
        </w:tc>
        <w:tc>
          <w:tcPr>
            <w:tcW w:w="1098" w:type="dxa"/>
            <w:tcBorders>
              <w:top w:val="nil"/>
              <w:left w:val="nil"/>
              <w:bottom w:val="single" w:sz="8" w:space="0" w:color="auto"/>
              <w:right w:val="single" w:sz="8" w:space="0" w:color="auto"/>
            </w:tcBorders>
            <w:shd w:val="clear" w:color="auto" w:fill="auto"/>
            <w:noWrap/>
            <w:hideMark/>
          </w:tcPr>
          <w:p w14:paraId="305ADAF0"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21.93</w:t>
            </w:r>
          </w:p>
        </w:tc>
        <w:tc>
          <w:tcPr>
            <w:tcW w:w="1083" w:type="dxa"/>
            <w:tcBorders>
              <w:top w:val="nil"/>
              <w:left w:val="nil"/>
              <w:bottom w:val="single" w:sz="8" w:space="0" w:color="auto"/>
              <w:right w:val="single" w:sz="8" w:space="0" w:color="auto"/>
            </w:tcBorders>
            <w:shd w:val="clear" w:color="auto" w:fill="auto"/>
            <w:noWrap/>
            <w:hideMark/>
          </w:tcPr>
          <w:p w14:paraId="288DECA0"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29.43</w:t>
            </w:r>
          </w:p>
        </w:tc>
        <w:tc>
          <w:tcPr>
            <w:tcW w:w="1083" w:type="dxa"/>
            <w:tcBorders>
              <w:top w:val="nil"/>
              <w:left w:val="nil"/>
              <w:bottom w:val="single" w:sz="8" w:space="0" w:color="auto"/>
              <w:right w:val="single" w:sz="8" w:space="0" w:color="auto"/>
            </w:tcBorders>
            <w:shd w:val="clear" w:color="auto" w:fill="auto"/>
            <w:noWrap/>
            <w:hideMark/>
          </w:tcPr>
          <w:p w14:paraId="67BB7BE2"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24.59</w:t>
            </w:r>
          </w:p>
        </w:tc>
        <w:tc>
          <w:tcPr>
            <w:tcW w:w="1083" w:type="dxa"/>
            <w:tcBorders>
              <w:top w:val="nil"/>
              <w:left w:val="nil"/>
              <w:bottom w:val="single" w:sz="8" w:space="0" w:color="auto"/>
              <w:right w:val="single" w:sz="8" w:space="0" w:color="auto"/>
            </w:tcBorders>
            <w:shd w:val="clear" w:color="auto" w:fill="auto"/>
            <w:noWrap/>
            <w:hideMark/>
          </w:tcPr>
          <w:p w14:paraId="1E8C6B10"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22.63</w:t>
            </w:r>
          </w:p>
        </w:tc>
        <w:tc>
          <w:tcPr>
            <w:tcW w:w="1083" w:type="dxa"/>
            <w:tcBorders>
              <w:top w:val="nil"/>
              <w:left w:val="nil"/>
              <w:bottom w:val="single" w:sz="8" w:space="0" w:color="auto"/>
              <w:right w:val="single" w:sz="8" w:space="0" w:color="auto"/>
            </w:tcBorders>
            <w:shd w:val="clear" w:color="auto" w:fill="auto"/>
            <w:noWrap/>
            <w:hideMark/>
          </w:tcPr>
          <w:p w14:paraId="0BF4161D"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20.14</w:t>
            </w:r>
          </w:p>
        </w:tc>
      </w:tr>
      <w:tr w:rsidR="007F21EC" w:rsidRPr="007F21EC" w14:paraId="5DEE2104" w14:textId="77777777" w:rsidTr="00093DD8">
        <w:trPr>
          <w:trHeight w:val="280"/>
          <w:jc w:val="center"/>
        </w:trPr>
        <w:tc>
          <w:tcPr>
            <w:tcW w:w="3827" w:type="dxa"/>
            <w:tcBorders>
              <w:top w:val="nil"/>
              <w:left w:val="single" w:sz="8" w:space="0" w:color="auto"/>
              <w:bottom w:val="single" w:sz="8" w:space="0" w:color="auto"/>
              <w:right w:val="single" w:sz="8" w:space="0" w:color="auto"/>
            </w:tcBorders>
            <w:shd w:val="clear" w:color="auto" w:fill="auto"/>
            <w:noWrap/>
            <w:vAlign w:val="center"/>
            <w:hideMark/>
          </w:tcPr>
          <w:p w14:paraId="795FC175"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Donor</w:t>
            </w:r>
          </w:p>
        </w:tc>
        <w:tc>
          <w:tcPr>
            <w:tcW w:w="1098" w:type="dxa"/>
            <w:tcBorders>
              <w:top w:val="nil"/>
              <w:left w:val="nil"/>
              <w:bottom w:val="single" w:sz="8" w:space="0" w:color="auto"/>
              <w:right w:val="single" w:sz="8" w:space="0" w:color="auto"/>
            </w:tcBorders>
            <w:shd w:val="clear" w:color="auto" w:fill="auto"/>
            <w:noWrap/>
            <w:hideMark/>
          </w:tcPr>
          <w:p w14:paraId="698D95BF"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127.26</w:t>
            </w:r>
          </w:p>
        </w:tc>
        <w:tc>
          <w:tcPr>
            <w:tcW w:w="1083" w:type="dxa"/>
            <w:tcBorders>
              <w:top w:val="nil"/>
              <w:left w:val="nil"/>
              <w:bottom w:val="single" w:sz="8" w:space="0" w:color="auto"/>
              <w:right w:val="single" w:sz="8" w:space="0" w:color="auto"/>
            </w:tcBorders>
            <w:shd w:val="clear" w:color="auto" w:fill="auto"/>
            <w:noWrap/>
            <w:hideMark/>
          </w:tcPr>
          <w:p w14:paraId="77B69E1E"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114.31</w:t>
            </w:r>
          </w:p>
        </w:tc>
        <w:tc>
          <w:tcPr>
            <w:tcW w:w="1083" w:type="dxa"/>
            <w:tcBorders>
              <w:top w:val="nil"/>
              <w:left w:val="nil"/>
              <w:bottom w:val="single" w:sz="8" w:space="0" w:color="auto"/>
              <w:right w:val="single" w:sz="8" w:space="0" w:color="auto"/>
            </w:tcBorders>
            <w:shd w:val="clear" w:color="auto" w:fill="auto"/>
            <w:noWrap/>
            <w:hideMark/>
          </w:tcPr>
          <w:p w14:paraId="33DCEE05"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268.87</w:t>
            </w:r>
          </w:p>
        </w:tc>
        <w:tc>
          <w:tcPr>
            <w:tcW w:w="1083" w:type="dxa"/>
            <w:tcBorders>
              <w:top w:val="nil"/>
              <w:left w:val="nil"/>
              <w:bottom w:val="single" w:sz="8" w:space="0" w:color="auto"/>
              <w:right w:val="single" w:sz="8" w:space="0" w:color="auto"/>
            </w:tcBorders>
            <w:shd w:val="clear" w:color="auto" w:fill="auto"/>
            <w:noWrap/>
            <w:hideMark/>
          </w:tcPr>
          <w:p w14:paraId="3DA3F8E1"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321.8</w:t>
            </w:r>
          </w:p>
        </w:tc>
        <w:tc>
          <w:tcPr>
            <w:tcW w:w="1083" w:type="dxa"/>
            <w:tcBorders>
              <w:top w:val="nil"/>
              <w:left w:val="nil"/>
              <w:bottom w:val="single" w:sz="8" w:space="0" w:color="auto"/>
              <w:right w:val="single" w:sz="8" w:space="0" w:color="auto"/>
            </w:tcBorders>
            <w:shd w:val="clear" w:color="auto" w:fill="auto"/>
            <w:noWrap/>
            <w:hideMark/>
          </w:tcPr>
          <w:p w14:paraId="568F9904"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362.48</w:t>
            </w:r>
          </w:p>
        </w:tc>
      </w:tr>
      <w:tr w:rsidR="007F21EC" w:rsidRPr="007F21EC" w14:paraId="6DBAE92E" w14:textId="77777777" w:rsidTr="00093DD8">
        <w:trPr>
          <w:trHeight w:val="280"/>
          <w:jc w:val="center"/>
        </w:trPr>
        <w:tc>
          <w:tcPr>
            <w:tcW w:w="3827" w:type="dxa"/>
            <w:tcBorders>
              <w:top w:val="nil"/>
              <w:left w:val="single" w:sz="8" w:space="0" w:color="auto"/>
              <w:bottom w:val="single" w:sz="8" w:space="0" w:color="auto"/>
              <w:right w:val="single" w:sz="8" w:space="0" w:color="auto"/>
            </w:tcBorders>
            <w:shd w:val="clear" w:color="auto" w:fill="auto"/>
            <w:noWrap/>
            <w:vAlign w:val="center"/>
            <w:hideMark/>
          </w:tcPr>
          <w:p w14:paraId="13758C3E"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IGF</w:t>
            </w:r>
          </w:p>
        </w:tc>
        <w:tc>
          <w:tcPr>
            <w:tcW w:w="1098" w:type="dxa"/>
            <w:tcBorders>
              <w:top w:val="nil"/>
              <w:left w:val="nil"/>
              <w:bottom w:val="single" w:sz="8" w:space="0" w:color="auto"/>
              <w:right w:val="single" w:sz="8" w:space="0" w:color="auto"/>
            </w:tcBorders>
            <w:shd w:val="clear" w:color="auto" w:fill="auto"/>
            <w:noWrap/>
            <w:hideMark/>
          </w:tcPr>
          <w:p w14:paraId="1F91EEAF"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354.29</w:t>
            </w:r>
          </w:p>
        </w:tc>
        <w:tc>
          <w:tcPr>
            <w:tcW w:w="1083" w:type="dxa"/>
            <w:tcBorders>
              <w:top w:val="nil"/>
              <w:left w:val="nil"/>
              <w:bottom w:val="single" w:sz="8" w:space="0" w:color="auto"/>
              <w:right w:val="single" w:sz="8" w:space="0" w:color="auto"/>
            </w:tcBorders>
            <w:shd w:val="clear" w:color="auto" w:fill="auto"/>
            <w:noWrap/>
            <w:hideMark/>
          </w:tcPr>
          <w:p w14:paraId="3C7E5FFA"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630.67</w:t>
            </w:r>
          </w:p>
        </w:tc>
        <w:tc>
          <w:tcPr>
            <w:tcW w:w="1083" w:type="dxa"/>
            <w:tcBorders>
              <w:top w:val="nil"/>
              <w:left w:val="nil"/>
              <w:bottom w:val="single" w:sz="8" w:space="0" w:color="auto"/>
              <w:right w:val="single" w:sz="8" w:space="0" w:color="auto"/>
            </w:tcBorders>
            <w:shd w:val="clear" w:color="auto" w:fill="auto"/>
            <w:noWrap/>
            <w:hideMark/>
          </w:tcPr>
          <w:p w14:paraId="5734E0B2"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718.27</w:t>
            </w:r>
          </w:p>
        </w:tc>
        <w:tc>
          <w:tcPr>
            <w:tcW w:w="1083" w:type="dxa"/>
            <w:tcBorders>
              <w:top w:val="nil"/>
              <w:left w:val="nil"/>
              <w:bottom w:val="single" w:sz="8" w:space="0" w:color="auto"/>
              <w:right w:val="single" w:sz="8" w:space="0" w:color="auto"/>
            </w:tcBorders>
            <w:shd w:val="clear" w:color="auto" w:fill="auto"/>
            <w:noWrap/>
            <w:hideMark/>
          </w:tcPr>
          <w:p w14:paraId="229CF591"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799.54</w:t>
            </w:r>
          </w:p>
        </w:tc>
        <w:tc>
          <w:tcPr>
            <w:tcW w:w="1083" w:type="dxa"/>
            <w:tcBorders>
              <w:top w:val="nil"/>
              <w:left w:val="nil"/>
              <w:bottom w:val="single" w:sz="8" w:space="0" w:color="auto"/>
              <w:right w:val="single" w:sz="8" w:space="0" w:color="auto"/>
            </w:tcBorders>
            <w:shd w:val="clear" w:color="auto" w:fill="auto"/>
            <w:noWrap/>
            <w:hideMark/>
          </w:tcPr>
          <w:p w14:paraId="7A857A8A"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1,468.39</w:t>
            </w:r>
          </w:p>
        </w:tc>
      </w:tr>
      <w:tr w:rsidR="007F21EC" w:rsidRPr="007F21EC" w14:paraId="2505C870" w14:textId="77777777" w:rsidTr="00093DD8">
        <w:trPr>
          <w:trHeight w:val="280"/>
          <w:jc w:val="center"/>
        </w:trPr>
        <w:tc>
          <w:tcPr>
            <w:tcW w:w="3827" w:type="dxa"/>
            <w:tcBorders>
              <w:top w:val="nil"/>
              <w:left w:val="single" w:sz="8" w:space="0" w:color="auto"/>
              <w:bottom w:val="single" w:sz="8" w:space="0" w:color="auto"/>
              <w:right w:val="single" w:sz="8" w:space="0" w:color="auto"/>
            </w:tcBorders>
            <w:shd w:val="clear" w:color="auto" w:fill="auto"/>
            <w:noWrap/>
            <w:vAlign w:val="center"/>
            <w:hideMark/>
          </w:tcPr>
          <w:p w14:paraId="36907D07"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GETFund</w:t>
            </w:r>
          </w:p>
        </w:tc>
        <w:tc>
          <w:tcPr>
            <w:tcW w:w="1098" w:type="dxa"/>
            <w:tcBorders>
              <w:top w:val="nil"/>
              <w:left w:val="nil"/>
              <w:bottom w:val="single" w:sz="8" w:space="0" w:color="auto"/>
              <w:right w:val="single" w:sz="8" w:space="0" w:color="auto"/>
            </w:tcBorders>
            <w:shd w:val="clear" w:color="auto" w:fill="auto"/>
            <w:noWrap/>
            <w:hideMark/>
          </w:tcPr>
          <w:p w14:paraId="60193DFF"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518.49</w:t>
            </w:r>
          </w:p>
        </w:tc>
        <w:tc>
          <w:tcPr>
            <w:tcW w:w="1083" w:type="dxa"/>
            <w:tcBorders>
              <w:top w:val="nil"/>
              <w:left w:val="nil"/>
              <w:bottom w:val="single" w:sz="8" w:space="0" w:color="auto"/>
              <w:right w:val="single" w:sz="8" w:space="0" w:color="auto"/>
            </w:tcBorders>
            <w:shd w:val="clear" w:color="auto" w:fill="auto"/>
            <w:noWrap/>
            <w:hideMark/>
          </w:tcPr>
          <w:p w14:paraId="436C5247"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361.28</w:t>
            </w:r>
          </w:p>
        </w:tc>
        <w:tc>
          <w:tcPr>
            <w:tcW w:w="1083" w:type="dxa"/>
            <w:tcBorders>
              <w:top w:val="nil"/>
              <w:left w:val="nil"/>
              <w:bottom w:val="single" w:sz="8" w:space="0" w:color="auto"/>
              <w:right w:val="single" w:sz="8" w:space="0" w:color="auto"/>
            </w:tcBorders>
            <w:shd w:val="clear" w:color="auto" w:fill="auto"/>
            <w:noWrap/>
            <w:hideMark/>
          </w:tcPr>
          <w:p w14:paraId="2D9D4430"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196.65</w:t>
            </w:r>
          </w:p>
        </w:tc>
        <w:tc>
          <w:tcPr>
            <w:tcW w:w="1083" w:type="dxa"/>
            <w:tcBorders>
              <w:top w:val="nil"/>
              <w:left w:val="nil"/>
              <w:bottom w:val="single" w:sz="8" w:space="0" w:color="auto"/>
              <w:right w:val="single" w:sz="8" w:space="0" w:color="auto"/>
            </w:tcBorders>
            <w:shd w:val="clear" w:color="auto" w:fill="auto"/>
            <w:noWrap/>
            <w:hideMark/>
          </w:tcPr>
          <w:p w14:paraId="054DA97A"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613.8</w:t>
            </w:r>
          </w:p>
        </w:tc>
        <w:tc>
          <w:tcPr>
            <w:tcW w:w="1083" w:type="dxa"/>
            <w:tcBorders>
              <w:top w:val="nil"/>
              <w:left w:val="nil"/>
              <w:bottom w:val="single" w:sz="8" w:space="0" w:color="auto"/>
              <w:right w:val="single" w:sz="8" w:space="0" w:color="auto"/>
            </w:tcBorders>
            <w:shd w:val="clear" w:color="auto" w:fill="auto"/>
            <w:noWrap/>
            <w:hideMark/>
          </w:tcPr>
          <w:p w14:paraId="0F6B5E1A"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759.2</w:t>
            </w:r>
          </w:p>
        </w:tc>
      </w:tr>
      <w:tr w:rsidR="007F21EC" w:rsidRPr="007F21EC" w14:paraId="281A7400" w14:textId="77777777" w:rsidTr="00093DD8">
        <w:trPr>
          <w:trHeight w:val="280"/>
          <w:jc w:val="center"/>
        </w:trPr>
        <w:tc>
          <w:tcPr>
            <w:tcW w:w="3827" w:type="dxa"/>
            <w:tcBorders>
              <w:top w:val="nil"/>
              <w:left w:val="single" w:sz="8" w:space="0" w:color="auto"/>
              <w:bottom w:val="single" w:sz="8" w:space="0" w:color="auto"/>
              <w:right w:val="single" w:sz="8" w:space="0" w:color="auto"/>
            </w:tcBorders>
            <w:shd w:val="clear" w:color="auto" w:fill="auto"/>
            <w:noWrap/>
            <w:vAlign w:val="center"/>
            <w:hideMark/>
          </w:tcPr>
          <w:p w14:paraId="69E744FB"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HIPC/MDRI</w:t>
            </w:r>
          </w:p>
        </w:tc>
        <w:tc>
          <w:tcPr>
            <w:tcW w:w="1098" w:type="dxa"/>
            <w:tcBorders>
              <w:top w:val="nil"/>
              <w:left w:val="nil"/>
              <w:bottom w:val="single" w:sz="8" w:space="0" w:color="auto"/>
              <w:right w:val="single" w:sz="8" w:space="0" w:color="auto"/>
            </w:tcBorders>
            <w:shd w:val="clear" w:color="auto" w:fill="auto"/>
            <w:noWrap/>
            <w:hideMark/>
          </w:tcPr>
          <w:p w14:paraId="684E3848"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2.29</w:t>
            </w:r>
          </w:p>
        </w:tc>
        <w:tc>
          <w:tcPr>
            <w:tcW w:w="1083" w:type="dxa"/>
            <w:tcBorders>
              <w:top w:val="nil"/>
              <w:left w:val="nil"/>
              <w:bottom w:val="single" w:sz="8" w:space="0" w:color="auto"/>
              <w:right w:val="single" w:sz="8" w:space="0" w:color="auto"/>
            </w:tcBorders>
            <w:shd w:val="clear" w:color="auto" w:fill="auto"/>
            <w:noWrap/>
            <w:hideMark/>
          </w:tcPr>
          <w:p w14:paraId="1BD21FF7"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w:t>
            </w:r>
          </w:p>
        </w:tc>
        <w:tc>
          <w:tcPr>
            <w:tcW w:w="1083" w:type="dxa"/>
            <w:tcBorders>
              <w:top w:val="nil"/>
              <w:left w:val="nil"/>
              <w:bottom w:val="single" w:sz="8" w:space="0" w:color="auto"/>
              <w:right w:val="single" w:sz="8" w:space="0" w:color="auto"/>
            </w:tcBorders>
            <w:shd w:val="clear" w:color="auto" w:fill="auto"/>
            <w:noWrap/>
            <w:hideMark/>
          </w:tcPr>
          <w:p w14:paraId="6720F93B"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w:t>
            </w:r>
          </w:p>
        </w:tc>
        <w:tc>
          <w:tcPr>
            <w:tcW w:w="1083" w:type="dxa"/>
            <w:tcBorders>
              <w:top w:val="nil"/>
              <w:left w:val="nil"/>
              <w:bottom w:val="single" w:sz="8" w:space="0" w:color="auto"/>
              <w:right w:val="single" w:sz="8" w:space="0" w:color="auto"/>
            </w:tcBorders>
            <w:shd w:val="clear" w:color="auto" w:fill="auto"/>
            <w:noWrap/>
            <w:hideMark/>
          </w:tcPr>
          <w:p w14:paraId="7706369B"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w:t>
            </w:r>
          </w:p>
        </w:tc>
        <w:tc>
          <w:tcPr>
            <w:tcW w:w="1083" w:type="dxa"/>
            <w:tcBorders>
              <w:top w:val="nil"/>
              <w:left w:val="nil"/>
              <w:bottom w:val="single" w:sz="8" w:space="0" w:color="auto"/>
              <w:right w:val="single" w:sz="8" w:space="0" w:color="auto"/>
            </w:tcBorders>
            <w:shd w:val="clear" w:color="auto" w:fill="auto"/>
            <w:noWrap/>
            <w:hideMark/>
          </w:tcPr>
          <w:p w14:paraId="4469C0E9"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w:t>
            </w:r>
          </w:p>
        </w:tc>
      </w:tr>
      <w:tr w:rsidR="007F21EC" w:rsidRPr="007F21EC" w14:paraId="6EF92CCA" w14:textId="77777777" w:rsidTr="00093DD8">
        <w:trPr>
          <w:trHeight w:val="280"/>
          <w:jc w:val="center"/>
        </w:trPr>
        <w:tc>
          <w:tcPr>
            <w:tcW w:w="3827" w:type="dxa"/>
            <w:tcBorders>
              <w:top w:val="nil"/>
              <w:left w:val="single" w:sz="8" w:space="0" w:color="auto"/>
              <w:bottom w:val="single" w:sz="8" w:space="0" w:color="auto"/>
              <w:right w:val="single" w:sz="8" w:space="0" w:color="auto"/>
            </w:tcBorders>
            <w:shd w:val="clear" w:color="auto" w:fill="auto"/>
            <w:noWrap/>
            <w:vAlign w:val="center"/>
            <w:hideMark/>
          </w:tcPr>
          <w:p w14:paraId="19E0F72C"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Annual Budget Funding Amount</w:t>
            </w:r>
          </w:p>
        </w:tc>
        <w:tc>
          <w:tcPr>
            <w:tcW w:w="1098" w:type="dxa"/>
            <w:tcBorders>
              <w:top w:val="nil"/>
              <w:left w:val="nil"/>
              <w:bottom w:val="single" w:sz="8" w:space="0" w:color="auto"/>
              <w:right w:val="single" w:sz="8" w:space="0" w:color="auto"/>
            </w:tcBorders>
            <w:shd w:val="clear" w:color="auto" w:fill="auto"/>
            <w:noWrap/>
            <w:hideMark/>
          </w:tcPr>
          <w:p w14:paraId="66771E49"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w:t>
            </w:r>
          </w:p>
        </w:tc>
        <w:tc>
          <w:tcPr>
            <w:tcW w:w="1083" w:type="dxa"/>
            <w:tcBorders>
              <w:top w:val="nil"/>
              <w:left w:val="nil"/>
              <w:bottom w:val="single" w:sz="8" w:space="0" w:color="auto"/>
              <w:right w:val="single" w:sz="8" w:space="0" w:color="auto"/>
            </w:tcBorders>
            <w:shd w:val="clear" w:color="auto" w:fill="auto"/>
            <w:noWrap/>
            <w:hideMark/>
          </w:tcPr>
          <w:p w14:paraId="02D1C56B"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10.57</w:t>
            </w:r>
          </w:p>
        </w:tc>
        <w:tc>
          <w:tcPr>
            <w:tcW w:w="1083" w:type="dxa"/>
            <w:tcBorders>
              <w:top w:val="nil"/>
              <w:left w:val="nil"/>
              <w:bottom w:val="single" w:sz="8" w:space="0" w:color="auto"/>
              <w:right w:val="single" w:sz="8" w:space="0" w:color="auto"/>
            </w:tcBorders>
            <w:shd w:val="clear" w:color="auto" w:fill="auto"/>
            <w:noWrap/>
            <w:hideMark/>
          </w:tcPr>
          <w:p w14:paraId="448F46C1"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9.11</w:t>
            </w:r>
          </w:p>
        </w:tc>
        <w:tc>
          <w:tcPr>
            <w:tcW w:w="1083" w:type="dxa"/>
            <w:tcBorders>
              <w:top w:val="nil"/>
              <w:left w:val="nil"/>
              <w:bottom w:val="single" w:sz="8" w:space="0" w:color="auto"/>
              <w:right w:val="single" w:sz="8" w:space="0" w:color="auto"/>
            </w:tcBorders>
            <w:shd w:val="clear" w:color="auto" w:fill="auto"/>
            <w:noWrap/>
            <w:hideMark/>
          </w:tcPr>
          <w:p w14:paraId="479A2C63"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10.67</w:t>
            </w:r>
          </w:p>
        </w:tc>
        <w:tc>
          <w:tcPr>
            <w:tcW w:w="1083" w:type="dxa"/>
            <w:tcBorders>
              <w:top w:val="nil"/>
              <w:left w:val="nil"/>
              <w:bottom w:val="single" w:sz="8" w:space="0" w:color="auto"/>
              <w:right w:val="single" w:sz="8" w:space="0" w:color="auto"/>
            </w:tcBorders>
            <w:shd w:val="clear" w:color="auto" w:fill="auto"/>
            <w:noWrap/>
            <w:hideMark/>
          </w:tcPr>
          <w:p w14:paraId="00A5AD62"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195.27</w:t>
            </w:r>
          </w:p>
        </w:tc>
      </w:tr>
      <w:tr w:rsidR="007F21EC" w:rsidRPr="007F21EC" w14:paraId="58F2BA53" w14:textId="77777777" w:rsidTr="00093DD8">
        <w:trPr>
          <w:trHeight w:val="280"/>
          <w:jc w:val="center"/>
        </w:trPr>
        <w:tc>
          <w:tcPr>
            <w:tcW w:w="3827" w:type="dxa"/>
            <w:tcBorders>
              <w:top w:val="nil"/>
              <w:left w:val="single" w:sz="8" w:space="0" w:color="auto"/>
              <w:bottom w:val="single" w:sz="8" w:space="0" w:color="auto"/>
              <w:right w:val="single" w:sz="8" w:space="0" w:color="auto"/>
            </w:tcBorders>
            <w:shd w:val="clear" w:color="auto" w:fill="auto"/>
            <w:noWrap/>
            <w:vAlign w:val="center"/>
            <w:hideMark/>
          </w:tcPr>
          <w:p w14:paraId="68383752"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Total Expenditure</w:t>
            </w:r>
          </w:p>
        </w:tc>
        <w:tc>
          <w:tcPr>
            <w:tcW w:w="1098" w:type="dxa"/>
            <w:tcBorders>
              <w:top w:val="nil"/>
              <w:left w:val="nil"/>
              <w:bottom w:val="single" w:sz="8" w:space="0" w:color="auto"/>
              <w:right w:val="single" w:sz="8" w:space="0" w:color="auto"/>
            </w:tcBorders>
            <w:shd w:val="clear" w:color="auto" w:fill="auto"/>
            <w:noWrap/>
            <w:hideMark/>
          </w:tcPr>
          <w:p w14:paraId="4FAF266C"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3,566</w:t>
            </w:r>
          </w:p>
        </w:tc>
        <w:tc>
          <w:tcPr>
            <w:tcW w:w="1083" w:type="dxa"/>
            <w:tcBorders>
              <w:top w:val="nil"/>
              <w:left w:val="nil"/>
              <w:bottom w:val="single" w:sz="8" w:space="0" w:color="auto"/>
              <w:right w:val="single" w:sz="8" w:space="0" w:color="auto"/>
            </w:tcBorders>
            <w:shd w:val="clear" w:color="auto" w:fill="auto"/>
            <w:noWrap/>
            <w:hideMark/>
          </w:tcPr>
          <w:p w14:paraId="0D61CAB7"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5,704</w:t>
            </w:r>
          </w:p>
        </w:tc>
        <w:tc>
          <w:tcPr>
            <w:tcW w:w="1083" w:type="dxa"/>
            <w:tcBorders>
              <w:top w:val="nil"/>
              <w:left w:val="nil"/>
              <w:bottom w:val="single" w:sz="8" w:space="0" w:color="auto"/>
              <w:right w:val="single" w:sz="8" w:space="0" w:color="auto"/>
            </w:tcBorders>
            <w:shd w:val="clear" w:color="auto" w:fill="auto"/>
            <w:noWrap/>
            <w:hideMark/>
          </w:tcPr>
          <w:p w14:paraId="7BAA7AE9"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5,697</w:t>
            </w:r>
          </w:p>
        </w:tc>
        <w:tc>
          <w:tcPr>
            <w:tcW w:w="1083" w:type="dxa"/>
            <w:tcBorders>
              <w:top w:val="nil"/>
              <w:left w:val="nil"/>
              <w:bottom w:val="single" w:sz="8" w:space="0" w:color="auto"/>
              <w:right w:val="single" w:sz="8" w:space="0" w:color="auto"/>
            </w:tcBorders>
            <w:shd w:val="clear" w:color="auto" w:fill="auto"/>
            <w:noWrap/>
            <w:hideMark/>
          </w:tcPr>
          <w:p w14:paraId="563A31D5"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6,982</w:t>
            </w:r>
          </w:p>
        </w:tc>
        <w:tc>
          <w:tcPr>
            <w:tcW w:w="1083" w:type="dxa"/>
            <w:tcBorders>
              <w:top w:val="nil"/>
              <w:left w:val="nil"/>
              <w:bottom w:val="single" w:sz="8" w:space="0" w:color="auto"/>
              <w:right w:val="single" w:sz="8" w:space="0" w:color="auto"/>
            </w:tcBorders>
            <w:shd w:val="clear" w:color="auto" w:fill="auto"/>
            <w:noWrap/>
            <w:hideMark/>
          </w:tcPr>
          <w:p w14:paraId="11969585" w14:textId="77777777" w:rsidR="007F21EC" w:rsidRPr="007F21EC" w:rsidRDefault="007F21EC" w:rsidP="007F21EC">
            <w:pPr>
              <w:spacing w:after="120"/>
              <w:rPr>
                <w:rFonts w:ascii="Garamond" w:hAnsi="Garamond"/>
                <w:sz w:val="20"/>
                <w:szCs w:val="20"/>
              </w:rPr>
            </w:pPr>
            <w:r w:rsidRPr="007F21EC">
              <w:rPr>
                <w:rFonts w:ascii="Garamond" w:hAnsi="Garamond"/>
                <w:sz w:val="20"/>
                <w:szCs w:val="20"/>
              </w:rPr>
              <w:t>8,697</w:t>
            </w:r>
          </w:p>
        </w:tc>
      </w:tr>
      <w:tr w:rsidR="007F21EC" w:rsidRPr="007F21EC" w14:paraId="568B78BF" w14:textId="77777777" w:rsidTr="00093DD8">
        <w:trPr>
          <w:trHeight w:val="283"/>
          <w:jc w:val="center"/>
        </w:trPr>
        <w:tc>
          <w:tcPr>
            <w:tcW w:w="3827" w:type="dxa"/>
            <w:tcBorders>
              <w:top w:val="nil"/>
              <w:left w:val="single" w:sz="8" w:space="0" w:color="auto"/>
              <w:bottom w:val="single" w:sz="8" w:space="0" w:color="auto"/>
              <w:right w:val="single" w:sz="8" w:space="0" w:color="auto"/>
            </w:tcBorders>
            <w:shd w:val="clear" w:color="auto" w:fill="auto"/>
            <w:noWrap/>
            <w:vAlign w:val="center"/>
            <w:hideMark/>
          </w:tcPr>
          <w:p w14:paraId="72E2E607" w14:textId="77777777" w:rsidR="007F21EC" w:rsidRPr="007F21EC" w:rsidRDefault="007F21EC" w:rsidP="007F21EC">
            <w:pPr>
              <w:spacing w:after="120"/>
              <w:rPr>
                <w:rFonts w:ascii="Garamond" w:hAnsi="Garamond"/>
                <w:i/>
                <w:iCs/>
                <w:sz w:val="20"/>
                <w:szCs w:val="20"/>
              </w:rPr>
            </w:pPr>
            <w:r w:rsidRPr="007F21EC">
              <w:rPr>
                <w:rFonts w:ascii="Garamond" w:hAnsi="Garamond"/>
                <w:sz w:val="20"/>
                <w:szCs w:val="20"/>
              </w:rPr>
              <w:t>Total Expenditure</w:t>
            </w:r>
            <w:r w:rsidRPr="007F21EC">
              <w:rPr>
                <w:rFonts w:ascii="Garamond" w:hAnsi="Garamond"/>
                <w:i/>
                <w:iCs/>
                <w:sz w:val="20"/>
                <w:szCs w:val="20"/>
              </w:rPr>
              <w:t xml:space="preserve"> </w:t>
            </w:r>
            <w:r w:rsidRPr="007F21EC">
              <w:rPr>
                <w:rFonts w:ascii="Garamond" w:hAnsi="Garamond"/>
                <w:iCs/>
                <w:sz w:val="20"/>
                <w:szCs w:val="20"/>
              </w:rPr>
              <w:t>(% of GDP)</w:t>
            </w:r>
          </w:p>
        </w:tc>
        <w:tc>
          <w:tcPr>
            <w:tcW w:w="1098" w:type="dxa"/>
            <w:tcBorders>
              <w:top w:val="nil"/>
              <w:left w:val="nil"/>
              <w:bottom w:val="single" w:sz="8" w:space="0" w:color="auto"/>
              <w:right w:val="single" w:sz="8" w:space="0" w:color="auto"/>
            </w:tcBorders>
            <w:shd w:val="clear" w:color="auto" w:fill="auto"/>
            <w:noWrap/>
            <w:hideMark/>
          </w:tcPr>
          <w:p w14:paraId="059F9F9F" w14:textId="77777777" w:rsidR="007F21EC" w:rsidRPr="007F21EC" w:rsidRDefault="007F21EC" w:rsidP="007666AE">
            <w:pPr>
              <w:spacing w:after="120"/>
              <w:rPr>
                <w:rFonts w:ascii="Garamond" w:hAnsi="Garamond"/>
                <w:sz w:val="20"/>
                <w:szCs w:val="20"/>
              </w:rPr>
            </w:pPr>
            <w:r w:rsidRPr="007F21EC">
              <w:rPr>
                <w:rFonts w:ascii="Garamond" w:hAnsi="Garamond"/>
                <w:sz w:val="20"/>
                <w:szCs w:val="20"/>
              </w:rPr>
              <w:t>6.</w:t>
            </w:r>
            <w:r w:rsidR="007666AE">
              <w:rPr>
                <w:rFonts w:ascii="Garamond" w:hAnsi="Garamond"/>
                <w:sz w:val="20"/>
                <w:szCs w:val="20"/>
              </w:rPr>
              <w:t>3</w:t>
            </w:r>
          </w:p>
        </w:tc>
        <w:tc>
          <w:tcPr>
            <w:tcW w:w="1083" w:type="dxa"/>
            <w:tcBorders>
              <w:top w:val="nil"/>
              <w:left w:val="nil"/>
              <w:bottom w:val="single" w:sz="8" w:space="0" w:color="auto"/>
              <w:right w:val="single" w:sz="8" w:space="0" w:color="auto"/>
            </w:tcBorders>
            <w:shd w:val="clear" w:color="auto" w:fill="auto"/>
            <w:noWrap/>
            <w:hideMark/>
          </w:tcPr>
          <w:p w14:paraId="57BB3AA7" w14:textId="77777777" w:rsidR="007F21EC" w:rsidRPr="007F21EC" w:rsidRDefault="007F21EC" w:rsidP="007666AE">
            <w:pPr>
              <w:spacing w:after="120"/>
              <w:rPr>
                <w:rFonts w:ascii="Garamond" w:hAnsi="Garamond"/>
                <w:sz w:val="20"/>
                <w:szCs w:val="20"/>
              </w:rPr>
            </w:pPr>
            <w:r w:rsidRPr="007F21EC">
              <w:rPr>
                <w:rFonts w:ascii="Garamond" w:hAnsi="Garamond"/>
                <w:sz w:val="20"/>
                <w:szCs w:val="20"/>
              </w:rPr>
              <w:t>7.9</w:t>
            </w:r>
          </w:p>
        </w:tc>
        <w:tc>
          <w:tcPr>
            <w:tcW w:w="1083" w:type="dxa"/>
            <w:tcBorders>
              <w:top w:val="nil"/>
              <w:left w:val="nil"/>
              <w:bottom w:val="single" w:sz="8" w:space="0" w:color="auto"/>
              <w:right w:val="single" w:sz="8" w:space="0" w:color="auto"/>
            </w:tcBorders>
            <w:shd w:val="clear" w:color="auto" w:fill="auto"/>
            <w:noWrap/>
            <w:hideMark/>
          </w:tcPr>
          <w:p w14:paraId="44C5F2BB" w14:textId="77777777" w:rsidR="007F21EC" w:rsidRPr="007F21EC" w:rsidRDefault="007F21EC" w:rsidP="007666AE">
            <w:pPr>
              <w:spacing w:after="120"/>
              <w:rPr>
                <w:rFonts w:ascii="Garamond" w:hAnsi="Garamond"/>
                <w:sz w:val="20"/>
                <w:szCs w:val="20"/>
              </w:rPr>
            </w:pPr>
            <w:r w:rsidRPr="007F21EC">
              <w:rPr>
                <w:rFonts w:ascii="Garamond" w:hAnsi="Garamond"/>
                <w:sz w:val="20"/>
                <w:szCs w:val="20"/>
              </w:rPr>
              <w:t>6.1</w:t>
            </w:r>
          </w:p>
        </w:tc>
        <w:tc>
          <w:tcPr>
            <w:tcW w:w="1083" w:type="dxa"/>
            <w:tcBorders>
              <w:top w:val="nil"/>
              <w:left w:val="nil"/>
              <w:bottom w:val="single" w:sz="8" w:space="0" w:color="auto"/>
              <w:right w:val="single" w:sz="8" w:space="0" w:color="auto"/>
            </w:tcBorders>
            <w:shd w:val="clear" w:color="auto" w:fill="auto"/>
            <w:noWrap/>
            <w:hideMark/>
          </w:tcPr>
          <w:p w14:paraId="78FDD682" w14:textId="77777777" w:rsidR="007F21EC" w:rsidRPr="007F21EC" w:rsidRDefault="007F21EC" w:rsidP="007666AE">
            <w:pPr>
              <w:spacing w:after="120"/>
              <w:rPr>
                <w:rFonts w:ascii="Garamond" w:hAnsi="Garamond"/>
                <w:sz w:val="20"/>
                <w:szCs w:val="20"/>
              </w:rPr>
            </w:pPr>
            <w:r w:rsidRPr="007F21EC">
              <w:rPr>
                <w:rFonts w:ascii="Garamond" w:hAnsi="Garamond"/>
                <w:sz w:val="20"/>
                <w:szCs w:val="20"/>
              </w:rPr>
              <w:t>6.</w:t>
            </w:r>
            <w:r w:rsidR="007666AE">
              <w:rPr>
                <w:rFonts w:ascii="Garamond" w:hAnsi="Garamond"/>
                <w:sz w:val="20"/>
                <w:szCs w:val="20"/>
              </w:rPr>
              <w:t>2</w:t>
            </w:r>
          </w:p>
        </w:tc>
        <w:tc>
          <w:tcPr>
            <w:tcW w:w="1083" w:type="dxa"/>
            <w:tcBorders>
              <w:top w:val="nil"/>
              <w:left w:val="nil"/>
              <w:bottom w:val="single" w:sz="8" w:space="0" w:color="auto"/>
              <w:right w:val="single" w:sz="8" w:space="0" w:color="auto"/>
            </w:tcBorders>
            <w:shd w:val="clear" w:color="auto" w:fill="auto"/>
            <w:noWrap/>
            <w:hideMark/>
          </w:tcPr>
          <w:p w14:paraId="3D1B2C9E" w14:textId="77777777" w:rsidR="007F21EC" w:rsidRPr="007F21EC" w:rsidRDefault="007F21EC" w:rsidP="007666AE">
            <w:pPr>
              <w:spacing w:after="120"/>
              <w:rPr>
                <w:rFonts w:ascii="Garamond" w:hAnsi="Garamond"/>
                <w:sz w:val="20"/>
                <w:szCs w:val="20"/>
              </w:rPr>
            </w:pPr>
            <w:r w:rsidRPr="007F21EC">
              <w:rPr>
                <w:rFonts w:ascii="Garamond" w:hAnsi="Garamond"/>
                <w:sz w:val="20"/>
                <w:szCs w:val="20"/>
              </w:rPr>
              <w:t>6.5</w:t>
            </w:r>
          </w:p>
        </w:tc>
      </w:tr>
    </w:tbl>
    <w:p w14:paraId="3FA41EF0" w14:textId="77777777" w:rsidR="001F21D2" w:rsidRPr="00D775DD" w:rsidRDefault="001F21D2" w:rsidP="001F21D2">
      <w:pPr>
        <w:rPr>
          <w:rFonts w:ascii="Garamond" w:hAnsi="Garamond"/>
          <w:sz w:val="20"/>
          <w:szCs w:val="20"/>
        </w:rPr>
      </w:pPr>
      <w:r w:rsidRPr="00D775DD">
        <w:rPr>
          <w:rFonts w:ascii="Garamond" w:hAnsi="Garamond"/>
          <w:i/>
          <w:noProof/>
          <w:sz w:val="20"/>
          <w:szCs w:val="20"/>
        </w:rPr>
        <w:t xml:space="preserve">Source: </w:t>
      </w:r>
      <w:r w:rsidRPr="00D775DD">
        <w:rPr>
          <w:rFonts w:ascii="Garamond" w:hAnsi="Garamond"/>
          <w:noProof/>
          <w:sz w:val="20"/>
          <w:szCs w:val="20"/>
        </w:rPr>
        <w:t xml:space="preserve">Ministry of Education, 2016 </w:t>
      </w:r>
    </w:p>
    <w:p w14:paraId="1643B814" w14:textId="77777777" w:rsidR="001F21D2" w:rsidRPr="00533642" w:rsidRDefault="001F21D2" w:rsidP="00724BAB">
      <w:pPr>
        <w:pStyle w:val="ListParagraph"/>
        <w:numPr>
          <w:ilvl w:val="0"/>
          <w:numId w:val="9"/>
        </w:numPr>
      </w:pPr>
      <w:r w:rsidRPr="00D775DD">
        <w:rPr>
          <w:b/>
        </w:rPr>
        <w:t xml:space="preserve">Ghana’s education budget is financed by both domestic and external sources. </w:t>
      </w:r>
      <w:r>
        <w:t>T</w:t>
      </w:r>
      <w:r w:rsidRPr="00533642">
        <w:t xml:space="preserve">he national budget </w:t>
      </w:r>
      <w:r>
        <w:t>funds</w:t>
      </w:r>
      <w:r w:rsidRPr="00533642">
        <w:t xml:space="preserve"> the majority of education </w:t>
      </w:r>
      <w:r>
        <w:t>spending</w:t>
      </w:r>
      <w:r w:rsidRPr="00533642">
        <w:t xml:space="preserve">, and </w:t>
      </w:r>
      <w:r>
        <w:t xml:space="preserve">its share </w:t>
      </w:r>
      <w:r w:rsidRPr="00533642">
        <w:t xml:space="preserve">has </w:t>
      </w:r>
      <w:r w:rsidRPr="00D775DD">
        <w:t>increas</w:t>
      </w:r>
      <w:r w:rsidRPr="00533642">
        <w:t>ed</w:t>
      </w:r>
      <w:r w:rsidRPr="00D775DD">
        <w:t xml:space="preserve"> in recent years</w:t>
      </w:r>
      <w:r>
        <w:t>. However,</w:t>
      </w:r>
      <w:r w:rsidRPr="00D775DD">
        <w:t xml:space="preserve"> donor financing and internally generated funds are also important, </w:t>
      </w:r>
      <w:r>
        <w:t xml:space="preserve">and </w:t>
      </w:r>
      <w:r w:rsidRPr="00D775DD">
        <w:t xml:space="preserve">in 2015 </w:t>
      </w:r>
      <w:r>
        <w:t xml:space="preserve">they </w:t>
      </w:r>
      <w:r w:rsidRPr="00D775DD">
        <w:t>account</w:t>
      </w:r>
      <w:r>
        <w:t>ed</w:t>
      </w:r>
      <w:r w:rsidRPr="00D775DD">
        <w:t xml:space="preserve"> for 4.</w:t>
      </w:r>
      <w:r w:rsidR="00D95DCB">
        <w:t>2</w:t>
      </w:r>
      <w:r w:rsidRPr="00533642">
        <w:t xml:space="preserve"> </w:t>
      </w:r>
      <w:r w:rsidRPr="00D775DD">
        <w:t xml:space="preserve">and </w:t>
      </w:r>
      <w:r w:rsidR="00D95DCB">
        <w:t>16.9</w:t>
      </w:r>
      <w:r w:rsidRPr="00533642">
        <w:t xml:space="preserve"> percent, respectively, of</w:t>
      </w:r>
      <w:r w:rsidRPr="00D775DD">
        <w:t xml:space="preserve"> the overall education budget (</w:t>
      </w:r>
      <w:r w:rsidR="00A015A0">
        <w:fldChar w:fldCharType="begin"/>
      </w:r>
      <w:r w:rsidR="00A015A0">
        <w:instrText xml:space="preserve"> REF _Ref472430217 \h </w:instrText>
      </w:r>
      <w:r w:rsidR="00A015A0">
        <w:fldChar w:fldCharType="separate"/>
      </w:r>
      <w:r w:rsidR="007B1CE6" w:rsidRPr="00857F04">
        <w:t xml:space="preserve">Table </w:t>
      </w:r>
      <w:r w:rsidR="007B1CE6">
        <w:rPr>
          <w:noProof/>
        </w:rPr>
        <w:t>4</w:t>
      </w:r>
      <w:r w:rsidR="007B1CE6" w:rsidRPr="00857F04">
        <w:t>.</w:t>
      </w:r>
      <w:r w:rsidR="007B1CE6">
        <w:rPr>
          <w:noProof/>
        </w:rPr>
        <w:t>2</w:t>
      </w:r>
      <w:r w:rsidR="00A015A0">
        <w:fldChar w:fldCharType="end"/>
      </w:r>
      <w:r w:rsidRPr="00D775DD">
        <w:t xml:space="preserve">). </w:t>
      </w:r>
      <w:r>
        <w:t>The</w:t>
      </w:r>
      <w:r w:rsidRPr="00D775DD">
        <w:t xml:space="preserve"> government fund</w:t>
      </w:r>
      <w:r>
        <w:t xml:space="preserve">s </w:t>
      </w:r>
      <w:r w:rsidRPr="00D775DD">
        <w:t>education</w:t>
      </w:r>
      <w:r>
        <w:t xml:space="preserve"> though four public agencies</w:t>
      </w:r>
      <w:r w:rsidRPr="00533642">
        <w:t>:</w:t>
      </w:r>
      <w:r w:rsidRPr="00D775DD">
        <w:t xml:space="preserve"> the CAGD, the District Assemblies Common Fund, the Ghana Education Trust Fund (GET</w:t>
      </w:r>
      <w:r w:rsidRPr="00533642">
        <w:t xml:space="preserve"> </w:t>
      </w:r>
      <w:r w:rsidRPr="00D775DD">
        <w:t>Fund)</w:t>
      </w:r>
      <w:r w:rsidR="00AD09EF">
        <w:t>,</w:t>
      </w:r>
      <w:r w:rsidRPr="00D775DD">
        <w:t xml:space="preserve"> and the Annual Budget Funding Amount. </w:t>
      </w:r>
      <w:r w:rsidR="00AD09EF">
        <w:t xml:space="preserve">The </w:t>
      </w:r>
      <w:r w:rsidRPr="00D775DD">
        <w:t xml:space="preserve">CAGD </w:t>
      </w:r>
      <w:r>
        <w:t xml:space="preserve">accounts for </w:t>
      </w:r>
      <w:r w:rsidR="00076F7E">
        <w:t xml:space="preserve">around </w:t>
      </w:r>
      <w:r w:rsidR="00EF7D54">
        <w:t xml:space="preserve">two-third </w:t>
      </w:r>
      <w:r w:rsidRPr="00D775DD">
        <w:t xml:space="preserve">of </w:t>
      </w:r>
      <w:r>
        <w:t xml:space="preserve">public </w:t>
      </w:r>
      <w:r w:rsidRPr="00D775DD">
        <w:t xml:space="preserve">education </w:t>
      </w:r>
      <w:r w:rsidRPr="00533642">
        <w:t>funding</w:t>
      </w:r>
      <w:r w:rsidRPr="00D775DD">
        <w:t xml:space="preserve">. </w:t>
      </w:r>
      <w:r w:rsidR="00483DC7">
        <w:t xml:space="preserve">The </w:t>
      </w:r>
      <w:r w:rsidRPr="00D775DD">
        <w:t>D</w:t>
      </w:r>
      <w:r w:rsidR="00483DC7">
        <w:t xml:space="preserve">istrict </w:t>
      </w:r>
      <w:r w:rsidRPr="00D775DD">
        <w:t>A</w:t>
      </w:r>
      <w:r w:rsidR="00483DC7">
        <w:t xml:space="preserve">ssemblies </w:t>
      </w:r>
      <w:r w:rsidRPr="00D775DD">
        <w:t>C</w:t>
      </w:r>
      <w:r w:rsidR="00483DC7">
        <w:t xml:space="preserve">ommon </w:t>
      </w:r>
      <w:r w:rsidRPr="00D775DD">
        <w:t>F</w:t>
      </w:r>
      <w:r w:rsidR="00483DC7">
        <w:t>und</w:t>
      </w:r>
      <w:r w:rsidRPr="00D775DD">
        <w:t xml:space="preserve"> and </w:t>
      </w:r>
      <w:r w:rsidR="00AD09EF">
        <w:t xml:space="preserve">the </w:t>
      </w:r>
      <w:r w:rsidRPr="00D775DD">
        <w:t>GET</w:t>
      </w:r>
      <w:r w:rsidRPr="00533642">
        <w:t xml:space="preserve"> </w:t>
      </w:r>
      <w:r w:rsidRPr="00D775DD">
        <w:t xml:space="preserve">Fund are statutory funds earmarked </w:t>
      </w:r>
      <w:r w:rsidRPr="00533642">
        <w:t>for education</w:t>
      </w:r>
      <w:r w:rsidRPr="00D775DD">
        <w:t xml:space="preserve">. </w:t>
      </w:r>
      <w:r>
        <w:t xml:space="preserve">However, </w:t>
      </w:r>
      <w:r w:rsidRPr="00D775DD">
        <w:t>GET</w:t>
      </w:r>
      <w:r w:rsidRPr="00533642">
        <w:t xml:space="preserve"> </w:t>
      </w:r>
      <w:r w:rsidRPr="00D775DD">
        <w:t xml:space="preserve">Fund </w:t>
      </w:r>
      <w:r>
        <w:t xml:space="preserve">financing </w:t>
      </w:r>
      <w:r w:rsidRPr="00D775DD">
        <w:t xml:space="preserve">has </w:t>
      </w:r>
      <w:r w:rsidR="00EF7D54">
        <w:t>fluctuated over the</w:t>
      </w:r>
      <w:r w:rsidRPr="00D775DD">
        <w:t xml:space="preserve"> years, from almost 15 percent of total </w:t>
      </w:r>
      <w:r w:rsidRPr="00533642">
        <w:t xml:space="preserve">education </w:t>
      </w:r>
      <w:r w:rsidRPr="00D775DD">
        <w:t xml:space="preserve">funding in 2011 to 3 percent in 2014 and </w:t>
      </w:r>
      <w:r w:rsidR="00EF7D54">
        <w:t>8.7</w:t>
      </w:r>
      <w:r w:rsidRPr="00D775DD">
        <w:t xml:space="preserve"> percent in 2015. </w:t>
      </w:r>
      <w:r w:rsidR="00483DC7">
        <w:t xml:space="preserve">The </w:t>
      </w:r>
      <w:r w:rsidRPr="00D775DD">
        <w:t>A</w:t>
      </w:r>
      <w:r w:rsidR="00483DC7">
        <w:t xml:space="preserve">nnual </w:t>
      </w:r>
      <w:r w:rsidRPr="00D775DD">
        <w:t>B</w:t>
      </w:r>
      <w:r w:rsidR="00483DC7">
        <w:t xml:space="preserve">udget </w:t>
      </w:r>
      <w:r w:rsidRPr="00D775DD">
        <w:t>F</w:t>
      </w:r>
      <w:r w:rsidR="00483DC7">
        <w:t xml:space="preserve">unding </w:t>
      </w:r>
      <w:r w:rsidRPr="00D775DD">
        <w:t>A</w:t>
      </w:r>
      <w:r w:rsidR="00483DC7">
        <w:t>mount</w:t>
      </w:r>
      <w:r w:rsidRPr="00D775DD">
        <w:t xml:space="preserve"> </w:t>
      </w:r>
      <w:r w:rsidRPr="00533642">
        <w:t>is an oil-</w:t>
      </w:r>
      <w:r w:rsidRPr="00D775DD">
        <w:t xml:space="preserve">revenue </w:t>
      </w:r>
      <w:r w:rsidRPr="00533642">
        <w:t xml:space="preserve">fund </w:t>
      </w:r>
      <w:r>
        <w:t>that</w:t>
      </w:r>
      <w:r w:rsidRPr="00D775DD">
        <w:t xml:space="preserve"> </w:t>
      </w:r>
      <w:r>
        <w:t>finances</w:t>
      </w:r>
      <w:r w:rsidRPr="00D775DD">
        <w:t xml:space="preserve"> education infrastructure, </w:t>
      </w:r>
      <w:r w:rsidRPr="00533642">
        <w:t>including the construction of primary and</w:t>
      </w:r>
      <w:r w:rsidRPr="00D775DD">
        <w:t xml:space="preserve"> secondary schools and the upgrading of scie</w:t>
      </w:r>
      <w:r>
        <w:t>ntific</w:t>
      </w:r>
      <w:r w:rsidRPr="00D775DD">
        <w:t xml:space="preserve"> resource centers.</w:t>
      </w:r>
      <w:r w:rsidRPr="00533642">
        <w:rPr>
          <w:rStyle w:val="FootnoteReference"/>
        </w:rPr>
        <w:footnoteReference w:id="117"/>
      </w:r>
      <w:r w:rsidRPr="00D775DD">
        <w:t xml:space="preserve"> </w:t>
      </w:r>
    </w:p>
    <w:p w14:paraId="3EF99768" w14:textId="77777777" w:rsidR="001F21D2" w:rsidRPr="00533642" w:rsidRDefault="00657AA2" w:rsidP="00CC6F65">
      <w:pPr>
        <w:pStyle w:val="Caption"/>
      </w:pPr>
      <w:bookmarkStart w:id="162" w:name="_Ref472430256"/>
      <w:r>
        <w:lastRenderedPageBreak/>
        <w:t>Figure</w:t>
      </w:r>
      <w:r w:rsidR="00CC6F65">
        <w:t xml:space="preserve"> </w:t>
      </w:r>
      <w:r w:rsidR="005C0067">
        <w:fldChar w:fldCharType="begin"/>
      </w:r>
      <w:r w:rsidR="005C0067">
        <w:instrText xml:space="preserve"> STYLEREF 1 \s </w:instrText>
      </w:r>
      <w:r w:rsidR="005C0067">
        <w:fldChar w:fldCharType="separate"/>
      </w:r>
      <w:r w:rsidR="007B1CE6">
        <w:rPr>
          <w:noProof/>
        </w:rPr>
        <w:t>4</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1</w:t>
      </w:r>
      <w:r w:rsidR="005C0067">
        <w:fldChar w:fldCharType="end"/>
      </w:r>
      <w:bookmarkEnd w:id="162"/>
      <w:r w:rsidR="00CC6F65" w:rsidRPr="00533642">
        <w:t>:</w:t>
      </w:r>
      <w:r w:rsidR="001F21D2" w:rsidRPr="00533642">
        <w:t>Flow of Funds for Basic Public Education</w:t>
      </w:r>
    </w:p>
    <w:p w14:paraId="083236D8" w14:textId="77777777" w:rsidR="001F21D2" w:rsidRPr="00533642" w:rsidRDefault="001F21D2" w:rsidP="001F21D2">
      <w:pPr>
        <w:pStyle w:val="NoSpacing"/>
        <w:keepNext/>
        <w:keepLines/>
        <w:jc w:val="center"/>
        <w:rPr>
          <w:rFonts w:ascii="Garamond" w:hAnsi="Garamond" w:cs="Times New Roman"/>
          <w:b/>
        </w:rPr>
      </w:pPr>
      <w:r w:rsidRPr="00F0436D">
        <w:rPr>
          <w:rFonts w:ascii="Garamond" w:hAnsi="Garamond" w:cs="Times New Roman"/>
          <w:noProof/>
          <w:bdr w:val="single" w:sz="12" w:space="0" w:color="auto"/>
        </w:rPr>
        <w:drawing>
          <wp:inline distT="0" distB="0" distL="0" distR="0" wp14:anchorId="3D23EBAC" wp14:editId="2614F270">
            <wp:extent cx="4570519" cy="2428647"/>
            <wp:effectExtent l="0" t="0" r="1905" b="0"/>
            <wp:docPr id="66570" name="Picture 6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13262" t="15426" r="13321" b="8550"/>
                    <a:stretch/>
                  </pic:blipFill>
                  <pic:spPr bwMode="auto">
                    <a:xfrm>
                      <a:off x="0" y="0"/>
                      <a:ext cx="4570519" cy="2428647"/>
                    </a:xfrm>
                    <a:prstGeom prst="rect">
                      <a:avLst/>
                    </a:prstGeom>
                    <a:ln>
                      <a:noFill/>
                    </a:ln>
                    <a:extLst>
                      <a:ext uri="{53640926-AAD7-44D8-BBD7-CCE9431645EC}">
                        <a14:shadowObscured xmlns:a14="http://schemas.microsoft.com/office/drawing/2010/main"/>
                      </a:ext>
                    </a:extLst>
                  </pic:spPr>
                </pic:pic>
              </a:graphicData>
            </a:graphic>
          </wp:inline>
        </w:drawing>
      </w:r>
    </w:p>
    <w:p w14:paraId="096EA994" w14:textId="77777777" w:rsidR="001F21D2" w:rsidRDefault="001F21D2" w:rsidP="001F21D2">
      <w:pPr>
        <w:spacing w:after="0"/>
        <w:ind w:left="720" w:firstLine="720"/>
        <w:rPr>
          <w:rFonts w:ascii="Garamond" w:hAnsi="Garamond"/>
          <w:noProof/>
          <w:sz w:val="20"/>
          <w:szCs w:val="20"/>
        </w:rPr>
      </w:pPr>
      <w:r w:rsidRPr="00D775DD">
        <w:rPr>
          <w:rFonts w:ascii="Garamond" w:hAnsi="Garamond"/>
          <w:i/>
          <w:noProof/>
          <w:sz w:val="20"/>
          <w:szCs w:val="20"/>
        </w:rPr>
        <w:t>Source</w:t>
      </w:r>
      <w:r w:rsidRPr="00533642">
        <w:rPr>
          <w:rFonts w:ascii="Garamond" w:hAnsi="Garamond"/>
          <w:noProof/>
          <w:sz w:val="20"/>
          <w:szCs w:val="20"/>
        </w:rPr>
        <w:t>:</w:t>
      </w:r>
      <w:r>
        <w:rPr>
          <w:rFonts w:ascii="Garamond" w:hAnsi="Garamond"/>
          <w:noProof/>
          <w:sz w:val="20"/>
          <w:szCs w:val="20"/>
        </w:rPr>
        <w:t xml:space="preserve"> Darvas and Balwanz</w:t>
      </w:r>
      <w:r w:rsidRPr="00D775DD">
        <w:rPr>
          <w:rFonts w:ascii="Garamond" w:hAnsi="Garamond"/>
          <w:noProof/>
          <w:sz w:val="20"/>
          <w:szCs w:val="20"/>
        </w:rPr>
        <w:t>, 2011</w:t>
      </w:r>
    </w:p>
    <w:p w14:paraId="756C5393" w14:textId="77777777" w:rsidR="001F21D2" w:rsidRPr="00D775DD" w:rsidRDefault="001F21D2" w:rsidP="001F21D2">
      <w:pPr>
        <w:ind w:left="1440" w:right="1440"/>
        <w:rPr>
          <w:rFonts w:ascii="Garamond" w:hAnsi="Garamond"/>
          <w:noProof/>
          <w:sz w:val="20"/>
          <w:szCs w:val="20"/>
        </w:rPr>
      </w:pPr>
      <w:r>
        <w:rPr>
          <w:rFonts w:ascii="Garamond" w:hAnsi="Garamond"/>
          <w:i/>
          <w:noProof/>
          <w:sz w:val="20"/>
          <w:szCs w:val="20"/>
        </w:rPr>
        <w:t>Note</w:t>
      </w:r>
      <w:r w:rsidRPr="00F0436D">
        <w:rPr>
          <w:rFonts w:ascii="Garamond" w:hAnsi="Garamond"/>
          <w:noProof/>
          <w:sz w:val="20"/>
          <w:szCs w:val="20"/>
        </w:rPr>
        <w:t>:</w:t>
      </w:r>
      <w:r>
        <w:rPr>
          <w:rFonts w:ascii="Garamond" w:hAnsi="Garamond"/>
          <w:noProof/>
          <w:sz w:val="20"/>
          <w:szCs w:val="20"/>
        </w:rPr>
        <w:t xml:space="preserve"> The Ministry of Finance and National Planning (MoFNP) is now known as the Ministry of Finance (MoF)</w:t>
      </w:r>
    </w:p>
    <w:p w14:paraId="57CF332D" w14:textId="77777777" w:rsidR="001F21D2" w:rsidRPr="00533642" w:rsidRDefault="001F21D2" w:rsidP="00724BAB">
      <w:pPr>
        <w:pStyle w:val="ListParagraph"/>
        <w:numPr>
          <w:ilvl w:val="0"/>
          <w:numId w:val="9"/>
        </w:numPr>
      </w:pPr>
      <w:r w:rsidRPr="00D775DD">
        <w:rPr>
          <w:b/>
        </w:rPr>
        <w:t>R</w:t>
      </w:r>
      <w:r w:rsidRPr="00D775DD">
        <w:rPr>
          <w:rFonts w:eastAsiaTheme="minorHAnsi"/>
          <w:b/>
        </w:rPr>
        <w:t xml:space="preserve">esponsibility for education </w:t>
      </w:r>
      <w:r w:rsidRPr="00D775DD">
        <w:rPr>
          <w:b/>
        </w:rPr>
        <w:t xml:space="preserve">spending </w:t>
      </w:r>
      <w:r w:rsidRPr="00D775DD">
        <w:rPr>
          <w:rFonts w:eastAsiaTheme="minorHAnsi"/>
          <w:b/>
        </w:rPr>
        <w:t>is highly fragmented.</w:t>
      </w:r>
      <w:r w:rsidRPr="00D775DD">
        <w:rPr>
          <w:rFonts w:eastAsiaTheme="minorHAnsi"/>
        </w:rPr>
        <w:t xml:space="preserve"> The </w:t>
      </w:r>
      <w:r w:rsidRPr="00533642">
        <w:t xml:space="preserve">MoF </w:t>
      </w:r>
      <w:r>
        <w:rPr>
          <w:rFonts w:eastAsiaTheme="minorHAnsi"/>
        </w:rPr>
        <w:t>establishes</w:t>
      </w:r>
      <w:r w:rsidRPr="00D775DD">
        <w:rPr>
          <w:rFonts w:eastAsiaTheme="minorHAnsi"/>
        </w:rPr>
        <w:t xml:space="preserve"> the overall budget and </w:t>
      </w:r>
      <w:r>
        <w:rPr>
          <w:rFonts w:eastAsiaTheme="minorHAnsi"/>
        </w:rPr>
        <w:t>defines</w:t>
      </w:r>
      <w:r w:rsidRPr="00D775DD">
        <w:rPr>
          <w:rFonts w:eastAsiaTheme="minorHAnsi"/>
        </w:rPr>
        <w:t xml:space="preserve"> </w:t>
      </w:r>
      <w:r w:rsidRPr="00533642">
        <w:t xml:space="preserve">remuneration for teachers and other education staff. </w:t>
      </w:r>
      <w:r>
        <w:t xml:space="preserve">The </w:t>
      </w:r>
      <w:r w:rsidRPr="00D775DD">
        <w:rPr>
          <w:rFonts w:eastAsiaTheme="minorHAnsi"/>
        </w:rPr>
        <w:t>GET</w:t>
      </w:r>
      <w:r w:rsidRPr="00533642">
        <w:t xml:space="preserve"> Fund</w:t>
      </w:r>
      <w:r w:rsidRPr="00D775DD">
        <w:rPr>
          <w:rFonts w:eastAsiaTheme="minorHAnsi"/>
        </w:rPr>
        <w:t xml:space="preserve"> </w:t>
      </w:r>
      <w:r>
        <w:rPr>
          <w:rFonts w:eastAsiaTheme="minorHAnsi"/>
        </w:rPr>
        <w:t>ostensibly finances infrastructure investment, though as noted above it no longer represents a significant share of the education budget</w:t>
      </w:r>
      <w:r w:rsidRPr="00533642">
        <w:t xml:space="preserve">. </w:t>
      </w:r>
      <w:r>
        <w:t xml:space="preserve">The Ghana Education Service </w:t>
      </w:r>
      <w:r w:rsidRPr="00533642">
        <w:t>manag</w:t>
      </w:r>
      <w:r>
        <w:t>es</w:t>
      </w:r>
      <w:r w:rsidRPr="00D775DD">
        <w:rPr>
          <w:rFonts w:eastAsiaTheme="minorHAnsi"/>
        </w:rPr>
        <w:t xml:space="preserve"> recurrent expenditure</w:t>
      </w:r>
      <w:r w:rsidRPr="00533642">
        <w:t>s</w:t>
      </w:r>
      <w:r w:rsidRPr="00D775DD">
        <w:rPr>
          <w:rFonts w:eastAsiaTheme="minorHAnsi"/>
        </w:rPr>
        <w:t xml:space="preserve"> and </w:t>
      </w:r>
      <w:r w:rsidRPr="00533642">
        <w:t>determin</w:t>
      </w:r>
      <w:r>
        <w:t>es</w:t>
      </w:r>
      <w:r w:rsidRPr="00D775DD">
        <w:rPr>
          <w:rFonts w:eastAsiaTheme="minorHAnsi"/>
        </w:rPr>
        <w:t xml:space="preserve"> </w:t>
      </w:r>
      <w:r w:rsidRPr="00533642">
        <w:t>the</w:t>
      </w:r>
      <w:r w:rsidRPr="00D775DD">
        <w:rPr>
          <w:rFonts w:eastAsiaTheme="minorHAnsi"/>
        </w:rPr>
        <w:t xml:space="preserve"> </w:t>
      </w:r>
      <w:r>
        <w:rPr>
          <w:rFonts w:eastAsiaTheme="minorHAnsi"/>
        </w:rPr>
        <w:t xml:space="preserve">appropriate </w:t>
      </w:r>
      <w:r w:rsidRPr="00D775DD">
        <w:rPr>
          <w:rFonts w:eastAsiaTheme="minorHAnsi"/>
        </w:rPr>
        <w:t>number</w:t>
      </w:r>
      <w:r w:rsidRPr="00533642">
        <w:t xml:space="preserve"> of </w:t>
      </w:r>
      <w:r>
        <w:t xml:space="preserve">primary and secondary </w:t>
      </w:r>
      <w:r w:rsidRPr="00533642">
        <w:t>teachers</w:t>
      </w:r>
      <w:r>
        <w:t xml:space="preserve">, while the National Council on Tertiary Education formulates the tertiary education budget. </w:t>
      </w:r>
      <w:r w:rsidRPr="00533642">
        <w:t xml:space="preserve">Finally, </w:t>
      </w:r>
      <w:r w:rsidRPr="00D775DD">
        <w:rPr>
          <w:rFonts w:eastAsiaTheme="minorHAnsi"/>
        </w:rPr>
        <w:t>the Ministry of Education (M</w:t>
      </w:r>
      <w:r>
        <w:rPr>
          <w:rFonts w:eastAsiaTheme="minorHAnsi"/>
        </w:rPr>
        <w:t>o</w:t>
      </w:r>
      <w:r w:rsidRPr="00D775DD">
        <w:rPr>
          <w:rFonts w:eastAsiaTheme="minorHAnsi"/>
        </w:rPr>
        <w:t xml:space="preserve">E) is responsible for allocating donor funds and proposing the annual budget to the </w:t>
      </w:r>
      <w:r w:rsidRPr="00533642">
        <w:t>g</w:t>
      </w:r>
      <w:r w:rsidRPr="00D775DD">
        <w:rPr>
          <w:rFonts w:eastAsiaTheme="minorHAnsi"/>
        </w:rPr>
        <w:t>overnment</w:t>
      </w:r>
      <w:r w:rsidRPr="00533642">
        <w:t xml:space="preserve">. </w:t>
      </w:r>
    </w:p>
    <w:p w14:paraId="42EB1A17" w14:textId="77777777" w:rsidR="001F21D2" w:rsidRDefault="00657AA2" w:rsidP="00CC6F65">
      <w:pPr>
        <w:pStyle w:val="Caption"/>
      </w:pPr>
      <w:bookmarkStart w:id="163" w:name="_Ref472430270"/>
      <w:bookmarkStart w:id="164" w:name="_Toc479624935"/>
      <w:r>
        <w:t>Figure</w:t>
      </w:r>
      <w:r w:rsidR="001F21D2">
        <w:t xml:space="preserve"> </w:t>
      </w:r>
      <w:r w:rsidR="005C0067">
        <w:fldChar w:fldCharType="begin"/>
      </w:r>
      <w:r w:rsidR="005C0067">
        <w:instrText xml:space="preserve"> STYLEREF 1 \s </w:instrText>
      </w:r>
      <w:r w:rsidR="005C0067">
        <w:fldChar w:fldCharType="separate"/>
      </w:r>
      <w:r w:rsidR="007B1CE6">
        <w:rPr>
          <w:noProof/>
        </w:rPr>
        <w:t>4</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2</w:t>
      </w:r>
      <w:r w:rsidR="005C0067">
        <w:fldChar w:fldCharType="end"/>
      </w:r>
      <w:bookmarkEnd w:id="163"/>
      <w:r w:rsidR="001F21D2">
        <w:t xml:space="preserve">: </w:t>
      </w:r>
      <w:r w:rsidR="001F21D2" w:rsidRPr="00533642">
        <w:t>Education Expenditures by Source and Type, 2015 (GH¢ millions)</w:t>
      </w:r>
      <w:bookmarkEnd w:id="164"/>
    </w:p>
    <w:tbl>
      <w:tblPr>
        <w:tblW w:w="9160" w:type="dxa"/>
        <w:tblInd w:w="-10" w:type="dxa"/>
        <w:tblLook w:val="04A0" w:firstRow="1" w:lastRow="0" w:firstColumn="1" w:lastColumn="0" w:noHBand="0" w:noVBand="1"/>
      </w:tblPr>
      <w:tblGrid>
        <w:gridCol w:w="1980"/>
        <w:gridCol w:w="1530"/>
        <w:gridCol w:w="1710"/>
        <w:gridCol w:w="1260"/>
        <w:gridCol w:w="1350"/>
        <w:gridCol w:w="1330"/>
      </w:tblGrid>
      <w:tr w:rsidR="001F21D2" w:rsidRPr="00730878" w14:paraId="3DAF9D93" w14:textId="77777777" w:rsidTr="005A7652">
        <w:trPr>
          <w:trHeight w:val="88"/>
        </w:trPr>
        <w:tc>
          <w:tcPr>
            <w:tcW w:w="1980" w:type="dxa"/>
            <w:tcBorders>
              <w:top w:val="single" w:sz="8" w:space="0" w:color="000000"/>
              <w:left w:val="single" w:sz="8" w:space="0" w:color="000000"/>
              <w:bottom w:val="double" w:sz="6" w:space="0" w:color="000000"/>
              <w:right w:val="single" w:sz="8" w:space="0" w:color="000000"/>
            </w:tcBorders>
            <w:shd w:val="clear" w:color="auto" w:fill="D0CECE" w:themeFill="background2" w:themeFillShade="E6"/>
            <w:vAlign w:val="center"/>
            <w:hideMark/>
          </w:tcPr>
          <w:p w14:paraId="5054CEE7" w14:textId="77777777" w:rsidR="001F21D2" w:rsidRPr="00730878" w:rsidRDefault="001F21D2" w:rsidP="005A7652">
            <w:pPr>
              <w:keepNext/>
              <w:spacing w:before="60" w:after="60"/>
              <w:jc w:val="center"/>
              <w:rPr>
                <w:rFonts w:ascii="Garamond" w:hAnsi="Garamond"/>
                <w:b/>
                <w:sz w:val="20"/>
                <w:szCs w:val="20"/>
              </w:rPr>
            </w:pPr>
            <w:r w:rsidRPr="00730878">
              <w:rPr>
                <w:rFonts w:ascii="Garamond" w:hAnsi="Garamond"/>
                <w:b/>
                <w:sz w:val="20"/>
                <w:szCs w:val="20"/>
              </w:rPr>
              <w:t>Source</w:t>
            </w:r>
          </w:p>
        </w:tc>
        <w:tc>
          <w:tcPr>
            <w:tcW w:w="1530" w:type="dxa"/>
            <w:tcBorders>
              <w:top w:val="single" w:sz="8" w:space="0" w:color="000000"/>
              <w:left w:val="nil"/>
              <w:bottom w:val="double" w:sz="6" w:space="0" w:color="000000"/>
              <w:right w:val="single" w:sz="8" w:space="0" w:color="000000"/>
            </w:tcBorders>
            <w:shd w:val="clear" w:color="auto" w:fill="D0CECE" w:themeFill="background2" w:themeFillShade="E6"/>
            <w:vAlign w:val="center"/>
            <w:hideMark/>
          </w:tcPr>
          <w:p w14:paraId="609258FF" w14:textId="77777777" w:rsidR="001F21D2" w:rsidRPr="00730878" w:rsidRDefault="001F21D2" w:rsidP="005A7652">
            <w:pPr>
              <w:keepNext/>
              <w:spacing w:before="60" w:after="60"/>
              <w:jc w:val="center"/>
              <w:rPr>
                <w:rFonts w:ascii="Garamond" w:hAnsi="Garamond"/>
                <w:b/>
                <w:sz w:val="20"/>
                <w:szCs w:val="20"/>
              </w:rPr>
            </w:pPr>
            <w:r w:rsidRPr="00730878">
              <w:rPr>
                <w:rFonts w:ascii="Garamond" w:hAnsi="Garamond"/>
                <w:b/>
                <w:sz w:val="20"/>
                <w:szCs w:val="20"/>
              </w:rPr>
              <w:t>Compensation</w:t>
            </w:r>
          </w:p>
        </w:tc>
        <w:tc>
          <w:tcPr>
            <w:tcW w:w="1710" w:type="dxa"/>
            <w:tcBorders>
              <w:top w:val="single" w:sz="8" w:space="0" w:color="000000"/>
              <w:left w:val="nil"/>
              <w:bottom w:val="double" w:sz="6" w:space="0" w:color="000000"/>
              <w:right w:val="single" w:sz="8" w:space="0" w:color="000000"/>
            </w:tcBorders>
            <w:shd w:val="clear" w:color="auto" w:fill="D0CECE" w:themeFill="background2" w:themeFillShade="E6"/>
            <w:vAlign w:val="center"/>
            <w:hideMark/>
          </w:tcPr>
          <w:p w14:paraId="696D09BF" w14:textId="77777777" w:rsidR="001F21D2" w:rsidRPr="00730878" w:rsidRDefault="001F21D2" w:rsidP="005A7652">
            <w:pPr>
              <w:keepNext/>
              <w:spacing w:before="60" w:after="60"/>
              <w:jc w:val="center"/>
              <w:rPr>
                <w:rFonts w:ascii="Garamond" w:hAnsi="Garamond"/>
                <w:b/>
                <w:sz w:val="20"/>
                <w:szCs w:val="20"/>
              </w:rPr>
            </w:pPr>
            <w:r w:rsidRPr="00730878">
              <w:rPr>
                <w:rFonts w:ascii="Garamond" w:hAnsi="Garamond"/>
                <w:b/>
                <w:sz w:val="20"/>
                <w:szCs w:val="20"/>
              </w:rPr>
              <w:t>Goods &amp; Services</w:t>
            </w:r>
          </w:p>
        </w:tc>
        <w:tc>
          <w:tcPr>
            <w:tcW w:w="1260" w:type="dxa"/>
            <w:tcBorders>
              <w:top w:val="single" w:sz="8" w:space="0" w:color="000000"/>
              <w:left w:val="nil"/>
              <w:bottom w:val="double" w:sz="6" w:space="0" w:color="000000"/>
              <w:right w:val="single" w:sz="8" w:space="0" w:color="000000"/>
            </w:tcBorders>
            <w:shd w:val="clear" w:color="auto" w:fill="D0CECE" w:themeFill="background2" w:themeFillShade="E6"/>
            <w:vAlign w:val="center"/>
            <w:hideMark/>
          </w:tcPr>
          <w:p w14:paraId="171BDFCC" w14:textId="77777777" w:rsidR="001F21D2" w:rsidRPr="00730878" w:rsidRDefault="001F21D2" w:rsidP="005A7652">
            <w:pPr>
              <w:keepNext/>
              <w:spacing w:before="60" w:after="60"/>
              <w:jc w:val="center"/>
              <w:rPr>
                <w:rFonts w:ascii="Garamond" w:hAnsi="Garamond"/>
                <w:b/>
                <w:sz w:val="20"/>
                <w:szCs w:val="20"/>
              </w:rPr>
            </w:pPr>
            <w:r w:rsidRPr="00730878">
              <w:rPr>
                <w:rFonts w:ascii="Garamond" w:hAnsi="Garamond"/>
                <w:b/>
                <w:sz w:val="20"/>
                <w:szCs w:val="20"/>
              </w:rPr>
              <w:t>Assets</w:t>
            </w:r>
          </w:p>
        </w:tc>
        <w:tc>
          <w:tcPr>
            <w:tcW w:w="1350" w:type="dxa"/>
            <w:tcBorders>
              <w:top w:val="single" w:sz="8" w:space="0" w:color="000000"/>
              <w:left w:val="nil"/>
              <w:bottom w:val="double" w:sz="6" w:space="0" w:color="000000"/>
              <w:right w:val="single" w:sz="8" w:space="0" w:color="000000"/>
            </w:tcBorders>
            <w:shd w:val="clear" w:color="auto" w:fill="D0CECE" w:themeFill="background2" w:themeFillShade="E6"/>
            <w:vAlign w:val="center"/>
            <w:hideMark/>
          </w:tcPr>
          <w:p w14:paraId="23654ECE" w14:textId="77777777" w:rsidR="001F21D2" w:rsidRPr="00730878" w:rsidRDefault="001F21D2" w:rsidP="005A7652">
            <w:pPr>
              <w:keepNext/>
              <w:spacing w:before="60" w:after="60"/>
              <w:jc w:val="center"/>
              <w:rPr>
                <w:rFonts w:ascii="Garamond" w:hAnsi="Garamond"/>
                <w:b/>
                <w:sz w:val="20"/>
                <w:szCs w:val="20"/>
              </w:rPr>
            </w:pPr>
            <w:r w:rsidRPr="00730878">
              <w:rPr>
                <w:rFonts w:ascii="Garamond" w:hAnsi="Garamond"/>
                <w:b/>
                <w:sz w:val="20"/>
                <w:szCs w:val="20"/>
              </w:rPr>
              <w:t>Total</w:t>
            </w:r>
          </w:p>
        </w:tc>
        <w:tc>
          <w:tcPr>
            <w:tcW w:w="1330" w:type="dxa"/>
            <w:tcBorders>
              <w:top w:val="single" w:sz="8" w:space="0" w:color="000000"/>
              <w:left w:val="nil"/>
              <w:bottom w:val="double" w:sz="6" w:space="0" w:color="000000"/>
              <w:right w:val="single" w:sz="8" w:space="0" w:color="000000"/>
            </w:tcBorders>
            <w:shd w:val="clear" w:color="auto" w:fill="D0CECE" w:themeFill="background2" w:themeFillShade="E6"/>
            <w:vAlign w:val="center"/>
            <w:hideMark/>
          </w:tcPr>
          <w:p w14:paraId="008D096F" w14:textId="77777777" w:rsidR="001F21D2" w:rsidRPr="00730878" w:rsidRDefault="001F21D2" w:rsidP="005A7652">
            <w:pPr>
              <w:keepNext/>
              <w:spacing w:before="60" w:after="60"/>
              <w:jc w:val="center"/>
              <w:rPr>
                <w:rFonts w:ascii="Garamond" w:hAnsi="Garamond"/>
                <w:b/>
                <w:sz w:val="20"/>
                <w:szCs w:val="20"/>
              </w:rPr>
            </w:pPr>
            <w:r w:rsidRPr="00730878">
              <w:rPr>
                <w:rFonts w:ascii="Garamond" w:hAnsi="Garamond"/>
                <w:b/>
                <w:sz w:val="20"/>
                <w:szCs w:val="20"/>
              </w:rPr>
              <w:t>%</w:t>
            </w:r>
          </w:p>
        </w:tc>
      </w:tr>
      <w:tr w:rsidR="00730878" w:rsidRPr="00730878" w14:paraId="73FF1E0F" w14:textId="77777777" w:rsidTr="00BE0264">
        <w:trPr>
          <w:trHeight w:val="312"/>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153CD75D"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Government</w:t>
            </w:r>
          </w:p>
        </w:tc>
        <w:tc>
          <w:tcPr>
            <w:tcW w:w="1530" w:type="dxa"/>
            <w:tcBorders>
              <w:top w:val="nil"/>
              <w:left w:val="nil"/>
              <w:bottom w:val="single" w:sz="8" w:space="0" w:color="000000"/>
              <w:right w:val="single" w:sz="8" w:space="0" w:color="000000"/>
            </w:tcBorders>
            <w:shd w:val="clear" w:color="auto" w:fill="auto"/>
            <w:hideMark/>
          </w:tcPr>
          <w:p w14:paraId="5A1ECA40"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5,905</w:t>
            </w:r>
          </w:p>
        </w:tc>
        <w:tc>
          <w:tcPr>
            <w:tcW w:w="1710" w:type="dxa"/>
            <w:tcBorders>
              <w:top w:val="nil"/>
              <w:left w:val="nil"/>
              <w:bottom w:val="single" w:sz="8" w:space="0" w:color="000000"/>
              <w:right w:val="single" w:sz="8" w:space="0" w:color="000000"/>
            </w:tcBorders>
            <w:shd w:val="clear" w:color="auto" w:fill="auto"/>
            <w:hideMark/>
          </w:tcPr>
          <w:p w14:paraId="6A41CD51"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6</w:t>
            </w:r>
          </w:p>
        </w:tc>
        <w:tc>
          <w:tcPr>
            <w:tcW w:w="1260" w:type="dxa"/>
            <w:tcBorders>
              <w:top w:val="nil"/>
              <w:left w:val="nil"/>
              <w:bottom w:val="single" w:sz="8" w:space="0" w:color="000000"/>
              <w:right w:val="single" w:sz="8" w:space="0" w:color="000000"/>
            </w:tcBorders>
            <w:shd w:val="clear" w:color="auto" w:fill="auto"/>
            <w:hideMark/>
          </w:tcPr>
          <w:p w14:paraId="796E94FB"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w:t>
            </w:r>
          </w:p>
        </w:tc>
        <w:tc>
          <w:tcPr>
            <w:tcW w:w="1350" w:type="dxa"/>
            <w:tcBorders>
              <w:top w:val="nil"/>
              <w:left w:val="nil"/>
              <w:bottom w:val="single" w:sz="8" w:space="0" w:color="000000"/>
              <w:right w:val="single" w:sz="8" w:space="0" w:color="000000"/>
            </w:tcBorders>
            <w:shd w:val="clear" w:color="auto" w:fill="auto"/>
            <w:hideMark/>
          </w:tcPr>
          <w:p w14:paraId="22566B5A"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5,911</w:t>
            </w:r>
          </w:p>
        </w:tc>
        <w:tc>
          <w:tcPr>
            <w:tcW w:w="1330" w:type="dxa"/>
            <w:tcBorders>
              <w:top w:val="nil"/>
              <w:left w:val="nil"/>
              <w:bottom w:val="single" w:sz="8" w:space="0" w:color="000000"/>
              <w:right w:val="single" w:sz="8" w:space="0" w:color="000000"/>
            </w:tcBorders>
            <w:shd w:val="clear" w:color="auto" w:fill="auto"/>
            <w:hideMark/>
          </w:tcPr>
          <w:p w14:paraId="6861336F"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68%</w:t>
            </w:r>
          </w:p>
        </w:tc>
      </w:tr>
      <w:tr w:rsidR="00730878" w:rsidRPr="00730878" w14:paraId="096FA669" w14:textId="77777777" w:rsidTr="00BE0264">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1D312581"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Donors</w:t>
            </w:r>
          </w:p>
        </w:tc>
        <w:tc>
          <w:tcPr>
            <w:tcW w:w="1530" w:type="dxa"/>
            <w:tcBorders>
              <w:top w:val="nil"/>
              <w:left w:val="nil"/>
              <w:bottom w:val="single" w:sz="8" w:space="0" w:color="000000"/>
              <w:right w:val="single" w:sz="8" w:space="0" w:color="000000"/>
            </w:tcBorders>
            <w:shd w:val="clear" w:color="auto" w:fill="auto"/>
            <w:hideMark/>
          </w:tcPr>
          <w:p w14:paraId="017889AD" w14:textId="77777777" w:rsidR="00730878" w:rsidRPr="00730878" w:rsidRDefault="00730878" w:rsidP="00730878">
            <w:pPr>
              <w:keepNext/>
              <w:spacing w:after="120"/>
              <w:rPr>
                <w:rFonts w:ascii="Garamond" w:hAnsi="Garamond"/>
                <w:sz w:val="20"/>
                <w:szCs w:val="20"/>
              </w:rPr>
            </w:pPr>
          </w:p>
        </w:tc>
        <w:tc>
          <w:tcPr>
            <w:tcW w:w="1710" w:type="dxa"/>
            <w:tcBorders>
              <w:top w:val="nil"/>
              <w:left w:val="nil"/>
              <w:bottom w:val="single" w:sz="8" w:space="0" w:color="000000"/>
              <w:right w:val="single" w:sz="8" w:space="0" w:color="000000"/>
            </w:tcBorders>
            <w:shd w:val="clear" w:color="auto" w:fill="auto"/>
            <w:hideMark/>
          </w:tcPr>
          <w:p w14:paraId="08467417"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242</w:t>
            </w:r>
          </w:p>
        </w:tc>
        <w:tc>
          <w:tcPr>
            <w:tcW w:w="1260" w:type="dxa"/>
            <w:tcBorders>
              <w:top w:val="nil"/>
              <w:left w:val="nil"/>
              <w:bottom w:val="single" w:sz="8" w:space="0" w:color="000000"/>
              <w:right w:val="single" w:sz="8" w:space="0" w:color="000000"/>
            </w:tcBorders>
            <w:shd w:val="clear" w:color="auto" w:fill="auto"/>
            <w:hideMark/>
          </w:tcPr>
          <w:p w14:paraId="11E0395A"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120</w:t>
            </w:r>
          </w:p>
        </w:tc>
        <w:tc>
          <w:tcPr>
            <w:tcW w:w="1350" w:type="dxa"/>
            <w:tcBorders>
              <w:top w:val="nil"/>
              <w:left w:val="nil"/>
              <w:bottom w:val="single" w:sz="8" w:space="0" w:color="000000"/>
              <w:right w:val="single" w:sz="8" w:space="0" w:color="000000"/>
            </w:tcBorders>
            <w:shd w:val="clear" w:color="auto" w:fill="auto"/>
            <w:hideMark/>
          </w:tcPr>
          <w:p w14:paraId="6204EA01"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362</w:t>
            </w:r>
          </w:p>
        </w:tc>
        <w:tc>
          <w:tcPr>
            <w:tcW w:w="1330" w:type="dxa"/>
            <w:tcBorders>
              <w:top w:val="nil"/>
              <w:left w:val="nil"/>
              <w:bottom w:val="single" w:sz="8" w:space="0" w:color="000000"/>
              <w:right w:val="single" w:sz="8" w:space="0" w:color="000000"/>
            </w:tcBorders>
            <w:shd w:val="clear" w:color="auto" w:fill="auto"/>
            <w:hideMark/>
          </w:tcPr>
          <w:p w14:paraId="71920250"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4.20%</w:t>
            </w:r>
          </w:p>
        </w:tc>
      </w:tr>
      <w:tr w:rsidR="00730878" w:rsidRPr="00730878" w14:paraId="1F15DF0F" w14:textId="77777777" w:rsidTr="00BE0264">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1B4FBAA0"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 xml:space="preserve">IGF </w:t>
            </w:r>
          </w:p>
        </w:tc>
        <w:tc>
          <w:tcPr>
            <w:tcW w:w="1530" w:type="dxa"/>
            <w:tcBorders>
              <w:top w:val="nil"/>
              <w:left w:val="nil"/>
              <w:bottom w:val="single" w:sz="8" w:space="0" w:color="000000"/>
              <w:right w:val="single" w:sz="8" w:space="0" w:color="000000"/>
            </w:tcBorders>
            <w:shd w:val="clear" w:color="auto" w:fill="auto"/>
            <w:hideMark/>
          </w:tcPr>
          <w:p w14:paraId="5CB7539B"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11</w:t>
            </w:r>
          </w:p>
        </w:tc>
        <w:tc>
          <w:tcPr>
            <w:tcW w:w="1710" w:type="dxa"/>
            <w:tcBorders>
              <w:top w:val="nil"/>
              <w:left w:val="nil"/>
              <w:bottom w:val="single" w:sz="8" w:space="0" w:color="000000"/>
              <w:right w:val="single" w:sz="8" w:space="0" w:color="000000"/>
            </w:tcBorders>
            <w:shd w:val="clear" w:color="auto" w:fill="auto"/>
            <w:hideMark/>
          </w:tcPr>
          <w:p w14:paraId="000F4617"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1,367</w:t>
            </w:r>
          </w:p>
        </w:tc>
        <w:tc>
          <w:tcPr>
            <w:tcW w:w="1260" w:type="dxa"/>
            <w:tcBorders>
              <w:top w:val="nil"/>
              <w:left w:val="nil"/>
              <w:bottom w:val="single" w:sz="8" w:space="0" w:color="000000"/>
              <w:right w:val="single" w:sz="8" w:space="0" w:color="000000"/>
            </w:tcBorders>
            <w:shd w:val="clear" w:color="auto" w:fill="auto"/>
            <w:hideMark/>
          </w:tcPr>
          <w:p w14:paraId="65009F98"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90</w:t>
            </w:r>
          </w:p>
        </w:tc>
        <w:tc>
          <w:tcPr>
            <w:tcW w:w="1350" w:type="dxa"/>
            <w:tcBorders>
              <w:top w:val="nil"/>
              <w:left w:val="nil"/>
              <w:bottom w:val="single" w:sz="8" w:space="0" w:color="000000"/>
              <w:right w:val="single" w:sz="8" w:space="0" w:color="000000"/>
            </w:tcBorders>
            <w:shd w:val="clear" w:color="auto" w:fill="auto"/>
            <w:hideMark/>
          </w:tcPr>
          <w:p w14:paraId="63F76FBF"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1,468</w:t>
            </w:r>
          </w:p>
        </w:tc>
        <w:tc>
          <w:tcPr>
            <w:tcW w:w="1330" w:type="dxa"/>
            <w:tcBorders>
              <w:top w:val="nil"/>
              <w:left w:val="nil"/>
              <w:bottom w:val="single" w:sz="8" w:space="0" w:color="000000"/>
              <w:right w:val="single" w:sz="8" w:space="0" w:color="000000"/>
            </w:tcBorders>
            <w:shd w:val="clear" w:color="auto" w:fill="auto"/>
            <w:hideMark/>
          </w:tcPr>
          <w:p w14:paraId="2686DE96"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16.90%</w:t>
            </w:r>
          </w:p>
        </w:tc>
      </w:tr>
      <w:tr w:rsidR="00730878" w:rsidRPr="00730878" w14:paraId="3C34115F" w14:textId="77777777" w:rsidTr="00BE0264">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251B0FA1"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 xml:space="preserve">GET Fund </w:t>
            </w:r>
          </w:p>
        </w:tc>
        <w:tc>
          <w:tcPr>
            <w:tcW w:w="1530" w:type="dxa"/>
            <w:tcBorders>
              <w:top w:val="nil"/>
              <w:left w:val="nil"/>
              <w:bottom w:val="single" w:sz="8" w:space="0" w:color="000000"/>
              <w:right w:val="single" w:sz="8" w:space="0" w:color="000000"/>
            </w:tcBorders>
            <w:shd w:val="clear" w:color="auto" w:fill="auto"/>
            <w:hideMark/>
          </w:tcPr>
          <w:p w14:paraId="1A334A6A"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w:t>
            </w:r>
          </w:p>
        </w:tc>
        <w:tc>
          <w:tcPr>
            <w:tcW w:w="1710" w:type="dxa"/>
            <w:tcBorders>
              <w:top w:val="nil"/>
              <w:left w:val="nil"/>
              <w:bottom w:val="single" w:sz="8" w:space="0" w:color="000000"/>
              <w:right w:val="single" w:sz="8" w:space="0" w:color="000000"/>
            </w:tcBorders>
            <w:shd w:val="clear" w:color="auto" w:fill="auto"/>
            <w:hideMark/>
          </w:tcPr>
          <w:p w14:paraId="3CBA7D74"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51.2</w:t>
            </w:r>
          </w:p>
        </w:tc>
        <w:tc>
          <w:tcPr>
            <w:tcW w:w="1260" w:type="dxa"/>
            <w:tcBorders>
              <w:top w:val="nil"/>
              <w:left w:val="nil"/>
              <w:bottom w:val="single" w:sz="8" w:space="0" w:color="000000"/>
              <w:right w:val="single" w:sz="8" w:space="0" w:color="000000"/>
            </w:tcBorders>
            <w:shd w:val="clear" w:color="auto" w:fill="auto"/>
            <w:hideMark/>
          </w:tcPr>
          <w:p w14:paraId="596BA6C7"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708.1</w:t>
            </w:r>
          </w:p>
        </w:tc>
        <w:tc>
          <w:tcPr>
            <w:tcW w:w="1350" w:type="dxa"/>
            <w:tcBorders>
              <w:top w:val="nil"/>
              <w:left w:val="nil"/>
              <w:bottom w:val="single" w:sz="8" w:space="0" w:color="000000"/>
              <w:right w:val="single" w:sz="8" w:space="0" w:color="000000"/>
            </w:tcBorders>
            <w:shd w:val="clear" w:color="auto" w:fill="auto"/>
            <w:hideMark/>
          </w:tcPr>
          <w:p w14:paraId="11E9FFC1"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759.3</w:t>
            </w:r>
          </w:p>
        </w:tc>
        <w:tc>
          <w:tcPr>
            <w:tcW w:w="1330" w:type="dxa"/>
            <w:tcBorders>
              <w:top w:val="nil"/>
              <w:left w:val="nil"/>
              <w:bottom w:val="single" w:sz="8" w:space="0" w:color="000000"/>
              <w:right w:val="single" w:sz="8" w:space="0" w:color="000000"/>
            </w:tcBorders>
            <w:shd w:val="clear" w:color="auto" w:fill="auto"/>
            <w:hideMark/>
          </w:tcPr>
          <w:p w14:paraId="59055253"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8.70%</w:t>
            </w:r>
          </w:p>
        </w:tc>
      </w:tr>
      <w:tr w:rsidR="00730878" w:rsidRPr="00730878" w14:paraId="463C8EEF" w14:textId="77777777" w:rsidTr="00BE0264">
        <w:trPr>
          <w:trHeight w:val="468"/>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348B2D79"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 xml:space="preserve">The Annual Budget Funding Amount </w:t>
            </w:r>
          </w:p>
        </w:tc>
        <w:tc>
          <w:tcPr>
            <w:tcW w:w="1530" w:type="dxa"/>
            <w:tcBorders>
              <w:top w:val="nil"/>
              <w:left w:val="nil"/>
              <w:bottom w:val="single" w:sz="8" w:space="0" w:color="000000"/>
              <w:right w:val="single" w:sz="8" w:space="0" w:color="000000"/>
            </w:tcBorders>
            <w:shd w:val="clear" w:color="auto" w:fill="auto"/>
            <w:hideMark/>
          </w:tcPr>
          <w:p w14:paraId="5A5C4B21"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w:t>
            </w:r>
          </w:p>
        </w:tc>
        <w:tc>
          <w:tcPr>
            <w:tcW w:w="1710" w:type="dxa"/>
            <w:tcBorders>
              <w:top w:val="nil"/>
              <w:left w:val="nil"/>
              <w:bottom w:val="single" w:sz="8" w:space="0" w:color="000000"/>
              <w:right w:val="single" w:sz="8" w:space="0" w:color="000000"/>
            </w:tcBorders>
            <w:shd w:val="clear" w:color="auto" w:fill="auto"/>
            <w:hideMark/>
          </w:tcPr>
          <w:p w14:paraId="21BB1877"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144</w:t>
            </w:r>
          </w:p>
        </w:tc>
        <w:tc>
          <w:tcPr>
            <w:tcW w:w="1260" w:type="dxa"/>
            <w:tcBorders>
              <w:top w:val="nil"/>
              <w:left w:val="nil"/>
              <w:bottom w:val="single" w:sz="8" w:space="0" w:color="000000"/>
              <w:right w:val="single" w:sz="8" w:space="0" w:color="000000"/>
            </w:tcBorders>
            <w:shd w:val="clear" w:color="auto" w:fill="auto"/>
            <w:hideMark/>
          </w:tcPr>
          <w:p w14:paraId="21A66127"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51</w:t>
            </w:r>
          </w:p>
        </w:tc>
        <w:tc>
          <w:tcPr>
            <w:tcW w:w="1350" w:type="dxa"/>
            <w:tcBorders>
              <w:top w:val="nil"/>
              <w:left w:val="nil"/>
              <w:bottom w:val="single" w:sz="8" w:space="0" w:color="000000"/>
              <w:right w:val="single" w:sz="8" w:space="0" w:color="000000"/>
            </w:tcBorders>
            <w:shd w:val="clear" w:color="auto" w:fill="auto"/>
            <w:hideMark/>
          </w:tcPr>
          <w:p w14:paraId="06E9D96E"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195</w:t>
            </w:r>
          </w:p>
        </w:tc>
        <w:tc>
          <w:tcPr>
            <w:tcW w:w="1330" w:type="dxa"/>
            <w:tcBorders>
              <w:top w:val="nil"/>
              <w:left w:val="nil"/>
              <w:bottom w:val="single" w:sz="8" w:space="0" w:color="000000"/>
              <w:right w:val="single" w:sz="8" w:space="0" w:color="000000"/>
            </w:tcBorders>
            <w:shd w:val="clear" w:color="auto" w:fill="auto"/>
            <w:hideMark/>
          </w:tcPr>
          <w:p w14:paraId="544716A5" w14:textId="77777777" w:rsidR="00730878" w:rsidRPr="00730878" w:rsidRDefault="00730878" w:rsidP="00730878">
            <w:pPr>
              <w:keepNext/>
              <w:spacing w:after="120"/>
              <w:rPr>
                <w:rFonts w:ascii="Garamond" w:hAnsi="Garamond"/>
                <w:sz w:val="20"/>
                <w:szCs w:val="20"/>
              </w:rPr>
            </w:pPr>
            <w:r w:rsidRPr="00730878">
              <w:rPr>
                <w:rFonts w:ascii="Garamond" w:hAnsi="Garamond"/>
                <w:sz w:val="20"/>
                <w:szCs w:val="20"/>
              </w:rPr>
              <w:t>2.20%</w:t>
            </w:r>
          </w:p>
        </w:tc>
      </w:tr>
      <w:tr w:rsidR="00730878" w:rsidRPr="00730878" w14:paraId="34C83E2B" w14:textId="77777777" w:rsidTr="00BE0264">
        <w:trPr>
          <w:trHeight w:val="288"/>
        </w:trPr>
        <w:tc>
          <w:tcPr>
            <w:tcW w:w="1980" w:type="dxa"/>
            <w:tcBorders>
              <w:top w:val="nil"/>
              <w:left w:val="single" w:sz="8" w:space="0" w:color="000000"/>
              <w:bottom w:val="nil"/>
              <w:right w:val="single" w:sz="8" w:space="0" w:color="000000"/>
            </w:tcBorders>
            <w:shd w:val="clear" w:color="auto" w:fill="auto"/>
            <w:vAlign w:val="center"/>
            <w:hideMark/>
          </w:tcPr>
          <w:p w14:paraId="1C443C3F" w14:textId="77777777" w:rsidR="00730878" w:rsidRPr="00730878" w:rsidRDefault="00730878" w:rsidP="00730878">
            <w:pPr>
              <w:keepNext/>
              <w:spacing w:after="60"/>
              <w:rPr>
                <w:rFonts w:ascii="Garamond" w:hAnsi="Garamond"/>
                <w:sz w:val="20"/>
                <w:szCs w:val="20"/>
              </w:rPr>
            </w:pPr>
            <w:r w:rsidRPr="00730878">
              <w:rPr>
                <w:rFonts w:ascii="Garamond" w:hAnsi="Garamond"/>
                <w:sz w:val="20"/>
                <w:szCs w:val="20"/>
              </w:rPr>
              <w:t xml:space="preserve">Total </w:t>
            </w:r>
          </w:p>
        </w:tc>
        <w:tc>
          <w:tcPr>
            <w:tcW w:w="1530" w:type="dxa"/>
            <w:tcBorders>
              <w:top w:val="nil"/>
              <w:left w:val="nil"/>
              <w:bottom w:val="nil"/>
              <w:right w:val="single" w:sz="8" w:space="0" w:color="000000"/>
            </w:tcBorders>
            <w:shd w:val="clear" w:color="auto" w:fill="auto"/>
            <w:hideMark/>
          </w:tcPr>
          <w:p w14:paraId="00C7F310" w14:textId="77777777" w:rsidR="00730878" w:rsidRPr="00730878" w:rsidRDefault="00730878" w:rsidP="00730878">
            <w:pPr>
              <w:keepNext/>
              <w:spacing w:after="60"/>
              <w:rPr>
                <w:rFonts w:ascii="Garamond" w:hAnsi="Garamond"/>
                <w:sz w:val="20"/>
                <w:szCs w:val="20"/>
              </w:rPr>
            </w:pPr>
            <w:r w:rsidRPr="00730878">
              <w:rPr>
                <w:rFonts w:ascii="Garamond" w:hAnsi="Garamond"/>
                <w:sz w:val="20"/>
                <w:szCs w:val="20"/>
              </w:rPr>
              <w:t>5,916</w:t>
            </w:r>
          </w:p>
        </w:tc>
        <w:tc>
          <w:tcPr>
            <w:tcW w:w="1710" w:type="dxa"/>
            <w:tcBorders>
              <w:top w:val="nil"/>
              <w:left w:val="nil"/>
              <w:bottom w:val="nil"/>
              <w:right w:val="single" w:sz="8" w:space="0" w:color="000000"/>
            </w:tcBorders>
            <w:shd w:val="clear" w:color="auto" w:fill="auto"/>
            <w:hideMark/>
          </w:tcPr>
          <w:p w14:paraId="11C46CCE" w14:textId="77777777" w:rsidR="00730878" w:rsidRPr="00730878" w:rsidRDefault="00730878" w:rsidP="00730878">
            <w:pPr>
              <w:keepNext/>
              <w:spacing w:after="60"/>
              <w:rPr>
                <w:rFonts w:ascii="Garamond" w:hAnsi="Garamond"/>
                <w:sz w:val="20"/>
                <w:szCs w:val="20"/>
              </w:rPr>
            </w:pPr>
            <w:r w:rsidRPr="00730878">
              <w:rPr>
                <w:rFonts w:ascii="Garamond" w:hAnsi="Garamond"/>
                <w:sz w:val="20"/>
                <w:szCs w:val="20"/>
              </w:rPr>
              <w:t>1,812</w:t>
            </w:r>
          </w:p>
        </w:tc>
        <w:tc>
          <w:tcPr>
            <w:tcW w:w="1260" w:type="dxa"/>
            <w:tcBorders>
              <w:top w:val="nil"/>
              <w:left w:val="nil"/>
              <w:bottom w:val="nil"/>
              <w:right w:val="single" w:sz="8" w:space="0" w:color="000000"/>
            </w:tcBorders>
            <w:shd w:val="clear" w:color="auto" w:fill="auto"/>
            <w:hideMark/>
          </w:tcPr>
          <w:p w14:paraId="378ED2F6" w14:textId="77777777" w:rsidR="00730878" w:rsidRPr="00730878" w:rsidRDefault="00730878" w:rsidP="00730878">
            <w:pPr>
              <w:keepNext/>
              <w:spacing w:after="60"/>
              <w:rPr>
                <w:rFonts w:ascii="Garamond" w:hAnsi="Garamond"/>
                <w:sz w:val="20"/>
                <w:szCs w:val="20"/>
              </w:rPr>
            </w:pPr>
            <w:r w:rsidRPr="00730878">
              <w:rPr>
                <w:rFonts w:ascii="Garamond" w:hAnsi="Garamond"/>
                <w:sz w:val="20"/>
                <w:szCs w:val="20"/>
              </w:rPr>
              <w:t>968</w:t>
            </w:r>
          </w:p>
        </w:tc>
        <w:tc>
          <w:tcPr>
            <w:tcW w:w="1350" w:type="dxa"/>
            <w:tcBorders>
              <w:top w:val="nil"/>
              <w:left w:val="nil"/>
              <w:bottom w:val="nil"/>
              <w:right w:val="single" w:sz="8" w:space="0" w:color="000000"/>
            </w:tcBorders>
            <w:shd w:val="clear" w:color="auto" w:fill="auto"/>
            <w:hideMark/>
          </w:tcPr>
          <w:p w14:paraId="7D3FE837" w14:textId="77777777" w:rsidR="00730878" w:rsidRPr="00730878" w:rsidRDefault="00730878" w:rsidP="00730878">
            <w:pPr>
              <w:keepNext/>
              <w:spacing w:after="60"/>
              <w:rPr>
                <w:rFonts w:ascii="Garamond" w:hAnsi="Garamond"/>
                <w:sz w:val="20"/>
                <w:szCs w:val="20"/>
              </w:rPr>
            </w:pPr>
            <w:r w:rsidRPr="00730878">
              <w:rPr>
                <w:rFonts w:ascii="Garamond" w:hAnsi="Garamond"/>
                <w:sz w:val="20"/>
                <w:szCs w:val="20"/>
              </w:rPr>
              <w:t>8,696</w:t>
            </w:r>
          </w:p>
        </w:tc>
        <w:tc>
          <w:tcPr>
            <w:tcW w:w="1330" w:type="dxa"/>
            <w:tcBorders>
              <w:top w:val="nil"/>
              <w:left w:val="nil"/>
              <w:bottom w:val="nil"/>
              <w:right w:val="single" w:sz="8" w:space="0" w:color="000000"/>
            </w:tcBorders>
            <w:shd w:val="clear" w:color="auto" w:fill="auto"/>
            <w:hideMark/>
          </w:tcPr>
          <w:p w14:paraId="17BC7B05" w14:textId="77777777" w:rsidR="00730878" w:rsidRPr="00730878" w:rsidRDefault="00730878" w:rsidP="00730878">
            <w:pPr>
              <w:keepNext/>
              <w:spacing w:after="60"/>
              <w:rPr>
                <w:rFonts w:ascii="Garamond" w:hAnsi="Garamond"/>
                <w:sz w:val="20"/>
                <w:szCs w:val="20"/>
              </w:rPr>
            </w:pPr>
          </w:p>
        </w:tc>
      </w:tr>
      <w:tr w:rsidR="00730878" w:rsidRPr="00730878" w14:paraId="24D358FA" w14:textId="77777777" w:rsidTr="00BE0264">
        <w:trPr>
          <w:trHeight w:val="300"/>
        </w:trPr>
        <w:tc>
          <w:tcPr>
            <w:tcW w:w="1980" w:type="dxa"/>
            <w:tcBorders>
              <w:top w:val="nil"/>
              <w:left w:val="single" w:sz="8" w:space="0" w:color="000000"/>
              <w:bottom w:val="single" w:sz="8" w:space="0" w:color="000000"/>
              <w:right w:val="single" w:sz="8" w:space="0" w:color="000000"/>
            </w:tcBorders>
            <w:shd w:val="clear" w:color="auto" w:fill="auto"/>
            <w:vAlign w:val="center"/>
            <w:hideMark/>
          </w:tcPr>
          <w:p w14:paraId="0105B8D0" w14:textId="77777777" w:rsidR="00730878" w:rsidRPr="00730878" w:rsidRDefault="00730878" w:rsidP="00730878">
            <w:pPr>
              <w:spacing w:after="60"/>
              <w:rPr>
                <w:rFonts w:ascii="Garamond" w:hAnsi="Garamond"/>
                <w:sz w:val="20"/>
                <w:szCs w:val="20"/>
              </w:rPr>
            </w:pPr>
            <w:r w:rsidRPr="00730878">
              <w:rPr>
                <w:rFonts w:ascii="Garamond" w:hAnsi="Garamond"/>
                <w:sz w:val="20"/>
                <w:szCs w:val="20"/>
              </w:rPr>
              <w:t>(%)</w:t>
            </w:r>
          </w:p>
        </w:tc>
        <w:tc>
          <w:tcPr>
            <w:tcW w:w="1530" w:type="dxa"/>
            <w:tcBorders>
              <w:top w:val="nil"/>
              <w:left w:val="nil"/>
              <w:bottom w:val="single" w:sz="8" w:space="0" w:color="000000"/>
              <w:right w:val="single" w:sz="8" w:space="0" w:color="000000"/>
            </w:tcBorders>
            <w:shd w:val="clear" w:color="auto" w:fill="auto"/>
            <w:hideMark/>
          </w:tcPr>
          <w:p w14:paraId="538FB816" w14:textId="77777777" w:rsidR="00730878" w:rsidRPr="00730878" w:rsidRDefault="00730878" w:rsidP="00730878">
            <w:pPr>
              <w:spacing w:after="60"/>
              <w:rPr>
                <w:rFonts w:ascii="Garamond" w:hAnsi="Garamond"/>
                <w:sz w:val="20"/>
                <w:szCs w:val="20"/>
              </w:rPr>
            </w:pPr>
            <w:r w:rsidRPr="00730878">
              <w:rPr>
                <w:rFonts w:ascii="Garamond" w:hAnsi="Garamond"/>
                <w:sz w:val="20"/>
                <w:szCs w:val="20"/>
              </w:rPr>
              <w:t>68.00%</w:t>
            </w:r>
          </w:p>
        </w:tc>
        <w:tc>
          <w:tcPr>
            <w:tcW w:w="1710" w:type="dxa"/>
            <w:tcBorders>
              <w:top w:val="nil"/>
              <w:left w:val="nil"/>
              <w:bottom w:val="single" w:sz="8" w:space="0" w:color="000000"/>
              <w:right w:val="single" w:sz="8" w:space="0" w:color="000000"/>
            </w:tcBorders>
            <w:shd w:val="clear" w:color="auto" w:fill="auto"/>
            <w:hideMark/>
          </w:tcPr>
          <w:p w14:paraId="4B960A7F" w14:textId="77777777" w:rsidR="00730878" w:rsidRPr="00730878" w:rsidRDefault="00730878" w:rsidP="00730878">
            <w:pPr>
              <w:spacing w:after="60"/>
              <w:rPr>
                <w:rFonts w:ascii="Garamond" w:hAnsi="Garamond"/>
                <w:sz w:val="20"/>
                <w:szCs w:val="20"/>
              </w:rPr>
            </w:pPr>
            <w:r w:rsidRPr="00730878">
              <w:rPr>
                <w:rFonts w:ascii="Garamond" w:hAnsi="Garamond"/>
                <w:sz w:val="20"/>
                <w:szCs w:val="20"/>
              </w:rPr>
              <w:t>20.80%</w:t>
            </w:r>
          </w:p>
        </w:tc>
        <w:tc>
          <w:tcPr>
            <w:tcW w:w="1260" w:type="dxa"/>
            <w:tcBorders>
              <w:top w:val="nil"/>
              <w:left w:val="nil"/>
              <w:bottom w:val="single" w:sz="8" w:space="0" w:color="000000"/>
              <w:right w:val="single" w:sz="8" w:space="0" w:color="000000"/>
            </w:tcBorders>
            <w:shd w:val="clear" w:color="auto" w:fill="auto"/>
            <w:hideMark/>
          </w:tcPr>
          <w:p w14:paraId="561D7BA8" w14:textId="77777777" w:rsidR="00730878" w:rsidRPr="00730878" w:rsidRDefault="00730878" w:rsidP="00730878">
            <w:pPr>
              <w:spacing w:after="60"/>
              <w:rPr>
                <w:rFonts w:ascii="Garamond" w:hAnsi="Garamond"/>
                <w:sz w:val="20"/>
                <w:szCs w:val="20"/>
              </w:rPr>
            </w:pPr>
            <w:r w:rsidRPr="00730878">
              <w:rPr>
                <w:rFonts w:ascii="Garamond" w:hAnsi="Garamond"/>
                <w:sz w:val="20"/>
                <w:szCs w:val="20"/>
              </w:rPr>
              <w:t>11.10%</w:t>
            </w:r>
          </w:p>
        </w:tc>
        <w:tc>
          <w:tcPr>
            <w:tcW w:w="1350" w:type="dxa"/>
            <w:tcBorders>
              <w:top w:val="nil"/>
              <w:left w:val="nil"/>
              <w:bottom w:val="single" w:sz="8" w:space="0" w:color="000000"/>
              <w:right w:val="single" w:sz="8" w:space="0" w:color="000000"/>
            </w:tcBorders>
            <w:shd w:val="clear" w:color="auto" w:fill="auto"/>
            <w:hideMark/>
          </w:tcPr>
          <w:p w14:paraId="441DCDD9" w14:textId="77777777" w:rsidR="00730878" w:rsidRPr="00730878" w:rsidRDefault="00730878" w:rsidP="00730878">
            <w:pPr>
              <w:spacing w:after="60"/>
              <w:rPr>
                <w:rFonts w:ascii="Garamond" w:hAnsi="Garamond"/>
                <w:sz w:val="20"/>
                <w:szCs w:val="20"/>
              </w:rPr>
            </w:pPr>
          </w:p>
        </w:tc>
        <w:tc>
          <w:tcPr>
            <w:tcW w:w="1330" w:type="dxa"/>
            <w:tcBorders>
              <w:top w:val="nil"/>
              <w:left w:val="nil"/>
              <w:bottom w:val="single" w:sz="8" w:space="0" w:color="000000"/>
              <w:right w:val="single" w:sz="8" w:space="0" w:color="000000"/>
            </w:tcBorders>
            <w:shd w:val="clear" w:color="auto" w:fill="auto"/>
            <w:hideMark/>
          </w:tcPr>
          <w:p w14:paraId="466ED44D" w14:textId="77777777" w:rsidR="00730878" w:rsidRPr="00730878" w:rsidRDefault="00730878" w:rsidP="00730878">
            <w:pPr>
              <w:spacing w:after="60"/>
              <w:rPr>
                <w:rFonts w:ascii="Garamond" w:hAnsi="Garamond"/>
                <w:sz w:val="20"/>
                <w:szCs w:val="20"/>
              </w:rPr>
            </w:pPr>
          </w:p>
        </w:tc>
      </w:tr>
    </w:tbl>
    <w:p w14:paraId="5B0941D7" w14:textId="77777777" w:rsidR="001F21D2" w:rsidRPr="00533642" w:rsidRDefault="001F21D2" w:rsidP="00724BAB">
      <w:pPr>
        <w:pStyle w:val="ListParagraph"/>
        <w:numPr>
          <w:ilvl w:val="0"/>
          <w:numId w:val="9"/>
        </w:numPr>
        <w:spacing w:before="240"/>
      </w:pPr>
      <w:r w:rsidRPr="00D775DD">
        <w:rPr>
          <w:b/>
        </w:rPr>
        <w:t xml:space="preserve">Wages and benefits account for the vast majority of </w:t>
      </w:r>
      <w:r>
        <w:rPr>
          <w:b/>
        </w:rPr>
        <w:t>public education</w:t>
      </w:r>
      <w:r w:rsidRPr="00D775DD">
        <w:rPr>
          <w:b/>
        </w:rPr>
        <w:t xml:space="preserve"> spending.</w:t>
      </w:r>
      <w:r w:rsidRPr="00D775DD">
        <w:t xml:space="preserve"> As discussed in detail in </w:t>
      </w:r>
      <w:r>
        <w:t>Chapter 3</w:t>
      </w:r>
      <w:r w:rsidRPr="00D775DD">
        <w:t xml:space="preserve">, personal emoluments </w:t>
      </w:r>
      <w:r w:rsidRPr="00533642">
        <w:t xml:space="preserve">increased </w:t>
      </w:r>
      <w:r w:rsidRPr="00D775DD">
        <w:t>by 21 percent between 2009 and 2015</w:t>
      </w:r>
      <w:r>
        <w:t>,</w:t>
      </w:r>
      <w:r w:rsidRPr="00D775DD">
        <w:t xml:space="preserve"> </w:t>
      </w:r>
      <w:r w:rsidRPr="00533642">
        <w:t>largely due</w:t>
      </w:r>
      <w:r w:rsidRPr="00D775DD">
        <w:t xml:space="preserve"> to </w:t>
      </w:r>
      <w:r>
        <w:t xml:space="preserve">the </w:t>
      </w:r>
      <w:r w:rsidRPr="00533642">
        <w:t>implementation of the</w:t>
      </w:r>
      <w:r w:rsidRPr="00D775DD">
        <w:t xml:space="preserve"> </w:t>
      </w:r>
      <w:r w:rsidRPr="00533642">
        <w:t>SSSS</w:t>
      </w:r>
      <w:r w:rsidRPr="00D775DD">
        <w:t xml:space="preserve">. Wage commitments have grown </w:t>
      </w:r>
      <w:r w:rsidRPr="00533642">
        <w:t xml:space="preserve">continuously </w:t>
      </w:r>
      <w:r w:rsidRPr="00D775DD">
        <w:t xml:space="preserve">and do not appear to be constrained by </w:t>
      </w:r>
      <w:r w:rsidRPr="00533642">
        <w:t>MoF</w:t>
      </w:r>
      <w:r w:rsidRPr="00D775DD">
        <w:t xml:space="preserve"> budget ceilings. </w:t>
      </w:r>
      <w:r w:rsidRPr="00533642">
        <w:t xml:space="preserve">Moreover, the </w:t>
      </w:r>
      <w:r>
        <w:t>rising</w:t>
      </w:r>
      <w:r w:rsidRPr="00533642">
        <w:t xml:space="preserve"> wage bill</w:t>
      </w:r>
      <w:r w:rsidRPr="00D775DD">
        <w:t xml:space="preserve"> regularly crowds out expenditures in other budget</w:t>
      </w:r>
      <w:r>
        <w:t>ary</w:t>
      </w:r>
      <w:r w:rsidRPr="00D775DD">
        <w:t xml:space="preserve"> categories. In 2015, </w:t>
      </w:r>
      <w:r w:rsidRPr="00533642">
        <w:t xml:space="preserve">wages and benefits </w:t>
      </w:r>
      <w:r>
        <w:t xml:space="preserve">accounted for three-quarters of total education spending and almost all public education spending. While spending on the wage bill has declined marginally since 2014, it remains far above the SSA average </w:t>
      </w:r>
      <w:r w:rsidRPr="00D775DD">
        <w:t>(</w:t>
      </w:r>
      <w:r w:rsidR="00A015A0">
        <w:fldChar w:fldCharType="begin"/>
      </w:r>
      <w:r w:rsidR="00A015A0">
        <w:instrText xml:space="preserve"> REF _Ref463607413 \h </w:instrText>
      </w:r>
      <w:r w:rsidR="00A015A0">
        <w:fldChar w:fldCharType="separate"/>
      </w:r>
      <w:r w:rsidR="007B1CE6" w:rsidRPr="00C8170B">
        <w:t xml:space="preserve">Figure </w:t>
      </w:r>
      <w:r w:rsidR="007B1CE6">
        <w:rPr>
          <w:noProof/>
        </w:rPr>
        <w:t>4</w:t>
      </w:r>
      <w:r w:rsidR="007B1CE6" w:rsidRPr="00C8170B">
        <w:t>.</w:t>
      </w:r>
      <w:r w:rsidR="007B1CE6">
        <w:rPr>
          <w:noProof/>
        </w:rPr>
        <w:t>3</w:t>
      </w:r>
      <w:r w:rsidR="00A015A0">
        <w:fldChar w:fldCharType="end"/>
      </w:r>
      <w:r w:rsidRPr="00D775DD">
        <w:t xml:space="preserve">). </w:t>
      </w:r>
    </w:p>
    <w:p w14:paraId="0D2FB8D7" w14:textId="77777777" w:rsidR="001F21D2" w:rsidRPr="00C8170B" w:rsidRDefault="00657AA2" w:rsidP="00CC6F65">
      <w:pPr>
        <w:pStyle w:val="Caption"/>
        <w:rPr>
          <w:lang w:val="en-US"/>
        </w:rPr>
      </w:pPr>
      <w:bookmarkStart w:id="165" w:name="_Ref463607413"/>
      <w:bookmarkStart w:id="166" w:name="_Toc479624936"/>
      <w:r w:rsidRPr="00C8170B">
        <w:rPr>
          <w:lang w:val="en-US"/>
        </w:rPr>
        <w:lastRenderedPageBreak/>
        <w:t>Figure</w:t>
      </w:r>
      <w:r w:rsidR="001F21D2" w:rsidRPr="00C8170B">
        <w:rPr>
          <w:lang w:val="en-US"/>
        </w:rPr>
        <w:t xml:space="preserve"> </w:t>
      </w:r>
      <w:r w:rsidR="005C0067" w:rsidRPr="00C8170B">
        <w:rPr>
          <w:lang w:val="en-US"/>
        </w:rPr>
        <w:fldChar w:fldCharType="begin"/>
      </w:r>
      <w:r w:rsidR="005C0067" w:rsidRPr="00C8170B">
        <w:rPr>
          <w:lang w:val="en-US"/>
        </w:rPr>
        <w:instrText xml:space="preserve"> STYLEREF 1 \s </w:instrText>
      </w:r>
      <w:r w:rsidR="005C0067" w:rsidRPr="00C8170B">
        <w:rPr>
          <w:lang w:val="en-US"/>
        </w:rPr>
        <w:fldChar w:fldCharType="separate"/>
      </w:r>
      <w:r w:rsidR="007B1CE6">
        <w:rPr>
          <w:noProof/>
          <w:lang w:val="en-US"/>
        </w:rPr>
        <w:t>4</w:t>
      </w:r>
      <w:r w:rsidR="005C0067" w:rsidRPr="00C8170B">
        <w:rPr>
          <w:lang w:val="en-US"/>
        </w:rPr>
        <w:fldChar w:fldCharType="end"/>
      </w:r>
      <w:r w:rsidR="005C0067" w:rsidRPr="00C8170B">
        <w:rPr>
          <w:lang w:val="en-US"/>
        </w:rPr>
        <w:t>.</w:t>
      </w:r>
      <w:r w:rsidR="005C0067" w:rsidRPr="00C8170B">
        <w:rPr>
          <w:lang w:val="en-US"/>
        </w:rPr>
        <w:fldChar w:fldCharType="begin"/>
      </w:r>
      <w:r w:rsidR="005C0067" w:rsidRPr="00C8170B">
        <w:rPr>
          <w:lang w:val="en-US"/>
        </w:rPr>
        <w:instrText xml:space="preserve"> SEQ Figure \* ARABIC \s 1 </w:instrText>
      </w:r>
      <w:r w:rsidR="005C0067" w:rsidRPr="00C8170B">
        <w:rPr>
          <w:lang w:val="en-US"/>
        </w:rPr>
        <w:fldChar w:fldCharType="separate"/>
      </w:r>
      <w:r w:rsidR="007B1CE6">
        <w:rPr>
          <w:noProof/>
          <w:lang w:val="en-US"/>
        </w:rPr>
        <w:t>3</w:t>
      </w:r>
      <w:r w:rsidR="005C0067" w:rsidRPr="00C8170B">
        <w:rPr>
          <w:lang w:val="en-US"/>
        </w:rPr>
        <w:fldChar w:fldCharType="end"/>
      </w:r>
      <w:bookmarkEnd w:id="165"/>
      <w:r w:rsidR="001F21D2" w:rsidRPr="00C8170B">
        <w:rPr>
          <w:lang w:val="en-US"/>
        </w:rPr>
        <w:t>: The Wage Bill as a Share of Total Education Spending, 2015 or Latest Available Year</w:t>
      </w:r>
      <w:bookmarkEnd w:id="166"/>
    </w:p>
    <w:p w14:paraId="7AD2BA83" w14:textId="77777777" w:rsidR="001F21D2" w:rsidRPr="00533642" w:rsidRDefault="00BC2B71" w:rsidP="001F21D2">
      <w:pPr>
        <w:spacing w:after="0"/>
        <w:jc w:val="center"/>
        <w:rPr>
          <w:rFonts w:ascii="Garamond" w:hAnsi="Garamond"/>
        </w:rPr>
      </w:pPr>
      <w:r>
        <w:rPr>
          <w:noProof/>
        </w:rPr>
        <w:drawing>
          <wp:inline distT="0" distB="0" distL="0" distR="0" wp14:anchorId="0CA57B12" wp14:editId="436F26D9">
            <wp:extent cx="45720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14A2C74" w14:textId="77777777" w:rsidR="001F21D2" w:rsidRPr="00D775DD" w:rsidRDefault="001F21D2" w:rsidP="001F21D2">
      <w:pPr>
        <w:ind w:left="720" w:firstLine="720"/>
        <w:rPr>
          <w:rFonts w:ascii="Garamond" w:hAnsi="Garamond"/>
          <w:noProof/>
          <w:sz w:val="20"/>
          <w:szCs w:val="20"/>
        </w:rPr>
      </w:pPr>
      <w:r w:rsidRPr="00D775DD">
        <w:rPr>
          <w:rFonts w:ascii="Garamond" w:hAnsi="Garamond"/>
          <w:i/>
          <w:noProof/>
          <w:sz w:val="20"/>
          <w:szCs w:val="20"/>
        </w:rPr>
        <w:t>Source</w:t>
      </w:r>
      <w:r w:rsidRPr="00D775DD">
        <w:rPr>
          <w:rFonts w:ascii="Garamond" w:hAnsi="Garamond"/>
          <w:noProof/>
          <w:sz w:val="20"/>
          <w:szCs w:val="20"/>
        </w:rPr>
        <w:t>: UNESCO Institute for Statistics (UIS)</w:t>
      </w:r>
    </w:p>
    <w:p w14:paraId="1598112B" w14:textId="77777777" w:rsidR="001F21D2" w:rsidRPr="00533642" w:rsidRDefault="001F21D2" w:rsidP="00724BAB">
      <w:pPr>
        <w:pStyle w:val="ListParagraph"/>
        <w:numPr>
          <w:ilvl w:val="0"/>
          <w:numId w:val="9"/>
        </w:numPr>
      </w:pPr>
      <w:r w:rsidRPr="003F1FAC">
        <w:rPr>
          <w:b/>
        </w:rPr>
        <w:t xml:space="preserve">The introduction of the </w:t>
      </w:r>
      <w:r w:rsidRPr="00DC7F4D">
        <w:rPr>
          <w:b/>
        </w:rPr>
        <w:t>SSSS</w:t>
      </w:r>
      <w:r w:rsidRPr="003F1FAC">
        <w:rPr>
          <w:b/>
        </w:rPr>
        <w:t xml:space="preserve"> </w:t>
      </w:r>
      <w:r>
        <w:rPr>
          <w:b/>
        </w:rPr>
        <w:t xml:space="preserve">has </w:t>
      </w:r>
      <w:r w:rsidRPr="003F1FAC">
        <w:rPr>
          <w:b/>
        </w:rPr>
        <w:t>contributed to the over-execution of the personnel budget.</w:t>
      </w:r>
      <w:r w:rsidRPr="00D775DD">
        <w:t xml:space="preserve"> </w:t>
      </w:r>
      <w:r>
        <w:t>T</w:t>
      </w:r>
      <w:r w:rsidRPr="00D775DD">
        <w:t xml:space="preserve">he </w:t>
      </w:r>
      <w:r w:rsidRPr="00533642">
        <w:t>overall budget</w:t>
      </w:r>
      <w:r>
        <w:t>-</w:t>
      </w:r>
      <w:r w:rsidRPr="00D775DD">
        <w:t xml:space="preserve">execution rate </w:t>
      </w:r>
      <w:r w:rsidRPr="00533642">
        <w:t>rose from 114.8 percent in 2014 to</w:t>
      </w:r>
      <w:r w:rsidRPr="00D775DD">
        <w:t xml:space="preserve"> 119.6</w:t>
      </w:r>
      <w:r w:rsidRPr="00533642">
        <w:t xml:space="preserve"> percent in 2015,</w:t>
      </w:r>
      <w:r w:rsidRPr="00D775DD">
        <w:t xml:space="preserve"> </w:t>
      </w:r>
      <w:r>
        <w:t>and personnel spending</w:t>
      </w:r>
      <w:r w:rsidRPr="00533642">
        <w:t xml:space="preserve"> increased from 116.6 percent of allocated resources in 2014 to</w:t>
      </w:r>
      <w:r w:rsidRPr="00D775DD">
        <w:t xml:space="preserve"> 120.3</w:t>
      </w:r>
      <w:r w:rsidRPr="00533642">
        <w:t xml:space="preserve"> percent in 2015. </w:t>
      </w:r>
      <w:r>
        <w:t>The over-execution of the personnel budget intensified</w:t>
      </w:r>
      <w:r w:rsidRPr="00533642">
        <w:t xml:space="preserve"> </w:t>
      </w:r>
      <w:r w:rsidRPr="00D775DD">
        <w:t xml:space="preserve">despite the government’s </w:t>
      </w:r>
      <w:r>
        <w:t>fiscal-consolidation efforts</w:t>
      </w:r>
      <w:r w:rsidRPr="00D775DD">
        <w:t xml:space="preserve">. </w:t>
      </w:r>
      <w:r>
        <w:t>The wage</w:t>
      </w:r>
      <w:r w:rsidRPr="00533642">
        <w:t xml:space="preserve"> bill </w:t>
      </w:r>
      <w:r>
        <w:t>now completely dominates public education spending</w:t>
      </w:r>
      <w:r w:rsidRPr="00533642">
        <w:t>, and t</w:t>
      </w:r>
      <w:r w:rsidRPr="00D775DD">
        <w:t>he execution rate for capital expenditure</w:t>
      </w:r>
      <w:r w:rsidRPr="00533642">
        <w:t>s</w:t>
      </w:r>
      <w:r w:rsidRPr="00D775DD">
        <w:t xml:space="preserve"> stood at a remarkable 0</w:t>
      </w:r>
      <w:r w:rsidRPr="00533642">
        <w:t xml:space="preserve"> percent in 2015</w:t>
      </w:r>
      <w:r w:rsidRPr="00D775DD">
        <w:t xml:space="preserve">. </w:t>
      </w:r>
    </w:p>
    <w:p w14:paraId="05D76CDA" w14:textId="77777777" w:rsidR="001F21D2" w:rsidRPr="00C8170B" w:rsidRDefault="00294CF1" w:rsidP="00294CF1">
      <w:pPr>
        <w:pStyle w:val="Caption"/>
        <w:rPr>
          <w:lang w:val="en-US"/>
        </w:rPr>
      </w:pPr>
      <w:bookmarkStart w:id="167" w:name="_Toc479624937"/>
      <w:r w:rsidRPr="00C8170B">
        <w:rPr>
          <w:lang w:val="en-US"/>
        </w:rPr>
        <w:t xml:space="preserve">Figure </w:t>
      </w:r>
      <w:r w:rsidR="005C0067" w:rsidRPr="00C8170B">
        <w:rPr>
          <w:lang w:val="en-US"/>
        </w:rPr>
        <w:fldChar w:fldCharType="begin"/>
      </w:r>
      <w:r w:rsidR="005C0067" w:rsidRPr="00C8170B">
        <w:rPr>
          <w:lang w:val="en-US"/>
        </w:rPr>
        <w:instrText xml:space="preserve"> STYLEREF 1 \s </w:instrText>
      </w:r>
      <w:r w:rsidR="005C0067" w:rsidRPr="00C8170B">
        <w:rPr>
          <w:lang w:val="en-US"/>
        </w:rPr>
        <w:fldChar w:fldCharType="separate"/>
      </w:r>
      <w:r w:rsidR="007B1CE6">
        <w:rPr>
          <w:noProof/>
          <w:lang w:val="en-US"/>
        </w:rPr>
        <w:t>4</w:t>
      </w:r>
      <w:r w:rsidR="005C0067" w:rsidRPr="00C8170B">
        <w:rPr>
          <w:lang w:val="en-US"/>
        </w:rPr>
        <w:fldChar w:fldCharType="end"/>
      </w:r>
      <w:r w:rsidR="005C0067" w:rsidRPr="00C8170B">
        <w:rPr>
          <w:lang w:val="en-US"/>
        </w:rPr>
        <w:t>.</w:t>
      </w:r>
      <w:r w:rsidR="005C0067" w:rsidRPr="00C8170B">
        <w:rPr>
          <w:lang w:val="en-US"/>
        </w:rPr>
        <w:fldChar w:fldCharType="begin"/>
      </w:r>
      <w:r w:rsidR="005C0067" w:rsidRPr="00C8170B">
        <w:rPr>
          <w:lang w:val="en-US"/>
        </w:rPr>
        <w:instrText xml:space="preserve"> SEQ Figure \* ARABIC \s 1 </w:instrText>
      </w:r>
      <w:r w:rsidR="005C0067" w:rsidRPr="00C8170B">
        <w:rPr>
          <w:lang w:val="en-US"/>
        </w:rPr>
        <w:fldChar w:fldCharType="separate"/>
      </w:r>
      <w:r w:rsidR="007B1CE6">
        <w:rPr>
          <w:noProof/>
          <w:lang w:val="en-US"/>
        </w:rPr>
        <w:t>4</w:t>
      </w:r>
      <w:r w:rsidR="005C0067" w:rsidRPr="00C8170B">
        <w:rPr>
          <w:lang w:val="en-US"/>
        </w:rPr>
        <w:fldChar w:fldCharType="end"/>
      </w:r>
      <w:r w:rsidR="001F21D2" w:rsidRPr="00C8170B">
        <w:rPr>
          <w:lang w:val="en-US"/>
        </w:rPr>
        <w:t>: Education Budget Execution Rates by Category, 2015 (in GH¢)</w:t>
      </w:r>
      <w:bookmarkEnd w:id="167"/>
    </w:p>
    <w:tbl>
      <w:tblPr>
        <w:tblStyle w:val="TableGrid0"/>
        <w:tblW w:w="9350" w:type="dxa"/>
        <w:jc w:val="center"/>
        <w:tblInd w:w="0" w:type="dxa"/>
        <w:tblLook w:val="04A0" w:firstRow="1" w:lastRow="0" w:firstColumn="1" w:lastColumn="0" w:noHBand="0" w:noVBand="1"/>
      </w:tblPr>
      <w:tblGrid>
        <w:gridCol w:w="1699"/>
        <w:gridCol w:w="1531"/>
        <w:gridCol w:w="1270"/>
        <w:gridCol w:w="2234"/>
        <w:gridCol w:w="1358"/>
        <w:gridCol w:w="1258"/>
      </w:tblGrid>
      <w:tr w:rsidR="006F7921" w:rsidRPr="00533642" w14:paraId="132F7619" w14:textId="77777777" w:rsidTr="007925A8">
        <w:trPr>
          <w:trHeight w:val="290"/>
          <w:jc w:val="center"/>
        </w:trPr>
        <w:tc>
          <w:tcPr>
            <w:tcW w:w="1699" w:type="dxa"/>
            <w:tcBorders>
              <w:top w:val="single" w:sz="4" w:space="0" w:color="auto"/>
              <w:left w:val="single" w:sz="4" w:space="0" w:color="auto"/>
              <w:bottom w:val="single" w:sz="4" w:space="0" w:color="auto"/>
            </w:tcBorders>
            <w:noWrap/>
            <w:hideMark/>
          </w:tcPr>
          <w:p w14:paraId="34779816"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Item </w:t>
            </w:r>
          </w:p>
        </w:tc>
        <w:tc>
          <w:tcPr>
            <w:tcW w:w="1531" w:type="dxa"/>
            <w:tcBorders>
              <w:top w:val="single" w:sz="4" w:space="0" w:color="auto"/>
              <w:bottom w:val="single" w:sz="4" w:space="0" w:color="auto"/>
            </w:tcBorders>
            <w:noWrap/>
            <w:hideMark/>
          </w:tcPr>
          <w:p w14:paraId="6B125E9E"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Budget Head </w:t>
            </w:r>
          </w:p>
        </w:tc>
        <w:tc>
          <w:tcPr>
            <w:tcW w:w="1270" w:type="dxa"/>
            <w:tcBorders>
              <w:top w:val="single" w:sz="4" w:space="0" w:color="auto"/>
              <w:bottom w:val="single" w:sz="4" w:space="0" w:color="auto"/>
            </w:tcBorders>
            <w:noWrap/>
            <w:hideMark/>
          </w:tcPr>
          <w:p w14:paraId="3AC4B4B2"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Ministry </w:t>
            </w:r>
          </w:p>
        </w:tc>
        <w:tc>
          <w:tcPr>
            <w:tcW w:w="2234" w:type="dxa"/>
            <w:tcBorders>
              <w:top w:val="single" w:sz="4" w:space="0" w:color="auto"/>
              <w:bottom w:val="single" w:sz="4" w:space="0" w:color="auto"/>
            </w:tcBorders>
            <w:noWrap/>
            <w:hideMark/>
          </w:tcPr>
          <w:p w14:paraId="2754D214"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G</w:t>
            </w:r>
            <w:r w:rsidR="006F7921">
              <w:rPr>
                <w:rFonts w:ascii="Garamond" w:hAnsi="Garamond"/>
                <w:sz w:val="20"/>
                <w:szCs w:val="20"/>
              </w:rPr>
              <w:t xml:space="preserve">hana </w:t>
            </w:r>
            <w:r w:rsidRPr="00D775DD">
              <w:rPr>
                <w:rFonts w:ascii="Garamond" w:hAnsi="Garamond"/>
                <w:sz w:val="20"/>
                <w:szCs w:val="20"/>
              </w:rPr>
              <w:t>E</w:t>
            </w:r>
            <w:r w:rsidR="006F7921">
              <w:rPr>
                <w:rFonts w:ascii="Garamond" w:hAnsi="Garamond"/>
                <w:sz w:val="20"/>
                <w:szCs w:val="20"/>
              </w:rPr>
              <w:t>ducation Service</w:t>
            </w:r>
            <w:r w:rsidRPr="00D775DD">
              <w:rPr>
                <w:rFonts w:ascii="Garamond" w:hAnsi="Garamond"/>
                <w:sz w:val="20"/>
                <w:szCs w:val="20"/>
              </w:rPr>
              <w:t xml:space="preserve"> </w:t>
            </w:r>
          </w:p>
        </w:tc>
        <w:tc>
          <w:tcPr>
            <w:tcW w:w="1358" w:type="dxa"/>
            <w:tcBorders>
              <w:top w:val="single" w:sz="4" w:space="0" w:color="auto"/>
              <w:bottom w:val="single" w:sz="4" w:space="0" w:color="auto"/>
            </w:tcBorders>
            <w:noWrap/>
            <w:hideMark/>
          </w:tcPr>
          <w:p w14:paraId="7C0C12B1"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Tertiary </w:t>
            </w:r>
          </w:p>
        </w:tc>
        <w:tc>
          <w:tcPr>
            <w:tcW w:w="1258" w:type="dxa"/>
            <w:tcBorders>
              <w:top w:val="single" w:sz="4" w:space="0" w:color="auto"/>
              <w:bottom w:val="single" w:sz="4" w:space="0" w:color="auto"/>
              <w:right w:val="single" w:sz="4" w:space="0" w:color="auto"/>
            </w:tcBorders>
            <w:noWrap/>
            <w:hideMark/>
          </w:tcPr>
          <w:p w14:paraId="763610CD"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Total </w:t>
            </w:r>
          </w:p>
        </w:tc>
      </w:tr>
      <w:tr w:rsidR="006F7921" w:rsidRPr="00533642" w14:paraId="676901D2" w14:textId="77777777" w:rsidTr="007925A8">
        <w:trPr>
          <w:trHeight w:val="290"/>
          <w:jc w:val="center"/>
        </w:trPr>
        <w:tc>
          <w:tcPr>
            <w:tcW w:w="1699" w:type="dxa"/>
            <w:vMerge w:val="restart"/>
            <w:tcBorders>
              <w:top w:val="single" w:sz="4" w:space="0" w:color="auto"/>
              <w:left w:val="single" w:sz="4" w:space="0" w:color="auto"/>
            </w:tcBorders>
            <w:noWrap/>
            <w:hideMark/>
          </w:tcPr>
          <w:p w14:paraId="1ED246AB"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Compensation </w:t>
            </w:r>
          </w:p>
        </w:tc>
        <w:tc>
          <w:tcPr>
            <w:tcW w:w="1531" w:type="dxa"/>
            <w:tcBorders>
              <w:top w:val="single" w:sz="4" w:space="0" w:color="auto"/>
            </w:tcBorders>
            <w:noWrap/>
            <w:hideMark/>
          </w:tcPr>
          <w:p w14:paraId="03EDE0B2"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Allocation </w:t>
            </w:r>
          </w:p>
        </w:tc>
        <w:tc>
          <w:tcPr>
            <w:tcW w:w="1270" w:type="dxa"/>
            <w:tcBorders>
              <w:top w:val="single" w:sz="4" w:space="0" w:color="auto"/>
            </w:tcBorders>
            <w:noWrap/>
            <w:hideMark/>
          </w:tcPr>
          <w:p w14:paraId="57D1C695"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434,650,952</w:t>
            </w:r>
          </w:p>
        </w:tc>
        <w:tc>
          <w:tcPr>
            <w:tcW w:w="2234" w:type="dxa"/>
            <w:tcBorders>
              <w:top w:val="single" w:sz="4" w:space="0" w:color="auto"/>
            </w:tcBorders>
            <w:noWrap/>
            <w:hideMark/>
          </w:tcPr>
          <w:p w14:paraId="25BC2BA1"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3,548,577,516</w:t>
            </w:r>
          </w:p>
        </w:tc>
        <w:tc>
          <w:tcPr>
            <w:tcW w:w="1358" w:type="dxa"/>
            <w:tcBorders>
              <w:top w:val="single" w:sz="4" w:space="0" w:color="auto"/>
            </w:tcBorders>
            <w:noWrap/>
            <w:hideMark/>
          </w:tcPr>
          <w:p w14:paraId="3EE28FBD"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926,505,697</w:t>
            </w:r>
          </w:p>
        </w:tc>
        <w:tc>
          <w:tcPr>
            <w:tcW w:w="1258" w:type="dxa"/>
            <w:tcBorders>
              <w:top w:val="single" w:sz="4" w:space="0" w:color="auto"/>
              <w:right w:val="single" w:sz="4" w:space="0" w:color="auto"/>
            </w:tcBorders>
            <w:noWrap/>
            <w:hideMark/>
          </w:tcPr>
          <w:p w14:paraId="14B10DBF"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4,909,734,165</w:t>
            </w:r>
          </w:p>
        </w:tc>
      </w:tr>
      <w:tr w:rsidR="006F7921" w:rsidRPr="00533642" w14:paraId="4982D5D7" w14:textId="77777777" w:rsidTr="007925A8">
        <w:trPr>
          <w:trHeight w:val="290"/>
          <w:jc w:val="center"/>
        </w:trPr>
        <w:tc>
          <w:tcPr>
            <w:tcW w:w="1699" w:type="dxa"/>
            <w:vMerge/>
            <w:tcBorders>
              <w:left w:val="single" w:sz="4" w:space="0" w:color="auto"/>
            </w:tcBorders>
            <w:hideMark/>
          </w:tcPr>
          <w:p w14:paraId="4277C049" w14:textId="77777777" w:rsidR="001F21D2" w:rsidRPr="00D775DD" w:rsidRDefault="001F21D2" w:rsidP="005A7652">
            <w:pPr>
              <w:keepNext/>
              <w:spacing w:after="120"/>
              <w:rPr>
                <w:rFonts w:ascii="Garamond" w:hAnsi="Garamond"/>
                <w:sz w:val="20"/>
                <w:szCs w:val="20"/>
              </w:rPr>
            </w:pPr>
          </w:p>
        </w:tc>
        <w:tc>
          <w:tcPr>
            <w:tcW w:w="1531" w:type="dxa"/>
            <w:noWrap/>
            <w:hideMark/>
          </w:tcPr>
          <w:p w14:paraId="0718990C"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Expenditure </w:t>
            </w:r>
          </w:p>
        </w:tc>
        <w:tc>
          <w:tcPr>
            <w:tcW w:w="1270" w:type="dxa"/>
            <w:noWrap/>
            <w:hideMark/>
          </w:tcPr>
          <w:p w14:paraId="55B423BF"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399,387,814</w:t>
            </w:r>
          </w:p>
        </w:tc>
        <w:tc>
          <w:tcPr>
            <w:tcW w:w="2234" w:type="dxa"/>
            <w:noWrap/>
            <w:hideMark/>
          </w:tcPr>
          <w:p w14:paraId="7ACC2DAD"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4,395,771,450</w:t>
            </w:r>
          </w:p>
        </w:tc>
        <w:tc>
          <w:tcPr>
            <w:tcW w:w="1358" w:type="dxa"/>
            <w:noWrap/>
            <w:hideMark/>
          </w:tcPr>
          <w:p w14:paraId="06013725"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1,109,755,358</w:t>
            </w:r>
          </w:p>
        </w:tc>
        <w:tc>
          <w:tcPr>
            <w:tcW w:w="1258" w:type="dxa"/>
            <w:tcBorders>
              <w:right w:val="single" w:sz="4" w:space="0" w:color="auto"/>
            </w:tcBorders>
            <w:noWrap/>
            <w:hideMark/>
          </w:tcPr>
          <w:p w14:paraId="77AD2C21"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5,904,914,622</w:t>
            </w:r>
          </w:p>
        </w:tc>
      </w:tr>
      <w:tr w:rsidR="006F7921" w:rsidRPr="00533642" w14:paraId="65F1CEB9" w14:textId="77777777" w:rsidTr="007925A8">
        <w:trPr>
          <w:trHeight w:val="290"/>
          <w:jc w:val="center"/>
        </w:trPr>
        <w:tc>
          <w:tcPr>
            <w:tcW w:w="1699" w:type="dxa"/>
            <w:vMerge/>
            <w:tcBorders>
              <w:left w:val="single" w:sz="4" w:space="0" w:color="auto"/>
              <w:bottom w:val="single" w:sz="4" w:space="0" w:color="auto"/>
            </w:tcBorders>
            <w:hideMark/>
          </w:tcPr>
          <w:p w14:paraId="3B5269A7" w14:textId="77777777" w:rsidR="001F21D2" w:rsidRPr="00D775DD" w:rsidRDefault="001F21D2" w:rsidP="005A7652">
            <w:pPr>
              <w:keepNext/>
              <w:spacing w:after="120"/>
              <w:rPr>
                <w:rFonts w:ascii="Garamond" w:hAnsi="Garamond"/>
                <w:sz w:val="20"/>
                <w:szCs w:val="20"/>
              </w:rPr>
            </w:pPr>
          </w:p>
        </w:tc>
        <w:tc>
          <w:tcPr>
            <w:tcW w:w="1531" w:type="dxa"/>
            <w:tcBorders>
              <w:bottom w:val="single" w:sz="4" w:space="0" w:color="auto"/>
            </w:tcBorders>
            <w:noWrap/>
            <w:hideMark/>
          </w:tcPr>
          <w:p w14:paraId="63AC0F9F"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 Execution </w:t>
            </w:r>
          </w:p>
        </w:tc>
        <w:tc>
          <w:tcPr>
            <w:tcW w:w="1270" w:type="dxa"/>
            <w:tcBorders>
              <w:bottom w:val="single" w:sz="4" w:space="0" w:color="auto"/>
            </w:tcBorders>
            <w:noWrap/>
            <w:hideMark/>
          </w:tcPr>
          <w:p w14:paraId="5AE02C70"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91.90%</w:t>
            </w:r>
          </w:p>
        </w:tc>
        <w:tc>
          <w:tcPr>
            <w:tcW w:w="2234" w:type="dxa"/>
            <w:tcBorders>
              <w:bottom w:val="single" w:sz="4" w:space="0" w:color="auto"/>
            </w:tcBorders>
            <w:noWrap/>
            <w:hideMark/>
          </w:tcPr>
          <w:p w14:paraId="6515B12F"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123.90%</w:t>
            </w:r>
          </w:p>
        </w:tc>
        <w:tc>
          <w:tcPr>
            <w:tcW w:w="1358" w:type="dxa"/>
            <w:tcBorders>
              <w:bottom w:val="single" w:sz="4" w:space="0" w:color="auto"/>
            </w:tcBorders>
            <w:noWrap/>
            <w:hideMark/>
          </w:tcPr>
          <w:p w14:paraId="0C3B3284"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119.80%</w:t>
            </w:r>
          </w:p>
        </w:tc>
        <w:tc>
          <w:tcPr>
            <w:tcW w:w="1258" w:type="dxa"/>
            <w:tcBorders>
              <w:bottom w:val="single" w:sz="4" w:space="0" w:color="auto"/>
              <w:right w:val="single" w:sz="4" w:space="0" w:color="auto"/>
            </w:tcBorders>
            <w:noWrap/>
            <w:hideMark/>
          </w:tcPr>
          <w:p w14:paraId="560DAEA5"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120.30%</w:t>
            </w:r>
          </w:p>
        </w:tc>
      </w:tr>
      <w:tr w:rsidR="006F7921" w:rsidRPr="00533642" w14:paraId="1A1507BD" w14:textId="77777777" w:rsidTr="007925A8">
        <w:trPr>
          <w:trHeight w:val="290"/>
          <w:jc w:val="center"/>
        </w:trPr>
        <w:tc>
          <w:tcPr>
            <w:tcW w:w="1699" w:type="dxa"/>
            <w:vMerge w:val="restart"/>
            <w:tcBorders>
              <w:top w:val="single" w:sz="4" w:space="0" w:color="auto"/>
              <w:left w:val="single" w:sz="4" w:space="0" w:color="auto"/>
            </w:tcBorders>
            <w:noWrap/>
            <w:hideMark/>
          </w:tcPr>
          <w:p w14:paraId="089486CC"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Goods and Services</w:t>
            </w:r>
          </w:p>
        </w:tc>
        <w:tc>
          <w:tcPr>
            <w:tcW w:w="1531" w:type="dxa"/>
            <w:tcBorders>
              <w:top w:val="single" w:sz="4" w:space="0" w:color="auto"/>
            </w:tcBorders>
            <w:noWrap/>
            <w:hideMark/>
          </w:tcPr>
          <w:p w14:paraId="4503EFB0"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Allocation </w:t>
            </w:r>
          </w:p>
        </w:tc>
        <w:tc>
          <w:tcPr>
            <w:tcW w:w="1270" w:type="dxa"/>
            <w:tcBorders>
              <w:top w:val="single" w:sz="4" w:space="0" w:color="auto"/>
            </w:tcBorders>
            <w:noWrap/>
            <w:hideMark/>
          </w:tcPr>
          <w:p w14:paraId="430F19E4"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11,048,421</w:t>
            </w:r>
          </w:p>
        </w:tc>
        <w:tc>
          <w:tcPr>
            <w:tcW w:w="2234" w:type="dxa"/>
            <w:tcBorders>
              <w:top w:val="single" w:sz="4" w:space="0" w:color="auto"/>
            </w:tcBorders>
            <w:noWrap/>
            <w:hideMark/>
          </w:tcPr>
          <w:p w14:paraId="35610955"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13,000,000</w:t>
            </w:r>
          </w:p>
        </w:tc>
        <w:tc>
          <w:tcPr>
            <w:tcW w:w="1358" w:type="dxa"/>
            <w:tcBorders>
              <w:top w:val="single" w:sz="4" w:space="0" w:color="auto"/>
            </w:tcBorders>
            <w:noWrap/>
            <w:hideMark/>
          </w:tcPr>
          <w:p w14:paraId="66AFE2FC"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9,000,000</w:t>
            </w:r>
          </w:p>
        </w:tc>
        <w:tc>
          <w:tcPr>
            <w:tcW w:w="1258" w:type="dxa"/>
            <w:tcBorders>
              <w:top w:val="single" w:sz="4" w:space="0" w:color="auto"/>
              <w:right w:val="single" w:sz="4" w:space="0" w:color="auto"/>
            </w:tcBorders>
            <w:noWrap/>
            <w:hideMark/>
          </w:tcPr>
          <w:p w14:paraId="04A3C6FA"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33,048,421</w:t>
            </w:r>
          </w:p>
        </w:tc>
      </w:tr>
      <w:tr w:rsidR="006F7921" w:rsidRPr="00533642" w14:paraId="05A53782" w14:textId="77777777" w:rsidTr="007925A8">
        <w:trPr>
          <w:trHeight w:val="290"/>
          <w:jc w:val="center"/>
        </w:trPr>
        <w:tc>
          <w:tcPr>
            <w:tcW w:w="1699" w:type="dxa"/>
            <w:vMerge/>
            <w:tcBorders>
              <w:left w:val="single" w:sz="4" w:space="0" w:color="auto"/>
            </w:tcBorders>
            <w:hideMark/>
          </w:tcPr>
          <w:p w14:paraId="33D6A9DD" w14:textId="77777777" w:rsidR="001F21D2" w:rsidRPr="00D775DD" w:rsidRDefault="001F21D2" w:rsidP="005A7652">
            <w:pPr>
              <w:keepNext/>
              <w:spacing w:after="120"/>
              <w:rPr>
                <w:rFonts w:ascii="Garamond" w:hAnsi="Garamond"/>
                <w:sz w:val="20"/>
                <w:szCs w:val="20"/>
              </w:rPr>
            </w:pPr>
          </w:p>
        </w:tc>
        <w:tc>
          <w:tcPr>
            <w:tcW w:w="1531" w:type="dxa"/>
            <w:noWrap/>
            <w:hideMark/>
          </w:tcPr>
          <w:p w14:paraId="4D3F52B5"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Expenditure </w:t>
            </w:r>
          </w:p>
        </w:tc>
        <w:tc>
          <w:tcPr>
            <w:tcW w:w="1270" w:type="dxa"/>
            <w:noWrap/>
            <w:hideMark/>
          </w:tcPr>
          <w:p w14:paraId="1154D847"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5,703,782</w:t>
            </w:r>
          </w:p>
        </w:tc>
        <w:tc>
          <w:tcPr>
            <w:tcW w:w="2234" w:type="dxa"/>
            <w:noWrap/>
            <w:hideMark/>
          </w:tcPr>
          <w:p w14:paraId="7EF9CC31"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293,794.19</w:t>
            </w:r>
          </w:p>
        </w:tc>
        <w:tc>
          <w:tcPr>
            <w:tcW w:w="1358" w:type="dxa"/>
            <w:noWrap/>
            <w:hideMark/>
          </w:tcPr>
          <w:p w14:paraId="501B810A"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335,910</w:t>
            </w:r>
          </w:p>
        </w:tc>
        <w:tc>
          <w:tcPr>
            <w:tcW w:w="1258" w:type="dxa"/>
            <w:tcBorders>
              <w:right w:val="single" w:sz="4" w:space="0" w:color="auto"/>
            </w:tcBorders>
            <w:noWrap/>
            <w:hideMark/>
          </w:tcPr>
          <w:p w14:paraId="4A32459B"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6,333,486</w:t>
            </w:r>
          </w:p>
        </w:tc>
      </w:tr>
      <w:tr w:rsidR="006F7921" w:rsidRPr="00533642" w14:paraId="45F371AF" w14:textId="77777777" w:rsidTr="007925A8">
        <w:trPr>
          <w:trHeight w:val="290"/>
          <w:jc w:val="center"/>
        </w:trPr>
        <w:tc>
          <w:tcPr>
            <w:tcW w:w="1699" w:type="dxa"/>
            <w:vMerge/>
            <w:tcBorders>
              <w:left w:val="single" w:sz="4" w:space="0" w:color="auto"/>
              <w:bottom w:val="single" w:sz="4" w:space="0" w:color="auto"/>
            </w:tcBorders>
            <w:hideMark/>
          </w:tcPr>
          <w:p w14:paraId="2E4F34CB" w14:textId="77777777" w:rsidR="001F21D2" w:rsidRPr="00D775DD" w:rsidRDefault="001F21D2" w:rsidP="005A7652">
            <w:pPr>
              <w:keepNext/>
              <w:spacing w:after="120"/>
              <w:rPr>
                <w:rFonts w:ascii="Garamond" w:hAnsi="Garamond"/>
                <w:sz w:val="20"/>
                <w:szCs w:val="20"/>
              </w:rPr>
            </w:pPr>
          </w:p>
        </w:tc>
        <w:tc>
          <w:tcPr>
            <w:tcW w:w="1531" w:type="dxa"/>
            <w:tcBorders>
              <w:bottom w:val="single" w:sz="4" w:space="0" w:color="auto"/>
            </w:tcBorders>
            <w:noWrap/>
            <w:hideMark/>
          </w:tcPr>
          <w:p w14:paraId="2FA91CEC"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 Execution </w:t>
            </w:r>
          </w:p>
        </w:tc>
        <w:tc>
          <w:tcPr>
            <w:tcW w:w="1270" w:type="dxa"/>
            <w:tcBorders>
              <w:bottom w:val="single" w:sz="4" w:space="0" w:color="auto"/>
            </w:tcBorders>
            <w:noWrap/>
            <w:hideMark/>
          </w:tcPr>
          <w:p w14:paraId="05C76706"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51.60%</w:t>
            </w:r>
          </w:p>
        </w:tc>
        <w:tc>
          <w:tcPr>
            <w:tcW w:w="2234" w:type="dxa"/>
            <w:tcBorders>
              <w:bottom w:val="single" w:sz="4" w:space="0" w:color="auto"/>
            </w:tcBorders>
            <w:noWrap/>
            <w:hideMark/>
          </w:tcPr>
          <w:p w14:paraId="4DC80A20"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2.30%</w:t>
            </w:r>
          </w:p>
        </w:tc>
        <w:tc>
          <w:tcPr>
            <w:tcW w:w="1358" w:type="dxa"/>
            <w:tcBorders>
              <w:bottom w:val="single" w:sz="4" w:space="0" w:color="auto"/>
            </w:tcBorders>
            <w:noWrap/>
            <w:hideMark/>
          </w:tcPr>
          <w:p w14:paraId="0E394944"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3.70%</w:t>
            </w:r>
          </w:p>
        </w:tc>
        <w:tc>
          <w:tcPr>
            <w:tcW w:w="1258" w:type="dxa"/>
            <w:tcBorders>
              <w:bottom w:val="single" w:sz="4" w:space="0" w:color="auto"/>
              <w:right w:val="single" w:sz="4" w:space="0" w:color="auto"/>
            </w:tcBorders>
            <w:noWrap/>
            <w:hideMark/>
          </w:tcPr>
          <w:p w14:paraId="46BC6ECC"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19.20%</w:t>
            </w:r>
          </w:p>
        </w:tc>
      </w:tr>
      <w:tr w:rsidR="006F7921" w:rsidRPr="00533642" w14:paraId="297D0D31" w14:textId="77777777" w:rsidTr="007925A8">
        <w:trPr>
          <w:trHeight w:val="290"/>
          <w:jc w:val="center"/>
        </w:trPr>
        <w:tc>
          <w:tcPr>
            <w:tcW w:w="1699" w:type="dxa"/>
            <w:vMerge w:val="restart"/>
            <w:tcBorders>
              <w:top w:val="single" w:sz="4" w:space="0" w:color="auto"/>
              <w:left w:val="single" w:sz="4" w:space="0" w:color="auto"/>
            </w:tcBorders>
            <w:noWrap/>
            <w:hideMark/>
          </w:tcPr>
          <w:p w14:paraId="275D1DCB"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Asset</w:t>
            </w:r>
          </w:p>
        </w:tc>
        <w:tc>
          <w:tcPr>
            <w:tcW w:w="1531" w:type="dxa"/>
            <w:tcBorders>
              <w:top w:val="single" w:sz="4" w:space="0" w:color="auto"/>
            </w:tcBorders>
            <w:noWrap/>
            <w:hideMark/>
          </w:tcPr>
          <w:p w14:paraId="3A4CB8B5"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Allocation </w:t>
            </w:r>
          </w:p>
        </w:tc>
        <w:tc>
          <w:tcPr>
            <w:tcW w:w="1270" w:type="dxa"/>
            <w:tcBorders>
              <w:top w:val="single" w:sz="4" w:space="0" w:color="auto"/>
            </w:tcBorders>
            <w:noWrap/>
            <w:hideMark/>
          </w:tcPr>
          <w:p w14:paraId="2C56C7EE"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1,000,000</w:t>
            </w:r>
          </w:p>
        </w:tc>
        <w:tc>
          <w:tcPr>
            <w:tcW w:w="2234" w:type="dxa"/>
            <w:tcBorders>
              <w:top w:val="single" w:sz="4" w:space="0" w:color="auto"/>
            </w:tcBorders>
            <w:noWrap/>
            <w:hideMark/>
          </w:tcPr>
          <w:p w14:paraId="1840B694"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 -    </w:t>
            </w:r>
          </w:p>
        </w:tc>
        <w:tc>
          <w:tcPr>
            <w:tcW w:w="1358" w:type="dxa"/>
            <w:tcBorders>
              <w:top w:val="single" w:sz="4" w:space="0" w:color="auto"/>
            </w:tcBorders>
            <w:noWrap/>
            <w:hideMark/>
          </w:tcPr>
          <w:p w14:paraId="05A8F953"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 -    </w:t>
            </w:r>
          </w:p>
        </w:tc>
        <w:tc>
          <w:tcPr>
            <w:tcW w:w="1258" w:type="dxa"/>
            <w:tcBorders>
              <w:top w:val="single" w:sz="4" w:space="0" w:color="auto"/>
              <w:right w:val="single" w:sz="4" w:space="0" w:color="auto"/>
            </w:tcBorders>
            <w:noWrap/>
            <w:hideMark/>
          </w:tcPr>
          <w:p w14:paraId="3E71A96A"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1,000,000</w:t>
            </w:r>
          </w:p>
        </w:tc>
      </w:tr>
      <w:tr w:rsidR="006F7921" w:rsidRPr="00533642" w14:paraId="6C85AC64" w14:textId="77777777" w:rsidTr="007925A8">
        <w:trPr>
          <w:trHeight w:val="290"/>
          <w:jc w:val="center"/>
        </w:trPr>
        <w:tc>
          <w:tcPr>
            <w:tcW w:w="1699" w:type="dxa"/>
            <w:vMerge/>
            <w:tcBorders>
              <w:left w:val="single" w:sz="4" w:space="0" w:color="auto"/>
            </w:tcBorders>
            <w:hideMark/>
          </w:tcPr>
          <w:p w14:paraId="3D6FE7CB" w14:textId="77777777" w:rsidR="001F21D2" w:rsidRPr="00D775DD" w:rsidRDefault="001F21D2" w:rsidP="005A7652">
            <w:pPr>
              <w:keepNext/>
              <w:spacing w:after="120"/>
              <w:rPr>
                <w:rFonts w:ascii="Garamond" w:hAnsi="Garamond"/>
                <w:sz w:val="20"/>
                <w:szCs w:val="20"/>
              </w:rPr>
            </w:pPr>
          </w:p>
        </w:tc>
        <w:tc>
          <w:tcPr>
            <w:tcW w:w="1531" w:type="dxa"/>
            <w:noWrap/>
            <w:hideMark/>
          </w:tcPr>
          <w:p w14:paraId="091C2C2B"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Expenditure </w:t>
            </w:r>
          </w:p>
        </w:tc>
        <w:tc>
          <w:tcPr>
            <w:tcW w:w="1270" w:type="dxa"/>
            <w:noWrap/>
            <w:hideMark/>
          </w:tcPr>
          <w:p w14:paraId="18D723CC"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 -    </w:t>
            </w:r>
          </w:p>
        </w:tc>
        <w:tc>
          <w:tcPr>
            <w:tcW w:w="2234" w:type="dxa"/>
            <w:noWrap/>
            <w:hideMark/>
          </w:tcPr>
          <w:p w14:paraId="1085091A"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 </w:t>
            </w:r>
          </w:p>
        </w:tc>
        <w:tc>
          <w:tcPr>
            <w:tcW w:w="1358" w:type="dxa"/>
            <w:noWrap/>
            <w:hideMark/>
          </w:tcPr>
          <w:p w14:paraId="5ABAE291"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 </w:t>
            </w:r>
          </w:p>
        </w:tc>
        <w:tc>
          <w:tcPr>
            <w:tcW w:w="1258" w:type="dxa"/>
            <w:tcBorders>
              <w:right w:val="single" w:sz="4" w:space="0" w:color="auto"/>
            </w:tcBorders>
            <w:noWrap/>
            <w:hideMark/>
          </w:tcPr>
          <w:p w14:paraId="4E92B063"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 -    </w:t>
            </w:r>
          </w:p>
        </w:tc>
      </w:tr>
      <w:tr w:rsidR="006F7921" w:rsidRPr="00533642" w14:paraId="354CDC46" w14:textId="77777777" w:rsidTr="007925A8">
        <w:trPr>
          <w:trHeight w:val="290"/>
          <w:jc w:val="center"/>
        </w:trPr>
        <w:tc>
          <w:tcPr>
            <w:tcW w:w="1699" w:type="dxa"/>
            <w:vMerge/>
            <w:tcBorders>
              <w:left w:val="single" w:sz="4" w:space="0" w:color="auto"/>
              <w:bottom w:val="single" w:sz="4" w:space="0" w:color="auto"/>
            </w:tcBorders>
            <w:hideMark/>
          </w:tcPr>
          <w:p w14:paraId="5F335DC8" w14:textId="77777777" w:rsidR="001F21D2" w:rsidRPr="00D775DD" w:rsidRDefault="001F21D2" w:rsidP="005A7652">
            <w:pPr>
              <w:keepNext/>
              <w:spacing w:after="120"/>
              <w:rPr>
                <w:rFonts w:ascii="Garamond" w:hAnsi="Garamond"/>
                <w:sz w:val="20"/>
                <w:szCs w:val="20"/>
              </w:rPr>
            </w:pPr>
          </w:p>
        </w:tc>
        <w:tc>
          <w:tcPr>
            <w:tcW w:w="1531" w:type="dxa"/>
            <w:tcBorders>
              <w:bottom w:val="single" w:sz="4" w:space="0" w:color="auto"/>
            </w:tcBorders>
            <w:noWrap/>
            <w:hideMark/>
          </w:tcPr>
          <w:p w14:paraId="50A19966"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 Execution </w:t>
            </w:r>
          </w:p>
        </w:tc>
        <w:tc>
          <w:tcPr>
            <w:tcW w:w="1270" w:type="dxa"/>
            <w:tcBorders>
              <w:bottom w:val="single" w:sz="4" w:space="0" w:color="auto"/>
            </w:tcBorders>
            <w:noWrap/>
            <w:hideMark/>
          </w:tcPr>
          <w:p w14:paraId="6286AC6E"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0.00%</w:t>
            </w:r>
          </w:p>
        </w:tc>
        <w:tc>
          <w:tcPr>
            <w:tcW w:w="2234" w:type="dxa"/>
            <w:tcBorders>
              <w:bottom w:val="single" w:sz="4" w:space="0" w:color="auto"/>
            </w:tcBorders>
            <w:noWrap/>
            <w:hideMark/>
          </w:tcPr>
          <w:p w14:paraId="6391D1A6"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 </w:t>
            </w:r>
          </w:p>
        </w:tc>
        <w:tc>
          <w:tcPr>
            <w:tcW w:w="1358" w:type="dxa"/>
            <w:tcBorders>
              <w:bottom w:val="single" w:sz="4" w:space="0" w:color="auto"/>
            </w:tcBorders>
            <w:noWrap/>
            <w:hideMark/>
          </w:tcPr>
          <w:p w14:paraId="6C24B767"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 </w:t>
            </w:r>
          </w:p>
        </w:tc>
        <w:tc>
          <w:tcPr>
            <w:tcW w:w="1258" w:type="dxa"/>
            <w:tcBorders>
              <w:bottom w:val="single" w:sz="4" w:space="0" w:color="auto"/>
              <w:right w:val="single" w:sz="4" w:space="0" w:color="auto"/>
            </w:tcBorders>
            <w:noWrap/>
            <w:hideMark/>
          </w:tcPr>
          <w:p w14:paraId="579CCC0C"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0.00%</w:t>
            </w:r>
          </w:p>
        </w:tc>
      </w:tr>
      <w:tr w:rsidR="006F7921" w:rsidRPr="00533642" w14:paraId="36F8E9E8" w14:textId="77777777" w:rsidTr="007925A8">
        <w:trPr>
          <w:trHeight w:val="290"/>
          <w:jc w:val="center"/>
        </w:trPr>
        <w:tc>
          <w:tcPr>
            <w:tcW w:w="1699" w:type="dxa"/>
            <w:vMerge w:val="restart"/>
            <w:tcBorders>
              <w:top w:val="single" w:sz="4" w:space="0" w:color="auto"/>
              <w:left w:val="single" w:sz="4" w:space="0" w:color="auto"/>
            </w:tcBorders>
            <w:noWrap/>
            <w:hideMark/>
          </w:tcPr>
          <w:p w14:paraId="60AB4331"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Total</w:t>
            </w:r>
          </w:p>
        </w:tc>
        <w:tc>
          <w:tcPr>
            <w:tcW w:w="1531" w:type="dxa"/>
            <w:tcBorders>
              <w:top w:val="single" w:sz="4" w:space="0" w:color="auto"/>
            </w:tcBorders>
            <w:noWrap/>
            <w:hideMark/>
          </w:tcPr>
          <w:p w14:paraId="253D9FDF"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Allocation </w:t>
            </w:r>
          </w:p>
        </w:tc>
        <w:tc>
          <w:tcPr>
            <w:tcW w:w="1270" w:type="dxa"/>
            <w:tcBorders>
              <w:top w:val="single" w:sz="4" w:space="0" w:color="auto"/>
            </w:tcBorders>
            <w:noWrap/>
            <w:hideMark/>
          </w:tcPr>
          <w:p w14:paraId="482AE529"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446,699,373</w:t>
            </w:r>
          </w:p>
        </w:tc>
        <w:tc>
          <w:tcPr>
            <w:tcW w:w="2234" w:type="dxa"/>
            <w:tcBorders>
              <w:top w:val="single" w:sz="4" w:space="0" w:color="auto"/>
            </w:tcBorders>
            <w:noWrap/>
            <w:hideMark/>
          </w:tcPr>
          <w:p w14:paraId="30A623BF"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3,561,577,516</w:t>
            </w:r>
          </w:p>
        </w:tc>
        <w:tc>
          <w:tcPr>
            <w:tcW w:w="1358" w:type="dxa"/>
            <w:tcBorders>
              <w:top w:val="single" w:sz="4" w:space="0" w:color="auto"/>
            </w:tcBorders>
            <w:noWrap/>
            <w:hideMark/>
          </w:tcPr>
          <w:p w14:paraId="70B625A9"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935,505,697</w:t>
            </w:r>
          </w:p>
        </w:tc>
        <w:tc>
          <w:tcPr>
            <w:tcW w:w="1258" w:type="dxa"/>
            <w:tcBorders>
              <w:top w:val="single" w:sz="4" w:space="0" w:color="auto"/>
              <w:right w:val="single" w:sz="4" w:space="0" w:color="auto"/>
            </w:tcBorders>
            <w:noWrap/>
            <w:hideMark/>
          </w:tcPr>
          <w:p w14:paraId="16CFA4FB"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4,943,782,586</w:t>
            </w:r>
          </w:p>
        </w:tc>
      </w:tr>
      <w:tr w:rsidR="006F7921" w:rsidRPr="00533642" w14:paraId="16B45EE4" w14:textId="77777777" w:rsidTr="007925A8">
        <w:trPr>
          <w:trHeight w:val="290"/>
          <w:jc w:val="center"/>
        </w:trPr>
        <w:tc>
          <w:tcPr>
            <w:tcW w:w="1699" w:type="dxa"/>
            <w:vMerge/>
            <w:tcBorders>
              <w:left w:val="single" w:sz="4" w:space="0" w:color="auto"/>
            </w:tcBorders>
            <w:hideMark/>
          </w:tcPr>
          <w:p w14:paraId="06323004" w14:textId="77777777" w:rsidR="001F21D2" w:rsidRPr="00D775DD" w:rsidRDefault="001F21D2" w:rsidP="005A7652">
            <w:pPr>
              <w:keepNext/>
              <w:spacing w:after="120"/>
              <w:rPr>
                <w:rFonts w:ascii="Garamond" w:hAnsi="Garamond"/>
                <w:sz w:val="20"/>
                <w:szCs w:val="20"/>
              </w:rPr>
            </w:pPr>
          </w:p>
        </w:tc>
        <w:tc>
          <w:tcPr>
            <w:tcW w:w="1531" w:type="dxa"/>
            <w:noWrap/>
            <w:hideMark/>
          </w:tcPr>
          <w:p w14:paraId="4E68CEE9"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Expenditure </w:t>
            </w:r>
          </w:p>
        </w:tc>
        <w:tc>
          <w:tcPr>
            <w:tcW w:w="1270" w:type="dxa"/>
            <w:noWrap/>
            <w:hideMark/>
          </w:tcPr>
          <w:p w14:paraId="25D6A919"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405,091,596</w:t>
            </w:r>
          </w:p>
        </w:tc>
        <w:tc>
          <w:tcPr>
            <w:tcW w:w="2234" w:type="dxa"/>
            <w:noWrap/>
            <w:hideMark/>
          </w:tcPr>
          <w:p w14:paraId="3721DF80"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4,396,065,245</w:t>
            </w:r>
          </w:p>
        </w:tc>
        <w:tc>
          <w:tcPr>
            <w:tcW w:w="1358" w:type="dxa"/>
            <w:noWrap/>
            <w:hideMark/>
          </w:tcPr>
          <w:p w14:paraId="29880CEA"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1,110,091,267</w:t>
            </w:r>
          </w:p>
        </w:tc>
        <w:tc>
          <w:tcPr>
            <w:tcW w:w="1258" w:type="dxa"/>
            <w:tcBorders>
              <w:right w:val="single" w:sz="4" w:space="0" w:color="auto"/>
            </w:tcBorders>
            <w:noWrap/>
            <w:hideMark/>
          </w:tcPr>
          <w:p w14:paraId="6364378F"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5,911,248,108</w:t>
            </w:r>
          </w:p>
        </w:tc>
      </w:tr>
      <w:tr w:rsidR="006F7921" w:rsidRPr="00533642" w14:paraId="66D91FEC" w14:textId="77777777" w:rsidTr="007925A8">
        <w:trPr>
          <w:trHeight w:val="290"/>
          <w:jc w:val="center"/>
        </w:trPr>
        <w:tc>
          <w:tcPr>
            <w:tcW w:w="1699" w:type="dxa"/>
            <w:vMerge/>
            <w:tcBorders>
              <w:left w:val="single" w:sz="4" w:space="0" w:color="auto"/>
              <w:bottom w:val="single" w:sz="4" w:space="0" w:color="auto"/>
            </w:tcBorders>
            <w:hideMark/>
          </w:tcPr>
          <w:p w14:paraId="20A9008F" w14:textId="77777777" w:rsidR="001F21D2" w:rsidRPr="00D775DD" w:rsidRDefault="001F21D2" w:rsidP="005A7652">
            <w:pPr>
              <w:keepNext/>
              <w:spacing w:after="120"/>
              <w:rPr>
                <w:rFonts w:ascii="Garamond" w:hAnsi="Garamond"/>
                <w:sz w:val="20"/>
                <w:szCs w:val="20"/>
              </w:rPr>
            </w:pPr>
          </w:p>
        </w:tc>
        <w:tc>
          <w:tcPr>
            <w:tcW w:w="1531" w:type="dxa"/>
            <w:tcBorders>
              <w:bottom w:val="single" w:sz="4" w:space="0" w:color="auto"/>
            </w:tcBorders>
            <w:noWrap/>
            <w:hideMark/>
          </w:tcPr>
          <w:p w14:paraId="0E873C7A"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 Execution </w:t>
            </w:r>
          </w:p>
        </w:tc>
        <w:tc>
          <w:tcPr>
            <w:tcW w:w="1270" w:type="dxa"/>
            <w:tcBorders>
              <w:bottom w:val="single" w:sz="4" w:space="0" w:color="auto"/>
            </w:tcBorders>
            <w:noWrap/>
            <w:hideMark/>
          </w:tcPr>
          <w:p w14:paraId="7527D594"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90.70%</w:t>
            </w:r>
          </w:p>
        </w:tc>
        <w:tc>
          <w:tcPr>
            <w:tcW w:w="2234" w:type="dxa"/>
            <w:tcBorders>
              <w:bottom w:val="single" w:sz="4" w:space="0" w:color="auto"/>
            </w:tcBorders>
            <w:noWrap/>
            <w:hideMark/>
          </w:tcPr>
          <w:p w14:paraId="143996FD"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123.40%</w:t>
            </w:r>
          </w:p>
        </w:tc>
        <w:tc>
          <w:tcPr>
            <w:tcW w:w="1358" w:type="dxa"/>
            <w:tcBorders>
              <w:bottom w:val="single" w:sz="4" w:space="0" w:color="auto"/>
            </w:tcBorders>
            <w:noWrap/>
            <w:hideMark/>
          </w:tcPr>
          <w:p w14:paraId="00622415"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118.70%</w:t>
            </w:r>
          </w:p>
        </w:tc>
        <w:tc>
          <w:tcPr>
            <w:tcW w:w="1258" w:type="dxa"/>
            <w:tcBorders>
              <w:bottom w:val="single" w:sz="4" w:space="0" w:color="auto"/>
              <w:right w:val="single" w:sz="4" w:space="0" w:color="auto"/>
            </w:tcBorders>
            <w:noWrap/>
            <w:hideMark/>
          </w:tcPr>
          <w:p w14:paraId="500EE7A2"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119.60%</w:t>
            </w:r>
          </w:p>
        </w:tc>
      </w:tr>
    </w:tbl>
    <w:p w14:paraId="32AA8271" w14:textId="77777777" w:rsidR="001F21D2" w:rsidRPr="00D775DD" w:rsidRDefault="001F21D2" w:rsidP="001F21D2">
      <w:pPr>
        <w:rPr>
          <w:rFonts w:ascii="Garamond" w:hAnsi="Garamond"/>
          <w:noProof/>
        </w:rPr>
      </w:pPr>
      <w:r w:rsidRPr="00D775DD">
        <w:rPr>
          <w:rFonts w:ascii="Garamond" w:hAnsi="Garamond"/>
          <w:i/>
          <w:noProof/>
          <w:sz w:val="20"/>
          <w:szCs w:val="20"/>
        </w:rPr>
        <w:t>Source</w:t>
      </w:r>
      <w:r w:rsidRPr="00D775DD">
        <w:rPr>
          <w:rFonts w:ascii="Garamond" w:hAnsi="Garamond"/>
          <w:noProof/>
          <w:sz w:val="20"/>
          <w:szCs w:val="20"/>
        </w:rPr>
        <w:t>: Ministry of Education, 2016</w:t>
      </w:r>
    </w:p>
    <w:p w14:paraId="525AFD7F" w14:textId="77777777" w:rsidR="001F21D2" w:rsidRPr="00533642" w:rsidRDefault="001F21D2" w:rsidP="00724BAB">
      <w:pPr>
        <w:pStyle w:val="ListParagraph"/>
        <w:numPr>
          <w:ilvl w:val="0"/>
          <w:numId w:val="9"/>
        </w:numPr>
      </w:pPr>
      <w:r>
        <w:rPr>
          <w:b/>
        </w:rPr>
        <w:t xml:space="preserve">Between </w:t>
      </w:r>
      <w:r w:rsidRPr="003F1FAC">
        <w:rPr>
          <w:b/>
        </w:rPr>
        <w:t xml:space="preserve">2014 </w:t>
      </w:r>
      <w:r>
        <w:rPr>
          <w:b/>
        </w:rPr>
        <w:t>and</w:t>
      </w:r>
      <w:r w:rsidRPr="003F1FAC">
        <w:rPr>
          <w:b/>
        </w:rPr>
        <w:t xml:space="preserve"> 2015</w:t>
      </w:r>
      <w:r>
        <w:rPr>
          <w:b/>
        </w:rPr>
        <w:t xml:space="preserve">, per-student spending </w:t>
      </w:r>
      <w:r w:rsidRPr="003F1FAC">
        <w:rPr>
          <w:b/>
        </w:rPr>
        <w:t xml:space="preserve">increased significantly </w:t>
      </w:r>
      <w:r>
        <w:rPr>
          <w:b/>
        </w:rPr>
        <w:t>at the</w:t>
      </w:r>
      <w:r w:rsidRPr="003F1FAC">
        <w:rPr>
          <w:b/>
        </w:rPr>
        <w:t xml:space="preserve"> </w:t>
      </w:r>
      <w:r w:rsidR="00847289">
        <w:rPr>
          <w:b/>
        </w:rPr>
        <w:t>j</w:t>
      </w:r>
      <w:r w:rsidRPr="003F1FAC">
        <w:rPr>
          <w:b/>
        </w:rPr>
        <w:t xml:space="preserve">unior </w:t>
      </w:r>
      <w:r w:rsidR="00847289">
        <w:rPr>
          <w:b/>
        </w:rPr>
        <w:t>h</w:t>
      </w:r>
      <w:r w:rsidRPr="003F1FAC">
        <w:rPr>
          <w:b/>
        </w:rPr>
        <w:t xml:space="preserve">igh </w:t>
      </w:r>
      <w:r w:rsidR="00847289">
        <w:rPr>
          <w:b/>
        </w:rPr>
        <w:t>s</w:t>
      </w:r>
      <w:r w:rsidRPr="003F1FAC">
        <w:rPr>
          <w:b/>
        </w:rPr>
        <w:t xml:space="preserve">chool (JHS), </w:t>
      </w:r>
      <w:r w:rsidR="00847289">
        <w:rPr>
          <w:b/>
        </w:rPr>
        <w:t>s</w:t>
      </w:r>
      <w:r w:rsidRPr="003F1FAC">
        <w:rPr>
          <w:b/>
        </w:rPr>
        <w:t xml:space="preserve">enior </w:t>
      </w:r>
      <w:r w:rsidR="00847289">
        <w:rPr>
          <w:b/>
        </w:rPr>
        <w:t>h</w:t>
      </w:r>
      <w:r w:rsidRPr="003F1FAC">
        <w:rPr>
          <w:b/>
        </w:rPr>
        <w:t xml:space="preserve">igh </w:t>
      </w:r>
      <w:r w:rsidR="00847289">
        <w:rPr>
          <w:b/>
        </w:rPr>
        <w:t>s</w:t>
      </w:r>
      <w:r w:rsidRPr="003F1FAC">
        <w:rPr>
          <w:b/>
        </w:rPr>
        <w:t xml:space="preserve">chool (SHS) and tertiary education </w:t>
      </w:r>
      <w:r>
        <w:rPr>
          <w:b/>
        </w:rPr>
        <w:t>levels</w:t>
      </w:r>
      <w:r w:rsidRPr="00443B8C">
        <w:rPr>
          <w:b/>
        </w:rPr>
        <w:t xml:space="preserve">, while it </w:t>
      </w:r>
      <w:r w:rsidRPr="00F0436D">
        <w:rPr>
          <w:b/>
        </w:rPr>
        <w:t xml:space="preserve">decreased at the </w:t>
      </w:r>
      <w:r w:rsidRPr="00F0436D">
        <w:rPr>
          <w:b/>
        </w:rPr>
        <w:lastRenderedPageBreak/>
        <w:t>pre-primary, primary</w:t>
      </w:r>
      <w:r>
        <w:rPr>
          <w:b/>
        </w:rPr>
        <w:t>,</w:t>
      </w:r>
      <w:r w:rsidRPr="00F0436D">
        <w:rPr>
          <w:b/>
        </w:rPr>
        <w:t xml:space="preserve"> and technical and vocational education and training (TVET)</w:t>
      </w:r>
      <w:r>
        <w:rPr>
          <w:b/>
        </w:rPr>
        <w:t xml:space="preserve"> levels</w:t>
      </w:r>
      <w:r w:rsidRPr="00F0436D">
        <w:rPr>
          <w:b/>
        </w:rPr>
        <w:t xml:space="preserve">. </w:t>
      </w:r>
      <w:r>
        <w:t>Tertiary spending experienced the largest increase while the largest decrease was in TVET spending. As a result,</w:t>
      </w:r>
      <w:r w:rsidRPr="00533642">
        <w:t xml:space="preserve"> the ratio of </w:t>
      </w:r>
      <w:r>
        <w:t>per-student spending</w:t>
      </w:r>
      <w:r w:rsidRPr="00533642">
        <w:t xml:space="preserve"> </w:t>
      </w:r>
      <w:r>
        <w:t>at the</w:t>
      </w:r>
      <w:r w:rsidRPr="00533642">
        <w:t xml:space="preserve"> tertiary </w:t>
      </w:r>
      <w:r>
        <w:t>and primary levels nearly doubled from</w:t>
      </w:r>
      <w:r w:rsidRPr="00533642">
        <w:t xml:space="preserve"> 10</w:t>
      </w:r>
      <w:r>
        <w:t>:1</w:t>
      </w:r>
      <w:r w:rsidRPr="00533642">
        <w:t xml:space="preserve"> in 2014 to 19</w:t>
      </w:r>
      <w:r>
        <w:t>:1</w:t>
      </w:r>
      <w:r w:rsidRPr="00533642">
        <w:t xml:space="preserve"> in 2015, one of the highest</w:t>
      </w:r>
      <w:r>
        <w:t xml:space="preserve"> ratios</w:t>
      </w:r>
      <w:r w:rsidRPr="00533642">
        <w:t xml:space="preserve"> in SSA. </w:t>
      </w:r>
      <w:r>
        <w:t>This trend has important policy implications, as it reflects an increasingly regressive distribution of education spending. As enrollment rates drop significantly at each education level, a very small share of students, most of whom come from wealthy households, are able to benefit from rising tertiary education spending. Shifting resources to primary, secondary</w:t>
      </w:r>
      <w:r w:rsidR="00EE3BAC">
        <w:t>,</w:t>
      </w:r>
      <w:r>
        <w:t xml:space="preserve"> and TVET education would enhance the distributional equity of education spending, expand access to higher levels of education for primary students</w:t>
      </w:r>
      <w:r w:rsidR="00BA5DEE">
        <w:t>,</w:t>
      </w:r>
      <w:r>
        <w:t xml:space="preserve"> and reduce systemic disparities that undermine service quality across the education sector. </w:t>
      </w:r>
    </w:p>
    <w:p w14:paraId="07BBBFD1" w14:textId="77777777" w:rsidR="001F21D2" w:rsidRPr="00C8170B" w:rsidRDefault="00503101" w:rsidP="00503101">
      <w:pPr>
        <w:pStyle w:val="Caption"/>
        <w:rPr>
          <w:lang w:val="en-US"/>
        </w:rPr>
      </w:pPr>
      <w:bookmarkStart w:id="168" w:name="_Toc478837651"/>
      <w:r w:rsidRPr="00C8170B">
        <w:rPr>
          <w:lang w:val="en-US"/>
        </w:rPr>
        <w:t xml:space="preserve">Table </w:t>
      </w:r>
      <w:r w:rsidR="00500291" w:rsidRPr="00C8170B">
        <w:rPr>
          <w:lang w:val="en-US"/>
        </w:rPr>
        <w:fldChar w:fldCharType="begin"/>
      </w:r>
      <w:r w:rsidR="00500291" w:rsidRPr="00C8170B">
        <w:rPr>
          <w:lang w:val="en-US"/>
        </w:rPr>
        <w:instrText xml:space="preserve"> STYLEREF 1 \s </w:instrText>
      </w:r>
      <w:r w:rsidR="00500291" w:rsidRPr="00C8170B">
        <w:rPr>
          <w:lang w:val="en-US"/>
        </w:rPr>
        <w:fldChar w:fldCharType="separate"/>
      </w:r>
      <w:r w:rsidR="007B1CE6">
        <w:rPr>
          <w:noProof/>
          <w:lang w:val="en-US"/>
        </w:rPr>
        <w:t>4</w:t>
      </w:r>
      <w:r w:rsidR="00500291" w:rsidRPr="00C8170B">
        <w:rPr>
          <w:lang w:val="en-US"/>
        </w:rPr>
        <w:fldChar w:fldCharType="end"/>
      </w:r>
      <w:r w:rsidR="00500291" w:rsidRPr="00C8170B">
        <w:rPr>
          <w:lang w:val="en-US"/>
        </w:rPr>
        <w:t>.</w:t>
      </w:r>
      <w:r w:rsidR="00500291" w:rsidRPr="00C8170B">
        <w:rPr>
          <w:lang w:val="en-US"/>
        </w:rPr>
        <w:fldChar w:fldCharType="begin"/>
      </w:r>
      <w:r w:rsidR="00500291" w:rsidRPr="00C8170B">
        <w:rPr>
          <w:lang w:val="en-US"/>
        </w:rPr>
        <w:instrText xml:space="preserve"> SEQ Table \* ARABIC \s 1 </w:instrText>
      </w:r>
      <w:r w:rsidR="00500291" w:rsidRPr="00C8170B">
        <w:rPr>
          <w:lang w:val="en-US"/>
        </w:rPr>
        <w:fldChar w:fldCharType="separate"/>
      </w:r>
      <w:r w:rsidR="007B1CE6">
        <w:rPr>
          <w:noProof/>
          <w:lang w:val="en-US"/>
        </w:rPr>
        <w:t>3</w:t>
      </w:r>
      <w:r w:rsidR="00500291" w:rsidRPr="00C8170B">
        <w:rPr>
          <w:lang w:val="en-US"/>
        </w:rPr>
        <w:fldChar w:fldCharType="end"/>
      </w:r>
      <w:r w:rsidR="001F21D2" w:rsidRPr="00C8170B">
        <w:rPr>
          <w:lang w:val="en-US"/>
        </w:rPr>
        <w:t>: Public Education Spending per Student (GH¢)</w:t>
      </w:r>
      <w:bookmarkEnd w:id="168"/>
    </w:p>
    <w:tbl>
      <w:tblPr>
        <w:tblW w:w="7780" w:type="dxa"/>
        <w:jc w:val="center"/>
        <w:tblLook w:val="04A0" w:firstRow="1" w:lastRow="0" w:firstColumn="1" w:lastColumn="0" w:noHBand="0" w:noVBand="1"/>
      </w:tblPr>
      <w:tblGrid>
        <w:gridCol w:w="1270"/>
        <w:gridCol w:w="750"/>
        <w:gridCol w:w="960"/>
        <w:gridCol w:w="960"/>
        <w:gridCol w:w="960"/>
        <w:gridCol w:w="960"/>
        <w:gridCol w:w="960"/>
        <w:gridCol w:w="960"/>
      </w:tblGrid>
      <w:tr w:rsidR="001F21D2" w:rsidRPr="00533642" w14:paraId="37F12E1D" w14:textId="77777777" w:rsidTr="005A7652">
        <w:trPr>
          <w:trHeight w:val="144"/>
          <w:jc w:val="center"/>
        </w:trPr>
        <w:tc>
          <w:tcPr>
            <w:tcW w:w="1270" w:type="dxa"/>
            <w:tcBorders>
              <w:top w:val="single" w:sz="8" w:space="0" w:color="auto"/>
              <w:left w:val="single" w:sz="8" w:space="0" w:color="auto"/>
              <w:bottom w:val="single" w:sz="8" w:space="0" w:color="000000"/>
              <w:right w:val="nil"/>
            </w:tcBorders>
            <w:shd w:val="clear" w:color="auto" w:fill="auto"/>
            <w:vAlign w:val="center"/>
            <w:hideMark/>
          </w:tcPr>
          <w:p w14:paraId="48BA5DC3" w14:textId="77777777" w:rsidR="001F21D2" w:rsidRPr="0046667F" w:rsidRDefault="001F21D2" w:rsidP="005A7652">
            <w:pPr>
              <w:spacing w:after="120"/>
              <w:rPr>
                <w:rFonts w:ascii="Garamond" w:hAnsi="Garamond"/>
                <w:sz w:val="20"/>
                <w:szCs w:val="20"/>
              </w:rPr>
            </w:pPr>
            <w:r w:rsidRPr="0046667F">
              <w:rPr>
                <w:rFonts w:ascii="Garamond" w:hAnsi="Garamond"/>
                <w:sz w:val="20"/>
                <w:szCs w:val="20"/>
              </w:rPr>
              <w:t xml:space="preserve">Level </w:t>
            </w:r>
          </w:p>
        </w:tc>
        <w:tc>
          <w:tcPr>
            <w:tcW w:w="750" w:type="dxa"/>
            <w:tcBorders>
              <w:top w:val="single" w:sz="8" w:space="0" w:color="auto"/>
              <w:left w:val="nil"/>
              <w:bottom w:val="single" w:sz="8" w:space="0" w:color="000000"/>
              <w:right w:val="nil"/>
            </w:tcBorders>
            <w:shd w:val="clear" w:color="auto" w:fill="auto"/>
            <w:vAlign w:val="center"/>
            <w:hideMark/>
          </w:tcPr>
          <w:p w14:paraId="30ABDB75" w14:textId="77777777" w:rsidR="001F21D2" w:rsidRPr="007278CC" w:rsidRDefault="001F21D2" w:rsidP="005A7652">
            <w:pPr>
              <w:spacing w:after="120"/>
              <w:rPr>
                <w:rFonts w:ascii="Garamond" w:hAnsi="Garamond"/>
                <w:sz w:val="20"/>
                <w:szCs w:val="20"/>
              </w:rPr>
            </w:pPr>
            <w:r w:rsidRPr="007278CC">
              <w:rPr>
                <w:rFonts w:ascii="Garamond" w:hAnsi="Garamond"/>
                <w:sz w:val="20"/>
                <w:szCs w:val="20"/>
              </w:rPr>
              <w:t>2009</w:t>
            </w:r>
          </w:p>
        </w:tc>
        <w:tc>
          <w:tcPr>
            <w:tcW w:w="960" w:type="dxa"/>
            <w:tcBorders>
              <w:top w:val="single" w:sz="8" w:space="0" w:color="auto"/>
              <w:left w:val="nil"/>
              <w:bottom w:val="single" w:sz="8" w:space="0" w:color="000000"/>
              <w:right w:val="nil"/>
            </w:tcBorders>
            <w:shd w:val="clear" w:color="auto" w:fill="auto"/>
            <w:vAlign w:val="center"/>
            <w:hideMark/>
          </w:tcPr>
          <w:p w14:paraId="4C0ED445" w14:textId="77777777" w:rsidR="001F21D2" w:rsidRPr="00783031" w:rsidRDefault="001F21D2" w:rsidP="005A7652">
            <w:pPr>
              <w:spacing w:after="120"/>
              <w:rPr>
                <w:rFonts w:ascii="Garamond" w:hAnsi="Garamond"/>
                <w:sz w:val="20"/>
                <w:szCs w:val="20"/>
              </w:rPr>
            </w:pPr>
            <w:r w:rsidRPr="00783031">
              <w:rPr>
                <w:rFonts w:ascii="Garamond" w:hAnsi="Garamond"/>
                <w:sz w:val="20"/>
                <w:szCs w:val="20"/>
              </w:rPr>
              <w:t>2010</w:t>
            </w:r>
          </w:p>
        </w:tc>
        <w:tc>
          <w:tcPr>
            <w:tcW w:w="960" w:type="dxa"/>
            <w:tcBorders>
              <w:top w:val="single" w:sz="8" w:space="0" w:color="auto"/>
              <w:left w:val="nil"/>
              <w:bottom w:val="single" w:sz="8" w:space="0" w:color="000000"/>
              <w:right w:val="nil"/>
            </w:tcBorders>
            <w:shd w:val="clear" w:color="auto" w:fill="auto"/>
            <w:vAlign w:val="center"/>
            <w:hideMark/>
          </w:tcPr>
          <w:p w14:paraId="6FF240D1" w14:textId="77777777" w:rsidR="001F21D2" w:rsidRPr="004C302C" w:rsidRDefault="001F21D2" w:rsidP="005A7652">
            <w:pPr>
              <w:spacing w:after="120"/>
              <w:rPr>
                <w:rFonts w:ascii="Garamond" w:hAnsi="Garamond"/>
                <w:sz w:val="20"/>
                <w:szCs w:val="20"/>
              </w:rPr>
            </w:pPr>
            <w:r w:rsidRPr="004C302C">
              <w:rPr>
                <w:rFonts w:ascii="Garamond" w:hAnsi="Garamond"/>
                <w:sz w:val="20"/>
                <w:szCs w:val="20"/>
              </w:rPr>
              <w:t>2011</w:t>
            </w:r>
          </w:p>
        </w:tc>
        <w:tc>
          <w:tcPr>
            <w:tcW w:w="960" w:type="dxa"/>
            <w:tcBorders>
              <w:top w:val="single" w:sz="8" w:space="0" w:color="auto"/>
              <w:left w:val="nil"/>
              <w:bottom w:val="single" w:sz="8" w:space="0" w:color="000000"/>
              <w:right w:val="nil"/>
            </w:tcBorders>
            <w:shd w:val="clear" w:color="auto" w:fill="auto"/>
            <w:vAlign w:val="center"/>
            <w:hideMark/>
          </w:tcPr>
          <w:p w14:paraId="3BAD8564" w14:textId="77777777" w:rsidR="001F21D2" w:rsidRPr="005450ED" w:rsidRDefault="001F21D2" w:rsidP="005A7652">
            <w:pPr>
              <w:spacing w:after="120"/>
              <w:rPr>
                <w:rFonts w:ascii="Garamond" w:hAnsi="Garamond"/>
                <w:sz w:val="20"/>
                <w:szCs w:val="20"/>
              </w:rPr>
            </w:pPr>
            <w:r w:rsidRPr="005450ED">
              <w:rPr>
                <w:rFonts w:ascii="Garamond" w:hAnsi="Garamond"/>
                <w:sz w:val="20"/>
                <w:szCs w:val="20"/>
              </w:rPr>
              <w:t>2012</w:t>
            </w:r>
          </w:p>
        </w:tc>
        <w:tc>
          <w:tcPr>
            <w:tcW w:w="960" w:type="dxa"/>
            <w:tcBorders>
              <w:top w:val="single" w:sz="8" w:space="0" w:color="auto"/>
              <w:left w:val="nil"/>
              <w:bottom w:val="single" w:sz="8" w:space="0" w:color="000000"/>
              <w:right w:val="nil"/>
            </w:tcBorders>
            <w:shd w:val="clear" w:color="auto" w:fill="auto"/>
            <w:vAlign w:val="center"/>
            <w:hideMark/>
          </w:tcPr>
          <w:p w14:paraId="0AE323B9" w14:textId="77777777" w:rsidR="001F21D2" w:rsidRPr="000B3D5E" w:rsidRDefault="001F21D2" w:rsidP="005A7652">
            <w:pPr>
              <w:spacing w:after="120"/>
              <w:rPr>
                <w:rFonts w:ascii="Garamond" w:hAnsi="Garamond"/>
                <w:sz w:val="20"/>
                <w:szCs w:val="20"/>
              </w:rPr>
            </w:pPr>
            <w:r w:rsidRPr="000B3D5E">
              <w:rPr>
                <w:rFonts w:ascii="Garamond" w:hAnsi="Garamond"/>
                <w:sz w:val="20"/>
                <w:szCs w:val="20"/>
              </w:rPr>
              <w:t>2013</w:t>
            </w:r>
          </w:p>
        </w:tc>
        <w:tc>
          <w:tcPr>
            <w:tcW w:w="960" w:type="dxa"/>
            <w:tcBorders>
              <w:top w:val="single" w:sz="8" w:space="0" w:color="auto"/>
              <w:left w:val="nil"/>
              <w:bottom w:val="single" w:sz="8" w:space="0" w:color="000000"/>
              <w:right w:val="nil"/>
            </w:tcBorders>
            <w:shd w:val="clear" w:color="auto" w:fill="auto"/>
            <w:vAlign w:val="center"/>
            <w:hideMark/>
          </w:tcPr>
          <w:p w14:paraId="46DE343E" w14:textId="77777777" w:rsidR="001F21D2" w:rsidRPr="000B3D5E" w:rsidRDefault="001F21D2" w:rsidP="005A7652">
            <w:pPr>
              <w:spacing w:after="120"/>
              <w:rPr>
                <w:rFonts w:ascii="Garamond" w:hAnsi="Garamond"/>
                <w:sz w:val="20"/>
                <w:szCs w:val="20"/>
              </w:rPr>
            </w:pPr>
            <w:r w:rsidRPr="000B3D5E">
              <w:rPr>
                <w:rFonts w:ascii="Garamond" w:hAnsi="Garamond"/>
                <w:sz w:val="20"/>
                <w:szCs w:val="20"/>
              </w:rPr>
              <w:t>2014</w:t>
            </w:r>
          </w:p>
        </w:tc>
        <w:tc>
          <w:tcPr>
            <w:tcW w:w="960" w:type="dxa"/>
            <w:tcBorders>
              <w:top w:val="single" w:sz="8" w:space="0" w:color="auto"/>
              <w:left w:val="nil"/>
              <w:bottom w:val="single" w:sz="8" w:space="0" w:color="000000"/>
              <w:right w:val="single" w:sz="8" w:space="0" w:color="auto"/>
            </w:tcBorders>
            <w:shd w:val="clear" w:color="auto" w:fill="auto"/>
            <w:vAlign w:val="center"/>
            <w:hideMark/>
          </w:tcPr>
          <w:p w14:paraId="558705AA" w14:textId="77777777" w:rsidR="001F21D2" w:rsidRPr="00840300" w:rsidRDefault="001F21D2" w:rsidP="005A7652">
            <w:pPr>
              <w:spacing w:after="120"/>
              <w:rPr>
                <w:rFonts w:ascii="Garamond" w:hAnsi="Garamond"/>
                <w:sz w:val="20"/>
                <w:szCs w:val="20"/>
              </w:rPr>
            </w:pPr>
            <w:r w:rsidRPr="00840300">
              <w:rPr>
                <w:rFonts w:ascii="Garamond" w:hAnsi="Garamond"/>
                <w:sz w:val="20"/>
                <w:szCs w:val="20"/>
              </w:rPr>
              <w:t>2015</w:t>
            </w:r>
          </w:p>
        </w:tc>
      </w:tr>
      <w:tr w:rsidR="001F21D2" w:rsidRPr="00533642" w14:paraId="0CF57BC3" w14:textId="77777777" w:rsidTr="005A7652">
        <w:trPr>
          <w:trHeight w:val="144"/>
          <w:jc w:val="center"/>
        </w:trPr>
        <w:tc>
          <w:tcPr>
            <w:tcW w:w="1270" w:type="dxa"/>
            <w:tcBorders>
              <w:top w:val="nil"/>
              <w:left w:val="single" w:sz="8" w:space="0" w:color="auto"/>
              <w:bottom w:val="single" w:sz="4" w:space="0" w:color="auto"/>
              <w:right w:val="nil"/>
            </w:tcBorders>
            <w:shd w:val="clear" w:color="auto" w:fill="auto"/>
            <w:vAlign w:val="center"/>
            <w:hideMark/>
          </w:tcPr>
          <w:p w14:paraId="3A82E2D5" w14:textId="77777777" w:rsidR="001F21D2" w:rsidRPr="0046667F" w:rsidRDefault="001F21D2" w:rsidP="005A7652">
            <w:pPr>
              <w:spacing w:after="120"/>
              <w:rPr>
                <w:rFonts w:ascii="Garamond" w:hAnsi="Garamond"/>
                <w:sz w:val="20"/>
                <w:szCs w:val="20"/>
              </w:rPr>
            </w:pPr>
            <w:r w:rsidRPr="0046667F">
              <w:rPr>
                <w:rFonts w:ascii="Garamond" w:hAnsi="Garamond"/>
                <w:sz w:val="20"/>
                <w:szCs w:val="20"/>
              </w:rPr>
              <w:t xml:space="preserve">Pre-Primary </w:t>
            </w:r>
          </w:p>
        </w:tc>
        <w:tc>
          <w:tcPr>
            <w:tcW w:w="750" w:type="dxa"/>
            <w:tcBorders>
              <w:top w:val="nil"/>
              <w:left w:val="nil"/>
              <w:bottom w:val="single" w:sz="4" w:space="0" w:color="auto"/>
              <w:right w:val="nil"/>
            </w:tcBorders>
            <w:shd w:val="clear" w:color="auto" w:fill="auto"/>
            <w:vAlign w:val="center"/>
            <w:hideMark/>
          </w:tcPr>
          <w:p w14:paraId="4A44C61E" w14:textId="77777777" w:rsidR="001F21D2" w:rsidRPr="007278CC" w:rsidRDefault="001F21D2" w:rsidP="005A7652">
            <w:pPr>
              <w:spacing w:after="120"/>
              <w:rPr>
                <w:rFonts w:ascii="Garamond" w:hAnsi="Garamond"/>
                <w:sz w:val="20"/>
                <w:szCs w:val="20"/>
              </w:rPr>
            </w:pPr>
            <w:r w:rsidRPr="007278CC">
              <w:rPr>
                <w:rFonts w:ascii="Garamond" w:hAnsi="Garamond"/>
                <w:sz w:val="20"/>
                <w:szCs w:val="20"/>
              </w:rPr>
              <w:t xml:space="preserve"> </w:t>
            </w:r>
          </w:p>
        </w:tc>
        <w:tc>
          <w:tcPr>
            <w:tcW w:w="960" w:type="dxa"/>
            <w:tcBorders>
              <w:top w:val="nil"/>
              <w:left w:val="nil"/>
              <w:bottom w:val="single" w:sz="4" w:space="0" w:color="auto"/>
              <w:right w:val="nil"/>
            </w:tcBorders>
            <w:shd w:val="clear" w:color="auto" w:fill="auto"/>
            <w:vAlign w:val="center"/>
            <w:hideMark/>
          </w:tcPr>
          <w:p w14:paraId="4B714457" w14:textId="77777777" w:rsidR="001F21D2" w:rsidRPr="00783031" w:rsidRDefault="001F21D2" w:rsidP="005A7652">
            <w:pPr>
              <w:spacing w:after="120"/>
              <w:rPr>
                <w:rFonts w:ascii="Garamond" w:hAnsi="Garamond"/>
                <w:sz w:val="20"/>
                <w:szCs w:val="20"/>
              </w:rPr>
            </w:pPr>
            <w:r w:rsidRPr="00783031">
              <w:rPr>
                <w:rFonts w:ascii="Garamond" w:hAnsi="Garamond"/>
                <w:sz w:val="20"/>
                <w:szCs w:val="20"/>
              </w:rPr>
              <w:t>60</w:t>
            </w:r>
          </w:p>
        </w:tc>
        <w:tc>
          <w:tcPr>
            <w:tcW w:w="960" w:type="dxa"/>
            <w:tcBorders>
              <w:top w:val="nil"/>
              <w:left w:val="nil"/>
              <w:bottom w:val="single" w:sz="4" w:space="0" w:color="auto"/>
              <w:right w:val="nil"/>
            </w:tcBorders>
            <w:shd w:val="clear" w:color="auto" w:fill="auto"/>
            <w:vAlign w:val="center"/>
            <w:hideMark/>
          </w:tcPr>
          <w:p w14:paraId="53579678" w14:textId="77777777" w:rsidR="001F21D2" w:rsidRPr="004C302C" w:rsidRDefault="001F21D2" w:rsidP="005A7652">
            <w:pPr>
              <w:spacing w:after="120"/>
              <w:rPr>
                <w:rFonts w:ascii="Garamond" w:hAnsi="Garamond"/>
                <w:sz w:val="20"/>
                <w:szCs w:val="20"/>
              </w:rPr>
            </w:pPr>
            <w:r w:rsidRPr="004C302C">
              <w:rPr>
                <w:rFonts w:ascii="Garamond" w:hAnsi="Garamond"/>
                <w:sz w:val="20"/>
                <w:szCs w:val="20"/>
              </w:rPr>
              <w:t>84</w:t>
            </w:r>
          </w:p>
        </w:tc>
        <w:tc>
          <w:tcPr>
            <w:tcW w:w="960" w:type="dxa"/>
            <w:tcBorders>
              <w:top w:val="nil"/>
              <w:left w:val="nil"/>
              <w:bottom w:val="single" w:sz="4" w:space="0" w:color="auto"/>
              <w:right w:val="nil"/>
            </w:tcBorders>
            <w:shd w:val="clear" w:color="auto" w:fill="auto"/>
            <w:vAlign w:val="center"/>
            <w:hideMark/>
          </w:tcPr>
          <w:p w14:paraId="623463C4" w14:textId="77777777" w:rsidR="001F21D2" w:rsidRPr="005450ED" w:rsidRDefault="001F21D2" w:rsidP="005A7652">
            <w:pPr>
              <w:spacing w:after="120"/>
              <w:rPr>
                <w:rFonts w:ascii="Garamond" w:hAnsi="Garamond"/>
                <w:sz w:val="20"/>
                <w:szCs w:val="20"/>
              </w:rPr>
            </w:pPr>
            <w:r w:rsidRPr="005450ED">
              <w:rPr>
                <w:rFonts w:ascii="Garamond" w:hAnsi="Garamond"/>
                <w:sz w:val="20"/>
                <w:szCs w:val="20"/>
              </w:rPr>
              <w:t>347</w:t>
            </w:r>
          </w:p>
        </w:tc>
        <w:tc>
          <w:tcPr>
            <w:tcW w:w="960" w:type="dxa"/>
            <w:tcBorders>
              <w:top w:val="nil"/>
              <w:left w:val="nil"/>
              <w:bottom w:val="single" w:sz="4" w:space="0" w:color="auto"/>
              <w:right w:val="nil"/>
            </w:tcBorders>
            <w:shd w:val="clear" w:color="auto" w:fill="auto"/>
            <w:vAlign w:val="center"/>
            <w:hideMark/>
          </w:tcPr>
          <w:p w14:paraId="0EE43ECE" w14:textId="77777777" w:rsidR="001F21D2" w:rsidRPr="000B3D5E" w:rsidRDefault="001F21D2" w:rsidP="005A7652">
            <w:pPr>
              <w:spacing w:after="120"/>
              <w:rPr>
                <w:rFonts w:ascii="Garamond" w:hAnsi="Garamond"/>
                <w:sz w:val="20"/>
                <w:szCs w:val="20"/>
              </w:rPr>
            </w:pPr>
            <w:r w:rsidRPr="000B3D5E">
              <w:rPr>
                <w:rFonts w:ascii="Garamond" w:hAnsi="Garamond"/>
                <w:sz w:val="20"/>
                <w:szCs w:val="20"/>
              </w:rPr>
              <w:t>288</w:t>
            </w:r>
          </w:p>
        </w:tc>
        <w:tc>
          <w:tcPr>
            <w:tcW w:w="960" w:type="dxa"/>
            <w:tcBorders>
              <w:top w:val="nil"/>
              <w:left w:val="nil"/>
              <w:bottom w:val="single" w:sz="4" w:space="0" w:color="auto"/>
              <w:right w:val="nil"/>
            </w:tcBorders>
            <w:shd w:val="clear" w:color="auto" w:fill="auto"/>
            <w:vAlign w:val="center"/>
            <w:hideMark/>
          </w:tcPr>
          <w:p w14:paraId="654A2E30" w14:textId="77777777" w:rsidR="001F21D2" w:rsidRPr="000B3D5E" w:rsidRDefault="001F21D2" w:rsidP="005A7652">
            <w:pPr>
              <w:spacing w:after="120"/>
              <w:rPr>
                <w:rFonts w:ascii="Garamond" w:hAnsi="Garamond"/>
                <w:sz w:val="20"/>
                <w:szCs w:val="20"/>
              </w:rPr>
            </w:pPr>
            <w:r w:rsidRPr="000B3D5E">
              <w:rPr>
                <w:rFonts w:ascii="Garamond" w:hAnsi="Garamond"/>
                <w:sz w:val="20"/>
                <w:szCs w:val="20"/>
              </w:rPr>
              <w:t>386</w:t>
            </w:r>
          </w:p>
        </w:tc>
        <w:tc>
          <w:tcPr>
            <w:tcW w:w="960" w:type="dxa"/>
            <w:tcBorders>
              <w:top w:val="nil"/>
              <w:left w:val="nil"/>
              <w:bottom w:val="single" w:sz="4" w:space="0" w:color="auto"/>
              <w:right w:val="single" w:sz="8" w:space="0" w:color="auto"/>
            </w:tcBorders>
            <w:shd w:val="clear" w:color="auto" w:fill="auto"/>
            <w:vAlign w:val="center"/>
            <w:hideMark/>
          </w:tcPr>
          <w:p w14:paraId="69DAE0F8" w14:textId="77777777" w:rsidR="001F21D2" w:rsidRPr="00840300" w:rsidRDefault="001F21D2" w:rsidP="005A7652">
            <w:pPr>
              <w:spacing w:after="120"/>
              <w:rPr>
                <w:rFonts w:ascii="Garamond" w:hAnsi="Garamond"/>
                <w:sz w:val="20"/>
                <w:szCs w:val="20"/>
              </w:rPr>
            </w:pPr>
            <w:r w:rsidRPr="00840300">
              <w:rPr>
                <w:rFonts w:ascii="Garamond" w:hAnsi="Garamond"/>
                <w:sz w:val="20"/>
                <w:szCs w:val="20"/>
              </w:rPr>
              <w:t>339</w:t>
            </w:r>
          </w:p>
        </w:tc>
      </w:tr>
      <w:tr w:rsidR="001F21D2" w:rsidRPr="00533642" w14:paraId="3C73DEED" w14:textId="77777777" w:rsidTr="005A7652">
        <w:trPr>
          <w:trHeight w:val="144"/>
          <w:jc w:val="center"/>
        </w:trPr>
        <w:tc>
          <w:tcPr>
            <w:tcW w:w="1270" w:type="dxa"/>
            <w:tcBorders>
              <w:top w:val="nil"/>
              <w:left w:val="single" w:sz="8" w:space="0" w:color="auto"/>
              <w:bottom w:val="single" w:sz="4" w:space="0" w:color="auto"/>
              <w:right w:val="nil"/>
            </w:tcBorders>
            <w:shd w:val="clear" w:color="auto" w:fill="auto"/>
            <w:vAlign w:val="center"/>
            <w:hideMark/>
          </w:tcPr>
          <w:p w14:paraId="4099B05F" w14:textId="77777777" w:rsidR="001F21D2" w:rsidRPr="0046667F" w:rsidRDefault="001F21D2" w:rsidP="005A7652">
            <w:pPr>
              <w:spacing w:after="120"/>
              <w:rPr>
                <w:rFonts w:ascii="Garamond" w:hAnsi="Garamond"/>
                <w:sz w:val="20"/>
                <w:szCs w:val="20"/>
              </w:rPr>
            </w:pPr>
            <w:r w:rsidRPr="0046667F">
              <w:rPr>
                <w:rFonts w:ascii="Garamond" w:hAnsi="Garamond"/>
                <w:sz w:val="20"/>
                <w:szCs w:val="20"/>
              </w:rPr>
              <w:t xml:space="preserve">Primary </w:t>
            </w:r>
          </w:p>
        </w:tc>
        <w:tc>
          <w:tcPr>
            <w:tcW w:w="750" w:type="dxa"/>
            <w:tcBorders>
              <w:top w:val="nil"/>
              <w:left w:val="nil"/>
              <w:bottom w:val="single" w:sz="4" w:space="0" w:color="auto"/>
              <w:right w:val="nil"/>
            </w:tcBorders>
            <w:shd w:val="clear" w:color="auto" w:fill="auto"/>
            <w:vAlign w:val="center"/>
            <w:hideMark/>
          </w:tcPr>
          <w:p w14:paraId="630FFFC1" w14:textId="77777777" w:rsidR="001F21D2" w:rsidRPr="007278CC" w:rsidRDefault="001F21D2" w:rsidP="005A7652">
            <w:pPr>
              <w:spacing w:after="120"/>
              <w:rPr>
                <w:rFonts w:ascii="Garamond" w:hAnsi="Garamond"/>
                <w:sz w:val="20"/>
                <w:szCs w:val="20"/>
              </w:rPr>
            </w:pPr>
            <w:r w:rsidRPr="007278CC">
              <w:rPr>
                <w:rFonts w:ascii="Garamond" w:hAnsi="Garamond"/>
                <w:sz w:val="20"/>
                <w:szCs w:val="20"/>
              </w:rPr>
              <w:t>192</w:t>
            </w:r>
          </w:p>
        </w:tc>
        <w:tc>
          <w:tcPr>
            <w:tcW w:w="960" w:type="dxa"/>
            <w:tcBorders>
              <w:top w:val="nil"/>
              <w:left w:val="nil"/>
              <w:bottom w:val="single" w:sz="4" w:space="0" w:color="auto"/>
              <w:right w:val="nil"/>
            </w:tcBorders>
            <w:shd w:val="clear" w:color="auto" w:fill="auto"/>
            <w:vAlign w:val="center"/>
            <w:hideMark/>
          </w:tcPr>
          <w:p w14:paraId="77D387BF" w14:textId="77777777" w:rsidR="001F21D2" w:rsidRPr="00783031" w:rsidRDefault="001F21D2" w:rsidP="005A7652">
            <w:pPr>
              <w:spacing w:after="120"/>
              <w:rPr>
                <w:rFonts w:ascii="Garamond" w:hAnsi="Garamond"/>
                <w:sz w:val="20"/>
                <w:szCs w:val="20"/>
              </w:rPr>
            </w:pPr>
            <w:r w:rsidRPr="00783031">
              <w:rPr>
                <w:rFonts w:ascii="Garamond" w:hAnsi="Garamond"/>
                <w:sz w:val="20"/>
                <w:szCs w:val="20"/>
              </w:rPr>
              <w:t>224</w:t>
            </w:r>
          </w:p>
        </w:tc>
        <w:tc>
          <w:tcPr>
            <w:tcW w:w="960" w:type="dxa"/>
            <w:tcBorders>
              <w:top w:val="nil"/>
              <w:left w:val="nil"/>
              <w:bottom w:val="single" w:sz="4" w:space="0" w:color="auto"/>
              <w:right w:val="nil"/>
            </w:tcBorders>
            <w:shd w:val="clear" w:color="auto" w:fill="auto"/>
            <w:vAlign w:val="center"/>
            <w:hideMark/>
          </w:tcPr>
          <w:p w14:paraId="090B952A" w14:textId="77777777" w:rsidR="001F21D2" w:rsidRPr="004C302C" w:rsidRDefault="001F21D2" w:rsidP="005A7652">
            <w:pPr>
              <w:spacing w:after="120"/>
              <w:rPr>
                <w:rFonts w:ascii="Garamond" w:hAnsi="Garamond"/>
                <w:sz w:val="20"/>
                <w:szCs w:val="20"/>
              </w:rPr>
            </w:pPr>
            <w:r w:rsidRPr="004C302C">
              <w:rPr>
                <w:rFonts w:ascii="Garamond" w:hAnsi="Garamond"/>
                <w:sz w:val="20"/>
                <w:szCs w:val="20"/>
              </w:rPr>
              <w:t>390</w:t>
            </w:r>
          </w:p>
        </w:tc>
        <w:tc>
          <w:tcPr>
            <w:tcW w:w="960" w:type="dxa"/>
            <w:tcBorders>
              <w:top w:val="nil"/>
              <w:left w:val="nil"/>
              <w:bottom w:val="single" w:sz="4" w:space="0" w:color="auto"/>
              <w:right w:val="nil"/>
            </w:tcBorders>
            <w:shd w:val="clear" w:color="auto" w:fill="auto"/>
            <w:vAlign w:val="center"/>
            <w:hideMark/>
          </w:tcPr>
          <w:p w14:paraId="1C661998" w14:textId="77777777" w:rsidR="001F21D2" w:rsidRPr="005450ED" w:rsidRDefault="001F21D2" w:rsidP="005A7652">
            <w:pPr>
              <w:spacing w:after="120"/>
              <w:rPr>
                <w:rFonts w:ascii="Garamond" w:hAnsi="Garamond"/>
                <w:sz w:val="20"/>
                <w:szCs w:val="20"/>
              </w:rPr>
            </w:pPr>
            <w:r w:rsidRPr="005450ED">
              <w:rPr>
                <w:rFonts w:ascii="Garamond" w:hAnsi="Garamond"/>
                <w:sz w:val="20"/>
                <w:szCs w:val="20"/>
              </w:rPr>
              <w:t>413</w:t>
            </w:r>
          </w:p>
        </w:tc>
        <w:tc>
          <w:tcPr>
            <w:tcW w:w="960" w:type="dxa"/>
            <w:tcBorders>
              <w:top w:val="nil"/>
              <w:left w:val="nil"/>
              <w:bottom w:val="single" w:sz="4" w:space="0" w:color="auto"/>
              <w:right w:val="nil"/>
            </w:tcBorders>
            <w:shd w:val="clear" w:color="auto" w:fill="auto"/>
            <w:vAlign w:val="center"/>
            <w:hideMark/>
          </w:tcPr>
          <w:p w14:paraId="13F08B94" w14:textId="77777777" w:rsidR="001F21D2" w:rsidRPr="000B3D5E" w:rsidRDefault="001F21D2" w:rsidP="005A7652">
            <w:pPr>
              <w:spacing w:after="120"/>
              <w:rPr>
                <w:rFonts w:ascii="Garamond" w:hAnsi="Garamond"/>
                <w:sz w:val="20"/>
                <w:szCs w:val="20"/>
              </w:rPr>
            </w:pPr>
            <w:r w:rsidRPr="000B3D5E">
              <w:rPr>
                <w:rFonts w:ascii="Garamond" w:hAnsi="Garamond"/>
                <w:sz w:val="20"/>
                <w:szCs w:val="20"/>
              </w:rPr>
              <w:t>440</w:t>
            </w:r>
          </w:p>
        </w:tc>
        <w:tc>
          <w:tcPr>
            <w:tcW w:w="960" w:type="dxa"/>
            <w:tcBorders>
              <w:top w:val="nil"/>
              <w:left w:val="nil"/>
              <w:bottom w:val="single" w:sz="4" w:space="0" w:color="auto"/>
              <w:right w:val="nil"/>
            </w:tcBorders>
            <w:shd w:val="clear" w:color="auto" w:fill="auto"/>
            <w:vAlign w:val="center"/>
            <w:hideMark/>
          </w:tcPr>
          <w:p w14:paraId="0E275874" w14:textId="77777777" w:rsidR="001F21D2" w:rsidRPr="000B3D5E" w:rsidRDefault="001F21D2" w:rsidP="005A7652">
            <w:pPr>
              <w:spacing w:after="120"/>
              <w:rPr>
                <w:rFonts w:ascii="Garamond" w:hAnsi="Garamond"/>
                <w:sz w:val="20"/>
                <w:szCs w:val="20"/>
              </w:rPr>
            </w:pPr>
            <w:r w:rsidRPr="000B3D5E">
              <w:rPr>
                <w:rFonts w:ascii="Garamond" w:hAnsi="Garamond"/>
                <w:sz w:val="20"/>
                <w:szCs w:val="20"/>
              </w:rPr>
              <w:t>446</w:t>
            </w:r>
          </w:p>
        </w:tc>
        <w:tc>
          <w:tcPr>
            <w:tcW w:w="960" w:type="dxa"/>
            <w:tcBorders>
              <w:top w:val="nil"/>
              <w:left w:val="nil"/>
              <w:bottom w:val="single" w:sz="4" w:space="0" w:color="auto"/>
              <w:right w:val="single" w:sz="8" w:space="0" w:color="auto"/>
            </w:tcBorders>
            <w:shd w:val="clear" w:color="auto" w:fill="auto"/>
            <w:vAlign w:val="center"/>
            <w:hideMark/>
          </w:tcPr>
          <w:p w14:paraId="167909A6" w14:textId="77777777" w:rsidR="001F21D2" w:rsidRPr="00840300" w:rsidRDefault="001F21D2" w:rsidP="005A7652">
            <w:pPr>
              <w:spacing w:after="120"/>
              <w:rPr>
                <w:rFonts w:ascii="Garamond" w:hAnsi="Garamond"/>
                <w:sz w:val="20"/>
                <w:szCs w:val="20"/>
              </w:rPr>
            </w:pPr>
            <w:r w:rsidRPr="00840300">
              <w:rPr>
                <w:rFonts w:ascii="Garamond" w:hAnsi="Garamond"/>
                <w:sz w:val="20"/>
                <w:szCs w:val="20"/>
              </w:rPr>
              <w:t>392</w:t>
            </w:r>
          </w:p>
        </w:tc>
      </w:tr>
      <w:tr w:rsidR="001F21D2" w:rsidRPr="00533642" w14:paraId="66656D50" w14:textId="77777777" w:rsidTr="005A7652">
        <w:trPr>
          <w:trHeight w:val="144"/>
          <w:jc w:val="center"/>
        </w:trPr>
        <w:tc>
          <w:tcPr>
            <w:tcW w:w="1270" w:type="dxa"/>
            <w:tcBorders>
              <w:top w:val="nil"/>
              <w:left w:val="single" w:sz="8" w:space="0" w:color="auto"/>
              <w:bottom w:val="single" w:sz="4" w:space="0" w:color="auto"/>
              <w:right w:val="nil"/>
            </w:tcBorders>
            <w:shd w:val="clear" w:color="auto" w:fill="auto"/>
            <w:vAlign w:val="center"/>
            <w:hideMark/>
          </w:tcPr>
          <w:p w14:paraId="443BF7B9" w14:textId="77777777" w:rsidR="001F21D2" w:rsidRPr="0046667F" w:rsidRDefault="001F21D2" w:rsidP="005A7652">
            <w:pPr>
              <w:spacing w:after="120"/>
              <w:rPr>
                <w:rFonts w:ascii="Garamond" w:hAnsi="Garamond"/>
                <w:sz w:val="20"/>
                <w:szCs w:val="20"/>
              </w:rPr>
            </w:pPr>
            <w:r w:rsidRPr="0046667F">
              <w:rPr>
                <w:rFonts w:ascii="Garamond" w:hAnsi="Garamond"/>
                <w:sz w:val="20"/>
                <w:szCs w:val="20"/>
              </w:rPr>
              <w:t xml:space="preserve">JHS </w:t>
            </w:r>
          </w:p>
        </w:tc>
        <w:tc>
          <w:tcPr>
            <w:tcW w:w="750" w:type="dxa"/>
            <w:tcBorders>
              <w:top w:val="nil"/>
              <w:left w:val="nil"/>
              <w:bottom w:val="single" w:sz="4" w:space="0" w:color="auto"/>
              <w:right w:val="nil"/>
            </w:tcBorders>
            <w:shd w:val="clear" w:color="auto" w:fill="auto"/>
            <w:vAlign w:val="center"/>
            <w:hideMark/>
          </w:tcPr>
          <w:p w14:paraId="4B9B54F0" w14:textId="77777777" w:rsidR="001F21D2" w:rsidRPr="007278CC" w:rsidRDefault="001F21D2" w:rsidP="005A7652">
            <w:pPr>
              <w:spacing w:after="120"/>
              <w:rPr>
                <w:rFonts w:ascii="Garamond" w:hAnsi="Garamond"/>
                <w:sz w:val="20"/>
                <w:szCs w:val="20"/>
              </w:rPr>
            </w:pPr>
            <w:r w:rsidRPr="007278CC">
              <w:rPr>
                <w:rFonts w:ascii="Garamond" w:hAnsi="Garamond"/>
                <w:sz w:val="20"/>
                <w:szCs w:val="20"/>
              </w:rPr>
              <w:t>277</w:t>
            </w:r>
          </w:p>
        </w:tc>
        <w:tc>
          <w:tcPr>
            <w:tcW w:w="960" w:type="dxa"/>
            <w:tcBorders>
              <w:top w:val="nil"/>
              <w:left w:val="nil"/>
              <w:bottom w:val="single" w:sz="4" w:space="0" w:color="auto"/>
              <w:right w:val="nil"/>
            </w:tcBorders>
            <w:shd w:val="clear" w:color="auto" w:fill="auto"/>
            <w:vAlign w:val="center"/>
            <w:hideMark/>
          </w:tcPr>
          <w:p w14:paraId="21166823" w14:textId="77777777" w:rsidR="001F21D2" w:rsidRPr="00783031" w:rsidRDefault="001F21D2" w:rsidP="005A7652">
            <w:pPr>
              <w:spacing w:after="120"/>
              <w:rPr>
                <w:rFonts w:ascii="Garamond" w:hAnsi="Garamond"/>
                <w:sz w:val="20"/>
                <w:szCs w:val="20"/>
              </w:rPr>
            </w:pPr>
            <w:r w:rsidRPr="00783031">
              <w:rPr>
                <w:rFonts w:ascii="Garamond" w:hAnsi="Garamond"/>
                <w:sz w:val="20"/>
                <w:szCs w:val="20"/>
              </w:rPr>
              <w:t>336</w:t>
            </w:r>
          </w:p>
        </w:tc>
        <w:tc>
          <w:tcPr>
            <w:tcW w:w="960" w:type="dxa"/>
            <w:tcBorders>
              <w:top w:val="nil"/>
              <w:left w:val="nil"/>
              <w:bottom w:val="single" w:sz="4" w:space="0" w:color="auto"/>
              <w:right w:val="nil"/>
            </w:tcBorders>
            <w:shd w:val="clear" w:color="auto" w:fill="auto"/>
            <w:vAlign w:val="center"/>
            <w:hideMark/>
          </w:tcPr>
          <w:p w14:paraId="73A5BE3C" w14:textId="77777777" w:rsidR="001F21D2" w:rsidRPr="004C302C" w:rsidRDefault="001F21D2" w:rsidP="005A7652">
            <w:pPr>
              <w:spacing w:after="120"/>
              <w:rPr>
                <w:rFonts w:ascii="Garamond" w:hAnsi="Garamond"/>
                <w:sz w:val="20"/>
                <w:szCs w:val="20"/>
              </w:rPr>
            </w:pPr>
            <w:r w:rsidRPr="004C302C">
              <w:rPr>
                <w:rFonts w:ascii="Garamond" w:hAnsi="Garamond"/>
                <w:sz w:val="20"/>
                <w:szCs w:val="20"/>
              </w:rPr>
              <w:t>367</w:t>
            </w:r>
          </w:p>
        </w:tc>
        <w:tc>
          <w:tcPr>
            <w:tcW w:w="960" w:type="dxa"/>
            <w:tcBorders>
              <w:top w:val="nil"/>
              <w:left w:val="nil"/>
              <w:bottom w:val="single" w:sz="4" w:space="0" w:color="auto"/>
              <w:right w:val="nil"/>
            </w:tcBorders>
            <w:shd w:val="clear" w:color="auto" w:fill="auto"/>
            <w:vAlign w:val="center"/>
            <w:hideMark/>
          </w:tcPr>
          <w:p w14:paraId="387FF47D" w14:textId="77777777" w:rsidR="001F21D2" w:rsidRPr="005450ED" w:rsidRDefault="001F21D2" w:rsidP="005A7652">
            <w:pPr>
              <w:spacing w:after="120"/>
              <w:rPr>
                <w:rFonts w:ascii="Garamond" w:hAnsi="Garamond"/>
                <w:sz w:val="20"/>
                <w:szCs w:val="20"/>
              </w:rPr>
            </w:pPr>
            <w:r w:rsidRPr="005450ED">
              <w:rPr>
                <w:rFonts w:ascii="Garamond" w:hAnsi="Garamond"/>
                <w:sz w:val="20"/>
                <w:szCs w:val="20"/>
              </w:rPr>
              <w:t>837</w:t>
            </w:r>
          </w:p>
        </w:tc>
        <w:tc>
          <w:tcPr>
            <w:tcW w:w="960" w:type="dxa"/>
            <w:tcBorders>
              <w:top w:val="nil"/>
              <w:left w:val="nil"/>
              <w:bottom w:val="single" w:sz="4" w:space="0" w:color="auto"/>
              <w:right w:val="nil"/>
            </w:tcBorders>
            <w:shd w:val="clear" w:color="auto" w:fill="auto"/>
            <w:vAlign w:val="center"/>
            <w:hideMark/>
          </w:tcPr>
          <w:p w14:paraId="1FD34072" w14:textId="77777777" w:rsidR="001F21D2" w:rsidRPr="000B3D5E" w:rsidRDefault="001F21D2" w:rsidP="005A7652">
            <w:pPr>
              <w:spacing w:after="120"/>
              <w:rPr>
                <w:rFonts w:ascii="Garamond" w:hAnsi="Garamond"/>
                <w:sz w:val="20"/>
                <w:szCs w:val="20"/>
              </w:rPr>
            </w:pPr>
            <w:r w:rsidRPr="000B3D5E">
              <w:rPr>
                <w:rFonts w:ascii="Garamond" w:hAnsi="Garamond"/>
                <w:sz w:val="20"/>
                <w:szCs w:val="20"/>
              </w:rPr>
              <w:t>819</w:t>
            </w:r>
          </w:p>
        </w:tc>
        <w:tc>
          <w:tcPr>
            <w:tcW w:w="960" w:type="dxa"/>
            <w:tcBorders>
              <w:top w:val="nil"/>
              <w:left w:val="nil"/>
              <w:bottom w:val="single" w:sz="4" w:space="0" w:color="auto"/>
              <w:right w:val="nil"/>
            </w:tcBorders>
            <w:shd w:val="clear" w:color="auto" w:fill="auto"/>
            <w:vAlign w:val="center"/>
            <w:hideMark/>
          </w:tcPr>
          <w:p w14:paraId="065C1183" w14:textId="77777777" w:rsidR="001F21D2" w:rsidRPr="000B3D5E" w:rsidRDefault="001F21D2" w:rsidP="005A7652">
            <w:pPr>
              <w:spacing w:after="120"/>
              <w:rPr>
                <w:rFonts w:ascii="Garamond" w:hAnsi="Garamond"/>
                <w:sz w:val="20"/>
                <w:szCs w:val="20"/>
              </w:rPr>
            </w:pPr>
            <w:r w:rsidRPr="000B3D5E">
              <w:rPr>
                <w:rFonts w:ascii="Garamond" w:hAnsi="Garamond"/>
                <w:sz w:val="20"/>
                <w:szCs w:val="20"/>
              </w:rPr>
              <w:t>850</w:t>
            </w:r>
          </w:p>
        </w:tc>
        <w:tc>
          <w:tcPr>
            <w:tcW w:w="960" w:type="dxa"/>
            <w:tcBorders>
              <w:top w:val="nil"/>
              <w:left w:val="nil"/>
              <w:bottom w:val="single" w:sz="4" w:space="0" w:color="auto"/>
              <w:right w:val="single" w:sz="8" w:space="0" w:color="auto"/>
            </w:tcBorders>
            <w:shd w:val="clear" w:color="auto" w:fill="auto"/>
            <w:vAlign w:val="center"/>
            <w:hideMark/>
          </w:tcPr>
          <w:p w14:paraId="151875A1" w14:textId="77777777" w:rsidR="001F21D2" w:rsidRPr="00DF2D46" w:rsidRDefault="001F21D2" w:rsidP="005A7652">
            <w:pPr>
              <w:spacing w:after="120"/>
              <w:rPr>
                <w:rFonts w:ascii="Garamond" w:hAnsi="Garamond"/>
                <w:sz w:val="20"/>
                <w:szCs w:val="20"/>
              </w:rPr>
            </w:pPr>
            <w:r w:rsidRPr="00840300">
              <w:rPr>
                <w:rFonts w:ascii="Garamond" w:hAnsi="Garamond"/>
                <w:sz w:val="20"/>
                <w:szCs w:val="20"/>
              </w:rPr>
              <w:t>1</w:t>
            </w:r>
            <w:r w:rsidRPr="00DF2D46">
              <w:rPr>
                <w:rFonts w:ascii="Garamond" w:hAnsi="Garamond"/>
                <w:sz w:val="20"/>
                <w:szCs w:val="20"/>
              </w:rPr>
              <w:t>,364</w:t>
            </w:r>
          </w:p>
        </w:tc>
      </w:tr>
      <w:tr w:rsidR="001F21D2" w:rsidRPr="00533642" w14:paraId="197FE393" w14:textId="77777777" w:rsidTr="005A7652">
        <w:trPr>
          <w:trHeight w:val="144"/>
          <w:jc w:val="center"/>
        </w:trPr>
        <w:tc>
          <w:tcPr>
            <w:tcW w:w="1270" w:type="dxa"/>
            <w:tcBorders>
              <w:top w:val="nil"/>
              <w:left w:val="single" w:sz="8" w:space="0" w:color="auto"/>
              <w:bottom w:val="single" w:sz="4" w:space="0" w:color="auto"/>
              <w:right w:val="nil"/>
            </w:tcBorders>
            <w:shd w:val="clear" w:color="auto" w:fill="auto"/>
            <w:vAlign w:val="center"/>
            <w:hideMark/>
          </w:tcPr>
          <w:p w14:paraId="5C1F8F5F" w14:textId="77777777" w:rsidR="001F21D2" w:rsidRPr="0046667F" w:rsidRDefault="001F21D2" w:rsidP="005A7652">
            <w:pPr>
              <w:spacing w:after="120"/>
              <w:rPr>
                <w:rFonts w:ascii="Garamond" w:hAnsi="Garamond"/>
                <w:sz w:val="20"/>
                <w:szCs w:val="20"/>
              </w:rPr>
            </w:pPr>
            <w:r w:rsidRPr="0046667F">
              <w:rPr>
                <w:rFonts w:ascii="Garamond" w:hAnsi="Garamond"/>
                <w:sz w:val="20"/>
                <w:szCs w:val="20"/>
              </w:rPr>
              <w:t xml:space="preserve">SHS  </w:t>
            </w:r>
          </w:p>
        </w:tc>
        <w:tc>
          <w:tcPr>
            <w:tcW w:w="750" w:type="dxa"/>
            <w:tcBorders>
              <w:top w:val="nil"/>
              <w:left w:val="nil"/>
              <w:bottom w:val="single" w:sz="4" w:space="0" w:color="auto"/>
              <w:right w:val="nil"/>
            </w:tcBorders>
            <w:shd w:val="clear" w:color="auto" w:fill="auto"/>
            <w:vAlign w:val="center"/>
            <w:hideMark/>
          </w:tcPr>
          <w:p w14:paraId="41CC0C46" w14:textId="77777777" w:rsidR="001F21D2" w:rsidRPr="007278CC" w:rsidRDefault="001F21D2" w:rsidP="005A7652">
            <w:pPr>
              <w:spacing w:after="120"/>
              <w:rPr>
                <w:rFonts w:ascii="Garamond" w:hAnsi="Garamond"/>
                <w:sz w:val="20"/>
                <w:szCs w:val="20"/>
              </w:rPr>
            </w:pPr>
            <w:r w:rsidRPr="007278CC">
              <w:rPr>
                <w:rFonts w:ascii="Garamond" w:hAnsi="Garamond"/>
                <w:sz w:val="20"/>
                <w:szCs w:val="20"/>
              </w:rPr>
              <w:t>704</w:t>
            </w:r>
          </w:p>
        </w:tc>
        <w:tc>
          <w:tcPr>
            <w:tcW w:w="960" w:type="dxa"/>
            <w:tcBorders>
              <w:top w:val="nil"/>
              <w:left w:val="nil"/>
              <w:bottom w:val="single" w:sz="4" w:space="0" w:color="auto"/>
              <w:right w:val="nil"/>
            </w:tcBorders>
            <w:shd w:val="clear" w:color="auto" w:fill="auto"/>
            <w:vAlign w:val="center"/>
            <w:hideMark/>
          </w:tcPr>
          <w:p w14:paraId="4BFFAE53" w14:textId="77777777" w:rsidR="001F21D2" w:rsidRPr="00783031" w:rsidRDefault="001F21D2" w:rsidP="005A7652">
            <w:pPr>
              <w:spacing w:after="120"/>
              <w:rPr>
                <w:rFonts w:ascii="Garamond" w:hAnsi="Garamond"/>
                <w:sz w:val="20"/>
                <w:szCs w:val="20"/>
              </w:rPr>
            </w:pPr>
            <w:r w:rsidRPr="00783031">
              <w:rPr>
                <w:rFonts w:ascii="Garamond" w:hAnsi="Garamond"/>
                <w:sz w:val="20"/>
                <w:szCs w:val="20"/>
              </w:rPr>
              <w:t>603</w:t>
            </w:r>
          </w:p>
        </w:tc>
        <w:tc>
          <w:tcPr>
            <w:tcW w:w="960" w:type="dxa"/>
            <w:tcBorders>
              <w:top w:val="nil"/>
              <w:left w:val="nil"/>
              <w:bottom w:val="single" w:sz="4" w:space="0" w:color="auto"/>
              <w:right w:val="nil"/>
            </w:tcBorders>
            <w:shd w:val="clear" w:color="auto" w:fill="auto"/>
            <w:vAlign w:val="center"/>
            <w:hideMark/>
          </w:tcPr>
          <w:p w14:paraId="2ACF7846" w14:textId="77777777" w:rsidR="001F21D2" w:rsidRPr="004C302C" w:rsidRDefault="001F21D2" w:rsidP="005A7652">
            <w:pPr>
              <w:spacing w:after="120"/>
              <w:rPr>
                <w:rFonts w:ascii="Garamond" w:hAnsi="Garamond"/>
                <w:sz w:val="20"/>
                <w:szCs w:val="20"/>
              </w:rPr>
            </w:pPr>
            <w:r w:rsidRPr="004C302C">
              <w:rPr>
                <w:rFonts w:ascii="Garamond" w:hAnsi="Garamond"/>
                <w:sz w:val="20"/>
                <w:szCs w:val="20"/>
              </w:rPr>
              <w:t>761</w:t>
            </w:r>
          </w:p>
        </w:tc>
        <w:tc>
          <w:tcPr>
            <w:tcW w:w="960" w:type="dxa"/>
            <w:tcBorders>
              <w:top w:val="nil"/>
              <w:left w:val="nil"/>
              <w:bottom w:val="single" w:sz="4" w:space="0" w:color="auto"/>
              <w:right w:val="nil"/>
            </w:tcBorders>
            <w:shd w:val="clear" w:color="auto" w:fill="auto"/>
            <w:vAlign w:val="center"/>
            <w:hideMark/>
          </w:tcPr>
          <w:p w14:paraId="7445F243" w14:textId="77777777" w:rsidR="001F21D2" w:rsidRPr="000B3D5E" w:rsidRDefault="001F21D2" w:rsidP="005A7652">
            <w:pPr>
              <w:spacing w:after="120"/>
              <w:rPr>
                <w:rFonts w:ascii="Garamond" w:hAnsi="Garamond"/>
                <w:sz w:val="20"/>
                <w:szCs w:val="20"/>
              </w:rPr>
            </w:pPr>
            <w:r w:rsidRPr="005450ED">
              <w:rPr>
                <w:rFonts w:ascii="Garamond" w:hAnsi="Garamond"/>
                <w:sz w:val="20"/>
                <w:szCs w:val="20"/>
              </w:rPr>
              <w:t>1,</w:t>
            </w:r>
            <w:r w:rsidRPr="000B3D5E">
              <w:rPr>
                <w:rFonts w:ascii="Garamond" w:hAnsi="Garamond"/>
                <w:sz w:val="20"/>
                <w:szCs w:val="20"/>
              </w:rPr>
              <w:t>372</w:t>
            </w:r>
          </w:p>
        </w:tc>
        <w:tc>
          <w:tcPr>
            <w:tcW w:w="960" w:type="dxa"/>
            <w:tcBorders>
              <w:top w:val="nil"/>
              <w:left w:val="nil"/>
              <w:bottom w:val="single" w:sz="4" w:space="0" w:color="auto"/>
              <w:right w:val="nil"/>
            </w:tcBorders>
            <w:shd w:val="clear" w:color="auto" w:fill="auto"/>
            <w:vAlign w:val="center"/>
            <w:hideMark/>
          </w:tcPr>
          <w:p w14:paraId="3A6BF691" w14:textId="77777777" w:rsidR="001F21D2" w:rsidRPr="00840300" w:rsidRDefault="001F21D2" w:rsidP="005A7652">
            <w:pPr>
              <w:spacing w:after="120"/>
              <w:rPr>
                <w:rFonts w:ascii="Garamond" w:hAnsi="Garamond"/>
                <w:sz w:val="20"/>
                <w:szCs w:val="20"/>
              </w:rPr>
            </w:pPr>
            <w:r w:rsidRPr="000B3D5E">
              <w:rPr>
                <w:rFonts w:ascii="Garamond" w:hAnsi="Garamond"/>
                <w:sz w:val="20"/>
                <w:szCs w:val="20"/>
              </w:rPr>
              <w:t>1,</w:t>
            </w:r>
            <w:r w:rsidRPr="00840300">
              <w:rPr>
                <w:rFonts w:ascii="Garamond" w:hAnsi="Garamond"/>
                <w:sz w:val="20"/>
                <w:szCs w:val="20"/>
              </w:rPr>
              <w:t>685</w:t>
            </w:r>
          </w:p>
        </w:tc>
        <w:tc>
          <w:tcPr>
            <w:tcW w:w="960" w:type="dxa"/>
            <w:tcBorders>
              <w:top w:val="nil"/>
              <w:left w:val="nil"/>
              <w:bottom w:val="single" w:sz="4" w:space="0" w:color="auto"/>
              <w:right w:val="nil"/>
            </w:tcBorders>
            <w:shd w:val="clear" w:color="auto" w:fill="auto"/>
            <w:vAlign w:val="center"/>
            <w:hideMark/>
          </w:tcPr>
          <w:p w14:paraId="5ADEE6D3" w14:textId="77777777" w:rsidR="001F21D2" w:rsidRPr="00DF2D46" w:rsidRDefault="001F21D2" w:rsidP="005A7652">
            <w:pPr>
              <w:spacing w:after="120"/>
              <w:rPr>
                <w:rFonts w:ascii="Garamond" w:hAnsi="Garamond"/>
                <w:sz w:val="20"/>
                <w:szCs w:val="20"/>
              </w:rPr>
            </w:pPr>
            <w:r w:rsidRPr="00DF2D46">
              <w:rPr>
                <w:rFonts w:ascii="Garamond" w:hAnsi="Garamond"/>
                <w:sz w:val="20"/>
                <w:szCs w:val="20"/>
              </w:rPr>
              <w:t>1,980</w:t>
            </w:r>
          </w:p>
        </w:tc>
        <w:tc>
          <w:tcPr>
            <w:tcW w:w="960" w:type="dxa"/>
            <w:tcBorders>
              <w:top w:val="nil"/>
              <w:left w:val="nil"/>
              <w:bottom w:val="single" w:sz="4" w:space="0" w:color="auto"/>
              <w:right w:val="single" w:sz="8" w:space="0" w:color="auto"/>
            </w:tcBorders>
            <w:shd w:val="clear" w:color="auto" w:fill="auto"/>
            <w:vAlign w:val="center"/>
            <w:hideMark/>
          </w:tcPr>
          <w:p w14:paraId="344A17CD" w14:textId="77777777" w:rsidR="001F21D2" w:rsidRPr="00DF2D46" w:rsidRDefault="001F21D2" w:rsidP="005A7652">
            <w:pPr>
              <w:spacing w:after="120"/>
              <w:rPr>
                <w:rFonts w:ascii="Garamond" w:hAnsi="Garamond"/>
                <w:sz w:val="20"/>
                <w:szCs w:val="20"/>
              </w:rPr>
            </w:pPr>
            <w:r w:rsidRPr="00DF2D46">
              <w:rPr>
                <w:rFonts w:ascii="Garamond" w:hAnsi="Garamond"/>
                <w:sz w:val="20"/>
                <w:szCs w:val="20"/>
              </w:rPr>
              <w:t>2,312</w:t>
            </w:r>
          </w:p>
        </w:tc>
      </w:tr>
      <w:tr w:rsidR="001F21D2" w:rsidRPr="00533642" w14:paraId="76BC4794" w14:textId="77777777" w:rsidTr="005A7652">
        <w:trPr>
          <w:trHeight w:val="144"/>
          <w:jc w:val="center"/>
        </w:trPr>
        <w:tc>
          <w:tcPr>
            <w:tcW w:w="1270" w:type="dxa"/>
            <w:tcBorders>
              <w:top w:val="nil"/>
              <w:left w:val="single" w:sz="8" w:space="0" w:color="auto"/>
              <w:bottom w:val="single" w:sz="4" w:space="0" w:color="auto"/>
              <w:right w:val="nil"/>
            </w:tcBorders>
            <w:shd w:val="clear" w:color="auto" w:fill="auto"/>
            <w:vAlign w:val="center"/>
            <w:hideMark/>
          </w:tcPr>
          <w:p w14:paraId="5A4A388C" w14:textId="77777777" w:rsidR="001F21D2" w:rsidRPr="0046667F" w:rsidRDefault="001F21D2" w:rsidP="005A7652">
            <w:pPr>
              <w:spacing w:after="120"/>
              <w:rPr>
                <w:rFonts w:ascii="Garamond" w:hAnsi="Garamond"/>
                <w:sz w:val="20"/>
                <w:szCs w:val="20"/>
              </w:rPr>
            </w:pPr>
            <w:r w:rsidRPr="0046667F">
              <w:rPr>
                <w:rFonts w:ascii="Garamond" w:hAnsi="Garamond"/>
                <w:sz w:val="20"/>
                <w:szCs w:val="20"/>
              </w:rPr>
              <w:t xml:space="preserve">TVET  </w:t>
            </w:r>
          </w:p>
        </w:tc>
        <w:tc>
          <w:tcPr>
            <w:tcW w:w="750" w:type="dxa"/>
            <w:tcBorders>
              <w:top w:val="nil"/>
              <w:left w:val="nil"/>
              <w:bottom w:val="single" w:sz="4" w:space="0" w:color="auto"/>
              <w:right w:val="nil"/>
            </w:tcBorders>
            <w:shd w:val="clear" w:color="auto" w:fill="auto"/>
            <w:vAlign w:val="center"/>
            <w:hideMark/>
          </w:tcPr>
          <w:p w14:paraId="6C682AE6" w14:textId="77777777" w:rsidR="001F21D2" w:rsidRPr="007278CC" w:rsidRDefault="001F21D2" w:rsidP="005A7652">
            <w:pPr>
              <w:spacing w:after="120"/>
              <w:rPr>
                <w:rFonts w:ascii="Garamond" w:hAnsi="Garamond"/>
                <w:sz w:val="20"/>
                <w:szCs w:val="20"/>
              </w:rPr>
            </w:pPr>
            <w:r w:rsidRPr="007278CC">
              <w:rPr>
                <w:rFonts w:ascii="Garamond" w:hAnsi="Garamond"/>
                <w:sz w:val="20"/>
                <w:szCs w:val="20"/>
              </w:rPr>
              <w:t>885</w:t>
            </w:r>
          </w:p>
        </w:tc>
        <w:tc>
          <w:tcPr>
            <w:tcW w:w="960" w:type="dxa"/>
            <w:tcBorders>
              <w:top w:val="nil"/>
              <w:left w:val="nil"/>
              <w:bottom w:val="single" w:sz="4" w:space="0" w:color="auto"/>
              <w:right w:val="nil"/>
            </w:tcBorders>
            <w:shd w:val="clear" w:color="auto" w:fill="auto"/>
            <w:vAlign w:val="center"/>
            <w:hideMark/>
          </w:tcPr>
          <w:p w14:paraId="7342A3CD" w14:textId="77777777" w:rsidR="001F21D2" w:rsidRPr="004C302C" w:rsidRDefault="001F21D2" w:rsidP="005A7652">
            <w:pPr>
              <w:spacing w:after="120"/>
              <w:rPr>
                <w:rFonts w:ascii="Garamond" w:hAnsi="Garamond"/>
                <w:sz w:val="20"/>
                <w:szCs w:val="20"/>
              </w:rPr>
            </w:pPr>
            <w:r w:rsidRPr="00783031">
              <w:rPr>
                <w:rFonts w:ascii="Garamond" w:hAnsi="Garamond"/>
                <w:sz w:val="20"/>
                <w:szCs w:val="20"/>
              </w:rPr>
              <w:t>1,</w:t>
            </w:r>
            <w:r w:rsidRPr="004C302C">
              <w:rPr>
                <w:rFonts w:ascii="Garamond" w:hAnsi="Garamond"/>
                <w:sz w:val="20"/>
                <w:szCs w:val="20"/>
              </w:rPr>
              <w:t>030</w:t>
            </w:r>
          </w:p>
        </w:tc>
        <w:tc>
          <w:tcPr>
            <w:tcW w:w="960" w:type="dxa"/>
            <w:tcBorders>
              <w:top w:val="nil"/>
              <w:left w:val="nil"/>
              <w:bottom w:val="single" w:sz="4" w:space="0" w:color="auto"/>
              <w:right w:val="nil"/>
            </w:tcBorders>
            <w:shd w:val="clear" w:color="auto" w:fill="auto"/>
            <w:vAlign w:val="center"/>
            <w:hideMark/>
          </w:tcPr>
          <w:p w14:paraId="5E92DF30" w14:textId="77777777" w:rsidR="001F21D2" w:rsidRPr="004C302C" w:rsidRDefault="001F21D2" w:rsidP="005A7652">
            <w:pPr>
              <w:spacing w:after="120"/>
              <w:rPr>
                <w:rFonts w:ascii="Garamond" w:hAnsi="Garamond"/>
                <w:sz w:val="20"/>
                <w:szCs w:val="20"/>
              </w:rPr>
            </w:pPr>
            <w:r w:rsidRPr="004C302C">
              <w:rPr>
                <w:rFonts w:ascii="Garamond" w:hAnsi="Garamond"/>
                <w:sz w:val="20"/>
                <w:szCs w:val="20"/>
              </w:rPr>
              <w:t>2,481</w:t>
            </w:r>
          </w:p>
        </w:tc>
        <w:tc>
          <w:tcPr>
            <w:tcW w:w="960" w:type="dxa"/>
            <w:tcBorders>
              <w:top w:val="nil"/>
              <w:left w:val="nil"/>
              <w:bottom w:val="single" w:sz="4" w:space="0" w:color="auto"/>
              <w:right w:val="nil"/>
            </w:tcBorders>
            <w:shd w:val="clear" w:color="auto" w:fill="auto"/>
            <w:vAlign w:val="center"/>
            <w:hideMark/>
          </w:tcPr>
          <w:p w14:paraId="43892E0C" w14:textId="77777777" w:rsidR="001F21D2" w:rsidRPr="000B3D5E" w:rsidRDefault="001F21D2" w:rsidP="005A7652">
            <w:pPr>
              <w:spacing w:after="120"/>
              <w:rPr>
                <w:rFonts w:ascii="Garamond" w:hAnsi="Garamond"/>
                <w:sz w:val="20"/>
                <w:szCs w:val="20"/>
              </w:rPr>
            </w:pPr>
            <w:r w:rsidRPr="005450ED">
              <w:rPr>
                <w:rFonts w:ascii="Garamond" w:hAnsi="Garamond"/>
                <w:sz w:val="20"/>
                <w:szCs w:val="20"/>
              </w:rPr>
              <w:t>3,</w:t>
            </w:r>
            <w:r w:rsidRPr="000B3D5E">
              <w:rPr>
                <w:rFonts w:ascii="Garamond" w:hAnsi="Garamond"/>
                <w:sz w:val="20"/>
                <w:szCs w:val="20"/>
              </w:rPr>
              <w:t>351</w:t>
            </w:r>
          </w:p>
        </w:tc>
        <w:tc>
          <w:tcPr>
            <w:tcW w:w="960" w:type="dxa"/>
            <w:tcBorders>
              <w:top w:val="nil"/>
              <w:left w:val="nil"/>
              <w:bottom w:val="single" w:sz="4" w:space="0" w:color="auto"/>
              <w:right w:val="nil"/>
            </w:tcBorders>
            <w:shd w:val="clear" w:color="auto" w:fill="auto"/>
            <w:vAlign w:val="center"/>
            <w:hideMark/>
          </w:tcPr>
          <w:p w14:paraId="00B854A3" w14:textId="77777777" w:rsidR="001F21D2" w:rsidRPr="000B3D5E" w:rsidRDefault="001F21D2" w:rsidP="005A7652">
            <w:pPr>
              <w:spacing w:after="120"/>
              <w:rPr>
                <w:rFonts w:ascii="Garamond" w:hAnsi="Garamond"/>
                <w:sz w:val="20"/>
                <w:szCs w:val="20"/>
              </w:rPr>
            </w:pPr>
            <w:r w:rsidRPr="000B3D5E">
              <w:rPr>
                <w:rFonts w:ascii="Garamond" w:hAnsi="Garamond"/>
                <w:sz w:val="20"/>
                <w:szCs w:val="20"/>
              </w:rPr>
              <w:t xml:space="preserve"> </w:t>
            </w:r>
          </w:p>
        </w:tc>
        <w:tc>
          <w:tcPr>
            <w:tcW w:w="960" w:type="dxa"/>
            <w:tcBorders>
              <w:top w:val="nil"/>
              <w:left w:val="nil"/>
              <w:bottom w:val="single" w:sz="4" w:space="0" w:color="auto"/>
              <w:right w:val="nil"/>
            </w:tcBorders>
            <w:shd w:val="clear" w:color="auto" w:fill="auto"/>
            <w:vAlign w:val="center"/>
            <w:hideMark/>
          </w:tcPr>
          <w:p w14:paraId="3A938F43" w14:textId="77777777" w:rsidR="001F21D2" w:rsidRPr="00DF2D46" w:rsidRDefault="001F21D2" w:rsidP="005A7652">
            <w:pPr>
              <w:spacing w:after="120"/>
              <w:rPr>
                <w:rFonts w:ascii="Garamond" w:hAnsi="Garamond"/>
                <w:sz w:val="20"/>
                <w:szCs w:val="20"/>
              </w:rPr>
            </w:pPr>
            <w:r w:rsidRPr="000B3D5E">
              <w:rPr>
                <w:rFonts w:ascii="Garamond" w:hAnsi="Garamond"/>
                <w:sz w:val="20"/>
                <w:szCs w:val="20"/>
              </w:rPr>
              <w:t>7</w:t>
            </w:r>
            <w:r w:rsidRPr="00840300">
              <w:rPr>
                <w:rFonts w:ascii="Garamond" w:hAnsi="Garamond"/>
                <w:sz w:val="20"/>
                <w:szCs w:val="20"/>
              </w:rPr>
              <w:t>,</w:t>
            </w:r>
            <w:r w:rsidRPr="00DF2D46">
              <w:rPr>
                <w:rFonts w:ascii="Garamond" w:hAnsi="Garamond"/>
                <w:sz w:val="20"/>
                <w:szCs w:val="20"/>
              </w:rPr>
              <w:t>569</w:t>
            </w:r>
          </w:p>
        </w:tc>
        <w:tc>
          <w:tcPr>
            <w:tcW w:w="960" w:type="dxa"/>
            <w:tcBorders>
              <w:top w:val="nil"/>
              <w:left w:val="nil"/>
              <w:bottom w:val="single" w:sz="4" w:space="0" w:color="auto"/>
              <w:right w:val="single" w:sz="8" w:space="0" w:color="auto"/>
            </w:tcBorders>
            <w:shd w:val="clear" w:color="auto" w:fill="auto"/>
            <w:vAlign w:val="center"/>
            <w:hideMark/>
          </w:tcPr>
          <w:p w14:paraId="49EBD0F6" w14:textId="77777777" w:rsidR="001F21D2" w:rsidRPr="00DF2D46" w:rsidRDefault="001F21D2" w:rsidP="005A7652">
            <w:pPr>
              <w:spacing w:after="120"/>
              <w:rPr>
                <w:rFonts w:ascii="Garamond" w:hAnsi="Garamond"/>
                <w:sz w:val="20"/>
                <w:szCs w:val="20"/>
              </w:rPr>
            </w:pPr>
            <w:r w:rsidRPr="00DF2D46">
              <w:rPr>
                <w:rFonts w:ascii="Garamond" w:hAnsi="Garamond"/>
                <w:sz w:val="20"/>
                <w:szCs w:val="20"/>
              </w:rPr>
              <w:t>5,707</w:t>
            </w:r>
          </w:p>
        </w:tc>
      </w:tr>
      <w:tr w:rsidR="001F21D2" w:rsidRPr="00533642" w14:paraId="3B571460" w14:textId="77777777" w:rsidTr="005A7652">
        <w:trPr>
          <w:trHeight w:val="144"/>
          <w:jc w:val="center"/>
        </w:trPr>
        <w:tc>
          <w:tcPr>
            <w:tcW w:w="1270" w:type="dxa"/>
            <w:tcBorders>
              <w:top w:val="nil"/>
              <w:left w:val="single" w:sz="8" w:space="0" w:color="auto"/>
              <w:bottom w:val="single" w:sz="4" w:space="0" w:color="auto"/>
              <w:right w:val="nil"/>
            </w:tcBorders>
            <w:shd w:val="clear" w:color="auto" w:fill="auto"/>
            <w:vAlign w:val="center"/>
            <w:hideMark/>
          </w:tcPr>
          <w:p w14:paraId="3012ED48" w14:textId="77777777" w:rsidR="001F21D2" w:rsidRPr="0046667F" w:rsidRDefault="001F21D2" w:rsidP="005A7652">
            <w:pPr>
              <w:spacing w:after="120"/>
              <w:rPr>
                <w:rFonts w:ascii="Garamond" w:hAnsi="Garamond"/>
                <w:sz w:val="20"/>
                <w:szCs w:val="20"/>
              </w:rPr>
            </w:pPr>
            <w:r w:rsidRPr="0046667F">
              <w:rPr>
                <w:rFonts w:ascii="Garamond" w:hAnsi="Garamond"/>
                <w:sz w:val="20"/>
                <w:szCs w:val="20"/>
              </w:rPr>
              <w:t xml:space="preserve">Tertiary </w:t>
            </w:r>
          </w:p>
        </w:tc>
        <w:tc>
          <w:tcPr>
            <w:tcW w:w="750" w:type="dxa"/>
            <w:tcBorders>
              <w:top w:val="nil"/>
              <w:left w:val="nil"/>
              <w:bottom w:val="single" w:sz="4" w:space="0" w:color="auto"/>
              <w:right w:val="nil"/>
            </w:tcBorders>
            <w:shd w:val="clear" w:color="auto" w:fill="auto"/>
            <w:vAlign w:val="center"/>
            <w:hideMark/>
          </w:tcPr>
          <w:p w14:paraId="6125A803" w14:textId="77777777" w:rsidR="001F21D2" w:rsidRPr="007278CC" w:rsidRDefault="001F21D2" w:rsidP="005A7652">
            <w:pPr>
              <w:spacing w:after="120"/>
              <w:rPr>
                <w:rFonts w:ascii="Garamond" w:hAnsi="Garamond"/>
                <w:sz w:val="20"/>
                <w:szCs w:val="20"/>
              </w:rPr>
            </w:pPr>
            <w:r w:rsidRPr="007278CC">
              <w:rPr>
                <w:rFonts w:ascii="Garamond" w:hAnsi="Garamond"/>
                <w:sz w:val="20"/>
                <w:szCs w:val="20"/>
              </w:rPr>
              <w:t>2,620</w:t>
            </w:r>
          </w:p>
        </w:tc>
        <w:tc>
          <w:tcPr>
            <w:tcW w:w="960" w:type="dxa"/>
            <w:tcBorders>
              <w:top w:val="nil"/>
              <w:left w:val="nil"/>
              <w:bottom w:val="single" w:sz="4" w:space="0" w:color="auto"/>
              <w:right w:val="nil"/>
            </w:tcBorders>
            <w:shd w:val="clear" w:color="auto" w:fill="auto"/>
            <w:vAlign w:val="center"/>
            <w:hideMark/>
          </w:tcPr>
          <w:p w14:paraId="7CAB7884" w14:textId="77777777" w:rsidR="001F21D2" w:rsidRPr="00783031" w:rsidRDefault="001F21D2" w:rsidP="005A7652">
            <w:pPr>
              <w:spacing w:after="120"/>
              <w:rPr>
                <w:rFonts w:ascii="Garamond" w:hAnsi="Garamond"/>
                <w:sz w:val="20"/>
                <w:szCs w:val="20"/>
              </w:rPr>
            </w:pPr>
            <w:r w:rsidRPr="00783031">
              <w:rPr>
                <w:rFonts w:ascii="Garamond" w:hAnsi="Garamond"/>
                <w:sz w:val="20"/>
                <w:szCs w:val="20"/>
              </w:rPr>
              <w:t>2,763</w:t>
            </w:r>
          </w:p>
        </w:tc>
        <w:tc>
          <w:tcPr>
            <w:tcW w:w="960" w:type="dxa"/>
            <w:tcBorders>
              <w:top w:val="nil"/>
              <w:left w:val="nil"/>
              <w:bottom w:val="single" w:sz="4" w:space="0" w:color="auto"/>
              <w:right w:val="nil"/>
            </w:tcBorders>
            <w:shd w:val="clear" w:color="auto" w:fill="auto"/>
            <w:vAlign w:val="center"/>
            <w:hideMark/>
          </w:tcPr>
          <w:p w14:paraId="593B62B4" w14:textId="77777777" w:rsidR="001F21D2" w:rsidRPr="004C302C" w:rsidRDefault="001F21D2" w:rsidP="005A7652">
            <w:pPr>
              <w:spacing w:after="120"/>
              <w:rPr>
                <w:rFonts w:ascii="Garamond" w:hAnsi="Garamond"/>
                <w:sz w:val="20"/>
                <w:szCs w:val="20"/>
              </w:rPr>
            </w:pPr>
            <w:r w:rsidRPr="004C302C">
              <w:rPr>
                <w:rFonts w:ascii="Garamond" w:hAnsi="Garamond"/>
                <w:sz w:val="20"/>
                <w:szCs w:val="20"/>
              </w:rPr>
              <w:t>3,144</w:t>
            </w:r>
          </w:p>
        </w:tc>
        <w:tc>
          <w:tcPr>
            <w:tcW w:w="960" w:type="dxa"/>
            <w:tcBorders>
              <w:top w:val="nil"/>
              <w:left w:val="nil"/>
              <w:bottom w:val="single" w:sz="4" w:space="0" w:color="auto"/>
              <w:right w:val="nil"/>
            </w:tcBorders>
            <w:shd w:val="clear" w:color="auto" w:fill="auto"/>
            <w:vAlign w:val="center"/>
            <w:hideMark/>
          </w:tcPr>
          <w:p w14:paraId="56466BE1" w14:textId="77777777" w:rsidR="001F21D2" w:rsidRPr="005450ED" w:rsidRDefault="001F21D2" w:rsidP="005A7652">
            <w:pPr>
              <w:spacing w:after="120"/>
              <w:rPr>
                <w:rFonts w:ascii="Garamond" w:hAnsi="Garamond"/>
                <w:sz w:val="20"/>
                <w:szCs w:val="20"/>
              </w:rPr>
            </w:pPr>
            <w:r w:rsidRPr="005450ED">
              <w:rPr>
                <w:rFonts w:ascii="Garamond" w:hAnsi="Garamond"/>
                <w:sz w:val="20"/>
                <w:szCs w:val="20"/>
              </w:rPr>
              <w:t>4,992</w:t>
            </w:r>
          </w:p>
        </w:tc>
        <w:tc>
          <w:tcPr>
            <w:tcW w:w="960" w:type="dxa"/>
            <w:tcBorders>
              <w:top w:val="nil"/>
              <w:left w:val="nil"/>
              <w:bottom w:val="single" w:sz="4" w:space="0" w:color="auto"/>
              <w:right w:val="nil"/>
            </w:tcBorders>
            <w:shd w:val="clear" w:color="auto" w:fill="auto"/>
            <w:vAlign w:val="center"/>
            <w:hideMark/>
          </w:tcPr>
          <w:p w14:paraId="66A5846E" w14:textId="77777777" w:rsidR="001F21D2" w:rsidRPr="000B3D5E" w:rsidRDefault="001F21D2" w:rsidP="005A7652">
            <w:pPr>
              <w:spacing w:after="120"/>
              <w:rPr>
                <w:rFonts w:ascii="Garamond" w:hAnsi="Garamond"/>
                <w:sz w:val="20"/>
                <w:szCs w:val="20"/>
              </w:rPr>
            </w:pPr>
            <w:r w:rsidRPr="000B3D5E">
              <w:rPr>
                <w:rFonts w:ascii="Garamond" w:hAnsi="Garamond"/>
                <w:sz w:val="20"/>
                <w:szCs w:val="20"/>
              </w:rPr>
              <w:t xml:space="preserve">- </w:t>
            </w:r>
          </w:p>
        </w:tc>
        <w:tc>
          <w:tcPr>
            <w:tcW w:w="960" w:type="dxa"/>
            <w:tcBorders>
              <w:top w:val="nil"/>
              <w:left w:val="nil"/>
              <w:bottom w:val="single" w:sz="4" w:space="0" w:color="auto"/>
              <w:right w:val="nil"/>
            </w:tcBorders>
            <w:shd w:val="clear" w:color="auto" w:fill="auto"/>
            <w:vAlign w:val="center"/>
            <w:hideMark/>
          </w:tcPr>
          <w:p w14:paraId="76D66D2A" w14:textId="77777777" w:rsidR="001F21D2" w:rsidRPr="000B3D5E" w:rsidRDefault="001F21D2" w:rsidP="005A7652">
            <w:pPr>
              <w:spacing w:after="120"/>
              <w:rPr>
                <w:rFonts w:ascii="Garamond" w:hAnsi="Garamond"/>
                <w:sz w:val="20"/>
                <w:szCs w:val="20"/>
              </w:rPr>
            </w:pPr>
            <w:r w:rsidRPr="000B3D5E">
              <w:rPr>
                <w:rFonts w:ascii="Garamond" w:hAnsi="Garamond"/>
                <w:sz w:val="20"/>
                <w:szCs w:val="20"/>
              </w:rPr>
              <w:t>4,460</w:t>
            </w:r>
          </w:p>
        </w:tc>
        <w:tc>
          <w:tcPr>
            <w:tcW w:w="960" w:type="dxa"/>
            <w:tcBorders>
              <w:top w:val="nil"/>
              <w:left w:val="nil"/>
              <w:bottom w:val="single" w:sz="4" w:space="0" w:color="auto"/>
              <w:right w:val="single" w:sz="8" w:space="0" w:color="auto"/>
            </w:tcBorders>
            <w:shd w:val="clear" w:color="auto" w:fill="auto"/>
            <w:vAlign w:val="center"/>
            <w:hideMark/>
          </w:tcPr>
          <w:p w14:paraId="1B26D21B" w14:textId="77777777" w:rsidR="001F21D2" w:rsidRPr="00DF2D46" w:rsidRDefault="001F21D2" w:rsidP="005A7652">
            <w:pPr>
              <w:spacing w:after="120"/>
              <w:rPr>
                <w:rFonts w:ascii="Garamond" w:hAnsi="Garamond"/>
                <w:sz w:val="20"/>
                <w:szCs w:val="20"/>
              </w:rPr>
            </w:pPr>
            <w:r w:rsidRPr="00840300">
              <w:rPr>
                <w:rFonts w:ascii="Garamond" w:hAnsi="Garamond"/>
                <w:sz w:val="20"/>
                <w:szCs w:val="20"/>
              </w:rPr>
              <w:t>7</w:t>
            </w:r>
            <w:r w:rsidRPr="00DF2D46">
              <w:rPr>
                <w:rFonts w:ascii="Garamond" w:hAnsi="Garamond"/>
                <w:sz w:val="20"/>
                <w:szCs w:val="20"/>
              </w:rPr>
              <w:t>,439</w:t>
            </w:r>
          </w:p>
        </w:tc>
      </w:tr>
      <w:tr w:rsidR="001F21D2" w:rsidRPr="00533642" w14:paraId="114416D6" w14:textId="77777777" w:rsidTr="005A7652">
        <w:trPr>
          <w:trHeight w:val="144"/>
          <w:jc w:val="center"/>
        </w:trPr>
        <w:tc>
          <w:tcPr>
            <w:tcW w:w="1270" w:type="dxa"/>
            <w:tcBorders>
              <w:top w:val="nil"/>
              <w:left w:val="single" w:sz="8" w:space="0" w:color="auto"/>
              <w:bottom w:val="single" w:sz="8" w:space="0" w:color="auto"/>
              <w:right w:val="nil"/>
            </w:tcBorders>
            <w:shd w:val="clear" w:color="auto" w:fill="auto"/>
            <w:vAlign w:val="center"/>
            <w:hideMark/>
          </w:tcPr>
          <w:p w14:paraId="16B5740E" w14:textId="77777777" w:rsidR="001F21D2" w:rsidRPr="005450ED" w:rsidRDefault="001F21D2" w:rsidP="005A7652">
            <w:pPr>
              <w:spacing w:after="120"/>
              <w:rPr>
                <w:rFonts w:ascii="Garamond" w:hAnsi="Garamond"/>
                <w:sz w:val="20"/>
                <w:szCs w:val="20"/>
              </w:rPr>
            </w:pPr>
            <w:r w:rsidRPr="0046667F">
              <w:rPr>
                <w:rFonts w:ascii="Garamond" w:hAnsi="Garamond"/>
                <w:sz w:val="20"/>
                <w:szCs w:val="20"/>
              </w:rPr>
              <w:t>Tertiary-to-</w:t>
            </w:r>
            <w:r w:rsidRPr="00783031">
              <w:rPr>
                <w:rFonts w:ascii="Garamond" w:hAnsi="Garamond"/>
                <w:sz w:val="20"/>
                <w:szCs w:val="20"/>
              </w:rPr>
              <w:t>Primary</w:t>
            </w:r>
            <w:r w:rsidRPr="004C302C">
              <w:rPr>
                <w:rFonts w:ascii="Garamond" w:hAnsi="Garamond"/>
                <w:sz w:val="20"/>
                <w:szCs w:val="20"/>
              </w:rPr>
              <w:t xml:space="preserve"> Ratio</w:t>
            </w:r>
            <w:r w:rsidRPr="005450ED">
              <w:rPr>
                <w:rFonts w:ascii="Garamond" w:hAnsi="Garamond"/>
                <w:sz w:val="20"/>
                <w:szCs w:val="20"/>
              </w:rPr>
              <w:t xml:space="preserve"> </w:t>
            </w:r>
          </w:p>
        </w:tc>
        <w:tc>
          <w:tcPr>
            <w:tcW w:w="750" w:type="dxa"/>
            <w:tcBorders>
              <w:top w:val="nil"/>
              <w:left w:val="nil"/>
              <w:bottom w:val="single" w:sz="8" w:space="0" w:color="auto"/>
              <w:right w:val="nil"/>
            </w:tcBorders>
            <w:shd w:val="clear" w:color="auto" w:fill="auto"/>
            <w:vAlign w:val="center"/>
            <w:hideMark/>
          </w:tcPr>
          <w:p w14:paraId="4A31F402" w14:textId="77777777" w:rsidR="001F21D2" w:rsidRPr="000B3D5E" w:rsidRDefault="001F21D2" w:rsidP="005A7652">
            <w:pPr>
              <w:spacing w:after="120"/>
              <w:rPr>
                <w:rFonts w:ascii="Garamond" w:hAnsi="Garamond"/>
                <w:sz w:val="20"/>
                <w:szCs w:val="20"/>
              </w:rPr>
            </w:pPr>
            <w:r w:rsidRPr="000B3D5E">
              <w:rPr>
                <w:rFonts w:ascii="Garamond" w:hAnsi="Garamond"/>
                <w:sz w:val="20"/>
                <w:szCs w:val="20"/>
              </w:rPr>
              <w:t>13.6</w:t>
            </w:r>
          </w:p>
        </w:tc>
        <w:tc>
          <w:tcPr>
            <w:tcW w:w="960" w:type="dxa"/>
            <w:tcBorders>
              <w:top w:val="nil"/>
              <w:left w:val="nil"/>
              <w:bottom w:val="single" w:sz="8" w:space="0" w:color="auto"/>
              <w:right w:val="nil"/>
            </w:tcBorders>
            <w:shd w:val="clear" w:color="auto" w:fill="auto"/>
            <w:vAlign w:val="center"/>
            <w:hideMark/>
          </w:tcPr>
          <w:p w14:paraId="796AD008" w14:textId="77777777" w:rsidR="001F21D2" w:rsidRPr="000B3D5E" w:rsidRDefault="001F21D2" w:rsidP="005A7652">
            <w:pPr>
              <w:spacing w:after="120"/>
              <w:rPr>
                <w:rFonts w:ascii="Garamond" w:hAnsi="Garamond"/>
                <w:sz w:val="20"/>
                <w:szCs w:val="20"/>
              </w:rPr>
            </w:pPr>
            <w:r w:rsidRPr="000B3D5E">
              <w:rPr>
                <w:rFonts w:ascii="Garamond" w:hAnsi="Garamond"/>
                <w:sz w:val="20"/>
                <w:szCs w:val="20"/>
              </w:rPr>
              <w:t>12.3</w:t>
            </w:r>
          </w:p>
        </w:tc>
        <w:tc>
          <w:tcPr>
            <w:tcW w:w="960" w:type="dxa"/>
            <w:tcBorders>
              <w:top w:val="nil"/>
              <w:left w:val="nil"/>
              <w:bottom w:val="single" w:sz="8" w:space="0" w:color="auto"/>
              <w:right w:val="nil"/>
            </w:tcBorders>
            <w:shd w:val="clear" w:color="auto" w:fill="auto"/>
            <w:vAlign w:val="center"/>
            <w:hideMark/>
          </w:tcPr>
          <w:p w14:paraId="11BBC4E9" w14:textId="77777777" w:rsidR="001F21D2" w:rsidRPr="00840300" w:rsidRDefault="001F21D2" w:rsidP="005A7652">
            <w:pPr>
              <w:spacing w:after="120"/>
              <w:rPr>
                <w:rFonts w:ascii="Garamond" w:hAnsi="Garamond"/>
                <w:sz w:val="20"/>
                <w:szCs w:val="20"/>
              </w:rPr>
            </w:pPr>
            <w:r w:rsidRPr="00840300">
              <w:rPr>
                <w:rFonts w:ascii="Garamond" w:hAnsi="Garamond"/>
                <w:sz w:val="20"/>
                <w:szCs w:val="20"/>
              </w:rPr>
              <w:t>8</w:t>
            </w:r>
          </w:p>
        </w:tc>
        <w:tc>
          <w:tcPr>
            <w:tcW w:w="960" w:type="dxa"/>
            <w:tcBorders>
              <w:top w:val="nil"/>
              <w:left w:val="nil"/>
              <w:bottom w:val="single" w:sz="8" w:space="0" w:color="auto"/>
              <w:right w:val="nil"/>
            </w:tcBorders>
            <w:shd w:val="clear" w:color="auto" w:fill="auto"/>
            <w:vAlign w:val="center"/>
            <w:hideMark/>
          </w:tcPr>
          <w:p w14:paraId="6B7DD7D0" w14:textId="77777777" w:rsidR="001F21D2" w:rsidRPr="00DF2D46" w:rsidRDefault="001F21D2" w:rsidP="005A7652">
            <w:pPr>
              <w:spacing w:after="120"/>
              <w:rPr>
                <w:rFonts w:ascii="Garamond" w:hAnsi="Garamond"/>
                <w:sz w:val="20"/>
                <w:szCs w:val="20"/>
              </w:rPr>
            </w:pPr>
            <w:r w:rsidRPr="00DF2D46">
              <w:rPr>
                <w:rFonts w:ascii="Garamond" w:hAnsi="Garamond"/>
                <w:sz w:val="20"/>
                <w:szCs w:val="20"/>
              </w:rPr>
              <w:t>12.1</w:t>
            </w:r>
          </w:p>
        </w:tc>
        <w:tc>
          <w:tcPr>
            <w:tcW w:w="960" w:type="dxa"/>
            <w:tcBorders>
              <w:top w:val="nil"/>
              <w:left w:val="nil"/>
              <w:bottom w:val="single" w:sz="8" w:space="0" w:color="auto"/>
              <w:right w:val="nil"/>
            </w:tcBorders>
            <w:shd w:val="clear" w:color="auto" w:fill="auto"/>
            <w:vAlign w:val="center"/>
            <w:hideMark/>
          </w:tcPr>
          <w:p w14:paraId="55CD371B" w14:textId="77777777" w:rsidR="001F21D2" w:rsidRPr="00DF2D46" w:rsidRDefault="001F21D2" w:rsidP="005A7652">
            <w:pPr>
              <w:spacing w:after="120"/>
              <w:rPr>
                <w:rFonts w:ascii="Garamond" w:hAnsi="Garamond"/>
                <w:sz w:val="20"/>
                <w:szCs w:val="20"/>
              </w:rPr>
            </w:pPr>
            <w:r w:rsidRPr="00DF2D46">
              <w:rPr>
                <w:rFonts w:ascii="Garamond" w:hAnsi="Garamond"/>
                <w:sz w:val="20"/>
                <w:szCs w:val="20"/>
              </w:rPr>
              <w:t> </w:t>
            </w:r>
          </w:p>
        </w:tc>
        <w:tc>
          <w:tcPr>
            <w:tcW w:w="960" w:type="dxa"/>
            <w:tcBorders>
              <w:top w:val="nil"/>
              <w:left w:val="nil"/>
              <w:bottom w:val="single" w:sz="8" w:space="0" w:color="auto"/>
              <w:right w:val="nil"/>
            </w:tcBorders>
            <w:shd w:val="clear" w:color="auto" w:fill="auto"/>
            <w:vAlign w:val="center"/>
            <w:hideMark/>
          </w:tcPr>
          <w:p w14:paraId="3CC7DA0E" w14:textId="77777777" w:rsidR="001F21D2" w:rsidRPr="00DF2D46" w:rsidRDefault="001F21D2" w:rsidP="005A7652">
            <w:pPr>
              <w:spacing w:after="120"/>
              <w:rPr>
                <w:rFonts w:ascii="Garamond" w:hAnsi="Garamond"/>
                <w:sz w:val="20"/>
                <w:szCs w:val="20"/>
              </w:rPr>
            </w:pPr>
            <w:r w:rsidRPr="00DF2D46">
              <w:rPr>
                <w:rFonts w:ascii="Garamond" w:hAnsi="Garamond"/>
                <w:sz w:val="20"/>
                <w:szCs w:val="20"/>
              </w:rPr>
              <w:t>10</w:t>
            </w:r>
          </w:p>
        </w:tc>
        <w:tc>
          <w:tcPr>
            <w:tcW w:w="960" w:type="dxa"/>
            <w:tcBorders>
              <w:top w:val="nil"/>
              <w:left w:val="nil"/>
              <w:bottom w:val="single" w:sz="8" w:space="0" w:color="auto"/>
              <w:right w:val="single" w:sz="8" w:space="0" w:color="auto"/>
            </w:tcBorders>
            <w:shd w:val="clear" w:color="auto" w:fill="auto"/>
            <w:vAlign w:val="center"/>
            <w:hideMark/>
          </w:tcPr>
          <w:p w14:paraId="5A051D5B" w14:textId="77777777" w:rsidR="001F21D2" w:rsidRPr="00DF2D46" w:rsidRDefault="001F21D2" w:rsidP="005A7652">
            <w:pPr>
              <w:spacing w:after="120"/>
              <w:rPr>
                <w:rFonts w:ascii="Garamond" w:hAnsi="Garamond"/>
                <w:sz w:val="20"/>
                <w:szCs w:val="20"/>
              </w:rPr>
            </w:pPr>
            <w:r w:rsidRPr="00DF2D46">
              <w:rPr>
                <w:rFonts w:ascii="Garamond" w:hAnsi="Garamond"/>
                <w:sz w:val="20"/>
                <w:szCs w:val="20"/>
              </w:rPr>
              <w:t>19.0</w:t>
            </w:r>
          </w:p>
        </w:tc>
      </w:tr>
    </w:tbl>
    <w:p w14:paraId="7C2CBCFF" w14:textId="77777777" w:rsidR="001F21D2" w:rsidRPr="00D775DD" w:rsidRDefault="001F21D2" w:rsidP="001F21D2">
      <w:pPr>
        <w:ind w:firstLine="720"/>
        <w:rPr>
          <w:rFonts w:ascii="Garamond" w:hAnsi="Garamond"/>
          <w:noProof/>
          <w:sz w:val="20"/>
          <w:szCs w:val="20"/>
        </w:rPr>
      </w:pPr>
      <w:r w:rsidRPr="00D775DD">
        <w:rPr>
          <w:rFonts w:ascii="Garamond" w:hAnsi="Garamond"/>
          <w:i/>
          <w:noProof/>
          <w:sz w:val="20"/>
          <w:szCs w:val="20"/>
        </w:rPr>
        <w:t>Source</w:t>
      </w:r>
      <w:r w:rsidRPr="00D775DD">
        <w:rPr>
          <w:rFonts w:ascii="Garamond" w:hAnsi="Garamond"/>
          <w:noProof/>
          <w:sz w:val="20"/>
          <w:szCs w:val="20"/>
        </w:rPr>
        <w:t>: Ministry of Education, 2016</w:t>
      </w:r>
    </w:p>
    <w:p w14:paraId="5B5B77C0" w14:textId="77777777" w:rsidR="001F21D2" w:rsidRPr="00C8170B" w:rsidRDefault="00657AA2" w:rsidP="00CC6F65">
      <w:pPr>
        <w:pStyle w:val="Caption"/>
        <w:rPr>
          <w:lang w:val="en-US"/>
        </w:rPr>
      </w:pPr>
      <w:r w:rsidRPr="00C8170B">
        <w:rPr>
          <w:lang w:val="en-US"/>
        </w:rPr>
        <w:t>Figure</w:t>
      </w:r>
      <w:r w:rsidR="001F21D2" w:rsidRPr="00C8170B">
        <w:rPr>
          <w:lang w:val="en-US"/>
        </w:rPr>
        <w:t xml:space="preserve"> </w:t>
      </w:r>
      <w:r w:rsidR="005C0067" w:rsidRPr="00C8170B">
        <w:rPr>
          <w:lang w:val="en-US"/>
        </w:rPr>
        <w:fldChar w:fldCharType="begin"/>
      </w:r>
      <w:r w:rsidR="005C0067" w:rsidRPr="00C8170B">
        <w:rPr>
          <w:lang w:val="en-US"/>
        </w:rPr>
        <w:instrText xml:space="preserve"> STYLEREF 1 \s </w:instrText>
      </w:r>
      <w:r w:rsidR="005C0067" w:rsidRPr="00C8170B">
        <w:rPr>
          <w:lang w:val="en-US"/>
        </w:rPr>
        <w:fldChar w:fldCharType="separate"/>
      </w:r>
      <w:r w:rsidR="007B1CE6">
        <w:rPr>
          <w:noProof/>
          <w:lang w:val="en-US"/>
        </w:rPr>
        <w:t>4</w:t>
      </w:r>
      <w:r w:rsidR="005C0067" w:rsidRPr="00C8170B">
        <w:rPr>
          <w:lang w:val="en-US"/>
        </w:rPr>
        <w:fldChar w:fldCharType="end"/>
      </w:r>
      <w:r w:rsidR="005C0067" w:rsidRPr="00C8170B">
        <w:rPr>
          <w:lang w:val="en-US"/>
        </w:rPr>
        <w:t>.</w:t>
      </w:r>
      <w:r w:rsidR="005C0067" w:rsidRPr="00C8170B">
        <w:rPr>
          <w:lang w:val="en-US"/>
        </w:rPr>
        <w:fldChar w:fldCharType="begin"/>
      </w:r>
      <w:r w:rsidR="005C0067" w:rsidRPr="00C8170B">
        <w:rPr>
          <w:lang w:val="en-US"/>
        </w:rPr>
        <w:instrText xml:space="preserve"> SEQ Figure \* ARABIC \s 1 </w:instrText>
      </w:r>
      <w:r w:rsidR="005C0067" w:rsidRPr="00C8170B">
        <w:rPr>
          <w:lang w:val="en-US"/>
        </w:rPr>
        <w:fldChar w:fldCharType="separate"/>
      </w:r>
      <w:r w:rsidR="007B1CE6">
        <w:rPr>
          <w:noProof/>
          <w:lang w:val="en-US"/>
        </w:rPr>
        <w:t>5</w:t>
      </w:r>
      <w:r w:rsidR="005C0067" w:rsidRPr="00C8170B">
        <w:rPr>
          <w:lang w:val="en-US"/>
        </w:rPr>
        <w:fldChar w:fldCharType="end"/>
      </w:r>
      <w:r w:rsidR="001F21D2" w:rsidRPr="00C8170B">
        <w:rPr>
          <w:lang w:val="en-US"/>
        </w:rPr>
        <w:t>: Ratio of Spending per Student at the Tertiary and Primary Levels, 2015 or Latest Available Year</w:t>
      </w:r>
    </w:p>
    <w:p w14:paraId="5F0DD6FE" w14:textId="77777777" w:rsidR="001F21D2" w:rsidRPr="00533642" w:rsidRDefault="003E107F" w:rsidP="001F21D2">
      <w:pPr>
        <w:spacing w:after="0"/>
        <w:jc w:val="center"/>
        <w:rPr>
          <w:rFonts w:ascii="Garamond" w:hAnsi="Garamond"/>
        </w:rPr>
      </w:pPr>
      <w:r>
        <w:rPr>
          <w:noProof/>
        </w:rPr>
        <w:drawing>
          <wp:inline distT="0" distB="0" distL="0" distR="0" wp14:anchorId="1A322D59" wp14:editId="120272FF">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0FDAABC" w14:textId="77777777" w:rsidR="001F21D2" w:rsidRDefault="001F21D2" w:rsidP="001F21D2">
      <w:pPr>
        <w:ind w:left="720" w:firstLine="720"/>
        <w:rPr>
          <w:rFonts w:ascii="Garamond" w:hAnsi="Garamond"/>
          <w:sz w:val="20"/>
          <w:szCs w:val="20"/>
        </w:rPr>
      </w:pPr>
      <w:r w:rsidRPr="00D775DD">
        <w:rPr>
          <w:rFonts w:ascii="Garamond" w:hAnsi="Garamond"/>
          <w:i/>
          <w:sz w:val="20"/>
          <w:szCs w:val="20"/>
        </w:rPr>
        <w:t>Source</w:t>
      </w:r>
      <w:r w:rsidRPr="00D775DD">
        <w:rPr>
          <w:rFonts w:ascii="Garamond" w:hAnsi="Garamond"/>
          <w:sz w:val="20"/>
          <w:szCs w:val="20"/>
        </w:rPr>
        <w:t>: UIS and Ministry of Education, 2016</w:t>
      </w:r>
    </w:p>
    <w:p w14:paraId="0E8BCDAF" w14:textId="77777777" w:rsidR="00C8170B" w:rsidRPr="00533642" w:rsidRDefault="00C8170B" w:rsidP="001F21D2">
      <w:pPr>
        <w:ind w:left="720" w:firstLine="720"/>
        <w:rPr>
          <w:rFonts w:ascii="Garamond" w:hAnsi="Garamond"/>
          <w:sz w:val="20"/>
          <w:szCs w:val="20"/>
        </w:rPr>
      </w:pPr>
    </w:p>
    <w:p w14:paraId="245E6ED2" w14:textId="77777777" w:rsidR="001F21D2" w:rsidRPr="00533642" w:rsidRDefault="001F21D2" w:rsidP="000E7654">
      <w:pPr>
        <w:pStyle w:val="Heading3"/>
      </w:pPr>
      <w:r w:rsidRPr="00533642">
        <w:lastRenderedPageBreak/>
        <w:t>Service Delivery</w:t>
      </w:r>
    </w:p>
    <w:p w14:paraId="55CE2343" w14:textId="77777777" w:rsidR="001F21D2" w:rsidRPr="0067705C" w:rsidRDefault="001F21D2" w:rsidP="00724BAB">
      <w:pPr>
        <w:pStyle w:val="ListParagraph"/>
        <w:numPr>
          <w:ilvl w:val="0"/>
          <w:numId w:val="9"/>
        </w:numPr>
      </w:pPr>
      <w:r w:rsidRPr="00E404A2">
        <w:rPr>
          <w:b/>
        </w:rPr>
        <w:t xml:space="preserve">Enrollment has increased </w:t>
      </w:r>
      <w:r>
        <w:rPr>
          <w:b/>
        </w:rPr>
        <w:t>at</w:t>
      </w:r>
      <w:r w:rsidRPr="00E404A2">
        <w:rPr>
          <w:b/>
        </w:rPr>
        <w:t xml:space="preserve"> the primary</w:t>
      </w:r>
      <w:r>
        <w:rPr>
          <w:b/>
        </w:rPr>
        <w:t>, JHS</w:t>
      </w:r>
      <w:r w:rsidR="00BA5DEE">
        <w:rPr>
          <w:b/>
        </w:rPr>
        <w:t>,</w:t>
      </w:r>
      <w:r>
        <w:rPr>
          <w:b/>
        </w:rPr>
        <w:t xml:space="preserve"> and</w:t>
      </w:r>
      <w:r w:rsidRPr="00E404A2">
        <w:rPr>
          <w:b/>
        </w:rPr>
        <w:t xml:space="preserve"> SHS levels, but decreased at the kindergarten level.</w:t>
      </w:r>
      <w:r w:rsidRPr="00E404A2">
        <w:t xml:space="preserve"> In Ghana, basic education comprises </w:t>
      </w:r>
      <w:r>
        <w:t xml:space="preserve">two years of kindergarten, </w:t>
      </w:r>
      <w:r w:rsidRPr="00533642">
        <w:t xml:space="preserve">six years of </w:t>
      </w:r>
      <w:r w:rsidRPr="00E404A2">
        <w:t>primary</w:t>
      </w:r>
      <w:r w:rsidRPr="00533642">
        <w:t xml:space="preserve"> education</w:t>
      </w:r>
      <w:r w:rsidR="00BA5DEE">
        <w:t>,</w:t>
      </w:r>
      <w:r w:rsidRPr="00533642">
        <w:t xml:space="preserve"> and three years of JHS.</w:t>
      </w:r>
      <w:r w:rsidRPr="00E404A2">
        <w:t xml:space="preserve"> </w:t>
      </w:r>
      <w:r>
        <w:t>G</w:t>
      </w:r>
      <w:r w:rsidRPr="00E404A2">
        <w:t xml:space="preserve">ross </w:t>
      </w:r>
      <w:r>
        <w:t xml:space="preserve">and net </w:t>
      </w:r>
      <w:r w:rsidRPr="00533642">
        <w:t>e</w:t>
      </w:r>
      <w:r w:rsidRPr="00E404A2">
        <w:t xml:space="preserve">nrollment </w:t>
      </w:r>
      <w:r w:rsidRPr="00533642">
        <w:t>rate</w:t>
      </w:r>
      <w:r>
        <w:t>s</w:t>
      </w:r>
      <w:r>
        <w:rPr>
          <w:rStyle w:val="FootnoteReference"/>
        </w:rPr>
        <w:footnoteReference w:id="118"/>
      </w:r>
      <w:r w:rsidRPr="00E404A2">
        <w:t xml:space="preserve"> </w:t>
      </w:r>
      <w:r w:rsidRPr="00533642">
        <w:t>at</w:t>
      </w:r>
      <w:r w:rsidRPr="00E404A2">
        <w:t xml:space="preserve"> the </w:t>
      </w:r>
      <w:r w:rsidRPr="00533642">
        <w:t>kindergarten</w:t>
      </w:r>
      <w:r w:rsidRPr="00E404A2">
        <w:t xml:space="preserve"> level </w:t>
      </w:r>
      <w:r>
        <w:t>fell</w:t>
      </w:r>
      <w:r w:rsidRPr="00E404A2">
        <w:t xml:space="preserve"> by 5 and 3 percent</w:t>
      </w:r>
      <w:r w:rsidRPr="00533642">
        <w:t>,</w:t>
      </w:r>
      <w:r w:rsidRPr="00E404A2">
        <w:t xml:space="preserve"> respectively</w:t>
      </w:r>
      <w:r w:rsidRPr="00533642">
        <w:t>, between the 2014/15 and 2015/16 academic years</w:t>
      </w:r>
      <w:r w:rsidRPr="00E404A2">
        <w:t xml:space="preserve">. </w:t>
      </w:r>
      <w:r w:rsidRPr="00533642">
        <w:t>Th</w:t>
      </w:r>
      <w:r>
        <w:t xml:space="preserve">e decline </w:t>
      </w:r>
      <w:r w:rsidRPr="00E404A2">
        <w:t xml:space="preserve">in </w:t>
      </w:r>
      <w:r w:rsidRPr="00533642">
        <w:t>kindergarten</w:t>
      </w:r>
      <w:r w:rsidRPr="00E404A2">
        <w:t xml:space="preserve"> </w:t>
      </w:r>
      <w:r>
        <w:t xml:space="preserve">enrollment may be </w:t>
      </w:r>
      <w:r w:rsidRPr="00E404A2">
        <w:t xml:space="preserve">due to </w:t>
      </w:r>
      <w:r>
        <w:t>inadequate facilities</w:t>
      </w:r>
      <w:r w:rsidRPr="00E404A2">
        <w:t>, especially in rural areas. This is significant</w:t>
      </w:r>
      <w:r>
        <w:t>, as delayed school enrollment can negatively affect the</w:t>
      </w:r>
      <w:r w:rsidRPr="00E404A2">
        <w:t xml:space="preserve"> cognitive development </w:t>
      </w:r>
      <w:r>
        <w:t>of</w:t>
      </w:r>
      <w:r w:rsidRPr="00E404A2">
        <w:t xml:space="preserve"> young children. </w:t>
      </w:r>
      <w:r>
        <w:t xml:space="preserve">Meanwhile, rising enrollment rates in public schools drove a 1 percent increase in the net </w:t>
      </w:r>
      <w:r w:rsidRPr="00E404A2">
        <w:t xml:space="preserve">primary </w:t>
      </w:r>
      <w:r>
        <w:t xml:space="preserve">enrollment rate, while </w:t>
      </w:r>
      <w:r w:rsidRPr="00D775DD">
        <w:t xml:space="preserve">private </w:t>
      </w:r>
      <w:r w:rsidRPr="00533642">
        <w:t>school</w:t>
      </w:r>
      <w:r>
        <w:t xml:space="preserve"> enrollment rates</w:t>
      </w:r>
      <w:r w:rsidRPr="00D775DD">
        <w:t xml:space="preserve"> remained stagnant from 2014/15 to 2015/16 </w:t>
      </w:r>
      <w:r w:rsidRPr="00533642">
        <w:t>at</w:t>
      </w:r>
      <w:r w:rsidRPr="00D775DD">
        <w:t xml:space="preserve"> all basic education levels. </w:t>
      </w:r>
      <w:r>
        <w:t>As a result, t</w:t>
      </w:r>
      <w:r w:rsidRPr="008A054F">
        <w:t>he share of enro</w:t>
      </w:r>
      <w:r>
        <w:t>l</w:t>
      </w:r>
      <w:r w:rsidRPr="008A054F">
        <w:t xml:space="preserve">lment in private institutions </w:t>
      </w:r>
      <w:r>
        <w:t>fell</w:t>
      </w:r>
      <w:r w:rsidRPr="008A054F">
        <w:t xml:space="preserve"> from 7.9 percent in 2014/15 to 7.5 percent in 2015/16. </w:t>
      </w:r>
      <w:r>
        <w:t>Gross enrollment rates increased significantly at</w:t>
      </w:r>
      <w:r w:rsidRPr="00E404A2">
        <w:t xml:space="preserve"> </w:t>
      </w:r>
      <w:r>
        <w:t xml:space="preserve">both </w:t>
      </w:r>
      <w:r w:rsidRPr="00E404A2">
        <w:t xml:space="preserve">the JHS </w:t>
      </w:r>
      <w:r>
        <w:t xml:space="preserve">and SHS </w:t>
      </w:r>
      <w:r w:rsidRPr="00E404A2">
        <w:t>level</w:t>
      </w:r>
      <w:r>
        <w:t>s, while net enrollment rose only slightly. Nevertheless, the gross enrollment rate is over 100 percent at the primary level and just 50 percent at the SHS level, underscoring the difficulty with which students rise through the educational system.</w:t>
      </w:r>
    </w:p>
    <w:p w14:paraId="602BAB49" w14:textId="77777777" w:rsidR="001F21D2" w:rsidRPr="00C8170B" w:rsidRDefault="00503101" w:rsidP="00503101">
      <w:pPr>
        <w:pStyle w:val="Caption"/>
        <w:rPr>
          <w:lang w:val="en-US"/>
        </w:rPr>
      </w:pPr>
      <w:bookmarkStart w:id="169" w:name="_Toc478837652"/>
      <w:r w:rsidRPr="00C8170B">
        <w:rPr>
          <w:lang w:val="en-US"/>
        </w:rPr>
        <w:t xml:space="preserve">Table </w:t>
      </w:r>
      <w:r w:rsidR="00500291" w:rsidRPr="00C8170B">
        <w:rPr>
          <w:lang w:val="en-US"/>
        </w:rPr>
        <w:fldChar w:fldCharType="begin"/>
      </w:r>
      <w:r w:rsidR="00500291" w:rsidRPr="00C8170B">
        <w:rPr>
          <w:lang w:val="en-US"/>
        </w:rPr>
        <w:instrText xml:space="preserve"> STYLEREF 1 \s </w:instrText>
      </w:r>
      <w:r w:rsidR="00500291" w:rsidRPr="00C8170B">
        <w:rPr>
          <w:lang w:val="en-US"/>
        </w:rPr>
        <w:fldChar w:fldCharType="separate"/>
      </w:r>
      <w:r w:rsidR="007B1CE6">
        <w:rPr>
          <w:noProof/>
          <w:lang w:val="en-US"/>
        </w:rPr>
        <w:t>4</w:t>
      </w:r>
      <w:r w:rsidR="00500291" w:rsidRPr="00C8170B">
        <w:rPr>
          <w:lang w:val="en-US"/>
        </w:rPr>
        <w:fldChar w:fldCharType="end"/>
      </w:r>
      <w:r w:rsidR="00500291" w:rsidRPr="00C8170B">
        <w:rPr>
          <w:lang w:val="en-US"/>
        </w:rPr>
        <w:t>.</w:t>
      </w:r>
      <w:r w:rsidR="00500291" w:rsidRPr="00C8170B">
        <w:rPr>
          <w:lang w:val="en-US"/>
        </w:rPr>
        <w:fldChar w:fldCharType="begin"/>
      </w:r>
      <w:r w:rsidR="00500291" w:rsidRPr="00C8170B">
        <w:rPr>
          <w:lang w:val="en-US"/>
        </w:rPr>
        <w:instrText xml:space="preserve"> SEQ Table \* ARABIC \s 1 </w:instrText>
      </w:r>
      <w:r w:rsidR="00500291" w:rsidRPr="00C8170B">
        <w:rPr>
          <w:lang w:val="en-US"/>
        </w:rPr>
        <w:fldChar w:fldCharType="separate"/>
      </w:r>
      <w:r w:rsidR="007B1CE6">
        <w:rPr>
          <w:noProof/>
          <w:lang w:val="en-US"/>
        </w:rPr>
        <w:t>4</w:t>
      </w:r>
      <w:r w:rsidR="00500291" w:rsidRPr="00C8170B">
        <w:rPr>
          <w:lang w:val="en-US"/>
        </w:rPr>
        <w:fldChar w:fldCharType="end"/>
      </w:r>
      <w:r w:rsidR="001F21D2" w:rsidRPr="00C8170B">
        <w:rPr>
          <w:lang w:val="en-US"/>
        </w:rPr>
        <w:t>: Gross and Net Enrollment Rates, 2016</w:t>
      </w:r>
      <w:bookmarkEnd w:id="169"/>
    </w:p>
    <w:tbl>
      <w:tblPr>
        <w:tblW w:w="6450" w:type="dxa"/>
        <w:jc w:val="center"/>
        <w:tblLook w:val="04A0" w:firstRow="1" w:lastRow="0" w:firstColumn="1" w:lastColumn="0" w:noHBand="0" w:noVBand="1"/>
      </w:tblPr>
      <w:tblGrid>
        <w:gridCol w:w="4444"/>
        <w:gridCol w:w="1003"/>
        <w:gridCol w:w="1003"/>
      </w:tblGrid>
      <w:tr w:rsidR="001F21D2" w:rsidRPr="00533642" w14:paraId="0D326197" w14:textId="77777777" w:rsidTr="005A7652">
        <w:trPr>
          <w:trHeight w:val="290"/>
          <w:jc w:val="center"/>
        </w:trPr>
        <w:tc>
          <w:tcPr>
            <w:tcW w:w="44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70995"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14:paraId="5417487C"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2014/15</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14:paraId="1C448F19"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2015/16</w:t>
            </w:r>
          </w:p>
        </w:tc>
      </w:tr>
      <w:tr w:rsidR="001F21D2" w:rsidRPr="00533642" w14:paraId="2F692AE3" w14:textId="77777777" w:rsidTr="005A7652">
        <w:trPr>
          <w:trHeight w:val="290"/>
          <w:jc w:val="center"/>
        </w:trPr>
        <w:tc>
          <w:tcPr>
            <w:tcW w:w="4444" w:type="dxa"/>
            <w:tcBorders>
              <w:top w:val="nil"/>
              <w:left w:val="single" w:sz="4" w:space="0" w:color="auto"/>
              <w:bottom w:val="single" w:sz="4" w:space="0" w:color="auto"/>
              <w:right w:val="single" w:sz="4" w:space="0" w:color="auto"/>
            </w:tcBorders>
            <w:shd w:val="clear" w:color="auto" w:fill="auto"/>
            <w:noWrap/>
            <w:vAlign w:val="bottom"/>
            <w:hideMark/>
          </w:tcPr>
          <w:p w14:paraId="60D69779"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Kindergarten </w:t>
            </w:r>
            <w:r>
              <w:rPr>
                <w:rFonts w:ascii="Garamond" w:hAnsi="Garamond"/>
                <w:sz w:val="20"/>
                <w:szCs w:val="20"/>
              </w:rPr>
              <w:t>(Gross)</w:t>
            </w:r>
          </w:p>
        </w:tc>
        <w:tc>
          <w:tcPr>
            <w:tcW w:w="1003" w:type="dxa"/>
            <w:tcBorders>
              <w:top w:val="nil"/>
              <w:left w:val="nil"/>
              <w:bottom w:val="single" w:sz="4" w:space="0" w:color="auto"/>
              <w:right w:val="single" w:sz="4" w:space="0" w:color="auto"/>
            </w:tcBorders>
            <w:shd w:val="clear" w:color="auto" w:fill="auto"/>
            <w:noWrap/>
            <w:vAlign w:val="bottom"/>
            <w:hideMark/>
          </w:tcPr>
          <w:p w14:paraId="237DF0F3"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129%</w:t>
            </w:r>
          </w:p>
        </w:tc>
        <w:tc>
          <w:tcPr>
            <w:tcW w:w="1003" w:type="dxa"/>
            <w:tcBorders>
              <w:top w:val="nil"/>
              <w:left w:val="nil"/>
              <w:bottom w:val="single" w:sz="4" w:space="0" w:color="auto"/>
              <w:right w:val="single" w:sz="4" w:space="0" w:color="auto"/>
            </w:tcBorders>
            <w:shd w:val="clear" w:color="auto" w:fill="auto"/>
            <w:noWrap/>
            <w:vAlign w:val="bottom"/>
            <w:hideMark/>
          </w:tcPr>
          <w:p w14:paraId="319154A6"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124%</w:t>
            </w:r>
          </w:p>
        </w:tc>
      </w:tr>
      <w:tr w:rsidR="001F21D2" w:rsidRPr="00533642" w14:paraId="54E8B812" w14:textId="77777777" w:rsidTr="005A7652">
        <w:trPr>
          <w:trHeight w:val="290"/>
          <w:jc w:val="center"/>
        </w:trPr>
        <w:tc>
          <w:tcPr>
            <w:tcW w:w="4444" w:type="dxa"/>
            <w:tcBorders>
              <w:top w:val="nil"/>
              <w:left w:val="single" w:sz="4" w:space="0" w:color="auto"/>
              <w:bottom w:val="single" w:sz="4" w:space="0" w:color="auto"/>
              <w:right w:val="single" w:sz="4" w:space="0" w:color="auto"/>
            </w:tcBorders>
            <w:shd w:val="clear" w:color="auto" w:fill="auto"/>
            <w:noWrap/>
            <w:vAlign w:val="bottom"/>
            <w:hideMark/>
          </w:tcPr>
          <w:p w14:paraId="709F2459"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Kindergarten </w:t>
            </w:r>
            <w:r>
              <w:rPr>
                <w:rFonts w:ascii="Garamond" w:hAnsi="Garamond"/>
                <w:sz w:val="20"/>
                <w:szCs w:val="20"/>
              </w:rPr>
              <w:t>(Net)</w:t>
            </w:r>
          </w:p>
        </w:tc>
        <w:tc>
          <w:tcPr>
            <w:tcW w:w="1003" w:type="dxa"/>
            <w:tcBorders>
              <w:top w:val="nil"/>
              <w:left w:val="nil"/>
              <w:bottom w:val="single" w:sz="4" w:space="0" w:color="auto"/>
              <w:right w:val="single" w:sz="4" w:space="0" w:color="auto"/>
            </w:tcBorders>
            <w:shd w:val="clear" w:color="auto" w:fill="auto"/>
            <w:noWrap/>
            <w:vAlign w:val="bottom"/>
            <w:hideMark/>
          </w:tcPr>
          <w:p w14:paraId="24425B07"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83%</w:t>
            </w:r>
          </w:p>
        </w:tc>
        <w:tc>
          <w:tcPr>
            <w:tcW w:w="1003" w:type="dxa"/>
            <w:tcBorders>
              <w:top w:val="nil"/>
              <w:left w:val="nil"/>
              <w:bottom w:val="single" w:sz="4" w:space="0" w:color="auto"/>
              <w:right w:val="single" w:sz="4" w:space="0" w:color="auto"/>
            </w:tcBorders>
            <w:shd w:val="clear" w:color="auto" w:fill="auto"/>
            <w:noWrap/>
            <w:vAlign w:val="bottom"/>
            <w:hideMark/>
          </w:tcPr>
          <w:p w14:paraId="20AAD637"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80%</w:t>
            </w:r>
          </w:p>
        </w:tc>
      </w:tr>
      <w:tr w:rsidR="001F21D2" w:rsidRPr="00533642" w14:paraId="2C445FA7" w14:textId="77777777" w:rsidTr="005A7652">
        <w:trPr>
          <w:trHeight w:val="290"/>
          <w:jc w:val="center"/>
        </w:trPr>
        <w:tc>
          <w:tcPr>
            <w:tcW w:w="4444" w:type="dxa"/>
            <w:tcBorders>
              <w:top w:val="nil"/>
              <w:left w:val="single" w:sz="4" w:space="0" w:color="auto"/>
              <w:bottom w:val="single" w:sz="4" w:space="0" w:color="auto"/>
              <w:right w:val="single" w:sz="4" w:space="0" w:color="auto"/>
            </w:tcBorders>
            <w:shd w:val="clear" w:color="auto" w:fill="auto"/>
            <w:noWrap/>
            <w:vAlign w:val="bottom"/>
            <w:hideMark/>
          </w:tcPr>
          <w:p w14:paraId="7EEA7E4D"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Primary </w:t>
            </w:r>
            <w:r>
              <w:rPr>
                <w:rFonts w:ascii="Garamond" w:hAnsi="Garamond"/>
                <w:sz w:val="20"/>
                <w:szCs w:val="20"/>
              </w:rPr>
              <w:t>(Gross)</w:t>
            </w:r>
          </w:p>
        </w:tc>
        <w:tc>
          <w:tcPr>
            <w:tcW w:w="1003" w:type="dxa"/>
            <w:tcBorders>
              <w:top w:val="nil"/>
              <w:left w:val="nil"/>
              <w:bottom w:val="single" w:sz="4" w:space="0" w:color="auto"/>
              <w:right w:val="single" w:sz="4" w:space="0" w:color="auto"/>
            </w:tcBorders>
            <w:shd w:val="clear" w:color="auto" w:fill="auto"/>
            <w:noWrap/>
            <w:vAlign w:val="bottom"/>
            <w:hideMark/>
          </w:tcPr>
          <w:p w14:paraId="04FC422B"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110%</w:t>
            </w:r>
          </w:p>
        </w:tc>
        <w:tc>
          <w:tcPr>
            <w:tcW w:w="1003" w:type="dxa"/>
            <w:tcBorders>
              <w:top w:val="nil"/>
              <w:left w:val="nil"/>
              <w:bottom w:val="single" w:sz="4" w:space="0" w:color="auto"/>
              <w:right w:val="single" w:sz="4" w:space="0" w:color="auto"/>
            </w:tcBorders>
            <w:shd w:val="clear" w:color="auto" w:fill="auto"/>
            <w:noWrap/>
            <w:vAlign w:val="bottom"/>
            <w:hideMark/>
          </w:tcPr>
          <w:p w14:paraId="5C831834"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111%</w:t>
            </w:r>
          </w:p>
        </w:tc>
      </w:tr>
      <w:tr w:rsidR="001F21D2" w:rsidRPr="00533642" w14:paraId="44D40FC2" w14:textId="77777777" w:rsidTr="005A7652">
        <w:trPr>
          <w:trHeight w:val="290"/>
          <w:jc w:val="center"/>
        </w:trPr>
        <w:tc>
          <w:tcPr>
            <w:tcW w:w="4444" w:type="dxa"/>
            <w:tcBorders>
              <w:top w:val="nil"/>
              <w:left w:val="single" w:sz="4" w:space="0" w:color="auto"/>
              <w:bottom w:val="single" w:sz="4" w:space="0" w:color="auto"/>
              <w:right w:val="single" w:sz="4" w:space="0" w:color="auto"/>
            </w:tcBorders>
            <w:shd w:val="clear" w:color="auto" w:fill="auto"/>
            <w:noWrap/>
            <w:vAlign w:val="bottom"/>
            <w:hideMark/>
          </w:tcPr>
          <w:p w14:paraId="56165E90"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 xml:space="preserve">Primary </w:t>
            </w:r>
            <w:r>
              <w:rPr>
                <w:rFonts w:ascii="Garamond" w:hAnsi="Garamond"/>
                <w:sz w:val="20"/>
                <w:szCs w:val="20"/>
              </w:rPr>
              <w:t>(Net)</w:t>
            </w:r>
          </w:p>
        </w:tc>
        <w:tc>
          <w:tcPr>
            <w:tcW w:w="1003" w:type="dxa"/>
            <w:tcBorders>
              <w:top w:val="nil"/>
              <w:left w:val="nil"/>
              <w:bottom w:val="single" w:sz="4" w:space="0" w:color="auto"/>
              <w:right w:val="single" w:sz="4" w:space="0" w:color="auto"/>
            </w:tcBorders>
            <w:shd w:val="clear" w:color="auto" w:fill="auto"/>
            <w:noWrap/>
            <w:vAlign w:val="bottom"/>
            <w:hideMark/>
          </w:tcPr>
          <w:p w14:paraId="33368C6F"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91%</w:t>
            </w:r>
          </w:p>
        </w:tc>
        <w:tc>
          <w:tcPr>
            <w:tcW w:w="1003" w:type="dxa"/>
            <w:tcBorders>
              <w:top w:val="nil"/>
              <w:left w:val="nil"/>
              <w:bottom w:val="single" w:sz="4" w:space="0" w:color="auto"/>
              <w:right w:val="single" w:sz="4" w:space="0" w:color="auto"/>
            </w:tcBorders>
            <w:shd w:val="clear" w:color="auto" w:fill="auto"/>
            <w:noWrap/>
            <w:vAlign w:val="bottom"/>
            <w:hideMark/>
          </w:tcPr>
          <w:p w14:paraId="4EB65B29"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92%</w:t>
            </w:r>
          </w:p>
        </w:tc>
      </w:tr>
      <w:tr w:rsidR="001F21D2" w:rsidRPr="00533642" w14:paraId="0B70E039" w14:textId="77777777" w:rsidTr="005A7652">
        <w:trPr>
          <w:trHeight w:val="290"/>
          <w:jc w:val="center"/>
        </w:trPr>
        <w:tc>
          <w:tcPr>
            <w:tcW w:w="4444" w:type="dxa"/>
            <w:tcBorders>
              <w:top w:val="nil"/>
              <w:left w:val="single" w:sz="4" w:space="0" w:color="auto"/>
              <w:bottom w:val="single" w:sz="4" w:space="0" w:color="auto"/>
              <w:right w:val="single" w:sz="4" w:space="0" w:color="auto"/>
            </w:tcBorders>
            <w:shd w:val="clear" w:color="auto" w:fill="auto"/>
            <w:noWrap/>
            <w:vAlign w:val="bottom"/>
            <w:hideMark/>
          </w:tcPr>
          <w:p w14:paraId="166D537B" w14:textId="77777777" w:rsidR="001F21D2" w:rsidRPr="00D775DD" w:rsidRDefault="001F21D2" w:rsidP="005A7652">
            <w:pPr>
              <w:keepNext/>
              <w:spacing w:after="120"/>
              <w:rPr>
                <w:rFonts w:ascii="Garamond" w:hAnsi="Garamond"/>
                <w:sz w:val="20"/>
                <w:szCs w:val="20"/>
              </w:rPr>
            </w:pPr>
            <w:r w:rsidRPr="00533642">
              <w:rPr>
                <w:rFonts w:ascii="Garamond" w:hAnsi="Garamond"/>
                <w:sz w:val="20"/>
                <w:szCs w:val="20"/>
              </w:rPr>
              <w:t>Junior High School</w:t>
            </w:r>
            <w:r w:rsidRPr="00D775DD">
              <w:rPr>
                <w:rFonts w:ascii="Garamond" w:hAnsi="Garamond"/>
                <w:sz w:val="20"/>
                <w:szCs w:val="20"/>
              </w:rPr>
              <w:t xml:space="preserve"> </w:t>
            </w:r>
            <w:r>
              <w:rPr>
                <w:rFonts w:ascii="Garamond" w:hAnsi="Garamond"/>
                <w:sz w:val="20"/>
                <w:szCs w:val="20"/>
              </w:rPr>
              <w:t>(Gross)</w:t>
            </w:r>
          </w:p>
        </w:tc>
        <w:tc>
          <w:tcPr>
            <w:tcW w:w="1003" w:type="dxa"/>
            <w:tcBorders>
              <w:top w:val="nil"/>
              <w:left w:val="nil"/>
              <w:bottom w:val="single" w:sz="4" w:space="0" w:color="auto"/>
              <w:right w:val="single" w:sz="4" w:space="0" w:color="auto"/>
            </w:tcBorders>
            <w:shd w:val="clear" w:color="auto" w:fill="auto"/>
            <w:noWrap/>
            <w:vAlign w:val="bottom"/>
            <w:hideMark/>
          </w:tcPr>
          <w:p w14:paraId="7B284C87"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85%</w:t>
            </w:r>
          </w:p>
        </w:tc>
        <w:tc>
          <w:tcPr>
            <w:tcW w:w="1003" w:type="dxa"/>
            <w:tcBorders>
              <w:top w:val="nil"/>
              <w:left w:val="nil"/>
              <w:bottom w:val="single" w:sz="4" w:space="0" w:color="auto"/>
              <w:right w:val="single" w:sz="4" w:space="0" w:color="auto"/>
            </w:tcBorders>
            <w:shd w:val="clear" w:color="auto" w:fill="auto"/>
            <w:noWrap/>
            <w:vAlign w:val="bottom"/>
            <w:hideMark/>
          </w:tcPr>
          <w:p w14:paraId="540CD5BF"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88%</w:t>
            </w:r>
          </w:p>
        </w:tc>
      </w:tr>
      <w:tr w:rsidR="001F21D2" w:rsidRPr="00533642" w14:paraId="45C71B92" w14:textId="77777777" w:rsidTr="005A7652">
        <w:trPr>
          <w:trHeight w:val="290"/>
          <w:jc w:val="center"/>
        </w:trPr>
        <w:tc>
          <w:tcPr>
            <w:tcW w:w="44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6AA66" w14:textId="77777777" w:rsidR="001F21D2" w:rsidRPr="00D775DD" w:rsidRDefault="001F21D2" w:rsidP="005A7652">
            <w:pPr>
              <w:keepNext/>
              <w:spacing w:after="120"/>
              <w:rPr>
                <w:rFonts w:ascii="Garamond" w:hAnsi="Garamond"/>
                <w:sz w:val="20"/>
                <w:szCs w:val="20"/>
              </w:rPr>
            </w:pPr>
            <w:r w:rsidRPr="00533642">
              <w:rPr>
                <w:rFonts w:ascii="Garamond" w:hAnsi="Garamond"/>
                <w:sz w:val="20"/>
                <w:szCs w:val="20"/>
              </w:rPr>
              <w:t>Junior High School</w:t>
            </w:r>
            <w:r w:rsidRPr="00D775DD">
              <w:rPr>
                <w:rFonts w:ascii="Garamond" w:hAnsi="Garamond"/>
                <w:sz w:val="20"/>
                <w:szCs w:val="20"/>
              </w:rPr>
              <w:t xml:space="preserve"> </w:t>
            </w:r>
            <w:r>
              <w:rPr>
                <w:rFonts w:ascii="Garamond" w:hAnsi="Garamond"/>
                <w:sz w:val="20"/>
                <w:szCs w:val="20"/>
              </w:rPr>
              <w:t>(Net)</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14:paraId="0BD3CDAB"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49%</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14:paraId="5785DEF4"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50%</w:t>
            </w:r>
          </w:p>
        </w:tc>
      </w:tr>
      <w:tr w:rsidR="001F21D2" w:rsidRPr="00533642" w14:paraId="5956D9B8" w14:textId="77777777" w:rsidTr="005A7652">
        <w:trPr>
          <w:trHeight w:val="290"/>
          <w:jc w:val="center"/>
        </w:trPr>
        <w:tc>
          <w:tcPr>
            <w:tcW w:w="44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797D38" w14:textId="77777777" w:rsidR="001F21D2" w:rsidRPr="00D775DD" w:rsidRDefault="001F21D2" w:rsidP="005A7652">
            <w:pPr>
              <w:keepNext/>
              <w:spacing w:after="120"/>
              <w:rPr>
                <w:rFonts w:ascii="Garamond" w:hAnsi="Garamond"/>
                <w:sz w:val="20"/>
                <w:szCs w:val="20"/>
              </w:rPr>
            </w:pPr>
            <w:r w:rsidRPr="00533642">
              <w:rPr>
                <w:rFonts w:ascii="Garamond" w:hAnsi="Garamond"/>
                <w:sz w:val="20"/>
                <w:szCs w:val="20"/>
              </w:rPr>
              <w:t>Senior High School</w:t>
            </w:r>
            <w:r w:rsidRPr="00D775DD">
              <w:rPr>
                <w:rFonts w:ascii="Garamond" w:hAnsi="Garamond"/>
                <w:sz w:val="20"/>
                <w:szCs w:val="20"/>
              </w:rPr>
              <w:t xml:space="preserve"> </w:t>
            </w:r>
            <w:r>
              <w:rPr>
                <w:rFonts w:ascii="Garamond" w:hAnsi="Garamond"/>
                <w:sz w:val="20"/>
                <w:szCs w:val="20"/>
              </w:rPr>
              <w:t>(Gross)</w:t>
            </w:r>
            <w:r>
              <w:rPr>
                <w:rStyle w:val="FootnoteReference"/>
                <w:rFonts w:ascii="Garamond" w:hAnsi="Garamond"/>
                <w:sz w:val="20"/>
                <w:szCs w:val="20"/>
              </w:rPr>
              <w:footnoteReference w:id="119"/>
            </w:r>
          </w:p>
        </w:tc>
        <w:tc>
          <w:tcPr>
            <w:tcW w:w="1003" w:type="dxa"/>
            <w:tcBorders>
              <w:top w:val="single" w:sz="4" w:space="0" w:color="auto"/>
              <w:left w:val="nil"/>
              <w:bottom w:val="single" w:sz="4" w:space="0" w:color="auto"/>
              <w:right w:val="single" w:sz="4" w:space="0" w:color="auto"/>
            </w:tcBorders>
            <w:shd w:val="clear" w:color="auto" w:fill="auto"/>
            <w:noWrap/>
            <w:vAlign w:val="bottom"/>
          </w:tcPr>
          <w:p w14:paraId="09C58445"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46%</w:t>
            </w:r>
          </w:p>
        </w:tc>
        <w:tc>
          <w:tcPr>
            <w:tcW w:w="1003" w:type="dxa"/>
            <w:tcBorders>
              <w:top w:val="single" w:sz="4" w:space="0" w:color="auto"/>
              <w:left w:val="nil"/>
              <w:bottom w:val="single" w:sz="4" w:space="0" w:color="auto"/>
              <w:right w:val="single" w:sz="4" w:space="0" w:color="auto"/>
            </w:tcBorders>
            <w:shd w:val="clear" w:color="auto" w:fill="auto"/>
            <w:noWrap/>
            <w:vAlign w:val="bottom"/>
          </w:tcPr>
          <w:p w14:paraId="79700403"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50%</w:t>
            </w:r>
          </w:p>
        </w:tc>
      </w:tr>
      <w:tr w:rsidR="001F21D2" w:rsidRPr="00533642" w14:paraId="230BB14B" w14:textId="77777777" w:rsidTr="005A7652">
        <w:trPr>
          <w:trHeight w:val="290"/>
          <w:jc w:val="center"/>
        </w:trPr>
        <w:tc>
          <w:tcPr>
            <w:tcW w:w="44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EB5576" w14:textId="77777777" w:rsidR="001F21D2" w:rsidRPr="00D775DD" w:rsidRDefault="001F21D2" w:rsidP="005A7652">
            <w:pPr>
              <w:keepNext/>
              <w:spacing w:after="120"/>
              <w:rPr>
                <w:rFonts w:ascii="Garamond" w:hAnsi="Garamond"/>
                <w:sz w:val="20"/>
                <w:szCs w:val="20"/>
              </w:rPr>
            </w:pPr>
            <w:r w:rsidRPr="00533642">
              <w:rPr>
                <w:rFonts w:ascii="Garamond" w:hAnsi="Garamond"/>
                <w:sz w:val="20"/>
                <w:szCs w:val="20"/>
              </w:rPr>
              <w:t>Senior High School</w:t>
            </w:r>
            <w:r w:rsidRPr="00D775DD">
              <w:rPr>
                <w:rFonts w:ascii="Garamond" w:hAnsi="Garamond"/>
                <w:sz w:val="20"/>
                <w:szCs w:val="20"/>
              </w:rPr>
              <w:t xml:space="preserve"> </w:t>
            </w:r>
            <w:r>
              <w:rPr>
                <w:rFonts w:ascii="Garamond" w:hAnsi="Garamond"/>
                <w:sz w:val="20"/>
                <w:szCs w:val="20"/>
              </w:rPr>
              <w:t>(Net)</w:t>
            </w:r>
          </w:p>
        </w:tc>
        <w:tc>
          <w:tcPr>
            <w:tcW w:w="1003" w:type="dxa"/>
            <w:tcBorders>
              <w:top w:val="single" w:sz="4" w:space="0" w:color="auto"/>
              <w:left w:val="nil"/>
              <w:bottom w:val="single" w:sz="4" w:space="0" w:color="auto"/>
              <w:right w:val="single" w:sz="4" w:space="0" w:color="auto"/>
            </w:tcBorders>
            <w:shd w:val="clear" w:color="auto" w:fill="auto"/>
            <w:noWrap/>
            <w:vAlign w:val="bottom"/>
          </w:tcPr>
          <w:p w14:paraId="263A861B"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23%</w:t>
            </w:r>
          </w:p>
        </w:tc>
        <w:tc>
          <w:tcPr>
            <w:tcW w:w="1003" w:type="dxa"/>
            <w:tcBorders>
              <w:top w:val="single" w:sz="4" w:space="0" w:color="auto"/>
              <w:left w:val="nil"/>
              <w:bottom w:val="single" w:sz="4" w:space="0" w:color="auto"/>
              <w:right w:val="single" w:sz="4" w:space="0" w:color="auto"/>
            </w:tcBorders>
            <w:shd w:val="clear" w:color="auto" w:fill="auto"/>
            <w:noWrap/>
            <w:vAlign w:val="bottom"/>
          </w:tcPr>
          <w:p w14:paraId="2E378590" w14:textId="77777777" w:rsidR="001F21D2" w:rsidRPr="00D775DD" w:rsidRDefault="001F21D2" w:rsidP="005A7652">
            <w:pPr>
              <w:keepNext/>
              <w:spacing w:after="120"/>
              <w:rPr>
                <w:rFonts w:ascii="Garamond" w:hAnsi="Garamond"/>
                <w:sz w:val="20"/>
                <w:szCs w:val="20"/>
              </w:rPr>
            </w:pPr>
            <w:r w:rsidRPr="00D775DD">
              <w:rPr>
                <w:rFonts w:ascii="Garamond" w:hAnsi="Garamond"/>
                <w:sz w:val="20"/>
                <w:szCs w:val="20"/>
              </w:rPr>
              <w:t>25%</w:t>
            </w:r>
          </w:p>
        </w:tc>
      </w:tr>
    </w:tbl>
    <w:p w14:paraId="129D44C5" w14:textId="77777777" w:rsidR="001F21D2" w:rsidRPr="00533642" w:rsidRDefault="001F21D2" w:rsidP="001F21D2">
      <w:pPr>
        <w:ind w:left="720" w:firstLine="720"/>
        <w:rPr>
          <w:rFonts w:ascii="Garamond" w:hAnsi="Garamond"/>
          <w:sz w:val="20"/>
          <w:szCs w:val="20"/>
        </w:rPr>
      </w:pPr>
      <w:r w:rsidRPr="00D775DD">
        <w:rPr>
          <w:rFonts w:ascii="Garamond" w:hAnsi="Garamond"/>
          <w:i/>
          <w:sz w:val="20"/>
          <w:szCs w:val="20"/>
        </w:rPr>
        <w:t>Source</w:t>
      </w:r>
      <w:r w:rsidRPr="00D775DD">
        <w:rPr>
          <w:rFonts w:ascii="Garamond" w:hAnsi="Garamond"/>
          <w:sz w:val="20"/>
          <w:szCs w:val="20"/>
        </w:rPr>
        <w:t xml:space="preserve">: </w:t>
      </w:r>
      <w:r w:rsidRPr="00533642">
        <w:rPr>
          <w:rFonts w:ascii="Garamond" w:hAnsi="Garamond"/>
          <w:sz w:val="20"/>
          <w:szCs w:val="20"/>
        </w:rPr>
        <w:t>Ministry of Education, 2016</w:t>
      </w:r>
    </w:p>
    <w:p w14:paraId="3663E7B9" w14:textId="77777777" w:rsidR="001F21D2" w:rsidRDefault="001F21D2" w:rsidP="00724BAB">
      <w:pPr>
        <w:pStyle w:val="ListParagraph"/>
        <w:numPr>
          <w:ilvl w:val="0"/>
          <w:numId w:val="9"/>
        </w:numPr>
      </w:pPr>
      <w:r w:rsidRPr="00D775DD">
        <w:rPr>
          <w:b/>
        </w:rPr>
        <w:t>The MoE is striving to expand access to SHS through targeted financial aid and the construction of new schools.</w:t>
      </w:r>
      <w:r w:rsidRPr="00D775DD">
        <w:t xml:space="preserve"> In September 2015, </w:t>
      </w:r>
      <w:r w:rsidRPr="00533642">
        <w:t xml:space="preserve">an initial </w:t>
      </w:r>
      <w:r w:rsidRPr="00D775DD">
        <w:t>disbursement of G</w:t>
      </w:r>
      <w:r w:rsidRPr="00533642">
        <w:t>H</w:t>
      </w:r>
      <w:r w:rsidRPr="00533642">
        <w:rPr>
          <w:rFonts w:cs="Times"/>
        </w:rPr>
        <w:t>¢</w:t>
      </w:r>
      <w:r w:rsidRPr="00D775DD">
        <w:t xml:space="preserve"> 12,178,544 </w:t>
      </w:r>
      <w:r w:rsidRPr="00533642">
        <w:t xml:space="preserve">in financial aid </w:t>
      </w:r>
      <w:r w:rsidRPr="00D775DD">
        <w:t xml:space="preserve">was </w:t>
      </w:r>
      <w:r w:rsidRPr="00533642">
        <w:t>delivered</w:t>
      </w:r>
      <w:r w:rsidRPr="00D775DD">
        <w:t xml:space="preserve"> to 320,488 day students across the country for the first term of the 2015/16 academic year.</w:t>
      </w:r>
      <w:r w:rsidRPr="00533642">
        <w:rPr>
          <w:rStyle w:val="FootnoteReference"/>
        </w:rPr>
        <w:footnoteReference w:id="120"/>
      </w:r>
      <w:r w:rsidRPr="00D775DD">
        <w:t xml:space="preserve"> By October 2019, </w:t>
      </w:r>
      <w:r w:rsidRPr="00533642">
        <w:t xml:space="preserve">the government is planning to award three-year SHS scholarships to </w:t>
      </w:r>
      <w:r w:rsidRPr="00D775DD">
        <w:t>10,400 students</w:t>
      </w:r>
      <w:r w:rsidRPr="00533642">
        <w:t>,</w:t>
      </w:r>
      <w:r w:rsidRPr="00D775DD">
        <w:t xml:space="preserve"> 60 percent</w:t>
      </w:r>
      <w:r w:rsidRPr="00533642">
        <w:t xml:space="preserve"> of whom</w:t>
      </w:r>
      <w:r w:rsidRPr="00D775DD">
        <w:t xml:space="preserve"> </w:t>
      </w:r>
      <w:r>
        <w:t>will</w:t>
      </w:r>
      <w:r w:rsidRPr="00D775DD">
        <w:t xml:space="preserve"> be girls</w:t>
      </w:r>
      <w:r>
        <w:t xml:space="preserve">. The authorities also plan to </w:t>
      </w:r>
      <w:r w:rsidRPr="00533642">
        <w:t xml:space="preserve">fund </w:t>
      </w:r>
      <w:r>
        <w:t xml:space="preserve">the construction of </w:t>
      </w:r>
      <w:r w:rsidRPr="00533642">
        <w:t xml:space="preserve">23 new </w:t>
      </w:r>
      <w:r>
        <w:t xml:space="preserve">high </w:t>
      </w:r>
      <w:r w:rsidRPr="00533642">
        <w:t xml:space="preserve">schools as part of </w:t>
      </w:r>
      <w:r w:rsidRPr="00D775DD">
        <w:t xml:space="preserve">the Secondary Education Improvement Project. </w:t>
      </w:r>
      <w:r w:rsidRPr="00533642">
        <w:t>Meanwhile</w:t>
      </w:r>
      <w:r w:rsidRPr="00D775DD">
        <w:t xml:space="preserve">, the Community Day Senior High School Project </w:t>
      </w:r>
      <w:r w:rsidRPr="00533642">
        <w:t>aims</w:t>
      </w:r>
      <w:r w:rsidRPr="00D775DD">
        <w:t xml:space="preserve"> to build 200 new </w:t>
      </w:r>
      <w:r>
        <w:t>SHSs</w:t>
      </w:r>
      <w:r w:rsidRPr="00533642">
        <w:t>,</w:t>
      </w:r>
      <w:r w:rsidRPr="00D775DD">
        <w:t xml:space="preserve"> 50 of which are already </w:t>
      </w:r>
      <w:r w:rsidRPr="00533642">
        <w:t xml:space="preserve">under construction. </w:t>
      </w:r>
      <w:r>
        <w:t xml:space="preserve">The government is considering converting 20 percent of these to TVET schools. </w:t>
      </w:r>
    </w:p>
    <w:p w14:paraId="31BD79DA" w14:textId="77777777" w:rsidR="001F21D2" w:rsidRPr="00C8170B" w:rsidRDefault="00657AA2" w:rsidP="00CC6F65">
      <w:pPr>
        <w:pStyle w:val="Caption"/>
        <w:rPr>
          <w:lang w:val="en-US"/>
        </w:rPr>
      </w:pPr>
      <w:r w:rsidRPr="00C8170B">
        <w:rPr>
          <w:lang w:val="en-US"/>
        </w:rPr>
        <w:lastRenderedPageBreak/>
        <w:t>Figure</w:t>
      </w:r>
      <w:r w:rsidR="001F21D2" w:rsidRPr="00C8170B">
        <w:rPr>
          <w:lang w:val="en-US"/>
        </w:rPr>
        <w:t xml:space="preserve"> </w:t>
      </w:r>
      <w:r w:rsidR="005C0067" w:rsidRPr="00C8170B">
        <w:rPr>
          <w:lang w:val="en-US"/>
        </w:rPr>
        <w:fldChar w:fldCharType="begin"/>
      </w:r>
      <w:r w:rsidR="005C0067" w:rsidRPr="00C8170B">
        <w:rPr>
          <w:lang w:val="en-US"/>
        </w:rPr>
        <w:instrText xml:space="preserve"> STYLEREF 1 \s </w:instrText>
      </w:r>
      <w:r w:rsidR="005C0067" w:rsidRPr="00C8170B">
        <w:rPr>
          <w:lang w:val="en-US"/>
        </w:rPr>
        <w:fldChar w:fldCharType="separate"/>
      </w:r>
      <w:r w:rsidR="007B1CE6">
        <w:rPr>
          <w:noProof/>
          <w:lang w:val="en-US"/>
        </w:rPr>
        <w:t>4</w:t>
      </w:r>
      <w:r w:rsidR="005C0067" w:rsidRPr="00C8170B">
        <w:rPr>
          <w:lang w:val="en-US"/>
        </w:rPr>
        <w:fldChar w:fldCharType="end"/>
      </w:r>
      <w:r w:rsidR="005C0067" w:rsidRPr="00C8170B">
        <w:rPr>
          <w:lang w:val="en-US"/>
        </w:rPr>
        <w:t>.</w:t>
      </w:r>
      <w:r w:rsidR="005C0067" w:rsidRPr="00C8170B">
        <w:rPr>
          <w:lang w:val="en-US"/>
        </w:rPr>
        <w:fldChar w:fldCharType="begin"/>
      </w:r>
      <w:r w:rsidR="005C0067" w:rsidRPr="00C8170B">
        <w:rPr>
          <w:lang w:val="en-US"/>
        </w:rPr>
        <w:instrText xml:space="preserve"> SEQ Figure \* ARABIC \s 1 </w:instrText>
      </w:r>
      <w:r w:rsidR="005C0067" w:rsidRPr="00C8170B">
        <w:rPr>
          <w:lang w:val="en-US"/>
        </w:rPr>
        <w:fldChar w:fldCharType="separate"/>
      </w:r>
      <w:r w:rsidR="007B1CE6">
        <w:rPr>
          <w:noProof/>
          <w:lang w:val="en-US"/>
        </w:rPr>
        <w:t>6</w:t>
      </w:r>
      <w:r w:rsidR="005C0067" w:rsidRPr="00C8170B">
        <w:rPr>
          <w:lang w:val="en-US"/>
        </w:rPr>
        <w:fldChar w:fldCharType="end"/>
      </w:r>
      <w:r w:rsidR="001F21D2" w:rsidRPr="00C8170B">
        <w:rPr>
          <w:lang w:val="en-US"/>
        </w:rPr>
        <w:t>: Share of Students Enrolled in Private Schools</w:t>
      </w:r>
    </w:p>
    <w:p w14:paraId="4CF86B46" w14:textId="77777777" w:rsidR="001F21D2" w:rsidRPr="00533642" w:rsidRDefault="00464F3B" w:rsidP="001F21D2">
      <w:pPr>
        <w:spacing w:after="0"/>
        <w:jc w:val="center"/>
        <w:rPr>
          <w:rFonts w:ascii="Garamond" w:hAnsi="Garamond"/>
        </w:rPr>
      </w:pPr>
      <w:r>
        <w:rPr>
          <w:noProof/>
        </w:rPr>
        <w:drawing>
          <wp:inline distT="0" distB="0" distL="0" distR="0" wp14:anchorId="030254F1" wp14:editId="0B814CCA">
            <wp:extent cx="4572000" cy="27432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138366A" w14:textId="77777777" w:rsidR="001F21D2" w:rsidRPr="00533642" w:rsidRDefault="001F21D2" w:rsidP="001F21D2">
      <w:pPr>
        <w:ind w:left="720" w:firstLine="720"/>
        <w:rPr>
          <w:rFonts w:ascii="Garamond" w:hAnsi="Garamond"/>
          <w:sz w:val="20"/>
          <w:szCs w:val="20"/>
        </w:rPr>
      </w:pPr>
      <w:r w:rsidRPr="00D775DD">
        <w:rPr>
          <w:rFonts w:ascii="Garamond" w:hAnsi="Garamond"/>
          <w:i/>
          <w:sz w:val="20"/>
          <w:szCs w:val="20"/>
        </w:rPr>
        <w:t>Source</w:t>
      </w:r>
      <w:r w:rsidRPr="00D775DD">
        <w:rPr>
          <w:rFonts w:ascii="Garamond" w:hAnsi="Garamond"/>
          <w:sz w:val="20"/>
          <w:szCs w:val="20"/>
        </w:rPr>
        <w:t>: Ministry of Education, 2016</w:t>
      </w:r>
    </w:p>
    <w:p w14:paraId="148C867C" w14:textId="77777777" w:rsidR="001F21D2" w:rsidRPr="009D6C74" w:rsidRDefault="001F21D2" w:rsidP="00724BAB">
      <w:pPr>
        <w:pStyle w:val="ListParagraph"/>
        <w:numPr>
          <w:ilvl w:val="0"/>
          <w:numId w:val="9"/>
        </w:numPr>
      </w:pPr>
      <w:r w:rsidRPr="009D6C74">
        <w:rPr>
          <w:b/>
        </w:rPr>
        <w:t>Additional education funding is provided to districts defined as “deprived” based on indicator</w:t>
      </w:r>
      <w:r>
        <w:rPr>
          <w:b/>
        </w:rPr>
        <w:t>s</w:t>
      </w:r>
      <w:r w:rsidRPr="009D6C74">
        <w:rPr>
          <w:b/>
        </w:rPr>
        <w:t xml:space="preserve"> o</w:t>
      </w:r>
      <w:r>
        <w:rPr>
          <w:b/>
        </w:rPr>
        <w:t>f</w:t>
      </w:r>
      <w:r w:rsidRPr="009D6C74">
        <w:rPr>
          <w:b/>
        </w:rPr>
        <w:t xml:space="preserve"> access, equity</w:t>
      </w:r>
      <w:r w:rsidR="00C25A17">
        <w:rPr>
          <w:b/>
        </w:rPr>
        <w:t>,</w:t>
      </w:r>
      <w:r w:rsidRPr="009D6C74">
        <w:rPr>
          <w:b/>
        </w:rPr>
        <w:t xml:space="preserve"> and quality</w:t>
      </w:r>
      <w:r w:rsidRPr="009D6C74">
        <w:t>.</w:t>
      </w:r>
      <w:r w:rsidRPr="009D6C74">
        <w:rPr>
          <w:rStyle w:val="FootnoteReference"/>
          <w:b/>
        </w:rPr>
        <w:footnoteReference w:id="121"/>
      </w:r>
      <w:r w:rsidRPr="009D6C74">
        <w:t xml:space="preserve"> </w:t>
      </w:r>
      <w:r>
        <w:t>Seventy-five of Ghana’s 216 districts are classified as deprived</w:t>
      </w:r>
      <w:r w:rsidRPr="009D6C74">
        <w:t>. For the 2015/16 academic year, enrollment rates</w:t>
      </w:r>
      <w:r>
        <w:t xml:space="preserve"> in</w:t>
      </w:r>
      <w:r w:rsidRPr="009D6C74">
        <w:t xml:space="preserve"> deprived districts </w:t>
      </w:r>
      <w:r>
        <w:t>were above</w:t>
      </w:r>
      <w:r w:rsidRPr="009D6C74">
        <w:t xml:space="preserve"> the national average at the kindergarten and primary levels, but </w:t>
      </w:r>
      <w:r>
        <w:t>below the average</w:t>
      </w:r>
      <w:r w:rsidRPr="009D6C74">
        <w:t xml:space="preserve"> at the JHS level (</w:t>
      </w:r>
      <w:r w:rsidR="00A015A0">
        <w:fldChar w:fldCharType="begin"/>
      </w:r>
      <w:r w:rsidR="00A015A0">
        <w:instrText xml:space="preserve"> REF _Ref472430345 \h </w:instrText>
      </w:r>
      <w:r w:rsidR="00A015A0">
        <w:fldChar w:fldCharType="separate"/>
      </w:r>
      <w:r w:rsidR="007B1CE6" w:rsidRPr="00C8170B">
        <w:t xml:space="preserve">Table </w:t>
      </w:r>
      <w:r w:rsidR="007B1CE6">
        <w:rPr>
          <w:noProof/>
        </w:rPr>
        <w:t>4</w:t>
      </w:r>
      <w:r w:rsidR="007B1CE6" w:rsidRPr="00C8170B">
        <w:t>.</w:t>
      </w:r>
      <w:r w:rsidR="007B1CE6">
        <w:rPr>
          <w:noProof/>
        </w:rPr>
        <w:t>5</w:t>
      </w:r>
      <w:r w:rsidR="00A015A0">
        <w:fldChar w:fldCharType="end"/>
      </w:r>
      <w:r w:rsidRPr="009D6C74">
        <w:t xml:space="preserve">). </w:t>
      </w:r>
      <w:r>
        <w:t>W</w:t>
      </w:r>
      <w:r w:rsidRPr="009D6C74">
        <w:t>hile deprived districts outperformed the national average in kindergarten and primary enro</w:t>
      </w:r>
      <w:r>
        <w:t>l</w:t>
      </w:r>
      <w:r w:rsidRPr="009D6C74">
        <w:t>lment, they began from a much lower base. A</w:t>
      </w:r>
      <w:r>
        <w:t xml:space="preserve"> recent</w:t>
      </w:r>
      <w:r w:rsidRPr="009D6C74">
        <w:t xml:space="preserve"> impact evaluation indicated that </w:t>
      </w:r>
      <w:r>
        <w:t xml:space="preserve">deprived districts had </w:t>
      </w:r>
      <w:r w:rsidRPr="009D6C74">
        <w:t xml:space="preserve">improved </w:t>
      </w:r>
      <w:r>
        <w:t xml:space="preserve">their performance through better </w:t>
      </w:r>
      <w:r w:rsidRPr="009D6C74">
        <w:t>planning</w:t>
      </w:r>
      <w:r>
        <w:t xml:space="preserve"> and monitoring, as well as more precisely </w:t>
      </w:r>
      <w:r w:rsidRPr="009D6C74">
        <w:t>targeted funding.</w:t>
      </w:r>
      <w:r>
        <w:rPr>
          <w:rStyle w:val="FootnoteReference"/>
        </w:rPr>
        <w:footnoteReference w:id="122"/>
      </w:r>
    </w:p>
    <w:p w14:paraId="6E0FEDD4" w14:textId="77777777" w:rsidR="001F21D2" w:rsidRPr="00C8170B" w:rsidRDefault="00FD4313" w:rsidP="00FD4313">
      <w:pPr>
        <w:pStyle w:val="Caption"/>
        <w:rPr>
          <w:lang w:val="en-US"/>
        </w:rPr>
      </w:pPr>
      <w:bookmarkStart w:id="170" w:name="_Ref472430345"/>
      <w:bookmarkStart w:id="171" w:name="_Toc478837653"/>
      <w:r w:rsidRPr="00C8170B">
        <w:rPr>
          <w:lang w:val="en-US"/>
        </w:rPr>
        <w:lastRenderedPageBreak/>
        <w:t xml:space="preserve">Table </w:t>
      </w:r>
      <w:r w:rsidR="00500291" w:rsidRPr="00C8170B">
        <w:rPr>
          <w:lang w:val="en-US"/>
        </w:rPr>
        <w:fldChar w:fldCharType="begin"/>
      </w:r>
      <w:r w:rsidR="00500291" w:rsidRPr="00C8170B">
        <w:rPr>
          <w:lang w:val="en-US"/>
        </w:rPr>
        <w:instrText xml:space="preserve"> STYLEREF 1 \s </w:instrText>
      </w:r>
      <w:r w:rsidR="00500291" w:rsidRPr="00C8170B">
        <w:rPr>
          <w:lang w:val="en-US"/>
        </w:rPr>
        <w:fldChar w:fldCharType="separate"/>
      </w:r>
      <w:r w:rsidR="007B1CE6">
        <w:rPr>
          <w:noProof/>
          <w:lang w:val="en-US"/>
        </w:rPr>
        <w:t>4</w:t>
      </w:r>
      <w:r w:rsidR="00500291" w:rsidRPr="00C8170B">
        <w:rPr>
          <w:lang w:val="en-US"/>
        </w:rPr>
        <w:fldChar w:fldCharType="end"/>
      </w:r>
      <w:r w:rsidR="00500291" w:rsidRPr="00C8170B">
        <w:rPr>
          <w:lang w:val="en-US"/>
        </w:rPr>
        <w:t>.</w:t>
      </w:r>
      <w:r w:rsidR="00500291" w:rsidRPr="00C8170B">
        <w:rPr>
          <w:lang w:val="en-US"/>
        </w:rPr>
        <w:fldChar w:fldCharType="begin"/>
      </w:r>
      <w:r w:rsidR="00500291" w:rsidRPr="00C8170B">
        <w:rPr>
          <w:lang w:val="en-US"/>
        </w:rPr>
        <w:instrText xml:space="preserve"> SEQ Table \* ARABIC \s 1 </w:instrText>
      </w:r>
      <w:r w:rsidR="00500291" w:rsidRPr="00C8170B">
        <w:rPr>
          <w:lang w:val="en-US"/>
        </w:rPr>
        <w:fldChar w:fldCharType="separate"/>
      </w:r>
      <w:r w:rsidR="007B1CE6">
        <w:rPr>
          <w:noProof/>
          <w:lang w:val="en-US"/>
        </w:rPr>
        <w:t>5</w:t>
      </w:r>
      <w:r w:rsidR="00500291" w:rsidRPr="00C8170B">
        <w:rPr>
          <w:lang w:val="en-US"/>
        </w:rPr>
        <w:fldChar w:fldCharType="end"/>
      </w:r>
      <w:bookmarkEnd w:id="170"/>
      <w:r w:rsidR="001F21D2" w:rsidRPr="00C8170B">
        <w:rPr>
          <w:lang w:val="en-US"/>
        </w:rPr>
        <w:t>: GER and NER, National and Deprived-District Averages, 2015 (%)</w:t>
      </w:r>
      <w:bookmarkEnd w:id="171"/>
    </w:p>
    <w:tbl>
      <w:tblPr>
        <w:tblW w:w="9350" w:type="dxa"/>
        <w:jc w:val="center"/>
        <w:tblLook w:val="04A0" w:firstRow="1" w:lastRow="0" w:firstColumn="1" w:lastColumn="0" w:noHBand="0" w:noVBand="1"/>
      </w:tblPr>
      <w:tblGrid>
        <w:gridCol w:w="1615"/>
        <w:gridCol w:w="810"/>
        <w:gridCol w:w="810"/>
        <w:gridCol w:w="810"/>
        <w:gridCol w:w="810"/>
        <w:gridCol w:w="765"/>
        <w:gridCol w:w="746"/>
        <w:gridCol w:w="746"/>
        <w:gridCol w:w="746"/>
        <w:gridCol w:w="746"/>
        <w:gridCol w:w="746"/>
      </w:tblGrid>
      <w:tr w:rsidR="001F21D2" w:rsidRPr="00533642" w14:paraId="66FA98F1" w14:textId="77777777" w:rsidTr="005A7652">
        <w:trPr>
          <w:trHeight w:val="319"/>
          <w:jc w:val="center"/>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3D35A" w14:textId="77777777" w:rsidR="001F21D2" w:rsidRPr="005F6962" w:rsidRDefault="001F21D2" w:rsidP="005A7652">
            <w:pPr>
              <w:keepNext/>
              <w:spacing w:after="0"/>
              <w:jc w:val="center"/>
              <w:rPr>
                <w:rFonts w:ascii="Garamond" w:hAnsi="Garamond"/>
                <w:b/>
                <w:sz w:val="20"/>
                <w:szCs w:val="20"/>
              </w:rPr>
            </w:pPr>
          </w:p>
        </w:tc>
        <w:tc>
          <w:tcPr>
            <w:tcW w:w="4751" w:type="dxa"/>
            <w:gridSpan w:val="6"/>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1D700EEC" w14:textId="77777777" w:rsidR="001F21D2" w:rsidRPr="005F6962" w:rsidRDefault="001F21D2" w:rsidP="005A7652">
            <w:pPr>
              <w:keepNext/>
              <w:spacing w:after="0"/>
              <w:jc w:val="center"/>
              <w:rPr>
                <w:rFonts w:ascii="Garamond" w:hAnsi="Garamond"/>
                <w:b/>
                <w:sz w:val="20"/>
                <w:szCs w:val="20"/>
              </w:rPr>
            </w:pPr>
            <w:r w:rsidRPr="005F6962">
              <w:rPr>
                <w:rFonts w:ascii="Garamond" w:hAnsi="Garamond"/>
                <w:b/>
                <w:sz w:val="20"/>
                <w:szCs w:val="20"/>
              </w:rPr>
              <w:t>National Average</w:t>
            </w:r>
          </w:p>
        </w:tc>
        <w:tc>
          <w:tcPr>
            <w:tcW w:w="2984" w:type="dxa"/>
            <w:gridSpan w:val="4"/>
            <w:tcBorders>
              <w:top w:val="single" w:sz="4" w:space="0" w:color="auto"/>
              <w:left w:val="nil"/>
              <w:bottom w:val="single" w:sz="4" w:space="0" w:color="auto"/>
              <w:right w:val="single" w:sz="4" w:space="0" w:color="auto"/>
            </w:tcBorders>
            <w:shd w:val="clear" w:color="auto" w:fill="auto"/>
            <w:noWrap/>
            <w:vAlign w:val="bottom"/>
            <w:hideMark/>
          </w:tcPr>
          <w:p w14:paraId="6EF92483" w14:textId="77777777" w:rsidR="001F21D2" w:rsidRPr="005F6962" w:rsidRDefault="001F21D2" w:rsidP="005A7652">
            <w:pPr>
              <w:keepNext/>
              <w:spacing w:after="0"/>
              <w:jc w:val="center"/>
              <w:rPr>
                <w:rFonts w:ascii="Garamond" w:hAnsi="Garamond"/>
                <w:b/>
                <w:sz w:val="20"/>
                <w:szCs w:val="20"/>
              </w:rPr>
            </w:pPr>
            <w:r w:rsidRPr="005F6962">
              <w:rPr>
                <w:rFonts w:ascii="Garamond" w:hAnsi="Garamond"/>
                <w:b/>
                <w:sz w:val="20"/>
                <w:szCs w:val="20"/>
              </w:rPr>
              <w:t>Deprived Districts</w:t>
            </w:r>
          </w:p>
        </w:tc>
      </w:tr>
      <w:tr w:rsidR="001F21D2" w:rsidRPr="00533642" w14:paraId="1FE4E63E" w14:textId="77777777" w:rsidTr="005A7652">
        <w:trPr>
          <w:trHeight w:val="319"/>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36CA505C" w14:textId="77777777" w:rsidR="001F21D2" w:rsidRPr="004255EE" w:rsidRDefault="001F21D2" w:rsidP="005A7652">
            <w:pPr>
              <w:keepNext/>
              <w:spacing w:after="0"/>
              <w:rPr>
                <w:rFonts w:ascii="Garamond" w:hAnsi="Garamond"/>
                <w:b/>
                <w:sz w:val="18"/>
                <w:szCs w:val="18"/>
              </w:rPr>
            </w:pPr>
            <w:r w:rsidRPr="004255EE">
              <w:rPr>
                <w:rFonts w:ascii="Garamond" w:hAnsi="Garamond"/>
                <w:b/>
                <w:sz w:val="18"/>
                <w:szCs w:val="18"/>
              </w:rPr>
              <w:t xml:space="preserve"> </w:t>
            </w:r>
          </w:p>
        </w:tc>
        <w:tc>
          <w:tcPr>
            <w:tcW w:w="810" w:type="dxa"/>
            <w:tcBorders>
              <w:top w:val="nil"/>
              <w:left w:val="nil"/>
              <w:bottom w:val="single" w:sz="4" w:space="0" w:color="auto"/>
              <w:right w:val="single" w:sz="4" w:space="0" w:color="auto"/>
            </w:tcBorders>
            <w:shd w:val="clear" w:color="auto" w:fill="D9E2F3" w:themeFill="accent5" w:themeFillTint="33"/>
            <w:vAlign w:val="center"/>
            <w:hideMark/>
          </w:tcPr>
          <w:p w14:paraId="0A79A81A" w14:textId="77777777" w:rsidR="001F21D2" w:rsidRPr="00F0436D" w:rsidRDefault="001F21D2" w:rsidP="005A7652">
            <w:pPr>
              <w:keepNext/>
              <w:spacing w:after="0"/>
              <w:jc w:val="center"/>
              <w:rPr>
                <w:rFonts w:ascii="Garamond" w:hAnsi="Garamond"/>
                <w:sz w:val="16"/>
                <w:szCs w:val="16"/>
              </w:rPr>
            </w:pPr>
            <w:r w:rsidRPr="00F0436D">
              <w:rPr>
                <w:rFonts w:ascii="Garamond" w:hAnsi="Garamond"/>
                <w:sz w:val="16"/>
                <w:szCs w:val="16"/>
              </w:rPr>
              <w:t>2010/11</w:t>
            </w:r>
          </w:p>
        </w:tc>
        <w:tc>
          <w:tcPr>
            <w:tcW w:w="810" w:type="dxa"/>
            <w:tcBorders>
              <w:top w:val="nil"/>
              <w:left w:val="nil"/>
              <w:bottom w:val="single" w:sz="4" w:space="0" w:color="auto"/>
              <w:right w:val="single" w:sz="4" w:space="0" w:color="auto"/>
            </w:tcBorders>
            <w:shd w:val="clear" w:color="auto" w:fill="D9E2F3" w:themeFill="accent5" w:themeFillTint="33"/>
            <w:vAlign w:val="center"/>
            <w:hideMark/>
          </w:tcPr>
          <w:p w14:paraId="78329647" w14:textId="77777777" w:rsidR="001F21D2" w:rsidRPr="00F0436D" w:rsidRDefault="001F21D2" w:rsidP="005A7652">
            <w:pPr>
              <w:keepNext/>
              <w:spacing w:after="0"/>
              <w:jc w:val="center"/>
              <w:rPr>
                <w:rFonts w:ascii="Garamond" w:hAnsi="Garamond"/>
                <w:sz w:val="16"/>
                <w:szCs w:val="16"/>
              </w:rPr>
            </w:pPr>
            <w:r w:rsidRPr="00F0436D">
              <w:rPr>
                <w:rFonts w:ascii="Garamond" w:hAnsi="Garamond"/>
                <w:sz w:val="16"/>
                <w:szCs w:val="16"/>
              </w:rPr>
              <w:t>2011/12</w:t>
            </w:r>
          </w:p>
        </w:tc>
        <w:tc>
          <w:tcPr>
            <w:tcW w:w="810" w:type="dxa"/>
            <w:tcBorders>
              <w:top w:val="nil"/>
              <w:left w:val="nil"/>
              <w:bottom w:val="single" w:sz="4" w:space="0" w:color="auto"/>
              <w:right w:val="single" w:sz="4" w:space="0" w:color="auto"/>
            </w:tcBorders>
            <w:shd w:val="clear" w:color="auto" w:fill="D9E2F3" w:themeFill="accent5" w:themeFillTint="33"/>
            <w:vAlign w:val="center"/>
            <w:hideMark/>
          </w:tcPr>
          <w:p w14:paraId="47BC21C5" w14:textId="77777777" w:rsidR="001F21D2" w:rsidRPr="00F0436D" w:rsidRDefault="001F21D2" w:rsidP="005A7652">
            <w:pPr>
              <w:keepNext/>
              <w:spacing w:after="0"/>
              <w:jc w:val="center"/>
              <w:rPr>
                <w:rFonts w:ascii="Garamond" w:hAnsi="Garamond"/>
                <w:sz w:val="16"/>
                <w:szCs w:val="16"/>
              </w:rPr>
            </w:pPr>
            <w:r w:rsidRPr="00F0436D">
              <w:rPr>
                <w:rFonts w:ascii="Garamond" w:hAnsi="Garamond"/>
                <w:sz w:val="16"/>
                <w:szCs w:val="16"/>
              </w:rPr>
              <w:t>2012/13</w:t>
            </w:r>
          </w:p>
        </w:tc>
        <w:tc>
          <w:tcPr>
            <w:tcW w:w="810" w:type="dxa"/>
            <w:tcBorders>
              <w:top w:val="nil"/>
              <w:left w:val="nil"/>
              <w:bottom w:val="single" w:sz="4" w:space="0" w:color="auto"/>
              <w:right w:val="single" w:sz="4" w:space="0" w:color="auto"/>
            </w:tcBorders>
            <w:shd w:val="clear" w:color="auto" w:fill="D9E2F3" w:themeFill="accent5" w:themeFillTint="33"/>
            <w:vAlign w:val="center"/>
            <w:hideMark/>
          </w:tcPr>
          <w:p w14:paraId="176865B3" w14:textId="77777777" w:rsidR="001F21D2" w:rsidRPr="00F0436D" w:rsidRDefault="001F21D2" w:rsidP="005A7652">
            <w:pPr>
              <w:keepNext/>
              <w:spacing w:after="0"/>
              <w:jc w:val="center"/>
              <w:rPr>
                <w:rFonts w:ascii="Garamond" w:hAnsi="Garamond"/>
                <w:sz w:val="16"/>
                <w:szCs w:val="16"/>
              </w:rPr>
            </w:pPr>
            <w:r w:rsidRPr="00F0436D">
              <w:rPr>
                <w:rFonts w:ascii="Garamond" w:hAnsi="Garamond"/>
                <w:sz w:val="16"/>
                <w:szCs w:val="16"/>
              </w:rPr>
              <w:t>2013/14</w:t>
            </w:r>
          </w:p>
        </w:tc>
        <w:tc>
          <w:tcPr>
            <w:tcW w:w="765" w:type="dxa"/>
            <w:tcBorders>
              <w:top w:val="nil"/>
              <w:left w:val="nil"/>
              <w:bottom w:val="single" w:sz="4" w:space="0" w:color="auto"/>
              <w:right w:val="single" w:sz="4" w:space="0" w:color="auto"/>
            </w:tcBorders>
            <w:shd w:val="clear" w:color="auto" w:fill="D9E2F3" w:themeFill="accent5" w:themeFillTint="33"/>
            <w:vAlign w:val="center"/>
            <w:hideMark/>
          </w:tcPr>
          <w:p w14:paraId="1B12436B" w14:textId="77777777" w:rsidR="001F21D2" w:rsidRPr="00F0436D" w:rsidRDefault="001F21D2" w:rsidP="005A7652">
            <w:pPr>
              <w:keepNext/>
              <w:spacing w:after="0"/>
              <w:jc w:val="center"/>
              <w:rPr>
                <w:rFonts w:ascii="Garamond" w:hAnsi="Garamond"/>
                <w:sz w:val="16"/>
                <w:szCs w:val="16"/>
              </w:rPr>
            </w:pPr>
            <w:r w:rsidRPr="00F0436D">
              <w:rPr>
                <w:rFonts w:ascii="Garamond" w:hAnsi="Garamond"/>
                <w:sz w:val="16"/>
                <w:szCs w:val="16"/>
              </w:rPr>
              <w:t>2014/15</w:t>
            </w:r>
          </w:p>
        </w:tc>
        <w:tc>
          <w:tcPr>
            <w:tcW w:w="746" w:type="dxa"/>
            <w:tcBorders>
              <w:top w:val="nil"/>
              <w:left w:val="nil"/>
              <w:bottom w:val="single" w:sz="4" w:space="0" w:color="auto"/>
              <w:right w:val="single" w:sz="4" w:space="0" w:color="auto"/>
            </w:tcBorders>
            <w:shd w:val="clear" w:color="auto" w:fill="D9E2F3" w:themeFill="accent5" w:themeFillTint="33"/>
            <w:vAlign w:val="center"/>
            <w:hideMark/>
          </w:tcPr>
          <w:p w14:paraId="26B12CF9" w14:textId="77777777" w:rsidR="001F21D2" w:rsidRPr="00F0436D" w:rsidRDefault="001F21D2" w:rsidP="005A7652">
            <w:pPr>
              <w:keepNext/>
              <w:spacing w:after="0"/>
              <w:jc w:val="center"/>
              <w:rPr>
                <w:rFonts w:ascii="Garamond" w:hAnsi="Garamond"/>
                <w:sz w:val="16"/>
                <w:szCs w:val="16"/>
              </w:rPr>
            </w:pPr>
            <w:r w:rsidRPr="00F0436D">
              <w:rPr>
                <w:rFonts w:ascii="Garamond" w:hAnsi="Garamond"/>
                <w:sz w:val="16"/>
                <w:szCs w:val="16"/>
              </w:rPr>
              <w:t>2015/16</w:t>
            </w:r>
          </w:p>
        </w:tc>
        <w:tc>
          <w:tcPr>
            <w:tcW w:w="746" w:type="dxa"/>
            <w:tcBorders>
              <w:top w:val="nil"/>
              <w:left w:val="nil"/>
              <w:bottom w:val="single" w:sz="4" w:space="0" w:color="auto"/>
              <w:right w:val="single" w:sz="4" w:space="0" w:color="auto"/>
            </w:tcBorders>
            <w:shd w:val="clear" w:color="auto" w:fill="auto"/>
            <w:vAlign w:val="center"/>
            <w:hideMark/>
          </w:tcPr>
          <w:p w14:paraId="761722C5" w14:textId="77777777" w:rsidR="001F21D2" w:rsidRPr="00F0436D" w:rsidRDefault="001F21D2" w:rsidP="005A7652">
            <w:pPr>
              <w:keepNext/>
              <w:spacing w:after="0"/>
              <w:jc w:val="center"/>
              <w:rPr>
                <w:rFonts w:ascii="Garamond" w:hAnsi="Garamond"/>
                <w:sz w:val="16"/>
                <w:szCs w:val="16"/>
              </w:rPr>
            </w:pPr>
            <w:r w:rsidRPr="00F0436D">
              <w:rPr>
                <w:rFonts w:ascii="Garamond" w:hAnsi="Garamond"/>
                <w:sz w:val="16"/>
                <w:szCs w:val="16"/>
              </w:rPr>
              <w:t>2012/13</w:t>
            </w:r>
          </w:p>
        </w:tc>
        <w:tc>
          <w:tcPr>
            <w:tcW w:w="746" w:type="dxa"/>
            <w:tcBorders>
              <w:top w:val="nil"/>
              <w:left w:val="nil"/>
              <w:bottom w:val="single" w:sz="4" w:space="0" w:color="auto"/>
              <w:right w:val="single" w:sz="4" w:space="0" w:color="auto"/>
            </w:tcBorders>
            <w:shd w:val="clear" w:color="auto" w:fill="auto"/>
            <w:vAlign w:val="center"/>
            <w:hideMark/>
          </w:tcPr>
          <w:p w14:paraId="709DE95B" w14:textId="77777777" w:rsidR="001F21D2" w:rsidRPr="00F0436D" w:rsidRDefault="001F21D2" w:rsidP="005A7652">
            <w:pPr>
              <w:keepNext/>
              <w:spacing w:after="0"/>
              <w:jc w:val="center"/>
              <w:rPr>
                <w:rFonts w:ascii="Garamond" w:hAnsi="Garamond"/>
                <w:sz w:val="16"/>
                <w:szCs w:val="16"/>
              </w:rPr>
            </w:pPr>
            <w:r w:rsidRPr="00F0436D">
              <w:rPr>
                <w:rFonts w:ascii="Garamond" w:hAnsi="Garamond"/>
                <w:sz w:val="16"/>
                <w:szCs w:val="16"/>
              </w:rPr>
              <w:t>2013/14</w:t>
            </w:r>
          </w:p>
        </w:tc>
        <w:tc>
          <w:tcPr>
            <w:tcW w:w="746" w:type="dxa"/>
            <w:tcBorders>
              <w:top w:val="nil"/>
              <w:left w:val="nil"/>
              <w:bottom w:val="single" w:sz="4" w:space="0" w:color="auto"/>
              <w:right w:val="single" w:sz="4" w:space="0" w:color="auto"/>
            </w:tcBorders>
            <w:shd w:val="clear" w:color="auto" w:fill="auto"/>
            <w:vAlign w:val="center"/>
            <w:hideMark/>
          </w:tcPr>
          <w:p w14:paraId="750E49C2" w14:textId="77777777" w:rsidR="001F21D2" w:rsidRPr="00F0436D" w:rsidRDefault="001F21D2" w:rsidP="005A7652">
            <w:pPr>
              <w:keepNext/>
              <w:spacing w:after="0"/>
              <w:jc w:val="center"/>
              <w:rPr>
                <w:rFonts w:ascii="Garamond" w:hAnsi="Garamond"/>
                <w:sz w:val="16"/>
                <w:szCs w:val="16"/>
              </w:rPr>
            </w:pPr>
            <w:r w:rsidRPr="00F0436D">
              <w:rPr>
                <w:rFonts w:ascii="Garamond" w:hAnsi="Garamond"/>
                <w:sz w:val="16"/>
                <w:szCs w:val="16"/>
              </w:rPr>
              <w:t>2014/15</w:t>
            </w:r>
          </w:p>
        </w:tc>
        <w:tc>
          <w:tcPr>
            <w:tcW w:w="746" w:type="dxa"/>
            <w:tcBorders>
              <w:top w:val="nil"/>
              <w:left w:val="nil"/>
              <w:bottom w:val="single" w:sz="4" w:space="0" w:color="auto"/>
              <w:right w:val="single" w:sz="4" w:space="0" w:color="auto"/>
            </w:tcBorders>
            <w:shd w:val="clear" w:color="auto" w:fill="auto"/>
            <w:vAlign w:val="center"/>
            <w:hideMark/>
          </w:tcPr>
          <w:p w14:paraId="40308180" w14:textId="77777777" w:rsidR="001F21D2" w:rsidRPr="00F0436D" w:rsidRDefault="001F21D2" w:rsidP="005A7652">
            <w:pPr>
              <w:keepNext/>
              <w:spacing w:after="0"/>
              <w:jc w:val="center"/>
              <w:rPr>
                <w:rFonts w:ascii="Garamond" w:hAnsi="Garamond"/>
                <w:sz w:val="16"/>
                <w:szCs w:val="16"/>
              </w:rPr>
            </w:pPr>
            <w:r w:rsidRPr="00F0436D">
              <w:rPr>
                <w:rFonts w:ascii="Garamond" w:hAnsi="Garamond"/>
                <w:sz w:val="16"/>
                <w:szCs w:val="16"/>
              </w:rPr>
              <w:t>2015/16</w:t>
            </w:r>
          </w:p>
        </w:tc>
      </w:tr>
      <w:tr w:rsidR="001F21D2" w:rsidRPr="00533642" w14:paraId="0B059749" w14:textId="77777777" w:rsidTr="005A7652">
        <w:trPr>
          <w:trHeight w:val="463"/>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2B618ABA" w14:textId="77777777" w:rsidR="001F21D2" w:rsidRPr="004255EE" w:rsidRDefault="001F21D2" w:rsidP="005A7652">
            <w:pPr>
              <w:keepNext/>
              <w:spacing w:after="0"/>
              <w:rPr>
                <w:rFonts w:ascii="Garamond" w:hAnsi="Garamond"/>
                <w:b/>
                <w:sz w:val="18"/>
                <w:szCs w:val="18"/>
              </w:rPr>
            </w:pPr>
            <w:r w:rsidRPr="004255EE">
              <w:rPr>
                <w:rFonts w:ascii="Garamond" w:hAnsi="Garamond"/>
                <w:b/>
                <w:sz w:val="18"/>
                <w:szCs w:val="18"/>
              </w:rPr>
              <w:t>Kindergarten (</w:t>
            </w:r>
            <w:r>
              <w:rPr>
                <w:rFonts w:ascii="Garamond" w:hAnsi="Garamond"/>
                <w:b/>
                <w:sz w:val="18"/>
                <w:szCs w:val="18"/>
              </w:rPr>
              <w:t>Gross</w:t>
            </w:r>
            <w:r w:rsidRPr="004255EE">
              <w:rPr>
                <w:rFonts w:ascii="Garamond" w:hAnsi="Garamond"/>
                <w:b/>
                <w:sz w:val="18"/>
                <w:szCs w:val="18"/>
              </w:rPr>
              <w:t>)</w:t>
            </w:r>
          </w:p>
        </w:tc>
        <w:tc>
          <w:tcPr>
            <w:tcW w:w="810" w:type="dxa"/>
            <w:tcBorders>
              <w:top w:val="nil"/>
              <w:left w:val="nil"/>
              <w:bottom w:val="single" w:sz="4" w:space="0" w:color="auto"/>
              <w:right w:val="single" w:sz="4" w:space="0" w:color="auto"/>
            </w:tcBorders>
            <w:shd w:val="clear" w:color="auto" w:fill="D9E2F3" w:themeFill="accent5" w:themeFillTint="33"/>
            <w:noWrap/>
            <w:vAlign w:val="center"/>
            <w:hideMark/>
          </w:tcPr>
          <w:p w14:paraId="5813CFDF"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98.4</w:t>
            </w:r>
          </w:p>
        </w:tc>
        <w:tc>
          <w:tcPr>
            <w:tcW w:w="810" w:type="dxa"/>
            <w:tcBorders>
              <w:top w:val="nil"/>
              <w:left w:val="nil"/>
              <w:bottom w:val="single" w:sz="4" w:space="0" w:color="auto"/>
              <w:right w:val="single" w:sz="4" w:space="0" w:color="auto"/>
            </w:tcBorders>
            <w:shd w:val="clear" w:color="auto" w:fill="D9E2F3" w:themeFill="accent5" w:themeFillTint="33"/>
            <w:noWrap/>
            <w:vAlign w:val="center"/>
            <w:hideMark/>
          </w:tcPr>
          <w:p w14:paraId="0B1A70BC"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99.4</w:t>
            </w:r>
          </w:p>
        </w:tc>
        <w:tc>
          <w:tcPr>
            <w:tcW w:w="810" w:type="dxa"/>
            <w:tcBorders>
              <w:top w:val="nil"/>
              <w:left w:val="nil"/>
              <w:bottom w:val="single" w:sz="4" w:space="0" w:color="auto"/>
              <w:right w:val="single" w:sz="4" w:space="0" w:color="auto"/>
            </w:tcBorders>
            <w:shd w:val="clear" w:color="auto" w:fill="D9E2F3" w:themeFill="accent5" w:themeFillTint="33"/>
            <w:noWrap/>
            <w:vAlign w:val="center"/>
            <w:hideMark/>
          </w:tcPr>
          <w:p w14:paraId="1063A428"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113.8</w:t>
            </w:r>
          </w:p>
        </w:tc>
        <w:tc>
          <w:tcPr>
            <w:tcW w:w="810" w:type="dxa"/>
            <w:tcBorders>
              <w:top w:val="nil"/>
              <w:left w:val="nil"/>
              <w:bottom w:val="single" w:sz="4" w:space="0" w:color="auto"/>
              <w:right w:val="single" w:sz="4" w:space="0" w:color="auto"/>
            </w:tcBorders>
            <w:shd w:val="clear" w:color="auto" w:fill="D9E2F3" w:themeFill="accent5" w:themeFillTint="33"/>
            <w:noWrap/>
            <w:vAlign w:val="center"/>
            <w:hideMark/>
          </w:tcPr>
          <w:p w14:paraId="599D4D6C"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123</w:t>
            </w:r>
          </w:p>
        </w:tc>
        <w:tc>
          <w:tcPr>
            <w:tcW w:w="765" w:type="dxa"/>
            <w:tcBorders>
              <w:top w:val="nil"/>
              <w:left w:val="nil"/>
              <w:bottom w:val="single" w:sz="4" w:space="0" w:color="auto"/>
              <w:right w:val="single" w:sz="4" w:space="0" w:color="auto"/>
            </w:tcBorders>
            <w:shd w:val="clear" w:color="auto" w:fill="D9E2F3" w:themeFill="accent5" w:themeFillTint="33"/>
            <w:noWrap/>
            <w:vAlign w:val="center"/>
            <w:hideMark/>
          </w:tcPr>
          <w:p w14:paraId="02B01F99"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128.8</w:t>
            </w:r>
          </w:p>
        </w:tc>
        <w:tc>
          <w:tcPr>
            <w:tcW w:w="746" w:type="dxa"/>
            <w:tcBorders>
              <w:top w:val="nil"/>
              <w:left w:val="nil"/>
              <w:bottom w:val="single" w:sz="4" w:space="0" w:color="auto"/>
              <w:right w:val="single" w:sz="4" w:space="0" w:color="auto"/>
            </w:tcBorders>
            <w:shd w:val="clear" w:color="auto" w:fill="D9E2F3" w:themeFill="accent5" w:themeFillTint="33"/>
            <w:noWrap/>
            <w:vAlign w:val="center"/>
            <w:hideMark/>
          </w:tcPr>
          <w:p w14:paraId="39B8F19F"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123.8</w:t>
            </w:r>
          </w:p>
        </w:tc>
        <w:tc>
          <w:tcPr>
            <w:tcW w:w="746" w:type="dxa"/>
            <w:tcBorders>
              <w:top w:val="nil"/>
              <w:left w:val="nil"/>
              <w:bottom w:val="single" w:sz="4" w:space="0" w:color="auto"/>
              <w:right w:val="single" w:sz="4" w:space="0" w:color="auto"/>
            </w:tcBorders>
            <w:shd w:val="clear" w:color="auto" w:fill="auto"/>
            <w:noWrap/>
            <w:vAlign w:val="center"/>
            <w:hideMark/>
          </w:tcPr>
          <w:p w14:paraId="071A2DB8"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111.6</w:t>
            </w:r>
          </w:p>
        </w:tc>
        <w:tc>
          <w:tcPr>
            <w:tcW w:w="746" w:type="dxa"/>
            <w:tcBorders>
              <w:top w:val="nil"/>
              <w:left w:val="nil"/>
              <w:bottom w:val="single" w:sz="4" w:space="0" w:color="auto"/>
              <w:right w:val="single" w:sz="4" w:space="0" w:color="auto"/>
            </w:tcBorders>
            <w:shd w:val="clear" w:color="auto" w:fill="auto"/>
            <w:noWrap/>
            <w:vAlign w:val="center"/>
            <w:hideMark/>
          </w:tcPr>
          <w:p w14:paraId="1258A4DE"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134.6</w:t>
            </w:r>
          </w:p>
        </w:tc>
        <w:tc>
          <w:tcPr>
            <w:tcW w:w="746" w:type="dxa"/>
            <w:tcBorders>
              <w:top w:val="nil"/>
              <w:left w:val="nil"/>
              <w:bottom w:val="single" w:sz="4" w:space="0" w:color="auto"/>
              <w:right w:val="single" w:sz="4" w:space="0" w:color="auto"/>
            </w:tcBorders>
            <w:shd w:val="clear" w:color="auto" w:fill="auto"/>
            <w:noWrap/>
            <w:vAlign w:val="center"/>
            <w:hideMark/>
          </w:tcPr>
          <w:p w14:paraId="6DB994E3"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148.8</w:t>
            </w:r>
          </w:p>
        </w:tc>
        <w:tc>
          <w:tcPr>
            <w:tcW w:w="746" w:type="dxa"/>
            <w:tcBorders>
              <w:top w:val="nil"/>
              <w:left w:val="nil"/>
              <w:bottom w:val="single" w:sz="4" w:space="0" w:color="auto"/>
              <w:right w:val="single" w:sz="4" w:space="0" w:color="auto"/>
            </w:tcBorders>
            <w:shd w:val="clear" w:color="auto" w:fill="auto"/>
            <w:noWrap/>
            <w:vAlign w:val="center"/>
            <w:hideMark/>
          </w:tcPr>
          <w:p w14:paraId="0391CA2B"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138.8</w:t>
            </w:r>
          </w:p>
        </w:tc>
      </w:tr>
      <w:tr w:rsidR="001F21D2" w:rsidRPr="00533642" w14:paraId="6886362B" w14:textId="77777777" w:rsidTr="005A7652">
        <w:trPr>
          <w:trHeight w:val="463"/>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70897FD1" w14:textId="77777777" w:rsidR="001F21D2" w:rsidRPr="004255EE" w:rsidRDefault="001F21D2" w:rsidP="005A7652">
            <w:pPr>
              <w:keepNext/>
              <w:spacing w:after="0"/>
              <w:rPr>
                <w:rFonts w:ascii="Garamond" w:hAnsi="Garamond"/>
                <w:b/>
                <w:sz w:val="18"/>
                <w:szCs w:val="18"/>
              </w:rPr>
            </w:pPr>
            <w:r w:rsidRPr="004255EE">
              <w:rPr>
                <w:rFonts w:ascii="Garamond" w:hAnsi="Garamond"/>
                <w:b/>
                <w:sz w:val="18"/>
                <w:szCs w:val="18"/>
              </w:rPr>
              <w:t>Kindergarten (</w:t>
            </w:r>
            <w:r>
              <w:rPr>
                <w:rFonts w:ascii="Garamond" w:hAnsi="Garamond"/>
                <w:b/>
                <w:sz w:val="18"/>
                <w:szCs w:val="18"/>
              </w:rPr>
              <w:t>Net</w:t>
            </w:r>
            <w:r w:rsidRPr="004255EE">
              <w:rPr>
                <w:rFonts w:ascii="Garamond" w:hAnsi="Garamond"/>
                <w:b/>
                <w:sz w:val="18"/>
                <w:szCs w:val="18"/>
              </w:rPr>
              <w:t>)</w:t>
            </w:r>
          </w:p>
        </w:tc>
        <w:tc>
          <w:tcPr>
            <w:tcW w:w="810" w:type="dxa"/>
            <w:tcBorders>
              <w:top w:val="nil"/>
              <w:left w:val="nil"/>
              <w:bottom w:val="single" w:sz="4" w:space="0" w:color="auto"/>
              <w:right w:val="single" w:sz="4" w:space="0" w:color="auto"/>
            </w:tcBorders>
            <w:shd w:val="clear" w:color="auto" w:fill="D9E2F3" w:themeFill="accent5" w:themeFillTint="33"/>
            <w:noWrap/>
            <w:vAlign w:val="center"/>
            <w:hideMark/>
          </w:tcPr>
          <w:p w14:paraId="65F96CE2"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60.1</w:t>
            </w:r>
          </w:p>
        </w:tc>
        <w:tc>
          <w:tcPr>
            <w:tcW w:w="810" w:type="dxa"/>
            <w:tcBorders>
              <w:top w:val="nil"/>
              <w:left w:val="nil"/>
              <w:bottom w:val="single" w:sz="4" w:space="0" w:color="auto"/>
              <w:right w:val="single" w:sz="4" w:space="0" w:color="auto"/>
            </w:tcBorders>
            <w:shd w:val="clear" w:color="auto" w:fill="D9E2F3" w:themeFill="accent5" w:themeFillTint="33"/>
            <w:noWrap/>
            <w:vAlign w:val="center"/>
            <w:hideMark/>
          </w:tcPr>
          <w:p w14:paraId="2CD312F6"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64.17</w:t>
            </w:r>
          </w:p>
        </w:tc>
        <w:tc>
          <w:tcPr>
            <w:tcW w:w="810" w:type="dxa"/>
            <w:tcBorders>
              <w:top w:val="nil"/>
              <w:left w:val="nil"/>
              <w:bottom w:val="single" w:sz="4" w:space="0" w:color="auto"/>
              <w:right w:val="single" w:sz="4" w:space="0" w:color="auto"/>
            </w:tcBorders>
            <w:shd w:val="clear" w:color="auto" w:fill="D9E2F3" w:themeFill="accent5" w:themeFillTint="33"/>
            <w:noWrap/>
            <w:vAlign w:val="center"/>
            <w:hideMark/>
          </w:tcPr>
          <w:p w14:paraId="388B40AF"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74.8</w:t>
            </w:r>
          </w:p>
        </w:tc>
        <w:tc>
          <w:tcPr>
            <w:tcW w:w="810" w:type="dxa"/>
            <w:tcBorders>
              <w:top w:val="nil"/>
              <w:left w:val="nil"/>
              <w:bottom w:val="single" w:sz="4" w:space="0" w:color="auto"/>
              <w:right w:val="single" w:sz="4" w:space="0" w:color="auto"/>
            </w:tcBorders>
            <w:shd w:val="clear" w:color="auto" w:fill="D9E2F3" w:themeFill="accent5" w:themeFillTint="33"/>
            <w:noWrap/>
            <w:vAlign w:val="center"/>
            <w:hideMark/>
          </w:tcPr>
          <w:p w14:paraId="513D40D5"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90.8</w:t>
            </w:r>
          </w:p>
        </w:tc>
        <w:tc>
          <w:tcPr>
            <w:tcW w:w="765" w:type="dxa"/>
            <w:tcBorders>
              <w:top w:val="nil"/>
              <w:left w:val="nil"/>
              <w:bottom w:val="single" w:sz="4" w:space="0" w:color="auto"/>
              <w:right w:val="single" w:sz="4" w:space="0" w:color="auto"/>
            </w:tcBorders>
            <w:shd w:val="clear" w:color="auto" w:fill="D9E2F3" w:themeFill="accent5" w:themeFillTint="33"/>
            <w:noWrap/>
            <w:vAlign w:val="center"/>
            <w:hideMark/>
          </w:tcPr>
          <w:p w14:paraId="35ECFB41"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82.7</w:t>
            </w:r>
          </w:p>
        </w:tc>
        <w:tc>
          <w:tcPr>
            <w:tcW w:w="746" w:type="dxa"/>
            <w:tcBorders>
              <w:top w:val="nil"/>
              <w:left w:val="nil"/>
              <w:bottom w:val="single" w:sz="4" w:space="0" w:color="auto"/>
              <w:right w:val="single" w:sz="4" w:space="0" w:color="auto"/>
            </w:tcBorders>
            <w:shd w:val="clear" w:color="auto" w:fill="D9E2F3" w:themeFill="accent5" w:themeFillTint="33"/>
            <w:noWrap/>
            <w:vAlign w:val="center"/>
            <w:hideMark/>
          </w:tcPr>
          <w:p w14:paraId="5F6FB837"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79.5</w:t>
            </w:r>
          </w:p>
        </w:tc>
        <w:tc>
          <w:tcPr>
            <w:tcW w:w="746" w:type="dxa"/>
            <w:tcBorders>
              <w:top w:val="nil"/>
              <w:left w:val="nil"/>
              <w:bottom w:val="single" w:sz="4" w:space="0" w:color="auto"/>
              <w:right w:val="single" w:sz="4" w:space="0" w:color="auto"/>
            </w:tcBorders>
            <w:shd w:val="clear" w:color="auto" w:fill="auto"/>
            <w:noWrap/>
            <w:vAlign w:val="center"/>
            <w:hideMark/>
          </w:tcPr>
          <w:p w14:paraId="5BFAFA62"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75.6</w:t>
            </w:r>
          </w:p>
        </w:tc>
        <w:tc>
          <w:tcPr>
            <w:tcW w:w="746" w:type="dxa"/>
            <w:tcBorders>
              <w:top w:val="nil"/>
              <w:left w:val="nil"/>
              <w:bottom w:val="single" w:sz="4" w:space="0" w:color="auto"/>
              <w:right w:val="single" w:sz="4" w:space="0" w:color="auto"/>
            </w:tcBorders>
            <w:shd w:val="clear" w:color="auto" w:fill="auto"/>
            <w:noWrap/>
            <w:vAlign w:val="center"/>
            <w:hideMark/>
          </w:tcPr>
          <w:p w14:paraId="46646ABA"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100.8</w:t>
            </w:r>
          </w:p>
        </w:tc>
        <w:tc>
          <w:tcPr>
            <w:tcW w:w="746" w:type="dxa"/>
            <w:tcBorders>
              <w:top w:val="nil"/>
              <w:left w:val="nil"/>
              <w:bottom w:val="single" w:sz="4" w:space="0" w:color="auto"/>
              <w:right w:val="single" w:sz="4" w:space="0" w:color="auto"/>
            </w:tcBorders>
            <w:shd w:val="clear" w:color="auto" w:fill="auto"/>
            <w:noWrap/>
            <w:vAlign w:val="center"/>
            <w:hideMark/>
          </w:tcPr>
          <w:p w14:paraId="155F3558"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97.1</w:t>
            </w:r>
          </w:p>
        </w:tc>
        <w:tc>
          <w:tcPr>
            <w:tcW w:w="746" w:type="dxa"/>
            <w:tcBorders>
              <w:top w:val="nil"/>
              <w:left w:val="nil"/>
              <w:bottom w:val="single" w:sz="4" w:space="0" w:color="auto"/>
              <w:right w:val="single" w:sz="4" w:space="0" w:color="auto"/>
            </w:tcBorders>
            <w:shd w:val="clear" w:color="auto" w:fill="auto"/>
            <w:noWrap/>
            <w:vAlign w:val="center"/>
            <w:hideMark/>
          </w:tcPr>
          <w:p w14:paraId="008E274C"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92.2</w:t>
            </w:r>
          </w:p>
        </w:tc>
      </w:tr>
      <w:tr w:rsidR="001F21D2" w:rsidRPr="00533642" w14:paraId="3FC05509" w14:textId="77777777" w:rsidTr="005A7652">
        <w:trPr>
          <w:trHeight w:val="463"/>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7FD90C39" w14:textId="77777777" w:rsidR="001F21D2" w:rsidRPr="004255EE" w:rsidRDefault="001F21D2" w:rsidP="005A7652">
            <w:pPr>
              <w:keepNext/>
              <w:spacing w:after="0"/>
              <w:rPr>
                <w:rFonts w:ascii="Garamond" w:hAnsi="Garamond"/>
                <w:b/>
                <w:sz w:val="18"/>
                <w:szCs w:val="18"/>
              </w:rPr>
            </w:pPr>
            <w:r w:rsidRPr="004255EE">
              <w:rPr>
                <w:rFonts w:ascii="Garamond" w:hAnsi="Garamond"/>
                <w:b/>
                <w:sz w:val="18"/>
                <w:szCs w:val="18"/>
              </w:rPr>
              <w:t>Primary (</w:t>
            </w:r>
            <w:r>
              <w:rPr>
                <w:rFonts w:ascii="Garamond" w:hAnsi="Garamond"/>
                <w:b/>
                <w:sz w:val="18"/>
                <w:szCs w:val="18"/>
              </w:rPr>
              <w:t>Gross</w:t>
            </w:r>
            <w:r w:rsidRPr="004255EE">
              <w:rPr>
                <w:rFonts w:ascii="Garamond" w:hAnsi="Garamond"/>
                <w:b/>
                <w:sz w:val="18"/>
                <w:szCs w:val="18"/>
              </w:rPr>
              <w:t>)</w:t>
            </w:r>
          </w:p>
        </w:tc>
        <w:tc>
          <w:tcPr>
            <w:tcW w:w="810" w:type="dxa"/>
            <w:tcBorders>
              <w:top w:val="nil"/>
              <w:left w:val="nil"/>
              <w:bottom w:val="single" w:sz="4" w:space="0" w:color="auto"/>
              <w:right w:val="single" w:sz="4" w:space="0" w:color="auto"/>
            </w:tcBorders>
            <w:shd w:val="clear" w:color="auto" w:fill="D9E2F3" w:themeFill="accent5" w:themeFillTint="33"/>
            <w:vAlign w:val="center"/>
            <w:hideMark/>
          </w:tcPr>
          <w:p w14:paraId="44B6F4FF"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96.4</w:t>
            </w:r>
          </w:p>
        </w:tc>
        <w:tc>
          <w:tcPr>
            <w:tcW w:w="810" w:type="dxa"/>
            <w:tcBorders>
              <w:top w:val="nil"/>
              <w:left w:val="nil"/>
              <w:bottom w:val="single" w:sz="4" w:space="0" w:color="auto"/>
              <w:right w:val="single" w:sz="4" w:space="0" w:color="auto"/>
            </w:tcBorders>
            <w:shd w:val="clear" w:color="auto" w:fill="D9E2F3" w:themeFill="accent5" w:themeFillTint="33"/>
            <w:vAlign w:val="center"/>
            <w:hideMark/>
          </w:tcPr>
          <w:p w14:paraId="39E1B214"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96.5</w:t>
            </w:r>
          </w:p>
        </w:tc>
        <w:tc>
          <w:tcPr>
            <w:tcW w:w="810" w:type="dxa"/>
            <w:tcBorders>
              <w:top w:val="nil"/>
              <w:left w:val="nil"/>
              <w:bottom w:val="single" w:sz="4" w:space="0" w:color="auto"/>
              <w:right w:val="single" w:sz="4" w:space="0" w:color="auto"/>
            </w:tcBorders>
            <w:shd w:val="clear" w:color="auto" w:fill="D9E2F3" w:themeFill="accent5" w:themeFillTint="33"/>
            <w:vAlign w:val="center"/>
            <w:hideMark/>
          </w:tcPr>
          <w:p w14:paraId="22798222"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105</w:t>
            </w:r>
          </w:p>
        </w:tc>
        <w:tc>
          <w:tcPr>
            <w:tcW w:w="810" w:type="dxa"/>
            <w:tcBorders>
              <w:top w:val="nil"/>
              <w:left w:val="nil"/>
              <w:bottom w:val="single" w:sz="4" w:space="0" w:color="auto"/>
              <w:right w:val="single" w:sz="4" w:space="0" w:color="auto"/>
            </w:tcBorders>
            <w:shd w:val="clear" w:color="auto" w:fill="D9E2F3" w:themeFill="accent5" w:themeFillTint="33"/>
            <w:vAlign w:val="center"/>
            <w:hideMark/>
          </w:tcPr>
          <w:p w14:paraId="2A82162A"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107.3</w:t>
            </w:r>
          </w:p>
        </w:tc>
        <w:tc>
          <w:tcPr>
            <w:tcW w:w="765" w:type="dxa"/>
            <w:tcBorders>
              <w:top w:val="nil"/>
              <w:left w:val="nil"/>
              <w:bottom w:val="single" w:sz="4" w:space="0" w:color="auto"/>
              <w:right w:val="single" w:sz="4" w:space="0" w:color="auto"/>
            </w:tcBorders>
            <w:shd w:val="clear" w:color="auto" w:fill="D9E2F3" w:themeFill="accent5" w:themeFillTint="33"/>
            <w:vAlign w:val="center"/>
            <w:hideMark/>
          </w:tcPr>
          <w:p w14:paraId="5B990B7E"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110.4</w:t>
            </w:r>
          </w:p>
        </w:tc>
        <w:tc>
          <w:tcPr>
            <w:tcW w:w="746" w:type="dxa"/>
            <w:tcBorders>
              <w:top w:val="nil"/>
              <w:left w:val="nil"/>
              <w:bottom w:val="single" w:sz="4" w:space="0" w:color="auto"/>
              <w:right w:val="single" w:sz="4" w:space="0" w:color="auto"/>
            </w:tcBorders>
            <w:shd w:val="clear" w:color="auto" w:fill="D9E2F3" w:themeFill="accent5" w:themeFillTint="33"/>
            <w:vAlign w:val="center"/>
            <w:hideMark/>
          </w:tcPr>
          <w:p w14:paraId="195AD07F"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111.3</w:t>
            </w:r>
          </w:p>
        </w:tc>
        <w:tc>
          <w:tcPr>
            <w:tcW w:w="746" w:type="dxa"/>
            <w:tcBorders>
              <w:top w:val="nil"/>
              <w:left w:val="nil"/>
              <w:bottom w:val="single" w:sz="4" w:space="0" w:color="auto"/>
              <w:right w:val="single" w:sz="4" w:space="0" w:color="auto"/>
            </w:tcBorders>
            <w:shd w:val="clear" w:color="auto" w:fill="auto"/>
            <w:vAlign w:val="center"/>
            <w:hideMark/>
          </w:tcPr>
          <w:p w14:paraId="4BFD44F2"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98.8</w:t>
            </w:r>
          </w:p>
        </w:tc>
        <w:tc>
          <w:tcPr>
            <w:tcW w:w="746" w:type="dxa"/>
            <w:tcBorders>
              <w:top w:val="nil"/>
              <w:left w:val="nil"/>
              <w:bottom w:val="single" w:sz="4" w:space="0" w:color="auto"/>
              <w:right w:val="single" w:sz="4" w:space="0" w:color="auto"/>
            </w:tcBorders>
            <w:shd w:val="clear" w:color="auto" w:fill="auto"/>
            <w:vAlign w:val="center"/>
            <w:hideMark/>
          </w:tcPr>
          <w:p w14:paraId="4E4AC337"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103.9</w:t>
            </w:r>
          </w:p>
        </w:tc>
        <w:tc>
          <w:tcPr>
            <w:tcW w:w="746" w:type="dxa"/>
            <w:tcBorders>
              <w:top w:val="nil"/>
              <w:left w:val="nil"/>
              <w:bottom w:val="single" w:sz="4" w:space="0" w:color="auto"/>
              <w:right w:val="single" w:sz="4" w:space="0" w:color="auto"/>
            </w:tcBorders>
            <w:shd w:val="clear" w:color="auto" w:fill="auto"/>
            <w:vAlign w:val="center"/>
            <w:hideMark/>
          </w:tcPr>
          <w:p w14:paraId="253003E0"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112.2</w:t>
            </w:r>
          </w:p>
        </w:tc>
        <w:tc>
          <w:tcPr>
            <w:tcW w:w="746" w:type="dxa"/>
            <w:tcBorders>
              <w:top w:val="nil"/>
              <w:left w:val="nil"/>
              <w:bottom w:val="single" w:sz="4" w:space="0" w:color="auto"/>
              <w:right w:val="single" w:sz="4" w:space="0" w:color="auto"/>
            </w:tcBorders>
            <w:shd w:val="clear" w:color="auto" w:fill="auto"/>
            <w:vAlign w:val="center"/>
            <w:hideMark/>
          </w:tcPr>
          <w:p w14:paraId="3E117B9F"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111.4</w:t>
            </w:r>
          </w:p>
        </w:tc>
      </w:tr>
      <w:tr w:rsidR="001F21D2" w:rsidRPr="00533642" w14:paraId="411D9C75" w14:textId="77777777" w:rsidTr="005A7652">
        <w:trPr>
          <w:trHeight w:val="463"/>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508AFEAE" w14:textId="77777777" w:rsidR="001F21D2" w:rsidRPr="004255EE" w:rsidRDefault="001F21D2" w:rsidP="005A7652">
            <w:pPr>
              <w:keepNext/>
              <w:spacing w:after="0"/>
              <w:rPr>
                <w:rFonts w:ascii="Garamond" w:hAnsi="Garamond"/>
                <w:b/>
                <w:sz w:val="18"/>
                <w:szCs w:val="18"/>
              </w:rPr>
            </w:pPr>
            <w:r w:rsidRPr="004255EE">
              <w:rPr>
                <w:rFonts w:ascii="Garamond" w:hAnsi="Garamond"/>
                <w:b/>
                <w:sz w:val="18"/>
                <w:szCs w:val="18"/>
              </w:rPr>
              <w:t>Primary (</w:t>
            </w:r>
            <w:r>
              <w:rPr>
                <w:rFonts w:ascii="Garamond" w:hAnsi="Garamond"/>
                <w:b/>
                <w:sz w:val="18"/>
                <w:szCs w:val="18"/>
              </w:rPr>
              <w:t>Net)</w:t>
            </w:r>
          </w:p>
        </w:tc>
        <w:tc>
          <w:tcPr>
            <w:tcW w:w="810" w:type="dxa"/>
            <w:tcBorders>
              <w:top w:val="nil"/>
              <w:left w:val="nil"/>
              <w:bottom w:val="single" w:sz="4" w:space="0" w:color="auto"/>
              <w:right w:val="single" w:sz="4" w:space="0" w:color="auto"/>
            </w:tcBorders>
            <w:shd w:val="clear" w:color="auto" w:fill="D9E2F3" w:themeFill="accent5" w:themeFillTint="33"/>
            <w:noWrap/>
            <w:vAlign w:val="center"/>
            <w:hideMark/>
          </w:tcPr>
          <w:p w14:paraId="7F592CD4"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77.8</w:t>
            </w:r>
          </w:p>
        </w:tc>
        <w:tc>
          <w:tcPr>
            <w:tcW w:w="810" w:type="dxa"/>
            <w:tcBorders>
              <w:top w:val="nil"/>
              <w:left w:val="nil"/>
              <w:bottom w:val="single" w:sz="4" w:space="0" w:color="auto"/>
              <w:right w:val="single" w:sz="4" w:space="0" w:color="auto"/>
            </w:tcBorders>
            <w:shd w:val="clear" w:color="auto" w:fill="D9E2F3" w:themeFill="accent5" w:themeFillTint="33"/>
            <w:noWrap/>
            <w:vAlign w:val="center"/>
            <w:hideMark/>
          </w:tcPr>
          <w:p w14:paraId="1B19B622"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81.7</w:t>
            </w:r>
          </w:p>
        </w:tc>
        <w:tc>
          <w:tcPr>
            <w:tcW w:w="810" w:type="dxa"/>
            <w:tcBorders>
              <w:top w:val="nil"/>
              <w:left w:val="nil"/>
              <w:bottom w:val="single" w:sz="4" w:space="0" w:color="auto"/>
              <w:right w:val="single" w:sz="4" w:space="0" w:color="auto"/>
            </w:tcBorders>
            <w:shd w:val="clear" w:color="auto" w:fill="D9E2F3" w:themeFill="accent5" w:themeFillTint="33"/>
            <w:noWrap/>
            <w:vAlign w:val="center"/>
            <w:hideMark/>
          </w:tcPr>
          <w:p w14:paraId="446CE63B"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84.1</w:t>
            </w:r>
          </w:p>
        </w:tc>
        <w:tc>
          <w:tcPr>
            <w:tcW w:w="810" w:type="dxa"/>
            <w:tcBorders>
              <w:top w:val="nil"/>
              <w:left w:val="nil"/>
              <w:bottom w:val="single" w:sz="4" w:space="0" w:color="auto"/>
              <w:right w:val="single" w:sz="4" w:space="0" w:color="auto"/>
            </w:tcBorders>
            <w:shd w:val="clear" w:color="auto" w:fill="D9E2F3" w:themeFill="accent5" w:themeFillTint="33"/>
            <w:noWrap/>
            <w:vAlign w:val="center"/>
            <w:hideMark/>
          </w:tcPr>
          <w:p w14:paraId="20C941E6"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89.3</w:t>
            </w:r>
          </w:p>
        </w:tc>
        <w:tc>
          <w:tcPr>
            <w:tcW w:w="765" w:type="dxa"/>
            <w:tcBorders>
              <w:top w:val="nil"/>
              <w:left w:val="nil"/>
              <w:bottom w:val="single" w:sz="4" w:space="0" w:color="auto"/>
              <w:right w:val="single" w:sz="4" w:space="0" w:color="auto"/>
            </w:tcBorders>
            <w:shd w:val="clear" w:color="auto" w:fill="D9E2F3" w:themeFill="accent5" w:themeFillTint="33"/>
            <w:noWrap/>
            <w:vAlign w:val="center"/>
            <w:hideMark/>
          </w:tcPr>
          <w:p w14:paraId="63F1CD93"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91</w:t>
            </w:r>
          </w:p>
        </w:tc>
        <w:tc>
          <w:tcPr>
            <w:tcW w:w="746" w:type="dxa"/>
            <w:tcBorders>
              <w:top w:val="nil"/>
              <w:left w:val="nil"/>
              <w:bottom w:val="single" w:sz="4" w:space="0" w:color="auto"/>
              <w:right w:val="single" w:sz="4" w:space="0" w:color="auto"/>
            </w:tcBorders>
            <w:shd w:val="clear" w:color="auto" w:fill="D9E2F3" w:themeFill="accent5" w:themeFillTint="33"/>
            <w:noWrap/>
            <w:vAlign w:val="center"/>
            <w:hideMark/>
          </w:tcPr>
          <w:p w14:paraId="4E686302"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91.5</w:t>
            </w:r>
          </w:p>
        </w:tc>
        <w:tc>
          <w:tcPr>
            <w:tcW w:w="746" w:type="dxa"/>
            <w:tcBorders>
              <w:top w:val="nil"/>
              <w:left w:val="nil"/>
              <w:bottom w:val="single" w:sz="4" w:space="0" w:color="auto"/>
              <w:right w:val="single" w:sz="4" w:space="0" w:color="auto"/>
            </w:tcBorders>
            <w:shd w:val="clear" w:color="auto" w:fill="auto"/>
            <w:noWrap/>
            <w:vAlign w:val="center"/>
            <w:hideMark/>
          </w:tcPr>
          <w:p w14:paraId="15AB1F11"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81.1</w:t>
            </w:r>
          </w:p>
        </w:tc>
        <w:tc>
          <w:tcPr>
            <w:tcW w:w="746" w:type="dxa"/>
            <w:tcBorders>
              <w:top w:val="nil"/>
              <w:left w:val="nil"/>
              <w:bottom w:val="single" w:sz="4" w:space="0" w:color="auto"/>
              <w:right w:val="single" w:sz="4" w:space="0" w:color="auto"/>
            </w:tcBorders>
            <w:shd w:val="clear" w:color="auto" w:fill="auto"/>
            <w:noWrap/>
            <w:vAlign w:val="center"/>
            <w:hideMark/>
          </w:tcPr>
          <w:p w14:paraId="60D392C2"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88.5</w:t>
            </w:r>
          </w:p>
        </w:tc>
        <w:tc>
          <w:tcPr>
            <w:tcW w:w="746" w:type="dxa"/>
            <w:tcBorders>
              <w:top w:val="nil"/>
              <w:left w:val="nil"/>
              <w:bottom w:val="single" w:sz="4" w:space="0" w:color="auto"/>
              <w:right w:val="single" w:sz="4" w:space="0" w:color="auto"/>
            </w:tcBorders>
            <w:shd w:val="clear" w:color="auto" w:fill="auto"/>
            <w:noWrap/>
            <w:vAlign w:val="center"/>
            <w:hideMark/>
          </w:tcPr>
          <w:p w14:paraId="2FB21689"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93.5</w:t>
            </w:r>
          </w:p>
        </w:tc>
        <w:tc>
          <w:tcPr>
            <w:tcW w:w="746" w:type="dxa"/>
            <w:tcBorders>
              <w:top w:val="nil"/>
              <w:left w:val="nil"/>
              <w:bottom w:val="single" w:sz="4" w:space="0" w:color="auto"/>
              <w:right w:val="single" w:sz="4" w:space="0" w:color="auto"/>
            </w:tcBorders>
            <w:shd w:val="clear" w:color="auto" w:fill="auto"/>
            <w:noWrap/>
            <w:vAlign w:val="center"/>
            <w:hideMark/>
          </w:tcPr>
          <w:p w14:paraId="5E175B7C"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93.7</w:t>
            </w:r>
          </w:p>
        </w:tc>
      </w:tr>
      <w:tr w:rsidR="001F21D2" w:rsidRPr="00533642" w14:paraId="3020E3C2" w14:textId="77777777" w:rsidTr="005A7652">
        <w:trPr>
          <w:trHeight w:val="463"/>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28080A60" w14:textId="77777777" w:rsidR="001F21D2" w:rsidRPr="004255EE" w:rsidRDefault="001F21D2" w:rsidP="005A7652">
            <w:pPr>
              <w:keepNext/>
              <w:spacing w:after="0"/>
              <w:rPr>
                <w:rFonts w:ascii="Garamond" w:hAnsi="Garamond"/>
                <w:b/>
                <w:sz w:val="18"/>
                <w:szCs w:val="18"/>
              </w:rPr>
            </w:pPr>
            <w:r w:rsidRPr="004255EE">
              <w:rPr>
                <w:rFonts w:ascii="Garamond" w:hAnsi="Garamond"/>
                <w:b/>
                <w:sz w:val="18"/>
                <w:szCs w:val="18"/>
              </w:rPr>
              <w:t>JHS (</w:t>
            </w:r>
            <w:r>
              <w:rPr>
                <w:rFonts w:ascii="Garamond" w:hAnsi="Garamond"/>
                <w:b/>
                <w:sz w:val="18"/>
                <w:szCs w:val="18"/>
              </w:rPr>
              <w:t>Gross</w:t>
            </w:r>
            <w:r w:rsidRPr="004255EE">
              <w:rPr>
                <w:rFonts w:ascii="Garamond" w:hAnsi="Garamond"/>
                <w:b/>
                <w:sz w:val="18"/>
                <w:szCs w:val="18"/>
              </w:rPr>
              <w:t>)</w:t>
            </w:r>
          </w:p>
        </w:tc>
        <w:tc>
          <w:tcPr>
            <w:tcW w:w="810" w:type="dxa"/>
            <w:tcBorders>
              <w:top w:val="nil"/>
              <w:left w:val="nil"/>
              <w:bottom w:val="single" w:sz="4" w:space="0" w:color="auto"/>
              <w:right w:val="single" w:sz="4" w:space="0" w:color="auto"/>
            </w:tcBorders>
            <w:shd w:val="clear" w:color="auto" w:fill="D9E2F3" w:themeFill="accent5" w:themeFillTint="33"/>
            <w:noWrap/>
            <w:vAlign w:val="center"/>
            <w:hideMark/>
          </w:tcPr>
          <w:p w14:paraId="5782BE7E"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79.6</w:t>
            </w:r>
          </w:p>
        </w:tc>
        <w:tc>
          <w:tcPr>
            <w:tcW w:w="810" w:type="dxa"/>
            <w:tcBorders>
              <w:top w:val="nil"/>
              <w:left w:val="nil"/>
              <w:bottom w:val="single" w:sz="4" w:space="0" w:color="auto"/>
              <w:right w:val="single" w:sz="4" w:space="0" w:color="auto"/>
            </w:tcBorders>
            <w:shd w:val="clear" w:color="auto" w:fill="D9E2F3" w:themeFill="accent5" w:themeFillTint="33"/>
            <w:noWrap/>
            <w:vAlign w:val="center"/>
            <w:hideMark/>
          </w:tcPr>
          <w:p w14:paraId="4DD2DBC3"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80.6</w:t>
            </w:r>
          </w:p>
        </w:tc>
        <w:tc>
          <w:tcPr>
            <w:tcW w:w="810" w:type="dxa"/>
            <w:tcBorders>
              <w:top w:val="nil"/>
              <w:left w:val="nil"/>
              <w:bottom w:val="single" w:sz="4" w:space="0" w:color="auto"/>
              <w:right w:val="single" w:sz="4" w:space="0" w:color="auto"/>
            </w:tcBorders>
            <w:shd w:val="clear" w:color="auto" w:fill="D9E2F3" w:themeFill="accent5" w:themeFillTint="33"/>
            <w:noWrap/>
            <w:vAlign w:val="center"/>
            <w:hideMark/>
          </w:tcPr>
          <w:p w14:paraId="2D45A893"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82.2</w:t>
            </w:r>
          </w:p>
        </w:tc>
        <w:tc>
          <w:tcPr>
            <w:tcW w:w="810" w:type="dxa"/>
            <w:tcBorders>
              <w:top w:val="nil"/>
              <w:left w:val="nil"/>
              <w:bottom w:val="single" w:sz="4" w:space="0" w:color="auto"/>
              <w:right w:val="single" w:sz="4" w:space="0" w:color="auto"/>
            </w:tcBorders>
            <w:shd w:val="clear" w:color="auto" w:fill="D9E2F3" w:themeFill="accent5" w:themeFillTint="33"/>
            <w:noWrap/>
            <w:vAlign w:val="center"/>
            <w:hideMark/>
          </w:tcPr>
          <w:p w14:paraId="6460D5FC"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82</w:t>
            </w:r>
          </w:p>
        </w:tc>
        <w:tc>
          <w:tcPr>
            <w:tcW w:w="765" w:type="dxa"/>
            <w:tcBorders>
              <w:top w:val="nil"/>
              <w:left w:val="nil"/>
              <w:bottom w:val="single" w:sz="4" w:space="0" w:color="auto"/>
              <w:right w:val="single" w:sz="4" w:space="0" w:color="auto"/>
            </w:tcBorders>
            <w:shd w:val="clear" w:color="auto" w:fill="D9E2F3" w:themeFill="accent5" w:themeFillTint="33"/>
            <w:noWrap/>
            <w:vAlign w:val="center"/>
            <w:hideMark/>
          </w:tcPr>
          <w:p w14:paraId="71FE026E"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85.4</w:t>
            </w:r>
          </w:p>
        </w:tc>
        <w:tc>
          <w:tcPr>
            <w:tcW w:w="746" w:type="dxa"/>
            <w:tcBorders>
              <w:top w:val="nil"/>
              <w:left w:val="nil"/>
              <w:bottom w:val="single" w:sz="4" w:space="0" w:color="auto"/>
              <w:right w:val="single" w:sz="4" w:space="0" w:color="auto"/>
            </w:tcBorders>
            <w:shd w:val="clear" w:color="auto" w:fill="D9E2F3" w:themeFill="accent5" w:themeFillTint="33"/>
            <w:noWrap/>
            <w:vAlign w:val="center"/>
            <w:hideMark/>
          </w:tcPr>
          <w:p w14:paraId="38B026A7"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88</w:t>
            </w:r>
          </w:p>
        </w:tc>
        <w:tc>
          <w:tcPr>
            <w:tcW w:w="746" w:type="dxa"/>
            <w:tcBorders>
              <w:top w:val="nil"/>
              <w:left w:val="nil"/>
              <w:bottom w:val="single" w:sz="4" w:space="0" w:color="auto"/>
              <w:right w:val="single" w:sz="4" w:space="0" w:color="auto"/>
            </w:tcBorders>
            <w:shd w:val="clear" w:color="auto" w:fill="auto"/>
            <w:noWrap/>
            <w:vAlign w:val="center"/>
            <w:hideMark/>
          </w:tcPr>
          <w:p w14:paraId="58C7B5B3"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68.9</w:t>
            </w:r>
          </w:p>
        </w:tc>
        <w:tc>
          <w:tcPr>
            <w:tcW w:w="746" w:type="dxa"/>
            <w:tcBorders>
              <w:top w:val="nil"/>
              <w:left w:val="nil"/>
              <w:bottom w:val="single" w:sz="4" w:space="0" w:color="auto"/>
              <w:right w:val="single" w:sz="4" w:space="0" w:color="auto"/>
            </w:tcBorders>
            <w:shd w:val="clear" w:color="auto" w:fill="auto"/>
            <w:noWrap/>
            <w:vAlign w:val="center"/>
            <w:hideMark/>
          </w:tcPr>
          <w:p w14:paraId="0092767D"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67.6</w:t>
            </w:r>
          </w:p>
        </w:tc>
        <w:tc>
          <w:tcPr>
            <w:tcW w:w="746" w:type="dxa"/>
            <w:tcBorders>
              <w:top w:val="nil"/>
              <w:left w:val="nil"/>
              <w:bottom w:val="single" w:sz="4" w:space="0" w:color="auto"/>
              <w:right w:val="single" w:sz="4" w:space="0" w:color="auto"/>
            </w:tcBorders>
            <w:shd w:val="clear" w:color="auto" w:fill="auto"/>
            <w:noWrap/>
            <w:vAlign w:val="center"/>
            <w:hideMark/>
          </w:tcPr>
          <w:p w14:paraId="0DD84074"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73.7</w:t>
            </w:r>
          </w:p>
        </w:tc>
        <w:tc>
          <w:tcPr>
            <w:tcW w:w="746" w:type="dxa"/>
            <w:tcBorders>
              <w:top w:val="nil"/>
              <w:left w:val="nil"/>
              <w:bottom w:val="single" w:sz="4" w:space="0" w:color="auto"/>
              <w:right w:val="single" w:sz="4" w:space="0" w:color="auto"/>
            </w:tcBorders>
            <w:shd w:val="clear" w:color="auto" w:fill="auto"/>
            <w:noWrap/>
            <w:vAlign w:val="center"/>
            <w:hideMark/>
          </w:tcPr>
          <w:p w14:paraId="3C2D479B"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76.5</w:t>
            </w:r>
          </w:p>
        </w:tc>
      </w:tr>
      <w:tr w:rsidR="001F21D2" w:rsidRPr="00533642" w14:paraId="5CE8BF1C" w14:textId="77777777" w:rsidTr="005A7652">
        <w:trPr>
          <w:trHeight w:val="463"/>
          <w:jc w:val="center"/>
        </w:trPr>
        <w:tc>
          <w:tcPr>
            <w:tcW w:w="1615" w:type="dxa"/>
            <w:tcBorders>
              <w:top w:val="nil"/>
              <w:left w:val="single" w:sz="4" w:space="0" w:color="auto"/>
              <w:bottom w:val="single" w:sz="4" w:space="0" w:color="auto"/>
              <w:right w:val="single" w:sz="4" w:space="0" w:color="auto"/>
            </w:tcBorders>
            <w:shd w:val="clear" w:color="auto" w:fill="auto"/>
            <w:vAlign w:val="center"/>
            <w:hideMark/>
          </w:tcPr>
          <w:p w14:paraId="78CE4E8F" w14:textId="77777777" w:rsidR="001F21D2" w:rsidRPr="004255EE" w:rsidRDefault="001F21D2" w:rsidP="005A7652">
            <w:pPr>
              <w:keepNext/>
              <w:spacing w:after="0"/>
              <w:rPr>
                <w:rFonts w:ascii="Garamond" w:hAnsi="Garamond"/>
                <w:b/>
                <w:sz w:val="18"/>
                <w:szCs w:val="18"/>
              </w:rPr>
            </w:pPr>
            <w:r w:rsidRPr="004255EE">
              <w:rPr>
                <w:rFonts w:ascii="Garamond" w:hAnsi="Garamond"/>
                <w:b/>
                <w:sz w:val="18"/>
                <w:szCs w:val="18"/>
              </w:rPr>
              <w:t>JHS (</w:t>
            </w:r>
            <w:r>
              <w:rPr>
                <w:rFonts w:ascii="Garamond" w:hAnsi="Garamond"/>
                <w:b/>
                <w:sz w:val="18"/>
                <w:szCs w:val="18"/>
              </w:rPr>
              <w:t>Net</w:t>
            </w:r>
            <w:r w:rsidRPr="004255EE">
              <w:rPr>
                <w:rFonts w:ascii="Garamond" w:hAnsi="Garamond"/>
                <w:b/>
                <w:sz w:val="18"/>
                <w:szCs w:val="18"/>
              </w:rPr>
              <w:t>)</w:t>
            </w:r>
          </w:p>
        </w:tc>
        <w:tc>
          <w:tcPr>
            <w:tcW w:w="810" w:type="dxa"/>
            <w:tcBorders>
              <w:top w:val="nil"/>
              <w:left w:val="nil"/>
              <w:bottom w:val="single" w:sz="4" w:space="0" w:color="auto"/>
              <w:right w:val="single" w:sz="4" w:space="0" w:color="auto"/>
            </w:tcBorders>
            <w:shd w:val="clear" w:color="auto" w:fill="D9E2F3" w:themeFill="accent5" w:themeFillTint="33"/>
            <w:noWrap/>
            <w:vAlign w:val="center"/>
            <w:hideMark/>
          </w:tcPr>
          <w:p w14:paraId="1DA8AFEC"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46.1</w:t>
            </w:r>
          </w:p>
        </w:tc>
        <w:tc>
          <w:tcPr>
            <w:tcW w:w="810" w:type="dxa"/>
            <w:tcBorders>
              <w:top w:val="nil"/>
              <w:left w:val="nil"/>
              <w:bottom w:val="single" w:sz="4" w:space="0" w:color="auto"/>
              <w:right w:val="single" w:sz="4" w:space="0" w:color="auto"/>
            </w:tcBorders>
            <w:shd w:val="clear" w:color="auto" w:fill="D9E2F3" w:themeFill="accent5" w:themeFillTint="33"/>
            <w:noWrap/>
            <w:vAlign w:val="center"/>
            <w:hideMark/>
          </w:tcPr>
          <w:p w14:paraId="6B71C0D5"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46.1</w:t>
            </w:r>
          </w:p>
        </w:tc>
        <w:tc>
          <w:tcPr>
            <w:tcW w:w="810" w:type="dxa"/>
            <w:tcBorders>
              <w:top w:val="nil"/>
              <w:left w:val="nil"/>
              <w:bottom w:val="single" w:sz="4" w:space="0" w:color="auto"/>
              <w:right w:val="single" w:sz="4" w:space="0" w:color="auto"/>
            </w:tcBorders>
            <w:shd w:val="clear" w:color="auto" w:fill="D9E2F3" w:themeFill="accent5" w:themeFillTint="33"/>
            <w:noWrap/>
            <w:vAlign w:val="center"/>
            <w:hideMark/>
          </w:tcPr>
          <w:p w14:paraId="05FF8BE4"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47.8</w:t>
            </w:r>
          </w:p>
        </w:tc>
        <w:tc>
          <w:tcPr>
            <w:tcW w:w="810" w:type="dxa"/>
            <w:tcBorders>
              <w:top w:val="nil"/>
              <w:left w:val="nil"/>
              <w:bottom w:val="single" w:sz="4" w:space="0" w:color="auto"/>
              <w:right w:val="single" w:sz="4" w:space="0" w:color="auto"/>
            </w:tcBorders>
            <w:shd w:val="clear" w:color="auto" w:fill="D9E2F3" w:themeFill="accent5" w:themeFillTint="33"/>
            <w:noWrap/>
            <w:vAlign w:val="center"/>
            <w:hideMark/>
          </w:tcPr>
          <w:p w14:paraId="37A65B82"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49.2</w:t>
            </w:r>
          </w:p>
        </w:tc>
        <w:tc>
          <w:tcPr>
            <w:tcW w:w="765" w:type="dxa"/>
            <w:tcBorders>
              <w:top w:val="nil"/>
              <w:left w:val="nil"/>
              <w:bottom w:val="single" w:sz="4" w:space="0" w:color="auto"/>
              <w:right w:val="single" w:sz="4" w:space="0" w:color="auto"/>
            </w:tcBorders>
            <w:shd w:val="clear" w:color="auto" w:fill="D9E2F3" w:themeFill="accent5" w:themeFillTint="33"/>
            <w:noWrap/>
            <w:vAlign w:val="center"/>
            <w:hideMark/>
          </w:tcPr>
          <w:p w14:paraId="04114E1E"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49</w:t>
            </w:r>
          </w:p>
        </w:tc>
        <w:tc>
          <w:tcPr>
            <w:tcW w:w="746" w:type="dxa"/>
            <w:tcBorders>
              <w:top w:val="nil"/>
              <w:left w:val="nil"/>
              <w:bottom w:val="single" w:sz="4" w:space="0" w:color="auto"/>
              <w:right w:val="single" w:sz="4" w:space="0" w:color="auto"/>
            </w:tcBorders>
            <w:shd w:val="clear" w:color="auto" w:fill="D9E2F3" w:themeFill="accent5" w:themeFillTint="33"/>
            <w:noWrap/>
            <w:vAlign w:val="center"/>
            <w:hideMark/>
          </w:tcPr>
          <w:p w14:paraId="26EE77BE"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50.3</w:t>
            </w:r>
          </w:p>
        </w:tc>
        <w:tc>
          <w:tcPr>
            <w:tcW w:w="746" w:type="dxa"/>
            <w:tcBorders>
              <w:top w:val="nil"/>
              <w:left w:val="nil"/>
              <w:bottom w:val="single" w:sz="4" w:space="0" w:color="auto"/>
              <w:right w:val="single" w:sz="4" w:space="0" w:color="auto"/>
            </w:tcBorders>
            <w:shd w:val="clear" w:color="auto" w:fill="auto"/>
            <w:noWrap/>
            <w:vAlign w:val="center"/>
            <w:hideMark/>
          </w:tcPr>
          <w:p w14:paraId="25747942"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34.8</w:t>
            </w:r>
          </w:p>
        </w:tc>
        <w:tc>
          <w:tcPr>
            <w:tcW w:w="746" w:type="dxa"/>
            <w:tcBorders>
              <w:top w:val="nil"/>
              <w:left w:val="nil"/>
              <w:bottom w:val="single" w:sz="4" w:space="0" w:color="auto"/>
              <w:right w:val="single" w:sz="4" w:space="0" w:color="auto"/>
            </w:tcBorders>
            <w:shd w:val="clear" w:color="auto" w:fill="auto"/>
            <w:noWrap/>
            <w:vAlign w:val="center"/>
            <w:hideMark/>
          </w:tcPr>
          <w:p w14:paraId="005CAC87"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38.4</w:t>
            </w:r>
          </w:p>
        </w:tc>
        <w:tc>
          <w:tcPr>
            <w:tcW w:w="746" w:type="dxa"/>
            <w:tcBorders>
              <w:top w:val="nil"/>
              <w:left w:val="nil"/>
              <w:bottom w:val="single" w:sz="4" w:space="0" w:color="auto"/>
              <w:right w:val="single" w:sz="4" w:space="0" w:color="auto"/>
            </w:tcBorders>
            <w:shd w:val="clear" w:color="auto" w:fill="auto"/>
            <w:noWrap/>
            <w:vAlign w:val="center"/>
            <w:hideMark/>
          </w:tcPr>
          <w:p w14:paraId="7E535875"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38.5</w:t>
            </w:r>
          </w:p>
        </w:tc>
        <w:tc>
          <w:tcPr>
            <w:tcW w:w="746" w:type="dxa"/>
            <w:tcBorders>
              <w:top w:val="nil"/>
              <w:left w:val="nil"/>
              <w:bottom w:val="single" w:sz="4" w:space="0" w:color="auto"/>
              <w:right w:val="single" w:sz="4" w:space="0" w:color="auto"/>
            </w:tcBorders>
            <w:shd w:val="clear" w:color="auto" w:fill="auto"/>
            <w:noWrap/>
            <w:vAlign w:val="center"/>
            <w:hideMark/>
          </w:tcPr>
          <w:p w14:paraId="5E758128" w14:textId="77777777" w:rsidR="001F21D2" w:rsidRPr="004255EE" w:rsidRDefault="001F21D2" w:rsidP="005A7652">
            <w:pPr>
              <w:keepNext/>
              <w:spacing w:after="0"/>
              <w:jc w:val="center"/>
              <w:rPr>
                <w:rFonts w:ascii="Garamond" w:hAnsi="Garamond"/>
                <w:sz w:val="18"/>
                <w:szCs w:val="18"/>
              </w:rPr>
            </w:pPr>
            <w:r w:rsidRPr="004255EE">
              <w:rPr>
                <w:rFonts w:ascii="Garamond" w:hAnsi="Garamond"/>
                <w:sz w:val="18"/>
                <w:szCs w:val="18"/>
              </w:rPr>
              <w:t>41.9</w:t>
            </w:r>
          </w:p>
        </w:tc>
      </w:tr>
    </w:tbl>
    <w:p w14:paraId="67F87E5E" w14:textId="77777777" w:rsidR="001F21D2" w:rsidRPr="00533642" w:rsidRDefault="001F21D2" w:rsidP="001F21D2">
      <w:pPr>
        <w:rPr>
          <w:rFonts w:ascii="Garamond" w:hAnsi="Garamond"/>
        </w:rPr>
      </w:pPr>
      <w:r w:rsidRPr="00D775DD">
        <w:rPr>
          <w:rFonts w:ascii="Garamond" w:hAnsi="Garamond" w:cstheme="minorHAnsi"/>
          <w:i/>
          <w:sz w:val="20"/>
        </w:rPr>
        <w:t>Source</w:t>
      </w:r>
      <w:r w:rsidRPr="00533642">
        <w:rPr>
          <w:rFonts w:ascii="Garamond" w:hAnsi="Garamond" w:cstheme="minorHAnsi"/>
          <w:sz w:val="20"/>
        </w:rPr>
        <w:t>: Ministry of Education, 2016</w:t>
      </w:r>
    </w:p>
    <w:p w14:paraId="4314DD40" w14:textId="77777777" w:rsidR="001F21D2" w:rsidRPr="00533642" w:rsidRDefault="001F21D2" w:rsidP="00724BAB">
      <w:pPr>
        <w:pStyle w:val="ListParagraph"/>
        <w:numPr>
          <w:ilvl w:val="0"/>
          <w:numId w:val="9"/>
        </w:numPr>
      </w:pPr>
      <w:r w:rsidRPr="00D775DD">
        <w:rPr>
          <w:b/>
        </w:rPr>
        <w:t xml:space="preserve">Since the 2012/13 school year, gender parity </w:t>
      </w:r>
      <w:r>
        <w:rPr>
          <w:b/>
        </w:rPr>
        <w:t>indicators</w:t>
      </w:r>
      <w:r w:rsidRPr="00D775DD">
        <w:rPr>
          <w:b/>
        </w:rPr>
        <w:t xml:space="preserve"> </w:t>
      </w:r>
      <w:r>
        <w:rPr>
          <w:b/>
        </w:rPr>
        <w:t xml:space="preserve">have </w:t>
      </w:r>
      <w:r w:rsidRPr="00D775DD">
        <w:rPr>
          <w:b/>
        </w:rPr>
        <w:t xml:space="preserve">improved across all levels of </w:t>
      </w:r>
      <w:r>
        <w:rPr>
          <w:b/>
        </w:rPr>
        <w:t>the</w:t>
      </w:r>
      <w:r w:rsidRPr="00D775DD">
        <w:rPr>
          <w:b/>
        </w:rPr>
        <w:t xml:space="preserve"> primary and secondary school system.</w:t>
      </w:r>
      <w:r w:rsidRPr="00D775DD">
        <w:t xml:space="preserve"> </w:t>
      </w:r>
      <w:r>
        <w:t xml:space="preserve">The most significant progress has been made at the lower grade levels, while modest gender disparities persist at the </w:t>
      </w:r>
      <w:r w:rsidR="007177C6">
        <w:t>J</w:t>
      </w:r>
      <w:r>
        <w:t>HS and SHS levels. Ghana’s relatively strong performance on gender parity indicators reflects the government’s history of national enrollment drives, scholarships for female students and the deployment of district education officers specifically charged with improving educational outcomes among girls. In addition, Ghana’s development partners, particularly the U</w:t>
      </w:r>
      <w:r w:rsidR="00184C26">
        <w:t xml:space="preserve">nited </w:t>
      </w:r>
      <w:r>
        <w:t>K</w:t>
      </w:r>
      <w:r w:rsidR="00184C26">
        <w:t>ingdom</w:t>
      </w:r>
      <w:r>
        <w:t xml:space="preserve"> and the U</w:t>
      </w:r>
      <w:r w:rsidR="00184C26">
        <w:t xml:space="preserve">nited </w:t>
      </w:r>
      <w:r>
        <w:t>N</w:t>
      </w:r>
      <w:r w:rsidR="00184C26">
        <w:t>ations</w:t>
      </w:r>
      <w:r>
        <w:t xml:space="preserve">, have provided robust support for female education over the past decade. </w:t>
      </w:r>
      <w:r w:rsidRPr="00533642">
        <w:t>M</w:t>
      </w:r>
      <w:r w:rsidRPr="00D775DD">
        <w:t xml:space="preserve">ore girls than boys </w:t>
      </w:r>
      <w:r w:rsidRPr="00533642">
        <w:t xml:space="preserve">have </w:t>
      </w:r>
      <w:r w:rsidRPr="00D775DD">
        <w:t xml:space="preserve">enrolled </w:t>
      </w:r>
      <w:r w:rsidRPr="00533642">
        <w:t xml:space="preserve">in kindergarten </w:t>
      </w:r>
      <w:r>
        <w:t xml:space="preserve">each year </w:t>
      </w:r>
      <w:r w:rsidRPr="00D775DD">
        <w:t xml:space="preserve">since 2012/13, </w:t>
      </w:r>
      <w:r>
        <w:t>and</w:t>
      </w:r>
      <w:r w:rsidRPr="00533642">
        <w:t xml:space="preserve"> a </w:t>
      </w:r>
      <w:r>
        <w:t xml:space="preserve">modest decline in the female-to-male enrollment ratio </w:t>
      </w:r>
      <w:r w:rsidRPr="00533642">
        <w:t>between 2014/15 and</w:t>
      </w:r>
      <w:r w:rsidRPr="00D775DD">
        <w:t xml:space="preserve"> 2015/16</w:t>
      </w:r>
      <w:r w:rsidRPr="00533642">
        <w:t xml:space="preserve"> indicated a shift back toward parity</w:t>
      </w:r>
      <w:r w:rsidRPr="00D775DD">
        <w:t xml:space="preserve">. </w:t>
      </w:r>
      <w:r>
        <w:t>Gender parity indicators have improved at all</w:t>
      </w:r>
      <w:r w:rsidRPr="00533642">
        <w:rPr>
          <w:color w:val="000000"/>
        </w:rPr>
        <w:t xml:space="preserve"> primary and secondary levels </w:t>
      </w:r>
      <w:r w:rsidRPr="00D775DD">
        <w:rPr>
          <w:color w:val="000000"/>
        </w:rPr>
        <w:t>since 2013/14</w:t>
      </w:r>
      <w:r w:rsidRPr="00533642">
        <w:rPr>
          <w:color w:val="000000"/>
        </w:rPr>
        <w:t xml:space="preserve">, and the </w:t>
      </w:r>
      <w:r>
        <w:rPr>
          <w:color w:val="000000"/>
        </w:rPr>
        <w:t xml:space="preserve">female-to-male </w:t>
      </w:r>
      <w:r w:rsidRPr="00533642">
        <w:rPr>
          <w:color w:val="000000"/>
        </w:rPr>
        <w:t>enro</w:t>
      </w:r>
      <w:r>
        <w:rPr>
          <w:color w:val="000000"/>
        </w:rPr>
        <w:t>l</w:t>
      </w:r>
      <w:r w:rsidRPr="00533642">
        <w:rPr>
          <w:color w:val="000000"/>
        </w:rPr>
        <w:t>lment ratio is now above 0.9:1 at every level</w:t>
      </w:r>
      <w:r w:rsidRPr="00D775DD">
        <w:rPr>
          <w:color w:val="000000"/>
        </w:rPr>
        <w:t>.</w:t>
      </w:r>
      <w:r>
        <w:rPr>
          <w:color w:val="000000"/>
        </w:rPr>
        <w:t xml:space="preserve"> </w:t>
      </w:r>
    </w:p>
    <w:p w14:paraId="1278B8D1" w14:textId="77777777" w:rsidR="001F21D2" w:rsidRPr="00533642" w:rsidRDefault="00657AA2" w:rsidP="00CC6F65">
      <w:pPr>
        <w:pStyle w:val="Caption"/>
      </w:pPr>
      <w:r>
        <w:t>Figure</w:t>
      </w:r>
      <w:r w:rsidR="001F21D2" w:rsidRPr="00533642">
        <w:t xml:space="preserve"> </w:t>
      </w:r>
      <w:r w:rsidR="005C0067">
        <w:fldChar w:fldCharType="begin"/>
      </w:r>
      <w:r w:rsidR="005C0067">
        <w:instrText xml:space="preserve"> STYLEREF 1 \s </w:instrText>
      </w:r>
      <w:r w:rsidR="005C0067">
        <w:fldChar w:fldCharType="separate"/>
      </w:r>
      <w:r w:rsidR="007B1CE6">
        <w:rPr>
          <w:noProof/>
        </w:rPr>
        <w:t>4</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7</w:t>
      </w:r>
      <w:r w:rsidR="005C0067">
        <w:fldChar w:fldCharType="end"/>
      </w:r>
      <w:r w:rsidR="001F21D2" w:rsidRPr="00533642">
        <w:t xml:space="preserve">: </w:t>
      </w:r>
      <w:r w:rsidR="001F21D2">
        <w:t xml:space="preserve">Female-to-Male Enrollment Ratios </w:t>
      </w:r>
      <w:r w:rsidR="001F21D2" w:rsidRPr="00533642">
        <w:t xml:space="preserve">by </w:t>
      </w:r>
      <w:r w:rsidR="001F21D2">
        <w:t xml:space="preserve">Education </w:t>
      </w:r>
      <w:r w:rsidR="001F21D2" w:rsidRPr="00533642">
        <w:t>Level, 2010/11-2015/16</w:t>
      </w:r>
    </w:p>
    <w:p w14:paraId="3C56F83A" w14:textId="77777777" w:rsidR="001F21D2" w:rsidRPr="00533642" w:rsidRDefault="005039AB" w:rsidP="001F21D2">
      <w:pPr>
        <w:spacing w:after="0"/>
        <w:jc w:val="center"/>
        <w:rPr>
          <w:rFonts w:ascii="Garamond" w:hAnsi="Garamond"/>
          <w:color w:val="000000"/>
        </w:rPr>
      </w:pPr>
      <w:r>
        <w:rPr>
          <w:noProof/>
        </w:rPr>
        <w:drawing>
          <wp:inline distT="0" distB="0" distL="0" distR="0" wp14:anchorId="7A6B8D71" wp14:editId="0B1E1165">
            <wp:extent cx="4572000" cy="27432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F7D9BCA" w14:textId="77777777" w:rsidR="001F21D2" w:rsidRPr="00533642" w:rsidRDefault="001F21D2" w:rsidP="001F21D2">
      <w:pPr>
        <w:rPr>
          <w:rFonts w:ascii="Garamond" w:hAnsi="Garamond"/>
        </w:rPr>
      </w:pPr>
      <w:r w:rsidRPr="00D775DD">
        <w:rPr>
          <w:rFonts w:ascii="Garamond" w:hAnsi="Garamond" w:cstheme="minorHAnsi"/>
          <w:i/>
          <w:sz w:val="20"/>
        </w:rPr>
        <w:t>Source</w:t>
      </w:r>
      <w:r w:rsidRPr="00533642">
        <w:rPr>
          <w:rFonts w:ascii="Garamond" w:hAnsi="Garamond" w:cstheme="minorHAnsi"/>
          <w:sz w:val="20"/>
        </w:rPr>
        <w:t>: Ministry of Education, 2016</w:t>
      </w:r>
    </w:p>
    <w:p w14:paraId="40CE829A" w14:textId="77777777" w:rsidR="001F21D2" w:rsidRPr="004255EE" w:rsidRDefault="001F21D2" w:rsidP="00724BAB">
      <w:pPr>
        <w:pStyle w:val="ListParagraph"/>
        <w:numPr>
          <w:ilvl w:val="0"/>
          <w:numId w:val="9"/>
        </w:numPr>
      </w:pPr>
      <w:r w:rsidRPr="000F2237">
        <w:rPr>
          <w:b/>
        </w:rPr>
        <w:lastRenderedPageBreak/>
        <w:t xml:space="preserve">A key strategic objective of the draft Education Sector Plan 2020 is to </w:t>
      </w:r>
      <w:r>
        <w:rPr>
          <w:b/>
        </w:rPr>
        <w:t>increase the rate at which JHS graduates transition to higher education levels</w:t>
      </w:r>
      <w:r w:rsidRPr="000F2237">
        <w:rPr>
          <w:b/>
        </w:rPr>
        <w:t>.</w:t>
      </w:r>
      <w:r>
        <w:t xml:space="preserve"> The government is attempting to expand opportunities for JHS graduates to access SHS, TVET, and professional training and apprenticeship programs. The target population of 15- to 17-year-olds was estimated at 1.76 million in 2015, of which about 800,000 are already enrolled in SHS, while another 42,500 are enrolled in TVET.</w:t>
      </w:r>
      <w:r>
        <w:rPr>
          <w:rStyle w:val="FootnoteReference"/>
        </w:rPr>
        <w:footnoteReference w:id="123"/>
      </w:r>
      <w:r>
        <w:t xml:space="preserve"> This leaves just over 900,000 young people whom the government aims to enroll in some form of secondary or technical education.  </w:t>
      </w:r>
    </w:p>
    <w:p w14:paraId="4D752F47" w14:textId="77777777" w:rsidR="001F21D2" w:rsidRPr="00D775DD" w:rsidRDefault="001F21D2" w:rsidP="00724BAB">
      <w:pPr>
        <w:pStyle w:val="ListParagraph"/>
        <w:numPr>
          <w:ilvl w:val="0"/>
          <w:numId w:val="9"/>
        </w:numPr>
      </w:pPr>
      <w:r w:rsidRPr="00D775DD">
        <w:rPr>
          <w:b/>
        </w:rPr>
        <w:t>Ghana’s tertiary education system has expanded rapidly, and enrollment rates steadily increased between 2010/11 and 2014/15.</w:t>
      </w:r>
      <w:r w:rsidRPr="00D775DD">
        <w:t xml:space="preserve"> </w:t>
      </w:r>
      <w:r>
        <w:t>The tertiary education system includes public and private universities, technical colleges</w:t>
      </w:r>
      <w:r w:rsidR="00DD2A5E">
        <w:t>,</w:t>
      </w:r>
      <w:r>
        <w:t xml:space="preserve"> and specialized professional institutions. Total tertiary enrollment increased from 218,000 in 2010/11 to 321,000 in 2014/15. Private institutions account for 23 percent of tertiary enrollment, and about 40 percent of tertiary students are f</w:t>
      </w:r>
      <w:r w:rsidRPr="00D775DD">
        <w:t>emale</w:t>
      </w:r>
      <w:r w:rsidRPr="00533642">
        <w:t>. In 2014/15</w:t>
      </w:r>
      <w:r>
        <w:t>, the share of</w:t>
      </w:r>
      <w:r w:rsidRPr="00533642">
        <w:t xml:space="preserve"> female students </w:t>
      </w:r>
      <w:r>
        <w:t>ranged from</w:t>
      </w:r>
      <w:r w:rsidRPr="00533642">
        <w:t xml:space="preserve"> 3</w:t>
      </w:r>
      <w:r>
        <w:t>4</w:t>
      </w:r>
      <w:r w:rsidRPr="00533642">
        <w:t xml:space="preserve"> percent </w:t>
      </w:r>
      <w:r>
        <w:t>in</w:t>
      </w:r>
      <w:r w:rsidRPr="00533642">
        <w:t xml:space="preserve"> polytechnics </w:t>
      </w:r>
      <w:r>
        <w:t xml:space="preserve">to </w:t>
      </w:r>
      <w:r w:rsidRPr="00D775DD">
        <w:t xml:space="preserve">44 percent </w:t>
      </w:r>
      <w:r>
        <w:t>in teacher-training colleges</w:t>
      </w:r>
      <w:r w:rsidRPr="00D775DD">
        <w:t>.</w:t>
      </w:r>
      <w:r w:rsidRPr="00D775DD" w:rsidDel="006D44B5">
        <w:t xml:space="preserve"> </w:t>
      </w:r>
    </w:p>
    <w:p w14:paraId="23A38EC3" w14:textId="77777777" w:rsidR="001F21D2" w:rsidRPr="00533642" w:rsidRDefault="001F21D2" w:rsidP="00724BAB">
      <w:pPr>
        <w:pStyle w:val="ListParagraph"/>
        <w:numPr>
          <w:ilvl w:val="0"/>
          <w:numId w:val="9"/>
        </w:numPr>
      </w:pPr>
      <w:r w:rsidRPr="00D775DD">
        <w:rPr>
          <w:b/>
        </w:rPr>
        <w:t xml:space="preserve">Ghana </w:t>
      </w:r>
      <w:r>
        <w:rPr>
          <w:b/>
        </w:rPr>
        <w:t>is</w:t>
      </w:r>
      <w:r w:rsidRPr="00D775DD">
        <w:rPr>
          <w:b/>
        </w:rPr>
        <w:t xml:space="preserve"> implement</w:t>
      </w:r>
      <w:r>
        <w:rPr>
          <w:b/>
        </w:rPr>
        <w:t>ing</w:t>
      </w:r>
      <w:r w:rsidRPr="00D775DD">
        <w:rPr>
          <w:b/>
        </w:rPr>
        <w:t xml:space="preserve"> a policy </w:t>
      </w:r>
      <w:r>
        <w:rPr>
          <w:b/>
        </w:rPr>
        <w:t>designed</w:t>
      </w:r>
      <w:r w:rsidRPr="00D775DD">
        <w:rPr>
          <w:b/>
        </w:rPr>
        <w:t xml:space="preserve"> </w:t>
      </w:r>
      <w:r>
        <w:rPr>
          <w:b/>
        </w:rPr>
        <w:t>to expand</w:t>
      </w:r>
      <w:r w:rsidRPr="00D775DD">
        <w:rPr>
          <w:b/>
        </w:rPr>
        <w:t xml:space="preserve"> science, technology, engineering and mathematics (STEM) education.</w:t>
      </w:r>
      <w:r w:rsidRPr="00D775DD">
        <w:t xml:space="preserve"> The government continues to make progress to</w:t>
      </w:r>
      <w:r w:rsidRPr="00533642">
        <w:t xml:space="preserve">ward its target </w:t>
      </w:r>
      <w:r>
        <w:t>rate</w:t>
      </w:r>
      <w:r w:rsidRPr="00D775DD">
        <w:t xml:space="preserve"> of 6</w:t>
      </w:r>
      <w:r>
        <w:t>0 percent</w:t>
      </w:r>
      <w:r w:rsidRPr="00D775DD">
        <w:t xml:space="preserve"> enrol</w:t>
      </w:r>
      <w:r>
        <w:t>l</w:t>
      </w:r>
      <w:r w:rsidRPr="00D775DD">
        <w:t xml:space="preserve">ment in STEM </w:t>
      </w:r>
      <w:r w:rsidRPr="00533642">
        <w:t>versus</w:t>
      </w:r>
      <w:r>
        <w:t xml:space="preserve"> 40 percent in</w:t>
      </w:r>
      <w:r w:rsidRPr="00533642">
        <w:t xml:space="preserve"> h</w:t>
      </w:r>
      <w:r w:rsidRPr="00D775DD">
        <w:t xml:space="preserve">umanities and </w:t>
      </w:r>
      <w:r w:rsidRPr="00533642">
        <w:t>a</w:t>
      </w:r>
      <w:r w:rsidRPr="00D775DD">
        <w:t xml:space="preserve">rts. </w:t>
      </w:r>
      <w:r>
        <w:t>The share of STEM enrollment rose from 34.6 percent in 2009/10 to 41 percent in 2014/15.</w:t>
      </w:r>
      <w:r>
        <w:rPr>
          <w:rStyle w:val="FootnoteReference"/>
        </w:rPr>
        <w:footnoteReference w:id="124"/>
      </w:r>
      <w:r>
        <w:t xml:space="preserve"> In Ghana’s</w:t>
      </w:r>
      <w:r w:rsidRPr="00D775DD">
        <w:t xml:space="preserve"> polytechnics, </w:t>
      </w:r>
      <w:r w:rsidRPr="00533642">
        <w:t>STEM enrol</w:t>
      </w:r>
      <w:r>
        <w:t>l</w:t>
      </w:r>
      <w:r w:rsidRPr="00533642">
        <w:t>ment grew by</w:t>
      </w:r>
      <w:r w:rsidRPr="00D775DD">
        <w:t xml:space="preserve"> 89 percent in just </w:t>
      </w:r>
      <w:r>
        <w:t>four</w:t>
      </w:r>
      <w:r w:rsidRPr="00D775DD">
        <w:t xml:space="preserve"> years. </w:t>
      </w:r>
      <w:r>
        <w:t xml:space="preserve">The government is encouraging both secondary and tertiary institutions to expand opportunities for STEM enrollment. </w:t>
      </w:r>
    </w:p>
    <w:p w14:paraId="54A88BC1" w14:textId="77777777" w:rsidR="001F21D2" w:rsidRPr="00C8170B" w:rsidRDefault="00013321" w:rsidP="00013321">
      <w:pPr>
        <w:pStyle w:val="Caption"/>
        <w:rPr>
          <w:lang w:val="en-US"/>
        </w:rPr>
      </w:pPr>
      <w:bookmarkStart w:id="172" w:name="_Toc478837654"/>
      <w:r w:rsidRPr="00C8170B">
        <w:rPr>
          <w:lang w:val="en-US"/>
        </w:rPr>
        <w:t xml:space="preserve">Table </w:t>
      </w:r>
      <w:r w:rsidR="00500291" w:rsidRPr="00C8170B">
        <w:rPr>
          <w:lang w:val="en-US"/>
        </w:rPr>
        <w:fldChar w:fldCharType="begin"/>
      </w:r>
      <w:r w:rsidR="00500291" w:rsidRPr="00C8170B">
        <w:rPr>
          <w:lang w:val="en-US"/>
        </w:rPr>
        <w:instrText xml:space="preserve"> STYLEREF 1 \s </w:instrText>
      </w:r>
      <w:r w:rsidR="00500291" w:rsidRPr="00C8170B">
        <w:rPr>
          <w:lang w:val="en-US"/>
        </w:rPr>
        <w:fldChar w:fldCharType="separate"/>
      </w:r>
      <w:r w:rsidR="007B1CE6">
        <w:rPr>
          <w:noProof/>
          <w:lang w:val="en-US"/>
        </w:rPr>
        <w:t>4</w:t>
      </w:r>
      <w:r w:rsidR="00500291" w:rsidRPr="00C8170B">
        <w:rPr>
          <w:lang w:val="en-US"/>
        </w:rPr>
        <w:fldChar w:fldCharType="end"/>
      </w:r>
      <w:r w:rsidR="00500291" w:rsidRPr="00C8170B">
        <w:rPr>
          <w:lang w:val="en-US"/>
        </w:rPr>
        <w:t>.</w:t>
      </w:r>
      <w:r w:rsidR="00500291" w:rsidRPr="00C8170B">
        <w:rPr>
          <w:lang w:val="en-US"/>
        </w:rPr>
        <w:fldChar w:fldCharType="begin"/>
      </w:r>
      <w:r w:rsidR="00500291" w:rsidRPr="00C8170B">
        <w:rPr>
          <w:lang w:val="en-US"/>
        </w:rPr>
        <w:instrText xml:space="preserve"> SEQ Table \* ARABIC \s 1 </w:instrText>
      </w:r>
      <w:r w:rsidR="00500291" w:rsidRPr="00C8170B">
        <w:rPr>
          <w:lang w:val="en-US"/>
        </w:rPr>
        <w:fldChar w:fldCharType="separate"/>
      </w:r>
      <w:r w:rsidR="007B1CE6">
        <w:rPr>
          <w:noProof/>
          <w:lang w:val="en-US"/>
        </w:rPr>
        <w:t>6</w:t>
      </w:r>
      <w:r w:rsidR="00500291" w:rsidRPr="00C8170B">
        <w:rPr>
          <w:lang w:val="en-US"/>
        </w:rPr>
        <w:fldChar w:fldCharType="end"/>
      </w:r>
      <w:r w:rsidR="001F21D2" w:rsidRPr="00C8170B">
        <w:rPr>
          <w:lang w:val="en-US"/>
        </w:rPr>
        <w:t>: STEM Enrollment and Total Tertiary Enrollment (%)</w:t>
      </w:r>
      <w:bookmarkEnd w:id="172"/>
    </w:p>
    <w:tbl>
      <w:tblPr>
        <w:tblW w:w="8448" w:type="dxa"/>
        <w:jc w:val="center"/>
        <w:tblLook w:val="04A0" w:firstRow="1" w:lastRow="0" w:firstColumn="1" w:lastColumn="0" w:noHBand="0" w:noVBand="1"/>
      </w:tblPr>
      <w:tblGrid>
        <w:gridCol w:w="3433"/>
        <w:gridCol w:w="1003"/>
        <w:gridCol w:w="1003"/>
        <w:gridCol w:w="1003"/>
        <w:gridCol w:w="1003"/>
        <w:gridCol w:w="1003"/>
      </w:tblGrid>
      <w:tr w:rsidR="001F21D2" w:rsidRPr="00533642" w14:paraId="4D776340" w14:textId="77777777" w:rsidTr="005A7652">
        <w:trPr>
          <w:trHeight w:val="290"/>
          <w:jc w:val="center"/>
        </w:trPr>
        <w:tc>
          <w:tcPr>
            <w:tcW w:w="3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65ECD"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 </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4C6FC9B2"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 xml:space="preserve">2010/11 </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779988BA"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 xml:space="preserve">2011/12 </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581F4A52"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 xml:space="preserve">2012/13 </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43730448"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 xml:space="preserve">2013/14 </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14:paraId="2E78057D"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 xml:space="preserve">2014/15 </w:t>
            </w:r>
          </w:p>
        </w:tc>
      </w:tr>
      <w:tr w:rsidR="001F21D2" w:rsidRPr="00533642" w14:paraId="3977231A" w14:textId="77777777" w:rsidTr="005A7652">
        <w:trPr>
          <w:trHeight w:val="290"/>
          <w:jc w:val="center"/>
        </w:trPr>
        <w:tc>
          <w:tcPr>
            <w:tcW w:w="3433" w:type="dxa"/>
            <w:tcBorders>
              <w:top w:val="nil"/>
              <w:left w:val="single" w:sz="4" w:space="0" w:color="auto"/>
              <w:bottom w:val="single" w:sz="4" w:space="0" w:color="auto"/>
              <w:right w:val="single" w:sz="4" w:space="0" w:color="auto"/>
            </w:tcBorders>
            <w:shd w:val="clear" w:color="auto" w:fill="auto"/>
            <w:noWrap/>
            <w:vAlign w:val="center"/>
            <w:hideMark/>
          </w:tcPr>
          <w:p w14:paraId="78277C17"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Total tertiary enrol</w:t>
            </w:r>
            <w:r>
              <w:rPr>
                <w:rFonts w:ascii="Garamond" w:hAnsi="Garamond"/>
                <w:sz w:val="20"/>
                <w:szCs w:val="20"/>
              </w:rPr>
              <w:t>l</w:t>
            </w:r>
            <w:r w:rsidRPr="00D775DD">
              <w:rPr>
                <w:rFonts w:ascii="Garamond" w:hAnsi="Garamond"/>
                <w:sz w:val="20"/>
                <w:szCs w:val="20"/>
              </w:rPr>
              <w:t xml:space="preserve">ment </w:t>
            </w:r>
          </w:p>
        </w:tc>
        <w:tc>
          <w:tcPr>
            <w:tcW w:w="1003" w:type="dxa"/>
            <w:tcBorders>
              <w:top w:val="nil"/>
              <w:left w:val="nil"/>
              <w:bottom w:val="single" w:sz="4" w:space="0" w:color="auto"/>
              <w:right w:val="single" w:sz="4" w:space="0" w:color="auto"/>
            </w:tcBorders>
            <w:shd w:val="clear" w:color="auto" w:fill="auto"/>
            <w:noWrap/>
            <w:vAlign w:val="center"/>
            <w:hideMark/>
          </w:tcPr>
          <w:p w14:paraId="1DD08980"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217,543</w:t>
            </w:r>
          </w:p>
        </w:tc>
        <w:tc>
          <w:tcPr>
            <w:tcW w:w="1003" w:type="dxa"/>
            <w:tcBorders>
              <w:top w:val="nil"/>
              <w:left w:val="nil"/>
              <w:bottom w:val="single" w:sz="4" w:space="0" w:color="auto"/>
              <w:right w:val="single" w:sz="4" w:space="0" w:color="auto"/>
            </w:tcBorders>
            <w:shd w:val="clear" w:color="auto" w:fill="auto"/>
            <w:noWrap/>
            <w:vAlign w:val="center"/>
            <w:hideMark/>
          </w:tcPr>
          <w:p w14:paraId="6437B2D0"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261,962</w:t>
            </w:r>
          </w:p>
        </w:tc>
        <w:tc>
          <w:tcPr>
            <w:tcW w:w="1003" w:type="dxa"/>
            <w:tcBorders>
              <w:top w:val="nil"/>
              <w:left w:val="nil"/>
              <w:bottom w:val="single" w:sz="4" w:space="0" w:color="auto"/>
              <w:right w:val="single" w:sz="4" w:space="0" w:color="auto"/>
            </w:tcBorders>
            <w:shd w:val="clear" w:color="auto" w:fill="auto"/>
            <w:noWrap/>
            <w:vAlign w:val="center"/>
            <w:hideMark/>
          </w:tcPr>
          <w:p w14:paraId="47D3C20F"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283,506</w:t>
            </w:r>
          </w:p>
        </w:tc>
        <w:tc>
          <w:tcPr>
            <w:tcW w:w="1003" w:type="dxa"/>
            <w:tcBorders>
              <w:top w:val="nil"/>
              <w:left w:val="nil"/>
              <w:bottom w:val="single" w:sz="4" w:space="0" w:color="auto"/>
              <w:right w:val="single" w:sz="4" w:space="0" w:color="auto"/>
            </w:tcBorders>
            <w:shd w:val="clear" w:color="auto" w:fill="auto"/>
            <w:noWrap/>
            <w:vAlign w:val="center"/>
            <w:hideMark/>
          </w:tcPr>
          <w:p w14:paraId="21C893E4"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313,846</w:t>
            </w:r>
          </w:p>
        </w:tc>
        <w:tc>
          <w:tcPr>
            <w:tcW w:w="1003" w:type="dxa"/>
            <w:tcBorders>
              <w:top w:val="nil"/>
              <w:left w:val="nil"/>
              <w:bottom w:val="single" w:sz="4" w:space="0" w:color="auto"/>
              <w:right w:val="single" w:sz="4" w:space="0" w:color="auto"/>
            </w:tcBorders>
            <w:shd w:val="clear" w:color="auto" w:fill="auto"/>
            <w:noWrap/>
            <w:vAlign w:val="center"/>
            <w:hideMark/>
          </w:tcPr>
          <w:p w14:paraId="26DE4E86"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320,746</w:t>
            </w:r>
          </w:p>
        </w:tc>
      </w:tr>
      <w:tr w:rsidR="001F21D2" w:rsidRPr="00533642" w14:paraId="290E939D" w14:textId="77777777" w:rsidTr="005A7652">
        <w:trPr>
          <w:trHeight w:val="332"/>
          <w:jc w:val="center"/>
        </w:trPr>
        <w:tc>
          <w:tcPr>
            <w:tcW w:w="3433" w:type="dxa"/>
            <w:tcBorders>
              <w:top w:val="nil"/>
              <w:left w:val="single" w:sz="4" w:space="0" w:color="auto"/>
              <w:bottom w:val="single" w:sz="4" w:space="0" w:color="auto"/>
              <w:right w:val="single" w:sz="4" w:space="0" w:color="auto"/>
            </w:tcBorders>
            <w:shd w:val="clear" w:color="auto" w:fill="auto"/>
            <w:vAlign w:val="center"/>
          </w:tcPr>
          <w:p w14:paraId="2A8A6DAB" w14:textId="77777777" w:rsidR="001F21D2" w:rsidRPr="00D775DD" w:rsidRDefault="001F21D2" w:rsidP="005A7652">
            <w:pPr>
              <w:spacing w:after="120"/>
              <w:rPr>
                <w:rFonts w:ascii="Garamond" w:hAnsi="Garamond"/>
                <w:sz w:val="20"/>
                <w:szCs w:val="20"/>
              </w:rPr>
            </w:pPr>
            <w:r>
              <w:rPr>
                <w:rFonts w:ascii="Garamond" w:hAnsi="Garamond"/>
                <w:sz w:val="20"/>
                <w:szCs w:val="20"/>
              </w:rPr>
              <w:t>STEM enrollment at the tertiary level</w:t>
            </w:r>
          </w:p>
        </w:tc>
        <w:tc>
          <w:tcPr>
            <w:tcW w:w="1003" w:type="dxa"/>
            <w:tcBorders>
              <w:top w:val="nil"/>
              <w:left w:val="nil"/>
              <w:bottom w:val="single" w:sz="4" w:space="0" w:color="auto"/>
              <w:right w:val="single" w:sz="4" w:space="0" w:color="auto"/>
            </w:tcBorders>
            <w:shd w:val="clear" w:color="auto" w:fill="auto"/>
            <w:vAlign w:val="center"/>
          </w:tcPr>
          <w:p w14:paraId="1B9E0F11" w14:textId="77777777" w:rsidR="001F21D2" w:rsidRPr="00D775DD" w:rsidRDefault="001F21D2" w:rsidP="005A7652">
            <w:pPr>
              <w:spacing w:after="120"/>
              <w:rPr>
                <w:rFonts w:ascii="Garamond" w:hAnsi="Garamond"/>
                <w:sz w:val="20"/>
                <w:szCs w:val="20"/>
              </w:rPr>
            </w:pPr>
            <w:r>
              <w:rPr>
                <w:rFonts w:ascii="Garamond" w:hAnsi="Garamond"/>
                <w:sz w:val="20"/>
                <w:szCs w:val="20"/>
              </w:rPr>
              <w:t>30.7</w:t>
            </w:r>
          </w:p>
        </w:tc>
        <w:tc>
          <w:tcPr>
            <w:tcW w:w="1003" w:type="dxa"/>
            <w:tcBorders>
              <w:top w:val="nil"/>
              <w:left w:val="nil"/>
              <w:bottom w:val="single" w:sz="4" w:space="0" w:color="auto"/>
              <w:right w:val="single" w:sz="4" w:space="0" w:color="auto"/>
            </w:tcBorders>
            <w:shd w:val="clear" w:color="auto" w:fill="auto"/>
            <w:vAlign w:val="center"/>
          </w:tcPr>
          <w:p w14:paraId="19B4BFC4" w14:textId="77777777" w:rsidR="001F21D2" w:rsidRPr="00D775DD" w:rsidRDefault="001F21D2" w:rsidP="005A7652">
            <w:pPr>
              <w:spacing w:after="120"/>
              <w:rPr>
                <w:rFonts w:ascii="Garamond" w:hAnsi="Garamond"/>
                <w:sz w:val="20"/>
                <w:szCs w:val="20"/>
              </w:rPr>
            </w:pPr>
            <w:r>
              <w:rPr>
                <w:rFonts w:ascii="Garamond" w:hAnsi="Garamond"/>
                <w:sz w:val="20"/>
                <w:szCs w:val="20"/>
              </w:rPr>
              <w:t>39.1</w:t>
            </w:r>
          </w:p>
        </w:tc>
        <w:tc>
          <w:tcPr>
            <w:tcW w:w="1003" w:type="dxa"/>
            <w:tcBorders>
              <w:top w:val="nil"/>
              <w:left w:val="nil"/>
              <w:bottom w:val="single" w:sz="4" w:space="0" w:color="auto"/>
              <w:right w:val="single" w:sz="4" w:space="0" w:color="auto"/>
            </w:tcBorders>
            <w:shd w:val="clear" w:color="auto" w:fill="auto"/>
            <w:vAlign w:val="center"/>
          </w:tcPr>
          <w:p w14:paraId="462D8BB5" w14:textId="77777777" w:rsidR="001F21D2" w:rsidRPr="00D775DD" w:rsidRDefault="001F21D2" w:rsidP="005A7652">
            <w:pPr>
              <w:spacing w:after="120"/>
              <w:rPr>
                <w:rFonts w:ascii="Garamond" w:hAnsi="Garamond"/>
                <w:sz w:val="20"/>
                <w:szCs w:val="20"/>
              </w:rPr>
            </w:pPr>
            <w:r>
              <w:rPr>
                <w:rFonts w:ascii="Garamond" w:hAnsi="Garamond"/>
                <w:sz w:val="20"/>
                <w:szCs w:val="20"/>
              </w:rPr>
              <w:t>38.4</w:t>
            </w:r>
          </w:p>
        </w:tc>
        <w:tc>
          <w:tcPr>
            <w:tcW w:w="1003" w:type="dxa"/>
            <w:tcBorders>
              <w:top w:val="nil"/>
              <w:left w:val="nil"/>
              <w:bottom w:val="single" w:sz="4" w:space="0" w:color="auto"/>
              <w:right w:val="single" w:sz="4" w:space="0" w:color="auto"/>
            </w:tcBorders>
            <w:shd w:val="clear" w:color="auto" w:fill="auto"/>
            <w:vAlign w:val="center"/>
          </w:tcPr>
          <w:p w14:paraId="5C557FDC" w14:textId="77777777" w:rsidR="001F21D2" w:rsidRPr="00D775DD" w:rsidRDefault="001F21D2" w:rsidP="005A7652">
            <w:pPr>
              <w:spacing w:after="120"/>
              <w:rPr>
                <w:rFonts w:ascii="Garamond" w:hAnsi="Garamond"/>
                <w:sz w:val="20"/>
                <w:szCs w:val="20"/>
              </w:rPr>
            </w:pPr>
            <w:r>
              <w:rPr>
                <w:rFonts w:ascii="Garamond" w:hAnsi="Garamond"/>
                <w:sz w:val="20"/>
                <w:szCs w:val="20"/>
              </w:rPr>
              <w:t>40.0</w:t>
            </w:r>
          </w:p>
        </w:tc>
        <w:tc>
          <w:tcPr>
            <w:tcW w:w="1003" w:type="dxa"/>
            <w:tcBorders>
              <w:top w:val="nil"/>
              <w:left w:val="nil"/>
              <w:bottom w:val="single" w:sz="4" w:space="0" w:color="auto"/>
              <w:right w:val="single" w:sz="4" w:space="0" w:color="auto"/>
            </w:tcBorders>
            <w:shd w:val="clear" w:color="auto" w:fill="auto"/>
            <w:vAlign w:val="center"/>
          </w:tcPr>
          <w:p w14:paraId="57170458" w14:textId="77777777" w:rsidR="001F21D2" w:rsidRPr="00D775DD" w:rsidRDefault="001F21D2" w:rsidP="005A7652">
            <w:pPr>
              <w:spacing w:after="120"/>
              <w:rPr>
                <w:rFonts w:ascii="Garamond" w:hAnsi="Garamond"/>
                <w:sz w:val="20"/>
                <w:szCs w:val="20"/>
              </w:rPr>
            </w:pPr>
            <w:r>
              <w:rPr>
                <w:rFonts w:ascii="Garamond" w:hAnsi="Garamond"/>
                <w:sz w:val="20"/>
                <w:szCs w:val="20"/>
              </w:rPr>
              <w:t>41</w:t>
            </w:r>
          </w:p>
        </w:tc>
      </w:tr>
      <w:tr w:rsidR="001F21D2" w:rsidRPr="00533642" w14:paraId="1244F103" w14:textId="77777777" w:rsidTr="005A7652">
        <w:trPr>
          <w:trHeight w:val="332"/>
          <w:jc w:val="center"/>
        </w:trPr>
        <w:tc>
          <w:tcPr>
            <w:tcW w:w="3433" w:type="dxa"/>
            <w:tcBorders>
              <w:top w:val="nil"/>
              <w:left w:val="single" w:sz="4" w:space="0" w:color="auto"/>
              <w:bottom w:val="single" w:sz="4" w:space="0" w:color="auto"/>
              <w:right w:val="single" w:sz="4" w:space="0" w:color="auto"/>
            </w:tcBorders>
            <w:shd w:val="clear" w:color="auto" w:fill="auto"/>
            <w:vAlign w:val="center"/>
            <w:hideMark/>
          </w:tcPr>
          <w:p w14:paraId="2F41BA3D"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 xml:space="preserve">STEM </w:t>
            </w:r>
            <w:r>
              <w:rPr>
                <w:rFonts w:ascii="Garamond" w:hAnsi="Garamond"/>
                <w:sz w:val="20"/>
                <w:szCs w:val="20"/>
              </w:rPr>
              <w:t xml:space="preserve">enrollment </w:t>
            </w:r>
            <w:r w:rsidRPr="00D775DD">
              <w:rPr>
                <w:rFonts w:ascii="Garamond" w:hAnsi="Garamond"/>
                <w:sz w:val="20"/>
                <w:szCs w:val="20"/>
              </w:rPr>
              <w:t xml:space="preserve">in </w:t>
            </w:r>
            <w:r>
              <w:rPr>
                <w:rFonts w:ascii="Garamond" w:hAnsi="Garamond"/>
                <w:sz w:val="20"/>
                <w:szCs w:val="20"/>
              </w:rPr>
              <w:t>p</w:t>
            </w:r>
            <w:r w:rsidRPr="00D775DD">
              <w:rPr>
                <w:rFonts w:ascii="Garamond" w:hAnsi="Garamond"/>
                <w:sz w:val="20"/>
                <w:szCs w:val="20"/>
              </w:rPr>
              <w:t xml:space="preserve">ublic </w:t>
            </w:r>
            <w:r>
              <w:rPr>
                <w:rFonts w:ascii="Garamond" w:hAnsi="Garamond"/>
                <w:sz w:val="20"/>
                <w:szCs w:val="20"/>
              </w:rPr>
              <w:t>u</w:t>
            </w:r>
            <w:r w:rsidRPr="00D775DD">
              <w:rPr>
                <w:rFonts w:ascii="Garamond" w:hAnsi="Garamond"/>
                <w:sz w:val="20"/>
                <w:szCs w:val="20"/>
              </w:rPr>
              <w:t xml:space="preserve">niversities </w:t>
            </w:r>
          </w:p>
        </w:tc>
        <w:tc>
          <w:tcPr>
            <w:tcW w:w="1003" w:type="dxa"/>
            <w:tcBorders>
              <w:top w:val="nil"/>
              <w:left w:val="nil"/>
              <w:bottom w:val="single" w:sz="4" w:space="0" w:color="auto"/>
              <w:right w:val="single" w:sz="4" w:space="0" w:color="auto"/>
            </w:tcBorders>
            <w:shd w:val="clear" w:color="auto" w:fill="auto"/>
            <w:vAlign w:val="center"/>
            <w:hideMark/>
          </w:tcPr>
          <w:p w14:paraId="07928597"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34</w:t>
            </w:r>
          </w:p>
        </w:tc>
        <w:tc>
          <w:tcPr>
            <w:tcW w:w="1003" w:type="dxa"/>
            <w:tcBorders>
              <w:top w:val="nil"/>
              <w:left w:val="nil"/>
              <w:bottom w:val="single" w:sz="4" w:space="0" w:color="auto"/>
              <w:right w:val="single" w:sz="4" w:space="0" w:color="auto"/>
            </w:tcBorders>
            <w:shd w:val="clear" w:color="auto" w:fill="auto"/>
            <w:vAlign w:val="center"/>
            <w:hideMark/>
          </w:tcPr>
          <w:p w14:paraId="1B1B93A7"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41.4</w:t>
            </w:r>
          </w:p>
        </w:tc>
        <w:tc>
          <w:tcPr>
            <w:tcW w:w="1003" w:type="dxa"/>
            <w:tcBorders>
              <w:top w:val="nil"/>
              <w:left w:val="nil"/>
              <w:bottom w:val="single" w:sz="4" w:space="0" w:color="auto"/>
              <w:right w:val="single" w:sz="4" w:space="0" w:color="auto"/>
            </w:tcBorders>
            <w:shd w:val="clear" w:color="auto" w:fill="auto"/>
            <w:vAlign w:val="center"/>
            <w:hideMark/>
          </w:tcPr>
          <w:p w14:paraId="0BFC1E13"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39.1</w:t>
            </w:r>
          </w:p>
        </w:tc>
        <w:tc>
          <w:tcPr>
            <w:tcW w:w="1003" w:type="dxa"/>
            <w:tcBorders>
              <w:top w:val="nil"/>
              <w:left w:val="nil"/>
              <w:bottom w:val="single" w:sz="4" w:space="0" w:color="auto"/>
              <w:right w:val="single" w:sz="4" w:space="0" w:color="auto"/>
            </w:tcBorders>
            <w:shd w:val="clear" w:color="auto" w:fill="auto"/>
            <w:vAlign w:val="center"/>
            <w:hideMark/>
          </w:tcPr>
          <w:p w14:paraId="621A7F6A"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40.2</w:t>
            </w:r>
          </w:p>
        </w:tc>
        <w:tc>
          <w:tcPr>
            <w:tcW w:w="1003" w:type="dxa"/>
            <w:tcBorders>
              <w:top w:val="nil"/>
              <w:left w:val="nil"/>
              <w:bottom w:val="single" w:sz="4" w:space="0" w:color="auto"/>
              <w:right w:val="single" w:sz="4" w:space="0" w:color="auto"/>
            </w:tcBorders>
            <w:shd w:val="clear" w:color="auto" w:fill="auto"/>
            <w:vAlign w:val="center"/>
            <w:hideMark/>
          </w:tcPr>
          <w:p w14:paraId="2D96EE69"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40</w:t>
            </w:r>
          </w:p>
        </w:tc>
      </w:tr>
      <w:tr w:rsidR="001F21D2" w:rsidRPr="00533642" w14:paraId="7E2EE854" w14:textId="77777777" w:rsidTr="005A7652">
        <w:trPr>
          <w:trHeight w:val="332"/>
          <w:jc w:val="center"/>
        </w:trPr>
        <w:tc>
          <w:tcPr>
            <w:tcW w:w="3433" w:type="dxa"/>
            <w:tcBorders>
              <w:top w:val="nil"/>
              <w:left w:val="single" w:sz="4" w:space="0" w:color="auto"/>
              <w:bottom w:val="single" w:sz="4" w:space="0" w:color="auto"/>
              <w:right w:val="single" w:sz="4" w:space="0" w:color="auto"/>
            </w:tcBorders>
            <w:shd w:val="clear" w:color="auto" w:fill="auto"/>
            <w:vAlign w:val="center"/>
            <w:hideMark/>
          </w:tcPr>
          <w:p w14:paraId="79DEC2C6"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 xml:space="preserve">STEM </w:t>
            </w:r>
            <w:r>
              <w:rPr>
                <w:rFonts w:ascii="Garamond" w:hAnsi="Garamond"/>
                <w:sz w:val="20"/>
                <w:szCs w:val="20"/>
              </w:rPr>
              <w:t xml:space="preserve">enrollment </w:t>
            </w:r>
            <w:r w:rsidRPr="00D775DD">
              <w:rPr>
                <w:rFonts w:ascii="Garamond" w:hAnsi="Garamond"/>
                <w:sz w:val="20"/>
                <w:szCs w:val="20"/>
              </w:rPr>
              <w:t xml:space="preserve">in </w:t>
            </w:r>
            <w:r>
              <w:rPr>
                <w:rFonts w:ascii="Garamond" w:hAnsi="Garamond"/>
                <w:sz w:val="20"/>
                <w:szCs w:val="20"/>
              </w:rPr>
              <w:t>p</w:t>
            </w:r>
            <w:r w:rsidRPr="00D775DD">
              <w:rPr>
                <w:rFonts w:ascii="Garamond" w:hAnsi="Garamond"/>
                <w:sz w:val="20"/>
                <w:szCs w:val="20"/>
              </w:rPr>
              <w:t xml:space="preserve">olytechnics </w:t>
            </w:r>
          </w:p>
        </w:tc>
        <w:tc>
          <w:tcPr>
            <w:tcW w:w="1003" w:type="dxa"/>
            <w:tcBorders>
              <w:top w:val="nil"/>
              <w:left w:val="nil"/>
              <w:bottom w:val="single" w:sz="4" w:space="0" w:color="auto"/>
              <w:right w:val="single" w:sz="4" w:space="0" w:color="auto"/>
            </w:tcBorders>
            <w:shd w:val="clear" w:color="auto" w:fill="auto"/>
            <w:vAlign w:val="center"/>
            <w:hideMark/>
          </w:tcPr>
          <w:p w14:paraId="71E31917"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22.8</w:t>
            </w:r>
          </w:p>
        </w:tc>
        <w:tc>
          <w:tcPr>
            <w:tcW w:w="1003" w:type="dxa"/>
            <w:tcBorders>
              <w:top w:val="nil"/>
              <w:left w:val="nil"/>
              <w:bottom w:val="single" w:sz="4" w:space="0" w:color="auto"/>
              <w:right w:val="single" w:sz="4" w:space="0" w:color="auto"/>
            </w:tcBorders>
            <w:shd w:val="clear" w:color="auto" w:fill="auto"/>
            <w:vAlign w:val="center"/>
            <w:hideMark/>
          </w:tcPr>
          <w:p w14:paraId="30468E9A"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33.8</w:t>
            </w:r>
          </w:p>
        </w:tc>
        <w:tc>
          <w:tcPr>
            <w:tcW w:w="1003" w:type="dxa"/>
            <w:tcBorders>
              <w:top w:val="nil"/>
              <w:left w:val="nil"/>
              <w:bottom w:val="single" w:sz="4" w:space="0" w:color="auto"/>
              <w:right w:val="single" w:sz="4" w:space="0" w:color="auto"/>
            </w:tcBorders>
            <w:shd w:val="clear" w:color="auto" w:fill="auto"/>
            <w:vAlign w:val="center"/>
            <w:hideMark/>
          </w:tcPr>
          <w:p w14:paraId="1DD97E8B"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36.7</w:t>
            </w:r>
          </w:p>
        </w:tc>
        <w:tc>
          <w:tcPr>
            <w:tcW w:w="1003" w:type="dxa"/>
            <w:tcBorders>
              <w:top w:val="nil"/>
              <w:left w:val="nil"/>
              <w:bottom w:val="single" w:sz="4" w:space="0" w:color="auto"/>
              <w:right w:val="single" w:sz="4" w:space="0" w:color="auto"/>
            </w:tcBorders>
            <w:shd w:val="clear" w:color="auto" w:fill="auto"/>
            <w:vAlign w:val="center"/>
            <w:hideMark/>
          </w:tcPr>
          <w:p w14:paraId="3BD850BF"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39.4</w:t>
            </w:r>
          </w:p>
        </w:tc>
        <w:tc>
          <w:tcPr>
            <w:tcW w:w="1003" w:type="dxa"/>
            <w:tcBorders>
              <w:top w:val="nil"/>
              <w:left w:val="nil"/>
              <w:bottom w:val="single" w:sz="4" w:space="0" w:color="auto"/>
              <w:right w:val="single" w:sz="4" w:space="0" w:color="auto"/>
            </w:tcBorders>
            <w:shd w:val="clear" w:color="auto" w:fill="auto"/>
            <w:vAlign w:val="center"/>
            <w:hideMark/>
          </w:tcPr>
          <w:p w14:paraId="749E7657" w14:textId="77777777" w:rsidR="001F21D2" w:rsidRPr="00D775DD" w:rsidRDefault="001F21D2" w:rsidP="005A7652">
            <w:pPr>
              <w:spacing w:after="120"/>
              <w:rPr>
                <w:rFonts w:ascii="Garamond" w:hAnsi="Garamond"/>
                <w:sz w:val="20"/>
                <w:szCs w:val="20"/>
              </w:rPr>
            </w:pPr>
            <w:r w:rsidRPr="00D775DD">
              <w:rPr>
                <w:rFonts w:ascii="Garamond" w:hAnsi="Garamond"/>
                <w:sz w:val="20"/>
                <w:szCs w:val="20"/>
              </w:rPr>
              <w:t>43</w:t>
            </w:r>
          </w:p>
        </w:tc>
      </w:tr>
    </w:tbl>
    <w:p w14:paraId="6893E11D" w14:textId="77777777" w:rsidR="001F21D2" w:rsidRPr="00533642" w:rsidRDefault="001F21D2" w:rsidP="001F21D2">
      <w:pPr>
        <w:ind w:firstLine="720"/>
        <w:rPr>
          <w:rFonts w:ascii="Garamond" w:hAnsi="Garamond"/>
          <w:sz w:val="20"/>
          <w:szCs w:val="20"/>
        </w:rPr>
      </w:pPr>
      <w:r w:rsidRPr="00D775DD">
        <w:rPr>
          <w:rFonts w:ascii="Garamond" w:hAnsi="Garamond"/>
          <w:i/>
          <w:sz w:val="20"/>
          <w:szCs w:val="20"/>
        </w:rPr>
        <w:t>Source</w:t>
      </w:r>
      <w:r w:rsidRPr="00533642">
        <w:rPr>
          <w:rFonts w:ascii="Garamond" w:hAnsi="Garamond"/>
          <w:sz w:val="20"/>
          <w:szCs w:val="20"/>
        </w:rPr>
        <w:t>: Ministry of Education, 2016</w:t>
      </w:r>
    </w:p>
    <w:p w14:paraId="0C300675" w14:textId="77777777" w:rsidR="001F21D2" w:rsidRDefault="001F21D2" w:rsidP="00724BAB">
      <w:pPr>
        <w:pStyle w:val="ListParagraph"/>
        <w:numPr>
          <w:ilvl w:val="0"/>
          <w:numId w:val="9"/>
        </w:numPr>
      </w:pPr>
      <w:r w:rsidRPr="004255EE">
        <w:rPr>
          <w:b/>
        </w:rPr>
        <w:t xml:space="preserve">Ghana hosts three African </w:t>
      </w:r>
      <w:r>
        <w:rPr>
          <w:b/>
        </w:rPr>
        <w:t>C</w:t>
      </w:r>
      <w:r w:rsidRPr="004255EE">
        <w:rPr>
          <w:b/>
        </w:rPr>
        <w:t xml:space="preserve">enters of </w:t>
      </w:r>
      <w:r>
        <w:rPr>
          <w:b/>
        </w:rPr>
        <w:t>E</w:t>
      </w:r>
      <w:r w:rsidRPr="004255EE">
        <w:rPr>
          <w:b/>
        </w:rPr>
        <w:t>xcellence</w:t>
      </w:r>
      <w:r>
        <w:rPr>
          <w:b/>
        </w:rPr>
        <w:t>, which offer</w:t>
      </w:r>
      <w:r w:rsidRPr="004255EE">
        <w:rPr>
          <w:b/>
        </w:rPr>
        <w:t xml:space="preserve"> </w:t>
      </w:r>
      <w:r>
        <w:rPr>
          <w:b/>
        </w:rPr>
        <w:t>training in agriculture, STEM, and water and sanitation</w:t>
      </w:r>
      <w:r w:rsidRPr="00F0436D">
        <w:rPr>
          <w:b/>
        </w:rPr>
        <w:t>.</w:t>
      </w:r>
      <w:r w:rsidRPr="00F0436D">
        <w:rPr>
          <w:rStyle w:val="FootnoteReference"/>
        </w:rPr>
        <w:footnoteReference w:id="125"/>
      </w:r>
      <w:r w:rsidRPr="007278CC">
        <w:t xml:space="preserve"> </w:t>
      </w:r>
      <w:r>
        <w:t>These institutions are designed to strengthen the capacity of partner universities to deliver quality training and pursue applied research</w:t>
      </w:r>
      <w:r w:rsidRPr="00427AA4">
        <w:t xml:space="preserve"> </w:t>
      </w:r>
      <w:r>
        <w:t xml:space="preserve">in areas that address regional challenges. </w:t>
      </w:r>
      <w:r w:rsidRPr="004255EE">
        <w:t>Ghana</w:t>
      </w:r>
      <w:r>
        <w:t>’s three centers</w:t>
      </w:r>
      <w:r w:rsidRPr="004255EE">
        <w:t xml:space="preserve"> </w:t>
      </w:r>
      <w:r>
        <w:t>perform better than average on indicators such as the number of</w:t>
      </w:r>
      <w:r w:rsidRPr="004255EE">
        <w:t xml:space="preserve"> </w:t>
      </w:r>
      <w:r>
        <w:t>doctoral and master’</w:t>
      </w:r>
      <w:r w:rsidRPr="004255EE">
        <w:t>s</w:t>
      </w:r>
      <w:r>
        <w:t xml:space="preserve"> graduates</w:t>
      </w:r>
      <w:r w:rsidRPr="004255EE">
        <w:t xml:space="preserve">, </w:t>
      </w:r>
      <w:r>
        <w:t xml:space="preserve">the share </w:t>
      </w:r>
      <w:r w:rsidRPr="004255EE">
        <w:t>of regional students</w:t>
      </w:r>
      <w:r>
        <w:t xml:space="preserve"> enrolled</w:t>
      </w:r>
      <w:r w:rsidRPr="004255EE">
        <w:t xml:space="preserve">, </w:t>
      </w:r>
      <w:r>
        <w:t xml:space="preserve">the </w:t>
      </w:r>
      <w:r w:rsidRPr="004255EE">
        <w:t xml:space="preserve">female </w:t>
      </w:r>
      <w:r>
        <w:t>enrollment rate</w:t>
      </w:r>
      <w:r w:rsidRPr="004255EE">
        <w:t xml:space="preserve">, </w:t>
      </w:r>
      <w:r>
        <w:t xml:space="preserve">the number of </w:t>
      </w:r>
      <w:r w:rsidRPr="004255EE">
        <w:t>accredit</w:t>
      </w:r>
      <w:r>
        <w:t xml:space="preserve">ed </w:t>
      </w:r>
      <w:r w:rsidRPr="004255EE">
        <w:t>programs</w:t>
      </w:r>
      <w:r>
        <w:t>, the number of</w:t>
      </w:r>
      <w:r w:rsidRPr="004255EE">
        <w:t xml:space="preserve"> external internships, </w:t>
      </w:r>
      <w:r>
        <w:t>the number of published articles</w:t>
      </w:r>
      <w:r w:rsidR="00C93F00">
        <w:t>,</w:t>
      </w:r>
      <w:r w:rsidRPr="004255EE">
        <w:t xml:space="preserve"> and </w:t>
      </w:r>
      <w:r>
        <w:t xml:space="preserve">the amount of own-source </w:t>
      </w:r>
      <w:r w:rsidRPr="004255EE">
        <w:t>income generat</w:t>
      </w:r>
      <w:r>
        <w:t>ed</w:t>
      </w:r>
      <w:r w:rsidRPr="004255EE">
        <w:t>.</w:t>
      </w:r>
    </w:p>
    <w:p w14:paraId="29745FB7" w14:textId="77777777" w:rsidR="001F21D2" w:rsidRPr="00533642" w:rsidRDefault="001F21D2" w:rsidP="000E7654">
      <w:pPr>
        <w:pStyle w:val="Heading3"/>
      </w:pPr>
      <w:r w:rsidRPr="00D775DD">
        <w:t>L</w:t>
      </w:r>
      <w:r w:rsidRPr="00533642">
        <w:t>earning Outcomes</w:t>
      </w:r>
      <w:r w:rsidRPr="00D775DD">
        <w:t xml:space="preserve"> </w:t>
      </w:r>
    </w:p>
    <w:p w14:paraId="7088C592" w14:textId="19717D9A" w:rsidR="001F21D2" w:rsidRDefault="001F21D2" w:rsidP="00724BAB">
      <w:pPr>
        <w:pStyle w:val="ListParagraph"/>
        <w:numPr>
          <w:ilvl w:val="0"/>
          <w:numId w:val="9"/>
        </w:numPr>
      </w:pPr>
      <w:r w:rsidRPr="00D775DD">
        <w:rPr>
          <w:b/>
        </w:rPr>
        <w:t>Students in primary school and JHS tend to perform poorly on standardized tests, especially in the country’s poorer rural districts.</w:t>
      </w:r>
      <w:r w:rsidRPr="00D775DD">
        <w:t xml:space="preserve"> </w:t>
      </w:r>
      <w:r w:rsidRPr="00533642">
        <w:t xml:space="preserve">The 2013 </w:t>
      </w:r>
      <w:r w:rsidRPr="00D775DD">
        <w:t>Early Grade Reading Assessment (EGRA)</w:t>
      </w:r>
      <w:r w:rsidR="00507CE2">
        <w:t xml:space="preserve"> assessed second graders’ reading skills in a representative sample of over 800 public schools </w:t>
      </w:r>
      <w:r w:rsidR="00507CE2">
        <w:lastRenderedPageBreak/>
        <w:t>(with a random selection of ten students in each school) and</w:t>
      </w:r>
      <w:r w:rsidRPr="00D775DD">
        <w:t xml:space="preserve"> </w:t>
      </w:r>
      <w:r w:rsidRPr="00533642">
        <w:t>indicated</w:t>
      </w:r>
      <w:r w:rsidRPr="00D775DD">
        <w:t xml:space="preserve"> that most </w:t>
      </w:r>
      <w:r w:rsidRPr="00533642">
        <w:t>students</w:t>
      </w:r>
      <w:r w:rsidRPr="00D775DD">
        <w:t xml:space="preserve"> in </w:t>
      </w:r>
      <w:r w:rsidRPr="00533642">
        <w:t>the lower</w:t>
      </w:r>
      <w:r w:rsidRPr="00D775DD">
        <w:t xml:space="preserve"> grades were not learning to read in any language and </w:t>
      </w:r>
      <w:r w:rsidRPr="00533642">
        <w:t>that they l</w:t>
      </w:r>
      <w:r w:rsidRPr="00D775DD">
        <w:t>acked the pre-reading and early reading skills needed to b</w:t>
      </w:r>
      <w:r>
        <w:t>uild fluency and comprehension. T</w:t>
      </w:r>
      <w:r w:rsidRPr="00D775DD">
        <w:t xml:space="preserve">he results of the </w:t>
      </w:r>
      <w:r>
        <w:t>Early Grade Mathematics Assessment (</w:t>
      </w:r>
      <w:r w:rsidRPr="00D775DD">
        <w:t>EGMA</w:t>
      </w:r>
      <w:r>
        <w:t>) revealed that</w:t>
      </w:r>
      <w:r w:rsidRPr="00D775DD">
        <w:t xml:space="preserve"> </w:t>
      </w:r>
      <w:r w:rsidR="007E1CEA">
        <w:t xml:space="preserve">teaching of </w:t>
      </w:r>
      <w:r w:rsidRPr="00D775DD">
        <w:t>mathematics</w:t>
      </w:r>
      <w:r w:rsidRPr="00533642">
        <w:t xml:space="preserve"> </w:t>
      </w:r>
      <w:r w:rsidRPr="00D775DD">
        <w:t>focuse</w:t>
      </w:r>
      <w:r w:rsidR="007E1CEA">
        <w:t>d</w:t>
      </w:r>
      <w:r w:rsidRPr="00D775DD">
        <w:t xml:space="preserve"> on </w:t>
      </w:r>
      <w:r>
        <w:t xml:space="preserve">rote </w:t>
      </w:r>
      <w:r w:rsidRPr="00D775DD">
        <w:t xml:space="preserve">memorization </w:t>
      </w:r>
      <w:r w:rsidRPr="00533642">
        <w:t xml:space="preserve">rather than </w:t>
      </w:r>
      <w:r w:rsidRPr="00D775DD">
        <w:t>appl</w:t>
      </w:r>
      <w:r w:rsidRPr="00533642">
        <w:t xml:space="preserve">ied </w:t>
      </w:r>
      <w:r w:rsidRPr="00D775DD">
        <w:t xml:space="preserve">knowledge. </w:t>
      </w:r>
      <w:r>
        <w:t xml:space="preserve">In both cases, inadequate educational resources are largely responsible for students’ poor testing performance. </w:t>
      </w:r>
    </w:p>
    <w:p w14:paraId="4A1066ED" w14:textId="77777777" w:rsidR="001F21D2" w:rsidRPr="00533642" w:rsidRDefault="001F21D2" w:rsidP="00724BAB">
      <w:pPr>
        <w:pStyle w:val="ListParagraph"/>
        <w:numPr>
          <w:ilvl w:val="0"/>
          <w:numId w:val="9"/>
        </w:numPr>
      </w:pPr>
      <w:r>
        <w:rPr>
          <w:b/>
        </w:rPr>
        <w:t>The unequal allocation of educational</w:t>
      </w:r>
      <w:r w:rsidRPr="000B3375">
        <w:rPr>
          <w:b/>
        </w:rPr>
        <w:t xml:space="preserve"> resource</w:t>
      </w:r>
      <w:r>
        <w:rPr>
          <w:b/>
        </w:rPr>
        <w:t>s</w:t>
      </w:r>
      <w:r w:rsidRPr="000B3375">
        <w:rPr>
          <w:b/>
        </w:rPr>
        <w:t xml:space="preserve"> </w:t>
      </w:r>
      <w:r>
        <w:rPr>
          <w:b/>
        </w:rPr>
        <w:t xml:space="preserve">drives disparities in </w:t>
      </w:r>
      <w:r w:rsidRPr="000B3375">
        <w:rPr>
          <w:b/>
        </w:rPr>
        <w:t>education</w:t>
      </w:r>
      <w:r>
        <w:rPr>
          <w:b/>
        </w:rPr>
        <w:t>al</w:t>
      </w:r>
      <w:r w:rsidRPr="000B3375">
        <w:rPr>
          <w:b/>
        </w:rPr>
        <w:t xml:space="preserve"> outcome</w:t>
      </w:r>
      <w:r>
        <w:rPr>
          <w:b/>
        </w:rPr>
        <w:t>s</w:t>
      </w:r>
      <w:r w:rsidRPr="000B3375">
        <w:rPr>
          <w:b/>
        </w:rPr>
        <w:t>.</w:t>
      </w:r>
      <w:r>
        <w:t xml:space="preserve"> S</w:t>
      </w:r>
      <w:r w:rsidRPr="00533642">
        <w:t>tudents</w:t>
      </w:r>
      <w:r w:rsidRPr="00D775DD">
        <w:t xml:space="preserve"> in non-deprived districts and </w:t>
      </w:r>
      <w:r w:rsidRPr="00533642">
        <w:t>urban</w:t>
      </w:r>
      <w:r w:rsidRPr="00D775DD">
        <w:t xml:space="preserve"> </w:t>
      </w:r>
      <w:r w:rsidRPr="00533642">
        <w:t>centers</w:t>
      </w:r>
      <w:r w:rsidRPr="00D775DD">
        <w:t xml:space="preserve"> perform</w:t>
      </w:r>
      <w:r>
        <w:t>ed</w:t>
      </w:r>
      <w:r w:rsidRPr="00D775DD">
        <w:t xml:space="preserve"> far better</w:t>
      </w:r>
      <w:r>
        <w:t xml:space="preserve"> on both the EGRA and EGMA than students in deprived districts and rural areas</w:t>
      </w:r>
      <w:r w:rsidRPr="00D775DD">
        <w:t xml:space="preserve">. </w:t>
      </w:r>
      <w:r>
        <w:t>Moreover</w:t>
      </w:r>
      <w:r w:rsidRPr="00D775DD">
        <w:t xml:space="preserve">, </w:t>
      </w:r>
      <w:r w:rsidRPr="00533642">
        <w:t>a much larger share of students</w:t>
      </w:r>
      <w:r w:rsidRPr="00D775DD">
        <w:t xml:space="preserve"> in deprived districts and rural areas scor</w:t>
      </w:r>
      <w:r w:rsidRPr="00533642">
        <w:t>ed</w:t>
      </w:r>
      <w:r w:rsidRPr="00D775DD">
        <w:t xml:space="preserve"> zero in all </w:t>
      </w:r>
      <w:r w:rsidRPr="00533642">
        <w:t xml:space="preserve">EGRA </w:t>
      </w:r>
      <w:r w:rsidRPr="00D775DD">
        <w:t>testing categories. Th</w:t>
      </w:r>
      <w:r>
        <w:t>e</w:t>
      </w:r>
      <w:r w:rsidRPr="00D775DD">
        <w:t xml:space="preserve"> </w:t>
      </w:r>
      <w:r w:rsidRPr="00533642">
        <w:t xml:space="preserve">results of the </w:t>
      </w:r>
      <w:r w:rsidRPr="00D775DD">
        <w:t xml:space="preserve">Basic Education Certificate </w:t>
      </w:r>
      <w:r w:rsidRPr="00533642">
        <w:t>E</w:t>
      </w:r>
      <w:r w:rsidRPr="00D775DD">
        <w:t>xamination</w:t>
      </w:r>
      <w:r>
        <w:t xml:space="preserve"> confirm this pattern</w:t>
      </w:r>
      <w:r w:rsidRPr="00D775DD">
        <w:t xml:space="preserve">, </w:t>
      </w:r>
      <w:r>
        <w:t>as</w:t>
      </w:r>
      <w:r w:rsidRPr="00D775DD">
        <w:t xml:space="preserve"> </w:t>
      </w:r>
      <w:r w:rsidRPr="00533642">
        <w:t xml:space="preserve">students in the </w:t>
      </w:r>
      <w:r w:rsidRPr="00D775DD">
        <w:t>Greater Accra</w:t>
      </w:r>
      <w:r w:rsidRPr="00533642">
        <w:t xml:space="preserve"> region </w:t>
      </w:r>
      <w:r w:rsidRPr="00D775DD">
        <w:t>outperformed all other regions in mathematics, integrated science</w:t>
      </w:r>
      <w:r w:rsidR="001E363A">
        <w:t>,</w:t>
      </w:r>
      <w:r w:rsidRPr="00D775DD">
        <w:t xml:space="preserve"> and social studies</w:t>
      </w:r>
      <w:r>
        <w:t>. Students in the relatively wealthy Ashanti region had the second-highest scores, while s</w:t>
      </w:r>
      <w:r w:rsidRPr="00533642">
        <w:t>cores were lowest among students in the</w:t>
      </w:r>
      <w:r w:rsidRPr="00D775DD">
        <w:t xml:space="preserve"> </w:t>
      </w:r>
      <w:r w:rsidRPr="00533642">
        <w:t xml:space="preserve">impoverished </w:t>
      </w:r>
      <w:r w:rsidRPr="00D775DD">
        <w:t>Upper West</w:t>
      </w:r>
      <w:r w:rsidRPr="00533642">
        <w:t xml:space="preserve"> and Upper East regions.</w:t>
      </w:r>
      <w:r w:rsidRPr="00533642">
        <w:rPr>
          <w:rStyle w:val="FootnoteReference"/>
        </w:rPr>
        <w:footnoteReference w:id="126"/>
      </w:r>
      <w:r w:rsidRPr="00D775DD">
        <w:t xml:space="preserve"> </w:t>
      </w:r>
    </w:p>
    <w:p w14:paraId="724979B9" w14:textId="77777777" w:rsidR="001F21D2" w:rsidRPr="00C8170B" w:rsidRDefault="00657AA2" w:rsidP="00CC6F65">
      <w:pPr>
        <w:pStyle w:val="Caption"/>
        <w:rPr>
          <w:lang w:val="en-US"/>
        </w:rPr>
      </w:pPr>
      <w:r w:rsidRPr="00C8170B">
        <w:rPr>
          <w:lang w:val="en-US"/>
        </w:rPr>
        <w:t>Figure</w:t>
      </w:r>
      <w:r w:rsidR="001F21D2" w:rsidRPr="00C8170B">
        <w:rPr>
          <w:lang w:val="en-US"/>
        </w:rPr>
        <w:t xml:space="preserve"> </w:t>
      </w:r>
      <w:r w:rsidR="005C0067" w:rsidRPr="00C8170B">
        <w:rPr>
          <w:lang w:val="en-US"/>
        </w:rPr>
        <w:fldChar w:fldCharType="begin"/>
      </w:r>
      <w:r w:rsidR="005C0067" w:rsidRPr="00C8170B">
        <w:rPr>
          <w:lang w:val="en-US"/>
        </w:rPr>
        <w:instrText xml:space="preserve"> STYLEREF 1 \s </w:instrText>
      </w:r>
      <w:r w:rsidR="005C0067" w:rsidRPr="00C8170B">
        <w:rPr>
          <w:lang w:val="en-US"/>
        </w:rPr>
        <w:fldChar w:fldCharType="separate"/>
      </w:r>
      <w:r w:rsidR="007B1CE6">
        <w:rPr>
          <w:noProof/>
          <w:lang w:val="en-US"/>
        </w:rPr>
        <w:t>4</w:t>
      </w:r>
      <w:r w:rsidR="005C0067" w:rsidRPr="00C8170B">
        <w:rPr>
          <w:lang w:val="en-US"/>
        </w:rPr>
        <w:fldChar w:fldCharType="end"/>
      </w:r>
      <w:r w:rsidR="005C0067" w:rsidRPr="00C8170B">
        <w:rPr>
          <w:lang w:val="en-US"/>
        </w:rPr>
        <w:t>.</w:t>
      </w:r>
      <w:r w:rsidR="005C0067" w:rsidRPr="00C8170B">
        <w:rPr>
          <w:lang w:val="en-US"/>
        </w:rPr>
        <w:fldChar w:fldCharType="begin"/>
      </w:r>
      <w:r w:rsidR="005C0067" w:rsidRPr="00C8170B">
        <w:rPr>
          <w:lang w:val="en-US"/>
        </w:rPr>
        <w:instrText xml:space="preserve"> SEQ Figure \* ARABIC \s 1 </w:instrText>
      </w:r>
      <w:r w:rsidR="005C0067" w:rsidRPr="00C8170B">
        <w:rPr>
          <w:lang w:val="en-US"/>
        </w:rPr>
        <w:fldChar w:fldCharType="separate"/>
      </w:r>
      <w:r w:rsidR="007B1CE6">
        <w:rPr>
          <w:noProof/>
          <w:lang w:val="en-US"/>
        </w:rPr>
        <w:t>8</w:t>
      </w:r>
      <w:r w:rsidR="005C0067" w:rsidRPr="00C8170B">
        <w:rPr>
          <w:lang w:val="en-US"/>
        </w:rPr>
        <w:fldChar w:fldCharType="end"/>
      </w:r>
      <w:r w:rsidR="001F21D2" w:rsidRPr="00C8170B">
        <w:rPr>
          <w:lang w:val="en-US"/>
        </w:rPr>
        <w:t>: Percentage of Students Scoring Zero on the EGRA, 2013</w:t>
      </w:r>
    </w:p>
    <w:p w14:paraId="07CF9011" w14:textId="77777777" w:rsidR="001F21D2" w:rsidRPr="00533642" w:rsidRDefault="005039AB" w:rsidP="001F21D2">
      <w:pPr>
        <w:spacing w:after="0"/>
        <w:jc w:val="center"/>
        <w:rPr>
          <w:rFonts w:ascii="Garamond" w:hAnsi="Garamond"/>
        </w:rPr>
      </w:pPr>
      <w:r>
        <w:rPr>
          <w:noProof/>
        </w:rPr>
        <w:drawing>
          <wp:inline distT="0" distB="0" distL="0" distR="0" wp14:anchorId="1B8E02DF" wp14:editId="3210DAD0">
            <wp:extent cx="5829300" cy="3289300"/>
            <wp:effectExtent l="0" t="0" r="0" b="635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0D69858" w14:textId="77777777" w:rsidR="001F21D2" w:rsidRDefault="001F21D2" w:rsidP="001F21D2">
      <w:pPr>
        <w:rPr>
          <w:rFonts w:ascii="Garamond" w:hAnsi="Garamond"/>
          <w:sz w:val="20"/>
          <w:szCs w:val="20"/>
        </w:rPr>
      </w:pPr>
      <w:r>
        <w:rPr>
          <w:rFonts w:ascii="Garamond" w:hAnsi="Garamond"/>
          <w:i/>
          <w:sz w:val="20"/>
          <w:szCs w:val="20"/>
        </w:rPr>
        <w:t xml:space="preserve">  </w:t>
      </w:r>
      <w:r w:rsidRPr="00D775DD">
        <w:rPr>
          <w:rFonts w:ascii="Garamond" w:hAnsi="Garamond"/>
          <w:i/>
          <w:sz w:val="20"/>
          <w:szCs w:val="20"/>
        </w:rPr>
        <w:t>Source</w:t>
      </w:r>
      <w:r w:rsidRPr="00D775DD">
        <w:rPr>
          <w:rFonts w:ascii="Garamond" w:hAnsi="Garamond"/>
          <w:sz w:val="20"/>
          <w:szCs w:val="20"/>
        </w:rPr>
        <w:t>: EGRA 2013</w:t>
      </w:r>
    </w:p>
    <w:p w14:paraId="039F3C58" w14:textId="77777777" w:rsidR="008732F5" w:rsidRPr="00C8170B" w:rsidRDefault="00657AA2" w:rsidP="00CC6F65">
      <w:pPr>
        <w:pStyle w:val="Caption"/>
        <w:rPr>
          <w:lang w:val="en-US"/>
        </w:rPr>
      </w:pPr>
      <w:bookmarkStart w:id="173" w:name="_Ref463699721"/>
      <w:bookmarkStart w:id="174" w:name="_Toc479624938"/>
      <w:r w:rsidRPr="00C8170B">
        <w:rPr>
          <w:lang w:val="en-US"/>
        </w:rPr>
        <w:lastRenderedPageBreak/>
        <w:t>Figure</w:t>
      </w:r>
      <w:r w:rsidR="008732F5" w:rsidRPr="00C8170B">
        <w:rPr>
          <w:lang w:val="en-US"/>
        </w:rPr>
        <w:t xml:space="preserve"> </w:t>
      </w:r>
      <w:r w:rsidR="005C0067" w:rsidRPr="00C8170B">
        <w:rPr>
          <w:lang w:val="en-US"/>
        </w:rPr>
        <w:fldChar w:fldCharType="begin"/>
      </w:r>
      <w:r w:rsidR="005C0067" w:rsidRPr="00C8170B">
        <w:rPr>
          <w:lang w:val="en-US"/>
        </w:rPr>
        <w:instrText xml:space="preserve"> STYLEREF 1 \s </w:instrText>
      </w:r>
      <w:r w:rsidR="005C0067" w:rsidRPr="00C8170B">
        <w:rPr>
          <w:lang w:val="en-US"/>
        </w:rPr>
        <w:fldChar w:fldCharType="separate"/>
      </w:r>
      <w:r w:rsidR="007B1CE6">
        <w:rPr>
          <w:noProof/>
          <w:lang w:val="en-US"/>
        </w:rPr>
        <w:t>4</w:t>
      </w:r>
      <w:r w:rsidR="005C0067" w:rsidRPr="00C8170B">
        <w:rPr>
          <w:lang w:val="en-US"/>
        </w:rPr>
        <w:fldChar w:fldCharType="end"/>
      </w:r>
      <w:r w:rsidR="005C0067" w:rsidRPr="00C8170B">
        <w:rPr>
          <w:lang w:val="en-US"/>
        </w:rPr>
        <w:t>.</w:t>
      </w:r>
      <w:r w:rsidR="005C0067" w:rsidRPr="00C8170B">
        <w:rPr>
          <w:lang w:val="en-US"/>
        </w:rPr>
        <w:fldChar w:fldCharType="begin"/>
      </w:r>
      <w:r w:rsidR="005C0067" w:rsidRPr="00C8170B">
        <w:rPr>
          <w:lang w:val="en-US"/>
        </w:rPr>
        <w:instrText xml:space="preserve"> SEQ Figure \* ARABIC \s 1 </w:instrText>
      </w:r>
      <w:r w:rsidR="005C0067" w:rsidRPr="00C8170B">
        <w:rPr>
          <w:lang w:val="en-US"/>
        </w:rPr>
        <w:fldChar w:fldCharType="separate"/>
      </w:r>
      <w:r w:rsidR="007B1CE6">
        <w:rPr>
          <w:noProof/>
          <w:lang w:val="en-US"/>
        </w:rPr>
        <w:t>9</w:t>
      </w:r>
      <w:r w:rsidR="005C0067" w:rsidRPr="00C8170B">
        <w:rPr>
          <w:lang w:val="en-US"/>
        </w:rPr>
        <w:fldChar w:fldCharType="end"/>
      </w:r>
      <w:bookmarkEnd w:id="173"/>
      <w:r w:rsidR="008732F5" w:rsidRPr="00C8170B">
        <w:rPr>
          <w:lang w:val="en-US"/>
        </w:rPr>
        <w:t>: Share of Students with Above-Average Grades in Core Basic Education Certificate Examination</w:t>
      </w:r>
      <w:r w:rsidR="008732F5" w:rsidRPr="00C8170B" w:rsidDel="007D7E03">
        <w:rPr>
          <w:lang w:val="en-US"/>
        </w:rPr>
        <w:t xml:space="preserve"> </w:t>
      </w:r>
      <w:r w:rsidR="008732F5" w:rsidRPr="00C8170B">
        <w:rPr>
          <w:lang w:val="en-US"/>
        </w:rPr>
        <w:t>Subjects by Region, 2014</w:t>
      </w:r>
      <w:bookmarkEnd w:id="174"/>
    </w:p>
    <w:p w14:paraId="0EDA9D51" w14:textId="77777777" w:rsidR="008732F5" w:rsidRPr="00533642" w:rsidRDefault="008732F5" w:rsidP="008732F5">
      <w:pPr>
        <w:spacing w:after="0"/>
        <w:jc w:val="center"/>
        <w:rPr>
          <w:rFonts w:ascii="Garamond" w:hAnsi="Garamond"/>
        </w:rPr>
      </w:pPr>
      <w:r w:rsidRPr="00533642">
        <w:rPr>
          <w:rFonts w:ascii="Garamond" w:hAnsi="Garamond"/>
          <w:noProof/>
        </w:rPr>
        <mc:AlternateContent>
          <mc:Choice Requires="wpg">
            <w:drawing>
              <wp:inline distT="0" distB="0" distL="0" distR="0" wp14:anchorId="4BA72113" wp14:editId="65ACA2A0">
                <wp:extent cx="5822353" cy="2374711"/>
                <wp:effectExtent l="0" t="0" r="0" b="0"/>
                <wp:docPr id="202231" name="Group 202231"/>
                <wp:cNvGraphicFramePr/>
                <a:graphic xmlns:a="http://schemas.openxmlformats.org/drawingml/2006/main">
                  <a:graphicData uri="http://schemas.microsoft.com/office/word/2010/wordprocessingGroup">
                    <wpg:wgp>
                      <wpg:cNvGrpSpPr/>
                      <wpg:grpSpPr>
                        <a:xfrm>
                          <a:off x="0" y="0"/>
                          <a:ext cx="5822353" cy="2374711"/>
                          <a:chOff x="0" y="0"/>
                          <a:chExt cx="5735955" cy="3018446"/>
                        </a:xfrm>
                      </wpg:grpSpPr>
                      <wps:wsp>
                        <wps:cNvPr id="9155" name="Shape 212820"/>
                        <wps:cNvSpPr/>
                        <wps:spPr>
                          <a:xfrm>
                            <a:off x="4087495" y="2058289"/>
                            <a:ext cx="96012" cy="164592"/>
                          </a:xfrm>
                          <a:custGeom>
                            <a:avLst/>
                            <a:gdLst/>
                            <a:ahLst/>
                            <a:cxnLst/>
                            <a:rect l="0" t="0" r="0" b="0"/>
                            <a:pathLst>
                              <a:path w="96012" h="164592">
                                <a:moveTo>
                                  <a:pt x="0" y="0"/>
                                </a:moveTo>
                                <a:lnTo>
                                  <a:pt x="96012" y="0"/>
                                </a:lnTo>
                                <a:lnTo>
                                  <a:pt x="96012" y="164592"/>
                                </a:lnTo>
                                <a:lnTo>
                                  <a:pt x="0" y="164592"/>
                                </a:lnTo>
                                <a:lnTo>
                                  <a:pt x="0" y="0"/>
                                </a:lnTo>
                              </a:path>
                            </a:pathLst>
                          </a:custGeom>
                          <a:solidFill>
                            <a:srgbClr val="DE6E4B"/>
                          </a:solidFill>
                          <a:ln w="0" cap="flat">
                            <a:noFill/>
                            <a:round/>
                          </a:ln>
                        </wps:spPr>
                        <wps:style>
                          <a:lnRef idx="0">
                            <a:srgbClr val="000000">
                              <a:alpha val="0"/>
                            </a:srgbClr>
                          </a:lnRef>
                          <a:fillRef idx="1">
                            <a:srgbClr val="4F81BD"/>
                          </a:fillRef>
                          <a:effectRef idx="0">
                            <a:scrgbClr r="0" g="0" b="0"/>
                          </a:effectRef>
                          <a:fontRef idx="none"/>
                        </wps:style>
                        <wps:bodyPr/>
                      </wps:wsp>
                      <wps:wsp>
                        <wps:cNvPr id="9156" name="Shape 212821"/>
                        <wps:cNvSpPr/>
                        <wps:spPr>
                          <a:xfrm>
                            <a:off x="3561715" y="1991233"/>
                            <a:ext cx="96012" cy="231648"/>
                          </a:xfrm>
                          <a:custGeom>
                            <a:avLst/>
                            <a:gdLst/>
                            <a:ahLst/>
                            <a:cxnLst/>
                            <a:rect l="0" t="0" r="0" b="0"/>
                            <a:pathLst>
                              <a:path w="96012" h="231648">
                                <a:moveTo>
                                  <a:pt x="0" y="0"/>
                                </a:moveTo>
                                <a:lnTo>
                                  <a:pt x="96012" y="0"/>
                                </a:lnTo>
                                <a:lnTo>
                                  <a:pt x="96012" y="231648"/>
                                </a:lnTo>
                                <a:lnTo>
                                  <a:pt x="0" y="231648"/>
                                </a:lnTo>
                                <a:lnTo>
                                  <a:pt x="0" y="0"/>
                                </a:lnTo>
                              </a:path>
                            </a:pathLst>
                          </a:custGeom>
                          <a:solidFill>
                            <a:srgbClr val="DE6E4B"/>
                          </a:solidFill>
                          <a:ln w="0" cap="flat">
                            <a:noFill/>
                            <a:round/>
                          </a:ln>
                        </wps:spPr>
                        <wps:style>
                          <a:lnRef idx="0">
                            <a:srgbClr val="000000">
                              <a:alpha val="0"/>
                            </a:srgbClr>
                          </a:lnRef>
                          <a:fillRef idx="1">
                            <a:srgbClr val="4F81BD"/>
                          </a:fillRef>
                          <a:effectRef idx="0">
                            <a:scrgbClr r="0" g="0" b="0"/>
                          </a:effectRef>
                          <a:fontRef idx="none"/>
                        </wps:style>
                        <wps:bodyPr/>
                      </wps:wsp>
                      <wps:wsp>
                        <wps:cNvPr id="9157" name="Shape 212822"/>
                        <wps:cNvSpPr/>
                        <wps:spPr>
                          <a:xfrm>
                            <a:off x="3034411" y="1857121"/>
                            <a:ext cx="96012" cy="365760"/>
                          </a:xfrm>
                          <a:custGeom>
                            <a:avLst/>
                            <a:gdLst/>
                            <a:ahLst/>
                            <a:cxnLst/>
                            <a:rect l="0" t="0" r="0" b="0"/>
                            <a:pathLst>
                              <a:path w="96012" h="365760">
                                <a:moveTo>
                                  <a:pt x="0" y="0"/>
                                </a:moveTo>
                                <a:lnTo>
                                  <a:pt x="96012" y="0"/>
                                </a:lnTo>
                                <a:lnTo>
                                  <a:pt x="96012" y="365760"/>
                                </a:lnTo>
                                <a:lnTo>
                                  <a:pt x="0" y="365760"/>
                                </a:lnTo>
                                <a:lnTo>
                                  <a:pt x="0" y="0"/>
                                </a:lnTo>
                              </a:path>
                            </a:pathLst>
                          </a:custGeom>
                          <a:solidFill>
                            <a:srgbClr val="DE6E4B"/>
                          </a:solidFill>
                          <a:ln w="0" cap="flat">
                            <a:noFill/>
                            <a:round/>
                          </a:ln>
                        </wps:spPr>
                        <wps:style>
                          <a:lnRef idx="0">
                            <a:srgbClr val="000000">
                              <a:alpha val="0"/>
                            </a:srgbClr>
                          </a:lnRef>
                          <a:fillRef idx="1">
                            <a:srgbClr val="4F81BD"/>
                          </a:fillRef>
                          <a:effectRef idx="0">
                            <a:scrgbClr r="0" g="0" b="0"/>
                          </a:effectRef>
                          <a:fontRef idx="none"/>
                        </wps:style>
                        <wps:bodyPr/>
                      </wps:wsp>
                      <wps:wsp>
                        <wps:cNvPr id="9158" name="Shape 212823"/>
                        <wps:cNvSpPr/>
                        <wps:spPr>
                          <a:xfrm>
                            <a:off x="4614799" y="1854073"/>
                            <a:ext cx="96012" cy="368808"/>
                          </a:xfrm>
                          <a:custGeom>
                            <a:avLst/>
                            <a:gdLst/>
                            <a:ahLst/>
                            <a:cxnLst/>
                            <a:rect l="0" t="0" r="0" b="0"/>
                            <a:pathLst>
                              <a:path w="96012" h="368808">
                                <a:moveTo>
                                  <a:pt x="0" y="0"/>
                                </a:moveTo>
                                <a:lnTo>
                                  <a:pt x="96012" y="0"/>
                                </a:lnTo>
                                <a:lnTo>
                                  <a:pt x="96012" y="368808"/>
                                </a:lnTo>
                                <a:lnTo>
                                  <a:pt x="0" y="368808"/>
                                </a:lnTo>
                                <a:lnTo>
                                  <a:pt x="0" y="0"/>
                                </a:lnTo>
                              </a:path>
                            </a:pathLst>
                          </a:custGeom>
                          <a:solidFill>
                            <a:srgbClr val="DE6E4B"/>
                          </a:solidFill>
                          <a:ln w="0" cap="flat">
                            <a:noFill/>
                            <a:round/>
                          </a:ln>
                        </wps:spPr>
                        <wps:style>
                          <a:lnRef idx="0">
                            <a:srgbClr val="000000">
                              <a:alpha val="0"/>
                            </a:srgbClr>
                          </a:lnRef>
                          <a:fillRef idx="1">
                            <a:srgbClr val="4F81BD"/>
                          </a:fillRef>
                          <a:effectRef idx="0">
                            <a:scrgbClr r="0" g="0" b="0"/>
                          </a:effectRef>
                          <a:fontRef idx="none"/>
                        </wps:style>
                        <wps:bodyPr/>
                      </wps:wsp>
                      <wps:wsp>
                        <wps:cNvPr id="9159" name="Shape 212824"/>
                        <wps:cNvSpPr/>
                        <wps:spPr>
                          <a:xfrm>
                            <a:off x="1981327" y="1527937"/>
                            <a:ext cx="96012" cy="694944"/>
                          </a:xfrm>
                          <a:custGeom>
                            <a:avLst/>
                            <a:gdLst/>
                            <a:ahLst/>
                            <a:cxnLst/>
                            <a:rect l="0" t="0" r="0" b="0"/>
                            <a:pathLst>
                              <a:path w="96012" h="694944">
                                <a:moveTo>
                                  <a:pt x="0" y="0"/>
                                </a:moveTo>
                                <a:lnTo>
                                  <a:pt x="96012" y="0"/>
                                </a:lnTo>
                                <a:lnTo>
                                  <a:pt x="96012" y="694944"/>
                                </a:lnTo>
                                <a:lnTo>
                                  <a:pt x="0" y="694944"/>
                                </a:lnTo>
                                <a:lnTo>
                                  <a:pt x="0" y="0"/>
                                </a:lnTo>
                              </a:path>
                            </a:pathLst>
                          </a:custGeom>
                          <a:solidFill>
                            <a:srgbClr val="DE6E4B"/>
                          </a:solidFill>
                          <a:ln w="0" cap="flat">
                            <a:noFill/>
                            <a:round/>
                          </a:ln>
                        </wps:spPr>
                        <wps:style>
                          <a:lnRef idx="0">
                            <a:srgbClr val="000000">
                              <a:alpha val="0"/>
                            </a:srgbClr>
                          </a:lnRef>
                          <a:fillRef idx="1">
                            <a:srgbClr val="4F81BD"/>
                          </a:fillRef>
                          <a:effectRef idx="0">
                            <a:scrgbClr r="0" g="0" b="0"/>
                          </a:effectRef>
                          <a:fontRef idx="none"/>
                        </wps:style>
                        <wps:bodyPr/>
                      </wps:wsp>
                      <wps:wsp>
                        <wps:cNvPr id="9160" name="Shape 212825"/>
                        <wps:cNvSpPr/>
                        <wps:spPr>
                          <a:xfrm>
                            <a:off x="1454023" y="1508125"/>
                            <a:ext cx="96012" cy="714756"/>
                          </a:xfrm>
                          <a:custGeom>
                            <a:avLst/>
                            <a:gdLst/>
                            <a:ahLst/>
                            <a:cxnLst/>
                            <a:rect l="0" t="0" r="0" b="0"/>
                            <a:pathLst>
                              <a:path w="96012" h="714756">
                                <a:moveTo>
                                  <a:pt x="0" y="0"/>
                                </a:moveTo>
                                <a:lnTo>
                                  <a:pt x="96012" y="0"/>
                                </a:lnTo>
                                <a:lnTo>
                                  <a:pt x="96012" y="714756"/>
                                </a:lnTo>
                                <a:lnTo>
                                  <a:pt x="0" y="714756"/>
                                </a:lnTo>
                                <a:lnTo>
                                  <a:pt x="0" y="0"/>
                                </a:lnTo>
                              </a:path>
                            </a:pathLst>
                          </a:custGeom>
                          <a:solidFill>
                            <a:srgbClr val="DE6E4B"/>
                          </a:solidFill>
                          <a:ln w="0" cap="flat">
                            <a:noFill/>
                            <a:round/>
                          </a:ln>
                        </wps:spPr>
                        <wps:style>
                          <a:lnRef idx="0">
                            <a:srgbClr val="000000">
                              <a:alpha val="0"/>
                            </a:srgbClr>
                          </a:lnRef>
                          <a:fillRef idx="1">
                            <a:srgbClr val="4F81BD"/>
                          </a:fillRef>
                          <a:effectRef idx="0">
                            <a:scrgbClr r="0" g="0" b="0"/>
                          </a:effectRef>
                          <a:fontRef idx="none"/>
                        </wps:style>
                        <wps:bodyPr/>
                      </wps:wsp>
                      <wps:wsp>
                        <wps:cNvPr id="9161" name="Shape 212826"/>
                        <wps:cNvSpPr/>
                        <wps:spPr>
                          <a:xfrm>
                            <a:off x="928243" y="1306957"/>
                            <a:ext cx="96012" cy="915924"/>
                          </a:xfrm>
                          <a:custGeom>
                            <a:avLst/>
                            <a:gdLst/>
                            <a:ahLst/>
                            <a:cxnLst/>
                            <a:rect l="0" t="0" r="0" b="0"/>
                            <a:pathLst>
                              <a:path w="96012" h="915924">
                                <a:moveTo>
                                  <a:pt x="0" y="0"/>
                                </a:moveTo>
                                <a:lnTo>
                                  <a:pt x="96012" y="0"/>
                                </a:lnTo>
                                <a:lnTo>
                                  <a:pt x="96012" y="915924"/>
                                </a:lnTo>
                                <a:lnTo>
                                  <a:pt x="0" y="915924"/>
                                </a:lnTo>
                                <a:lnTo>
                                  <a:pt x="0" y="0"/>
                                </a:lnTo>
                              </a:path>
                            </a:pathLst>
                          </a:custGeom>
                          <a:solidFill>
                            <a:srgbClr val="DE6E4B"/>
                          </a:solidFill>
                          <a:ln w="0" cap="flat">
                            <a:noFill/>
                            <a:round/>
                          </a:ln>
                        </wps:spPr>
                        <wps:style>
                          <a:lnRef idx="0">
                            <a:srgbClr val="000000">
                              <a:alpha val="0"/>
                            </a:srgbClr>
                          </a:lnRef>
                          <a:fillRef idx="1">
                            <a:srgbClr val="4F81BD"/>
                          </a:fillRef>
                          <a:effectRef idx="0">
                            <a:scrgbClr r="0" g="0" b="0"/>
                          </a:effectRef>
                          <a:fontRef idx="none"/>
                        </wps:style>
                        <wps:bodyPr/>
                      </wps:wsp>
                      <wps:wsp>
                        <wps:cNvPr id="9162" name="Shape 212827"/>
                        <wps:cNvSpPr/>
                        <wps:spPr>
                          <a:xfrm>
                            <a:off x="5142103" y="1278001"/>
                            <a:ext cx="94488" cy="944880"/>
                          </a:xfrm>
                          <a:custGeom>
                            <a:avLst/>
                            <a:gdLst/>
                            <a:ahLst/>
                            <a:cxnLst/>
                            <a:rect l="0" t="0" r="0" b="0"/>
                            <a:pathLst>
                              <a:path w="94488" h="944880">
                                <a:moveTo>
                                  <a:pt x="0" y="0"/>
                                </a:moveTo>
                                <a:lnTo>
                                  <a:pt x="94488" y="0"/>
                                </a:lnTo>
                                <a:lnTo>
                                  <a:pt x="94488" y="944880"/>
                                </a:lnTo>
                                <a:lnTo>
                                  <a:pt x="0" y="944880"/>
                                </a:lnTo>
                                <a:lnTo>
                                  <a:pt x="0" y="0"/>
                                </a:lnTo>
                              </a:path>
                            </a:pathLst>
                          </a:custGeom>
                          <a:solidFill>
                            <a:srgbClr val="DE6E4B"/>
                          </a:solidFill>
                          <a:ln w="0" cap="flat">
                            <a:noFill/>
                            <a:round/>
                          </a:ln>
                        </wps:spPr>
                        <wps:style>
                          <a:lnRef idx="0">
                            <a:srgbClr val="000000">
                              <a:alpha val="0"/>
                            </a:srgbClr>
                          </a:lnRef>
                          <a:fillRef idx="1">
                            <a:srgbClr val="4F81BD"/>
                          </a:fillRef>
                          <a:effectRef idx="0">
                            <a:scrgbClr r="0" g="0" b="0"/>
                          </a:effectRef>
                          <a:fontRef idx="none"/>
                        </wps:style>
                        <wps:bodyPr/>
                      </wps:wsp>
                      <wps:wsp>
                        <wps:cNvPr id="9163" name="Shape 212828"/>
                        <wps:cNvSpPr/>
                        <wps:spPr>
                          <a:xfrm>
                            <a:off x="400939" y="1050925"/>
                            <a:ext cx="96012" cy="1171956"/>
                          </a:xfrm>
                          <a:custGeom>
                            <a:avLst/>
                            <a:gdLst/>
                            <a:ahLst/>
                            <a:cxnLst/>
                            <a:rect l="0" t="0" r="0" b="0"/>
                            <a:pathLst>
                              <a:path w="96012" h="1171956">
                                <a:moveTo>
                                  <a:pt x="0" y="0"/>
                                </a:moveTo>
                                <a:lnTo>
                                  <a:pt x="96012" y="0"/>
                                </a:lnTo>
                                <a:lnTo>
                                  <a:pt x="96012" y="1171956"/>
                                </a:lnTo>
                                <a:lnTo>
                                  <a:pt x="0" y="1171956"/>
                                </a:lnTo>
                                <a:lnTo>
                                  <a:pt x="0" y="0"/>
                                </a:lnTo>
                              </a:path>
                            </a:pathLst>
                          </a:custGeom>
                          <a:solidFill>
                            <a:srgbClr val="DE6E4B"/>
                          </a:solidFill>
                          <a:ln w="0" cap="flat">
                            <a:noFill/>
                            <a:round/>
                          </a:ln>
                        </wps:spPr>
                        <wps:style>
                          <a:lnRef idx="0">
                            <a:srgbClr val="000000">
                              <a:alpha val="0"/>
                            </a:srgbClr>
                          </a:lnRef>
                          <a:fillRef idx="1">
                            <a:srgbClr val="4F81BD"/>
                          </a:fillRef>
                          <a:effectRef idx="0">
                            <a:scrgbClr r="0" g="0" b="0"/>
                          </a:effectRef>
                          <a:fontRef idx="none"/>
                        </wps:style>
                        <wps:bodyPr/>
                      </wps:wsp>
                      <wps:wsp>
                        <wps:cNvPr id="9164" name="Shape 212829"/>
                        <wps:cNvSpPr/>
                        <wps:spPr>
                          <a:xfrm>
                            <a:off x="2508631" y="400177"/>
                            <a:ext cx="94488" cy="1822704"/>
                          </a:xfrm>
                          <a:custGeom>
                            <a:avLst/>
                            <a:gdLst/>
                            <a:ahLst/>
                            <a:cxnLst/>
                            <a:rect l="0" t="0" r="0" b="0"/>
                            <a:pathLst>
                              <a:path w="94488" h="1822704">
                                <a:moveTo>
                                  <a:pt x="0" y="0"/>
                                </a:moveTo>
                                <a:lnTo>
                                  <a:pt x="94488" y="0"/>
                                </a:lnTo>
                                <a:lnTo>
                                  <a:pt x="94488" y="1822704"/>
                                </a:lnTo>
                                <a:lnTo>
                                  <a:pt x="0" y="1822704"/>
                                </a:lnTo>
                                <a:lnTo>
                                  <a:pt x="0" y="0"/>
                                </a:lnTo>
                              </a:path>
                            </a:pathLst>
                          </a:custGeom>
                          <a:solidFill>
                            <a:srgbClr val="DE6E4B"/>
                          </a:solidFill>
                          <a:ln w="0" cap="flat">
                            <a:noFill/>
                            <a:round/>
                          </a:ln>
                        </wps:spPr>
                        <wps:style>
                          <a:lnRef idx="0">
                            <a:srgbClr val="000000">
                              <a:alpha val="0"/>
                            </a:srgbClr>
                          </a:lnRef>
                          <a:fillRef idx="1">
                            <a:srgbClr val="4F81BD"/>
                          </a:fillRef>
                          <a:effectRef idx="0">
                            <a:scrgbClr r="0" g="0" b="0"/>
                          </a:effectRef>
                          <a:fontRef idx="none"/>
                        </wps:style>
                        <wps:bodyPr/>
                      </wps:wsp>
                      <wps:wsp>
                        <wps:cNvPr id="9165" name="Shape 212830"/>
                        <wps:cNvSpPr/>
                        <wps:spPr>
                          <a:xfrm>
                            <a:off x="3657727" y="1950085"/>
                            <a:ext cx="94488" cy="272796"/>
                          </a:xfrm>
                          <a:custGeom>
                            <a:avLst/>
                            <a:gdLst/>
                            <a:ahLst/>
                            <a:cxnLst/>
                            <a:rect l="0" t="0" r="0" b="0"/>
                            <a:pathLst>
                              <a:path w="94488" h="272796">
                                <a:moveTo>
                                  <a:pt x="0" y="0"/>
                                </a:moveTo>
                                <a:lnTo>
                                  <a:pt x="94488" y="0"/>
                                </a:lnTo>
                                <a:lnTo>
                                  <a:pt x="94488" y="272796"/>
                                </a:lnTo>
                                <a:lnTo>
                                  <a:pt x="0" y="272796"/>
                                </a:lnTo>
                                <a:lnTo>
                                  <a:pt x="0" y="0"/>
                                </a:lnTo>
                              </a:path>
                            </a:pathLst>
                          </a:custGeom>
                          <a:solidFill>
                            <a:srgbClr val="7A6563"/>
                          </a:solidFill>
                          <a:ln w="0" cap="flat">
                            <a:noFill/>
                            <a:round/>
                          </a:ln>
                        </wps:spPr>
                        <wps:style>
                          <a:lnRef idx="0">
                            <a:srgbClr val="000000">
                              <a:alpha val="0"/>
                            </a:srgbClr>
                          </a:lnRef>
                          <a:fillRef idx="1">
                            <a:srgbClr val="C0504D"/>
                          </a:fillRef>
                          <a:effectRef idx="0">
                            <a:scrgbClr r="0" g="0" b="0"/>
                          </a:effectRef>
                          <a:fontRef idx="none"/>
                        </wps:style>
                        <wps:bodyPr/>
                      </wps:wsp>
                      <wps:wsp>
                        <wps:cNvPr id="9166" name="Shape 212831"/>
                        <wps:cNvSpPr/>
                        <wps:spPr>
                          <a:xfrm>
                            <a:off x="4183507" y="1934845"/>
                            <a:ext cx="96012" cy="288036"/>
                          </a:xfrm>
                          <a:custGeom>
                            <a:avLst/>
                            <a:gdLst/>
                            <a:ahLst/>
                            <a:cxnLst/>
                            <a:rect l="0" t="0" r="0" b="0"/>
                            <a:pathLst>
                              <a:path w="96012" h="288036">
                                <a:moveTo>
                                  <a:pt x="0" y="0"/>
                                </a:moveTo>
                                <a:lnTo>
                                  <a:pt x="96012" y="0"/>
                                </a:lnTo>
                                <a:lnTo>
                                  <a:pt x="96012" y="288036"/>
                                </a:lnTo>
                                <a:lnTo>
                                  <a:pt x="0" y="288036"/>
                                </a:lnTo>
                                <a:lnTo>
                                  <a:pt x="0" y="0"/>
                                </a:lnTo>
                              </a:path>
                            </a:pathLst>
                          </a:custGeom>
                          <a:solidFill>
                            <a:srgbClr val="7A6563"/>
                          </a:solidFill>
                          <a:ln w="0" cap="flat">
                            <a:noFill/>
                            <a:round/>
                          </a:ln>
                        </wps:spPr>
                        <wps:style>
                          <a:lnRef idx="0">
                            <a:srgbClr val="000000">
                              <a:alpha val="0"/>
                            </a:srgbClr>
                          </a:lnRef>
                          <a:fillRef idx="1">
                            <a:srgbClr val="C0504D"/>
                          </a:fillRef>
                          <a:effectRef idx="0">
                            <a:scrgbClr r="0" g="0" b="0"/>
                          </a:effectRef>
                          <a:fontRef idx="none"/>
                        </wps:style>
                        <wps:bodyPr/>
                      </wps:wsp>
                      <wps:wsp>
                        <wps:cNvPr id="9167" name="Shape 212832"/>
                        <wps:cNvSpPr/>
                        <wps:spPr>
                          <a:xfrm>
                            <a:off x="3130423" y="1808353"/>
                            <a:ext cx="96012" cy="414527"/>
                          </a:xfrm>
                          <a:custGeom>
                            <a:avLst/>
                            <a:gdLst/>
                            <a:ahLst/>
                            <a:cxnLst/>
                            <a:rect l="0" t="0" r="0" b="0"/>
                            <a:pathLst>
                              <a:path w="96012" h="414527">
                                <a:moveTo>
                                  <a:pt x="0" y="0"/>
                                </a:moveTo>
                                <a:lnTo>
                                  <a:pt x="96012" y="0"/>
                                </a:lnTo>
                                <a:lnTo>
                                  <a:pt x="96012" y="414527"/>
                                </a:lnTo>
                                <a:lnTo>
                                  <a:pt x="0" y="414527"/>
                                </a:lnTo>
                                <a:lnTo>
                                  <a:pt x="0" y="0"/>
                                </a:lnTo>
                              </a:path>
                            </a:pathLst>
                          </a:custGeom>
                          <a:solidFill>
                            <a:srgbClr val="7A6563"/>
                          </a:solidFill>
                          <a:ln w="0" cap="flat">
                            <a:noFill/>
                            <a:round/>
                          </a:ln>
                        </wps:spPr>
                        <wps:style>
                          <a:lnRef idx="0">
                            <a:srgbClr val="000000">
                              <a:alpha val="0"/>
                            </a:srgbClr>
                          </a:lnRef>
                          <a:fillRef idx="1">
                            <a:srgbClr val="C0504D"/>
                          </a:fillRef>
                          <a:effectRef idx="0">
                            <a:scrgbClr r="0" g="0" b="0"/>
                          </a:effectRef>
                          <a:fontRef idx="none"/>
                        </wps:style>
                        <wps:bodyPr/>
                      </wps:wsp>
                      <wps:wsp>
                        <wps:cNvPr id="9168" name="Shape 212833"/>
                        <wps:cNvSpPr/>
                        <wps:spPr>
                          <a:xfrm>
                            <a:off x="4710811" y="1703197"/>
                            <a:ext cx="96012" cy="519684"/>
                          </a:xfrm>
                          <a:custGeom>
                            <a:avLst/>
                            <a:gdLst/>
                            <a:ahLst/>
                            <a:cxnLst/>
                            <a:rect l="0" t="0" r="0" b="0"/>
                            <a:pathLst>
                              <a:path w="96012" h="519684">
                                <a:moveTo>
                                  <a:pt x="0" y="0"/>
                                </a:moveTo>
                                <a:lnTo>
                                  <a:pt x="96012" y="0"/>
                                </a:lnTo>
                                <a:lnTo>
                                  <a:pt x="96012" y="519684"/>
                                </a:lnTo>
                                <a:lnTo>
                                  <a:pt x="0" y="519684"/>
                                </a:lnTo>
                                <a:lnTo>
                                  <a:pt x="0" y="0"/>
                                </a:lnTo>
                              </a:path>
                            </a:pathLst>
                          </a:custGeom>
                          <a:solidFill>
                            <a:srgbClr val="7A6563"/>
                          </a:solidFill>
                          <a:ln w="0" cap="flat">
                            <a:noFill/>
                            <a:round/>
                          </a:ln>
                        </wps:spPr>
                        <wps:style>
                          <a:lnRef idx="0">
                            <a:srgbClr val="000000">
                              <a:alpha val="0"/>
                            </a:srgbClr>
                          </a:lnRef>
                          <a:fillRef idx="1">
                            <a:srgbClr val="C0504D"/>
                          </a:fillRef>
                          <a:effectRef idx="0">
                            <a:scrgbClr r="0" g="0" b="0"/>
                          </a:effectRef>
                          <a:fontRef idx="none"/>
                        </wps:style>
                        <wps:bodyPr/>
                      </wps:wsp>
                      <wps:wsp>
                        <wps:cNvPr id="9169" name="Shape 212834"/>
                        <wps:cNvSpPr/>
                        <wps:spPr>
                          <a:xfrm>
                            <a:off x="2077339" y="1459357"/>
                            <a:ext cx="96012" cy="763524"/>
                          </a:xfrm>
                          <a:custGeom>
                            <a:avLst/>
                            <a:gdLst/>
                            <a:ahLst/>
                            <a:cxnLst/>
                            <a:rect l="0" t="0" r="0" b="0"/>
                            <a:pathLst>
                              <a:path w="96012" h="763524">
                                <a:moveTo>
                                  <a:pt x="0" y="0"/>
                                </a:moveTo>
                                <a:lnTo>
                                  <a:pt x="96012" y="0"/>
                                </a:lnTo>
                                <a:lnTo>
                                  <a:pt x="96012" y="763524"/>
                                </a:lnTo>
                                <a:lnTo>
                                  <a:pt x="0" y="763524"/>
                                </a:lnTo>
                                <a:lnTo>
                                  <a:pt x="0" y="0"/>
                                </a:lnTo>
                              </a:path>
                            </a:pathLst>
                          </a:custGeom>
                          <a:solidFill>
                            <a:srgbClr val="7A6563"/>
                          </a:solidFill>
                          <a:ln w="0" cap="flat">
                            <a:noFill/>
                            <a:round/>
                          </a:ln>
                        </wps:spPr>
                        <wps:style>
                          <a:lnRef idx="0">
                            <a:srgbClr val="000000">
                              <a:alpha val="0"/>
                            </a:srgbClr>
                          </a:lnRef>
                          <a:fillRef idx="1">
                            <a:srgbClr val="C0504D"/>
                          </a:fillRef>
                          <a:effectRef idx="0">
                            <a:scrgbClr r="0" g="0" b="0"/>
                          </a:effectRef>
                          <a:fontRef idx="none"/>
                        </wps:style>
                        <wps:bodyPr/>
                      </wps:wsp>
                      <wps:wsp>
                        <wps:cNvPr id="9170" name="Shape 212835"/>
                        <wps:cNvSpPr/>
                        <wps:spPr>
                          <a:xfrm>
                            <a:off x="1550035" y="1451737"/>
                            <a:ext cx="96012" cy="771144"/>
                          </a:xfrm>
                          <a:custGeom>
                            <a:avLst/>
                            <a:gdLst/>
                            <a:ahLst/>
                            <a:cxnLst/>
                            <a:rect l="0" t="0" r="0" b="0"/>
                            <a:pathLst>
                              <a:path w="96012" h="771144">
                                <a:moveTo>
                                  <a:pt x="0" y="0"/>
                                </a:moveTo>
                                <a:lnTo>
                                  <a:pt x="96012" y="0"/>
                                </a:lnTo>
                                <a:lnTo>
                                  <a:pt x="96012" y="771144"/>
                                </a:lnTo>
                                <a:lnTo>
                                  <a:pt x="0" y="771144"/>
                                </a:lnTo>
                                <a:lnTo>
                                  <a:pt x="0" y="0"/>
                                </a:lnTo>
                              </a:path>
                            </a:pathLst>
                          </a:custGeom>
                          <a:solidFill>
                            <a:srgbClr val="7A6563"/>
                          </a:solidFill>
                          <a:ln w="0" cap="flat">
                            <a:noFill/>
                            <a:round/>
                          </a:ln>
                        </wps:spPr>
                        <wps:style>
                          <a:lnRef idx="0">
                            <a:srgbClr val="000000">
                              <a:alpha val="0"/>
                            </a:srgbClr>
                          </a:lnRef>
                          <a:fillRef idx="1">
                            <a:srgbClr val="C0504D"/>
                          </a:fillRef>
                          <a:effectRef idx="0">
                            <a:scrgbClr r="0" g="0" b="0"/>
                          </a:effectRef>
                          <a:fontRef idx="none"/>
                        </wps:style>
                        <wps:bodyPr/>
                      </wps:wsp>
                      <wps:wsp>
                        <wps:cNvPr id="9181" name="Shape 212836"/>
                        <wps:cNvSpPr/>
                        <wps:spPr>
                          <a:xfrm>
                            <a:off x="1024255" y="1352677"/>
                            <a:ext cx="94488" cy="870204"/>
                          </a:xfrm>
                          <a:custGeom>
                            <a:avLst/>
                            <a:gdLst/>
                            <a:ahLst/>
                            <a:cxnLst/>
                            <a:rect l="0" t="0" r="0" b="0"/>
                            <a:pathLst>
                              <a:path w="94488" h="870204">
                                <a:moveTo>
                                  <a:pt x="0" y="0"/>
                                </a:moveTo>
                                <a:lnTo>
                                  <a:pt x="94488" y="0"/>
                                </a:lnTo>
                                <a:lnTo>
                                  <a:pt x="94488" y="870204"/>
                                </a:lnTo>
                                <a:lnTo>
                                  <a:pt x="0" y="870204"/>
                                </a:lnTo>
                                <a:lnTo>
                                  <a:pt x="0" y="0"/>
                                </a:lnTo>
                              </a:path>
                            </a:pathLst>
                          </a:custGeom>
                          <a:solidFill>
                            <a:srgbClr val="7A6563"/>
                          </a:solidFill>
                          <a:ln w="0" cap="flat">
                            <a:noFill/>
                            <a:round/>
                          </a:ln>
                        </wps:spPr>
                        <wps:style>
                          <a:lnRef idx="0">
                            <a:srgbClr val="000000">
                              <a:alpha val="0"/>
                            </a:srgbClr>
                          </a:lnRef>
                          <a:fillRef idx="1">
                            <a:srgbClr val="C0504D"/>
                          </a:fillRef>
                          <a:effectRef idx="0">
                            <a:scrgbClr r="0" g="0" b="0"/>
                          </a:effectRef>
                          <a:fontRef idx="none"/>
                        </wps:style>
                        <wps:bodyPr/>
                      </wps:wsp>
                      <wps:wsp>
                        <wps:cNvPr id="9182" name="Shape 212837"/>
                        <wps:cNvSpPr/>
                        <wps:spPr>
                          <a:xfrm>
                            <a:off x="5236591" y="1328293"/>
                            <a:ext cx="96012" cy="894588"/>
                          </a:xfrm>
                          <a:custGeom>
                            <a:avLst/>
                            <a:gdLst/>
                            <a:ahLst/>
                            <a:cxnLst/>
                            <a:rect l="0" t="0" r="0" b="0"/>
                            <a:pathLst>
                              <a:path w="96012" h="894588">
                                <a:moveTo>
                                  <a:pt x="0" y="0"/>
                                </a:moveTo>
                                <a:lnTo>
                                  <a:pt x="96012" y="0"/>
                                </a:lnTo>
                                <a:lnTo>
                                  <a:pt x="96012" y="894588"/>
                                </a:lnTo>
                                <a:lnTo>
                                  <a:pt x="0" y="894588"/>
                                </a:lnTo>
                                <a:lnTo>
                                  <a:pt x="0" y="0"/>
                                </a:lnTo>
                              </a:path>
                            </a:pathLst>
                          </a:custGeom>
                          <a:solidFill>
                            <a:srgbClr val="7A6563"/>
                          </a:solidFill>
                          <a:ln w="0" cap="flat">
                            <a:noFill/>
                            <a:round/>
                          </a:ln>
                        </wps:spPr>
                        <wps:style>
                          <a:lnRef idx="0">
                            <a:srgbClr val="000000">
                              <a:alpha val="0"/>
                            </a:srgbClr>
                          </a:lnRef>
                          <a:fillRef idx="1">
                            <a:srgbClr val="C0504D"/>
                          </a:fillRef>
                          <a:effectRef idx="0">
                            <a:scrgbClr r="0" g="0" b="0"/>
                          </a:effectRef>
                          <a:fontRef idx="none"/>
                        </wps:style>
                        <wps:bodyPr/>
                      </wps:wsp>
                      <wps:wsp>
                        <wps:cNvPr id="9183" name="Shape 212838"/>
                        <wps:cNvSpPr/>
                        <wps:spPr>
                          <a:xfrm>
                            <a:off x="496951" y="1073785"/>
                            <a:ext cx="96012" cy="1149096"/>
                          </a:xfrm>
                          <a:custGeom>
                            <a:avLst/>
                            <a:gdLst/>
                            <a:ahLst/>
                            <a:cxnLst/>
                            <a:rect l="0" t="0" r="0" b="0"/>
                            <a:pathLst>
                              <a:path w="96012" h="1149096">
                                <a:moveTo>
                                  <a:pt x="0" y="0"/>
                                </a:moveTo>
                                <a:lnTo>
                                  <a:pt x="96012" y="0"/>
                                </a:lnTo>
                                <a:lnTo>
                                  <a:pt x="96012" y="1149096"/>
                                </a:lnTo>
                                <a:lnTo>
                                  <a:pt x="0" y="1149096"/>
                                </a:lnTo>
                                <a:lnTo>
                                  <a:pt x="0" y="0"/>
                                </a:lnTo>
                              </a:path>
                            </a:pathLst>
                          </a:custGeom>
                          <a:solidFill>
                            <a:srgbClr val="7A6563"/>
                          </a:solidFill>
                          <a:ln w="0" cap="flat">
                            <a:noFill/>
                            <a:round/>
                          </a:ln>
                        </wps:spPr>
                        <wps:style>
                          <a:lnRef idx="0">
                            <a:srgbClr val="000000">
                              <a:alpha val="0"/>
                            </a:srgbClr>
                          </a:lnRef>
                          <a:fillRef idx="1">
                            <a:srgbClr val="C0504D"/>
                          </a:fillRef>
                          <a:effectRef idx="0">
                            <a:scrgbClr r="0" g="0" b="0"/>
                          </a:effectRef>
                          <a:fontRef idx="none"/>
                        </wps:style>
                        <wps:bodyPr/>
                      </wps:wsp>
                      <wps:wsp>
                        <wps:cNvPr id="212864" name="Shape 212839"/>
                        <wps:cNvSpPr/>
                        <wps:spPr>
                          <a:xfrm>
                            <a:off x="2603119" y="749173"/>
                            <a:ext cx="96012" cy="1473708"/>
                          </a:xfrm>
                          <a:custGeom>
                            <a:avLst/>
                            <a:gdLst/>
                            <a:ahLst/>
                            <a:cxnLst/>
                            <a:rect l="0" t="0" r="0" b="0"/>
                            <a:pathLst>
                              <a:path w="96012" h="1473708">
                                <a:moveTo>
                                  <a:pt x="0" y="0"/>
                                </a:moveTo>
                                <a:lnTo>
                                  <a:pt x="96012" y="0"/>
                                </a:lnTo>
                                <a:lnTo>
                                  <a:pt x="96012" y="1473708"/>
                                </a:lnTo>
                                <a:lnTo>
                                  <a:pt x="0" y="1473708"/>
                                </a:lnTo>
                                <a:lnTo>
                                  <a:pt x="0" y="0"/>
                                </a:lnTo>
                              </a:path>
                            </a:pathLst>
                          </a:custGeom>
                          <a:solidFill>
                            <a:srgbClr val="7A6563"/>
                          </a:solidFill>
                          <a:ln w="0" cap="flat">
                            <a:noFill/>
                            <a:round/>
                          </a:ln>
                        </wps:spPr>
                        <wps:style>
                          <a:lnRef idx="0">
                            <a:srgbClr val="000000">
                              <a:alpha val="0"/>
                            </a:srgbClr>
                          </a:lnRef>
                          <a:fillRef idx="1">
                            <a:srgbClr val="C0504D"/>
                          </a:fillRef>
                          <a:effectRef idx="0">
                            <a:scrgbClr r="0" g="0" b="0"/>
                          </a:effectRef>
                          <a:fontRef idx="none"/>
                        </wps:style>
                        <wps:bodyPr/>
                      </wps:wsp>
                      <wps:wsp>
                        <wps:cNvPr id="212865" name="Shape 212840"/>
                        <wps:cNvSpPr/>
                        <wps:spPr>
                          <a:xfrm>
                            <a:off x="4279519" y="2041525"/>
                            <a:ext cx="96012" cy="181356"/>
                          </a:xfrm>
                          <a:custGeom>
                            <a:avLst/>
                            <a:gdLst/>
                            <a:ahLst/>
                            <a:cxnLst/>
                            <a:rect l="0" t="0" r="0" b="0"/>
                            <a:pathLst>
                              <a:path w="96012" h="181356">
                                <a:moveTo>
                                  <a:pt x="0" y="0"/>
                                </a:moveTo>
                                <a:lnTo>
                                  <a:pt x="96012" y="0"/>
                                </a:lnTo>
                                <a:lnTo>
                                  <a:pt x="96012" y="181356"/>
                                </a:lnTo>
                                <a:lnTo>
                                  <a:pt x="0" y="181356"/>
                                </a:lnTo>
                                <a:lnTo>
                                  <a:pt x="0" y="0"/>
                                </a:lnTo>
                              </a:path>
                            </a:pathLst>
                          </a:custGeom>
                          <a:solidFill>
                            <a:srgbClr val="CACAAA"/>
                          </a:solidFill>
                          <a:ln w="0" cap="flat">
                            <a:noFill/>
                            <a:round/>
                          </a:ln>
                        </wps:spPr>
                        <wps:style>
                          <a:lnRef idx="0">
                            <a:srgbClr val="000000">
                              <a:alpha val="0"/>
                            </a:srgbClr>
                          </a:lnRef>
                          <a:fillRef idx="1">
                            <a:srgbClr val="9BBB59"/>
                          </a:fillRef>
                          <a:effectRef idx="0">
                            <a:scrgbClr r="0" g="0" b="0"/>
                          </a:effectRef>
                          <a:fontRef idx="none"/>
                        </wps:style>
                        <wps:bodyPr/>
                      </wps:wsp>
                      <wps:wsp>
                        <wps:cNvPr id="212866" name="Shape 212841"/>
                        <wps:cNvSpPr/>
                        <wps:spPr>
                          <a:xfrm>
                            <a:off x="3752215" y="1956181"/>
                            <a:ext cx="96012" cy="266700"/>
                          </a:xfrm>
                          <a:custGeom>
                            <a:avLst/>
                            <a:gdLst/>
                            <a:ahLst/>
                            <a:cxnLst/>
                            <a:rect l="0" t="0" r="0" b="0"/>
                            <a:pathLst>
                              <a:path w="96012" h="266700">
                                <a:moveTo>
                                  <a:pt x="0" y="0"/>
                                </a:moveTo>
                                <a:lnTo>
                                  <a:pt x="96012" y="0"/>
                                </a:lnTo>
                                <a:lnTo>
                                  <a:pt x="96012" y="266700"/>
                                </a:lnTo>
                                <a:lnTo>
                                  <a:pt x="0" y="266700"/>
                                </a:lnTo>
                                <a:lnTo>
                                  <a:pt x="0" y="0"/>
                                </a:lnTo>
                              </a:path>
                            </a:pathLst>
                          </a:custGeom>
                          <a:solidFill>
                            <a:srgbClr val="CACAAA"/>
                          </a:solidFill>
                          <a:ln w="0" cap="flat">
                            <a:noFill/>
                            <a:round/>
                          </a:ln>
                        </wps:spPr>
                        <wps:style>
                          <a:lnRef idx="0">
                            <a:srgbClr val="000000">
                              <a:alpha val="0"/>
                            </a:srgbClr>
                          </a:lnRef>
                          <a:fillRef idx="1">
                            <a:srgbClr val="9BBB59"/>
                          </a:fillRef>
                          <a:effectRef idx="0">
                            <a:scrgbClr r="0" g="0" b="0"/>
                          </a:effectRef>
                          <a:fontRef idx="none"/>
                        </wps:style>
                        <wps:bodyPr/>
                      </wps:wsp>
                      <wps:wsp>
                        <wps:cNvPr id="212867" name="Shape 212842"/>
                        <wps:cNvSpPr/>
                        <wps:spPr>
                          <a:xfrm>
                            <a:off x="3226435" y="1847977"/>
                            <a:ext cx="96012" cy="374903"/>
                          </a:xfrm>
                          <a:custGeom>
                            <a:avLst/>
                            <a:gdLst/>
                            <a:ahLst/>
                            <a:cxnLst/>
                            <a:rect l="0" t="0" r="0" b="0"/>
                            <a:pathLst>
                              <a:path w="96012" h="374903">
                                <a:moveTo>
                                  <a:pt x="0" y="0"/>
                                </a:moveTo>
                                <a:lnTo>
                                  <a:pt x="96012" y="0"/>
                                </a:lnTo>
                                <a:lnTo>
                                  <a:pt x="96012" y="374903"/>
                                </a:lnTo>
                                <a:lnTo>
                                  <a:pt x="0" y="374903"/>
                                </a:lnTo>
                                <a:lnTo>
                                  <a:pt x="0" y="0"/>
                                </a:lnTo>
                              </a:path>
                            </a:pathLst>
                          </a:custGeom>
                          <a:solidFill>
                            <a:srgbClr val="CACAAA"/>
                          </a:solidFill>
                          <a:ln w="0" cap="flat">
                            <a:noFill/>
                            <a:round/>
                          </a:ln>
                        </wps:spPr>
                        <wps:style>
                          <a:lnRef idx="0">
                            <a:srgbClr val="000000">
                              <a:alpha val="0"/>
                            </a:srgbClr>
                          </a:lnRef>
                          <a:fillRef idx="1">
                            <a:srgbClr val="9BBB59"/>
                          </a:fillRef>
                          <a:effectRef idx="0">
                            <a:scrgbClr r="0" g="0" b="0"/>
                          </a:effectRef>
                          <a:fontRef idx="none"/>
                        </wps:style>
                        <wps:bodyPr/>
                      </wps:wsp>
                      <wps:wsp>
                        <wps:cNvPr id="212868" name="Shape 212843"/>
                        <wps:cNvSpPr/>
                        <wps:spPr>
                          <a:xfrm>
                            <a:off x="4806824" y="1780921"/>
                            <a:ext cx="96012" cy="441960"/>
                          </a:xfrm>
                          <a:custGeom>
                            <a:avLst/>
                            <a:gdLst/>
                            <a:ahLst/>
                            <a:cxnLst/>
                            <a:rect l="0" t="0" r="0" b="0"/>
                            <a:pathLst>
                              <a:path w="96012" h="441960">
                                <a:moveTo>
                                  <a:pt x="0" y="0"/>
                                </a:moveTo>
                                <a:lnTo>
                                  <a:pt x="96012" y="0"/>
                                </a:lnTo>
                                <a:lnTo>
                                  <a:pt x="96012" y="441960"/>
                                </a:lnTo>
                                <a:lnTo>
                                  <a:pt x="0" y="441960"/>
                                </a:lnTo>
                                <a:lnTo>
                                  <a:pt x="0" y="0"/>
                                </a:lnTo>
                              </a:path>
                            </a:pathLst>
                          </a:custGeom>
                          <a:solidFill>
                            <a:srgbClr val="CACAAA"/>
                          </a:solidFill>
                          <a:ln w="0" cap="flat">
                            <a:noFill/>
                            <a:round/>
                          </a:ln>
                        </wps:spPr>
                        <wps:style>
                          <a:lnRef idx="0">
                            <a:srgbClr val="000000">
                              <a:alpha val="0"/>
                            </a:srgbClr>
                          </a:lnRef>
                          <a:fillRef idx="1">
                            <a:srgbClr val="9BBB59"/>
                          </a:fillRef>
                          <a:effectRef idx="0">
                            <a:scrgbClr r="0" g="0" b="0"/>
                          </a:effectRef>
                          <a:fontRef idx="none"/>
                        </wps:style>
                        <wps:bodyPr/>
                      </wps:wsp>
                      <wps:wsp>
                        <wps:cNvPr id="212869" name="Shape 212844"/>
                        <wps:cNvSpPr/>
                        <wps:spPr>
                          <a:xfrm>
                            <a:off x="2173351" y="1527937"/>
                            <a:ext cx="94488" cy="694944"/>
                          </a:xfrm>
                          <a:custGeom>
                            <a:avLst/>
                            <a:gdLst/>
                            <a:ahLst/>
                            <a:cxnLst/>
                            <a:rect l="0" t="0" r="0" b="0"/>
                            <a:pathLst>
                              <a:path w="94488" h="694944">
                                <a:moveTo>
                                  <a:pt x="0" y="0"/>
                                </a:moveTo>
                                <a:lnTo>
                                  <a:pt x="94488" y="0"/>
                                </a:lnTo>
                                <a:lnTo>
                                  <a:pt x="94488" y="694944"/>
                                </a:lnTo>
                                <a:lnTo>
                                  <a:pt x="0" y="694944"/>
                                </a:lnTo>
                                <a:lnTo>
                                  <a:pt x="0" y="0"/>
                                </a:lnTo>
                              </a:path>
                            </a:pathLst>
                          </a:custGeom>
                          <a:solidFill>
                            <a:srgbClr val="CACAAA"/>
                          </a:solidFill>
                          <a:ln w="0" cap="flat">
                            <a:noFill/>
                            <a:round/>
                          </a:ln>
                        </wps:spPr>
                        <wps:style>
                          <a:lnRef idx="0">
                            <a:srgbClr val="000000">
                              <a:alpha val="0"/>
                            </a:srgbClr>
                          </a:lnRef>
                          <a:fillRef idx="1">
                            <a:srgbClr val="9BBB59"/>
                          </a:fillRef>
                          <a:effectRef idx="0">
                            <a:scrgbClr r="0" g="0" b="0"/>
                          </a:effectRef>
                          <a:fontRef idx="none"/>
                        </wps:style>
                        <wps:bodyPr/>
                      </wps:wsp>
                      <wps:wsp>
                        <wps:cNvPr id="212870" name="Shape 212845"/>
                        <wps:cNvSpPr/>
                        <wps:spPr>
                          <a:xfrm>
                            <a:off x="1646047" y="1482217"/>
                            <a:ext cx="96012" cy="740664"/>
                          </a:xfrm>
                          <a:custGeom>
                            <a:avLst/>
                            <a:gdLst/>
                            <a:ahLst/>
                            <a:cxnLst/>
                            <a:rect l="0" t="0" r="0" b="0"/>
                            <a:pathLst>
                              <a:path w="96012" h="740664">
                                <a:moveTo>
                                  <a:pt x="0" y="0"/>
                                </a:moveTo>
                                <a:lnTo>
                                  <a:pt x="96012" y="0"/>
                                </a:lnTo>
                                <a:lnTo>
                                  <a:pt x="96012" y="740664"/>
                                </a:lnTo>
                                <a:lnTo>
                                  <a:pt x="0" y="740664"/>
                                </a:lnTo>
                                <a:lnTo>
                                  <a:pt x="0" y="0"/>
                                </a:lnTo>
                              </a:path>
                            </a:pathLst>
                          </a:custGeom>
                          <a:solidFill>
                            <a:srgbClr val="CACAAA"/>
                          </a:solidFill>
                          <a:ln w="0" cap="flat">
                            <a:noFill/>
                            <a:round/>
                          </a:ln>
                        </wps:spPr>
                        <wps:style>
                          <a:lnRef idx="0">
                            <a:srgbClr val="000000">
                              <a:alpha val="0"/>
                            </a:srgbClr>
                          </a:lnRef>
                          <a:fillRef idx="1">
                            <a:srgbClr val="9BBB59"/>
                          </a:fillRef>
                          <a:effectRef idx="0">
                            <a:scrgbClr r="0" g="0" b="0"/>
                          </a:effectRef>
                          <a:fontRef idx="none"/>
                        </wps:style>
                        <wps:bodyPr/>
                      </wps:wsp>
                      <wps:wsp>
                        <wps:cNvPr id="212871" name="Shape 212846"/>
                        <wps:cNvSpPr/>
                        <wps:spPr>
                          <a:xfrm>
                            <a:off x="5332603" y="1140841"/>
                            <a:ext cx="96012" cy="1082039"/>
                          </a:xfrm>
                          <a:custGeom>
                            <a:avLst/>
                            <a:gdLst/>
                            <a:ahLst/>
                            <a:cxnLst/>
                            <a:rect l="0" t="0" r="0" b="0"/>
                            <a:pathLst>
                              <a:path w="96012" h="1082039">
                                <a:moveTo>
                                  <a:pt x="0" y="0"/>
                                </a:moveTo>
                                <a:lnTo>
                                  <a:pt x="96012" y="0"/>
                                </a:lnTo>
                                <a:lnTo>
                                  <a:pt x="96012" y="1082039"/>
                                </a:lnTo>
                                <a:lnTo>
                                  <a:pt x="0" y="1082039"/>
                                </a:lnTo>
                                <a:lnTo>
                                  <a:pt x="0" y="0"/>
                                </a:lnTo>
                              </a:path>
                            </a:pathLst>
                          </a:custGeom>
                          <a:solidFill>
                            <a:srgbClr val="CACAAA"/>
                          </a:solidFill>
                          <a:ln w="0" cap="flat">
                            <a:noFill/>
                            <a:round/>
                          </a:ln>
                        </wps:spPr>
                        <wps:style>
                          <a:lnRef idx="0">
                            <a:srgbClr val="000000">
                              <a:alpha val="0"/>
                            </a:srgbClr>
                          </a:lnRef>
                          <a:fillRef idx="1">
                            <a:srgbClr val="9BBB59"/>
                          </a:fillRef>
                          <a:effectRef idx="0">
                            <a:scrgbClr r="0" g="0" b="0"/>
                          </a:effectRef>
                          <a:fontRef idx="none"/>
                        </wps:style>
                        <wps:bodyPr/>
                      </wps:wsp>
                      <wps:wsp>
                        <wps:cNvPr id="212872" name="Shape 212847"/>
                        <wps:cNvSpPr/>
                        <wps:spPr>
                          <a:xfrm>
                            <a:off x="1118743" y="961009"/>
                            <a:ext cx="96012" cy="1261872"/>
                          </a:xfrm>
                          <a:custGeom>
                            <a:avLst/>
                            <a:gdLst/>
                            <a:ahLst/>
                            <a:cxnLst/>
                            <a:rect l="0" t="0" r="0" b="0"/>
                            <a:pathLst>
                              <a:path w="96012" h="1261872">
                                <a:moveTo>
                                  <a:pt x="0" y="0"/>
                                </a:moveTo>
                                <a:lnTo>
                                  <a:pt x="96012" y="0"/>
                                </a:lnTo>
                                <a:lnTo>
                                  <a:pt x="96012" y="1261872"/>
                                </a:lnTo>
                                <a:lnTo>
                                  <a:pt x="0" y="1261872"/>
                                </a:lnTo>
                                <a:lnTo>
                                  <a:pt x="0" y="0"/>
                                </a:lnTo>
                              </a:path>
                            </a:pathLst>
                          </a:custGeom>
                          <a:solidFill>
                            <a:srgbClr val="CACAAA"/>
                          </a:solidFill>
                          <a:ln w="0" cap="flat">
                            <a:noFill/>
                            <a:round/>
                          </a:ln>
                        </wps:spPr>
                        <wps:style>
                          <a:lnRef idx="0">
                            <a:srgbClr val="000000">
                              <a:alpha val="0"/>
                            </a:srgbClr>
                          </a:lnRef>
                          <a:fillRef idx="1">
                            <a:srgbClr val="9BBB59"/>
                          </a:fillRef>
                          <a:effectRef idx="0">
                            <a:scrgbClr r="0" g="0" b="0"/>
                          </a:effectRef>
                          <a:fontRef idx="none"/>
                        </wps:style>
                        <wps:bodyPr/>
                      </wps:wsp>
                      <wps:wsp>
                        <wps:cNvPr id="212873" name="Shape 212848"/>
                        <wps:cNvSpPr/>
                        <wps:spPr>
                          <a:xfrm>
                            <a:off x="592963" y="909193"/>
                            <a:ext cx="96012" cy="1313688"/>
                          </a:xfrm>
                          <a:custGeom>
                            <a:avLst/>
                            <a:gdLst/>
                            <a:ahLst/>
                            <a:cxnLst/>
                            <a:rect l="0" t="0" r="0" b="0"/>
                            <a:pathLst>
                              <a:path w="96012" h="1313688">
                                <a:moveTo>
                                  <a:pt x="0" y="0"/>
                                </a:moveTo>
                                <a:lnTo>
                                  <a:pt x="96012" y="0"/>
                                </a:lnTo>
                                <a:lnTo>
                                  <a:pt x="96012" y="1313688"/>
                                </a:lnTo>
                                <a:lnTo>
                                  <a:pt x="0" y="1313688"/>
                                </a:lnTo>
                                <a:lnTo>
                                  <a:pt x="0" y="0"/>
                                </a:lnTo>
                              </a:path>
                            </a:pathLst>
                          </a:custGeom>
                          <a:solidFill>
                            <a:srgbClr val="CACAAA"/>
                          </a:solidFill>
                          <a:ln w="0" cap="flat">
                            <a:noFill/>
                            <a:round/>
                          </a:ln>
                        </wps:spPr>
                        <wps:style>
                          <a:lnRef idx="0">
                            <a:srgbClr val="000000">
                              <a:alpha val="0"/>
                            </a:srgbClr>
                          </a:lnRef>
                          <a:fillRef idx="1">
                            <a:srgbClr val="9BBB59"/>
                          </a:fillRef>
                          <a:effectRef idx="0">
                            <a:scrgbClr r="0" g="0" b="0"/>
                          </a:effectRef>
                          <a:fontRef idx="none"/>
                        </wps:style>
                        <wps:bodyPr/>
                      </wps:wsp>
                      <wps:wsp>
                        <wps:cNvPr id="212874" name="Shape 212849"/>
                        <wps:cNvSpPr/>
                        <wps:spPr>
                          <a:xfrm>
                            <a:off x="2699131" y="680593"/>
                            <a:ext cx="96012" cy="1542288"/>
                          </a:xfrm>
                          <a:custGeom>
                            <a:avLst/>
                            <a:gdLst/>
                            <a:ahLst/>
                            <a:cxnLst/>
                            <a:rect l="0" t="0" r="0" b="0"/>
                            <a:pathLst>
                              <a:path w="96012" h="1542288">
                                <a:moveTo>
                                  <a:pt x="0" y="0"/>
                                </a:moveTo>
                                <a:lnTo>
                                  <a:pt x="96012" y="0"/>
                                </a:lnTo>
                                <a:lnTo>
                                  <a:pt x="96012" y="1542288"/>
                                </a:lnTo>
                                <a:lnTo>
                                  <a:pt x="0" y="1542288"/>
                                </a:lnTo>
                                <a:lnTo>
                                  <a:pt x="0" y="0"/>
                                </a:lnTo>
                              </a:path>
                            </a:pathLst>
                          </a:custGeom>
                          <a:solidFill>
                            <a:srgbClr val="CACAAA"/>
                          </a:solidFill>
                          <a:ln w="0" cap="flat">
                            <a:noFill/>
                            <a:round/>
                          </a:ln>
                        </wps:spPr>
                        <wps:style>
                          <a:lnRef idx="0">
                            <a:srgbClr val="000000">
                              <a:alpha val="0"/>
                            </a:srgbClr>
                          </a:lnRef>
                          <a:fillRef idx="1">
                            <a:srgbClr val="9BBB59"/>
                          </a:fillRef>
                          <a:effectRef idx="0">
                            <a:scrgbClr r="0" g="0" b="0"/>
                          </a:effectRef>
                          <a:fontRef idx="none"/>
                        </wps:style>
                        <wps:bodyPr/>
                      </wps:wsp>
                      <wps:wsp>
                        <wps:cNvPr id="212875" name="Shape 212850"/>
                        <wps:cNvSpPr/>
                        <wps:spPr>
                          <a:xfrm>
                            <a:off x="4375531" y="1942465"/>
                            <a:ext cx="96012" cy="280415"/>
                          </a:xfrm>
                          <a:custGeom>
                            <a:avLst/>
                            <a:gdLst/>
                            <a:ahLst/>
                            <a:cxnLst/>
                            <a:rect l="0" t="0" r="0" b="0"/>
                            <a:pathLst>
                              <a:path w="96012" h="280415">
                                <a:moveTo>
                                  <a:pt x="0" y="0"/>
                                </a:moveTo>
                                <a:lnTo>
                                  <a:pt x="96012" y="0"/>
                                </a:lnTo>
                                <a:lnTo>
                                  <a:pt x="96012" y="280415"/>
                                </a:lnTo>
                                <a:lnTo>
                                  <a:pt x="0" y="280415"/>
                                </a:lnTo>
                                <a:lnTo>
                                  <a:pt x="0" y="0"/>
                                </a:lnTo>
                              </a:path>
                            </a:pathLst>
                          </a:custGeom>
                          <a:solidFill>
                            <a:srgbClr val="21455B"/>
                          </a:solidFill>
                          <a:ln w="0" cap="flat">
                            <a:noFill/>
                            <a:round/>
                          </a:ln>
                        </wps:spPr>
                        <wps:style>
                          <a:lnRef idx="0">
                            <a:srgbClr val="000000">
                              <a:alpha val="0"/>
                            </a:srgbClr>
                          </a:lnRef>
                          <a:fillRef idx="1">
                            <a:srgbClr val="8064A2"/>
                          </a:fillRef>
                          <a:effectRef idx="0">
                            <a:scrgbClr r="0" g="0" b="0"/>
                          </a:effectRef>
                          <a:fontRef idx="none"/>
                        </wps:style>
                        <wps:bodyPr/>
                      </wps:wsp>
                      <wps:wsp>
                        <wps:cNvPr id="212876" name="Shape 212851"/>
                        <wps:cNvSpPr/>
                        <wps:spPr>
                          <a:xfrm>
                            <a:off x="3848227" y="1864741"/>
                            <a:ext cx="96012" cy="358139"/>
                          </a:xfrm>
                          <a:custGeom>
                            <a:avLst/>
                            <a:gdLst/>
                            <a:ahLst/>
                            <a:cxnLst/>
                            <a:rect l="0" t="0" r="0" b="0"/>
                            <a:pathLst>
                              <a:path w="96012" h="358139">
                                <a:moveTo>
                                  <a:pt x="0" y="0"/>
                                </a:moveTo>
                                <a:lnTo>
                                  <a:pt x="96012" y="0"/>
                                </a:lnTo>
                                <a:lnTo>
                                  <a:pt x="96012" y="358139"/>
                                </a:lnTo>
                                <a:lnTo>
                                  <a:pt x="0" y="358139"/>
                                </a:lnTo>
                                <a:lnTo>
                                  <a:pt x="0" y="0"/>
                                </a:lnTo>
                              </a:path>
                            </a:pathLst>
                          </a:custGeom>
                          <a:solidFill>
                            <a:srgbClr val="21455B"/>
                          </a:solidFill>
                          <a:ln w="0" cap="flat">
                            <a:noFill/>
                            <a:round/>
                          </a:ln>
                        </wps:spPr>
                        <wps:style>
                          <a:lnRef idx="0">
                            <a:srgbClr val="000000">
                              <a:alpha val="0"/>
                            </a:srgbClr>
                          </a:lnRef>
                          <a:fillRef idx="1">
                            <a:srgbClr val="8064A2"/>
                          </a:fillRef>
                          <a:effectRef idx="0">
                            <a:scrgbClr r="0" g="0" b="0"/>
                          </a:effectRef>
                          <a:fontRef idx="none"/>
                        </wps:style>
                        <wps:bodyPr/>
                      </wps:wsp>
                      <wps:wsp>
                        <wps:cNvPr id="212877" name="Shape 212852"/>
                        <wps:cNvSpPr/>
                        <wps:spPr>
                          <a:xfrm>
                            <a:off x="3322447" y="1860169"/>
                            <a:ext cx="96012" cy="362712"/>
                          </a:xfrm>
                          <a:custGeom>
                            <a:avLst/>
                            <a:gdLst/>
                            <a:ahLst/>
                            <a:cxnLst/>
                            <a:rect l="0" t="0" r="0" b="0"/>
                            <a:pathLst>
                              <a:path w="96012" h="362712">
                                <a:moveTo>
                                  <a:pt x="0" y="0"/>
                                </a:moveTo>
                                <a:lnTo>
                                  <a:pt x="96012" y="0"/>
                                </a:lnTo>
                                <a:lnTo>
                                  <a:pt x="96012" y="362712"/>
                                </a:lnTo>
                                <a:lnTo>
                                  <a:pt x="0" y="362712"/>
                                </a:lnTo>
                                <a:lnTo>
                                  <a:pt x="0" y="0"/>
                                </a:lnTo>
                              </a:path>
                            </a:pathLst>
                          </a:custGeom>
                          <a:solidFill>
                            <a:srgbClr val="21455B"/>
                          </a:solidFill>
                          <a:ln w="0" cap="flat">
                            <a:noFill/>
                            <a:round/>
                          </a:ln>
                        </wps:spPr>
                        <wps:style>
                          <a:lnRef idx="0">
                            <a:srgbClr val="000000">
                              <a:alpha val="0"/>
                            </a:srgbClr>
                          </a:lnRef>
                          <a:fillRef idx="1">
                            <a:srgbClr val="8064A2"/>
                          </a:fillRef>
                          <a:effectRef idx="0">
                            <a:scrgbClr r="0" g="0" b="0"/>
                          </a:effectRef>
                          <a:fontRef idx="none"/>
                        </wps:style>
                        <wps:bodyPr/>
                      </wps:wsp>
                      <wps:wsp>
                        <wps:cNvPr id="212878" name="Shape 212853"/>
                        <wps:cNvSpPr/>
                        <wps:spPr>
                          <a:xfrm>
                            <a:off x="4902835" y="1759585"/>
                            <a:ext cx="94488" cy="463296"/>
                          </a:xfrm>
                          <a:custGeom>
                            <a:avLst/>
                            <a:gdLst/>
                            <a:ahLst/>
                            <a:cxnLst/>
                            <a:rect l="0" t="0" r="0" b="0"/>
                            <a:pathLst>
                              <a:path w="94488" h="463296">
                                <a:moveTo>
                                  <a:pt x="0" y="0"/>
                                </a:moveTo>
                                <a:lnTo>
                                  <a:pt x="94488" y="0"/>
                                </a:lnTo>
                                <a:lnTo>
                                  <a:pt x="94488" y="463296"/>
                                </a:lnTo>
                                <a:lnTo>
                                  <a:pt x="0" y="463296"/>
                                </a:lnTo>
                                <a:lnTo>
                                  <a:pt x="0" y="0"/>
                                </a:lnTo>
                              </a:path>
                            </a:pathLst>
                          </a:custGeom>
                          <a:solidFill>
                            <a:srgbClr val="21455B"/>
                          </a:solidFill>
                          <a:ln w="0" cap="flat">
                            <a:noFill/>
                            <a:round/>
                          </a:ln>
                        </wps:spPr>
                        <wps:style>
                          <a:lnRef idx="0">
                            <a:srgbClr val="000000">
                              <a:alpha val="0"/>
                            </a:srgbClr>
                          </a:lnRef>
                          <a:fillRef idx="1">
                            <a:srgbClr val="8064A2"/>
                          </a:fillRef>
                          <a:effectRef idx="0">
                            <a:scrgbClr r="0" g="0" b="0"/>
                          </a:effectRef>
                          <a:fontRef idx="none"/>
                        </wps:style>
                        <wps:bodyPr/>
                      </wps:wsp>
                      <wps:wsp>
                        <wps:cNvPr id="212879" name="Shape 212854"/>
                        <wps:cNvSpPr/>
                        <wps:spPr>
                          <a:xfrm>
                            <a:off x="2267839" y="1540129"/>
                            <a:ext cx="96012" cy="682752"/>
                          </a:xfrm>
                          <a:custGeom>
                            <a:avLst/>
                            <a:gdLst/>
                            <a:ahLst/>
                            <a:cxnLst/>
                            <a:rect l="0" t="0" r="0" b="0"/>
                            <a:pathLst>
                              <a:path w="96012" h="682752">
                                <a:moveTo>
                                  <a:pt x="0" y="0"/>
                                </a:moveTo>
                                <a:lnTo>
                                  <a:pt x="96012" y="0"/>
                                </a:lnTo>
                                <a:lnTo>
                                  <a:pt x="96012" y="682752"/>
                                </a:lnTo>
                                <a:lnTo>
                                  <a:pt x="0" y="682752"/>
                                </a:lnTo>
                                <a:lnTo>
                                  <a:pt x="0" y="0"/>
                                </a:lnTo>
                              </a:path>
                            </a:pathLst>
                          </a:custGeom>
                          <a:solidFill>
                            <a:srgbClr val="21455B"/>
                          </a:solidFill>
                          <a:ln w="0" cap="flat">
                            <a:noFill/>
                            <a:round/>
                          </a:ln>
                        </wps:spPr>
                        <wps:style>
                          <a:lnRef idx="0">
                            <a:srgbClr val="000000">
                              <a:alpha val="0"/>
                            </a:srgbClr>
                          </a:lnRef>
                          <a:fillRef idx="1">
                            <a:srgbClr val="8064A2"/>
                          </a:fillRef>
                          <a:effectRef idx="0">
                            <a:scrgbClr r="0" g="0" b="0"/>
                          </a:effectRef>
                          <a:fontRef idx="none"/>
                        </wps:style>
                        <wps:bodyPr/>
                      </wps:wsp>
                      <wps:wsp>
                        <wps:cNvPr id="212880" name="Shape 212855"/>
                        <wps:cNvSpPr/>
                        <wps:spPr>
                          <a:xfrm>
                            <a:off x="1742059" y="1474597"/>
                            <a:ext cx="96012" cy="748284"/>
                          </a:xfrm>
                          <a:custGeom>
                            <a:avLst/>
                            <a:gdLst/>
                            <a:ahLst/>
                            <a:cxnLst/>
                            <a:rect l="0" t="0" r="0" b="0"/>
                            <a:pathLst>
                              <a:path w="96012" h="748284">
                                <a:moveTo>
                                  <a:pt x="0" y="0"/>
                                </a:moveTo>
                                <a:lnTo>
                                  <a:pt x="96012" y="0"/>
                                </a:lnTo>
                                <a:lnTo>
                                  <a:pt x="96012" y="748284"/>
                                </a:lnTo>
                                <a:lnTo>
                                  <a:pt x="0" y="748284"/>
                                </a:lnTo>
                                <a:lnTo>
                                  <a:pt x="0" y="0"/>
                                </a:lnTo>
                              </a:path>
                            </a:pathLst>
                          </a:custGeom>
                          <a:solidFill>
                            <a:srgbClr val="21455B"/>
                          </a:solidFill>
                          <a:ln w="0" cap="flat">
                            <a:noFill/>
                            <a:round/>
                          </a:ln>
                        </wps:spPr>
                        <wps:style>
                          <a:lnRef idx="0">
                            <a:srgbClr val="000000">
                              <a:alpha val="0"/>
                            </a:srgbClr>
                          </a:lnRef>
                          <a:fillRef idx="1">
                            <a:srgbClr val="8064A2"/>
                          </a:fillRef>
                          <a:effectRef idx="0">
                            <a:scrgbClr r="0" g="0" b="0"/>
                          </a:effectRef>
                          <a:fontRef idx="none"/>
                        </wps:style>
                        <wps:bodyPr/>
                      </wps:wsp>
                      <wps:wsp>
                        <wps:cNvPr id="212881" name="Shape 212856"/>
                        <wps:cNvSpPr/>
                        <wps:spPr>
                          <a:xfrm>
                            <a:off x="1214755" y="1287145"/>
                            <a:ext cx="96012" cy="935736"/>
                          </a:xfrm>
                          <a:custGeom>
                            <a:avLst/>
                            <a:gdLst/>
                            <a:ahLst/>
                            <a:cxnLst/>
                            <a:rect l="0" t="0" r="0" b="0"/>
                            <a:pathLst>
                              <a:path w="96012" h="935736">
                                <a:moveTo>
                                  <a:pt x="0" y="0"/>
                                </a:moveTo>
                                <a:lnTo>
                                  <a:pt x="96012" y="0"/>
                                </a:lnTo>
                                <a:lnTo>
                                  <a:pt x="96012" y="935736"/>
                                </a:lnTo>
                                <a:lnTo>
                                  <a:pt x="0" y="935736"/>
                                </a:lnTo>
                                <a:lnTo>
                                  <a:pt x="0" y="0"/>
                                </a:lnTo>
                              </a:path>
                            </a:pathLst>
                          </a:custGeom>
                          <a:solidFill>
                            <a:srgbClr val="21455B"/>
                          </a:solidFill>
                          <a:ln w="0" cap="flat">
                            <a:noFill/>
                            <a:round/>
                          </a:ln>
                        </wps:spPr>
                        <wps:style>
                          <a:lnRef idx="0">
                            <a:srgbClr val="000000">
                              <a:alpha val="0"/>
                            </a:srgbClr>
                          </a:lnRef>
                          <a:fillRef idx="1">
                            <a:srgbClr val="8064A2"/>
                          </a:fillRef>
                          <a:effectRef idx="0">
                            <a:scrgbClr r="0" g="0" b="0"/>
                          </a:effectRef>
                          <a:fontRef idx="none"/>
                        </wps:style>
                        <wps:bodyPr/>
                      </wps:wsp>
                      <wps:wsp>
                        <wps:cNvPr id="212882" name="Shape 212857"/>
                        <wps:cNvSpPr/>
                        <wps:spPr>
                          <a:xfrm>
                            <a:off x="5428615" y="1217041"/>
                            <a:ext cx="96012" cy="1005839"/>
                          </a:xfrm>
                          <a:custGeom>
                            <a:avLst/>
                            <a:gdLst/>
                            <a:ahLst/>
                            <a:cxnLst/>
                            <a:rect l="0" t="0" r="0" b="0"/>
                            <a:pathLst>
                              <a:path w="96012" h="1005839">
                                <a:moveTo>
                                  <a:pt x="0" y="0"/>
                                </a:moveTo>
                                <a:lnTo>
                                  <a:pt x="96012" y="0"/>
                                </a:lnTo>
                                <a:lnTo>
                                  <a:pt x="96012" y="1005839"/>
                                </a:lnTo>
                                <a:lnTo>
                                  <a:pt x="0" y="1005839"/>
                                </a:lnTo>
                                <a:lnTo>
                                  <a:pt x="0" y="0"/>
                                </a:lnTo>
                              </a:path>
                            </a:pathLst>
                          </a:custGeom>
                          <a:solidFill>
                            <a:srgbClr val="21455B"/>
                          </a:solidFill>
                          <a:ln w="0" cap="flat">
                            <a:noFill/>
                            <a:round/>
                          </a:ln>
                        </wps:spPr>
                        <wps:style>
                          <a:lnRef idx="0">
                            <a:srgbClr val="000000">
                              <a:alpha val="0"/>
                            </a:srgbClr>
                          </a:lnRef>
                          <a:fillRef idx="1">
                            <a:srgbClr val="8064A2"/>
                          </a:fillRef>
                          <a:effectRef idx="0">
                            <a:scrgbClr r="0" g="0" b="0"/>
                          </a:effectRef>
                          <a:fontRef idx="none"/>
                        </wps:style>
                        <wps:bodyPr/>
                      </wps:wsp>
                      <wps:wsp>
                        <wps:cNvPr id="212883" name="Shape 212858"/>
                        <wps:cNvSpPr/>
                        <wps:spPr>
                          <a:xfrm>
                            <a:off x="688975" y="1028065"/>
                            <a:ext cx="94488" cy="1194816"/>
                          </a:xfrm>
                          <a:custGeom>
                            <a:avLst/>
                            <a:gdLst/>
                            <a:ahLst/>
                            <a:cxnLst/>
                            <a:rect l="0" t="0" r="0" b="0"/>
                            <a:pathLst>
                              <a:path w="94488" h="1194816">
                                <a:moveTo>
                                  <a:pt x="0" y="0"/>
                                </a:moveTo>
                                <a:lnTo>
                                  <a:pt x="94488" y="0"/>
                                </a:lnTo>
                                <a:lnTo>
                                  <a:pt x="94488" y="1194816"/>
                                </a:lnTo>
                                <a:lnTo>
                                  <a:pt x="0" y="1194816"/>
                                </a:lnTo>
                                <a:lnTo>
                                  <a:pt x="0" y="0"/>
                                </a:lnTo>
                              </a:path>
                            </a:pathLst>
                          </a:custGeom>
                          <a:solidFill>
                            <a:srgbClr val="21455B"/>
                          </a:solidFill>
                          <a:ln w="0" cap="flat">
                            <a:noFill/>
                            <a:round/>
                          </a:ln>
                        </wps:spPr>
                        <wps:style>
                          <a:lnRef idx="0">
                            <a:srgbClr val="000000">
                              <a:alpha val="0"/>
                            </a:srgbClr>
                          </a:lnRef>
                          <a:fillRef idx="1">
                            <a:srgbClr val="8064A2"/>
                          </a:fillRef>
                          <a:effectRef idx="0">
                            <a:scrgbClr r="0" g="0" b="0"/>
                          </a:effectRef>
                          <a:fontRef idx="none"/>
                        </wps:style>
                        <wps:bodyPr/>
                      </wps:wsp>
                      <wps:wsp>
                        <wps:cNvPr id="212884" name="Shape 212859"/>
                        <wps:cNvSpPr/>
                        <wps:spPr>
                          <a:xfrm>
                            <a:off x="2795143" y="648589"/>
                            <a:ext cx="96012" cy="1574292"/>
                          </a:xfrm>
                          <a:custGeom>
                            <a:avLst/>
                            <a:gdLst/>
                            <a:ahLst/>
                            <a:cxnLst/>
                            <a:rect l="0" t="0" r="0" b="0"/>
                            <a:pathLst>
                              <a:path w="96012" h="1574292">
                                <a:moveTo>
                                  <a:pt x="0" y="0"/>
                                </a:moveTo>
                                <a:lnTo>
                                  <a:pt x="96012" y="0"/>
                                </a:lnTo>
                                <a:lnTo>
                                  <a:pt x="96012" y="1574292"/>
                                </a:lnTo>
                                <a:lnTo>
                                  <a:pt x="0" y="1574292"/>
                                </a:lnTo>
                                <a:lnTo>
                                  <a:pt x="0" y="0"/>
                                </a:lnTo>
                              </a:path>
                            </a:pathLst>
                          </a:custGeom>
                          <a:solidFill>
                            <a:srgbClr val="21455B"/>
                          </a:solidFill>
                          <a:ln w="0" cap="flat">
                            <a:noFill/>
                            <a:round/>
                          </a:ln>
                        </wps:spPr>
                        <wps:style>
                          <a:lnRef idx="0">
                            <a:srgbClr val="000000">
                              <a:alpha val="0"/>
                            </a:srgbClr>
                          </a:lnRef>
                          <a:fillRef idx="1">
                            <a:srgbClr val="8064A2"/>
                          </a:fillRef>
                          <a:effectRef idx="0">
                            <a:scrgbClr r="0" g="0" b="0"/>
                          </a:effectRef>
                          <a:fontRef idx="none"/>
                        </wps:style>
                        <wps:bodyPr/>
                      </wps:wsp>
                      <wps:wsp>
                        <wps:cNvPr id="212885" name="Shape 9221"/>
                        <wps:cNvSpPr/>
                        <wps:spPr>
                          <a:xfrm>
                            <a:off x="329311" y="141097"/>
                            <a:ext cx="0" cy="2081784"/>
                          </a:xfrm>
                          <a:custGeom>
                            <a:avLst/>
                            <a:gdLst/>
                            <a:ahLst/>
                            <a:cxnLst/>
                            <a:rect l="0" t="0" r="0" b="0"/>
                            <a:pathLst>
                              <a:path h="2081784">
                                <a:moveTo>
                                  <a:pt x="0" y="2081784"/>
                                </a:moveTo>
                                <a:lnTo>
                                  <a:pt x="0" y="0"/>
                                </a:lnTo>
                              </a:path>
                            </a:pathLst>
                          </a:custGeom>
                          <a:ln w="9144" cap="flat">
                            <a:noFill/>
                            <a:round/>
                          </a:ln>
                        </wps:spPr>
                        <wps:style>
                          <a:lnRef idx="1">
                            <a:srgbClr val="868686"/>
                          </a:lnRef>
                          <a:fillRef idx="0">
                            <a:srgbClr val="000000">
                              <a:alpha val="0"/>
                            </a:srgbClr>
                          </a:fillRef>
                          <a:effectRef idx="0">
                            <a:scrgbClr r="0" g="0" b="0"/>
                          </a:effectRef>
                          <a:fontRef idx="none"/>
                        </wps:style>
                        <wps:bodyPr/>
                      </wps:wsp>
                      <wps:wsp>
                        <wps:cNvPr id="212886" name="Shape 9222"/>
                        <wps:cNvSpPr/>
                        <wps:spPr>
                          <a:xfrm>
                            <a:off x="289687" y="2222881"/>
                            <a:ext cx="39624" cy="0"/>
                          </a:xfrm>
                          <a:custGeom>
                            <a:avLst/>
                            <a:gdLst/>
                            <a:ahLst/>
                            <a:cxnLst/>
                            <a:rect l="0" t="0" r="0" b="0"/>
                            <a:pathLst>
                              <a:path w="39624">
                                <a:moveTo>
                                  <a:pt x="0" y="0"/>
                                </a:moveTo>
                                <a:lnTo>
                                  <a:pt x="39624" y="0"/>
                                </a:lnTo>
                              </a:path>
                            </a:pathLst>
                          </a:custGeom>
                          <a:ln w="9144" cap="flat">
                            <a:noFill/>
                            <a:round/>
                          </a:ln>
                        </wps:spPr>
                        <wps:style>
                          <a:lnRef idx="1">
                            <a:srgbClr val="868686"/>
                          </a:lnRef>
                          <a:fillRef idx="0">
                            <a:srgbClr val="000000">
                              <a:alpha val="0"/>
                            </a:srgbClr>
                          </a:fillRef>
                          <a:effectRef idx="0">
                            <a:scrgbClr r="0" g="0" b="0"/>
                          </a:effectRef>
                          <a:fontRef idx="none"/>
                        </wps:style>
                        <wps:bodyPr/>
                      </wps:wsp>
                      <wps:wsp>
                        <wps:cNvPr id="212887" name="Shape 9223"/>
                        <wps:cNvSpPr/>
                        <wps:spPr>
                          <a:xfrm>
                            <a:off x="289687" y="2014093"/>
                            <a:ext cx="39624" cy="0"/>
                          </a:xfrm>
                          <a:custGeom>
                            <a:avLst/>
                            <a:gdLst/>
                            <a:ahLst/>
                            <a:cxnLst/>
                            <a:rect l="0" t="0" r="0" b="0"/>
                            <a:pathLst>
                              <a:path w="39624">
                                <a:moveTo>
                                  <a:pt x="0" y="0"/>
                                </a:moveTo>
                                <a:lnTo>
                                  <a:pt x="39624" y="0"/>
                                </a:lnTo>
                              </a:path>
                            </a:pathLst>
                          </a:custGeom>
                          <a:ln w="9144" cap="flat">
                            <a:noFill/>
                            <a:round/>
                          </a:ln>
                        </wps:spPr>
                        <wps:style>
                          <a:lnRef idx="1">
                            <a:srgbClr val="868686"/>
                          </a:lnRef>
                          <a:fillRef idx="0">
                            <a:srgbClr val="000000">
                              <a:alpha val="0"/>
                            </a:srgbClr>
                          </a:fillRef>
                          <a:effectRef idx="0">
                            <a:scrgbClr r="0" g="0" b="0"/>
                          </a:effectRef>
                          <a:fontRef idx="none"/>
                        </wps:style>
                        <wps:bodyPr/>
                      </wps:wsp>
                      <wps:wsp>
                        <wps:cNvPr id="212888" name="Shape 9224"/>
                        <wps:cNvSpPr/>
                        <wps:spPr>
                          <a:xfrm>
                            <a:off x="289687" y="1806829"/>
                            <a:ext cx="39624" cy="0"/>
                          </a:xfrm>
                          <a:custGeom>
                            <a:avLst/>
                            <a:gdLst/>
                            <a:ahLst/>
                            <a:cxnLst/>
                            <a:rect l="0" t="0" r="0" b="0"/>
                            <a:pathLst>
                              <a:path w="39624">
                                <a:moveTo>
                                  <a:pt x="0" y="0"/>
                                </a:moveTo>
                                <a:lnTo>
                                  <a:pt x="39624" y="0"/>
                                </a:lnTo>
                              </a:path>
                            </a:pathLst>
                          </a:custGeom>
                          <a:ln w="9144" cap="flat">
                            <a:noFill/>
                            <a:round/>
                          </a:ln>
                        </wps:spPr>
                        <wps:style>
                          <a:lnRef idx="1">
                            <a:srgbClr val="868686"/>
                          </a:lnRef>
                          <a:fillRef idx="0">
                            <a:srgbClr val="000000">
                              <a:alpha val="0"/>
                            </a:srgbClr>
                          </a:fillRef>
                          <a:effectRef idx="0">
                            <a:scrgbClr r="0" g="0" b="0"/>
                          </a:effectRef>
                          <a:fontRef idx="none"/>
                        </wps:style>
                        <wps:bodyPr/>
                      </wps:wsp>
                      <wps:wsp>
                        <wps:cNvPr id="212889" name="Shape 9225"/>
                        <wps:cNvSpPr/>
                        <wps:spPr>
                          <a:xfrm>
                            <a:off x="289687" y="1598041"/>
                            <a:ext cx="39624" cy="0"/>
                          </a:xfrm>
                          <a:custGeom>
                            <a:avLst/>
                            <a:gdLst/>
                            <a:ahLst/>
                            <a:cxnLst/>
                            <a:rect l="0" t="0" r="0" b="0"/>
                            <a:pathLst>
                              <a:path w="39624">
                                <a:moveTo>
                                  <a:pt x="0" y="0"/>
                                </a:moveTo>
                                <a:lnTo>
                                  <a:pt x="39624" y="0"/>
                                </a:lnTo>
                              </a:path>
                            </a:pathLst>
                          </a:custGeom>
                          <a:ln w="9144" cap="flat">
                            <a:noFill/>
                            <a:round/>
                          </a:ln>
                        </wps:spPr>
                        <wps:style>
                          <a:lnRef idx="1">
                            <a:srgbClr val="868686"/>
                          </a:lnRef>
                          <a:fillRef idx="0">
                            <a:srgbClr val="000000">
                              <a:alpha val="0"/>
                            </a:srgbClr>
                          </a:fillRef>
                          <a:effectRef idx="0">
                            <a:scrgbClr r="0" g="0" b="0"/>
                          </a:effectRef>
                          <a:fontRef idx="none"/>
                        </wps:style>
                        <wps:bodyPr/>
                      </wps:wsp>
                      <wps:wsp>
                        <wps:cNvPr id="212890" name="Shape 9226"/>
                        <wps:cNvSpPr/>
                        <wps:spPr>
                          <a:xfrm>
                            <a:off x="289687" y="1389253"/>
                            <a:ext cx="39624" cy="0"/>
                          </a:xfrm>
                          <a:custGeom>
                            <a:avLst/>
                            <a:gdLst/>
                            <a:ahLst/>
                            <a:cxnLst/>
                            <a:rect l="0" t="0" r="0" b="0"/>
                            <a:pathLst>
                              <a:path w="39624">
                                <a:moveTo>
                                  <a:pt x="0" y="0"/>
                                </a:moveTo>
                                <a:lnTo>
                                  <a:pt x="39624" y="0"/>
                                </a:lnTo>
                              </a:path>
                            </a:pathLst>
                          </a:custGeom>
                          <a:ln w="9144" cap="flat">
                            <a:noFill/>
                            <a:round/>
                          </a:ln>
                        </wps:spPr>
                        <wps:style>
                          <a:lnRef idx="1">
                            <a:srgbClr val="868686"/>
                          </a:lnRef>
                          <a:fillRef idx="0">
                            <a:srgbClr val="000000">
                              <a:alpha val="0"/>
                            </a:srgbClr>
                          </a:fillRef>
                          <a:effectRef idx="0">
                            <a:scrgbClr r="0" g="0" b="0"/>
                          </a:effectRef>
                          <a:fontRef idx="none"/>
                        </wps:style>
                        <wps:bodyPr/>
                      </wps:wsp>
                      <wps:wsp>
                        <wps:cNvPr id="212891" name="Shape 9227"/>
                        <wps:cNvSpPr/>
                        <wps:spPr>
                          <a:xfrm>
                            <a:off x="289687" y="1181989"/>
                            <a:ext cx="39624" cy="0"/>
                          </a:xfrm>
                          <a:custGeom>
                            <a:avLst/>
                            <a:gdLst/>
                            <a:ahLst/>
                            <a:cxnLst/>
                            <a:rect l="0" t="0" r="0" b="0"/>
                            <a:pathLst>
                              <a:path w="39624">
                                <a:moveTo>
                                  <a:pt x="0" y="0"/>
                                </a:moveTo>
                                <a:lnTo>
                                  <a:pt x="39624" y="0"/>
                                </a:lnTo>
                              </a:path>
                            </a:pathLst>
                          </a:custGeom>
                          <a:ln w="9144" cap="flat">
                            <a:noFill/>
                            <a:round/>
                          </a:ln>
                        </wps:spPr>
                        <wps:style>
                          <a:lnRef idx="1">
                            <a:srgbClr val="868686"/>
                          </a:lnRef>
                          <a:fillRef idx="0">
                            <a:srgbClr val="000000">
                              <a:alpha val="0"/>
                            </a:srgbClr>
                          </a:fillRef>
                          <a:effectRef idx="0">
                            <a:scrgbClr r="0" g="0" b="0"/>
                          </a:effectRef>
                          <a:fontRef idx="none"/>
                        </wps:style>
                        <wps:bodyPr/>
                      </wps:wsp>
                      <wps:wsp>
                        <wps:cNvPr id="212892" name="Shape 9228"/>
                        <wps:cNvSpPr/>
                        <wps:spPr>
                          <a:xfrm>
                            <a:off x="289687" y="973201"/>
                            <a:ext cx="39624" cy="0"/>
                          </a:xfrm>
                          <a:custGeom>
                            <a:avLst/>
                            <a:gdLst/>
                            <a:ahLst/>
                            <a:cxnLst/>
                            <a:rect l="0" t="0" r="0" b="0"/>
                            <a:pathLst>
                              <a:path w="39624">
                                <a:moveTo>
                                  <a:pt x="0" y="0"/>
                                </a:moveTo>
                                <a:lnTo>
                                  <a:pt x="39624" y="0"/>
                                </a:lnTo>
                              </a:path>
                            </a:pathLst>
                          </a:custGeom>
                          <a:ln w="9144" cap="flat">
                            <a:noFill/>
                            <a:round/>
                          </a:ln>
                        </wps:spPr>
                        <wps:style>
                          <a:lnRef idx="1">
                            <a:srgbClr val="868686"/>
                          </a:lnRef>
                          <a:fillRef idx="0">
                            <a:srgbClr val="000000">
                              <a:alpha val="0"/>
                            </a:srgbClr>
                          </a:fillRef>
                          <a:effectRef idx="0">
                            <a:scrgbClr r="0" g="0" b="0"/>
                          </a:effectRef>
                          <a:fontRef idx="none"/>
                        </wps:style>
                        <wps:bodyPr/>
                      </wps:wsp>
                      <wps:wsp>
                        <wps:cNvPr id="212893" name="Shape 9229"/>
                        <wps:cNvSpPr/>
                        <wps:spPr>
                          <a:xfrm>
                            <a:off x="289687" y="764413"/>
                            <a:ext cx="39624" cy="0"/>
                          </a:xfrm>
                          <a:custGeom>
                            <a:avLst/>
                            <a:gdLst/>
                            <a:ahLst/>
                            <a:cxnLst/>
                            <a:rect l="0" t="0" r="0" b="0"/>
                            <a:pathLst>
                              <a:path w="39624">
                                <a:moveTo>
                                  <a:pt x="0" y="0"/>
                                </a:moveTo>
                                <a:lnTo>
                                  <a:pt x="39624" y="0"/>
                                </a:lnTo>
                              </a:path>
                            </a:pathLst>
                          </a:custGeom>
                          <a:ln w="9144" cap="flat">
                            <a:noFill/>
                            <a:round/>
                          </a:ln>
                        </wps:spPr>
                        <wps:style>
                          <a:lnRef idx="1">
                            <a:srgbClr val="868686"/>
                          </a:lnRef>
                          <a:fillRef idx="0">
                            <a:srgbClr val="000000">
                              <a:alpha val="0"/>
                            </a:srgbClr>
                          </a:fillRef>
                          <a:effectRef idx="0">
                            <a:scrgbClr r="0" g="0" b="0"/>
                          </a:effectRef>
                          <a:fontRef idx="none"/>
                        </wps:style>
                        <wps:bodyPr/>
                      </wps:wsp>
                      <wps:wsp>
                        <wps:cNvPr id="212894" name="Shape 9230"/>
                        <wps:cNvSpPr/>
                        <wps:spPr>
                          <a:xfrm>
                            <a:off x="289687" y="557149"/>
                            <a:ext cx="39624" cy="0"/>
                          </a:xfrm>
                          <a:custGeom>
                            <a:avLst/>
                            <a:gdLst/>
                            <a:ahLst/>
                            <a:cxnLst/>
                            <a:rect l="0" t="0" r="0" b="0"/>
                            <a:pathLst>
                              <a:path w="39624">
                                <a:moveTo>
                                  <a:pt x="0" y="0"/>
                                </a:moveTo>
                                <a:lnTo>
                                  <a:pt x="39624" y="0"/>
                                </a:lnTo>
                              </a:path>
                            </a:pathLst>
                          </a:custGeom>
                          <a:ln w="9144" cap="flat">
                            <a:noFill/>
                            <a:round/>
                          </a:ln>
                        </wps:spPr>
                        <wps:style>
                          <a:lnRef idx="1">
                            <a:srgbClr val="868686"/>
                          </a:lnRef>
                          <a:fillRef idx="0">
                            <a:srgbClr val="000000">
                              <a:alpha val="0"/>
                            </a:srgbClr>
                          </a:fillRef>
                          <a:effectRef idx="0">
                            <a:scrgbClr r="0" g="0" b="0"/>
                          </a:effectRef>
                          <a:fontRef idx="none"/>
                        </wps:style>
                        <wps:bodyPr/>
                      </wps:wsp>
                      <wps:wsp>
                        <wps:cNvPr id="212895" name="Shape 9231"/>
                        <wps:cNvSpPr/>
                        <wps:spPr>
                          <a:xfrm>
                            <a:off x="289687" y="348361"/>
                            <a:ext cx="39624" cy="0"/>
                          </a:xfrm>
                          <a:custGeom>
                            <a:avLst/>
                            <a:gdLst/>
                            <a:ahLst/>
                            <a:cxnLst/>
                            <a:rect l="0" t="0" r="0" b="0"/>
                            <a:pathLst>
                              <a:path w="39624">
                                <a:moveTo>
                                  <a:pt x="0" y="0"/>
                                </a:moveTo>
                                <a:lnTo>
                                  <a:pt x="39624" y="0"/>
                                </a:lnTo>
                              </a:path>
                            </a:pathLst>
                          </a:custGeom>
                          <a:ln w="9144" cap="flat">
                            <a:noFill/>
                            <a:round/>
                          </a:ln>
                        </wps:spPr>
                        <wps:style>
                          <a:lnRef idx="1">
                            <a:srgbClr val="868686"/>
                          </a:lnRef>
                          <a:fillRef idx="0">
                            <a:srgbClr val="000000">
                              <a:alpha val="0"/>
                            </a:srgbClr>
                          </a:fillRef>
                          <a:effectRef idx="0">
                            <a:scrgbClr r="0" g="0" b="0"/>
                          </a:effectRef>
                          <a:fontRef idx="none"/>
                        </wps:style>
                        <wps:bodyPr/>
                      </wps:wsp>
                      <wps:wsp>
                        <wps:cNvPr id="212896" name="Shape 9232"/>
                        <wps:cNvSpPr/>
                        <wps:spPr>
                          <a:xfrm>
                            <a:off x="289687" y="141097"/>
                            <a:ext cx="39624" cy="0"/>
                          </a:xfrm>
                          <a:custGeom>
                            <a:avLst/>
                            <a:gdLst/>
                            <a:ahLst/>
                            <a:cxnLst/>
                            <a:rect l="0" t="0" r="0" b="0"/>
                            <a:pathLst>
                              <a:path w="39624">
                                <a:moveTo>
                                  <a:pt x="0" y="0"/>
                                </a:moveTo>
                                <a:lnTo>
                                  <a:pt x="39624" y="0"/>
                                </a:lnTo>
                              </a:path>
                            </a:pathLst>
                          </a:custGeom>
                          <a:ln w="9144" cap="flat">
                            <a:noFill/>
                            <a:round/>
                          </a:ln>
                        </wps:spPr>
                        <wps:style>
                          <a:lnRef idx="1">
                            <a:srgbClr val="868686"/>
                          </a:lnRef>
                          <a:fillRef idx="0">
                            <a:srgbClr val="000000">
                              <a:alpha val="0"/>
                            </a:srgbClr>
                          </a:fillRef>
                          <a:effectRef idx="0">
                            <a:scrgbClr r="0" g="0" b="0"/>
                          </a:effectRef>
                          <a:fontRef idx="none"/>
                        </wps:style>
                        <wps:bodyPr/>
                      </wps:wsp>
                      <wps:wsp>
                        <wps:cNvPr id="212897" name="Shape 9233"/>
                        <wps:cNvSpPr/>
                        <wps:spPr>
                          <a:xfrm>
                            <a:off x="329311" y="2222881"/>
                            <a:ext cx="5266944" cy="0"/>
                          </a:xfrm>
                          <a:custGeom>
                            <a:avLst/>
                            <a:gdLst/>
                            <a:ahLst/>
                            <a:cxnLst/>
                            <a:rect l="0" t="0" r="0" b="0"/>
                            <a:pathLst>
                              <a:path w="5266944">
                                <a:moveTo>
                                  <a:pt x="0" y="0"/>
                                </a:moveTo>
                                <a:lnTo>
                                  <a:pt x="5266944" y="0"/>
                                </a:lnTo>
                              </a:path>
                            </a:pathLst>
                          </a:custGeom>
                          <a:ln w="9144" cap="flat">
                            <a:noFill/>
                            <a:round/>
                          </a:ln>
                        </wps:spPr>
                        <wps:style>
                          <a:lnRef idx="1">
                            <a:srgbClr val="868686"/>
                          </a:lnRef>
                          <a:fillRef idx="0">
                            <a:srgbClr val="000000">
                              <a:alpha val="0"/>
                            </a:srgbClr>
                          </a:fillRef>
                          <a:effectRef idx="0">
                            <a:scrgbClr r="0" g="0" b="0"/>
                          </a:effectRef>
                          <a:fontRef idx="none"/>
                        </wps:style>
                        <wps:bodyPr/>
                      </wps:wsp>
                      <wps:wsp>
                        <wps:cNvPr id="212898" name="Shape 9234"/>
                        <wps:cNvSpPr/>
                        <wps:spPr>
                          <a:xfrm>
                            <a:off x="329311" y="2222881"/>
                            <a:ext cx="0" cy="32004"/>
                          </a:xfrm>
                          <a:custGeom>
                            <a:avLst/>
                            <a:gdLst/>
                            <a:ahLst/>
                            <a:cxnLst/>
                            <a:rect l="0" t="0" r="0" b="0"/>
                            <a:pathLst>
                              <a:path h="32004">
                                <a:moveTo>
                                  <a:pt x="0" y="0"/>
                                </a:moveTo>
                                <a:lnTo>
                                  <a:pt x="0" y="32004"/>
                                </a:lnTo>
                              </a:path>
                            </a:pathLst>
                          </a:custGeom>
                          <a:ln w="9144" cap="flat">
                            <a:noFill/>
                            <a:round/>
                          </a:ln>
                        </wps:spPr>
                        <wps:style>
                          <a:lnRef idx="1">
                            <a:srgbClr val="868686"/>
                          </a:lnRef>
                          <a:fillRef idx="0">
                            <a:srgbClr val="000000">
                              <a:alpha val="0"/>
                            </a:srgbClr>
                          </a:fillRef>
                          <a:effectRef idx="0">
                            <a:scrgbClr r="0" g="0" b="0"/>
                          </a:effectRef>
                          <a:fontRef idx="none"/>
                        </wps:style>
                        <wps:bodyPr/>
                      </wps:wsp>
                      <wps:wsp>
                        <wps:cNvPr id="212899" name="Shape 9235"/>
                        <wps:cNvSpPr/>
                        <wps:spPr>
                          <a:xfrm>
                            <a:off x="856615" y="2222881"/>
                            <a:ext cx="0" cy="32004"/>
                          </a:xfrm>
                          <a:custGeom>
                            <a:avLst/>
                            <a:gdLst/>
                            <a:ahLst/>
                            <a:cxnLst/>
                            <a:rect l="0" t="0" r="0" b="0"/>
                            <a:pathLst>
                              <a:path h="32004">
                                <a:moveTo>
                                  <a:pt x="0" y="0"/>
                                </a:moveTo>
                                <a:lnTo>
                                  <a:pt x="0" y="32004"/>
                                </a:lnTo>
                              </a:path>
                            </a:pathLst>
                          </a:custGeom>
                          <a:ln w="9144" cap="flat">
                            <a:noFill/>
                            <a:round/>
                          </a:ln>
                        </wps:spPr>
                        <wps:style>
                          <a:lnRef idx="1">
                            <a:srgbClr val="868686"/>
                          </a:lnRef>
                          <a:fillRef idx="0">
                            <a:srgbClr val="000000">
                              <a:alpha val="0"/>
                            </a:srgbClr>
                          </a:fillRef>
                          <a:effectRef idx="0">
                            <a:scrgbClr r="0" g="0" b="0"/>
                          </a:effectRef>
                          <a:fontRef idx="none"/>
                        </wps:style>
                        <wps:bodyPr/>
                      </wps:wsp>
                      <wps:wsp>
                        <wps:cNvPr id="212900" name="Shape 9236"/>
                        <wps:cNvSpPr/>
                        <wps:spPr>
                          <a:xfrm>
                            <a:off x="1382395" y="2222881"/>
                            <a:ext cx="0" cy="32004"/>
                          </a:xfrm>
                          <a:custGeom>
                            <a:avLst/>
                            <a:gdLst/>
                            <a:ahLst/>
                            <a:cxnLst/>
                            <a:rect l="0" t="0" r="0" b="0"/>
                            <a:pathLst>
                              <a:path h="32004">
                                <a:moveTo>
                                  <a:pt x="0" y="0"/>
                                </a:moveTo>
                                <a:lnTo>
                                  <a:pt x="0" y="32004"/>
                                </a:lnTo>
                              </a:path>
                            </a:pathLst>
                          </a:custGeom>
                          <a:ln w="9144" cap="flat">
                            <a:noFill/>
                            <a:round/>
                          </a:ln>
                        </wps:spPr>
                        <wps:style>
                          <a:lnRef idx="1">
                            <a:srgbClr val="868686"/>
                          </a:lnRef>
                          <a:fillRef idx="0">
                            <a:srgbClr val="000000">
                              <a:alpha val="0"/>
                            </a:srgbClr>
                          </a:fillRef>
                          <a:effectRef idx="0">
                            <a:scrgbClr r="0" g="0" b="0"/>
                          </a:effectRef>
                          <a:fontRef idx="none"/>
                        </wps:style>
                        <wps:bodyPr/>
                      </wps:wsp>
                      <wps:wsp>
                        <wps:cNvPr id="212901" name="Shape 9237"/>
                        <wps:cNvSpPr/>
                        <wps:spPr>
                          <a:xfrm>
                            <a:off x="1909699" y="2222881"/>
                            <a:ext cx="0" cy="32004"/>
                          </a:xfrm>
                          <a:custGeom>
                            <a:avLst/>
                            <a:gdLst/>
                            <a:ahLst/>
                            <a:cxnLst/>
                            <a:rect l="0" t="0" r="0" b="0"/>
                            <a:pathLst>
                              <a:path h="32004">
                                <a:moveTo>
                                  <a:pt x="0" y="0"/>
                                </a:moveTo>
                                <a:lnTo>
                                  <a:pt x="0" y="32004"/>
                                </a:lnTo>
                              </a:path>
                            </a:pathLst>
                          </a:custGeom>
                          <a:ln w="9144" cap="flat">
                            <a:noFill/>
                            <a:round/>
                          </a:ln>
                        </wps:spPr>
                        <wps:style>
                          <a:lnRef idx="1">
                            <a:srgbClr val="868686"/>
                          </a:lnRef>
                          <a:fillRef idx="0">
                            <a:srgbClr val="000000">
                              <a:alpha val="0"/>
                            </a:srgbClr>
                          </a:fillRef>
                          <a:effectRef idx="0">
                            <a:scrgbClr r="0" g="0" b="0"/>
                          </a:effectRef>
                          <a:fontRef idx="none"/>
                        </wps:style>
                        <wps:bodyPr/>
                      </wps:wsp>
                      <wps:wsp>
                        <wps:cNvPr id="212902" name="Shape 9238"/>
                        <wps:cNvSpPr/>
                        <wps:spPr>
                          <a:xfrm>
                            <a:off x="2435479" y="2222881"/>
                            <a:ext cx="0" cy="32004"/>
                          </a:xfrm>
                          <a:custGeom>
                            <a:avLst/>
                            <a:gdLst/>
                            <a:ahLst/>
                            <a:cxnLst/>
                            <a:rect l="0" t="0" r="0" b="0"/>
                            <a:pathLst>
                              <a:path h="32004">
                                <a:moveTo>
                                  <a:pt x="0" y="0"/>
                                </a:moveTo>
                                <a:lnTo>
                                  <a:pt x="0" y="32004"/>
                                </a:lnTo>
                              </a:path>
                            </a:pathLst>
                          </a:custGeom>
                          <a:ln w="9144" cap="flat">
                            <a:noFill/>
                            <a:round/>
                          </a:ln>
                        </wps:spPr>
                        <wps:style>
                          <a:lnRef idx="1">
                            <a:srgbClr val="868686"/>
                          </a:lnRef>
                          <a:fillRef idx="0">
                            <a:srgbClr val="000000">
                              <a:alpha val="0"/>
                            </a:srgbClr>
                          </a:fillRef>
                          <a:effectRef idx="0">
                            <a:scrgbClr r="0" g="0" b="0"/>
                          </a:effectRef>
                          <a:fontRef idx="none"/>
                        </wps:style>
                        <wps:bodyPr/>
                      </wps:wsp>
                      <wps:wsp>
                        <wps:cNvPr id="212903" name="Shape 9239"/>
                        <wps:cNvSpPr/>
                        <wps:spPr>
                          <a:xfrm>
                            <a:off x="2962783" y="2222881"/>
                            <a:ext cx="0" cy="32004"/>
                          </a:xfrm>
                          <a:custGeom>
                            <a:avLst/>
                            <a:gdLst/>
                            <a:ahLst/>
                            <a:cxnLst/>
                            <a:rect l="0" t="0" r="0" b="0"/>
                            <a:pathLst>
                              <a:path h="32004">
                                <a:moveTo>
                                  <a:pt x="0" y="0"/>
                                </a:moveTo>
                                <a:lnTo>
                                  <a:pt x="0" y="32004"/>
                                </a:lnTo>
                              </a:path>
                            </a:pathLst>
                          </a:custGeom>
                          <a:ln w="9144" cap="flat">
                            <a:noFill/>
                            <a:round/>
                          </a:ln>
                        </wps:spPr>
                        <wps:style>
                          <a:lnRef idx="1">
                            <a:srgbClr val="868686"/>
                          </a:lnRef>
                          <a:fillRef idx="0">
                            <a:srgbClr val="000000">
                              <a:alpha val="0"/>
                            </a:srgbClr>
                          </a:fillRef>
                          <a:effectRef idx="0">
                            <a:scrgbClr r="0" g="0" b="0"/>
                          </a:effectRef>
                          <a:fontRef idx="none"/>
                        </wps:style>
                        <wps:bodyPr/>
                      </wps:wsp>
                      <wps:wsp>
                        <wps:cNvPr id="212904" name="Shape 9240"/>
                        <wps:cNvSpPr/>
                        <wps:spPr>
                          <a:xfrm>
                            <a:off x="3490087" y="2222881"/>
                            <a:ext cx="0" cy="32004"/>
                          </a:xfrm>
                          <a:custGeom>
                            <a:avLst/>
                            <a:gdLst/>
                            <a:ahLst/>
                            <a:cxnLst/>
                            <a:rect l="0" t="0" r="0" b="0"/>
                            <a:pathLst>
                              <a:path h="32004">
                                <a:moveTo>
                                  <a:pt x="0" y="0"/>
                                </a:moveTo>
                                <a:lnTo>
                                  <a:pt x="0" y="32004"/>
                                </a:lnTo>
                              </a:path>
                            </a:pathLst>
                          </a:custGeom>
                          <a:ln w="9144" cap="flat">
                            <a:noFill/>
                            <a:round/>
                          </a:ln>
                        </wps:spPr>
                        <wps:style>
                          <a:lnRef idx="1">
                            <a:srgbClr val="868686"/>
                          </a:lnRef>
                          <a:fillRef idx="0">
                            <a:srgbClr val="000000">
                              <a:alpha val="0"/>
                            </a:srgbClr>
                          </a:fillRef>
                          <a:effectRef idx="0">
                            <a:scrgbClr r="0" g="0" b="0"/>
                          </a:effectRef>
                          <a:fontRef idx="none"/>
                        </wps:style>
                        <wps:bodyPr/>
                      </wps:wsp>
                      <wps:wsp>
                        <wps:cNvPr id="212905" name="Shape 9241"/>
                        <wps:cNvSpPr/>
                        <wps:spPr>
                          <a:xfrm>
                            <a:off x="4015867" y="2222881"/>
                            <a:ext cx="0" cy="32004"/>
                          </a:xfrm>
                          <a:custGeom>
                            <a:avLst/>
                            <a:gdLst/>
                            <a:ahLst/>
                            <a:cxnLst/>
                            <a:rect l="0" t="0" r="0" b="0"/>
                            <a:pathLst>
                              <a:path h="32004">
                                <a:moveTo>
                                  <a:pt x="0" y="0"/>
                                </a:moveTo>
                                <a:lnTo>
                                  <a:pt x="0" y="32004"/>
                                </a:lnTo>
                              </a:path>
                            </a:pathLst>
                          </a:custGeom>
                          <a:ln w="9144" cap="flat">
                            <a:noFill/>
                            <a:round/>
                          </a:ln>
                        </wps:spPr>
                        <wps:style>
                          <a:lnRef idx="1">
                            <a:srgbClr val="868686"/>
                          </a:lnRef>
                          <a:fillRef idx="0">
                            <a:srgbClr val="000000">
                              <a:alpha val="0"/>
                            </a:srgbClr>
                          </a:fillRef>
                          <a:effectRef idx="0">
                            <a:scrgbClr r="0" g="0" b="0"/>
                          </a:effectRef>
                          <a:fontRef idx="none"/>
                        </wps:style>
                        <wps:bodyPr/>
                      </wps:wsp>
                      <wps:wsp>
                        <wps:cNvPr id="212906" name="Shape 9242"/>
                        <wps:cNvSpPr/>
                        <wps:spPr>
                          <a:xfrm>
                            <a:off x="4543171" y="2222881"/>
                            <a:ext cx="0" cy="32004"/>
                          </a:xfrm>
                          <a:custGeom>
                            <a:avLst/>
                            <a:gdLst/>
                            <a:ahLst/>
                            <a:cxnLst/>
                            <a:rect l="0" t="0" r="0" b="0"/>
                            <a:pathLst>
                              <a:path h="32004">
                                <a:moveTo>
                                  <a:pt x="0" y="0"/>
                                </a:moveTo>
                                <a:lnTo>
                                  <a:pt x="0" y="32004"/>
                                </a:lnTo>
                              </a:path>
                            </a:pathLst>
                          </a:custGeom>
                          <a:ln w="9144" cap="flat">
                            <a:noFill/>
                            <a:round/>
                          </a:ln>
                        </wps:spPr>
                        <wps:style>
                          <a:lnRef idx="1">
                            <a:srgbClr val="868686"/>
                          </a:lnRef>
                          <a:fillRef idx="0">
                            <a:srgbClr val="000000">
                              <a:alpha val="0"/>
                            </a:srgbClr>
                          </a:fillRef>
                          <a:effectRef idx="0">
                            <a:scrgbClr r="0" g="0" b="0"/>
                          </a:effectRef>
                          <a:fontRef idx="none"/>
                        </wps:style>
                        <wps:bodyPr/>
                      </wps:wsp>
                      <wps:wsp>
                        <wps:cNvPr id="212907" name="Shape 9243"/>
                        <wps:cNvSpPr/>
                        <wps:spPr>
                          <a:xfrm>
                            <a:off x="5068951" y="2222881"/>
                            <a:ext cx="0" cy="32004"/>
                          </a:xfrm>
                          <a:custGeom>
                            <a:avLst/>
                            <a:gdLst/>
                            <a:ahLst/>
                            <a:cxnLst/>
                            <a:rect l="0" t="0" r="0" b="0"/>
                            <a:pathLst>
                              <a:path h="32004">
                                <a:moveTo>
                                  <a:pt x="0" y="0"/>
                                </a:moveTo>
                                <a:lnTo>
                                  <a:pt x="0" y="32004"/>
                                </a:lnTo>
                              </a:path>
                            </a:pathLst>
                          </a:custGeom>
                          <a:ln w="9144" cap="flat">
                            <a:noFill/>
                            <a:round/>
                          </a:ln>
                        </wps:spPr>
                        <wps:style>
                          <a:lnRef idx="1">
                            <a:srgbClr val="868686"/>
                          </a:lnRef>
                          <a:fillRef idx="0">
                            <a:srgbClr val="000000">
                              <a:alpha val="0"/>
                            </a:srgbClr>
                          </a:fillRef>
                          <a:effectRef idx="0">
                            <a:scrgbClr r="0" g="0" b="0"/>
                          </a:effectRef>
                          <a:fontRef idx="none"/>
                        </wps:style>
                        <wps:bodyPr/>
                      </wps:wsp>
                      <wps:wsp>
                        <wps:cNvPr id="212908" name="Shape 9244"/>
                        <wps:cNvSpPr/>
                        <wps:spPr>
                          <a:xfrm>
                            <a:off x="5596255" y="2222881"/>
                            <a:ext cx="0" cy="32004"/>
                          </a:xfrm>
                          <a:custGeom>
                            <a:avLst/>
                            <a:gdLst/>
                            <a:ahLst/>
                            <a:cxnLst/>
                            <a:rect l="0" t="0" r="0" b="0"/>
                            <a:pathLst>
                              <a:path h="32004">
                                <a:moveTo>
                                  <a:pt x="0" y="0"/>
                                </a:moveTo>
                                <a:lnTo>
                                  <a:pt x="0" y="32004"/>
                                </a:lnTo>
                              </a:path>
                            </a:pathLst>
                          </a:custGeom>
                          <a:ln w="9144" cap="flat">
                            <a:noFill/>
                            <a:round/>
                          </a:ln>
                        </wps:spPr>
                        <wps:style>
                          <a:lnRef idx="1">
                            <a:srgbClr val="868686"/>
                          </a:lnRef>
                          <a:fillRef idx="0">
                            <a:srgbClr val="000000">
                              <a:alpha val="0"/>
                            </a:srgbClr>
                          </a:fillRef>
                          <a:effectRef idx="0">
                            <a:scrgbClr r="0" g="0" b="0"/>
                          </a:effectRef>
                          <a:fontRef idx="none"/>
                        </wps:style>
                        <wps:bodyPr/>
                      </wps:wsp>
                      <wps:wsp>
                        <wps:cNvPr id="212909" name="Rectangle 212909"/>
                        <wps:cNvSpPr/>
                        <wps:spPr>
                          <a:xfrm>
                            <a:off x="147041" y="2164842"/>
                            <a:ext cx="85295" cy="171355"/>
                          </a:xfrm>
                          <a:prstGeom prst="rect">
                            <a:avLst/>
                          </a:prstGeom>
                          <a:ln>
                            <a:noFill/>
                          </a:ln>
                        </wps:spPr>
                        <wps:txbx>
                          <w:txbxContent>
                            <w:p w14:paraId="7116CE8E" w14:textId="77777777" w:rsidR="00A75A08" w:rsidRPr="00D775DD" w:rsidRDefault="00A75A08" w:rsidP="008732F5">
                              <w:pPr>
                                <w:keepNext/>
                                <w:keepLines/>
                                <w:spacing w:after="0"/>
                                <w:rPr>
                                  <w:sz w:val="18"/>
                                  <w:szCs w:val="18"/>
                                </w:rPr>
                              </w:pPr>
                              <w:r w:rsidRPr="00D775DD">
                                <w:rPr>
                                  <w:sz w:val="18"/>
                                  <w:szCs w:val="18"/>
                                </w:rPr>
                                <w:t>0</w:t>
                              </w:r>
                            </w:p>
                          </w:txbxContent>
                        </wps:txbx>
                        <wps:bodyPr horzOverflow="overflow" vert="horz" lIns="0" tIns="0" rIns="0" bIns="0" rtlCol="0">
                          <a:noAutofit/>
                        </wps:bodyPr>
                      </wps:wsp>
                      <wps:wsp>
                        <wps:cNvPr id="212910" name="Rectangle 212910"/>
                        <wps:cNvSpPr/>
                        <wps:spPr>
                          <a:xfrm>
                            <a:off x="147041" y="1956689"/>
                            <a:ext cx="85295" cy="171355"/>
                          </a:xfrm>
                          <a:prstGeom prst="rect">
                            <a:avLst/>
                          </a:prstGeom>
                          <a:ln>
                            <a:noFill/>
                          </a:ln>
                        </wps:spPr>
                        <wps:txbx>
                          <w:txbxContent>
                            <w:p w14:paraId="605D3DBF" w14:textId="77777777" w:rsidR="00A75A08" w:rsidRPr="00D775DD" w:rsidRDefault="00A75A08" w:rsidP="008732F5">
                              <w:pPr>
                                <w:keepNext/>
                                <w:keepLines/>
                                <w:spacing w:after="0"/>
                                <w:rPr>
                                  <w:sz w:val="18"/>
                                  <w:szCs w:val="18"/>
                                </w:rPr>
                              </w:pPr>
                              <w:r w:rsidRPr="00D775DD">
                                <w:rPr>
                                  <w:sz w:val="18"/>
                                  <w:szCs w:val="18"/>
                                </w:rPr>
                                <w:t>5</w:t>
                              </w:r>
                            </w:p>
                          </w:txbxContent>
                        </wps:txbx>
                        <wps:bodyPr horzOverflow="overflow" vert="horz" lIns="0" tIns="0" rIns="0" bIns="0" rtlCol="0">
                          <a:noAutofit/>
                        </wps:bodyPr>
                      </wps:wsp>
                      <wps:wsp>
                        <wps:cNvPr id="212911" name="Rectangle 212911"/>
                        <wps:cNvSpPr/>
                        <wps:spPr>
                          <a:xfrm>
                            <a:off x="82728" y="1748536"/>
                            <a:ext cx="170426" cy="171355"/>
                          </a:xfrm>
                          <a:prstGeom prst="rect">
                            <a:avLst/>
                          </a:prstGeom>
                          <a:ln>
                            <a:noFill/>
                          </a:ln>
                        </wps:spPr>
                        <wps:txbx>
                          <w:txbxContent>
                            <w:p w14:paraId="2523682E" w14:textId="77777777" w:rsidR="00A75A08" w:rsidRPr="00D775DD" w:rsidRDefault="00A75A08" w:rsidP="008732F5">
                              <w:pPr>
                                <w:keepNext/>
                                <w:keepLines/>
                                <w:spacing w:after="0"/>
                                <w:rPr>
                                  <w:sz w:val="18"/>
                                  <w:szCs w:val="18"/>
                                </w:rPr>
                              </w:pPr>
                              <w:r w:rsidRPr="00D775DD">
                                <w:rPr>
                                  <w:sz w:val="18"/>
                                  <w:szCs w:val="18"/>
                                </w:rPr>
                                <w:t>10</w:t>
                              </w:r>
                            </w:p>
                          </w:txbxContent>
                        </wps:txbx>
                        <wps:bodyPr horzOverflow="overflow" vert="horz" lIns="0" tIns="0" rIns="0" bIns="0" rtlCol="0">
                          <a:noAutofit/>
                        </wps:bodyPr>
                      </wps:wsp>
                      <wps:wsp>
                        <wps:cNvPr id="212912" name="Rectangle 212912"/>
                        <wps:cNvSpPr/>
                        <wps:spPr>
                          <a:xfrm>
                            <a:off x="82728" y="1540002"/>
                            <a:ext cx="170426" cy="171355"/>
                          </a:xfrm>
                          <a:prstGeom prst="rect">
                            <a:avLst/>
                          </a:prstGeom>
                          <a:ln>
                            <a:noFill/>
                          </a:ln>
                        </wps:spPr>
                        <wps:txbx>
                          <w:txbxContent>
                            <w:p w14:paraId="439266D8" w14:textId="77777777" w:rsidR="00A75A08" w:rsidRPr="00D775DD" w:rsidRDefault="00A75A08" w:rsidP="008732F5">
                              <w:pPr>
                                <w:keepNext/>
                                <w:keepLines/>
                                <w:spacing w:after="0"/>
                                <w:rPr>
                                  <w:sz w:val="18"/>
                                  <w:szCs w:val="18"/>
                                </w:rPr>
                              </w:pPr>
                              <w:r w:rsidRPr="00D775DD">
                                <w:rPr>
                                  <w:sz w:val="18"/>
                                  <w:szCs w:val="18"/>
                                </w:rPr>
                                <w:t>15</w:t>
                              </w:r>
                            </w:p>
                          </w:txbxContent>
                        </wps:txbx>
                        <wps:bodyPr horzOverflow="overflow" vert="horz" lIns="0" tIns="0" rIns="0" bIns="0" rtlCol="0">
                          <a:noAutofit/>
                        </wps:bodyPr>
                      </wps:wsp>
                      <wps:wsp>
                        <wps:cNvPr id="212913" name="Rectangle 212913"/>
                        <wps:cNvSpPr/>
                        <wps:spPr>
                          <a:xfrm>
                            <a:off x="82728" y="1331849"/>
                            <a:ext cx="170426" cy="171355"/>
                          </a:xfrm>
                          <a:prstGeom prst="rect">
                            <a:avLst/>
                          </a:prstGeom>
                          <a:ln>
                            <a:noFill/>
                          </a:ln>
                        </wps:spPr>
                        <wps:txbx>
                          <w:txbxContent>
                            <w:p w14:paraId="6DAE9B06" w14:textId="77777777" w:rsidR="00A75A08" w:rsidRPr="00D775DD" w:rsidRDefault="00A75A08" w:rsidP="008732F5">
                              <w:pPr>
                                <w:keepNext/>
                                <w:keepLines/>
                                <w:spacing w:after="0"/>
                                <w:rPr>
                                  <w:sz w:val="18"/>
                                  <w:szCs w:val="18"/>
                                </w:rPr>
                              </w:pPr>
                              <w:r w:rsidRPr="00D775DD">
                                <w:rPr>
                                  <w:sz w:val="18"/>
                                  <w:szCs w:val="18"/>
                                </w:rPr>
                                <w:t>20</w:t>
                              </w:r>
                            </w:p>
                          </w:txbxContent>
                        </wps:txbx>
                        <wps:bodyPr horzOverflow="overflow" vert="horz" lIns="0" tIns="0" rIns="0" bIns="0" rtlCol="0">
                          <a:noAutofit/>
                        </wps:bodyPr>
                      </wps:wsp>
                      <wps:wsp>
                        <wps:cNvPr id="212914" name="Rectangle 212914"/>
                        <wps:cNvSpPr/>
                        <wps:spPr>
                          <a:xfrm>
                            <a:off x="82728" y="1123697"/>
                            <a:ext cx="170426" cy="171355"/>
                          </a:xfrm>
                          <a:prstGeom prst="rect">
                            <a:avLst/>
                          </a:prstGeom>
                          <a:ln>
                            <a:noFill/>
                          </a:ln>
                        </wps:spPr>
                        <wps:txbx>
                          <w:txbxContent>
                            <w:p w14:paraId="29FE0BEC" w14:textId="77777777" w:rsidR="00A75A08" w:rsidRPr="00D775DD" w:rsidRDefault="00A75A08" w:rsidP="008732F5">
                              <w:pPr>
                                <w:keepNext/>
                                <w:keepLines/>
                                <w:spacing w:after="0"/>
                                <w:rPr>
                                  <w:sz w:val="18"/>
                                  <w:szCs w:val="18"/>
                                </w:rPr>
                              </w:pPr>
                              <w:r w:rsidRPr="00D775DD">
                                <w:rPr>
                                  <w:sz w:val="18"/>
                                  <w:szCs w:val="18"/>
                                </w:rPr>
                                <w:t>25</w:t>
                              </w:r>
                            </w:p>
                          </w:txbxContent>
                        </wps:txbx>
                        <wps:bodyPr horzOverflow="overflow" vert="horz" lIns="0" tIns="0" rIns="0" bIns="0" rtlCol="0">
                          <a:noAutofit/>
                        </wps:bodyPr>
                      </wps:wsp>
                      <wps:wsp>
                        <wps:cNvPr id="212915" name="Rectangle 212915"/>
                        <wps:cNvSpPr/>
                        <wps:spPr>
                          <a:xfrm>
                            <a:off x="82728" y="915543"/>
                            <a:ext cx="170426" cy="171355"/>
                          </a:xfrm>
                          <a:prstGeom prst="rect">
                            <a:avLst/>
                          </a:prstGeom>
                          <a:ln>
                            <a:noFill/>
                          </a:ln>
                        </wps:spPr>
                        <wps:txbx>
                          <w:txbxContent>
                            <w:p w14:paraId="5A561166" w14:textId="77777777" w:rsidR="00A75A08" w:rsidRPr="00D775DD" w:rsidRDefault="00A75A08" w:rsidP="008732F5">
                              <w:pPr>
                                <w:keepNext/>
                                <w:keepLines/>
                                <w:spacing w:after="0"/>
                                <w:rPr>
                                  <w:sz w:val="18"/>
                                  <w:szCs w:val="18"/>
                                </w:rPr>
                              </w:pPr>
                              <w:r w:rsidRPr="00D775DD">
                                <w:rPr>
                                  <w:sz w:val="18"/>
                                  <w:szCs w:val="18"/>
                                </w:rPr>
                                <w:t>30</w:t>
                              </w:r>
                            </w:p>
                          </w:txbxContent>
                        </wps:txbx>
                        <wps:bodyPr horzOverflow="overflow" vert="horz" lIns="0" tIns="0" rIns="0" bIns="0" rtlCol="0">
                          <a:noAutofit/>
                        </wps:bodyPr>
                      </wps:wsp>
                      <wps:wsp>
                        <wps:cNvPr id="212916" name="Rectangle 212916"/>
                        <wps:cNvSpPr/>
                        <wps:spPr>
                          <a:xfrm>
                            <a:off x="82728" y="707010"/>
                            <a:ext cx="170426" cy="171355"/>
                          </a:xfrm>
                          <a:prstGeom prst="rect">
                            <a:avLst/>
                          </a:prstGeom>
                          <a:ln>
                            <a:noFill/>
                          </a:ln>
                        </wps:spPr>
                        <wps:txbx>
                          <w:txbxContent>
                            <w:p w14:paraId="4B14D906" w14:textId="77777777" w:rsidR="00A75A08" w:rsidRPr="00D775DD" w:rsidRDefault="00A75A08" w:rsidP="008732F5">
                              <w:pPr>
                                <w:keepNext/>
                                <w:keepLines/>
                                <w:spacing w:after="0"/>
                                <w:rPr>
                                  <w:sz w:val="18"/>
                                  <w:szCs w:val="18"/>
                                </w:rPr>
                              </w:pPr>
                              <w:r w:rsidRPr="00D775DD">
                                <w:rPr>
                                  <w:sz w:val="18"/>
                                  <w:szCs w:val="18"/>
                                </w:rPr>
                                <w:t>35</w:t>
                              </w:r>
                            </w:p>
                          </w:txbxContent>
                        </wps:txbx>
                        <wps:bodyPr horzOverflow="overflow" vert="horz" lIns="0" tIns="0" rIns="0" bIns="0" rtlCol="0">
                          <a:noAutofit/>
                        </wps:bodyPr>
                      </wps:wsp>
                      <wps:wsp>
                        <wps:cNvPr id="212917" name="Rectangle 212917"/>
                        <wps:cNvSpPr/>
                        <wps:spPr>
                          <a:xfrm>
                            <a:off x="82728" y="498856"/>
                            <a:ext cx="170426" cy="171355"/>
                          </a:xfrm>
                          <a:prstGeom prst="rect">
                            <a:avLst/>
                          </a:prstGeom>
                          <a:ln>
                            <a:noFill/>
                          </a:ln>
                        </wps:spPr>
                        <wps:txbx>
                          <w:txbxContent>
                            <w:p w14:paraId="3850904A" w14:textId="77777777" w:rsidR="00A75A08" w:rsidRPr="00D775DD" w:rsidRDefault="00A75A08" w:rsidP="008732F5">
                              <w:pPr>
                                <w:keepNext/>
                                <w:keepLines/>
                                <w:spacing w:after="0"/>
                                <w:rPr>
                                  <w:sz w:val="18"/>
                                  <w:szCs w:val="18"/>
                                </w:rPr>
                              </w:pPr>
                              <w:r w:rsidRPr="00D775DD">
                                <w:rPr>
                                  <w:sz w:val="18"/>
                                  <w:szCs w:val="18"/>
                                </w:rPr>
                                <w:t>40</w:t>
                              </w:r>
                            </w:p>
                          </w:txbxContent>
                        </wps:txbx>
                        <wps:bodyPr horzOverflow="overflow" vert="horz" lIns="0" tIns="0" rIns="0" bIns="0" rtlCol="0">
                          <a:noAutofit/>
                        </wps:bodyPr>
                      </wps:wsp>
                      <wps:wsp>
                        <wps:cNvPr id="212918" name="Rectangle 212918"/>
                        <wps:cNvSpPr/>
                        <wps:spPr>
                          <a:xfrm>
                            <a:off x="82728" y="290703"/>
                            <a:ext cx="170426" cy="171355"/>
                          </a:xfrm>
                          <a:prstGeom prst="rect">
                            <a:avLst/>
                          </a:prstGeom>
                          <a:ln>
                            <a:noFill/>
                          </a:ln>
                        </wps:spPr>
                        <wps:txbx>
                          <w:txbxContent>
                            <w:p w14:paraId="22FD4005" w14:textId="77777777" w:rsidR="00A75A08" w:rsidRPr="00D775DD" w:rsidRDefault="00A75A08" w:rsidP="008732F5">
                              <w:pPr>
                                <w:keepNext/>
                                <w:keepLines/>
                                <w:spacing w:after="0"/>
                                <w:rPr>
                                  <w:sz w:val="18"/>
                                  <w:szCs w:val="18"/>
                                </w:rPr>
                              </w:pPr>
                              <w:r w:rsidRPr="00D775DD">
                                <w:rPr>
                                  <w:sz w:val="18"/>
                                  <w:szCs w:val="18"/>
                                </w:rPr>
                                <w:t>45</w:t>
                              </w:r>
                            </w:p>
                          </w:txbxContent>
                        </wps:txbx>
                        <wps:bodyPr horzOverflow="overflow" vert="horz" lIns="0" tIns="0" rIns="0" bIns="0" rtlCol="0">
                          <a:noAutofit/>
                        </wps:bodyPr>
                      </wps:wsp>
                      <wps:wsp>
                        <wps:cNvPr id="212919" name="Rectangle 212919"/>
                        <wps:cNvSpPr/>
                        <wps:spPr>
                          <a:xfrm>
                            <a:off x="82728" y="82550"/>
                            <a:ext cx="170426" cy="171355"/>
                          </a:xfrm>
                          <a:prstGeom prst="rect">
                            <a:avLst/>
                          </a:prstGeom>
                          <a:ln>
                            <a:noFill/>
                          </a:ln>
                        </wps:spPr>
                        <wps:txbx>
                          <w:txbxContent>
                            <w:p w14:paraId="1EF05840" w14:textId="77777777" w:rsidR="00A75A08" w:rsidRPr="00D775DD" w:rsidRDefault="00A75A08" w:rsidP="008732F5">
                              <w:pPr>
                                <w:keepNext/>
                                <w:keepLines/>
                                <w:spacing w:after="0"/>
                                <w:rPr>
                                  <w:sz w:val="18"/>
                                  <w:szCs w:val="18"/>
                                </w:rPr>
                              </w:pPr>
                              <w:r w:rsidRPr="00D775DD">
                                <w:rPr>
                                  <w:sz w:val="18"/>
                                  <w:szCs w:val="18"/>
                                </w:rPr>
                                <w:t>50</w:t>
                              </w:r>
                            </w:p>
                          </w:txbxContent>
                        </wps:txbx>
                        <wps:bodyPr horzOverflow="overflow" vert="horz" lIns="0" tIns="0" rIns="0" bIns="0" rtlCol="0">
                          <a:noAutofit/>
                        </wps:bodyPr>
                      </wps:wsp>
                      <wps:wsp>
                        <wps:cNvPr id="212920" name="Rectangle 212920"/>
                        <wps:cNvSpPr/>
                        <wps:spPr>
                          <a:xfrm>
                            <a:off x="408559" y="2307844"/>
                            <a:ext cx="489980" cy="138324"/>
                          </a:xfrm>
                          <a:prstGeom prst="rect">
                            <a:avLst/>
                          </a:prstGeom>
                          <a:ln>
                            <a:noFill/>
                          </a:ln>
                        </wps:spPr>
                        <wps:txbx>
                          <w:txbxContent>
                            <w:p w14:paraId="2477B06B" w14:textId="77777777" w:rsidR="00A75A08" w:rsidRPr="003F1FAC" w:rsidRDefault="00A75A08" w:rsidP="008732F5">
                              <w:pPr>
                                <w:keepNext/>
                                <w:keepLines/>
                                <w:spacing w:after="0"/>
                                <w:rPr>
                                  <w:sz w:val="18"/>
                                  <w:szCs w:val="18"/>
                                </w:rPr>
                              </w:pPr>
                              <w:r w:rsidRPr="00D775DD">
                                <w:rPr>
                                  <w:sz w:val="18"/>
                                  <w:szCs w:val="18"/>
                                </w:rPr>
                                <w:t>A</w:t>
                              </w:r>
                              <w:r>
                                <w:rPr>
                                  <w:sz w:val="18"/>
                                  <w:szCs w:val="18"/>
                                </w:rPr>
                                <w:t>shanti</w:t>
                              </w:r>
                            </w:p>
                          </w:txbxContent>
                        </wps:txbx>
                        <wps:bodyPr horzOverflow="overflow" vert="horz" lIns="0" tIns="0" rIns="0" bIns="0" rtlCol="0">
                          <a:noAutofit/>
                        </wps:bodyPr>
                      </wps:wsp>
                      <wps:wsp>
                        <wps:cNvPr id="212921" name="Rectangle 212921"/>
                        <wps:cNvSpPr/>
                        <wps:spPr>
                          <a:xfrm>
                            <a:off x="966083" y="2307384"/>
                            <a:ext cx="460233" cy="344056"/>
                          </a:xfrm>
                          <a:prstGeom prst="rect">
                            <a:avLst/>
                          </a:prstGeom>
                          <a:ln>
                            <a:noFill/>
                          </a:ln>
                        </wps:spPr>
                        <wps:txbx>
                          <w:txbxContent>
                            <w:p w14:paraId="08FF5120" w14:textId="77777777" w:rsidR="00A75A08" w:rsidRPr="003F1FAC" w:rsidRDefault="00A75A08" w:rsidP="008732F5">
                              <w:pPr>
                                <w:keepNext/>
                                <w:keepLines/>
                                <w:spacing w:after="0"/>
                                <w:rPr>
                                  <w:sz w:val="18"/>
                                  <w:szCs w:val="18"/>
                                </w:rPr>
                              </w:pPr>
                              <w:r w:rsidRPr="00D775DD">
                                <w:rPr>
                                  <w:sz w:val="18"/>
                                  <w:szCs w:val="18"/>
                                </w:rPr>
                                <w:t>B</w:t>
                              </w:r>
                              <w:r>
                                <w:rPr>
                                  <w:sz w:val="18"/>
                                  <w:szCs w:val="18"/>
                                </w:rPr>
                                <w:t>ron</w:t>
                              </w:r>
                              <w:r w:rsidRPr="00905C37">
                                <w:rPr>
                                  <w:sz w:val="18"/>
                                  <w:szCs w:val="18"/>
                                </w:rPr>
                                <w:t>g</w:t>
                              </w:r>
                              <w:r>
                                <w:rPr>
                                  <w:sz w:val="18"/>
                                  <w:szCs w:val="18"/>
                                </w:rPr>
                                <w:t xml:space="preserve"> Ahafo</w:t>
                              </w:r>
                            </w:p>
                          </w:txbxContent>
                        </wps:txbx>
                        <wps:bodyPr horzOverflow="overflow" vert="horz" lIns="0" tIns="0" rIns="0" bIns="0" rtlCol="0">
                          <a:noAutofit/>
                        </wps:bodyPr>
                      </wps:wsp>
                      <wps:wsp>
                        <wps:cNvPr id="212923" name="Rectangle 212923"/>
                        <wps:cNvSpPr/>
                        <wps:spPr>
                          <a:xfrm>
                            <a:off x="1458595" y="2307817"/>
                            <a:ext cx="498671" cy="261764"/>
                          </a:xfrm>
                          <a:prstGeom prst="rect">
                            <a:avLst/>
                          </a:prstGeom>
                          <a:ln>
                            <a:noFill/>
                          </a:ln>
                        </wps:spPr>
                        <wps:txbx>
                          <w:txbxContent>
                            <w:p w14:paraId="0949DEF2" w14:textId="77777777" w:rsidR="00A75A08" w:rsidRPr="00D775DD" w:rsidRDefault="00A75A08" w:rsidP="008732F5">
                              <w:pPr>
                                <w:keepNext/>
                                <w:keepLines/>
                                <w:spacing w:after="0"/>
                                <w:rPr>
                                  <w:sz w:val="18"/>
                                  <w:szCs w:val="18"/>
                                </w:rPr>
                              </w:pPr>
                              <w:r w:rsidRPr="00D775DD">
                                <w:rPr>
                                  <w:sz w:val="18"/>
                                  <w:szCs w:val="18"/>
                                </w:rPr>
                                <w:t>C</w:t>
                              </w:r>
                              <w:r>
                                <w:rPr>
                                  <w:sz w:val="18"/>
                                  <w:szCs w:val="18"/>
                                </w:rPr>
                                <w:t>entral</w:t>
                              </w:r>
                            </w:p>
                          </w:txbxContent>
                        </wps:txbx>
                        <wps:bodyPr horzOverflow="overflow" vert="horz" lIns="0" tIns="0" rIns="0" bIns="0" rtlCol="0">
                          <a:noAutofit/>
                        </wps:bodyPr>
                      </wps:wsp>
                      <wps:wsp>
                        <wps:cNvPr id="212924" name="Rectangle 212924"/>
                        <wps:cNvSpPr/>
                        <wps:spPr>
                          <a:xfrm>
                            <a:off x="1985899" y="2307844"/>
                            <a:ext cx="498943" cy="138324"/>
                          </a:xfrm>
                          <a:prstGeom prst="rect">
                            <a:avLst/>
                          </a:prstGeom>
                          <a:ln>
                            <a:noFill/>
                          </a:ln>
                        </wps:spPr>
                        <wps:txbx>
                          <w:txbxContent>
                            <w:p w14:paraId="37C807BE" w14:textId="77777777" w:rsidR="00A75A08" w:rsidRPr="00D775DD" w:rsidRDefault="00A75A08" w:rsidP="008732F5">
                              <w:pPr>
                                <w:keepNext/>
                                <w:keepLines/>
                                <w:spacing w:after="0"/>
                                <w:rPr>
                                  <w:sz w:val="18"/>
                                  <w:szCs w:val="18"/>
                                </w:rPr>
                              </w:pPr>
                              <w:r w:rsidRPr="00D775DD">
                                <w:rPr>
                                  <w:sz w:val="18"/>
                                  <w:szCs w:val="18"/>
                                </w:rPr>
                                <w:t>E</w:t>
                              </w:r>
                              <w:r>
                                <w:rPr>
                                  <w:sz w:val="18"/>
                                  <w:szCs w:val="18"/>
                                </w:rPr>
                                <w:t>astern</w:t>
                              </w:r>
                            </w:p>
                          </w:txbxContent>
                        </wps:txbx>
                        <wps:bodyPr horzOverflow="overflow" vert="horz" lIns="0" tIns="0" rIns="0" bIns="0" rtlCol="0">
                          <a:noAutofit/>
                        </wps:bodyPr>
                      </wps:wsp>
                      <wps:wsp>
                        <wps:cNvPr id="212925" name="Rectangle 212925"/>
                        <wps:cNvSpPr/>
                        <wps:spPr>
                          <a:xfrm>
                            <a:off x="2509266" y="2307817"/>
                            <a:ext cx="540973" cy="138324"/>
                          </a:xfrm>
                          <a:prstGeom prst="rect">
                            <a:avLst/>
                          </a:prstGeom>
                          <a:ln>
                            <a:noFill/>
                          </a:ln>
                        </wps:spPr>
                        <wps:txbx>
                          <w:txbxContent>
                            <w:p w14:paraId="49A1667B" w14:textId="77777777" w:rsidR="00A75A08" w:rsidRPr="00D775DD" w:rsidRDefault="00A75A08" w:rsidP="008732F5">
                              <w:pPr>
                                <w:keepNext/>
                                <w:keepLines/>
                                <w:spacing w:after="0"/>
                                <w:rPr>
                                  <w:sz w:val="18"/>
                                  <w:szCs w:val="18"/>
                                </w:rPr>
                              </w:pPr>
                              <w:r w:rsidRPr="00D775DD">
                                <w:rPr>
                                  <w:sz w:val="18"/>
                                  <w:szCs w:val="18"/>
                                </w:rPr>
                                <w:t>G</w:t>
                              </w:r>
                              <w:r>
                                <w:rPr>
                                  <w:sz w:val="18"/>
                                  <w:szCs w:val="18"/>
                                </w:rPr>
                                <w:t>reater</w:t>
                              </w:r>
                            </w:p>
                          </w:txbxContent>
                        </wps:txbx>
                        <wps:bodyPr horzOverflow="overflow" vert="horz" lIns="0" tIns="0" rIns="0" bIns="0" rtlCol="0">
                          <a:noAutofit/>
                        </wps:bodyPr>
                      </wps:wsp>
                      <wps:wsp>
                        <wps:cNvPr id="212926" name="Rectangle 212926"/>
                        <wps:cNvSpPr/>
                        <wps:spPr>
                          <a:xfrm>
                            <a:off x="2559558" y="2431288"/>
                            <a:ext cx="374139" cy="138323"/>
                          </a:xfrm>
                          <a:prstGeom prst="rect">
                            <a:avLst/>
                          </a:prstGeom>
                          <a:ln>
                            <a:noFill/>
                          </a:ln>
                        </wps:spPr>
                        <wps:txbx>
                          <w:txbxContent>
                            <w:p w14:paraId="2B0FF18B" w14:textId="77777777" w:rsidR="00A75A08" w:rsidRPr="00D775DD" w:rsidRDefault="00A75A08" w:rsidP="008732F5">
                              <w:pPr>
                                <w:keepNext/>
                                <w:keepLines/>
                                <w:spacing w:after="0"/>
                                <w:rPr>
                                  <w:sz w:val="18"/>
                                  <w:szCs w:val="18"/>
                                </w:rPr>
                              </w:pPr>
                              <w:r w:rsidRPr="00D775DD">
                                <w:rPr>
                                  <w:sz w:val="18"/>
                                  <w:szCs w:val="18"/>
                                </w:rPr>
                                <w:t>A</w:t>
                              </w:r>
                              <w:r>
                                <w:rPr>
                                  <w:sz w:val="18"/>
                                  <w:szCs w:val="18"/>
                                </w:rPr>
                                <w:t>cra</w:t>
                              </w:r>
                            </w:p>
                          </w:txbxContent>
                        </wps:txbx>
                        <wps:bodyPr horzOverflow="overflow" vert="horz" lIns="0" tIns="0" rIns="0" bIns="0" rtlCol="0">
                          <a:noAutofit/>
                        </wps:bodyPr>
                      </wps:wsp>
                      <wps:wsp>
                        <wps:cNvPr id="212927" name="Rectangle 212927"/>
                        <wps:cNvSpPr/>
                        <wps:spPr>
                          <a:xfrm>
                            <a:off x="3080056" y="2307790"/>
                            <a:ext cx="538162" cy="308108"/>
                          </a:xfrm>
                          <a:prstGeom prst="rect">
                            <a:avLst/>
                          </a:prstGeom>
                          <a:ln>
                            <a:noFill/>
                          </a:ln>
                        </wps:spPr>
                        <wps:txbx>
                          <w:txbxContent>
                            <w:p w14:paraId="594AA789" w14:textId="77777777" w:rsidR="00A75A08" w:rsidRPr="003F1FAC" w:rsidRDefault="00A75A08" w:rsidP="008732F5">
                              <w:pPr>
                                <w:keepNext/>
                                <w:keepLines/>
                                <w:spacing w:after="0"/>
                                <w:rPr>
                                  <w:sz w:val="18"/>
                                  <w:szCs w:val="18"/>
                                </w:rPr>
                              </w:pPr>
                              <w:r>
                                <w:rPr>
                                  <w:sz w:val="18"/>
                                  <w:szCs w:val="18"/>
                                </w:rPr>
                                <w:t>Northern</w:t>
                              </w:r>
                            </w:p>
                          </w:txbxContent>
                        </wps:txbx>
                        <wps:bodyPr horzOverflow="overflow" vert="horz" lIns="0" tIns="0" rIns="0" bIns="0" rtlCol="0">
                          <a:noAutofit/>
                        </wps:bodyPr>
                      </wps:wsp>
                      <wps:wsp>
                        <wps:cNvPr id="212928" name="Rectangle 212928"/>
                        <wps:cNvSpPr/>
                        <wps:spPr>
                          <a:xfrm>
                            <a:off x="3674252" y="2307735"/>
                            <a:ext cx="413242" cy="308220"/>
                          </a:xfrm>
                          <a:prstGeom prst="rect">
                            <a:avLst/>
                          </a:prstGeom>
                          <a:ln>
                            <a:noFill/>
                          </a:ln>
                        </wps:spPr>
                        <wps:txbx>
                          <w:txbxContent>
                            <w:p w14:paraId="3C8CCE9A" w14:textId="77777777" w:rsidR="00A75A08" w:rsidRPr="003F1FAC" w:rsidRDefault="00A75A08" w:rsidP="008732F5">
                              <w:pPr>
                                <w:keepNext/>
                                <w:keepLines/>
                                <w:spacing w:after="0"/>
                                <w:rPr>
                                  <w:sz w:val="18"/>
                                  <w:szCs w:val="18"/>
                                </w:rPr>
                              </w:pPr>
                              <w:r>
                                <w:rPr>
                                  <w:sz w:val="18"/>
                                  <w:szCs w:val="18"/>
                                </w:rPr>
                                <w:t>Upper East</w:t>
                              </w:r>
                            </w:p>
                          </w:txbxContent>
                        </wps:txbx>
                        <wps:bodyPr horzOverflow="overflow" vert="horz" lIns="0" tIns="0" rIns="0" bIns="0" rtlCol="0">
                          <a:noAutofit/>
                        </wps:bodyPr>
                      </wps:wsp>
                      <wps:wsp>
                        <wps:cNvPr id="212929" name="Rectangle 212929"/>
                        <wps:cNvSpPr/>
                        <wps:spPr>
                          <a:xfrm>
                            <a:off x="4142994" y="2307844"/>
                            <a:ext cx="365448" cy="138324"/>
                          </a:xfrm>
                          <a:prstGeom prst="rect">
                            <a:avLst/>
                          </a:prstGeom>
                          <a:ln>
                            <a:noFill/>
                          </a:ln>
                        </wps:spPr>
                        <wps:txbx>
                          <w:txbxContent>
                            <w:p w14:paraId="7E34BA3D" w14:textId="77777777" w:rsidR="00A75A08" w:rsidRPr="003F1FAC" w:rsidRDefault="00A75A08" w:rsidP="008732F5">
                              <w:pPr>
                                <w:keepNext/>
                                <w:keepLines/>
                                <w:spacing w:after="0"/>
                                <w:rPr>
                                  <w:sz w:val="18"/>
                                  <w:szCs w:val="18"/>
                                </w:rPr>
                              </w:pPr>
                              <w:r>
                                <w:rPr>
                                  <w:sz w:val="18"/>
                                  <w:szCs w:val="18"/>
                                </w:rPr>
                                <w:t>Upper</w:t>
                              </w:r>
                            </w:p>
                          </w:txbxContent>
                        </wps:txbx>
                        <wps:bodyPr horzOverflow="overflow" vert="horz" lIns="0" tIns="0" rIns="0" bIns="0" rtlCol="0">
                          <a:noAutofit/>
                        </wps:bodyPr>
                      </wps:wsp>
                      <wps:wsp>
                        <wps:cNvPr id="212930" name="Rectangle 212930"/>
                        <wps:cNvSpPr/>
                        <wps:spPr>
                          <a:xfrm>
                            <a:off x="4162806" y="2431258"/>
                            <a:ext cx="410963" cy="184754"/>
                          </a:xfrm>
                          <a:prstGeom prst="rect">
                            <a:avLst/>
                          </a:prstGeom>
                          <a:ln>
                            <a:noFill/>
                          </a:ln>
                        </wps:spPr>
                        <wps:txbx>
                          <w:txbxContent>
                            <w:p w14:paraId="0527B73B" w14:textId="77777777" w:rsidR="00A75A08" w:rsidRPr="003F1FAC" w:rsidRDefault="00A75A08" w:rsidP="008732F5">
                              <w:pPr>
                                <w:keepNext/>
                                <w:keepLines/>
                                <w:spacing w:after="0"/>
                                <w:rPr>
                                  <w:sz w:val="18"/>
                                  <w:szCs w:val="18"/>
                                </w:rPr>
                              </w:pPr>
                              <w:r>
                                <w:rPr>
                                  <w:sz w:val="18"/>
                                  <w:szCs w:val="18"/>
                                </w:rPr>
                                <w:t>West</w:t>
                              </w:r>
                            </w:p>
                          </w:txbxContent>
                        </wps:txbx>
                        <wps:bodyPr horzOverflow="overflow" vert="horz" lIns="0" tIns="0" rIns="0" bIns="0" rtlCol="0">
                          <a:noAutofit/>
                        </wps:bodyPr>
                      </wps:wsp>
                      <wps:wsp>
                        <wps:cNvPr id="212931" name="Rectangle 212931"/>
                        <wps:cNvSpPr/>
                        <wps:spPr>
                          <a:xfrm>
                            <a:off x="4669409" y="2307817"/>
                            <a:ext cx="368299" cy="221410"/>
                          </a:xfrm>
                          <a:prstGeom prst="rect">
                            <a:avLst/>
                          </a:prstGeom>
                          <a:ln>
                            <a:noFill/>
                          </a:ln>
                        </wps:spPr>
                        <wps:txbx>
                          <w:txbxContent>
                            <w:p w14:paraId="0D2A1D6A" w14:textId="77777777" w:rsidR="00A75A08" w:rsidRPr="003F1FAC" w:rsidRDefault="00A75A08" w:rsidP="008732F5">
                              <w:pPr>
                                <w:keepNext/>
                                <w:keepLines/>
                                <w:spacing w:after="0"/>
                                <w:rPr>
                                  <w:sz w:val="18"/>
                                  <w:szCs w:val="18"/>
                                </w:rPr>
                              </w:pPr>
                              <w:r>
                                <w:rPr>
                                  <w:sz w:val="18"/>
                                  <w:szCs w:val="18"/>
                                </w:rPr>
                                <w:t>Volta</w:t>
                              </w:r>
                            </w:p>
                          </w:txbxContent>
                        </wps:txbx>
                        <wps:bodyPr horzOverflow="overflow" vert="horz" lIns="0" tIns="0" rIns="0" bIns="0" rtlCol="0">
                          <a:noAutofit/>
                        </wps:bodyPr>
                      </wps:wsp>
                      <wps:wsp>
                        <wps:cNvPr id="212932" name="Rectangle 212932"/>
                        <wps:cNvSpPr/>
                        <wps:spPr>
                          <a:xfrm>
                            <a:off x="5131181" y="2307844"/>
                            <a:ext cx="541585" cy="138324"/>
                          </a:xfrm>
                          <a:prstGeom prst="rect">
                            <a:avLst/>
                          </a:prstGeom>
                          <a:ln>
                            <a:noFill/>
                          </a:ln>
                        </wps:spPr>
                        <wps:txbx>
                          <w:txbxContent>
                            <w:p w14:paraId="41E1EA17" w14:textId="77777777" w:rsidR="00A75A08" w:rsidRPr="003F1FAC" w:rsidRDefault="00A75A08" w:rsidP="008732F5">
                              <w:pPr>
                                <w:keepNext/>
                                <w:keepLines/>
                                <w:spacing w:after="0"/>
                                <w:rPr>
                                  <w:sz w:val="18"/>
                                  <w:szCs w:val="18"/>
                                </w:rPr>
                              </w:pPr>
                              <w:r>
                                <w:rPr>
                                  <w:sz w:val="18"/>
                                  <w:szCs w:val="18"/>
                                </w:rPr>
                                <w:t>Western</w:t>
                              </w:r>
                            </w:p>
                          </w:txbxContent>
                        </wps:txbx>
                        <wps:bodyPr horzOverflow="overflow" vert="horz" lIns="0" tIns="0" rIns="0" bIns="0" rtlCol="0">
                          <a:noAutofit/>
                        </wps:bodyPr>
                      </wps:wsp>
                      <wps:wsp>
                        <wps:cNvPr id="212933" name="Shape 212860"/>
                        <wps:cNvSpPr/>
                        <wps:spPr>
                          <a:xfrm>
                            <a:off x="1629283" y="2698369"/>
                            <a:ext cx="70104" cy="68580"/>
                          </a:xfrm>
                          <a:custGeom>
                            <a:avLst/>
                            <a:gdLst/>
                            <a:ahLst/>
                            <a:cxnLst/>
                            <a:rect l="0" t="0" r="0" b="0"/>
                            <a:pathLst>
                              <a:path w="70104" h="68580">
                                <a:moveTo>
                                  <a:pt x="0" y="0"/>
                                </a:moveTo>
                                <a:lnTo>
                                  <a:pt x="70104" y="0"/>
                                </a:lnTo>
                                <a:lnTo>
                                  <a:pt x="70104" y="68580"/>
                                </a:lnTo>
                                <a:lnTo>
                                  <a:pt x="0" y="68580"/>
                                </a:lnTo>
                                <a:lnTo>
                                  <a:pt x="0" y="0"/>
                                </a:lnTo>
                              </a:path>
                            </a:pathLst>
                          </a:custGeom>
                          <a:solidFill>
                            <a:srgbClr val="DE6E4B"/>
                          </a:solidFill>
                          <a:ln w="0" cap="flat">
                            <a:noFill/>
                            <a:round/>
                          </a:ln>
                        </wps:spPr>
                        <wps:style>
                          <a:lnRef idx="0">
                            <a:srgbClr val="000000">
                              <a:alpha val="0"/>
                            </a:srgbClr>
                          </a:lnRef>
                          <a:fillRef idx="1">
                            <a:srgbClr val="4F81BD"/>
                          </a:fillRef>
                          <a:effectRef idx="0">
                            <a:scrgbClr r="0" g="0" b="0"/>
                          </a:effectRef>
                          <a:fontRef idx="none"/>
                        </wps:style>
                        <wps:bodyPr/>
                      </wps:wsp>
                      <wps:wsp>
                        <wps:cNvPr id="212934" name="Rectangle 212934"/>
                        <wps:cNvSpPr/>
                        <wps:spPr>
                          <a:xfrm>
                            <a:off x="1391983" y="2770866"/>
                            <a:ext cx="650780" cy="171355"/>
                          </a:xfrm>
                          <a:prstGeom prst="rect">
                            <a:avLst/>
                          </a:prstGeom>
                          <a:ln>
                            <a:noFill/>
                          </a:ln>
                        </wps:spPr>
                        <wps:txbx>
                          <w:txbxContent>
                            <w:p w14:paraId="7761AF33" w14:textId="77777777" w:rsidR="00A75A08" w:rsidRPr="00D775DD" w:rsidRDefault="00A75A08" w:rsidP="008732F5">
                              <w:pPr>
                                <w:keepNext/>
                                <w:keepLines/>
                                <w:spacing w:after="0"/>
                                <w:rPr>
                                  <w:sz w:val="18"/>
                                  <w:szCs w:val="18"/>
                                </w:rPr>
                              </w:pPr>
                              <w:r w:rsidRPr="00D775DD">
                                <w:rPr>
                                  <w:sz w:val="18"/>
                                  <w:szCs w:val="18"/>
                                </w:rPr>
                                <w:t>English</w:t>
                              </w:r>
                            </w:p>
                          </w:txbxContent>
                        </wps:txbx>
                        <wps:bodyPr horzOverflow="overflow" vert="horz" lIns="0" tIns="0" rIns="0" bIns="0" rtlCol="0">
                          <a:noAutofit/>
                        </wps:bodyPr>
                      </wps:wsp>
                      <wps:wsp>
                        <wps:cNvPr id="212935" name="Shape 212861"/>
                        <wps:cNvSpPr/>
                        <wps:spPr>
                          <a:xfrm>
                            <a:off x="2480813" y="2698242"/>
                            <a:ext cx="78637" cy="68577"/>
                          </a:xfrm>
                          <a:custGeom>
                            <a:avLst/>
                            <a:gdLst/>
                            <a:ahLst/>
                            <a:cxnLst/>
                            <a:rect l="0" t="0" r="0" b="0"/>
                            <a:pathLst>
                              <a:path w="70104" h="68580">
                                <a:moveTo>
                                  <a:pt x="0" y="0"/>
                                </a:moveTo>
                                <a:lnTo>
                                  <a:pt x="70104" y="0"/>
                                </a:lnTo>
                                <a:lnTo>
                                  <a:pt x="70104" y="68580"/>
                                </a:lnTo>
                                <a:lnTo>
                                  <a:pt x="0" y="68580"/>
                                </a:lnTo>
                                <a:lnTo>
                                  <a:pt x="0" y="0"/>
                                </a:lnTo>
                              </a:path>
                            </a:pathLst>
                          </a:custGeom>
                          <a:solidFill>
                            <a:srgbClr val="7A6563"/>
                          </a:solidFill>
                          <a:ln w="0" cap="flat">
                            <a:noFill/>
                            <a:round/>
                          </a:ln>
                        </wps:spPr>
                        <wps:style>
                          <a:lnRef idx="0">
                            <a:srgbClr val="000000">
                              <a:alpha val="0"/>
                            </a:srgbClr>
                          </a:lnRef>
                          <a:fillRef idx="1">
                            <a:srgbClr val="C0504D"/>
                          </a:fillRef>
                          <a:effectRef idx="0">
                            <a:scrgbClr r="0" g="0" b="0"/>
                          </a:effectRef>
                          <a:fontRef idx="none"/>
                        </wps:style>
                        <wps:bodyPr/>
                      </wps:wsp>
                      <wps:wsp>
                        <wps:cNvPr id="212936" name="Rectangle 212936"/>
                        <wps:cNvSpPr/>
                        <wps:spPr>
                          <a:xfrm>
                            <a:off x="2115530" y="2770865"/>
                            <a:ext cx="934710" cy="171356"/>
                          </a:xfrm>
                          <a:prstGeom prst="rect">
                            <a:avLst/>
                          </a:prstGeom>
                          <a:ln>
                            <a:noFill/>
                          </a:ln>
                        </wps:spPr>
                        <wps:txbx>
                          <w:txbxContent>
                            <w:p w14:paraId="6DFCA60F" w14:textId="77777777" w:rsidR="00A75A08" w:rsidRPr="00D775DD" w:rsidRDefault="00A75A08" w:rsidP="008732F5">
                              <w:pPr>
                                <w:keepNext/>
                                <w:keepLines/>
                                <w:spacing w:after="0"/>
                                <w:rPr>
                                  <w:sz w:val="18"/>
                                  <w:szCs w:val="18"/>
                                </w:rPr>
                              </w:pPr>
                              <w:r w:rsidRPr="00D775DD">
                                <w:rPr>
                                  <w:sz w:val="18"/>
                                  <w:szCs w:val="18"/>
                                </w:rPr>
                                <w:t>Social Studies</w:t>
                              </w:r>
                            </w:p>
                          </w:txbxContent>
                        </wps:txbx>
                        <wps:bodyPr horzOverflow="overflow" vert="horz" lIns="0" tIns="0" rIns="0" bIns="0" rtlCol="0">
                          <a:noAutofit/>
                        </wps:bodyPr>
                      </wps:wsp>
                      <wps:wsp>
                        <wps:cNvPr id="212937" name="Shape 212862"/>
                        <wps:cNvSpPr/>
                        <wps:spPr>
                          <a:xfrm>
                            <a:off x="3277477" y="2698209"/>
                            <a:ext cx="101098" cy="68643"/>
                          </a:xfrm>
                          <a:custGeom>
                            <a:avLst/>
                            <a:gdLst/>
                            <a:ahLst/>
                            <a:cxnLst/>
                            <a:rect l="0" t="0" r="0" b="0"/>
                            <a:pathLst>
                              <a:path w="70104" h="68580">
                                <a:moveTo>
                                  <a:pt x="0" y="0"/>
                                </a:moveTo>
                                <a:lnTo>
                                  <a:pt x="70104" y="0"/>
                                </a:lnTo>
                                <a:lnTo>
                                  <a:pt x="70104" y="68580"/>
                                </a:lnTo>
                                <a:lnTo>
                                  <a:pt x="0" y="68580"/>
                                </a:lnTo>
                                <a:lnTo>
                                  <a:pt x="0" y="0"/>
                                </a:lnTo>
                              </a:path>
                            </a:pathLst>
                          </a:custGeom>
                          <a:solidFill>
                            <a:srgbClr val="CACAAA"/>
                          </a:solidFill>
                          <a:ln w="0" cap="flat">
                            <a:noFill/>
                            <a:round/>
                          </a:ln>
                        </wps:spPr>
                        <wps:style>
                          <a:lnRef idx="0">
                            <a:srgbClr val="000000">
                              <a:alpha val="0"/>
                            </a:srgbClr>
                          </a:lnRef>
                          <a:fillRef idx="1">
                            <a:srgbClr val="9BBB59"/>
                          </a:fillRef>
                          <a:effectRef idx="0">
                            <a:scrgbClr r="0" g="0" b="0"/>
                          </a:effectRef>
                          <a:fontRef idx="none"/>
                        </wps:style>
                        <wps:bodyPr/>
                      </wps:wsp>
                      <wps:wsp>
                        <wps:cNvPr id="212938" name="Rectangle 212938"/>
                        <wps:cNvSpPr/>
                        <wps:spPr>
                          <a:xfrm>
                            <a:off x="3157860" y="2780101"/>
                            <a:ext cx="369443" cy="171356"/>
                          </a:xfrm>
                          <a:prstGeom prst="rect">
                            <a:avLst/>
                          </a:prstGeom>
                          <a:ln>
                            <a:noFill/>
                          </a:ln>
                        </wps:spPr>
                        <wps:txbx>
                          <w:txbxContent>
                            <w:p w14:paraId="6C7DADDD" w14:textId="77777777" w:rsidR="00A75A08" w:rsidRPr="00D775DD" w:rsidRDefault="00A75A08" w:rsidP="008732F5">
                              <w:pPr>
                                <w:keepNext/>
                                <w:keepLines/>
                                <w:spacing w:after="0"/>
                                <w:rPr>
                                  <w:sz w:val="18"/>
                                  <w:szCs w:val="18"/>
                                </w:rPr>
                              </w:pPr>
                              <w:r w:rsidRPr="00D775DD">
                                <w:rPr>
                                  <w:sz w:val="18"/>
                                  <w:szCs w:val="18"/>
                                </w:rPr>
                                <w:t>Math</w:t>
                              </w:r>
                            </w:p>
                          </w:txbxContent>
                        </wps:txbx>
                        <wps:bodyPr horzOverflow="overflow" vert="horz" lIns="0" tIns="0" rIns="0" bIns="0" rtlCol="0">
                          <a:noAutofit/>
                        </wps:bodyPr>
                      </wps:wsp>
                      <wps:wsp>
                        <wps:cNvPr id="212939" name="Shape 212863"/>
                        <wps:cNvSpPr/>
                        <wps:spPr>
                          <a:xfrm>
                            <a:off x="3848066" y="2698305"/>
                            <a:ext cx="95842" cy="81763"/>
                          </a:xfrm>
                          <a:custGeom>
                            <a:avLst/>
                            <a:gdLst/>
                            <a:ahLst/>
                            <a:cxnLst/>
                            <a:rect l="0" t="0" r="0" b="0"/>
                            <a:pathLst>
                              <a:path w="70104" h="68580">
                                <a:moveTo>
                                  <a:pt x="0" y="0"/>
                                </a:moveTo>
                                <a:lnTo>
                                  <a:pt x="70104" y="0"/>
                                </a:lnTo>
                                <a:lnTo>
                                  <a:pt x="70104" y="68580"/>
                                </a:lnTo>
                                <a:lnTo>
                                  <a:pt x="0" y="68580"/>
                                </a:lnTo>
                                <a:lnTo>
                                  <a:pt x="0" y="0"/>
                                </a:lnTo>
                              </a:path>
                            </a:pathLst>
                          </a:custGeom>
                          <a:solidFill>
                            <a:srgbClr val="21455B"/>
                          </a:solidFill>
                          <a:ln w="0" cap="flat">
                            <a:noFill/>
                            <a:round/>
                          </a:ln>
                        </wps:spPr>
                        <wps:style>
                          <a:lnRef idx="0">
                            <a:srgbClr val="000000">
                              <a:alpha val="0"/>
                            </a:srgbClr>
                          </a:lnRef>
                          <a:fillRef idx="1">
                            <a:srgbClr val="8064A2"/>
                          </a:fillRef>
                          <a:effectRef idx="0">
                            <a:scrgbClr r="0" g="0" b="0"/>
                          </a:effectRef>
                          <a:fontRef idx="none"/>
                        </wps:style>
                        <wps:bodyPr/>
                      </wps:wsp>
                      <wps:wsp>
                        <wps:cNvPr id="212940" name="Rectangle 212940"/>
                        <wps:cNvSpPr/>
                        <wps:spPr>
                          <a:xfrm>
                            <a:off x="3674252" y="2780068"/>
                            <a:ext cx="515470" cy="171356"/>
                          </a:xfrm>
                          <a:prstGeom prst="rect">
                            <a:avLst/>
                          </a:prstGeom>
                          <a:ln>
                            <a:noFill/>
                          </a:ln>
                        </wps:spPr>
                        <wps:txbx>
                          <w:txbxContent>
                            <w:p w14:paraId="5C97F54B" w14:textId="77777777" w:rsidR="00A75A08" w:rsidRPr="00D775DD" w:rsidRDefault="00A75A08" w:rsidP="008732F5">
                              <w:pPr>
                                <w:keepNext/>
                                <w:keepLines/>
                                <w:spacing w:after="0"/>
                                <w:rPr>
                                  <w:sz w:val="18"/>
                                  <w:szCs w:val="18"/>
                                </w:rPr>
                              </w:pPr>
                              <w:r w:rsidRPr="00D775DD">
                                <w:rPr>
                                  <w:sz w:val="18"/>
                                  <w:szCs w:val="18"/>
                                </w:rPr>
                                <w:t>Science</w:t>
                              </w:r>
                            </w:p>
                          </w:txbxContent>
                        </wps:txbx>
                        <wps:bodyPr horzOverflow="overflow" vert="horz" lIns="0" tIns="0" rIns="0" bIns="0" rtlCol="0">
                          <a:noAutofit/>
                        </wps:bodyPr>
                      </wps:wsp>
                      <wps:wsp>
                        <wps:cNvPr id="212941" name="Shape 9277"/>
                        <wps:cNvSpPr/>
                        <wps:spPr>
                          <a:xfrm>
                            <a:off x="0" y="0"/>
                            <a:ext cx="5735955" cy="3018446"/>
                          </a:xfrm>
                          <a:custGeom>
                            <a:avLst/>
                            <a:gdLst/>
                            <a:ahLst/>
                            <a:cxnLst/>
                            <a:rect l="0" t="0" r="0" b="0"/>
                            <a:pathLst>
                              <a:path w="5735955" h="2924175">
                                <a:moveTo>
                                  <a:pt x="0" y="2924175"/>
                                </a:moveTo>
                                <a:lnTo>
                                  <a:pt x="5735955" y="2924175"/>
                                </a:lnTo>
                                <a:lnTo>
                                  <a:pt x="5735955" y="0"/>
                                </a:lnTo>
                                <a:lnTo>
                                  <a:pt x="0" y="0"/>
                                </a:lnTo>
                                <a:close/>
                              </a:path>
                            </a:pathLst>
                          </a:custGeom>
                          <a:ln w="9525" cap="flat">
                            <a:noFill/>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w14:anchorId="4BA72113" id="Group 202231" o:spid="_x0000_s1028" style="width:458.45pt;height:187pt;mso-position-horizontal-relative:char;mso-position-vertical-relative:line" coordsize="57359,3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">
                <v:shape id="Shape 212820" o:spid="_x0000_s1029" style="position:absolute;left:40874;top:20582;width:961;height:1646;visibility:visible;mso-wrap-style:square;v-text-anchor:top" coordsize="96012,16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" path="m,l96012,r,164592l,164592,,e" fillcolor="#de6e4b" stroked="f" strokeweight="0">
                  <v:path arrowok="t" textboxrect="0,0,96012,164592"/>
                </v:shape>
                <v:shape id="Shape 212821" o:spid="_x0000_s1030" style="position:absolute;left:35617;top:19912;width:960;height:2316;visibility:visible;mso-wrap-style:square;v-text-anchor:top" coordsize="96012,23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" path="m,l96012,r,231648l,231648,,e" fillcolor="#de6e4b" stroked="f" strokeweight="0">
                  <v:path arrowok="t" textboxrect="0,0,96012,231648"/>
                </v:shape>
                <v:shape id="Shape 212822" o:spid="_x0000_s1031" style="position:absolute;left:30344;top:18571;width:960;height:3657;visibility:visible;mso-wrap-style:square;v-text-anchor:top" coordsize="96012,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" path="m,l96012,r,365760l,365760,,e" fillcolor="#de6e4b" stroked="f" strokeweight="0">
                  <v:path arrowok="t" textboxrect="0,0,96012,365760"/>
                </v:shape>
                <v:shape id="Shape 212823" o:spid="_x0000_s1032" style="position:absolute;left:46147;top:18540;width:961;height:3688;visibility:visible;mso-wrap-style:square;v-text-anchor:top" coordsize="96012,36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" path="m,l96012,r,368808l,368808,,e" fillcolor="#de6e4b" stroked="f" strokeweight="0">
                  <v:path arrowok="t" textboxrect="0,0,96012,368808"/>
                </v:shape>
                <v:shape id="Shape 212824" o:spid="_x0000_s1033" style="position:absolute;left:19813;top:15279;width:960;height:6949;visibility:visible;mso-wrap-style:square;v-text-anchor:top" coordsize="96012,69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" path="m,l96012,r,694944l,694944,,e" fillcolor="#de6e4b" stroked="f" strokeweight="0">
                  <v:path arrowok="t" textboxrect="0,0,96012,694944"/>
                </v:shape>
                <v:shape id="Shape 212825" o:spid="_x0000_s1034" style="position:absolute;left:14540;top:15081;width:960;height:7147;visibility:visible;mso-wrap-style:square;v-text-anchor:top" coordsize="96012,7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" path="m,l96012,r,714756l,714756,,e" fillcolor="#de6e4b" stroked="f" strokeweight="0">
                  <v:path arrowok="t" textboxrect="0,0,96012,714756"/>
                </v:shape>
                <v:shape id="Shape 212826" o:spid="_x0000_s1035" style="position:absolute;left:9282;top:13069;width:960;height:9159;visibility:visible;mso-wrap-style:square;v-text-anchor:top" coordsize="96012,91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" path="m,l96012,r,915924l,915924,,e" fillcolor="#de6e4b" stroked="f" strokeweight="0">
                  <v:path arrowok="t" textboxrect="0,0,96012,915924"/>
                </v:shape>
                <v:shape id="Shape 212827" o:spid="_x0000_s1036" style="position:absolute;left:51421;top:12780;width:944;height:9448;visibility:visible;mso-wrap-style:square;v-text-anchor:top" coordsize="94488,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" path="m,l94488,r,944880l,944880,,e" fillcolor="#de6e4b" stroked="f" strokeweight="0">
                  <v:path arrowok="t" textboxrect="0,0,94488,944880"/>
                </v:shape>
                <v:shape id="Shape 212828" o:spid="_x0000_s1037" style="position:absolute;left:4009;top:10509;width:960;height:11719;visibility:visible;mso-wrap-style:square;v-text-anchor:top" coordsize="96012,117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" path="m,l96012,r,1171956l,1171956,,e" fillcolor="#de6e4b" stroked="f" strokeweight="0">
                  <v:path arrowok="t" textboxrect="0,0,96012,1171956"/>
                </v:shape>
                <v:shape id="Shape 212829" o:spid="_x0000_s1038" style="position:absolute;left:25086;top:4001;width:945;height:18227;visibility:visible;mso-wrap-style:square;v-text-anchor:top" coordsize="94488,1822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" path="m,l94488,r,1822704l,1822704,,e" fillcolor="#de6e4b" stroked="f" strokeweight="0">
                  <v:path arrowok="t" textboxrect="0,0,94488,1822704"/>
                </v:shape>
                <v:shape id="Shape 212830" o:spid="_x0000_s1039" style="position:absolute;left:36577;top:19500;width:945;height:2728;visibility:visible;mso-wrap-style:square;v-text-anchor:top" coordsize="94488,272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" path="m,l94488,r,272796l,272796,,e" fillcolor="#7a6563" stroked="f" strokeweight="0">
                  <v:path arrowok="t" textboxrect="0,0,94488,272796"/>
                </v:shape>
                <v:shape id="Shape 212831" o:spid="_x0000_s1040" style="position:absolute;left:41835;top:19348;width:960;height:2880;visibility:visible;mso-wrap-style:square;v-text-anchor:top" coordsize="96012,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" path="m,l96012,r,288036l,288036,,e" fillcolor="#7a6563" stroked="f" strokeweight="0">
                  <v:path arrowok="t" textboxrect="0,0,96012,288036"/>
                </v:shape>
                <v:shape id="Shape 212832" o:spid="_x0000_s1041" style="position:absolute;left:31304;top:18083;width:960;height:4145;visibility:visible;mso-wrap-style:square;v-text-anchor:top" coordsize="96012,41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" path="m,l96012,r,414527l,414527,,e" fillcolor="#7a6563" stroked="f" strokeweight="0">
                  <v:path arrowok="t" textboxrect="0,0,96012,414527"/>
                </v:shape>
                <v:shape id="Shape 212833" o:spid="_x0000_s1042" style="position:absolute;left:47108;top:17031;width:960;height:5197;visibility:visible;mso-wrap-style:square;v-text-anchor:top" coordsize="96012,519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" path="m,l96012,r,519684l,519684,,e" fillcolor="#7a6563" stroked="f" strokeweight="0">
                  <v:path arrowok="t" textboxrect="0,0,96012,519684"/>
                </v:shape>
                <v:shape id="Shape 212834" o:spid="_x0000_s1043" style="position:absolute;left:20773;top:14593;width:960;height:7635;visibility:visible;mso-wrap-style:square;v-text-anchor:top" coordsize="96012,76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" path="m,l96012,r,763524l,763524,,e" fillcolor="#7a6563" stroked="f" strokeweight="0">
                  <v:path arrowok="t" textboxrect="0,0,96012,763524"/>
                </v:shape>
                <v:shape id="Shape 212835" o:spid="_x0000_s1044" style="position:absolute;left:15500;top:14517;width:960;height:7711;visibility:visible;mso-wrap-style:square;v-text-anchor:top" coordsize="96012,77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" path="m,l96012,r,771144l,771144,,e" fillcolor="#7a6563" stroked="f" strokeweight="0">
                  <v:path arrowok="t" textboxrect="0,0,96012,771144"/>
                </v:shape>
                <v:shape id="Shape 212836" o:spid="_x0000_s1045" style="position:absolute;left:10242;top:13526;width:945;height:8702;visibility:visible;mso-wrap-style:square;v-text-anchor:top" coordsize="94488,87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" path="m,l94488,r,870204l,870204,,e" fillcolor="#7a6563" stroked="f" strokeweight="0">
                  <v:path arrowok="t" textboxrect="0,0,94488,870204"/>
                </v:shape>
                <v:shape id="Shape 212837" o:spid="_x0000_s1046" style="position:absolute;left:52365;top:13282;width:961;height:8946;visibility:visible;mso-wrap-style:square;v-text-anchor:top" coordsize="96012,89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" path="m,l96012,r,894588l,894588,,e" fillcolor="#7a6563" stroked="f" strokeweight="0">
                  <v:path arrowok="t" textboxrect="0,0,96012,894588"/>
                </v:shape>
                <v:shape id="Shape 212838" o:spid="_x0000_s1047" style="position:absolute;left:4969;top:10737;width:960;height:11491;visibility:visible;mso-wrap-style:square;v-text-anchor:top" coordsize="96012,114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" path="m,l96012,r,1149096l,1149096,,e" fillcolor="#7a6563" stroked="f" strokeweight="0">
                  <v:path arrowok="t" textboxrect="0,0,96012,1149096"/>
                </v:shape>
                <v:shape id="Shape 212839" o:spid="_x0000_s1048" style="position:absolute;left:26031;top:7491;width:960;height:14737;visibility:visible;mso-wrap-style:square;v-text-anchor:top" coordsize="96012,14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" path="m,l96012,r,1473708l,1473708,,e" fillcolor="#7a6563" stroked="f" strokeweight="0">
                  <v:path arrowok="t" textboxrect="0,0,96012,1473708"/>
                </v:shape>
                <v:shape id="Shape 212840" o:spid="_x0000_s1049" style="position:absolute;left:42795;top:20415;width:960;height:1813;visibility:visible;mso-wrap-style:square;v-text-anchor:top" coordsize="96012,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" path="m,l96012,r,181356l,181356,,e" fillcolor="#cacaaa" stroked="f" strokeweight="0">
                  <v:path arrowok="t" textboxrect="0,0,96012,181356"/>
                </v:shape>
                <v:shape id="Shape 212841" o:spid="_x0000_s1050" style="position:absolute;left:37522;top:19561;width:960;height:2667;visibility:visible;mso-wrap-style:square;v-text-anchor:top" coordsize="96012,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" path="m,l96012,r,266700l,266700,,e" fillcolor="#cacaaa" stroked="f" strokeweight="0">
                  <v:path arrowok="t" textboxrect="0,0,96012,266700"/>
                </v:shape>
                <v:shape id="Shape 212842" o:spid="_x0000_s1051" style="position:absolute;left:32264;top:18479;width:960;height:3749;visibility:visible;mso-wrap-style:square;v-text-anchor:top" coordsize="96012,37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" path="m,l96012,r,374903l,374903,,e" fillcolor="#cacaaa" stroked="f" strokeweight="0">
                  <v:path arrowok="t" textboxrect="0,0,96012,374903"/>
                </v:shape>
                <v:shape id="Shape 212843" o:spid="_x0000_s1052" style="position:absolute;left:48068;top:17809;width:960;height:4419;visibility:visible;mso-wrap-style:square;v-text-anchor:top" coordsize="96012,44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" path="m,l96012,r,441960l,441960,,e" fillcolor="#cacaaa" stroked="f" strokeweight="0">
                  <v:path arrowok="t" textboxrect="0,0,96012,441960"/>
                </v:shape>
                <v:shape id="Shape 212844" o:spid="_x0000_s1053" style="position:absolute;left:21733;top:15279;width:945;height:6949;visibility:visible;mso-wrap-style:square;v-text-anchor:top" coordsize="94488,69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" path="m,l94488,r,694944l,694944,,e" fillcolor="#cacaaa" stroked="f" strokeweight="0">
                  <v:path arrowok="t" textboxrect="0,0,94488,694944"/>
                </v:shape>
                <v:shape id="Shape 212845" o:spid="_x0000_s1054" style="position:absolute;left:16460;top:14822;width:960;height:7406;visibility:visible;mso-wrap-style:square;v-text-anchor:top" coordsize="96012,74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" path="m,l96012,r,740664l,740664,,e" fillcolor="#cacaaa" stroked="f" strokeweight="0">
                  <v:path arrowok="t" textboxrect="0,0,96012,740664"/>
                </v:shape>
                <v:shape id="Shape 212846" o:spid="_x0000_s1055" style="position:absolute;left:53326;top:11408;width:960;height:10820;visibility:visible;mso-wrap-style:square;v-text-anchor:top" coordsize="96012,108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" path="m,l96012,r,1082039l,1082039,,e" fillcolor="#cacaaa" stroked="f" strokeweight="0">
                  <v:path arrowok="t" textboxrect="0,0,96012,1082039"/>
                </v:shape>
                <v:shape id="Shape 212847" o:spid="_x0000_s1056" style="position:absolute;left:11187;top:9610;width:960;height:12618;visibility:visible;mso-wrap-style:square;v-text-anchor:top" coordsize="96012,126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" path="m,l96012,r,1261872l,1261872,,e" fillcolor="#cacaaa" stroked="f" strokeweight="0">
                  <v:path arrowok="t" textboxrect="0,0,96012,1261872"/>
                </v:shape>
                <v:shape id="Shape 212848" o:spid="_x0000_s1057" style="position:absolute;left:5929;top:9091;width:960;height:13137;visibility:visible;mso-wrap-style:square;v-text-anchor:top" coordsize="96012,131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" path="m,l96012,r,1313688l,1313688,,e" fillcolor="#cacaaa" stroked="f" strokeweight="0">
                  <v:path arrowok="t" textboxrect="0,0,96012,1313688"/>
                </v:shape>
                <v:shape id="Shape 212849" o:spid="_x0000_s1058" style="position:absolute;left:26991;top:6805;width:960;height:15423;visibility:visible;mso-wrap-style:square;v-text-anchor:top" coordsize="96012,154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" path="m,l96012,r,1542288l,1542288,,e" fillcolor="#cacaaa" stroked="f" strokeweight="0">
                  <v:path arrowok="t" textboxrect="0,0,96012,1542288"/>
                </v:shape>
                <v:shape id="Shape 212850" o:spid="_x0000_s1059" style="position:absolute;left:43755;top:19424;width:960;height:2804;visibility:visible;mso-wrap-style:square;v-text-anchor:top" coordsize="96012,2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" path="m,l96012,r,280415l,280415,,e" fillcolor="#21455b" stroked="f" strokeweight="0">
                  <v:path arrowok="t" textboxrect="0,0,96012,280415"/>
                </v:shape>
                <v:shape id="Shape 212851" o:spid="_x0000_s1060" style="position:absolute;left:38482;top:18647;width:960;height:3581;visibility:visible;mso-wrap-style:square;v-text-anchor:top" coordsize="96012,35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" path="m,l96012,r,358139l,358139,,e" fillcolor="#21455b" stroked="f" strokeweight="0">
                  <v:path arrowok="t" textboxrect="0,0,96012,358139"/>
                </v:shape>
                <v:shape id="Shape 212852" o:spid="_x0000_s1061" style="position:absolute;left:33224;top:18601;width:960;height:3627;visibility:visible;mso-wrap-style:square;v-text-anchor:top" coordsize="96012,36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" path="m,l96012,r,362712l,362712,,e" fillcolor="#21455b" stroked="f" strokeweight="0">
                  <v:path arrowok="t" textboxrect="0,0,96012,362712"/>
                </v:shape>
                <v:shape id="Shape 212853" o:spid="_x0000_s1062" style="position:absolute;left:49028;top:17595;width:945;height:4633;visibility:visible;mso-wrap-style:square;v-text-anchor:top" coordsize="94488,46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" path="m,l94488,r,463296l,463296,,e" fillcolor="#21455b" stroked="f" strokeweight="0">
                  <v:path arrowok="t" textboxrect="0,0,94488,463296"/>
                </v:shape>
                <v:shape id="Shape 212854" o:spid="_x0000_s1063" style="position:absolute;left:22678;top:15401;width:960;height:6827;visibility:visible;mso-wrap-style:square;v-text-anchor:top" coordsize="96012,68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" path="m,l96012,r,682752l,682752,,e" fillcolor="#21455b" stroked="f" strokeweight="0">
                  <v:path arrowok="t" textboxrect="0,0,96012,682752"/>
                </v:shape>
                <v:shape id="Shape 212855" o:spid="_x0000_s1064" style="position:absolute;left:17420;top:14745;width:960;height:7483;visibility:visible;mso-wrap-style:square;v-text-anchor:top" coordsize="96012,74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" path="m,l96012,r,748284l,748284,,e" fillcolor="#21455b" stroked="f" strokeweight="0">
                  <v:path arrowok="t" textboxrect="0,0,96012,748284"/>
                </v:shape>
                <v:shape id="Shape 212856" o:spid="_x0000_s1065" style="position:absolute;left:12147;top:12871;width:960;height:9357;visibility:visible;mso-wrap-style:square;v-text-anchor:top" coordsize="96012,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" path="m,l96012,r,935736l,935736,,e" fillcolor="#21455b" stroked="f" strokeweight="0">
                  <v:path arrowok="t" textboxrect="0,0,96012,935736"/>
                </v:shape>
                <v:shape id="Shape 212857" o:spid="_x0000_s1066" style="position:absolute;left:54286;top:12170;width:960;height:10058;visibility:visible;mso-wrap-style:square;v-text-anchor:top" coordsize="96012,100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" path="m,l96012,r,1005839l,1005839,,e" fillcolor="#21455b" stroked="f" strokeweight="0">
                  <v:path arrowok="t" textboxrect="0,0,96012,1005839"/>
                </v:shape>
                <v:shape id="Shape 212858" o:spid="_x0000_s1067" style="position:absolute;left:6889;top:10280;width:945;height:11948;visibility:visible;mso-wrap-style:square;v-text-anchor:top" coordsize="94488,119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" path="m,l94488,r,1194816l,1194816,,e" fillcolor="#21455b" stroked="f" strokeweight="0">
                  <v:path arrowok="t" textboxrect="0,0,94488,1194816"/>
                </v:shape>
                <v:shape id="Shape 212859" o:spid="_x0000_s1068" style="position:absolute;left:27951;top:6485;width:960;height:15743;visibility:visible;mso-wrap-style:square;v-text-anchor:top" coordsize="96012,157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" path="m,l96012,r,1574292l,1574292,,e" fillcolor="#21455b" stroked="f" strokeweight="0">
                  <v:path arrowok="t" textboxrect="0,0,96012,1574292"/>
                </v:shape>
                <v:shape id="Shape 9221" o:spid="_x0000_s1069" style="position:absolute;left:3293;top:1410;width:0;height:20818;visibility:visible;mso-wrap-style:square;v-text-anchor:top" coordsize="0,208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" path="m,2081784l,e" filled="f" stroked="f" strokeweight=".72pt">
                  <v:path arrowok="t" textboxrect="0,0,0,2081784"/>
                </v:shape>
                <v:shape id="Shape 9222" o:spid="_x0000_s1070" style="position:absolute;left:2896;top:22228;width:397;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" path="m,l39624,e" filled="f" stroked="f" strokeweight=".72pt">
                  <v:path arrowok="t" textboxrect="0,0,39624,0"/>
                </v:shape>
                <v:shape id="Shape 9223" o:spid="_x0000_s1071" style="position:absolute;left:2896;top:20140;width:397;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" path="m,l39624,e" filled="f" stroked="f" strokeweight=".72pt">
                  <v:path arrowok="t" textboxrect="0,0,39624,0"/>
                </v:shape>
                <v:shape id="Shape 9224" o:spid="_x0000_s1072" style="position:absolute;left:2896;top:18068;width:397;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" path="m,l39624,e" filled="f" stroked="f" strokeweight=".72pt">
                  <v:path arrowok="t" textboxrect="0,0,39624,0"/>
                </v:shape>
                <v:shape id="Shape 9225" o:spid="_x0000_s1073" style="position:absolute;left:2896;top:15980;width:397;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" path="m,l39624,e" filled="f" stroked="f" strokeweight=".72pt">
                  <v:path arrowok="t" textboxrect="0,0,39624,0"/>
                </v:shape>
                <v:shape id="Shape 9226" o:spid="_x0000_s1074" style="position:absolute;left:2896;top:13892;width:397;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" path="m,l39624,e" filled="f" stroked="f" strokeweight=".72pt">
                  <v:path arrowok="t" textboxrect="0,0,39624,0"/>
                </v:shape>
                <v:shape id="Shape 9227" o:spid="_x0000_s1075" style="position:absolute;left:2896;top:11819;width:397;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" path="m,l39624,e" filled="f" stroked="f" strokeweight=".72pt">
                  <v:path arrowok="t" textboxrect="0,0,39624,0"/>
                </v:shape>
                <v:shape id="Shape 9228" o:spid="_x0000_s1076" style="position:absolute;left:2896;top:9732;width:397;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" path="m,l39624,e" filled="f" stroked="f" strokeweight=".72pt">
                  <v:path arrowok="t" textboxrect="0,0,39624,0"/>
                </v:shape>
                <v:shape id="Shape 9229" o:spid="_x0000_s1077" style="position:absolute;left:2896;top:7644;width:397;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" path="m,l39624,e" filled="f" stroked="f" strokeweight=".72pt">
                  <v:path arrowok="t" textboxrect="0,0,39624,0"/>
                </v:shape>
                <v:shape id="Shape 9230" o:spid="_x0000_s1078" style="position:absolute;left:2896;top:5571;width:397;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" path="m,l39624,e" filled="f" stroked="f" strokeweight=".72pt">
                  <v:path arrowok="t" textboxrect="0,0,39624,0"/>
                </v:shape>
                <v:shape id="Shape 9231" o:spid="_x0000_s1079" style="position:absolute;left:2896;top:3483;width:397;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" path="m,l39624,e" filled="f" stroked="f" strokeweight=".72pt">
                  <v:path arrowok="t" textboxrect="0,0,39624,0"/>
                </v:shape>
                <v:shape id="Shape 9232" o:spid="_x0000_s1080" style="position:absolute;left:2896;top:1410;width:397;height:0;visibility:visible;mso-wrap-style:square;v-text-anchor:top" coordsize="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" path="m,l39624,e" filled="f" stroked="f" strokeweight=".72pt">
                  <v:path arrowok="t" textboxrect="0,0,39624,0"/>
                </v:shape>
                <v:shape id="Shape 9233" o:spid="_x0000_s1081" style="position:absolute;left:3293;top:22228;width:52669;height:0;visibility:visible;mso-wrap-style:square;v-text-anchor:top" coordsize="5266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" path="m,l5266944,e" filled="f" stroked="f" strokeweight=".72pt">
                  <v:path arrowok="t" textboxrect="0,0,5266944,0"/>
                </v:shape>
                <v:shape id="Shape 9234" o:spid="_x0000_s1082" style="position:absolute;left:3293;top:2222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" path="m,l,32004e" filled="f" stroked="f" strokeweight=".72pt">
                  <v:path arrowok="t" textboxrect="0,0,0,32004"/>
                </v:shape>
                <v:shape id="Shape 9235" o:spid="_x0000_s1083" style="position:absolute;left:8566;top:2222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" path="m,l,32004e" filled="f" stroked="f" strokeweight=".72pt">
                  <v:path arrowok="t" textboxrect="0,0,0,32004"/>
                </v:shape>
                <v:shape id="Shape 9236" o:spid="_x0000_s1084" style="position:absolute;left:13823;top:2222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" path="m,l,32004e" filled="f" stroked="f" strokeweight=".72pt">
                  <v:path arrowok="t" textboxrect="0,0,0,32004"/>
                </v:shape>
                <v:shape id="Shape 9237" o:spid="_x0000_s1085" style="position:absolute;left:19096;top:2222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" path="m,l,32004e" filled="f" stroked="f" strokeweight=".72pt">
                  <v:path arrowok="t" textboxrect="0,0,0,32004"/>
                </v:shape>
                <v:shape id="Shape 9238" o:spid="_x0000_s1086" style="position:absolute;left:24354;top:2222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" path="m,l,32004e" filled="f" stroked="f" strokeweight=".72pt">
                  <v:path arrowok="t" textboxrect="0,0,0,32004"/>
                </v:shape>
                <v:shape id="Shape 9239" o:spid="_x0000_s1087" style="position:absolute;left:29627;top:2222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" path="m,l,32004e" filled="f" stroked="f" strokeweight=".72pt">
                  <v:path arrowok="t" textboxrect="0,0,0,32004"/>
                </v:shape>
                <v:shape id="Shape 9240" o:spid="_x0000_s1088" style="position:absolute;left:34900;top:2222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" path="m,l,32004e" filled="f" stroked="f" strokeweight=".72pt">
                  <v:path arrowok="t" textboxrect="0,0,0,32004"/>
                </v:shape>
                <v:shape id="Shape 9241" o:spid="_x0000_s1089" style="position:absolute;left:40158;top:2222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" path="m,l,32004e" filled="f" stroked="f" strokeweight=".72pt">
                  <v:path arrowok="t" textboxrect="0,0,0,32004"/>
                </v:shape>
                <v:shape id="Shape 9242" o:spid="_x0000_s1090" style="position:absolute;left:45431;top:2222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" path="m,l,32004e" filled="f" stroked="f" strokeweight=".72pt">
                  <v:path arrowok="t" textboxrect="0,0,0,32004"/>
                </v:shape>
                <v:shape id="Shape 9243" o:spid="_x0000_s1091" style="position:absolute;left:50689;top:2222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" path="m,l,32004e" filled="f" stroked="f" strokeweight=".72pt">
                  <v:path arrowok="t" textboxrect="0,0,0,32004"/>
                </v:shape>
                <v:shape id="Shape 9244" o:spid="_x0000_s1092" style="position:absolute;left:55962;top:22228;width:0;height:320;visibility:visible;mso-wrap-style:square;v-text-anchor:top" coordsize="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" path="m,l,32004e" filled="f" stroked="f" strokeweight=".72pt">
                  <v:path arrowok="t" textboxrect="0,0,0,32004"/>
                </v:shape>
                <v:rect id="Rectangle 212909" o:spid="_x0000_s1093" style="position:absolute;left:1470;top:21648;width:85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" filled="f" stroked="f">
                  <v:textbox inset="0,0,0,0">
                    <w:txbxContent>
                      <w:p w14:paraId="7116CE8E" w14:textId="77777777" w:rsidR="00A75A08" w:rsidRPr="00D775DD" w:rsidRDefault="00A75A08" w:rsidP="008732F5">
                        <w:pPr>
                          <w:keepNext/>
                          <w:keepLines/>
                          <w:spacing w:after="0"/>
                          <w:rPr>
                            <w:sz w:val="18"/>
                            <w:szCs w:val="18"/>
                          </w:rPr>
                        </w:pPr>
                        <w:r w:rsidRPr="00D775DD">
                          <w:rPr>
                            <w:sz w:val="18"/>
                            <w:szCs w:val="18"/>
                          </w:rPr>
                          <w:t>0</w:t>
                        </w:r>
                      </w:p>
                    </w:txbxContent>
                  </v:textbox>
                </v:rect>
                <v:rect id="Rectangle 212910" o:spid="_x0000_s1094" style="position:absolute;left:1470;top:19566;width:8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" filled="f" stroked="f">
                  <v:textbox inset="0,0,0,0">
                    <w:txbxContent>
                      <w:p w14:paraId="605D3DBF" w14:textId="77777777" w:rsidR="00A75A08" w:rsidRPr="00D775DD" w:rsidRDefault="00A75A08" w:rsidP="008732F5">
                        <w:pPr>
                          <w:keepNext/>
                          <w:keepLines/>
                          <w:spacing w:after="0"/>
                          <w:rPr>
                            <w:sz w:val="18"/>
                            <w:szCs w:val="18"/>
                          </w:rPr>
                        </w:pPr>
                        <w:r w:rsidRPr="00D775DD">
                          <w:rPr>
                            <w:sz w:val="18"/>
                            <w:szCs w:val="18"/>
                          </w:rPr>
                          <w:t>5</w:t>
                        </w:r>
                      </w:p>
                    </w:txbxContent>
                  </v:textbox>
                </v:rect>
                <v:rect id="Rectangle 212911" o:spid="_x0000_s1095" style="position:absolute;left:827;top:17485;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" filled="f" stroked="f">
                  <v:textbox inset="0,0,0,0">
                    <w:txbxContent>
                      <w:p w14:paraId="2523682E" w14:textId="77777777" w:rsidR="00A75A08" w:rsidRPr="00D775DD" w:rsidRDefault="00A75A08" w:rsidP="008732F5">
                        <w:pPr>
                          <w:keepNext/>
                          <w:keepLines/>
                          <w:spacing w:after="0"/>
                          <w:rPr>
                            <w:sz w:val="18"/>
                            <w:szCs w:val="18"/>
                          </w:rPr>
                        </w:pPr>
                        <w:r w:rsidRPr="00D775DD">
                          <w:rPr>
                            <w:sz w:val="18"/>
                            <w:szCs w:val="18"/>
                          </w:rPr>
                          <w:t>10</w:t>
                        </w:r>
                      </w:p>
                    </w:txbxContent>
                  </v:textbox>
                </v:rect>
                <v:rect id="Rectangle 212912" o:spid="_x0000_s1096" style="position:absolute;left:827;top:15400;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" filled="f" stroked="f">
                  <v:textbox inset="0,0,0,0">
                    <w:txbxContent>
                      <w:p w14:paraId="439266D8" w14:textId="77777777" w:rsidR="00A75A08" w:rsidRPr="00D775DD" w:rsidRDefault="00A75A08" w:rsidP="008732F5">
                        <w:pPr>
                          <w:keepNext/>
                          <w:keepLines/>
                          <w:spacing w:after="0"/>
                          <w:rPr>
                            <w:sz w:val="18"/>
                            <w:szCs w:val="18"/>
                          </w:rPr>
                        </w:pPr>
                        <w:r w:rsidRPr="00D775DD">
                          <w:rPr>
                            <w:sz w:val="18"/>
                            <w:szCs w:val="18"/>
                          </w:rPr>
                          <w:t>15</w:t>
                        </w:r>
                      </w:p>
                    </w:txbxContent>
                  </v:textbox>
                </v:rect>
                <v:rect id="Rectangle 212913" o:spid="_x0000_s1097" style="position:absolute;left:827;top:13318;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" filled="f" stroked="f">
                  <v:textbox inset="0,0,0,0">
                    <w:txbxContent>
                      <w:p w14:paraId="6DAE9B06" w14:textId="77777777" w:rsidR="00A75A08" w:rsidRPr="00D775DD" w:rsidRDefault="00A75A08" w:rsidP="008732F5">
                        <w:pPr>
                          <w:keepNext/>
                          <w:keepLines/>
                          <w:spacing w:after="0"/>
                          <w:rPr>
                            <w:sz w:val="18"/>
                            <w:szCs w:val="18"/>
                          </w:rPr>
                        </w:pPr>
                        <w:r w:rsidRPr="00D775DD">
                          <w:rPr>
                            <w:sz w:val="18"/>
                            <w:szCs w:val="18"/>
                          </w:rPr>
                          <w:t>20</w:t>
                        </w:r>
                      </w:p>
                    </w:txbxContent>
                  </v:textbox>
                </v:rect>
                <v:rect id="Rectangle 212914" o:spid="_x0000_s1098" style="position:absolute;left:827;top:11236;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" filled="f" stroked="f">
                  <v:textbox inset="0,0,0,0">
                    <w:txbxContent>
                      <w:p w14:paraId="29FE0BEC" w14:textId="77777777" w:rsidR="00A75A08" w:rsidRPr="00D775DD" w:rsidRDefault="00A75A08" w:rsidP="008732F5">
                        <w:pPr>
                          <w:keepNext/>
                          <w:keepLines/>
                          <w:spacing w:after="0"/>
                          <w:rPr>
                            <w:sz w:val="18"/>
                            <w:szCs w:val="18"/>
                          </w:rPr>
                        </w:pPr>
                        <w:r w:rsidRPr="00D775DD">
                          <w:rPr>
                            <w:sz w:val="18"/>
                            <w:szCs w:val="18"/>
                          </w:rPr>
                          <w:t>25</w:t>
                        </w:r>
                      </w:p>
                    </w:txbxContent>
                  </v:textbox>
                </v:rect>
                <v:rect id="Rectangle 212915" o:spid="_x0000_s1099" style="position:absolute;left:827;top:9155;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" filled="f" stroked="f">
                  <v:textbox inset="0,0,0,0">
                    <w:txbxContent>
                      <w:p w14:paraId="5A561166" w14:textId="77777777" w:rsidR="00A75A08" w:rsidRPr="00D775DD" w:rsidRDefault="00A75A08" w:rsidP="008732F5">
                        <w:pPr>
                          <w:keepNext/>
                          <w:keepLines/>
                          <w:spacing w:after="0"/>
                          <w:rPr>
                            <w:sz w:val="18"/>
                            <w:szCs w:val="18"/>
                          </w:rPr>
                        </w:pPr>
                        <w:r w:rsidRPr="00D775DD">
                          <w:rPr>
                            <w:sz w:val="18"/>
                            <w:szCs w:val="18"/>
                          </w:rPr>
                          <w:t>30</w:t>
                        </w:r>
                      </w:p>
                    </w:txbxContent>
                  </v:textbox>
                </v:rect>
                <v:rect id="Rectangle 212916" o:spid="_x0000_s1100" style="position:absolute;left:827;top:7070;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" filled="f" stroked="f">
                  <v:textbox inset="0,0,0,0">
                    <w:txbxContent>
                      <w:p w14:paraId="4B14D906" w14:textId="77777777" w:rsidR="00A75A08" w:rsidRPr="00D775DD" w:rsidRDefault="00A75A08" w:rsidP="008732F5">
                        <w:pPr>
                          <w:keepNext/>
                          <w:keepLines/>
                          <w:spacing w:after="0"/>
                          <w:rPr>
                            <w:sz w:val="18"/>
                            <w:szCs w:val="18"/>
                          </w:rPr>
                        </w:pPr>
                        <w:r w:rsidRPr="00D775DD">
                          <w:rPr>
                            <w:sz w:val="18"/>
                            <w:szCs w:val="18"/>
                          </w:rPr>
                          <w:t>35</w:t>
                        </w:r>
                      </w:p>
                    </w:txbxContent>
                  </v:textbox>
                </v:rect>
                <v:rect id="Rectangle 212917" o:spid="_x0000_s1101" style="position:absolute;left:827;top:4988;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" filled="f" stroked="f">
                  <v:textbox inset="0,0,0,0">
                    <w:txbxContent>
                      <w:p w14:paraId="3850904A" w14:textId="77777777" w:rsidR="00A75A08" w:rsidRPr="00D775DD" w:rsidRDefault="00A75A08" w:rsidP="008732F5">
                        <w:pPr>
                          <w:keepNext/>
                          <w:keepLines/>
                          <w:spacing w:after="0"/>
                          <w:rPr>
                            <w:sz w:val="18"/>
                            <w:szCs w:val="18"/>
                          </w:rPr>
                        </w:pPr>
                        <w:r w:rsidRPr="00D775DD">
                          <w:rPr>
                            <w:sz w:val="18"/>
                            <w:szCs w:val="18"/>
                          </w:rPr>
                          <w:t>40</w:t>
                        </w:r>
                      </w:p>
                    </w:txbxContent>
                  </v:textbox>
                </v:rect>
                <v:rect id="Rectangle 212918" o:spid="_x0000_s1102" style="position:absolute;left:827;top:2907;width:17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" filled="f" stroked="f">
                  <v:textbox inset="0,0,0,0">
                    <w:txbxContent>
                      <w:p w14:paraId="22FD4005" w14:textId="77777777" w:rsidR="00A75A08" w:rsidRPr="00D775DD" w:rsidRDefault="00A75A08" w:rsidP="008732F5">
                        <w:pPr>
                          <w:keepNext/>
                          <w:keepLines/>
                          <w:spacing w:after="0"/>
                          <w:rPr>
                            <w:sz w:val="18"/>
                            <w:szCs w:val="18"/>
                          </w:rPr>
                        </w:pPr>
                        <w:r w:rsidRPr="00D775DD">
                          <w:rPr>
                            <w:sz w:val="18"/>
                            <w:szCs w:val="18"/>
                          </w:rPr>
                          <w:t>45</w:t>
                        </w:r>
                      </w:p>
                    </w:txbxContent>
                  </v:textbox>
                </v:rect>
                <v:rect id="Rectangle 212919" o:spid="_x0000_s1103" style="position:absolute;left:827;top:825;width:17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" filled="f" stroked="f">
                  <v:textbox inset="0,0,0,0">
                    <w:txbxContent>
                      <w:p w14:paraId="1EF05840" w14:textId="77777777" w:rsidR="00A75A08" w:rsidRPr="00D775DD" w:rsidRDefault="00A75A08" w:rsidP="008732F5">
                        <w:pPr>
                          <w:keepNext/>
                          <w:keepLines/>
                          <w:spacing w:after="0"/>
                          <w:rPr>
                            <w:sz w:val="18"/>
                            <w:szCs w:val="18"/>
                          </w:rPr>
                        </w:pPr>
                        <w:r w:rsidRPr="00D775DD">
                          <w:rPr>
                            <w:sz w:val="18"/>
                            <w:szCs w:val="18"/>
                          </w:rPr>
                          <w:t>50</w:t>
                        </w:r>
                      </w:p>
                    </w:txbxContent>
                  </v:textbox>
                </v:rect>
                <v:rect id="Rectangle 212920" o:spid="_x0000_s1104" style="position:absolute;left:4085;top:23078;width:490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" filled="f" stroked="f">
                  <v:textbox inset="0,0,0,0">
                    <w:txbxContent>
                      <w:p w14:paraId="2477B06B" w14:textId="77777777" w:rsidR="00A75A08" w:rsidRPr="003F1FAC" w:rsidRDefault="00A75A08" w:rsidP="008732F5">
                        <w:pPr>
                          <w:keepNext/>
                          <w:keepLines/>
                          <w:spacing w:after="0"/>
                          <w:rPr>
                            <w:sz w:val="18"/>
                            <w:szCs w:val="18"/>
                          </w:rPr>
                        </w:pPr>
                        <w:r w:rsidRPr="00D775DD">
                          <w:rPr>
                            <w:sz w:val="18"/>
                            <w:szCs w:val="18"/>
                          </w:rPr>
                          <w:t>A</w:t>
                        </w:r>
                        <w:r>
                          <w:rPr>
                            <w:sz w:val="18"/>
                            <w:szCs w:val="18"/>
                          </w:rPr>
                          <w:t>shanti</w:t>
                        </w:r>
                      </w:p>
                    </w:txbxContent>
                  </v:textbox>
                </v:rect>
                <v:rect id="Rectangle 212921" o:spid="_x0000_s1105" style="position:absolute;left:9660;top:23073;width:460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" filled="f" stroked="f">
                  <v:textbox inset="0,0,0,0">
                    <w:txbxContent>
                      <w:p w14:paraId="08FF5120" w14:textId="77777777" w:rsidR="00A75A08" w:rsidRPr="003F1FAC" w:rsidRDefault="00A75A08" w:rsidP="008732F5">
                        <w:pPr>
                          <w:keepNext/>
                          <w:keepLines/>
                          <w:spacing w:after="0"/>
                          <w:rPr>
                            <w:sz w:val="18"/>
                            <w:szCs w:val="18"/>
                          </w:rPr>
                        </w:pPr>
                        <w:r w:rsidRPr="00D775DD">
                          <w:rPr>
                            <w:sz w:val="18"/>
                            <w:szCs w:val="18"/>
                          </w:rPr>
                          <w:t>B</w:t>
                        </w:r>
                        <w:r>
                          <w:rPr>
                            <w:sz w:val="18"/>
                            <w:szCs w:val="18"/>
                          </w:rPr>
                          <w:t>ron</w:t>
                        </w:r>
                        <w:r w:rsidRPr="00905C37">
                          <w:rPr>
                            <w:sz w:val="18"/>
                            <w:szCs w:val="18"/>
                          </w:rPr>
                          <w:t>g</w:t>
                        </w:r>
                        <w:r>
                          <w:rPr>
                            <w:sz w:val="18"/>
                            <w:szCs w:val="18"/>
                          </w:rPr>
                          <w:t xml:space="preserve"> Ahafo</w:t>
                        </w:r>
                      </w:p>
                    </w:txbxContent>
                  </v:textbox>
                </v:rect>
                <v:rect id="Rectangle 212923" o:spid="_x0000_s1106" style="position:absolute;left:14585;top:23078;width:4987;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" filled="f" stroked="f">
                  <v:textbox inset="0,0,0,0">
                    <w:txbxContent>
                      <w:p w14:paraId="0949DEF2" w14:textId="77777777" w:rsidR="00A75A08" w:rsidRPr="00D775DD" w:rsidRDefault="00A75A08" w:rsidP="008732F5">
                        <w:pPr>
                          <w:keepNext/>
                          <w:keepLines/>
                          <w:spacing w:after="0"/>
                          <w:rPr>
                            <w:sz w:val="18"/>
                            <w:szCs w:val="18"/>
                          </w:rPr>
                        </w:pPr>
                        <w:r w:rsidRPr="00D775DD">
                          <w:rPr>
                            <w:sz w:val="18"/>
                            <w:szCs w:val="18"/>
                          </w:rPr>
                          <w:t>C</w:t>
                        </w:r>
                        <w:r>
                          <w:rPr>
                            <w:sz w:val="18"/>
                            <w:szCs w:val="18"/>
                          </w:rPr>
                          <w:t>entral</w:t>
                        </w:r>
                      </w:p>
                    </w:txbxContent>
                  </v:textbox>
                </v:rect>
                <v:rect id="Rectangle 212924" o:spid="_x0000_s1107" style="position:absolute;left:19858;top:23078;width:499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" filled="f" stroked="f">
                  <v:textbox inset="0,0,0,0">
                    <w:txbxContent>
                      <w:p w14:paraId="37C807BE" w14:textId="77777777" w:rsidR="00A75A08" w:rsidRPr="00D775DD" w:rsidRDefault="00A75A08" w:rsidP="008732F5">
                        <w:pPr>
                          <w:keepNext/>
                          <w:keepLines/>
                          <w:spacing w:after="0"/>
                          <w:rPr>
                            <w:sz w:val="18"/>
                            <w:szCs w:val="18"/>
                          </w:rPr>
                        </w:pPr>
                        <w:r w:rsidRPr="00D775DD">
                          <w:rPr>
                            <w:sz w:val="18"/>
                            <w:szCs w:val="18"/>
                          </w:rPr>
                          <w:t>E</w:t>
                        </w:r>
                        <w:r>
                          <w:rPr>
                            <w:sz w:val="18"/>
                            <w:szCs w:val="18"/>
                          </w:rPr>
                          <w:t>astern</w:t>
                        </w:r>
                      </w:p>
                    </w:txbxContent>
                  </v:textbox>
                </v:rect>
                <v:rect id="Rectangle 212925" o:spid="_x0000_s1108" style="position:absolute;left:25092;top:23078;width:541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" filled="f" stroked="f">
                  <v:textbox inset="0,0,0,0">
                    <w:txbxContent>
                      <w:p w14:paraId="49A1667B" w14:textId="77777777" w:rsidR="00A75A08" w:rsidRPr="00D775DD" w:rsidRDefault="00A75A08" w:rsidP="008732F5">
                        <w:pPr>
                          <w:keepNext/>
                          <w:keepLines/>
                          <w:spacing w:after="0"/>
                          <w:rPr>
                            <w:sz w:val="18"/>
                            <w:szCs w:val="18"/>
                          </w:rPr>
                        </w:pPr>
                        <w:r w:rsidRPr="00D775DD">
                          <w:rPr>
                            <w:sz w:val="18"/>
                            <w:szCs w:val="18"/>
                          </w:rPr>
                          <w:t>G</w:t>
                        </w:r>
                        <w:r>
                          <w:rPr>
                            <w:sz w:val="18"/>
                            <w:szCs w:val="18"/>
                          </w:rPr>
                          <w:t>reater</w:t>
                        </w:r>
                      </w:p>
                    </w:txbxContent>
                  </v:textbox>
                </v:rect>
                <v:rect id="Rectangle 212926" o:spid="_x0000_s1109" style="position:absolute;left:25595;top:24312;width:3741;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" filled="f" stroked="f">
                  <v:textbox inset="0,0,0,0">
                    <w:txbxContent>
                      <w:p w14:paraId="2B0FF18B" w14:textId="77777777" w:rsidR="00A75A08" w:rsidRPr="00D775DD" w:rsidRDefault="00A75A08" w:rsidP="008732F5">
                        <w:pPr>
                          <w:keepNext/>
                          <w:keepLines/>
                          <w:spacing w:after="0"/>
                          <w:rPr>
                            <w:sz w:val="18"/>
                            <w:szCs w:val="18"/>
                          </w:rPr>
                        </w:pPr>
                        <w:r w:rsidRPr="00D775DD">
                          <w:rPr>
                            <w:sz w:val="18"/>
                            <w:szCs w:val="18"/>
                          </w:rPr>
                          <w:t>A</w:t>
                        </w:r>
                        <w:r>
                          <w:rPr>
                            <w:sz w:val="18"/>
                            <w:szCs w:val="18"/>
                          </w:rPr>
                          <w:t>cra</w:t>
                        </w:r>
                      </w:p>
                    </w:txbxContent>
                  </v:textbox>
                </v:rect>
                <v:rect id="Rectangle 212927" o:spid="_x0000_s1110" style="position:absolute;left:30800;top:23077;width:5382;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" filled="f" stroked="f">
                  <v:textbox inset="0,0,0,0">
                    <w:txbxContent>
                      <w:p w14:paraId="594AA789" w14:textId="77777777" w:rsidR="00A75A08" w:rsidRPr="003F1FAC" w:rsidRDefault="00A75A08" w:rsidP="008732F5">
                        <w:pPr>
                          <w:keepNext/>
                          <w:keepLines/>
                          <w:spacing w:after="0"/>
                          <w:rPr>
                            <w:sz w:val="18"/>
                            <w:szCs w:val="18"/>
                          </w:rPr>
                        </w:pPr>
                        <w:r>
                          <w:rPr>
                            <w:sz w:val="18"/>
                            <w:szCs w:val="18"/>
                          </w:rPr>
                          <w:t>Northern</w:t>
                        </w:r>
                      </w:p>
                    </w:txbxContent>
                  </v:textbox>
                </v:rect>
                <v:rect id="Rectangle 212928" o:spid="_x0000_s1111" style="position:absolute;left:36742;top:23077;width:4132;height:3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" filled="f" stroked="f">
                  <v:textbox inset="0,0,0,0">
                    <w:txbxContent>
                      <w:p w14:paraId="3C8CCE9A" w14:textId="77777777" w:rsidR="00A75A08" w:rsidRPr="003F1FAC" w:rsidRDefault="00A75A08" w:rsidP="008732F5">
                        <w:pPr>
                          <w:keepNext/>
                          <w:keepLines/>
                          <w:spacing w:after="0"/>
                          <w:rPr>
                            <w:sz w:val="18"/>
                            <w:szCs w:val="18"/>
                          </w:rPr>
                        </w:pPr>
                        <w:r>
                          <w:rPr>
                            <w:sz w:val="18"/>
                            <w:szCs w:val="18"/>
                          </w:rPr>
                          <w:t>Upper East</w:t>
                        </w:r>
                      </w:p>
                    </w:txbxContent>
                  </v:textbox>
                </v:rect>
                <v:rect id="Rectangle 212929" o:spid="_x0000_s1112" style="position:absolute;left:41429;top:23078;width:365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" filled="f" stroked="f">
                  <v:textbox inset="0,0,0,0">
                    <w:txbxContent>
                      <w:p w14:paraId="7E34BA3D" w14:textId="77777777" w:rsidR="00A75A08" w:rsidRPr="003F1FAC" w:rsidRDefault="00A75A08" w:rsidP="008732F5">
                        <w:pPr>
                          <w:keepNext/>
                          <w:keepLines/>
                          <w:spacing w:after="0"/>
                          <w:rPr>
                            <w:sz w:val="18"/>
                            <w:szCs w:val="18"/>
                          </w:rPr>
                        </w:pPr>
                        <w:r>
                          <w:rPr>
                            <w:sz w:val="18"/>
                            <w:szCs w:val="18"/>
                          </w:rPr>
                          <w:t>Upper</w:t>
                        </w:r>
                      </w:p>
                    </w:txbxContent>
                  </v:textbox>
                </v:rect>
                <v:rect id="Rectangle 212930" o:spid="_x0000_s1113" style="position:absolute;left:41628;top:24312;width:4109;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" filled="f" stroked="f">
                  <v:textbox inset="0,0,0,0">
                    <w:txbxContent>
                      <w:p w14:paraId="0527B73B" w14:textId="77777777" w:rsidR="00A75A08" w:rsidRPr="003F1FAC" w:rsidRDefault="00A75A08" w:rsidP="008732F5">
                        <w:pPr>
                          <w:keepNext/>
                          <w:keepLines/>
                          <w:spacing w:after="0"/>
                          <w:rPr>
                            <w:sz w:val="18"/>
                            <w:szCs w:val="18"/>
                          </w:rPr>
                        </w:pPr>
                        <w:r>
                          <w:rPr>
                            <w:sz w:val="18"/>
                            <w:szCs w:val="18"/>
                          </w:rPr>
                          <w:t>West</w:t>
                        </w:r>
                      </w:p>
                    </w:txbxContent>
                  </v:textbox>
                </v:rect>
                <v:rect id="Rectangle 212931" o:spid="_x0000_s1114" style="position:absolute;left:46694;top:23078;width:3683;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" filled="f" stroked="f">
                  <v:textbox inset="0,0,0,0">
                    <w:txbxContent>
                      <w:p w14:paraId="0D2A1D6A" w14:textId="77777777" w:rsidR="00A75A08" w:rsidRPr="003F1FAC" w:rsidRDefault="00A75A08" w:rsidP="008732F5">
                        <w:pPr>
                          <w:keepNext/>
                          <w:keepLines/>
                          <w:spacing w:after="0"/>
                          <w:rPr>
                            <w:sz w:val="18"/>
                            <w:szCs w:val="18"/>
                          </w:rPr>
                        </w:pPr>
                        <w:r>
                          <w:rPr>
                            <w:sz w:val="18"/>
                            <w:szCs w:val="18"/>
                          </w:rPr>
                          <w:t>Volta</w:t>
                        </w:r>
                      </w:p>
                    </w:txbxContent>
                  </v:textbox>
                </v:rect>
                <v:rect id="Rectangle 212932" o:spid="_x0000_s1115" style="position:absolute;left:51311;top:23078;width:541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" filled="f" stroked="f">
                  <v:textbox inset="0,0,0,0">
                    <w:txbxContent>
                      <w:p w14:paraId="41E1EA17" w14:textId="77777777" w:rsidR="00A75A08" w:rsidRPr="003F1FAC" w:rsidRDefault="00A75A08" w:rsidP="008732F5">
                        <w:pPr>
                          <w:keepNext/>
                          <w:keepLines/>
                          <w:spacing w:after="0"/>
                          <w:rPr>
                            <w:sz w:val="18"/>
                            <w:szCs w:val="18"/>
                          </w:rPr>
                        </w:pPr>
                        <w:r>
                          <w:rPr>
                            <w:sz w:val="18"/>
                            <w:szCs w:val="18"/>
                          </w:rPr>
                          <w:t>Western</w:t>
                        </w:r>
                      </w:p>
                    </w:txbxContent>
                  </v:textbox>
                </v:rect>
                <v:shape id="Shape 212860" o:spid="_x0000_s1116" style="position:absolute;left:16292;top:26983;width:701;height:686;visibility:visible;mso-wrap-style:square;v-text-anchor:top" coordsize="70104,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" path="m,l70104,r,68580l,68580,,e" fillcolor="#de6e4b" stroked="f" strokeweight="0">
                  <v:path arrowok="t" textboxrect="0,0,70104,68580"/>
                </v:shape>
                <v:rect id="Rectangle 212934" o:spid="_x0000_s1117" style="position:absolute;left:13919;top:27708;width:650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" filled="f" stroked="f">
                  <v:textbox inset="0,0,0,0">
                    <w:txbxContent>
                      <w:p w14:paraId="7761AF33" w14:textId="77777777" w:rsidR="00A75A08" w:rsidRPr="00D775DD" w:rsidRDefault="00A75A08" w:rsidP="008732F5">
                        <w:pPr>
                          <w:keepNext/>
                          <w:keepLines/>
                          <w:spacing w:after="0"/>
                          <w:rPr>
                            <w:sz w:val="18"/>
                            <w:szCs w:val="18"/>
                          </w:rPr>
                        </w:pPr>
                        <w:r w:rsidRPr="00D775DD">
                          <w:rPr>
                            <w:sz w:val="18"/>
                            <w:szCs w:val="18"/>
                          </w:rPr>
                          <w:t>English</w:t>
                        </w:r>
                      </w:p>
                    </w:txbxContent>
                  </v:textbox>
                </v:rect>
                <v:shape id="Shape 212861" o:spid="_x0000_s1118" style="position:absolute;left:24808;top:26982;width:786;height:686;visibility:visible;mso-wrap-style:square;v-text-anchor:top" coordsize="70104,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" path="m,l70104,r,68580l,68580,,e" fillcolor="#7a6563" stroked="f" strokeweight="0">
                  <v:path arrowok="t" textboxrect="0,0,70104,68580"/>
                </v:shape>
                <v:rect id="Rectangle 212936" o:spid="_x0000_s1119" style="position:absolute;left:21155;top:27708;width:934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" filled="f" stroked="f">
                  <v:textbox inset="0,0,0,0">
                    <w:txbxContent>
                      <w:p w14:paraId="6DFCA60F" w14:textId="77777777" w:rsidR="00A75A08" w:rsidRPr="00D775DD" w:rsidRDefault="00A75A08" w:rsidP="008732F5">
                        <w:pPr>
                          <w:keepNext/>
                          <w:keepLines/>
                          <w:spacing w:after="0"/>
                          <w:rPr>
                            <w:sz w:val="18"/>
                            <w:szCs w:val="18"/>
                          </w:rPr>
                        </w:pPr>
                        <w:r w:rsidRPr="00D775DD">
                          <w:rPr>
                            <w:sz w:val="18"/>
                            <w:szCs w:val="18"/>
                          </w:rPr>
                          <w:t>Social Studies</w:t>
                        </w:r>
                      </w:p>
                    </w:txbxContent>
                  </v:textbox>
                </v:rect>
                <v:shape id="Shape 212862" o:spid="_x0000_s1120" style="position:absolute;left:32774;top:26982;width:1011;height:686;visibility:visible;mso-wrap-style:square;v-text-anchor:top" coordsize="70104,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" path="m,l70104,r,68580l,68580,,e" fillcolor="#cacaaa" stroked="f" strokeweight="0">
                  <v:path arrowok="t" textboxrect="0,0,70104,68580"/>
                </v:shape>
                <v:rect id="Rectangle 212938" o:spid="_x0000_s1121" style="position:absolute;left:31578;top:27801;width:369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" filled="f" stroked="f">
                  <v:textbox inset="0,0,0,0">
                    <w:txbxContent>
                      <w:p w14:paraId="6C7DADDD" w14:textId="77777777" w:rsidR="00A75A08" w:rsidRPr="00D775DD" w:rsidRDefault="00A75A08" w:rsidP="008732F5">
                        <w:pPr>
                          <w:keepNext/>
                          <w:keepLines/>
                          <w:spacing w:after="0"/>
                          <w:rPr>
                            <w:sz w:val="18"/>
                            <w:szCs w:val="18"/>
                          </w:rPr>
                        </w:pPr>
                        <w:r w:rsidRPr="00D775DD">
                          <w:rPr>
                            <w:sz w:val="18"/>
                            <w:szCs w:val="18"/>
                          </w:rPr>
                          <w:t>Math</w:t>
                        </w:r>
                      </w:p>
                    </w:txbxContent>
                  </v:textbox>
                </v:rect>
                <v:shape id="Shape 212863" o:spid="_x0000_s1122" style="position:absolute;left:38480;top:26983;width:959;height:817;visibility:visible;mso-wrap-style:square;v-text-anchor:top" coordsize="70104,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" path="m,l70104,r,68580l,68580,,e" fillcolor="#21455b" stroked="f" strokeweight="0">
                  <v:path arrowok="t" textboxrect="0,0,70104,68580"/>
                </v:shape>
                <v:rect id="Rectangle 212940" o:spid="_x0000_s1123" style="position:absolute;left:36742;top:27800;width:515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" filled="f" stroked="f">
                  <v:textbox inset="0,0,0,0">
                    <w:txbxContent>
                      <w:p w14:paraId="5C97F54B" w14:textId="77777777" w:rsidR="00A75A08" w:rsidRPr="00D775DD" w:rsidRDefault="00A75A08" w:rsidP="008732F5">
                        <w:pPr>
                          <w:keepNext/>
                          <w:keepLines/>
                          <w:spacing w:after="0"/>
                          <w:rPr>
                            <w:sz w:val="18"/>
                            <w:szCs w:val="18"/>
                          </w:rPr>
                        </w:pPr>
                        <w:r w:rsidRPr="00D775DD">
                          <w:rPr>
                            <w:sz w:val="18"/>
                            <w:szCs w:val="18"/>
                          </w:rPr>
                          <w:t>Science</w:t>
                        </w:r>
                      </w:p>
                    </w:txbxContent>
                  </v:textbox>
                </v:rect>
                <v:shape id="Shape 9277" o:spid="_x0000_s1124" style="position:absolute;width:57359;height:30184;visibility:visible;mso-wrap-style:square;v-text-anchor:top" coordsize="5735955,292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" path="m,2924175r5735955,l5735955,,,,,2924175xe" filled="f" stroked="f">
                  <v:path arrowok="t" textboxrect="0,0,5735955,2924175"/>
                </v:shape>
                <w10:anchorlock/>
              </v:group>
            </w:pict>
          </mc:Fallback>
        </mc:AlternateContent>
      </w:r>
    </w:p>
    <w:p w14:paraId="73D1D961" w14:textId="77777777" w:rsidR="008732F5" w:rsidRPr="00D775DD" w:rsidRDefault="008732F5" w:rsidP="008732F5">
      <w:pPr>
        <w:rPr>
          <w:rFonts w:ascii="Garamond" w:hAnsi="Garamond"/>
          <w:sz w:val="20"/>
          <w:szCs w:val="20"/>
        </w:rPr>
      </w:pPr>
      <w:r w:rsidRPr="00D775DD">
        <w:rPr>
          <w:rFonts w:ascii="Garamond" w:hAnsi="Garamond"/>
          <w:color w:val="000000"/>
          <w:sz w:val="20"/>
          <w:szCs w:val="20"/>
        </w:rPr>
        <w:t xml:space="preserve"> </w:t>
      </w:r>
      <w:r>
        <w:rPr>
          <w:rFonts w:ascii="Garamond" w:hAnsi="Garamond"/>
          <w:color w:val="000000"/>
          <w:sz w:val="20"/>
          <w:szCs w:val="20"/>
        </w:rPr>
        <w:t xml:space="preserve"> </w:t>
      </w:r>
      <w:r w:rsidRPr="00D775DD">
        <w:rPr>
          <w:rFonts w:ascii="Garamond" w:hAnsi="Garamond"/>
          <w:i/>
          <w:sz w:val="20"/>
          <w:szCs w:val="20"/>
        </w:rPr>
        <w:t>Source</w:t>
      </w:r>
      <w:r w:rsidRPr="00D775DD">
        <w:rPr>
          <w:rFonts w:ascii="Garamond" w:hAnsi="Garamond"/>
          <w:sz w:val="20"/>
          <w:szCs w:val="20"/>
        </w:rPr>
        <w:t>: Ministry of Education, 2015</w:t>
      </w:r>
    </w:p>
    <w:p w14:paraId="548D5DD7" w14:textId="77777777" w:rsidR="008732F5" w:rsidRDefault="008732F5" w:rsidP="00724BAB">
      <w:pPr>
        <w:pStyle w:val="ListParagraph"/>
        <w:numPr>
          <w:ilvl w:val="0"/>
          <w:numId w:val="9"/>
        </w:numPr>
      </w:pPr>
      <w:r w:rsidRPr="00D775DD">
        <w:rPr>
          <w:b/>
        </w:rPr>
        <w:t xml:space="preserve">The ratio of trained to untrained teachers has improved in recent years, but </w:t>
      </w:r>
      <w:r>
        <w:rPr>
          <w:b/>
        </w:rPr>
        <w:t xml:space="preserve">ensuring an adequate supply of qualified teachers </w:t>
      </w:r>
      <w:r w:rsidRPr="00D775DD">
        <w:rPr>
          <w:b/>
        </w:rPr>
        <w:t>remain</w:t>
      </w:r>
      <w:r>
        <w:rPr>
          <w:b/>
        </w:rPr>
        <w:t>s a challenge</w:t>
      </w:r>
      <w:r w:rsidRPr="00D775DD">
        <w:rPr>
          <w:b/>
        </w:rPr>
        <w:t>.</w:t>
      </w:r>
      <w:r w:rsidRPr="00D775DD">
        <w:t xml:space="preserve"> </w:t>
      </w:r>
      <w:r w:rsidRPr="00533642">
        <w:t>As t</w:t>
      </w:r>
      <w:r w:rsidRPr="00D775DD">
        <w:t xml:space="preserve">he education system </w:t>
      </w:r>
      <w:r>
        <w:t>has striven to provide services</w:t>
      </w:r>
      <w:r w:rsidRPr="00D775DD">
        <w:t xml:space="preserve"> to an increasing number of students</w:t>
      </w:r>
      <w:r w:rsidRPr="00533642">
        <w:t>,</w:t>
      </w:r>
      <w:r w:rsidRPr="00D775DD">
        <w:t xml:space="preserve"> </w:t>
      </w:r>
      <w:r w:rsidRPr="00533642">
        <w:t>the share of</w:t>
      </w:r>
      <w:r w:rsidRPr="00D775DD">
        <w:t xml:space="preserve"> teachers </w:t>
      </w:r>
      <w:r w:rsidRPr="00533642">
        <w:t xml:space="preserve">trained at </w:t>
      </w:r>
      <w:r w:rsidRPr="00D775DD">
        <w:t>the country’s education colleges and teaching universities</w:t>
      </w:r>
      <w:r w:rsidRPr="00533642">
        <w:t xml:space="preserve"> has risen dramatically</w:t>
      </w:r>
      <w:r w:rsidRPr="00D775DD">
        <w:t>. Between 2010/11 and 2015/16</w:t>
      </w:r>
      <w:r w:rsidR="001E363A">
        <w:t>,</w:t>
      </w:r>
      <w:r w:rsidRPr="00D775DD">
        <w:t xml:space="preserve"> </w:t>
      </w:r>
      <w:r w:rsidRPr="00533642">
        <w:t>the share of</w:t>
      </w:r>
      <w:r w:rsidRPr="00D775DD">
        <w:t xml:space="preserve"> trained teachers </w:t>
      </w:r>
      <w:r w:rsidRPr="00533642">
        <w:t>increased at</w:t>
      </w:r>
      <w:r w:rsidRPr="00D775DD">
        <w:t xml:space="preserve"> all basic education levels. The biggest </w:t>
      </w:r>
      <w:r>
        <w:t>improvement</w:t>
      </w:r>
      <w:r w:rsidRPr="00D775DD">
        <w:t xml:space="preserve"> occurred </w:t>
      </w:r>
      <w:r w:rsidRPr="00533642">
        <w:t>at the</w:t>
      </w:r>
      <w:r w:rsidRPr="00D775DD">
        <w:t xml:space="preserve"> </w:t>
      </w:r>
      <w:r w:rsidRPr="00533642">
        <w:t>kindergarten</w:t>
      </w:r>
      <w:r w:rsidRPr="00D775DD">
        <w:t xml:space="preserve"> </w:t>
      </w:r>
      <w:r w:rsidRPr="00533642">
        <w:t xml:space="preserve">level, </w:t>
      </w:r>
      <w:r w:rsidRPr="00D775DD">
        <w:t xml:space="preserve">where </w:t>
      </w:r>
      <w:r w:rsidRPr="00533642">
        <w:t>the share of trained teachers rose from 39 percent of all teachers in 2010/11 to 66 percent in 2015/16.</w:t>
      </w:r>
      <w:r w:rsidRPr="00D775DD">
        <w:t xml:space="preserve"> </w:t>
      </w:r>
      <w:r w:rsidRPr="00533642">
        <w:t>At the primary level</w:t>
      </w:r>
      <w:r w:rsidRPr="00D775DD">
        <w:t xml:space="preserve">, the </w:t>
      </w:r>
      <w:r w:rsidRPr="00533642">
        <w:t>share of trained</w:t>
      </w:r>
      <w:r w:rsidRPr="00D775DD">
        <w:t xml:space="preserve"> teachers </w:t>
      </w:r>
      <w:r w:rsidRPr="00533642">
        <w:t>increased from 63 to 78 percent over the same period, while</w:t>
      </w:r>
      <w:r w:rsidRPr="00D775DD">
        <w:t xml:space="preserve"> </w:t>
      </w:r>
      <w:r w:rsidRPr="00533642">
        <w:t>the share of trained JHS teachers rose from 78 to 90 percent.</w:t>
      </w:r>
      <w:r w:rsidRPr="00533642">
        <w:rPr>
          <w:rStyle w:val="FootnoteReference"/>
        </w:rPr>
        <w:footnoteReference w:id="127"/>
      </w:r>
    </w:p>
    <w:p w14:paraId="4E55E7D5" w14:textId="77777777" w:rsidR="008732F5" w:rsidRPr="00C8170B" w:rsidRDefault="00737729" w:rsidP="00737729">
      <w:pPr>
        <w:pStyle w:val="Caption"/>
        <w:rPr>
          <w:lang w:val="en-US"/>
        </w:rPr>
      </w:pPr>
      <w:bookmarkStart w:id="175" w:name="_Toc478837655"/>
      <w:r w:rsidRPr="00C8170B">
        <w:rPr>
          <w:lang w:val="en-US"/>
        </w:rPr>
        <w:t xml:space="preserve">Table </w:t>
      </w:r>
      <w:r w:rsidR="00500291" w:rsidRPr="00C8170B">
        <w:rPr>
          <w:lang w:val="en-US"/>
        </w:rPr>
        <w:fldChar w:fldCharType="begin"/>
      </w:r>
      <w:r w:rsidR="00500291" w:rsidRPr="00C8170B">
        <w:rPr>
          <w:lang w:val="en-US"/>
        </w:rPr>
        <w:instrText xml:space="preserve"> STYLEREF 1 \s </w:instrText>
      </w:r>
      <w:r w:rsidR="00500291" w:rsidRPr="00C8170B">
        <w:rPr>
          <w:lang w:val="en-US"/>
        </w:rPr>
        <w:fldChar w:fldCharType="separate"/>
      </w:r>
      <w:r w:rsidR="007B1CE6">
        <w:rPr>
          <w:noProof/>
          <w:lang w:val="en-US"/>
        </w:rPr>
        <w:t>4</w:t>
      </w:r>
      <w:r w:rsidR="00500291" w:rsidRPr="00C8170B">
        <w:rPr>
          <w:lang w:val="en-US"/>
        </w:rPr>
        <w:fldChar w:fldCharType="end"/>
      </w:r>
      <w:r w:rsidR="00500291" w:rsidRPr="00C8170B">
        <w:rPr>
          <w:lang w:val="en-US"/>
        </w:rPr>
        <w:t>.</w:t>
      </w:r>
      <w:r w:rsidR="00500291" w:rsidRPr="00C8170B">
        <w:rPr>
          <w:lang w:val="en-US"/>
        </w:rPr>
        <w:fldChar w:fldCharType="begin"/>
      </w:r>
      <w:r w:rsidR="00500291" w:rsidRPr="00C8170B">
        <w:rPr>
          <w:lang w:val="en-US"/>
        </w:rPr>
        <w:instrText xml:space="preserve"> SEQ Table \* ARABIC \s 1 </w:instrText>
      </w:r>
      <w:r w:rsidR="00500291" w:rsidRPr="00C8170B">
        <w:rPr>
          <w:lang w:val="en-US"/>
        </w:rPr>
        <w:fldChar w:fldCharType="separate"/>
      </w:r>
      <w:r w:rsidR="007B1CE6">
        <w:rPr>
          <w:noProof/>
          <w:lang w:val="en-US"/>
        </w:rPr>
        <w:t>7</w:t>
      </w:r>
      <w:r w:rsidR="00500291" w:rsidRPr="00C8170B">
        <w:rPr>
          <w:lang w:val="en-US"/>
        </w:rPr>
        <w:fldChar w:fldCharType="end"/>
      </w:r>
      <w:r w:rsidR="008732F5" w:rsidRPr="00C8170B">
        <w:rPr>
          <w:lang w:val="en-US"/>
        </w:rPr>
        <w:t>: Number of Trained and Untrained Teachers by Education Level</w:t>
      </w:r>
      <w:bookmarkEnd w:id="175"/>
    </w:p>
    <w:tbl>
      <w:tblPr>
        <w:tblW w:w="9355" w:type="dxa"/>
        <w:tblLook w:val="04A0" w:firstRow="1" w:lastRow="0" w:firstColumn="1" w:lastColumn="0" w:noHBand="0" w:noVBand="1"/>
      </w:tblPr>
      <w:tblGrid>
        <w:gridCol w:w="1546"/>
        <w:gridCol w:w="1038"/>
        <w:gridCol w:w="917"/>
        <w:gridCol w:w="917"/>
        <w:gridCol w:w="917"/>
        <w:gridCol w:w="917"/>
        <w:gridCol w:w="917"/>
        <w:gridCol w:w="917"/>
        <w:gridCol w:w="1269"/>
      </w:tblGrid>
      <w:tr w:rsidR="008732F5" w:rsidRPr="00533642" w14:paraId="063E25FC" w14:textId="77777777" w:rsidTr="007A1E33">
        <w:trPr>
          <w:trHeight w:val="290"/>
        </w:trPr>
        <w:tc>
          <w:tcPr>
            <w:tcW w:w="2584" w:type="dxa"/>
            <w:gridSpan w:val="2"/>
            <w:tcBorders>
              <w:top w:val="single" w:sz="4" w:space="0" w:color="auto"/>
              <w:left w:val="single" w:sz="4" w:space="0" w:color="auto"/>
              <w:bottom w:val="single" w:sz="4" w:space="0" w:color="auto"/>
              <w:right w:val="nil"/>
            </w:tcBorders>
            <w:shd w:val="clear" w:color="auto" w:fill="auto"/>
            <w:noWrap/>
            <w:vAlign w:val="bottom"/>
            <w:hideMark/>
          </w:tcPr>
          <w:p w14:paraId="50ABB157"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 </w:t>
            </w:r>
          </w:p>
        </w:tc>
        <w:tc>
          <w:tcPr>
            <w:tcW w:w="917" w:type="dxa"/>
            <w:tcBorders>
              <w:top w:val="single" w:sz="4" w:space="0" w:color="auto"/>
              <w:left w:val="nil"/>
              <w:bottom w:val="single" w:sz="4" w:space="0" w:color="auto"/>
              <w:right w:val="nil"/>
            </w:tcBorders>
            <w:shd w:val="clear" w:color="auto" w:fill="auto"/>
            <w:noWrap/>
            <w:vAlign w:val="center"/>
            <w:hideMark/>
          </w:tcPr>
          <w:p w14:paraId="65BF4413"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 xml:space="preserve">2010/11 </w:t>
            </w:r>
          </w:p>
        </w:tc>
        <w:tc>
          <w:tcPr>
            <w:tcW w:w="917" w:type="dxa"/>
            <w:tcBorders>
              <w:top w:val="single" w:sz="4" w:space="0" w:color="auto"/>
              <w:left w:val="nil"/>
              <w:bottom w:val="single" w:sz="4" w:space="0" w:color="auto"/>
              <w:right w:val="nil"/>
            </w:tcBorders>
            <w:shd w:val="clear" w:color="auto" w:fill="auto"/>
            <w:noWrap/>
            <w:vAlign w:val="center"/>
            <w:hideMark/>
          </w:tcPr>
          <w:p w14:paraId="75A37533"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 xml:space="preserve">2011/12 </w:t>
            </w:r>
          </w:p>
        </w:tc>
        <w:tc>
          <w:tcPr>
            <w:tcW w:w="917" w:type="dxa"/>
            <w:tcBorders>
              <w:top w:val="single" w:sz="4" w:space="0" w:color="auto"/>
              <w:left w:val="nil"/>
              <w:bottom w:val="single" w:sz="4" w:space="0" w:color="auto"/>
              <w:right w:val="nil"/>
            </w:tcBorders>
            <w:shd w:val="clear" w:color="auto" w:fill="auto"/>
            <w:noWrap/>
            <w:vAlign w:val="center"/>
            <w:hideMark/>
          </w:tcPr>
          <w:p w14:paraId="1AD41FBD"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 xml:space="preserve">2012/13 </w:t>
            </w:r>
          </w:p>
        </w:tc>
        <w:tc>
          <w:tcPr>
            <w:tcW w:w="917" w:type="dxa"/>
            <w:tcBorders>
              <w:top w:val="single" w:sz="4" w:space="0" w:color="auto"/>
              <w:left w:val="nil"/>
              <w:bottom w:val="single" w:sz="4" w:space="0" w:color="auto"/>
              <w:right w:val="nil"/>
            </w:tcBorders>
            <w:shd w:val="clear" w:color="auto" w:fill="auto"/>
            <w:noWrap/>
            <w:vAlign w:val="center"/>
            <w:hideMark/>
          </w:tcPr>
          <w:p w14:paraId="56D25306"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 xml:space="preserve">2013/14 </w:t>
            </w:r>
          </w:p>
        </w:tc>
        <w:tc>
          <w:tcPr>
            <w:tcW w:w="917" w:type="dxa"/>
            <w:tcBorders>
              <w:top w:val="single" w:sz="4" w:space="0" w:color="auto"/>
              <w:left w:val="nil"/>
              <w:bottom w:val="single" w:sz="4" w:space="0" w:color="auto"/>
              <w:right w:val="nil"/>
            </w:tcBorders>
            <w:shd w:val="clear" w:color="auto" w:fill="auto"/>
            <w:noWrap/>
            <w:vAlign w:val="center"/>
            <w:hideMark/>
          </w:tcPr>
          <w:p w14:paraId="5DC80450"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 xml:space="preserve">2014/15 </w:t>
            </w:r>
          </w:p>
        </w:tc>
        <w:tc>
          <w:tcPr>
            <w:tcW w:w="917" w:type="dxa"/>
            <w:tcBorders>
              <w:top w:val="single" w:sz="4" w:space="0" w:color="auto"/>
              <w:left w:val="nil"/>
              <w:bottom w:val="single" w:sz="4" w:space="0" w:color="auto"/>
              <w:right w:val="nil"/>
            </w:tcBorders>
            <w:shd w:val="clear" w:color="auto" w:fill="auto"/>
            <w:noWrap/>
            <w:vAlign w:val="center"/>
            <w:hideMark/>
          </w:tcPr>
          <w:p w14:paraId="5D5A69EC"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 xml:space="preserve">2015/16 </w:t>
            </w:r>
          </w:p>
        </w:tc>
        <w:tc>
          <w:tcPr>
            <w:tcW w:w="1269" w:type="dxa"/>
            <w:tcBorders>
              <w:top w:val="single" w:sz="4" w:space="0" w:color="auto"/>
              <w:left w:val="nil"/>
              <w:bottom w:val="single" w:sz="4" w:space="0" w:color="auto"/>
              <w:right w:val="single" w:sz="4" w:space="0" w:color="auto"/>
            </w:tcBorders>
            <w:shd w:val="clear" w:color="auto" w:fill="auto"/>
            <w:noWrap/>
            <w:vAlign w:val="center"/>
            <w:hideMark/>
          </w:tcPr>
          <w:p w14:paraId="709E5C0C"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 xml:space="preserve">2015/16 </w:t>
            </w:r>
            <w:r>
              <w:rPr>
                <w:rFonts w:ascii="Garamond" w:hAnsi="Garamond"/>
                <w:sz w:val="20"/>
                <w:szCs w:val="20"/>
              </w:rPr>
              <w:t>(</w:t>
            </w:r>
            <w:r w:rsidRPr="00D775DD">
              <w:rPr>
                <w:rFonts w:ascii="Garamond" w:hAnsi="Garamond"/>
                <w:sz w:val="20"/>
                <w:szCs w:val="20"/>
              </w:rPr>
              <w:t>%</w:t>
            </w:r>
            <w:r>
              <w:rPr>
                <w:rFonts w:ascii="Garamond" w:hAnsi="Garamond"/>
                <w:sz w:val="20"/>
                <w:szCs w:val="20"/>
              </w:rPr>
              <w:t>)</w:t>
            </w:r>
          </w:p>
        </w:tc>
      </w:tr>
      <w:tr w:rsidR="008732F5" w:rsidRPr="00533642" w14:paraId="2B76C0DA" w14:textId="77777777" w:rsidTr="007A1E33">
        <w:trPr>
          <w:trHeight w:val="290"/>
        </w:trPr>
        <w:tc>
          <w:tcPr>
            <w:tcW w:w="1546" w:type="dxa"/>
            <w:vMerge w:val="restart"/>
            <w:tcBorders>
              <w:top w:val="nil"/>
              <w:left w:val="single" w:sz="4" w:space="0" w:color="auto"/>
              <w:bottom w:val="single" w:sz="4" w:space="0" w:color="000000"/>
              <w:right w:val="nil"/>
            </w:tcBorders>
            <w:shd w:val="clear" w:color="auto" w:fill="auto"/>
            <w:noWrap/>
            <w:vAlign w:val="center"/>
            <w:hideMark/>
          </w:tcPr>
          <w:p w14:paraId="1943DE23"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 xml:space="preserve">Kindergarten </w:t>
            </w:r>
          </w:p>
        </w:tc>
        <w:tc>
          <w:tcPr>
            <w:tcW w:w="1038" w:type="dxa"/>
            <w:tcBorders>
              <w:top w:val="nil"/>
              <w:left w:val="nil"/>
              <w:bottom w:val="nil"/>
              <w:right w:val="nil"/>
            </w:tcBorders>
            <w:shd w:val="clear" w:color="auto" w:fill="auto"/>
            <w:noWrap/>
            <w:vAlign w:val="center"/>
            <w:hideMark/>
          </w:tcPr>
          <w:p w14:paraId="5BAD90EC"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 xml:space="preserve">Trained </w:t>
            </w:r>
          </w:p>
        </w:tc>
        <w:tc>
          <w:tcPr>
            <w:tcW w:w="917" w:type="dxa"/>
            <w:tcBorders>
              <w:top w:val="nil"/>
              <w:left w:val="nil"/>
              <w:bottom w:val="nil"/>
              <w:right w:val="nil"/>
            </w:tcBorders>
            <w:shd w:val="clear" w:color="auto" w:fill="auto"/>
            <w:noWrap/>
            <w:vAlign w:val="center"/>
            <w:hideMark/>
          </w:tcPr>
          <w:p w14:paraId="2C9D8E05"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12,260</w:t>
            </w:r>
          </w:p>
        </w:tc>
        <w:tc>
          <w:tcPr>
            <w:tcW w:w="917" w:type="dxa"/>
            <w:tcBorders>
              <w:top w:val="nil"/>
              <w:left w:val="nil"/>
              <w:bottom w:val="nil"/>
              <w:right w:val="nil"/>
            </w:tcBorders>
            <w:shd w:val="clear" w:color="auto" w:fill="auto"/>
            <w:noWrap/>
            <w:vAlign w:val="center"/>
            <w:hideMark/>
          </w:tcPr>
          <w:p w14:paraId="335E18F4"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14,198</w:t>
            </w:r>
          </w:p>
        </w:tc>
        <w:tc>
          <w:tcPr>
            <w:tcW w:w="917" w:type="dxa"/>
            <w:tcBorders>
              <w:top w:val="nil"/>
              <w:left w:val="nil"/>
              <w:bottom w:val="nil"/>
              <w:right w:val="nil"/>
            </w:tcBorders>
            <w:shd w:val="clear" w:color="auto" w:fill="auto"/>
            <w:noWrap/>
            <w:vAlign w:val="center"/>
            <w:hideMark/>
          </w:tcPr>
          <w:p w14:paraId="3BF018E4"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17,070</w:t>
            </w:r>
          </w:p>
        </w:tc>
        <w:tc>
          <w:tcPr>
            <w:tcW w:w="917" w:type="dxa"/>
            <w:tcBorders>
              <w:top w:val="nil"/>
              <w:left w:val="nil"/>
              <w:bottom w:val="nil"/>
              <w:right w:val="nil"/>
            </w:tcBorders>
            <w:shd w:val="clear" w:color="auto" w:fill="auto"/>
            <w:noWrap/>
            <w:vAlign w:val="center"/>
            <w:hideMark/>
          </w:tcPr>
          <w:p w14:paraId="04F7AAEA"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20,118</w:t>
            </w:r>
          </w:p>
        </w:tc>
        <w:tc>
          <w:tcPr>
            <w:tcW w:w="917" w:type="dxa"/>
            <w:tcBorders>
              <w:top w:val="nil"/>
              <w:left w:val="nil"/>
              <w:bottom w:val="nil"/>
              <w:right w:val="nil"/>
            </w:tcBorders>
            <w:shd w:val="clear" w:color="auto" w:fill="auto"/>
            <w:noWrap/>
            <w:vAlign w:val="center"/>
            <w:hideMark/>
          </w:tcPr>
          <w:p w14:paraId="2C647C72"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22,934</w:t>
            </w:r>
          </w:p>
        </w:tc>
        <w:tc>
          <w:tcPr>
            <w:tcW w:w="917" w:type="dxa"/>
            <w:tcBorders>
              <w:top w:val="nil"/>
              <w:left w:val="nil"/>
              <w:bottom w:val="nil"/>
              <w:right w:val="nil"/>
            </w:tcBorders>
            <w:shd w:val="clear" w:color="auto" w:fill="auto"/>
            <w:noWrap/>
            <w:vAlign w:val="center"/>
            <w:hideMark/>
          </w:tcPr>
          <w:p w14:paraId="2606E60D"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24,869</w:t>
            </w:r>
          </w:p>
        </w:tc>
        <w:tc>
          <w:tcPr>
            <w:tcW w:w="1269" w:type="dxa"/>
            <w:tcBorders>
              <w:top w:val="nil"/>
              <w:left w:val="nil"/>
              <w:bottom w:val="nil"/>
              <w:right w:val="single" w:sz="4" w:space="0" w:color="auto"/>
            </w:tcBorders>
            <w:shd w:val="clear" w:color="auto" w:fill="auto"/>
            <w:noWrap/>
            <w:vAlign w:val="center"/>
            <w:hideMark/>
          </w:tcPr>
          <w:p w14:paraId="71B442E2" w14:textId="77777777" w:rsidR="008732F5" w:rsidRPr="00D775DD" w:rsidRDefault="008732F5" w:rsidP="007A1E33">
            <w:pPr>
              <w:spacing w:after="0"/>
              <w:rPr>
                <w:rFonts w:ascii="Garamond" w:eastAsia="Times New Roman" w:hAnsi="Garamond"/>
                <w:sz w:val="20"/>
                <w:szCs w:val="20"/>
              </w:rPr>
            </w:pPr>
            <w:r w:rsidRPr="00D775DD">
              <w:rPr>
                <w:rFonts w:ascii="Garamond" w:hAnsi="Garamond"/>
                <w:sz w:val="20"/>
                <w:szCs w:val="20"/>
              </w:rPr>
              <w:t>66%</w:t>
            </w:r>
          </w:p>
        </w:tc>
      </w:tr>
      <w:tr w:rsidR="008732F5" w:rsidRPr="00533642" w14:paraId="09F3D2F0" w14:textId="77777777" w:rsidTr="007A1E33">
        <w:trPr>
          <w:trHeight w:val="290"/>
        </w:trPr>
        <w:tc>
          <w:tcPr>
            <w:tcW w:w="1546" w:type="dxa"/>
            <w:vMerge/>
            <w:tcBorders>
              <w:top w:val="nil"/>
              <w:left w:val="single" w:sz="4" w:space="0" w:color="auto"/>
              <w:bottom w:val="single" w:sz="4" w:space="0" w:color="000000"/>
              <w:right w:val="nil"/>
            </w:tcBorders>
            <w:vAlign w:val="center"/>
            <w:hideMark/>
          </w:tcPr>
          <w:p w14:paraId="05D142A4" w14:textId="77777777" w:rsidR="008732F5" w:rsidRPr="00D775DD" w:rsidRDefault="008732F5" w:rsidP="007A1E33">
            <w:pPr>
              <w:spacing w:after="0"/>
              <w:rPr>
                <w:rFonts w:ascii="Garamond" w:hAnsi="Garamond"/>
                <w:sz w:val="20"/>
                <w:szCs w:val="20"/>
              </w:rPr>
            </w:pPr>
          </w:p>
        </w:tc>
        <w:tc>
          <w:tcPr>
            <w:tcW w:w="1038" w:type="dxa"/>
            <w:tcBorders>
              <w:top w:val="nil"/>
              <w:left w:val="nil"/>
              <w:bottom w:val="nil"/>
              <w:right w:val="nil"/>
            </w:tcBorders>
            <w:shd w:val="clear" w:color="auto" w:fill="auto"/>
            <w:noWrap/>
            <w:vAlign w:val="center"/>
            <w:hideMark/>
          </w:tcPr>
          <w:p w14:paraId="47F64014"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 xml:space="preserve">Untrained </w:t>
            </w:r>
          </w:p>
        </w:tc>
        <w:tc>
          <w:tcPr>
            <w:tcW w:w="917" w:type="dxa"/>
            <w:tcBorders>
              <w:top w:val="nil"/>
              <w:left w:val="nil"/>
              <w:bottom w:val="nil"/>
              <w:right w:val="nil"/>
            </w:tcBorders>
            <w:shd w:val="clear" w:color="auto" w:fill="auto"/>
            <w:noWrap/>
            <w:vAlign w:val="center"/>
            <w:hideMark/>
          </w:tcPr>
          <w:p w14:paraId="4D052970"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19,335</w:t>
            </w:r>
          </w:p>
        </w:tc>
        <w:tc>
          <w:tcPr>
            <w:tcW w:w="917" w:type="dxa"/>
            <w:tcBorders>
              <w:top w:val="nil"/>
              <w:left w:val="nil"/>
              <w:bottom w:val="nil"/>
              <w:right w:val="nil"/>
            </w:tcBorders>
            <w:shd w:val="clear" w:color="auto" w:fill="auto"/>
            <w:noWrap/>
            <w:vAlign w:val="center"/>
            <w:hideMark/>
          </w:tcPr>
          <w:p w14:paraId="5A139649"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17,493</w:t>
            </w:r>
          </w:p>
        </w:tc>
        <w:tc>
          <w:tcPr>
            <w:tcW w:w="917" w:type="dxa"/>
            <w:tcBorders>
              <w:top w:val="nil"/>
              <w:left w:val="nil"/>
              <w:bottom w:val="nil"/>
              <w:right w:val="nil"/>
            </w:tcBorders>
            <w:shd w:val="clear" w:color="auto" w:fill="auto"/>
            <w:noWrap/>
            <w:vAlign w:val="center"/>
            <w:hideMark/>
          </w:tcPr>
          <w:p w14:paraId="3C795E3D"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16,038</w:t>
            </w:r>
          </w:p>
        </w:tc>
        <w:tc>
          <w:tcPr>
            <w:tcW w:w="917" w:type="dxa"/>
            <w:tcBorders>
              <w:top w:val="nil"/>
              <w:left w:val="nil"/>
              <w:bottom w:val="nil"/>
              <w:right w:val="nil"/>
            </w:tcBorders>
            <w:shd w:val="clear" w:color="auto" w:fill="auto"/>
            <w:noWrap/>
            <w:vAlign w:val="center"/>
            <w:hideMark/>
          </w:tcPr>
          <w:p w14:paraId="17211D55"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16,606</w:t>
            </w:r>
          </w:p>
        </w:tc>
        <w:tc>
          <w:tcPr>
            <w:tcW w:w="917" w:type="dxa"/>
            <w:tcBorders>
              <w:top w:val="nil"/>
              <w:left w:val="nil"/>
              <w:bottom w:val="nil"/>
              <w:right w:val="nil"/>
            </w:tcBorders>
            <w:shd w:val="clear" w:color="auto" w:fill="auto"/>
            <w:noWrap/>
            <w:vAlign w:val="center"/>
            <w:hideMark/>
          </w:tcPr>
          <w:p w14:paraId="6C6F112E"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14,213</w:t>
            </w:r>
          </w:p>
        </w:tc>
        <w:tc>
          <w:tcPr>
            <w:tcW w:w="917" w:type="dxa"/>
            <w:tcBorders>
              <w:top w:val="nil"/>
              <w:left w:val="nil"/>
              <w:bottom w:val="nil"/>
              <w:right w:val="nil"/>
            </w:tcBorders>
            <w:shd w:val="clear" w:color="auto" w:fill="auto"/>
            <w:noWrap/>
            <w:vAlign w:val="center"/>
            <w:hideMark/>
          </w:tcPr>
          <w:p w14:paraId="7BF3009A"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12,864</w:t>
            </w:r>
          </w:p>
        </w:tc>
        <w:tc>
          <w:tcPr>
            <w:tcW w:w="1269" w:type="dxa"/>
            <w:tcBorders>
              <w:top w:val="nil"/>
              <w:left w:val="nil"/>
              <w:bottom w:val="nil"/>
              <w:right w:val="single" w:sz="4" w:space="0" w:color="auto"/>
            </w:tcBorders>
            <w:shd w:val="clear" w:color="auto" w:fill="auto"/>
            <w:noWrap/>
            <w:vAlign w:val="center"/>
            <w:hideMark/>
          </w:tcPr>
          <w:p w14:paraId="346B0D8E" w14:textId="77777777" w:rsidR="008732F5" w:rsidRPr="00D775DD" w:rsidRDefault="008732F5" w:rsidP="007A1E33">
            <w:pPr>
              <w:spacing w:after="0"/>
              <w:rPr>
                <w:rFonts w:ascii="Garamond" w:eastAsia="Times New Roman" w:hAnsi="Garamond"/>
                <w:sz w:val="20"/>
                <w:szCs w:val="20"/>
              </w:rPr>
            </w:pPr>
            <w:r w:rsidRPr="00D775DD">
              <w:rPr>
                <w:rFonts w:ascii="Garamond" w:hAnsi="Garamond"/>
                <w:sz w:val="20"/>
                <w:szCs w:val="20"/>
              </w:rPr>
              <w:t>34%</w:t>
            </w:r>
          </w:p>
        </w:tc>
      </w:tr>
      <w:tr w:rsidR="008732F5" w:rsidRPr="00533642" w14:paraId="59C19423" w14:textId="77777777" w:rsidTr="007A1E33">
        <w:trPr>
          <w:trHeight w:val="290"/>
        </w:trPr>
        <w:tc>
          <w:tcPr>
            <w:tcW w:w="1546" w:type="dxa"/>
            <w:vMerge/>
            <w:tcBorders>
              <w:top w:val="nil"/>
              <w:left w:val="single" w:sz="4" w:space="0" w:color="auto"/>
              <w:bottom w:val="single" w:sz="4" w:space="0" w:color="000000"/>
              <w:right w:val="nil"/>
            </w:tcBorders>
            <w:vAlign w:val="center"/>
            <w:hideMark/>
          </w:tcPr>
          <w:p w14:paraId="69EFE633" w14:textId="77777777" w:rsidR="008732F5" w:rsidRPr="00D775DD" w:rsidRDefault="008732F5" w:rsidP="007A1E33">
            <w:pPr>
              <w:spacing w:after="0"/>
              <w:rPr>
                <w:rFonts w:ascii="Garamond" w:hAnsi="Garamond"/>
                <w:sz w:val="20"/>
                <w:szCs w:val="20"/>
              </w:rPr>
            </w:pPr>
          </w:p>
        </w:tc>
        <w:tc>
          <w:tcPr>
            <w:tcW w:w="1038" w:type="dxa"/>
            <w:tcBorders>
              <w:top w:val="nil"/>
              <w:left w:val="nil"/>
              <w:bottom w:val="single" w:sz="4" w:space="0" w:color="auto"/>
              <w:right w:val="nil"/>
            </w:tcBorders>
            <w:shd w:val="clear" w:color="auto" w:fill="auto"/>
            <w:noWrap/>
            <w:vAlign w:val="center"/>
            <w:hideMark/>
          </w:tcPr>
          <w:p w14:paraId="335F2864"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 xml:space="preserve">Total </w:t>
            </w:r>
          </w:p>
        </w:tc>
        <w:tc>
          <w:tcPr>
            <w:tcW w:w="917" w:type="dxa"/>
            <w:tcBorders>
              <w:top w:val="nil"/>
              <w:left w:val="nil"/>
              <w:bottom w:val="single" w:sz="4" w:space="0" w:color="auto"/>
              <w:right w:val="nil"/>
            </w:tcBorders>
            <w:shd w:val="clear" w:color="auto" w:fill="auto"/>
            <w:noWrap/>
            <w:vAlign w:val="center"/>
            <w:hideMark/>
          </w:tcPr>
          <w:p w14:paraId="649D5373"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31,595</w:t>
            </w:r>
          </w:p>
        </w:tc>
        <w:tc>
          <w:tcPr>
            <w:tcW w:w="917" w:type="dxa"/>
            <w:tcBorders>
              <w:top w:val="nil"/>
              <w:left w:val="nil"/>
              <w:bottom w:val="single" w:sz="4" w:space="0" w:color="auto"/>
              <w:right w:val="nil"/>
            </w:tcBorders>
            <w:shd w:val="clear" w:color="auto" w:fill="auto"/>
            <w:noWrap/>
            <w:vAlign w:val="center"/>
            <w:hideMark/>
          </w:tcPr>
          <w:p w14:paraId="02975BCA"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31,691</w:t>
            </w:r>
          </w:p>
        </w:tc>
        <w:tc>
          <w:tcPr>
            <w:tcW w:w="917" w:type="dxa"/>
            <w:tcBorders>
              <w:top w:val="nil"/>
              <w:left w:val="nil"/>
              <w:bottom w:val="single" w:sz="4" w:space="0" w:color="auto"/>
              <w:right w:val="nil"/>
            </w:tcBorders>
            <w:shd w:val="clear" w:color="auto" w:fill="auto"/>
            <w:noWrap/>
            <w:vAlign w:val="center"/>
            <w:hideMark/>
          </w:tcPr>
          <w:p w14:paraId="03A91546"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33,108</w:t>
            </w:r>
          </w:p>
        </w:tc>
        <w:tc>
          <w:tcPr>
            <w:tcW w:w="917" w:type="dxa"/>
            <w:tcBorders>
              <w:top w:val="nil"/>
              <w:left w:val="nil"/>
              <w:bottom w:val="single" w:sz="4" w:space="0" w:color="auto"/>
              <w:right w:val="nil"/>
            </w:tcBorders>
            <w:shd w:val="clear" w:color="auto" w:fill="auto"/>
            <w:noWrap/>
            <w:vAlign w:val="center"/>
            <w:hideMark/>
          </w:tcPr>
          <w:p w14:paraId="08A1DD73"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36,724</w:t>
            </w:r>
          </w:p>
        </w:tc>
        <w:tc>
          <w:tcPr>
            <w:tcW w:w="917" w:type="dxa"/>
            <w:tcBorders>
              <w:top w:val="nil"/>
              <w:left w:val="nil"/>
              <w:bottom w:val="single" w:sz="4" w:space="0" w:color="auto"/>
              <w:right w:val="nil"/>
            </w:tcBorders>
            <w:shd w:val="clear" w:color="auto" w:fill="auto"/>
            <w:noWrap/>
            <w:vAlign w:val="center"/>
            <w:hideMark/>
          </w:tcPr>
          <w:p w14:paraId="44B94608"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37,147</w:t>
            </w:r>
          </w:p>
        </w:tc>
        <w:tc>
          <w:tcPr>
            <w:tcW w:w="917" w:type="dxa"/>
            <w:tcBorders>
              <w:top w:val="nil"/>
              <w:left w:val="nil"/>
              <w:bottom w:val="single" w:sz="4" w:space="0" w:color="auto"/>
              <w:right w:val="nil"/>
            </w:tcBorders>
            <w:shd w:val="clear" w:color="auto" w:fill="auto"/>
            <w:noWrap/>
            <w:vAlign w:val="center"/>
            <w:hideMark/>
          </w:tcPr>
          <w:p w14:paraId="12C07382"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37,733</w:t>
            </w:r>
          </w:p>
        </w:tc>
        <w:tc>
          <w:tcPr>
            <w:tcW w:w="1269" w:type="dxa"/>
            <w:tcBorders>
              <w:top w:val="nil"/>
              <w:left w:val="nil"/>
              <w:bottom w:val="single" w:sz="4" w:space="0" w:color="auto"/>
              <w:right w:val="single" w:sz="4" w:space="0" w:color="auto"/>
            </w:tcBorders>
            <w:shd w:val="clear" w:color="auto" w:fill="auto"/>
            <w:noWrap/>
            <w:vAlign w:val="center"/>
            <w:hideMark/>
          </w:tcPr>
          <w:p w14:paraId="7C1C0390" w14:textId="77777777" w:rsidR="008732F5" w:rsidRPr="00D775DD" w:rsidRDefault="008732F5" w:rsidP="007A1E33">
            <w:pPr>
              <w:spacing w:after="0"/>
              <w:rPr>
                <w:rFonts w:ascii="Garamond" w:eastAsia="Times New Roman" w:hAnsi="Garamond"/>
                <w:sz w:val="20"/>
                <w:szCs w:val="20"/>
              </w:rPr>
            </w:pPr>
            <w:r w:rsidRPr="00D775DD">
              <w:rPr>
                <w:rFonts w:ascii="Garamond" w:hAnsi="Garamond"/>
                <w:sz w:val="20"/>
                <w:szCs w:val="20"/>
              </w:rPr>
              <w:t>100%</w:t>
            </w:r>
          </w:p>
        </w:tc>
      </w:tr>
      <w:tr w:rsidR="008732F5" w:rsidRPr="00533642" w14:paraId="2708ACBE" w14:textId="77777777" w:rsidTr="007A1E33">
        <w:trPr>
          <w:trHeight w:val="290"/>
        </w:trPr>
        <w:tc>
          <w:tcPr>
            <w:tcW w:w="1546" w:type="dxa"/>
            <w:vMerge w:val="restart"/>
            <w:tcBorders>
              <w:top w:val="nil"/>
              <w:left w:val="single" w:sz="4" w:space="0" w:color="auto"/>
              <w:bottom w:val="single" w:sz="4" w:space="0" w:color="000000"/>
              <w:right w:val="nil"/>
            </w:tcBorders>
            <w:shd w:val="clear" w:color="auto" w:fill="auto"/>
            <w:noWrap/>
            <w:vAlign w:val="center"/>
            <w:hideMark/>
          </w:tcPr>
          <w:p w14:paraId="725CE10C"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 xml:space="preserve">Primary </w:t>
            </w:r>
          </w:p>
        </w:tc>
        <w:tc>
          <w:tcPr>
            <w:tcW w:w="1038" w:type="dxa"/>
            <w:tcBorders>
              <w:top w:val="nil"/>
              <w:left w:val="nil"/>
              <w:bottom w:val="nil"/>
              <w:right w:val="nil"/>
            </w:tcBorders>
            <w:shd w:val="clear" w:color="auto" w:fill="auto"/>
            <w:noWrap/>
            <w:vAlign w:val="center"/>
            <w:hideMark/>
          </w:tcPr>
          <w:p w14:paraId="70327D7F"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 xml:space="preserve">Trained </w:t>
            </w:r>
          </w:p>
        </w:tc>
        <w:tc>
          <w:tcPr>
            <w:tcW w:w="917" w:type="dxa"/>
            <w:tcBorders>
              <w:top w:val="nil"/>
              <w:left w:val="nil"/>
              <w:bottom w:val="nil"/>
              <w:right w:val="nil"/>
            </w:tcBorders>
            <w:shd w:val="clear" w:color="auto" w:fill="auto"/>
            <w:noWrap/>
            <w:vAlign w:val="center"/>
            <w:hideMark/>
          </w:tcPr>
          <w:p w14:paraId="5C055FF4"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59,620</w:t>
            </w:r>
          </w:p>
        </w:tc>
        <w:tc>
          <w:tcPr>
            <w:tcW w:w="917" w:type="dxa"/>
            <w:tcBorders>
              <w:top w:val="nil"/>
              <w:left w:val="nil"/>
              <w:bottom w:val="nil"/>
              <w:right w:val="nil"/>
            </w:tcBorders>
            <w:shd w:val="clear" w:color="auto" w:fill="auto"/>
            <w:noWrap/>
            <w:vAlign w:val="center"/>
            <w:hideMark/>
          </w:tcPr>
          <w:p w14:paraId="553F065B"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60,940</w:t>
            </w:r>
          </w:p>
        </w:tc>
        <w:tc>
          <w:tcPr>
            <w:tcW w:w="917" w:type="dxa"/>
            <w:tcBorders>
              <w:top w:val="nil"/>
              <w:left w:val="nil"/>
              <w:bottom w:val="nil"/>
              <w:right w:val="nil"/>
            </w:tcBorders>
            <w:shd w:val="clear" w:color="auto" w:fill="auto"/>
            <w:noWrap/>
            <w:vAlign w:val="center"/>
            <w:hideMark/>
          </w:tcPr>
          <w:p w14:paraId="6DE3AE6B"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65,889</w:t>
            </w:r>
          </w:p>
        </w:tc>
        <w:tc>
          <w:tcPr>
            <w:tcW w:w="917" w:type="dxa"/>
            <w:tcBorders>
              <w:top w:val="nil"/>
              <w:left w:val="nil"/>
              <w:bottom w:val="nil"/>
              <w:right w:val="nil"/>
            </w:tcBorders>
            <w:shd w:val="clear" w:color="auto" w:fill="auto"/>
            <w:noWrap/>
            <w:vAlign w:val="center"/>
            <w:hideMark/>
          </w:tcPr>
          <w:p w14:paraId="52A72526"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68,657</w:t>
            </w:r>
          </w:p>
        </w:tc>
        <w:tc>
          <w:tcPr>
            <w:tcW w:w="917" w:type="dxa"/>
            <w:tcBorders>
              <w:top w:val="nil"/>
              <w:left w:val="nil"/>
              <w:bottom w:val="nil"/>
              <w:right w:val="nil"/>
            </w:tcBorders>
            <w:shd w:val="clear" w:color="auto" w:fill="auto"/>
            <w:noWrap/>
            <w:vAlign w:val="center"/>
            <w:hideMark/>
          </w:tcPr>
          <w:p w14:paraId="7148FA65"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72,552</w:t>
            </w:r>
          </w:p>
        </w:tc>
        <w:tc>
          <w:tcPr>
            <w:tcW w:w="917" w:type="dxa"/>
            <w:tcBorders>
              <w:top w:val="nil"/>
              <w:left w:val="nil"/>
              <w:bottom w:val="nil"/>
              <w:right w:val="nil"/>
            </w:tcBorders>
            <w:shd w:val="clear" w:color="auto" w:fill="auto"/>
            <w:noWrap/>
            <w:vAlign w:val="center"/>
            <w:hideMark/>
          </w:tcPr>
          <w:p w14:paraId="17BADB7F"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75,670</w:t>
            </w:r>
          </w:p>
        </w:tc>
        <w:tc>
          <w:tcPr>
            <w:tcW w:w="1269" w:type="dxa"/>
            <w:tcBorders>
              <w:top w:val="nil"/>
              <w:left w:val="nil"/>
              <w:bottom w:val="nil"/>
              <w:right w:val="single" w:sz="4" w:space="0" w:color="auto"/>
            </w:tcBorders>
            <w:shd w:val="clear" w:color="auto" w:fill="auto"/>
            <w:noWrap/>
            <w:vAlign w:val="center"/>
            <w:hideMark/>
          </w:tcPr>
          <w:p w14:paraId="768352B4" w14:textId="77777777" w:rsidR="008732F5" w:rsidRPr="00D775DD" w:rsidRDefault="008732F5" w:rsidP="007A1E33">
            <w:pPr>
              <w:spacing w:after="0"/>
              <w:rPr>
                <w:rFonts w:ascii="Garamond" w:eastAsia="Times New Roman" w:hAnsi="Garamond"/>
                <w:sz w:val="20"/>
                <w:szCs w:val="20"/>
              </w:rPr>
            </w:pPr>
            <w:r w:rsidRPr="00D775DD">
              <w:rPr>
                <w:rFonts w:ascii="Garamond" w:hAnsi="Garamond"/>
                <w:sz w:val="20"/>
                <w:szCs w:val="20"/>
              </w:rPr>
              <w:t>78%</w:t>
            </w:r>
          </w:p>
        </w:tc>
      </w:tr>
      <w:tr w:rsidR="008732F5" w:rsidRPr="00533642" w14:paraId="09C6FA49" w14:textId="77777777" w:rsidTr="007A1E33">
        <w:trPr>
          <w:trHeight w:val="290"/>
        </w:trPr>
        <w:tc>
          <w:tcPr>
            <w:tcW w:w="1546" w:type="dxa"/>
            <w:vMerge/>
            <w:tcBorders>
              <w:top w:val="nil"/>
              <w:left w:val="single" w:sz="4" w:space="0" w:color="auto"/>
              <w:bottom w:val="single" w:sz="4" w:space="0" w:color="000000"/>
              <w:right w:val="nil"/>
            </w:tcBorders>
            <w:vAlign w:val="center"/>
            <w:hideMark/>
          </w:tcPr>
          <w:p w14:paraId="12D7B77D" w14:textId="77777777" w:rsidR="008732F5" w:rsidRPr="00D775DD" w:rsidRDefault="008732F5" w:rsidP="007A1E33">
            <w:pPr>
              <w:spacing w:after="0"/>
              <w:rPr>
                <w:rFonts w:ascii="Garamond" w:hAnsi="Garamond"/>
                <w:sz w:val="20"/>
                <w:szCs w:val="20"/>
              </w:rPr>
            </w:pPr>
          </w:p>
        </w:tc>
        <w:tc>
          <w:tcPr>
            <w:tcW w:w="1038" w:type="dxa"/>
            <w:tcBorders>
              <w:top w:val="nil"/>
              <w:left w:val="nil"/>
              <w:bottom w:val="nil"/>
              <w:right w:val="nil"/>
            </w:tcBorders>
            <w:shd w:val="clear" w:color="auto" w:fill="auto"/>
            <w:noWrap/>
            <w:vAlign w:val="center"/>
            <w:hideMark/>
          </w:tcPr>
          <w:p w14:paraId="78A6EE4E"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 xml:space="preserve">Untrained </w:t>
            </w:r>
          </w:p>
        </w:tc>
        <w:tc>
          <w:tcPr>
            <w:tcW w:w="917" w:type="dxa"/>
            <w:tcBorders>
              <w:top w:val="nil"/>
              <w:left w:val="nil"/>
              <w:bottom w:val="nil"/>
              <w:right w:val="nil"/>
            </w:tcBorders>
            <w:shd w:val="clear" w:color="auto" w:fill="auto"/>
            <w:noWrap/>
            <w:vAlign w:val="center"/>
            <w:hideMark/>
          </w:tcPr>
          <w:p w14:paraId="37111382"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35,307</w:t>
            </w:r>
          </w:p>
        </w:tc>
        <w:tc>
          <w:tcPr>
            <w:tcW w:w="917" w:type="dxa"/>
            <w:tcBorders>
              <w:top w:val="nil"/>
              <w:left w:val="nil"/>
              <w:bottom w:val="nil"/>
              <w:right w:val="nil"/>
            </w:tcBorders>
            <w:shd w:val="clear" w:color="auto" w:fill="auto"/>
            <w:noWrap/>
            <w:vAlign w:val="center"/>
            <w:hideMark/>
          </w:tcPr>
          <w:p w14:paraId="25262EBB"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31,033</w:t>
            </w:r>
          </w:p>
        </w:tc>
        <w:tc>
          <w:tcPr>
            <w:tcW w:w="917" w:type="dxa"/>
            <w:tcBorders>
              <w:top w:val="nil"/>
              <w:left w:val="nil"/>
              <w:bottom w:val="nil"/>
              <w:right w:val="nil"/>
            </w:tcBorders>
            <w:shd w:val="clear" w:color="auto" w:fill="auto"/>
            <w:noWrap/>
            <w:vAlign w:val="center"/>
            <w:hideMark/>
          </w:tcPr>
          <w:p w14:paraId="44DB80DE"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29,016</w:t>
            </w:r>
          </w:p>
        </w:tc>
        <w:tc>
          <w:tcPr>
            <w:tcW w:w="917" w:type="dxa"/>
            <w:tcBorders>
              <w:top w:val="nil"/>
              <w:left w:val="nil"/>
              <w:bottom w:val="nil"/>
              <w:right w:val="nil"/>
            </w:tcBorders>
            <w:shd w:val="clear" w:color="auto" w:fill="auto"/>
            <w:noWrap/>
            <w:vAlign w:val="center"/>
            <w:hideMark/>
          </w:tcPr>
          <w:p w14:paraId="33EBA2AF"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29,082</w:t>
            </w:r>
          </w:p>
        </w:tc>
        <w:tc>
          <w:tcPr>
            <w:tcW w:w="917" w:type="dxa"/>
            <w:tcBorders>
              <w:top w:val="nil"/>
              <w:left w:val="nil"/>
              <w:bottom w:val="nil"/>
              <w:right w:val="nil"/>
            </w:tcBorders>
            <w:shd w:val="clear" w:color="auto" w:fill="auto"/>
            <w:noWrap/>
            <w:vAlign w:val="center"/>
            <w:hideMark/>
          </w:tcPr>
          <w:p w14:paraId="71CCEBD6"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24,163</w:t>
            </w:r>
          </w:p>
        </w:tc>
        <w:tc>
          <w:tcPr>
            <w:tcW w:w="917" w:type="dxa"/>
            <w:tcBorders>
              <w:top w:val="nil"/>
              <w:left w:val="nil"/>
              <w:bottom w:val="nil"/>
              <w:right w:val="nil"/>
            </w:tcBorders>
            <w:shd w:val="clear" w:color="auto" w:fill="auto"/>
            <w:noWrap/>
            <w:vAlign w:val="center"/>
            <w:hideMark/>
          </w:tcPr>
          <w:p w14:paraId="5D806FE5"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21,411</w:t>
            </w:r>
          </w:p>
        </w:tc>
        <w:tc>
          <w:tcPr>
            <w:tcW w:w="1269" w:type="dxa"/>
            <w:tcBorders>
              <w:top w:val="nil"/>
              <w:left w:val="nil"/>
              <w:bottom w:val="nil"/>
              <w:right w:val="single" w:sz="4" w:space="0" w:color="auto"/>
            </w:tcBorders>
            <w:shd w:val="clear" w:color="auto" w:fill="auto"/>
            <w:noWrap/>
            <w:vAlign w:val="center"/>
            <w:hideMark/>
          </w:tcPr>
          <w:p w14:paraId="23518779" w14:textId="77777777" w:rsidR="008732F5" w:rsidRPr="00D775DD" w:rsidRDefault="008732F5" w:rsidP="007A1E33">
            <w:pPr>
              <w:spacing w:after="0"/>
              <w:rPr>
                <w:rFonts w:ascii="Garamond" w:eastAsia="Times New Roman" w:hAnsi="Garamond"/>
                <w:sz w:val="20"/>
                <w:szCs w:val="20"/>
              </w:rPr>
            </w:pPr>
            <w:r w:rsidRPr="00D775DD">
              <w:rPr>
                <w:rFonts w:ascii="Garamond" w:hAnsi="Garamond"/>
                <w:sz w:val="20"/>
                <w:szCs w:val="20"/>
              </w:rPr>
              <w:t>22%</w:t>
            </w:r>
          </w:p>
        </w:tc>
      </w:tr>
      <w:tr w:rsidR="008732F5" w:rsidRPr="00533642" w14:paraId="1559A87C" w14:textId="77777777" w:rsidTr="007A1E33">
        <w:trPr>
          <w:trHeight w:val="290"/>
        </w:trPr>
        <w:tc>
          <w:tcPr>
            <w:tcW w:w="1546" w:type="dxa"/>
            <w:vMerge/>
            <w:tcBorders>
              <w:top w:val="nil"/>
              <w:left w:val="single" w:sz="4" w:space="0" w:color="auto"/>
              <w:bottom w:val="single" w:sz="4" w:space="0" w:color="000000"/>
              <w:right w:val="nil"/>
            </w:tcBorders>
            <w:vAlign w:val="center"/>
            <w:hideMark/>
          </w:tcPr>
          <w:p w14:paraId="317C8761" w14:textId="77777777" w:rsidR="008732F5" w:rsidRPr="00D775DD" w:rsidRDefault="008732F5" w:rsidP="007A1E33">
            <w:pPr>
              <w:spacing w:after="0"/>
              <w:rPr>
                <w:rFonts w:ascii="Garamond" w:hAnsi="Garamond"/>
                <w:sz w:val="20"/>
                <w:szCs w:val="20"/>
              </w:rPr>
            </w:pPr>
          </w:p>
        </w:tc>
        <w:tc>
          <w:tcPr>
            <w:tcW w:w="1038" w:type="dxa"/>
            <w:tcBorders>
              <w:top w:val="nil"/>
              <w:left w:val="nil"/>
              <w:bottom w:val="single" w:sz="4" w:space="0" w:color="auto"/>
              <w:right w:val="nil"/>
            </w:tcBorders>
            <w:shd w:val="clear" w:color="auto" w:fill="auto"/>
            <w:noWrap/>
            <w:vAlign w:val="center"/>
            <w:hideMark/>
          </w:tcPr>
          <w:p w14:paraId="11626B4F"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 xml:space="preserve">Total </w:t>
            </w:r>
          </w:p>
        </w:tc>
        <w:tc>
          <w:tcPr>
            <w:tcW w:w="917" w:type="dxa"/>
            <w:tcBorders>
              <w:top w:val="nil"/>
              <w:left w:val="nil"/>
              <w:bottom w:val="single" w:sz="4" w:space="0" w:color="auto"/>
              <w:right w:val="nil"/>
            </w:tcBorders>
            <w:shd w:val="clear" w:color="auto" w:fill="auto"/>
            <w:noWrap/>
            <w:vAlign w:val="center"/>
            <w:hideMark/>
          </w:tcPr>
          <w:p w14:paraId="07BB6BBA"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94,927</w:t>
            </w:r>
          </w:p>
        </w:tc>
        <w:tc>
          <w:tcPr>
            <w:tcW w:w="917" w:type="dxa"/>
            <w:tcBorders>
              <w:top w:val="nil"/>
              <w:left w:val="nil"/>
              <w:bottom w:val="single" w:sz="4" w:space="0" w:color="auto"/>
              <w:right w:val="nil"/>
            </w:tcBorders>
            <w:shd w:val="clear" w:color="auto" w:fill="auto"/>
            <w:noWrap/>
            <w:vAlign w:val="center"/>
            <w:hideMark/>
          </w:tcPr>
          <w:p w14:paraId="3C20709F"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91,973</w:t>
            </w:r>
          </w:p>
        </w:tc>
        <w:tc>
          <w:tcPr>
            <w:tcW w:w="917" w:type="dxa"/>
            <w:tcBorders>
              <w:top w:val="nil"/>
              <w:left w:val="nil"/>
              <w:bottom w:val="single" w:sz="4" w:space="0" w:color="auto"/>
              <w:right w:val="nil"/>
            </w:tcBorders>
            <w:shd w:val="clear" w:color="auto" w:fill="auto"/>
            <w:noWrap/>
            <w:vAlign w:val="center"/>
            <w:hideMark/>
          </w:tcPr>
          <w:p w14:paraId="438D6A7D"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94,905</w:t>
            </w:r>
          </w:p>
        </w:tc>
        <w:tc>
          <w:tcPr>
            <w:tcW w:w="917" w:type="dxa"/>
            <w:tcBorders>
              <w:top w:val="nil"/>
              <w:left w:val="nil"/>
              <w:bottom w:val="single" w:sz="4" w:space="0" w:color="auto"/>
              <w:right w:val="nil"/>
            </w:tcBorders>
            <w:shd w:val="clear" w:color="auto" w:fill="auto"/>
            <w:noWrap/>
            <w:vAlign w:val="center"/>
            <w:hideMark/>
          </w:tcPr>
          <w:p w14:paraId="233B1860"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97,739</w:t>
            </w:r>
          </w:p>
        </w:tc>
        <w:tc>
          <w:tcPr>
            <w:tcW w:w="917" w:type="dxa"/>
            <w:tcBorders>
              <w:top w:val="nil"/>
              <w:left w:val="nil"/>
              <w:bottom w:val="single" w:sz="4" w:space="0" w:color="auto"/>
              <w:right w:val="nil"/>
            </w:tcBorders>
            <w:shd w:val="clear" w:color="auto" w:fill="auto"/>
            <w:noWrap/>
            <w:vAlign w:val="center"/>
            <w:hideMark/>
          </w:tcPr>
          <w:p w14:paraId="2D22E1FC"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96,715</w:t>
            </w:r>
          </w:p>
        </w:tc>
        <w:tc>
          <w:tcPr>
            <w:tcW w:w="917" w:type="dxa"/>
            <w:tcBorders>
              <w:top w:val="nil"/>
              <w:left w:val="nil"/>
              <w:bottom w:val="single" w:sz="4" w:space="0" w:color="auto"/>
              <w:right w:val="nil"/>
            </w:tcBorders>
            <w:shd w:val="clear" w:color="auto" w:fill="auto"/>
            <w:noWrap/>
            <w:vAlign w:val="center"/>
            <w:hideMark/>
          </w:tcPr>
          <w:p w14:paraId="2E44427C"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97,081</w:t>
            </w:r>
          </w:p>
        </w:tc>
        <w:tc>
          <w:tcPr>
            <w:tcW w:w="1269" w:type="dxa"/>
            <w:tcBorders>
              <w:top w:val="nil"/>
              <w:left w:val="nil"/>
              <w:bottom w:val="single" w:sz="4" w:space="0" w:color="auto"/>
              <w:right w:val="single" w:sz="4" w:space="0" w:color="auto"/>
            </w:tcBorders>
            <w:shd w:val="clear" w:color="auto" w:fill="auto"/>
            <w:noWrap/>
            <w:vAlign w:val="center"/>
            <w:hideMark/>
          </w:tcPr>
          <w:p w14:paraId="0BB762E5" w14:textId="77777777" w:rsidR="008732F5" w:rsidRPr="00D775DD" w:rsidRDefault="008732F5" w:rsidP="007A1E33">
            <w:pPr>
              <w:spacing w:after="0"/>
              <w:rPr>
                <w:rFonts w:ascii="Garamond" w:eastAsia="Times New Roman" w:hAnsi="Garamond"/>
                <w:sz w:val="20"/>
                <w:szCs w:val="20"/>
              </w:rPr>
            </w:pPr>
            <w:r w:rsidRPr="00D775DD">
              <w:rPr>
                <w:rFonts w:ascii="Garamond" w:hAnsi="Garamond"/>
                <w:sz w:val="20"/>
                <w:szCs w:val="20"/>
              </w:rPr>
              <w:t>100%</w:t>
            </w:r>
          </w:p>
        </w:tc>
      </w:tr>
      <w:tr w:rsidR="008732F5" w:rsidRPr="00533642" w14:paraId="31D03BC7" w14:textId="77777777" w:rsidTr="007A1E33">
        <w:trPr>
          <w:trHeight w:val="290"/>
        </w:trPr>
        <w:tc>
          <w:tcPr>
            <w:tcW w:w="1546" w:type="dxa"/>
            <w:vMerge w:val="restart"/>
            <w:tcBorders>
              <w:top w:val="nil"/>
              <w:left w:val="single" w:sz="4" w:space="0" w:color="auto"/>
              <w:bottom w:val="single" w:sz="4" w:space="0" w:color="000000"/>
              <w:right w:val="nil"/>
            </w:tcBorders>
            <w:shd w:val="clear" w:color="auto" w:fill="auto"/>
            <w:noWrap/>
            <w:vAlign w:val="center"/>
            <w:hideMark/>
          </w:tcPr>
          <w:p w14:paraId="2BA166DA"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 xml:space="preserve">JHS </w:t>
            </w:r>
          </w:p>
        </w:tc>
        <w:tc>
          <w:tcPr>
            <w:tcW w:w="1038" w:type="dxa"/>
            <w:tcBorders>
              <w:top w:val="nil"/>
              <w:left w:val="nil"/>
              <w:bottom w:val="nil"/>
              <w:right w:val="nil"/>
            </w:tcBorders>
            <w:shd w:val="clear" w:color="auto" w:fill="auto"/>
            <w:noWrap/>
            <w:vAlign w:val="center"/>
            <w:hideMark/>
          </w:tcPr>
          <w:p w14:paraId="69F38FCF"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 xml:space="preserve">Trained </w:t>
            </w:r>
          </w:p>
        </w:tc>
        <w:tc>
          <w:tcPr>
            <w:tcW w:w="917" w:type="dxa"/>
            <w:tcBorders>
              <w:top w:val="nil"/>
              <w:left w:val="nil"/>
              <w:bottom w:val="nil"/>
              <w:right w:val="nil"/>
            </w:tcBorders>
            <w:shd w:val="clear" w:color="auto" w:fill="auto"/>
            <w:noWrap/>
            <w:vAlign w:val="center"/>
            <w:hideMark/>
          </w:tcPr>
          <w:p w14:paraId="3FE0F781"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51,126</w:t>
            </w:r>
          </w:p>
        </w:tc>
        <w:tc>
          <w:tcPr>
            <w:tcW w:w="917" w:type="dxa"/>
            <w:tcBorders>
              <w:top w:val="nil"/>
              <w:left w:val="nil"/>
              <w:bottom w:val="nil"/>
              <w:right w:val="nil"/>
            </w:tcBorders>
            <w:shd w:val="clear" w:color="auto" w:fill="auto"/>
            <w:noWrap/>
            <w:vAlign w:val="center"/>
            <w:hideMark/>
          </w:tcPr>
          <w:p w14:paraId="3483DAA5"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55,179</w:t>
            </w:r>
          </w:p>
        </w:tc>
        <w:tc>
          <w:tcPr>
            <w:tcW w:w="917" w:type="dxa"/>
            <w:tcBorders>
              <w:top w:val="nil"/>
              <w:left w:val="nil"/>
              <w:bottom w:val="nil"/>
              <w:right w:val="nil"/>
            </w:tcBorders>
            <w:shd w:val="clear" w:color="auto" w:fill="auto"/>
            <w:noWrap/>
            <w:vAlign w:val="center"/>
            <w:hideMark/>
          </w:tcPr>
          <w:p w14:paraId="4167AA0F"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60,906</w:t>
            </w:r>
          </w:p>
        </w:tc>
        <w:tc>
          <w:tcPr>
            <w:tcW w:w="917" w:type="dxa"/>
            <w:tcBorders>
              <w:top w:val="nil"/>
              <w:left w:val="nil"/>
              <w:bottom w:val="nil"/>
              <w:right w:val="nil"/>
            </w:tcBorders>
            <w:shd w:val="clear" w:color="auto" w:fill="auto"/>
            <w:noWrap/>
            <w:vAlign w:val="center"/>
            <w:hideMark/>
          </w:tcPr>
          <w:p w14:paraId="40F3CB2E"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65,225</w:t>
            </w:r>
          </w:p>
        </w:tc>
        <w:tc>
          <w:tcPr>
            <w:tcW w:w="917" w:type="dxa"/>
            <w:tcBorders>
              <w:top w:val="nil"/>
              <w:left w:val="nil"/>
              <w:bottom w:val="nil"/>
              <w:right w:val="nil"/>
            </w:tcBorders>
            <w:shd w:val="clear" w:color="auto" w:fill="auto"/>
            <w:noWrap/>
            <w:vAlign w:val="center"/>
            <w:hideMark/>
          </w:tcPr>
          <w:p w14:paraId="63C6735C"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67,841</w:t>
            </w:r>
          </w:p>
        </w:tc>
        <w:tc>
          <w:tcPr>
            <w:tcW w:w="917" w:type="dxa"/>
            <w:tcBorders>
              <w:top w:val="nil"/>
              <w:left w:val="nil"/>
              <w:bottom w:val="nil"/>
              <w:right w:val="nil"/>
            </w:tcBorders>
            <w:shd w:val="clear" w:color="auto" w:fill="auto"/>
            <w:noWrap/>
            <w:vAlign w:val="center"/>
            <w:hideMark/>
          </w:tcPr>
          <w:p w14:paraId="4F446D7B"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70,930</w:t>
            </w:r>
          </w:p>
        </w:tc>
        <w:tc>
          <w:tcPr>
            <w:tcW w:w="1269" w:type="dxa"/>
            <w:tcBorders>
              <w:top w:val="nil"/>
              <w:left w:val="nil"/>
              <w:bottom w:val="nil"/>
              <w:right w:val="single" w:sz="4" w:space="0" w:color="auto"/>
            </w:tcBorders>
            <w:shd w:val="clear" w:color="auto" w:fill="auto"/>
            <w:noWrap/>
            <w:vAlign w:val="center"/>
            <w:hideMark/>
          </w:tcPr>
          <w:p w14:paraId="0F28F874" w14:textId="77777777" w:rsidR="008732F5" w:rsidRPr="00D775DD" w:rsidRDefault="008732F5" w:rsidP="007A1E33">
            <w:pPr>
              <w:spacing w:after="0"/>
              <w:rPr>
                <w:rFonts w:ascii="Garamond" w:eastAsia="Times New Roman" w:hAnsi="Garamond"/>
                <w:sz w:val="20"/>
                <w:szCs w:val="20"/>
              </w:rPr>
            </w:pPr>
            <w:r w:rsidRPr="00D775DD">
              <w:rPr>
                <w:rFonts w:ascii="Garamond" w:hAnsi="Garamond"/>
                <w:sz w:val="20"/>
                <w:szCs w:val="20"/>
              </w:rPr>
              <w:t>90%</w:t>
            </w:r>
          </w:p>
        </w:tc>
      </w:tr>
      <w:tr w:rsidR="008732F5" w:rsidRPr="00533642" w14:paraId="65A45135" w14:textId="77777777" w:rsidTr="007A1E33">
        <w:trPr>
          <w:trHeight w:val="290"/>
        </w:trPr>
        <w:tc>
          <w:tcPr>
            <w:tcW w:w="1546" w:type="dxa"/>
            <w:vMerge/>
            <w:tcBorders>
              <w:top w:val="nil"/>
              <w:left w:val="single" w:sz="4" w:space="0" w:color="auto"/>
              <w:bottom w:val="single" w:sz="4" w:space="0" w:color="000000"/>
              <w:right w:val="nil"/>
            </w:tcBorders>
            <w:vAlign w:val="center"/>
            <w:hideMark/>
          </w:tcPr>
          <w:p w14:paraId="1C921FA1" w14:textId="77777777" w:rsidR="008732F5" w:rsidRPr="00D775DD" w:rsidRDefault="008732F5" w:rsidP="007A1E33">
            <w:pPr>
              <w:spacing w:after="0"/>
              <w:rPr>
                <w:rFonts w:ascii="Garamond" w:hAnsi="Garamond"/>
                <w:sz w:val="20"/>
                <w:szCs w:val="20"/>
              </w:rPr>
            </w:pPr>
          </w:p>
        </w:tc>
        <w:tc>
          <w:tcPr>
            <w:tcW w:w="1038" w:type="dxa"/>
            <w:tcBorders>
              <w:top w:val="nil"/>
              <w:left w:val="nil"/>
              <w:bottom w:val="nil"/>
              <w:right w:val="nil"/>
            </w:tcBorders>
            <w:shd w:val="clear" w:color="auto" w:fill="auto"/>
            <w:noWrap/>
            <w:vAlign w:val="center"/>
            <w:hideMark/>
          </w:tcPr>
          <w:p w14:paraId="2CD43144"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 xml:space="preserve">Untrained </w:t>
            </w:r>
          </w:p>
        </w:tc>
        <w:tc>
          <w:tcPr>
            <w:tcW w:w="917" w:type="dxa"/>
            <w:tcBorders>
              <w:top w:val="nil"/>
              <w:left w:val="nil"/>
              <w:bottom w:val="nil"/>
              <w:right w:val="nil"/>
            </w:tcBorders>
            <w:shd w:val="clear" w:color="auto" w:fill="auto"/>
            <w:noWrap/>
            <w:vAlign w:val="center"/>
            <w:hideMark/>
          </w:tcPr>
          <w:p w14:paraId="6372C602"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14,060</w:t>
            </w:r>
          </w:p>
        </w:tc>
        <w:tc>
          <w:tcPr>
            <w:tcW w:w="917" w:type="dxa"/>
            <w:tcBorders>
              <w:top w:val="nil"/>
              <w:left w:val="nil"/>
              <w:bottom w:val="nil"/>
              <w:right w:val="nil"/>
            </w:tcBorders>
            <w:shd w:val="clear" w:color="auto" w:fill="auto"/>
            <w:noWrap/>
            <w:vAlign w:val="center"/>
            <w:hideMark/>
          </w:tcPr>
          <w:p w14:paraId="45231F6E"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11,355</w:t>
            </w:r>
          </w:p>
        </w:tc>
        <w:tc>
          <w:tcPr>
            <w:tcW w:w="917" w:type="dxa"/>
            <w:tcBorders>
              <w:top w:val="nil"/>
              <w:left w:val="nil"/>
              <w:bottom w:val="nil"/>
              <w:right w:val="nil"/>
            </w:tcBorders>
            <w:shd w:val="clear" w:color="auto" w:fill="auto"/>
            <w:noWrap/>
            <w:vAlign w:val="center"/>
            <w:hideMark/>
          </w:tcPr>
          <w:p w14:paraId="6F799D98"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11,871</w:t>
            </w:r>
          </w:p>
        </w:tc>
        <w:tc>
          <w:tcPr>
            <w:tcW w:w="917" w:type="dxa"/>
            <w:tcBorders>
              <w:top w:val="nil"/>
              <w:left w:val="nil"/>
              <w:bottom w:val="nil"/>
              <w:right w:val="nil"/>
            </w:tcBorders>
            <w:shd w:val="clear" w:color="auto" w:fill="auto"/>
            <w:noWrap/>
            <w:vAlign w:val="center"/>
            <w:hideMark/>
          </w:tcPr>
          <w:p w14:paraId="279FB9DF"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11,993</w:t>
            </w:r>
          </w:p>
        </w:tc>
        <w:tc>
          <w:tcPr>
            <w:tcW w:w="917" w:type="dxa"/>
            <w:tcBorders>
              <w:top w:val="nil"/>
              <w:left w:val="nil"/>
              <w:bottom w:val="nil"/>
              <w:right w:val="nil"/>
            </w:tcBorders>
            <w:shd w:val="clear" w:color="auto" w:fill="auto"/>
            <w:noWrap/>
            <w:vAlign w:val="center"/>
            <w:hideMark/>
          </w:tcPr>
          <w:p w14:paraId="35AA57FC"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9,398</w:t>
            </w:r>
          </w:p>
        </w:tc>
        <w:tc>
          <w:tcPr>
            <w:tcW w:w="917" w:type="dxa"/>
            <w:tcBorders>
              <w:top w:val="nil"/>
              <w:left w:val="nil"/>
              <w:bottom w:val="nil"/>
              <w:right w:val="nil"/>
            </w:tcBorders>
            <w:shd w:val="clear" w:color="auto" w:fill="auto"/>
            <w:noWrap/>
            <w:vAlign w:val="center"/>
            <w:hideMark/>
          </w:tcPr>
          <w:p w14:paraId="62FE2C52"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8,242</w:t>
            </w:r>
          </w:p>
        </w:tc>
        <w:tc>
          <w:tcPr>
            <w:tcW w:w="1269" w:type="dxa"/>
            <w:tcBorders>
              <w:top w:val="nil"/>
              <w:left w:val="nil"/>
              <w:bottom w:val="nil"/>
              <w:right w:val="single" w:sz="4" w:space="0" w:color="auto"/>
            </w:tcBorders>
            <w:shd w:val="clear" w:color="auto" w:fill="auto"/>
            <w:noWrap/>
            <w:vAlign w:val="center"/>
            <w:hideMark/>
          </w:tcPr>
          <w:p w14:paraId="4BF73475" w14:textId="77777777" w:rsidR="008732F5" w:rsidRPr="00D775DD" w:rsidRDefault="008732F5" w:rsidP="007A1E33">
            <w:pPr>
              <w:spacing w:after="0"/>
              <w:rPr>
                <w:rFonts w:ascii="Garamond" w:eastAsia="Times New Roman" w:hAnsi="Garamond"/>
                <w:sz w:val="20"/>
                <w:szCs w:val="20"/>
              </w:rPr>
            </w:pPr>
            <w:r w:rsidRPr="00D775DD">
              <w:rPr>
                <w:rFonts w:ascii="Garamond" w:hAnsi="Garamond"/>
                <w:sz w:val="20"/>
                <w:szCs w:val="20"/>
              </w:rPr>
              <w:t>10%</w:t>
            </w:r>
          </w:p>
        </w:tc>
      </w:tr>
      <w:tr w:rsidR="008732F5" w:rsidRPr="00533642" w14:paraId="6084DAB5" w14:textId="77777777" w:rsidTr="007A1E33">
        <w:trPr>
          <w:trHeight w:val="290"/>
        </w:trPr>
        <w:tc>
          <w:tcPr>
            <w:tcW w:w="1546" w:type="dxa"/>
            <w:vMerge/>
            <w:tcBorders>
              <w:top w:val="nil"/>
              <w:left w:val="single" w:sz="4" w:space="0" w:color="auto"/>
              <w:bottom w:val="single" w:sz="4" w:space="0" w:color="auto"/>
              <w:right w:val="nil"/>
            </w:tcBorders>
            <w:vAlign w:val="center"/>
            <w:hideMark/>
          </w:tcPr>
          <w:p w14:paraId="6BCC3CE3" w14:textId="77777777" w:rsidR="008732F5" w:rsidRPr="00D775DD" w:rsidRDefault="008732F5" w:rsidP="007A1E33">
            <w:pPr>
              <w:spacing w:after="0"/>
              <w:rPr>
                <w:rFonts w:ascii="Garamond" w:hAnsi="Garamond"/>
                <w:sz w:val="20"/>
                <w:szCs w:val="20"/>
              </w:rPr>
            </w:pPr>
          </w:p>
        </w:tc>
        <w:tc>
          <w:tcPr>
            <w:tcW w:w="1038" w:type="dxa"/>
            <w:tcBorders>
              <w:top w:val="nil"/>
              <w:left w:val="nil"/>
              <w:bottom w:val="single" w:sz="4" w:space="0" w:color="auto"/>
              <w:right w:val="nil"/>
            </w:tcBorders>
            <w:shd w:val="clear" w:color="auto" w:fill="auto"/>
            <w:noWrap/>
            <w:vAlign w:val="center"/>
            <w:hideMark/>
          </w:tcPr>
          <w:p w14:paraId="1548BA1E"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 xml:space="preserve">Total </w:t>
            </w:r>
          </w:p>
        </w:tc>
        <w:tc>
          <w:tcPr>
            <w:tcW w:w="917" w:type="dxa"/>
            <w:tcBorders>
              <w:top w:val="nil"/>
              <w:left w:val="nil"/>
              <w:bottom w:val="single" w:sz="4" w:space="0" w:color="auto"/>
              <w:right w:val="nil"/>
            </w:tcBorders>
            <w:shd w:val="clear" w:color="auto" w:fill="auto"/>
            <w:noWrap/>
            <w:vAlign w:val="center"/>
            <w:hideMark/>
          </w:tcPr>
          <w:p w14:paraId="2218C8DF"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65,186</w:t>
            </w:r>
          </w:p>
        </w:tc>
        <w:tc>
          <w:tcPr>
            <w:tcW w:w="917" w:type="dxa"/>
            <w:tcBorders>
              <w:top w:val="nil"/>
              <w:left w:val="nil"/>
              <w:bottom w:val="single" w:sz="4" w:space="0" w:color="auto"/>
              <w:right w:val="nil"/>
            </w:tcBorders>
            <w:shd w:val="clear" w:color="auto" w:fill="auto"/>
            <w:noWrap/>
            <w:vAlign w:val="center"/>
            <w:hideMark/>
          </w:tcPr>
          <w:p w14:paraId="2BDEE0CA"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66,534</w:t>
            </w:r>
          </w:p>
        </w:tc>
        <w:tc>
          <w:tcPr>
            <w:tcW w:w="917" w:type="dxa"/>
            <w:tcBorders>
              <w:top w:val="nil"/>
              <w:left w:val="nil"/>
              <w:bottom w:val="single" w:sz="4" w:space="0" w:color="auto"/>
              <w:right w:val="nil"/>
            </w:tcBorders>
            <w:shd w:val="clear" w:color="auto" w:fill="auto"/>
            <w:noWrap/>
            <w:vAlign w:val="center"/>
            <w:hideMark/>
          </w:tcPr>
          <w:p w14:paraId="20626DB1"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72,777</w:t>
            </w:r>
          </w:p>
        </w:tc>
        <w:tc>
          <w:tcPr>
            <w:tcW w:w="917" w:type="dxa"/>
            <w:tcBorders>
              <w:top w:val="nil"/>
              <w:left w:val="nil"/>
              <w:bottom w:val="single" w:sz="4" w:space="0" w:color="auto"/>
              <w:right w:val="nil"/>
            </w:tcBorders>
            <w:shd w:val="clear" w:color="auto" w:fill="auto"/>
            <w:noWrap/>
            <w:vAlign w:val="center"/>
            <w:hideMark/>
          </w:tcPr>
          <w:p w14:paraId="7B16DDA3"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77,218</w:t>
            </w:r>
          </w:p>
        </w:tc>
        <w:tc>
          <w:tcPr>
            <w:tcW w:w="917" w:type="dxa"/>
            <w:tcBorders>
              <w:top w:val="nil"/>
              <w:left w:val="nil"/>
              <w:bottom w:val="single" w:sz="4" w:space="0" w:color="auto"/>
              <w:right w:val="nil"/>
            </w:tcBorders>
            <w:shd w:val="clear" w:color="auto" w:fill="auto"/>
            <w:noWrap/>
            <w:vAlign w:val="center"/>
            <w:hideMark/>
          </w:tcPr>
          <w:p w14:paraId="3741BB37"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77,239</w:t>
            </w:r>
          </w:p>
        </w:tc>
        <w:tc>
          <w:tcPr>
            <w:tcW w:w="917" w:type="dxa"/>
            <w:tcBorders>
              <w:top w:val="nil"/>
              <w:left w:val="nil"/>
              <w:bottom w:val="single" w:sz="4" w:space="0" w:color="auto"/>
              <w:right w:val="nil"/>
            </w:tcBorders>
            <w:shd w:val="clear" w:color="auto" w:fill="auto"/>
            <w:noWrap/>
            <w:vAlign w:val="center"/>
            <w:hideMark/>
          </w:tcPr>
          <w:p w14:paraId="6FB7F057" w14:textId="77777777" w:rsidR="008732F5" w:rsidRPr="00D775DD" w:rsidRDefault="008732F5" w:rsidP="007A1E33">
            <w:pPr>
              <w:spacing w:after="0"/>
              <w:rPr>
                <w:rFonts w:ascii="Garamond" w:hAnsi="Garamond"/>
                <w:sz w:val="20"/>
                <w:szCs w:val="20"/>
              </w:rPr>
            </w:pPr>
            <w:r w:rsidRPr="00D775DD">
              <w:rPr>
                <w:rFonts w:ascii="Garamond" w:hAnsi="Garamond"/>
                <w:sz w:val="20"/>
                <w:szCs w:val="20"/>
              </w:rPr>
              <w:t>79,172</w:t>
            </w:r>
          </w:p>
        </w:tc>
        <w:tc>
          <w:tcPr>
            <w:tcW w:w="1269" w:type="dxa"/>
            <w:tcBorders>
              <w:top w:val="nil"/>
              <w:left w:val="nil"/>
              <w:bottom w:val="single" w:sz="4" w:space="0" w:color="auto"/>
              <w:right w:val="single" w:sz="4" w:space="0" w:color="auto"/>
            </w:tcBorders>
            <w:shd w:val="clear" w:color="auto" w:fill="auto"/>
            <w:noWrap/>
            <w:vAlign w:val="center"/>
            <w:hideMark/>
          </w:tcPr>
          <w:p w14:paraId="7E8C1EC1" w14:textId="77777777" w:rsidR="008732F5" w:rsidRPr="00D775DD" w:rsidRDefault="008732F5" w:rsidP="007A1E33">
            <w:pPr>
              <w:spacing w:after="0"/>
              <w:rPr>
                <w:rFonts w:ascii="Garamond" w:eastAsia="Times New Roman" w:hAnsi="Garamond"/>
                <w:sz w:val="20"/>
                <w:szCs w:val="20"/>
              </w:rPr>
            </w:pPr>
            <w:r w:rsidRPr="00D775DD">
              <w:rPr>
                <w:rFonts w:ascii="Garamond" w:hAnsi="Garamond"/>
                <w:sz w:val="20"/>
                <w:szCs w:val="20"/>
              </w:rPr>
              <w:t>100%</w:t>
            </w:r>
          </w:p>
        </w:tc>
      </w:tr>
    </w:tbl>
    <w:p w14:paraId="63C730B0" w14:textId="77777777" w:rsidR="008732F5" w:rsidRPr="00D13405" w:rsidRDefault="008732F5" w:rsidP="008732F5">
      <w:pPr>
        <w:rPr>
          <w:rFonts w:ascii="Garamond" w:hAnsi="Garamond"/>
          <w:sz w:val="20"/>
          <w:szCs w:val="20"/>
        </w:rPr>
      </w:pPr>
      <w:r w:rsidRPr="00D13405">
        <w:rPr>
          <w:rFonts w:ascii="Garamond" w:hAnsi="Garamond"/>
          <w:i/>
          <w:sz w:val="20"/>
          <w:szCs w:val="20"/>
        </w:rPr>
        <w:t>Source</w:t>
      </w:r>
      <w:r w:rsidRPr="00D13405">
        <w:rPr>
          <w:rFonts w:ascii="Garamond" w:hAnsi="Garamond"/>
          <w:sz w:val="20"/>
          <w:szCs w:val="20"/>
        </w:rPr>
        <w:t>: Ministry of Education, 2016</w:t>
      </w:r>
    </w:p>
    <w:p w14:paraId="6BA3AF18" w14:textId="77777777" w:rsidR="001F21D2" w:rsidRDefault="001F21D2" w:rsidP="00724BAB">
      <w:pPr>
        <w:pStyle w:val="ListParagraph"/>
        <w:numPr>
          <w:ilvl w:val="0"/>
          <w:numId w:val="9"/>
        </w:numPr>
      </w:pPr>
      <w:r w:rsidRPr="00FB1D40">
        <w:rPr>
          <w:b/>
        </w:rPr>
        <w:t>The government achieved this remarkable increase in the share of trained teachers through targeted training programs.</w:t>
      </w:r>
      <w:r w:rsidRPr="00533642">
        <w:t xml:space="preserve"> The</w:t>
      </w:r>
      <w:r w:rsidRPr="00FB1D40">
        <w:t xml:space="preserve"> government relaunched the Untrained Teachers Diploma in Basic Education program and spent GH¢</w:t>
      </w:r>
      <w:r>
        <w:t xml:space="preserve"> </w:t>
      </w:r>
      <w:r w:rsidRPr="00FB1D40">
        <w:t xml:space="preserve">19.5 million </w:t>
      </w:r>
      <w:r w:rsidRPr="00533642">
        <w:t>to sponsor the participation</w:t>
      </w:r>
      <w:r w:rsidRPr="00FB1D40">
        <w:t xml:space="preserve"> </w:t>
      </w:r>
      <w:r>
        <w:t xml:space="preserve">of </w:t>
      </w:r>
      <w:r w:rsidRPr="00FB1D40">
        <w:t xml:space="preserve">6,563 untrained teachers (2,430 </w:t>
      </w:r>
      <w:r w:rsidRPr="00533642">
        <w:t>women</w:t>
      </w:r>
      <w:r w:rsidRPr="00FB1D40">
        <w:t xml:space="preserve"> and 4,133 </w:t>
      </w:r>
      <w:r w:rsidRPr="00533642">
        <w:t>men</w:t>
      </w:r>
      <w:r w:rsidRPr="00FB1D40">
        <w:t xml:space="preserve">) from 75 beneficiary districts. The program also </w:t>
      </w:r>
      <w:r w:rsidRPr="00FB1D40">
        <w:lastRenderedPageBreak/>
        <w:t xml:space="preserve">received funding from the Global Partnership for Education to train teachers in remote areas of </w:t>
      </w:r>
      <w:r>
        <w:t>the country</w:t>
      </w:r>
      <w:r w:rsidRPr="00FB1D40">
        <w:t xml:space="preserve">. </w:t>
      </w:r>
      <w:r>
        <w:t>Nevertheless, 34</w:t>
      </w:r>
      <w:r w:rsidRPr="00FB1D40">
        <w:t xml:space="preserve"> percent of all </w:t>
      </w:r>
      <w:r w:rsidRPr="00533642">
        <w:t>kindergarten</w:t>
      </w:r>
      <w:r w:rsidRPr="00FB1D40">
        <w:t xml:space="preserve"> teachers are still untrained, </w:t>
      </w:r>
      <w:r w:rsidRPr="00533642">
        <w:t>as are</w:t>
      </w:r>
      <w:r w:rsidRPr="00FB1D40">
        <w:t xml:space="preserve"> 22 percent of all primary </w:t>
      </w:r>
      <w:r w:rsidRPr="00533642">
        <w:t xml:space="preserve">teachers </w:t>
      </w:r>
      <w:r w:rsidRPr="00FB1D40">
        <w:t>and 10 percent of all JHS teachers.</w:t>
      </w:r>
      <w:r w:rsidRPr="00FB1D40">
        <w:rPr>
          <w:noProof/>
        </w:rPr>
        <w:t xml:space="preserve"> </w:t>
      </w:r>
      <w:r>
        <w:rPr>
          <w:noProof/>
        </w:rPr>
        <w:t>Closing</w:t>
      </w:r>
      <w:r w:rsidRPr="00533642">
        <w:rPr>
          <w:noProof/>
        </w:rPr>
        <w:t xml:space="preserve"> these training gaps will be </w:t>
      </w:r>
      <w:r>
        <w:rPr>
          <w:noProof/>
        </w:rPr>
        <w:t>necessary</w:t>
      </w:r>
      <w:r w:rsidRPr="00533642">
        <w:rPr>
          <w:noProof/>
        </w:rPr>
        <w:t xml:space="preserve"> to improve educational outcomes.</w:t>
      </w:r>
    </w:p>
    <w:p w14:paraId="01811FC9" w14:textId="77777777" w:rsidR="001F21D2" w:rsidRDefault="001F21D2" w:rsidP="00724BAB">
      <w:pPr>
        <w:pStyle w:val="ListParagraph"/>
        <w:numPr>
          <w:ilvl w:val="0"/>
          <w:numId w:val="9"/>
        </w:numPr>
      </w:pPr>
      <w:r w:rsidRPr="00D775DD">
        <w:rPr>
          <w:b/>
        </w:rPr>
        <w:t xml:space="preserve">There are huge disparities </w:t>
      </w:r>
      <w:r w:rsidRPr="0067705C">
        <w:rPr>
          <w:b/>
        </w:rPr>
        <w:t>in</w:t>
      </w:r>
      <w:r w:rsidRPr="00D775DD">
        <w:rPr>
          <w:b/>
        </w:rPr>
        <w:t xml:space="preserve"> the </w:t>
      </w:r>
      <w:r w:rsidRPr="0067705C">
        <w:rPr>
          <w:b/>
        </w:rPr>
        <w:t xml:space="preserve">regional </w:t>
      </w:r>
      <w:r w:rsidRPr="00D775DD">
        <w:rPr>
          <w:b/>
        </w:rPr>
        <w:t xml:space="preserve">distribution and deployment of teachers. </w:t>
      </w:r>
      <w:r w:rsidRPr="0067705C">
        <w:rPr>
          <w:lang w:eastAsia="en-GB"/>
        </w:rPr>
        <w:t>In interviews, d</w:t>
      </w:r>
      <w:r w:rsidRPr="00D775DD">
        <w:rPr>
          <w:lang w:eastAsia="en-GB"/>
        </w:rPr>
        <w:t xml:space="preserve">istrict directors of education in remote areas </w:t>
      </w:r>
      <w:r w:rsidRPr="0067705C">
        <w:rPr>
          <w:lang w:eastAsia="en-GB"/>
        </w:rPr>
        <w:t xml:space="preserve">frequently </w:t>
      </w:r>
      <w:r w:rsidRPr="00D775DD">
        <w:rPr>
          <w:lang w:eastAsia="en-GB"/>
        </w:rPr>
        <w:t xml:space="preserve">cite the </w:t>
      </w:r>
      <w:r w:rsidRPr="0067705C">
        <w:rPr>
          <w:lang w:eastAsia="en-GB"/>
        </w:rPr>
        <w:t>poverty</w:t>
      </w:r>
      <w:r w:rsidRPr="00D775DD">
        <w:rPr>
          <w:lang w:eastAsia="en-GB"/>
        </w:rPr>
        <w:t xml:space="preserve"> of the</w:t>
      </w:r>
      <w:r w:rsidRPr="0067705C">
        <w:rPr>
          <w:lang w:eastAsia="en-GB"/>
        </w:rPr>
        <w:t>ir</w:t>
      </w:r>
      <w:r w:rsidRPr="00D775DD">
        <w:rPr>
          <w:lang w:eastAsia="en-GB"/>
        </w:rPr>
        <w:t xml:space="preserve"> communities as the main reason </w:t>
      </w:r>
      <w:r w:rsidRPr="0067705C">
        <w:rPr>
          <w:lang w:eastAsia="en-GB"/>
        </w:rPr>
        <w:t>that</w:t>
      </w:r>
      <w:r w:rsidRPr="00D775DD">
        <w:rPr>
          <w:lang w:eastAsia="en-GB"/>
        </w:rPr>
        <w:t xml:space="preserve"> trained teachers </w:t>
      </w:r>
      <w:r>
        <w:rPr>
          <w:lang w:eastAsia="en-GB"/>
        </w:rPr>
        <w:t>fail</w:t>
      </w:r>
      <w:r w:rsidRPr="00D775DD">
        <w:rPr>
          <w:lang w:eastAsia="en-GB"/>
        </w:rPr>
        <w:t xml:space="preserve"> to report to their posts.</w:t>
      </w:r>
      <w:r w:rsidRPr="0067705C">
        <w:rPr>
          <w:rStyle w:val="FootnoteReference"/>
          <w:lang w:eastAsia="en-GB"/>
        </w:rPr>
        <w:footnoteReference w:id="128"/>
      </w:r>
      <w:r w:rsidRPr="00D775DD">
        <w:rPr>
          <w:lang w:eastAsia="en-GB"/>
        </w:rPr>
        <w:t xml:space="preserve"> </w:t>
      </w:r>
      <w:r>
        <w:t>Even when c</w:t>
      </w:r>
      <w:r w:rsidRPr="0067705C">
        <w:t>ontrolling</w:t>
      </w:r>
      <w:r w:rsidRPr="00D775DD">
        <w:t xml:space="preserve"> for the number and seniority of teachers and corresponding wage differentials, </w:t>
      </w:r>
      <w:r w:rsidRPr="0067705C">
        <w:t xml:space="preserve">per-student spending in </w:t>
      </w:r>
      <w:r w:rsidRPr="00D775DD">
        <w:t>th</w:t>
      </w:r>
      <w:r w:rsidRPr="0067705C">
        <w:t>e</w:t>
      </w:r>
      <w:r w:rsidRPr="00D775DD">
        <w:t xml:space="preserve"> </w:t>
      </w:r>
      <w:r w:rsidRPr="0067705C">
        <w:t xml:space="preserve">country’s </w:t>
      </w:r>
      <w:r w:rsidRPr="00D775DD">
        <w:t xml:space="preserve">poorer </w:t>
      </w:r>
      <w:r w:rsidRPr="0067705C">
        <w:t>and more remote</w:t>
      </w:r>
      <w:r w:rsidRPr="00D775DD">
        <w:t xml:space="preserve"> regions </w:t>
      </w:r>
      <w:r w:rsidRPr="0067705C">
        <w:t>tends to be far</w:t>
      </w:r>
      <w:r w:rsidRPr="00D775DD">
        <w:t xml:space="preserve"> below average, </w:t>
      </w:r>
      <w:r w:rsidRPr="0067705C">
        <w:t>indicating</w:t>
      </w:r>
      <w:r w:rsidRPr="00D775DD">
        <w:t xml:space="preserve"> that fewer teachers </w:t>
      </w:r>
      <w:r w:rsidRPr="0067705C">
        <w:t xml:space="preserve">are </w:t>
      </w:r>
      <w:r>
        <w:t xml:space="preserve">actively </w:t>
      </w:r>
      <w:r w:rsidRPr="00D775DD">
        <w:t xml:space="preserve">deployed in </w:t>
      </w:r>
      <w:r w:rsidRPr="0067705C">
        <w:t>th</w:t>
      </w:r>
      <w:r>
        <w:t>ese</w:t>
      </w:r>
      <w:r w:rsidRPr="00D775DD">
        <w:t xml:space="preserve"> areas.</w:t>
      </w:r>
    </w:p>
    <w:p w14:paraId="51AD236E" w14:textId="77777777" w:rsidR="001F21D2" w:rsidRPr="00533642" w:rsidRDefault="00657AA2" w:rsidP="00CC6F65">
      <w:pPr>
        <w:pStyle w:val="Caption"/>
      </w:pPr>
      <w:r>
        <w:t>Figure</w:t>
      </w:r>
      <w:r w:rsidR="001F21D2" w:rsidRPr="00533642">
        <w:t xml:space="preserve"> </w:t>
      </w:r>
      <w:r w:rsidR="005C0067">
        <w:fldChar w:fldCharType="begin"/>
      </w:r>
      <w:r w:rsidR="005C0067">
        <w:instrText xml:space="preserve"> STYLEREF 1 \s </w:instrText>
      </w:r>
      <w:r w:rsidR="005C0067">
        <w:fldChar w:fldCharType="separate"/>
      </w:r>
      <w:r w:rsidR="007B1CE6">
        <w:rPr>
          <w:noProof/>
        </w:rPr>
        <w:t>4</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10</w:t>
      </w:r>
      <w:r w:rsidR="005C0067">
        <w:fldChar w:fldCharType="end"/>
      </w:r>
      <w:r w:rsidR="001F21D2" w:rsidRPr="00533642">
        <w:t>: Primary Education Spending per Child, by Region</w:t>
      </w:r>
    </w:p>
    <w:p w14:paraId="7A3522C0" w14:textId="77777777" w:rsidR="001F21D2" w:rsidRPr="00D775DD" w:rsidRDefault="006C2C23" w:rsidP="001F21D2">
      <w:pPr>
        <w:pStyle w:val="Caption"/>
      </w:pPr>
      <w:r>
        <w:rPr>
          <w:noProof/>
          <w:lang w:val="en-US" w:eastAsia="en-US"/>
        </w:rPr>
        <w:drawing>
          <wp:inline distT="0" distB="0" distL="0" distR="0" wp14:anchorId="2AE7D454" wp14:editId="1AC96C31">
            <wp:extent cx="4183380" cy="3048000"/>
            <wp:effectExtent l="0" t="0" r="7620" b="0"/>
            <wp:docPr id="55" name="Picture 1" descr="primary exppc+p by reg and dst"/>
            <wp:cNvGraphicFramePr/>
            <a:graphic xmlns:a="http://schemas.openxmlformats.org/drawingml/2006/main">
              <a:graphicData uri="http://schemas.openxmlformats.org/drawingml/2006/picture">
                <pic:pic xmlns:pic="http://schemas.openxmlformats.org/drawingml/2006/picture">
                  <pic:nvPicPr>
                    <pic:cNvPr id="2" name="Picture 1" descr="primary exppc+p by reg and dst"/>
                    <pic:cNvPicPr/>
                  </pic:nvPicPr>
                  <pic:blipFill>
                    <a:blip r:embed="rId77" cstate="print"/>
                    <a:srcRect/>
                    <a:stretch>
                      <a:fillRect/>
                    </a:stretch>
                  </pic:blipFill>
                  <pic:spPr bwMode="auto">
                    <a:xfrm>
                      <a:off x="0" y="0"/>
                      <a:ext cx="4183380" cy="3048000"/>
                    </a:xfrm>
                    <a:prstGeom prst="rect">
                      <a:avLst/>
                    </a:prstGeom>
                    <a:noFill/>
                    <a:ln w="9525">
                      <a:noFill/>
                      <a:miter lim="800000"/>
                      <a:headEnd/>
                      <a:tailEnd/>
                    </a:ln>
                  </pic:spPr>
                </pic:pic>
              </a:graphicData>
            </a:graphic>
          </wp:inline>
        </w:drawing>
      </w:r>
    </w:p>
    <w:p w14:paraId="63832BB7" w14:textId="77777777" w:rsidR="001F21D2" w:rsidRPr="00D775DD" w:rsidRDefault="001F21D2" w:rsidP="001F21D2">
      <w:pPr>
        <w:rPr>
          <w:rFonts w:ascii="Garamond" w:hAnsi="Garamond"/>
          <w:sz w:val="20"/>
          <w:szCs w:val="20"/>
        </w:rPr>
      </w:pPr>
      <w:r w:rsidRPr="00533642">
        <w:rPr>
          <w:rFonts w:ascii="Garamond" w:hAnsi="Garamond"/>
          <w:sz w:val="20"/>
          <w:szCs w:val="20"/>
        </w:rPr>
        <w:tab/>
      </w:r>
      <w:r w:rsidRPr="00533642">
        <w:rPr>
          <w:rFonts w:ascii="Garamond" w:hAnsi="Garamond"/>
          <w:sz w:val="20"/>
          <w:szCs w:val="20"/>
        </w:rPr>
        <w:tab/>
      </w:r>
      <w:r w:rsidRPr="00D775DD">
        <w:rPr>
          <w:rFonts w:ascii="Garamond" w:hAnsi="Garamond"/>
          <w:i/>
          <w:sz w:val="20"/>
          <w:szCs w:val="20"/>
        </w:rPr>
        <w:t>Source</w:t>
      </w:r>
      <w:r w:rsidRPr="00D775DD">
        <w:rPr>
          <w:rFonts w:ascii="Garamond" w:hAnsi="Garamond"/>
          <w:sz w:val="20"/>
          <w:szCs w:val="20"/>
        </w:rPr>
        <w:t>: World Bank, 2011</w:t>
      </w:r>
      <w:r>
        <w:rPr>
          <w:rFonts w:ascii="Garamond" w:hAnsi="Garamond"/>
          <w:sz w:val="20"/>
          <w:szCs w:val="20"/>
        </w:rPr>
        <w:t>a</w:t>
      </w:r>
    </w:p>
    <w:p w14:paraId="3A30F102" w14:textId="77777777" w:rsidR="001F21D2" w:rsidRPr="00C8170B" w:rsidRDefault="00737729" w:rsidP="00737729">
      <w:pPr>
        <w:pStyle w:val="Caption"/>
        <w:rPr>
          <w:lang w:val="en-US"/>
        </w:rPr>
      </w:pPr>
      <w:bookmarkStart w:id="176" w:name="_Toc478837656"/>
      <w:r w:rsidRPr="00C8170B">
        <w:rPr>
          <w:lang w:val="en-US"/>
        </w:rPr>
        <w:t xml:space="preserve">Table </w:t>
      </w:r>
      <w:r w:rsidR="00500291" w:rsidRPr="00C8170B">
        <w:rPr>
          <w:lang w:val="en-US"/>
        </w:rPr>
        <w:fldChar w:fldCharType="begin"/>
      </w:r>
      <w:r w:rsidR="00500291" w:rsidRPr="00C8170B">
        <w:rPr>
          <w:lang w:val="en-US"/>
        </w:rPr>
        <w:instrText xml:space="preserve"> STYLEREF 1 \s </w:instrText>
      </w:r>
      <w:r w:rsidR="00500291" w:rsidRPr="00C8170B">
        <w:rPr>
          <w:lang w:val="en-US"/>
        </w:rPr>
        <w:fldChar w:fldCharType="separate"/>
      </w:r>
      <w:r w:rsidR="007B1CE6">
        <w:rPr>
          <w:noProof/>
          <w:lang w:val="en-US"/>
        </w:rPr>
        <w:t>4</w:t>
      </w:r>
      <w:r w:rsidR="00500291" w:rsidRPr="00C8170B">
        <w:rPr>
          <w:lang w:val="en-US"/>
        </w:rPr>
        <w:fldChar w:fldCharType="end"/>
      </w:r>
      <w:r w:rsidR="00500291" w:rsidRPr="00C8170B">
        <w:rPr>
          <w:lang w:val="en-US"/>
        </w:rPr>
        <w:t>.</w:t>
      </w:r>
      <w:r w:rsidR="00500291" w:rsidRPr="00C8170B">
        <w:rPr>
          <w:lang w:val="en-US"/>
        </w:rPr>
        <w:fldChar w:fldCharType="begin"/>
      </w:r>
      <w:r w:rsidR="00500291" w:rsidRPr="00C8170B">
        <w:rPr>
          <w:lang w:val="en-US"/>
        </w:rPr>
        <w:instrText xml:space="preserve"> SEQ Table \* ARABIC \s 1 </w:instrText>
      </w:r>
      <w:r w:rsidR="00500291" w:rsidRPr="00C8170B">
        <w:rPr>
          <w:lang w:val="en-US"/>
        </w:rPr>
        <w:fldChar w:fldCharType="separate"/>
      </w:r>
      <w:r w:rsidR="007B1CE6">
        <w:rPr>
          <w:noProof/>
          <w:lang w:val="en-US"/>
        </w:rPr>
        <w:t>8</w:t>
      </w:r>
      <w:r w:rsidR="00500291" w:rsidRPr="00C8170B">
        <w:rPr>
          <w:lang w:val="en-US"/>
        </w:rPr>
        <w:fldChar w:fldCharType="end"/>
      </w:r>
      <w:r w:rsidR="001F21D2" w:rsidRPr="00C8170B">
        <w:rPr>
          <w:lang w:val="en-US"/>
        </w:rPr>
        <w:t>: Textbooks per Student, National and Deprived District Averages,2010/11-2015/16</w:t>
      </w:r>
      <w:bookmarkEnd w:id="176"/>
      <w:r w:rsidR="001F21D2" w:rsidRPr="00C8170B">
        <w:rPr>
          <w:lang w:val="en-US"/>
        </w:rPr>
        <w:t xml:space="preserve"> </w:t>
      </w:r>
    </w:p>
    <w:tbl>
      <w:tblPr>
        <w:tblW w:w="9350" w:type="dxa"/>
        <w:jc w:val="center"/>
        <w:tblLook w:val="04A0" w:firstRow="1" w:lastRow="0" w:firstColumn="1" w:lastColumn="0" w:noHBand="0" w:noVBand="1"/>
      </w:tblPr>
      <w:tblGrid>
        <w:gridCol w:w="1435"/>
        <w:gridCol w:w="760"/>
        <w:gridCol w:w="795"/>
        <w:gridCol w:w="795"/>
        <w:gridCol w:w="795"/>
        <w:gridCol w:w="795"/>
        <w:gridCol w:w="795"/>
        <w:gridCol w:w="795"/>
        <w:gridCol w:w="795"/>
        <w:gridCol w:w="795"/>
        <w:gridCol w:w="795"/>
      </w:tblGrid>
      <w:tr w:rsidR="001F21D2" w:rsidRPr="00533642" w14:paraId="5BC6D933" w14:textId="77777777" w:rsidTr="005A7652">
        <w:trPr>
          <w:trHeight w:val="415"/>
          <w:jc w:val="center"/>
        </w:trPr>
        <w:tc>
          <w:tcPr>
            <w:tcW w:w="1435" w:type="dxa"/>
            <w:tcBorders>
              <w:top w:val="single" w:sz="4" w:space="0" w:color="auto"/>
              <w:left w:val="single" w:sz="4" w:space="0" w:color="auto"/>
              <w:bottom w:val="single" w:sz="4" w:space="0" w:color="auto"/>
              <w:right w:val="nil"/>
            </w:tcBorders>
            <w:shd w:val="clear" w:color="auto" w:fill="auto"/>
            <w:noWrap/>
            <w:vAlign w:val="center"/>
            <w:hideMark/>
          </w:tcPr>
          <w:p w14:paraId="029AB84A" w14:textId="77777777" w:rsidR="001F21D2" w:rsidRPr="00D775DD" w:rsidRDefault="001F21D2" w:rsidP="005A7652">
            <w:pPr>
              <w:spacing w:after="120"/>
              <w:ind w:left="67"/>
              <w:rPr>
                <w:rFonts w:ascii="Garamond" w:hAnsi="Garamond"/>
                <w:sz w:val="20"/>
                <w:szCs w:val="20"/>
              </w:rPr>
            </w:pPr>
          </w:p>
        </w:tc>
        <w:tc>
          <w:tcPr>
            <w:tcW w:w="4735" w:type="dxa"/>
            <w:gridSpan w:val="6"/>
            <w:tcBorders>
              <w:top w:val="single" w:sz="4" w:space="0" w:color="auto"/>
              <w:left w:val="nil"/>
              <w:bottom w:val="single" w:sz="4" w:space="0" w:color="auto"/>
              <w:right w:val="nil"/>
            </w:tcBorders>
            <w:shd w:val="clear" w:color="auto" w:fill="D9E2F3" w:themeFill="accent5" w:themeFillTint="33"/>
            <w:noWrap/>
            <w:vAlign w:val="center"/>
            <w:hideMark/>
          </w:tcPr>
          <w:p w14:paraId="049CAB34" w14:textId="77777777" w:rsidR="001F21D2" w:rsidRPr="00D775DD" w:rsidRDefault="001F21D2" w:rsidP="005A7652">
            <w:pPr>
              <w:spacing w:after="0"/>
              <w:jc w:val="center"/>
              <w:rPr>
                <w:rFonts w:ascii="Garamond" w:hAnsi="Garamond"/>
                <w:sz w:val="20"/>
                <w:szCs w:val="20"/>
              </w:rPr>
            </w:pPr>
            <w:r w:rsidRPr="00D775DD">
              <w:rPr>
                <w:rFonts w:ascii="Garamond" w:hAnsi="Garamond"/>
                <w:sz w:val="20"/>
                <w:szCs w:val="20"/>
              </w:rPr>
              <w:t>National</w:t>
            </w:r>
            <w:r>
              <w:rPr>
                <w:rFonts w:ascii="Garamond" w:hAnsi="Garamond"/>
                <w:sz w:val="20"/>
                <w:szCs w:val="20"/>
              </w:rPr>
              <w:t xml:space="preserve"> Average</w:t>
            </w:r>
          </w:p>
        </w:tc>
        <w:tc>
          <w:tcPr>
            <w:tcW w:w="31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0A5D7" w14:textId="77777777" w:rsidR="001F21D2" w:rsidRPr="00D775DD" w:rsidRDefault="001F21D2" w:rsidP="005A7652">
            <w:pPr>
              <w:spacing w:after="0"/>
              <w:jc w:val="center"/>
              <w:rPr>
                <w:rFonts w:ascii="Garamond" w:hAnsi="Garamond"/>
                <w:sz w:val="20"/>
                <w:szCs w:val="20"/>
              </w:rPr>
            </w:pPr>
            <w:r w:rsidRPr="00D775DD">
              <w:rPr>
                <w:rFonts w:ascii="Garamond" w:hAnsi="Garamond"/>
                <w:sz w:val="20"/>
                <w:szCs w:val="20"/>
              </w:rPr>
              <w:t xml:space="preserve">Deprived </w:t>
            </w:r>
            <w:r>
              <w:rPr>
                <w:rFonts w:ascii="Garamond" w:hAnsi="Garamond"/>
                <w:sz w:val="20"/>
                <w:szCs w:val="20"/>
              </w:rPr>
              <w:t>D</w:t>
            </w:r>
            <w:r w:rsidRPr="00D775DD">
              <w:rPr>
                <w:rFonts w:ascii="Garamond" w:hAnsi="Garamond"/>
                <w:sz w:val="20"/>
                <w:szCs w:val="20"/>
              </w:rPr>
              <w:t>istricts</w:t>
            </w:r>
          </w:p>
        </w:tc>
      </w:tr>
      <w:tr w:rsidR="001F21D2" w:rsidRPr="00533642" w14:paraId="2F16E081" w14:textId="77777777" w:rsidTr="005A7652">
        <w:trPr>
          <w:trHeight w:val="415"/>
          <w:jc w:val="center"/>
        </w:trPr>
        <w:tc>
          <w:tcPr>
            <w:tcW w:w="1435" w:type="dxa"/>
            <w:tcBorders>
              <w:top w:val="nil"/>
              <w:left w:val="single" w:sz="4" w:space="0" w:color="auto"/>
              <w:bottom w:val="single" w:sz="4" w:space="0" w:color="auto"/>
              <w:right w:val="nil"/>
            </w:tcBorders>
            <w:shd w:val="clear" w:color="auto" w:fill="auto"/>
            <w:noWrap/>
            <w:vAlign w:val="center"/>
            <w:hideMark/>
          </w:tcPr>
          <w:p w14:paraId="76875BA2" w14:textId="77777777" w:rsidR="001F21D2" w:rsidRPr="00D775DD" w:rsidRDefault="001F21D2" w:rsidP="005A7652">
            <w:pPr>
              <w:spacing w:after="0"/>
              <w:ind w:left="67"/>
              <w:jc w:val="center"/>
              <w:rPr>
                <w:rFonts w:ascii="Garamond" w:hAnsi="Garamond"/>
                <w:sz w:val="20"/>
                <w:szCs w:val="20"/>
              </w:rPr>
            </w:pPr>
          </w:p>
        </w:tc>
        <w:tc>
          <w:tcPr>
            <w:tcW w:w="760" w:type="dxa"/>
            <w:tcBorders>
              <w:top w:val="nil"/>
              <w:left w:val="nil"/>
              <w:bottom w:val="single" w:sz="4" w:space="0" w:color="auto"/>
              <w:right w:val="nil"/>
            </w:tcBorders>
            <w:shd w:val="clear" w:color="auto" w:fill="D9E2F3" w:themeFill="accent5" w:themeFillTint="33"/>
            <w:noWrap/>
            <w:vAlign w:val="center"/>
            <w:hideMark/>
          </w:tcPr>
          <w:p w14:paraId="41D3548E" w14:textId="77777777" w:rsidR="001F21D2" w:rsidRPr="00F0436D" w:rsidRDefault="001F21D2" w:rsidP="005A7652">
            <w:pPr>
              <w:spacing w:after="0"/>
              <w:jc w:val="center"/>
              <w:rPr>
                <w:rFonts w:ascii="Garamond" w:hAnsi="Garamond"/>
                <w:sz w:val="16"/>
                <w:szCs w:val="16"/>
              </w:rPr>
            </w:pPr>
            <w:r w:rsidRPr="00F0436D">
              <w:rPr>
                <w:rFonts w:ascii="Garamond" w:hAnsi="Garamond"/>
                <w:sz w:val="16"/>
                <w:szCs w:val="16"/>
              </w:rPr>
              <w:t>2010/11</w:t>
            </w:r>
          </w:p>
        </w:tc>
        <w:tc>
          <w:tcPr>
            <w:tcW w:w="795" w:type="dxa"/>
            <w:tcBorders>
              <w:top w:val="nil"/>
              <w:left w:val="nil"/>
              <w:bottom w:val="single" w:sz="4" w:space="0" w:color="auto"/>
              <w:right w:val="nil"/>
            </w:tcBorders>
            <w:shd w:val="clear" w:color="auto" w:fill="D9E2F3" w:themeFill="accent5" w:themeFillTint="33"/>
            <w:noWrap/>
            <w:vAlign w:val="center"/>
            <w:hideMark/>
          </w:tcPr>
          <w:p w14:paraId="635FAB6B" w14:textId="77777777" w:rsidR="001F21D2" w:rsidRPr="00F0436D" w:rsidRDefault="001F21D2" w:rsidP="005A7652">
            <w:pPr>
              <w:spacing w:after="0"/>
              <w:jc w:val="center"/>
              <w:rPr>
                <w:rFonts w:ascii="Garamond" w:hAnsi="Garamond"/>
                <w:sz w:val="16"/>
                <w:szCs w:val="16"/>
              </w:rPr>
            </w:pPr>
            <w:r w:rsidRPr="00F0436D">
              <w:rPr>
                <w:rFonts w:ascii="Garamond" w:hAnsi="Garamond"/>
                <w:sz w:val="16"/>
                <w:szCs w:val="16"/>
              </w:rPr>
              <w:t>2011/12</w:t>
            </w:r>
          </w:p>
        </w:tc>
        <w:tc>
          <w:tcPr>
            <w:tcW w:w="795" w:type="dxa"/>
            <w:tcBorders>
              <w:top w:val="nil"/>
              <w:left w:val="nil"/>
              <w:bottom w:val="single" w:sz="4" w:space="0" w:color="auto"/>
              <w:right w:val="nil"/>
            </w:tcBorders>
            <w:shd w:val="clear" w:color="auto" w:fill="D9E2F3" w:themeFill="accent5" w:themeFillTint="33"/>
            <w:noWrap/>
            <w:vAlign w:val="center"/>
            <w:hideMark/>
          </w:tcPr>
          <w:p w14:paraId="68400DEC" w14:textId="77777777" w:rsidR="001F21D2" w:rsidRPr="00F0436D" w:rsidRDefault="001F21D2" w:rsidP="005A7652">
            <w:pPr>
              <w:spacing w:after="0"/>
              <w:jc w:val="center"/>
              <w:rPr>
                <w:rFonts w:ascii="Garamond" w:hAnsi="Garamond"/>
                <w:sz w:val="16"/>
                <w:szCs w:val="16"/>
              </w:rPr>
            </w:pPr>
            <w:r w:rsidRPr="00F0436D">
              <w:rPr>
                <w:rFonts w:ascii="Garamond" w:hAnsi="Garamond"/>
                <w:sz w:val="16"/>
                <w:szCs w:val="16"/>
              </w:rPr>
              <w:t>2012/13</w:t>
            </w:r>
          </w:p>
        </w:tc>
        <w:tc>
          <w:tcPr>
            <w:tcW w:w="795" w:type="dxa"/>
            <w:tcBorders>
              <w:top w:val="nil"/>
              <w:left w:val="nil"/>
              <w:bottom w:val="single" w:sz="4" w:space="0" w:color="auto"/>
              <w:right w:val="nil"/>
            </w:tcBorders>
            <w:shd w:val="clear" w:color="auto" w:fill="D9E2F3" w:themeFill="accent5" w:themeFillTint="33"/>
            <w:noWrap/>
            <w:vAlign w:val="center"/>
            <w:hideMark/>
          </w:tcPr>
          <w:p w14:paraId="7C62FFB5" w14:textId="77777777" w:rsidR="001F21D2" w:rsidRPr="00F0436D" w:rsidRDefault="001F21D2" w:rsidP="005A7652">
            <w:pPr>
              <w:spacing w:after="0"/>
              <w:jc w:val="center"/>
              <w:rPr>
                <w:rFonts w:ascii="Garamond" w:hAnsi="Garamond"/>
                <w:sz w:val="16"/>
                <w:szCs w:val="16"/>
              </w:rPr>
            </w:pPr>
            <w:r w:rsidRPr="00F0436D">
              <w:rPr>
                <w:rFonts w:ascii="Garamond" w:hAnsi="Garamond"/>
                <w:sz w:val="16"/>
                <w:szCs w:val="16"/>
              </w:rPr>
              <w:t>2013/14</w:t>
            </w:r>
          </w:p>
        </w:tc>
        <w:tc>
          <w:tcPr>
            <w:tcW w:w="795" w:type="dxa"/>
            <w:tcBorders>
              <w:top w:val="nil"/>
              <w:left w:val="nil"/>
              <w:bottom w:val="single" w:sz="4" w:space="0" w:color="auto"/>
              <w:right w:val="nil"/>
            </w:tcBorders>
            <w:shd w:val="clear" w:color="auto" w:fill="D9E2F3" w:themeFill="accent5" w:themeFillTint="33"/>
            <w:noWrap/>
            <w:vAlign w:val="center"/>
            <w:hideMark/>
          </w:tcPr>
          <w:p w14:paraId="7CF8AEF2" w14:textId="77777777" w:rsidR="001F21D2" w:rsidRPr="00F0436D" w:rsidRDefault="001F21D2" w:rsidP="005A7652">
            <w:pPr>
              <w:spacing w:after="0"/>
              <w:jc w:val="center"/>
              <w:rPr>
                <w:rFonts w:ascii="Garamond" w:hAnsi="Garamond"/>
                <w:sz w:val="16"/>
                <w:szCs w:val="16"/>
              </w:rPr>
            </w:pPr>
            <w:r w:rsidRPr="00F0436D">
              <w:rPr>
                <w:rFonts w:ascii="Garamond" w:hAnsi="Garamond"/>
                <w:sz w:val="16"/>
                <w:szCs w:val="16"/>
              </w:rPr>
              <w:t>2014/15</w:t>
            </w:r>
          </w:p>
        </w:tc>
        <w:tc>
          <w:tcPr>
            <w:tcW w:w="795" w:type="dxa"/>
            <w:tcBorders>
              <w:top w:val="nil"/>
              <w:left w:val="nil"/>
              <w:bottom w:val="single" w:sz="4" w:space="0" w:color="auto"/>
              <w:right w:val="nil"/>
            </w:tcBorders>
            <w:shd w:val="clear" w:color="auto" w:fill="D9E2F3" w:themeFill="accent5" w:themeFillTint="33"/>
            <w:noWrap/>
            <w:vAlign w:val="center"/>
            <w:hideMark/>
          </w:tcPr>
          <w:p w14:paraId="6B5C8534" w14:textId="77777777" w:rsidR="001F21D2" w:rsidRPr="00F0436D" w:rsidRDefault="001F21D2" w:rsidP="005A7652">
            <w:pPr>
              <w:spacing w:after="0"/>
              <w:jc w:val="center"/>
              <w:rPr>
                <w:rFonts w:ascii="Garamond" w:hAnsi="Garamond"/>
                <w:sz w:val="16"/>
                <w:szCs w:val="16"/>
              </w:rPr>
            </w:pPr>
            <w:r w:rsidRPr="00F0436D">
              <w:rPr>
                <w:rFonts w:ascii="Garamond" w:hAnsi="Garamond"/>
                <w:sz w:val="16"/>
                <w:szCs w:val="16"/>
              </w:rPr>
              <w:t>2015/16</w:t>
            </w:r>
          </w:p>
        </w:tc>
        <w:tc>
          <w:tcPr>
            <w:tcW w:w="795" w:type="dxa"/>
            <w:tcBorders>
              <w:top w:val="nil"/>
              <w:left w:val="single" w:sz="4" w:space="0" w:color="auto"/>
              <w:bottom w:val="single" w:sz="4" w:space="0" w:color="auto"/>
              <w:right w:val="nil"/>
            </w:tcBorders>
            <w:shd w:val="clear" w:color="auto" w:fill="auto"/>
            <w:noWrap/>
            <w:vAlign w:val="center"/>
            <w:hideMark/>
          </w:tcPr>
          <w:p w14:paraId="576F0F81" w14:textId="77777777" w:rsidR="001F21D2" w:rsidRPr="00F0436D" w:rsidRDefault="001F21D2" w:rsidP="005A7652">
            <w:pPr>
              <w:spacing w:after="0"/>
              <w:jc w:val="center"/>
              <w:rPr>
                <w:rFonts w:ascii="Garamond" w:hAnsi="Garamond"/>
                <w:sz w:val="16"/>
                <w:szCs w:val="16"/>
              </w:rPr>
            </w:pPr>
            <w:r w:rsidRPr="00F0436D">
              <w:rPr>
                <w:rFonts w:ascii="Garamond" w:hAnsi="Garamond"/>
                <w:sz w:val="16"/>
                <w:szCs w:val="16"/>
              </w:rPr>
              <w:t>2012/13</w:t>
            </w:r>
          </w:p>
        </w:tc>
        <w:tc>
          <w:tcPr>
            <w:tcW w:w="795" w:type="dxa"/>
            <w:tcBorders>
              <w:top w:val="nil"/>
              <w:left w:val="nil"/>
              <w:bottom w:val="single" w:sz="4" w:space="0" w:color="auto"/>
              <w:right w:val="nil"/>
            </w:tcBorders>
            <w:shd w:val="clear" w:color="auto" w:fill="auto"/>
            <w:noWrap/>
            <w:vAlign w:val="center"/>
            <w:hideMark/>
          </w:tcPr>
          <w:p w14:paraId="5AB2AC31" w14:textId="77777777" w:rsidR="001F21D2" w:rsidRPr="00F0436D" w:rsidRDefault="001F21D2" w:rsidP="005A7652">
            <w:pPr>
              <w:spacing w:after="0"/>
              <w:jc w:val="center"/>
              <w:rPr>
                <w:rFonts w:ascii="Garamond" w:hAnsi="Garamond"/>
                <w:sz w:val="16"/>
                <w:szCs w:val="16"/>
              </w:rPr>
            </w:pPr>
            <w:r w:rsidRPr="00F0436D">
              <w:rPr>
                <w:rFonts w:ascii="Garamond" w:hAnsi="Garamond"/>
                <w:sz w:val="16"/>
                <w:szCs w:val="16"/>
              </w:rPr>
              <w:t>2013/14</w:t>
            </w:r>
          </w:p>
        </w:tc>
        <w:tc>
          <w:tcPr>
            <w:tcW w:w="795" w:type="dxa"/>
            <w:tcBorders>
              <w:top w:val="nil"/>
              <w:left w:val="nil"/>
              <w:bottom w:val="single" w:sz="4" w:space="0" w:color="auto"/>
              <w:right w:val="nil"/>
            </w:tcBorders>
            <w:shd w:val="clear" w:color="auto" w:fill="auto"/>
            <w:noWrap/>
            <w:vAlign w:val="center"/>
            <w:hideMark/>
          </w:tcPr>
          <w:p w14:paraId="1384B5F6" w14:textId="77777777" w:rsidR="001F21D2" w:rsidRPr="00F0436D" w:rsidRDefault="001F21D2" w:rsidP="005A7652">
            <w:pPr>
              <w:spacing w:after="0"/>
              <w:jc w:val="center"/>
              <w:rPr>
                <w:rFonts w:ascii="Garamond" w:hAnsi="Garamond"/>
                <w:sz w:val="16"/>
                <w:szCs w:val="16"/>
              </w:rPr>
            </w:pPr>
            <w:r w:rsidRPr="00F0436D">
              <w:rPr>
                <w:rFonts w:ascii="Garamond" w:hAnsi="Garamond"/>
                <w:sz w:val="16"/>
                <w:szCs w:val="16"/>
              </w:rPr>
              <w:t>2014/15</w:t>
            </w:r>
          </w:p>
        </w:tc>
        <w:tc>
          <w:tcPr>
            <w:tcW w:w="795" w:type="dxa"/>
            <w:tcBorders>
              <w:top w:val="nil"/>
              <w:left w:val="nil"/>
              <w:bottom w:val="single" w:sz="4" w:space="0" w:color="auto"/>
              <w:right w:val="single" w:sz="4" w:space="0" w:color="auto"/>
            </w:tcBorders>
            <w:shd w:val="clear" w:color="auto" w:fill="auto"/>
            <w:noWrap/>
            <w:vAlign w:val="center"/>
            <w:hideMark/>
          </w:tcPr>
          <w:p w14:paraId="65454FE5" w14:textId="77777777" w:rsidR="001F21D2" w:rsidRPr="00F0436D" w:rsidRDefault="001F21D2" w:rsidP="005A7652">
            <w:pPr>
              <w:spacing w:after="0"/>
              <w:jc w:val="center"/>
              <w:rPr>
                <w:rFonts w:ascii="Garamond" w:hAnsi="Garamond"/>
                <w:sz w:val="16"/>
                <w:szCs w:val="16"/>
              </w:rPr>
            </w:pPr>
            <w:r w:rsidRPr="00F0436D">
              <w:rPr>
                <w:rFonts w:ascii="Garamond" w:hAnsi="Garamond"/>
                <w:sz w:val="16"/>
                <w:szCs w:val="16"/>
              </w:rPr>
              <w:t>2015/16</w:t>
            </w:r>
          </w:p>
        </w:tc>
      </w:tr>
      <w:tr w:rsidR="001F21D2" w:rsidRPr="00533642" w14:paraId="655FD333" w14:textId="77777777" w:rsidTr="005A7652">
        <w:trPr>
          <w:trHeight w:val="415"/>
          <w:jc w:val="center"/>
        </w:trPr>
        <w:tc>
          <w:tcPr>
            <w:tcW w:w="1435" w:type="dxa"/>
            <w:tcBorders>
              <w:top w:val="nil"/>
              <w:left w:val="single" w:sz="4" w:space="0" w:color="auto"/>
              <w:bottom w:val="single" w:sz="4" w:space="0" w:color="auto"/>
              <w:right w:val="nil"/>
            </w:tcBorders>
            <w:shd w:val="clear" w:color="auto" w:fill="auto"/>
            <w:noWrap/>
            <w:vAlign w:val="center"/>
            <w:hideMark/>
          </w:tcPr>
          <w:p w14:paraId="1BAF8650" w14:textId="77777777" w:rsidR="001F21D2" w:rsidRPr="00D775DD" w:rsidRDefault="001F21D2" w:rsidP="005A7652">
            <w:pPr>
              <w:spacing w:after="120"/>
              <w:ind w:left="67"/>
              <w:rPr>
                <w:rFonts w:ascii="Garamond" w:hAnsi="Garamond"/>
                <w:sz w:val="20"/>
                <w:szCs w:val="20"/>
              </w:rPr>
            </w:pPr>
            <w:r w:rsidRPr="0067705C">
              <w:rPr>
                <w:rFonts w:ascii="Garamond" w:hAnsi="Garamond"/>
                <w:sz w:val="20"/>
                <w:szCs w:val="20"/>
              </w:rPr>
              <w:t>K</w:t>
            </w:r>
            <w:r w:rsidRPr="00D775DD">
              <w:rPr>
                <w:rFonts w:ascii="Garamond" w:hAnsi="Garamond"/>
                <w:sz w:val="20"/>
                <w:szCs w:val="20"/>
              </w:rPr>
              <w:t xml:space="preserve">indergarten </w:t>
            </w:r>
          </w:p>
        </w:tc>
        <w:tc>
          <w:tcPr>
            <w:tcW w:w="760" w:type="dxa"/>
            <w:tcBorders>
              <w:top w:val="nil"/>
              <w:left w:val="nil"/>
              <w:bottom w:val="single" w:sz="4" w:space="0" w:color="auto"/>
              <w:right w:val="nil"/>
            </w:tcBorders>
            <w:shd w:val="clear" w:color="auto" w:fill="D9E2F3" w:themeFill="accent5" w:themeFillTint="33"/>
            <w:noWrap/>
            <w:vAlign w:val="center"/>
            <w:hideMark/>
          </w:tcPr>
          <w:p w14:paraId="37C06F8C"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0.4</w:t>
            </w:r>
          </w:p>
        </w:tc>
        <w:tc>
          <w:tcPr>
            <w:tcW w:w="795" w:type="dxa"/>
            <w:tcBorders>
              <w:top w:val="nil"/>
              <w:left w:val="nil"/>
              <w:bottom w:val="single" w:sz="4" w:space="0" w:color="auto"/>
              <w:right w:val="nil"/>
            </w:tcBorders>
            <w:shd w:val="clear" w:color="auto" w:fill="D9E2F3" w:themeFill="accent5" w:themeFillTint="33"/>
            <w:noWrap/>
            <w:vAlign w:val="center"/>
            <w:hideMark/>
          </w:tcPr>
          <w:p w14:paraId="6C842872"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0.3</w:t>
            </w:r>
          </w:p>
        </w:tc>
        <w:tc>
          <w:tcPr>
            <w:tcW w:w="795" w:type="dxa"/>
            <w:tcBorders>
              <w:top w:val="nil"/>
              <w:left w:val="nil"/>
              <w:bottom w:val="single" w:sz="4" w:space="0" w:color="auto"/>
              <w:right w:val="nil"/>
            </w:tcBorders>
            <w:shd w:val="clear" w:color="auto" w:fill="D9E2F3" w:themeFill="accent5" w:themeFillTint="33"/>
            <w:noWrap/>
            <w:vAlign w:val="center"/>
            <w:hideMark/>
          </w:tcPr>
          <w:p w14:paraId="25108E68"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0.3</w:t>
            </w:r>
          </w:p>
        </w:tc>
        <w:tc>
          <w:tcPr>
            <w:tcW w:w="795" w:type="dxa"/>
            <w:tcBorders>
              <w:top w:val="nil"/>
              <w:left w:val="nil"/>
              <w:bottom w:val="single" w:sz="4" w:space="0" w:color="auto"/>
              <w:right w:val="nil"/>
            </w:tcBorders>
            <w:shd w:val="clear" w:color="auto" w:fill="D9E2F3" w:themeFill="accent5" w:themeFillTint="33"/>
            <w:noWrap/>
            <w:vAlign w:val="center"/>
            <w:hideMark/>
          </w:tcPr>
          <w:p w14:paraId="07340254"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0.2</w:t>
            </w:r>
          </w:p>
        </w:tc>
        <w:tc>
          <w:tcPr>
            <w:tcW w:w="795" w:type="dxa"/>
            <w:tcBorders>
              <w:top w:val="nil"/>
              <w:left w:val="nil"/>
              <w:bottom w:val="single" w:sz="4" w:space="0" w:color="auto"/>
              <w:right w:val="nil"/>
            </w:tcBorders>
            <w:shd w:val="clear" w:color="auto" w:fill="D9E2F3" w:themeFill="accent5" w:themeFillTint="33"/>
            <w:noWrap/>
            <w:vAlign w:val="center"/>
            <w:hideMark/>
          </w:tcPr>
          <w:p w14:paraId="7149FC1F"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0.2</w:t>
            </w:r>
          </w:p>
        </w:tc>
        <w:tc>
          <w:tcPr>
            <w:tcW w:w="795" w:type="dxa"/>
            <w:tcBorders>
              <w:top w:val="nil"/>
              <w:left w:val="nil"/>
              <w:bottom w:val="single" w:sz="4" w:space="0" w:color="auto"/>
              <w:right w:val="nil"/>
            </w:tcBorders>
            <w:shd w:val="clear" w:color="auto" w:fill="D9E2F3" w:themeFill="accent5" w:themeFillTint="33"/>
            <w:noWrap/>
            <w:vAlign w:val="center"/>
            <w:hideMark/>
          </w:tcPr>
          <w:p w14:paraId="3E5A2686"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0.2</w:t>
            </w:r>
          </w:p>
        </w:tc>
        <w:tc>
          <w:tcPr>
            <w:tcW w:w="795" w:type="dxa"/>
            <w:tcBorders>
              <w:top w:val="nil"/>
              <w:left w:val="single" w:sz="4" w:space="0" w:color="auto"/>
              <w:bottom w:val="single" w:sz="4" w:space="0" w:color="auto"/>
              <w:right w:val="nil"/>
            </w:tcBorders>
            <w:shd w:val="clear" w:color="auto" w:fill="auto"/>
            <w:noWrap/>
            <w:vAlign w:val="center"/>
            <w:hideMark/>
          </w:tcPr>
          <w:p w14:paraId="2384C6DC"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0.3</w:t>
            </w:r>
          </w:p>
        </w:tc>
        <w:tc>
          <w:tcPr>
            <w:tcW w:w="795" w:type="dxa"/>
            <w:tcBorders>
              <w:top w:val="nil"/>
              <w:left w:val="nil"/>
              <w:bottom w:val="single" w:sz="4" w:space="0" w:color="auto"/>
              <w:right w:val="nil"/>
            </w:tcBorders>
            <w:shd w:val="clear" w:color="auto" w:fill="auto"/>
            <w:noWrap/>
            <w:vAlign w:val="center"/>
            <w:hideMark/>
          </w:tcPr>
          <w:p w14:paraId="37CDBA24"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0.3</w:t>
            </w:r>
          </w:p>
        </w:tc>
        <w:tc>
          <w:tcPr>
            <w:tcW w:w="795" w:type="dxa"/>
            <w:tcBorders>
              <w:top w:val="nil"/>
              <w:left w:val="nil"/>
              <w:bottom w:val="single" w:sz="4" w:space="0" w:color="auto"/>
              <w:right w:val="nil"/>
            </w:tcBorders>
            <w:shd w:val="clear" w:color="auto" w:fill="auto"/>
            <w:noWrap/>
            <w:vAlign w:val="center"/>
            <w:hideMark/>
          </w:tcPr>
          <w:p w14:paraId="6A6AD735"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0.3</w:t>
            </w:r>
          </w:p>
        </w:tc>
        <w:tc>
          <w:tcPr>
            <w:tcW w:w="795" w:type="dxa"/>
            <w:tcBorders>
              <w:top w:val="nil"/>
              <w:left w:val="nil"/>
              <w:bottom w:val="single" w:sz="4" w:space="0" w:color="auto"/>
              <w:right w:val="single" w:sz="4" w:space="0" w:color="auto"/>
            </w:tcBorders>
            <w:shd w:val="clear" w:color="auto" w:fill="auto"/>
            <w:noWrap/>
            <w:vAlign w:val="center"/>
            <w:hideMark/>
          </w:tcPr>
          <w:p w14:paraId="1FCF0E2F"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0.2</w:t>
            </w:r>
          </w:p>
        </w:tc>
      </w:tr>
      <w:tr w:rsidR="001F21D2" w:rsidRPr="00533642" w14:paraId="0278A0E3" w14:textId="77777777" w:rsidTr="005A7652">
        <w:trPr>
          <w:trHeight w:val="415"/>
          <w:jc w:val="center"/>
        </w:trPr>
        <w:tc>
          <w:tcPr>
            <w:tcW w:w="1435" w:type="dxa"/>
            <w:tcBorders>
              <w:top w:val="nil"/>
              <w:left w:val="single" w:sz="4" w:space="0" w:color="auto"/>
              <w:bottom w:val="single" w:sz="4" w:space="0" w:color="auto"/>
              <w:right w:val="nil"/>
            </w:tcBorders>
            <w:shd w:val="clear" w:color="auto" w:fill="auto"/>
            <w:noWrap/>
            <w:vAlign w:val="center"/>
            <w:hideMark/>
          </w:tcPr>
          <w:p w14:paraId="28363939" w14:textId="77777777" w:rsidR="001F21D2" w:rsidRPr="00D775DD" w:rsidRDefault="001F21D2" w:rsidP="005A7652">
            <w:pPr>
              <w:spacing w:after="120"/>
              <w:ind w:left="67"/>
              <w:rPr>
                <w:rFonts w:ascii="Garamond" w:hAnsi="Garamond"/>
                <w:sz w:val="20"/>
                <w:szCs w:val="20"/>
              </w:rPr>
            </w:pPr>
            <w:r w:rsidRPr="00D775DD">
              <w:rPr>
                <w:rFonts w:ascii="Garamond" w:hAnsi="Garamond"/>
                <w:sz w:val="20"/>
                <w:szCs w:val="20"/>
              </w:rPr>
              <w:t xml:space="preserve">Primary </w:t>
            </w:r>
          </w:p>
        </w:tc>
        <w:tc>
          <w:tcPr>
            <w:tcW w:w="760" w:type="dxa"/>
            <w:tcBorders>
              <w:top w:val="nil"/>
              <w:left w:val="nil"/>
              <w:bottom w:val="single" w:sz="4" w:space="0" w:color="auto"/>
              <w:right w:val="nil"/>
            </w:tcBorders>
            <w:shd w:val="clear" w:color="auto" w:fill="D9E2F3" w:themeFill="accent5" w:themeFillTint="33"/>
            <w:noWrap/>
            <w:vAlign w:val="center"/>
            <w:hideMark/>
          </w:tcPr>
          <w:p w14:paraId="433E168D"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1</w:t>
            </w:r>
          </w:p>
        </w:tc>
        <w:tc>
          <w:tcPr>
            <w:tcW w:w="795" w:type="dxa"/>
            <w:tcBorders>
              <w:top w:val="nil"/>
              <w:left w:val="nil"/>
              <w:bottom w:val="single" w:sz="4" w:space="0" w:color="auto"/>
              <w:right w:val="nil"/>
            </w:tcBorders>
            <w:shd w:val="clear" w:color="auto" w:fill="D9E2F3" w:themeFill="accent5" w:themeFillTint="33"/>
            <w:noWrap/>
            <w:vAlign w:val="center"/>
            <w:hideMark/>
          </w:tcPr>
          <w:p w14:paraId="3FF3E6B4"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0.9</w:t>
            </w:r>
          </w:p>
        </w:tc>
        <w:tc>
          <w:tcPr>
            <w:tcW w:w="795" w:type="dxa"/>
            <w:tcBorders>
              <w:top w:val="nil"/>
              <w:left w:val="nil"/>
              <w:bottom w:val="single" w:sz="4" w:space="0" w:color="auto"/>
              <w:right w:val="nil"/>
            </w:tcBorders>
            <w:shd w:val="clear" w:color="auto" w:fill="D9E2F3" w:themeFill="accent5" w:themeFillTint="33"/>
            <w:noWrap/>
            <w:vAlign w:val="center"/>
            <w:hideMark/>
          </w:tcPr>
          <w:p w14:paraId="0AE66C2C"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1.2</w:t>
            </w:r>
          </w:p>
        </w:tc>
        <w:tc>
          <w:tcPr>
            <w:tcW w:w="795" w:type="dxa"/>
            <w:tcBorders>
              <w:top w:val="nil"/>
              <w:left w:val="nil"/>
              <w:bottom w:val="single" w:sz="4" w:space="0" w:color="auto"/>
              <w:right w:val="nil"/>
            </w:tcBorders>
            <w:shd w:val="clear" w:color="auto" w:fill="D9E2F3" w:themeFill="accent5" w:themeFillTint="33"/>
            <w:noWrap/>
            <w:vAlign w:val="center"/>
            <w:hideMark/>
          </w:tcPr>
          <w:p w14:paraId="44D09339"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2.2</w:t>
            </w:r>
          </w:p>
        </w:tc>
        <w:tc>
          <w:tcPr>
            <w:tcW w:w="795" w:type="dxa"/>
            <w:tcBorders>
              <w:top w:val="nil"/>
              <w:left w:val="nil"/>
              <w:bottom w:val="single" w:sz="4" w:space="0" w:color="auto"/>
              <w:right w:val="nil"/>
            </w:tcBorders>
            <w:shd w:val="clear" w:color="auto" w:fill="D9E2F3" w:themeFill="accent5" w:themeFillTint="33"/>
            <w:noWrap/>
            <w:vAlign w:val="center"/>
            <w:hideMark/>
          </w:tcPr>
          <w:p w14:paraId="10ACD73D"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2</w:t>
            </w:r>
          </w:p>
        </w:tc>
        <w:tc>
          <w:tcPr>
            <w:tcW w:w="795" w:type="dxa"/>
            <w:tcBorders>
              <w:top w:val="nil"/>
              <w:left w:val="nil"/>
              <w:bottom w:val="single" w:sz="4" w:space="0" w:color="auto"/>
              <w:right w:val="nil"/>
            </w:tcBorders>
            <w:shd w:val="clear" w:color="auto" w:fill="D9E2F3" w:themeFill="accent5" w:themeFillTint="33"/>
            <w:noWrap/>
            <w:vAlign w:val="center"/>
            <w:hideMark/>
          </w:tcPr>
          <w:p w14:paraId="51C9F75B"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1.7</w:t>
            </w:r>
          </w:p>
        </w:tc>
        <w:tc>
          <w:tcPr>
            <w:tcW w:w="795" w:type="dxa"/>
            <w:tcBorders>
              <w:top w:val="nil"/>
              <w:left w:val="single" w:sz="4" w:space="0" w:color="auto"/>
              <w:bottom w:val="single" w:sz="4" w:space="0" w:color="auto"/>
              <w:right w:val="nil"/>
            </w:tcBorders>
            <w:shd w:val="clear" w:color="auto" w:fill="auto"/>
            <w:noWrap/>
            <w:vAlign w:val="center"/>
            <w:hideMark/>
          </w:tcPr>
          <w:p w14:paraId="4C2340BD"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1.1</w:t>
            </w:r>
          </w:p>
        </w:tc>
        <w:tc>
          <w:tcPr>
            <w:tcW w:w="795" w:type="dxa"/>
            <w:tcBorders>
              <w:top w:val="nil"/>
              <w:left w:val="nil"/>
              <w:bottom w:val="single" w:sz="4" w:space="0" w:color="auto"/>
              <w:right w:val="nil"/>
            </w:tcBorders>
            <w:shd w:val="clear" w:color="auto" w:fill="auto"/>
            <w:noWrap/>
            <w:vAlign w:val="center"/>
            <w:hideMark/>
          </w:tcPr>
          <w:p w14:paraId="7F7774F6"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2.1</w:t>
            </w:r>
          </w:p>
        </w:tc>
        <w:tc>
          <w:tcPr>
            <w:tcW w:w="795" w:type="dxa"/>
            <w:tcBorders>
              <w:top w:val="nil"/>
              <w:left w:val="nil"/>
              <w:bottom w:val="single" w:sz="4" w:space="0" w:color="auto"/>
              <w:right w:val="nil"/>
            </w:tcBorders>
            <w:shd w:val="clear" w:color="auto" w:fill="auto"/>
            <w:noWrap/>
            <w:vAlign w:val="center"/>
            <w:hideMark/>
          </w:tcPr>
          <w:p w14:paraId="24CF0D8F"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1.9</w:t>
            </w:r>
          </w:p>
        </w:tc>
        <w:tc>
          <w:tcPr>
            <w:tcW w:w="795" w:type="dxa"/>
            <w:tcBorders>
              <w:top w:val="nil"/>
              <w:left w:val="nil"/>
              <w:bottom w:val="single" w:sz="4" w:space="0" w:color="auto"/>
              <w:right w:val="single" w:sz="4" w:space="0" w:color="auto"/>
            </w:tcBorders>
            <w:shd w:val="clear" w:color="auto" w:fill="auto"/>
            <w:noWrap/>
            <w:vAlign w:val="center"/>
            <w:hideMark/>
          </w:tcPr>
          <w:p w14:paraId="3647FB18"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1.6</w:t>
            </w:r>
          </w:p>
        </w:tc>
      </w:tr>
      <w:tr w:rsidR="001F21D2" w:rsidRPr="00533642" w14:paraId="6ACE079E" w14:textId="77777777" w:rsidTr="005A7652">
        <w:trPr>
          <w:trHeight w:val="415"/>
          <w:jc w:val="center"/>
        </w:trPr>
        <w:tc>
          <w:tcPr>
            <w:tcW w:w="1435" w:type="dxa"/>
            <w:tcBorders>
              <w:top w:val="nil"/>
              <w:left w:val="single" w:sz="4" w:space="0" w:color="auto"/>
              <w:bottom w:val="single" w:sz="4" w:space="0" w:color="auto"/>
              <w:right w:val="nil"/>
            </w:tcBorders>
            <w:shd w:val="clear" w:color="auto" w:fill="auto"/>
            <w:noWrap/>
            <w:vAlign w:val="center"/>
            <w:hideMark/>
          </w:tcPr>
          <w:p w14:paraId="68C0DDC8" w14:textId="77777777" w:rsidR="001F21D2" w:rsidRPr="00D775DD" w:rsidRDefault="001F21D2" w:rsidP="005A7652">
            <w:pPr>
              <w:spacing w:after="120"/>
              <w:ind w:left="67"/>
              <w:rPr>
                <w:rFonts w:ascii="Garamond" w:hAnsi="Garamond"/>
                <w:sz w:val="20"/>
                <w:szCs w:val="20"/>
              </w:rPr>
            </w:pPr>
            <w:r w:rsidRPr="00D775DD">
              <w:rPr>
                <w:rFonts w:ascii="Garamond" w:hAnsi="Garamond"/>
                <w:sz w:val="20"/>
                <w:szCs w:val="20"/>
              </w:rPr>
              <w:t xml:space="preserve">JHS </w:t>
            </w:r>
          </w:p>
        </w:tc>
        <w:tc>
          <w:tcPr>
            <w:tcW w:w="760" w:type="dxa"/>
            <w:tcBorders>
              <w:top w:val="nil"/>
              <w:left w:val="nil"/>
              <w:bottom w:val="single" w:sz="4" w:space="0" w:color="auto"/>
              <w:right w:val="nil"/>
            </w:tcBorders>
            <w:shd w:val="clear" w:color="auto" w:fill="D9E2F3" w:themeFill="accent5" w:themeFillTint="33"/>
            <w:noWrap/>
            <w:vAlign w:val="center"/>
            <w:hideMark/>
          </w:tcPr>
          <w:p w14:paraId="4A094023"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0.9</w:t>
            </w:r>
          </w:p>
        </w:tc>
        <w:tc>
          <w:tcPr>
            <w:tcW w:w="795" w:type="dxa"/>
            <w:tcBorders>
              <w:top w:val="nil"/>
              <w:left w:val="nil"/>
              <w:bottom w:val="single" w:sz="4" w:space="0" w:color="auto"/>
              <w:right w:val="nil"/>
            </w:tcBorders>
            <w:shd w:val="clear" w:color="auto" w:fill="D9E2F3" w:themeFill="accent5" w:themeFillTint="33"/>
            <w:noWrap/>
            <w:vAlign w:val="center"/>
            <w:hideMark/>
          </w:tcPr>
          <w:p w14:paraId="5FEE6092"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1.1</w:t>
            </w:r>
          </w:p>
        </w:tc>
        <w:tc>
          <w:tcPr>
            <w:tcW w:w="795" w:type="dxa"/>
            <w:tcBorders>
              <w:top w:val="nil"/>
              <w:left w:val="nil"/>
              <w:bottom w:val="single" w:sz="4" w:space="0" w:color="auto"/>
              <w:right w:val="nil"/>
            </w:tcBorders>
            <w:shd w:val="clear" w:color="auto" w:fill="D9E2F3" w:themeFill="accent5" w:themeFillTint="33"/>
            <w:noWrap/>
            <w:vAlign w:val="center"/>
            <w:hideMark/>
          </w:tcPr>
          <w:p w14:paraId="56FBA36B"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0.9</w:t>
            </w:r>
          </w:p>
        </w:tc>
        <w:tc>
          <w:tcPr>
            <w:tcW w:w="795" w:type="dxa"/>
            <w:tcBorders>
              <w:top w:val="nil"/>
              <w:left w:val="nil"/>
              <w:bottom w:val="single" w:sz="4" w:space="0" w:color="auto"/>
              <w:right w:val="nil"/>
            </w:tcBorders>
            <w:shd w:val="clear" w:color="auto" w:fill="D9E2F3" w:themeFill="accent5" w:themeFillTint="33"/>
            <w:noWrap/>
            <w:vAlign w:val="center"/>
            <w:hideMark/>
          </w:tcPr>
          <w:p w14:paraId="0EB92CAC"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2.2</w:t>
            </w:r>
          </w:p>
        </w:tc>
        <w:tc>
          <w:tcPr>
            <w:tcW w:w="795" w:type="dxa"/>
            <w:tcBorders>
              <w:top w:val="nil"/>
              <w:left w:val="nil"/>
              <w:bottom w:val="single" w:sz="4" w:space="0" w:color="auto"/>
              <w:right w:val="nil"/>
            </w:tcBorders>
            <w:shd w:val="clear" w:color="auto" w:fill="D9E2F3" w:themeFill="accent5" w:themeFillTint="33"/>
            <w:noWrap/>
            <w:vAlign w:val="center"/>
            <w:hideMark/>
          </w:tcPr>
          <w:p w14:paraId="70F36C11"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2</w:t>
            </w:r>
          </w:p>
        </w:tc>
        <w:tc>
          <w:tcPr>
            <w:tcW w:w="795" w:type="dxa"/>
            <w:tcBorders>
              <w:top w:val="nil"/>
              <w:left w:val="nil"/>
              <w:bottom w:val="single" w:sz="4" w:space="0" w:color="auto"/>
              <w:right w:val="nil"/>
            </w:tcBorders>
            <w:shd w:val="clear" w:color="auto" w:fill="D9E2F3" w:themeFill="accent5" w:themeFillTint="33"/>
            <w:noWrap/>
            <w:vAlign w:val="center"/>
            <w:hideMark/>
          </w:tcPr>
          <w:p w14:paraId="4585C11C"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1.7</w:t>
            </w:r>
          </w:p>
        </w:tc>
        <w:tc>
          <w:tcPr>
            <w:tcW w:w="795" w:type="dxa"/>
            <w:tcBorders>
              <w:top w:val="nil"/>
              <w:left w:val="single" w:sz="4" w:space="0" w:color="auto"/>
              <w:bottom w:val="single" w:sz="4" w:space="0" w:color="auto"/>
              <w:right w:val="nil"/>
            </w:tcBorders>
            <w:shd w:val="clear" w:color="auto" w:fill="auto"/>
            <w:noWrap/>
            <w:vAlign w:val="center"/>
            <w:hideMark/>
          </w:tcPr>
          <w:p w14:paraId="374E2F9B"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0.9</w:t>
            </w:r>
          </w:p>
        </w:tc>
        <w:tc>
          <w:tcPr>
            <w:tcW w:w="795" w:type="dxa"/>
            <w:tcBorders>
              <w:top w:val="nil"/>
              <w:left w:val="nil"/>
              <w:bottom w:val="single" w:sz="4" w:space="0" w:color="auto"/>
              <w:right w:val="nil"/>
            </w:tcBorders>
            <w:shd w:val="clear" w:color="auto" w:fill="auto"/>
            <w:noWrap/>
            <w:vAlign w:val="center"/>
            <w:hideMark/>
          </w:tcPr>
          <w:p w14:paraId="4D851E61"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2.1</w:t>
            </w:r>
          </w:p>
        </w:tc>
        <w:tc>
          <w:tcPr>
            <w:tcW w:w="795" w:type="dxa"/>
            <w:tcBorders>
              <w:top w:val="nil"/>
              <w:left w:val="nil"/>
              <w:bottom w:val="single" w:sz="4" w:space="0" w:color="auto"/>
              <w:right w:val="nil"/>
            </w:tcBorders>
            <w:shd w:val="clear" w:color="auto" w:fill="auto"/>
            <w:noWrap/>
            <w:vAlign w:val="center"/>
            <w:hideMark/>
          </w:tcPr>
          <w:p w14:paraId="06EB5D9D"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1.8</w:t>
            </w:r>
          </w:p>
        </w:tc>
        <w:tc>
          <w:tcPr>
            <w:tcW w:w="795" w:type="dxa"/>
            <w:tcBorders>
              <w:top w:val="nil"/>
              <w:left w:val="nil"/>
              <w:bottom w:val="single" w:sz="4" w:space="0" w:color="auto"/>
              <w:right w:val="single" w:sz="4" w:space="0" w:color="auto"/>
            </w:tcBorders>
            <w:shd w:val="clear" w:color="auto" w:fill="auto"/>
            <w:noWrap/>
            <w:vAlign w:val="center"/>
            <w:hideMark/>
          </w:tcPr>
          <w:p w14:paraId="0E72F281" w14:textId="77777777" w:rsidR="001F21D2" w:rsidRPr="00D775DD" w:rsidRDefault="001F21D2" w:rsidP="005A7652">
            <w:pPr>
              <w:spacing w:after="120"/>
              <w:jc w:val="center"/>
              <w:rPr>
                <w:rFonts w:ascii="Garamond" w:hAnsi="Garamond"/>
                <w:sz w:val="20"/>
                <w:szCs w:val="20"/>
              </w:rPr>
            </w:pPr>
            <w:r w:rsidRPr="00D775DD">
              <w:rPr>
                <w:rFonts w:ascii="Garamond" w:hAnsi="Garamond"/>
                <w:sz w:val="20"/>
                <w:szCs w:val="20"/>
              </w:rPr>
              <w:t>1.6</w:t>
            </w:r>
          </w:p>
        </w:tc>
      </w:tr>
    </w:tbl>
    <w:p w14:paraId="7D07208C" w14:textId="77777777" w:rsidR="001F21D2" w:rsidRPr="007925A8" w:rsidRDefault="001F21D2" w:rsidP="00724BAB">
      <w:pPr>
        <w:pStyle w:val="ListParagraph"/>
        <w:numPr>
          <w:ilvl w:val="0"/>
          <w:numId w:val="9"/>
        </w:numPr>
        <w:spacing w:before="240"/>
      </w:pPr>
      <w:r>
        <w:rPr>
          <w:b/>
        </w:rPr>
        <w:t>T</w:t>
      </w:r>
      <w:r w:rsidRPr="00F0436D">
        <w:rPr>
          <w:b/>
        </w:rPr>
        <w:t>eacher absenteeism remains pervasive</w:t>
      </w:r>
      <w:r w:rsidRPr="007278CC">
        <w:rPr>
          <w:b/>
        </w:rPr>
        <w:t>,</w:t>
      </w:r>
      <w:r w:rsidRPr="00F0436D">
        <w:rPr>
          <w:b/>
        </w:rPr>
        <w:t xml:space="preserve"> particularly in rural areas.</w:t>
      </w:r>
      <w:r w:rsidRPr="00F0436D">
        <w:t xml:space="preserve"> Inadequate supervision, poor teacher morale, and an adverse work environment contribute to high rates of teacher absenteeism, which peaked at an estimated 27 percent in 2012 before declining to a still-high 11 </w:t>
      </w:r>
      <w:r w:rsidRPr="00F0436D">
        <w:lastRenderedPageBreak/>
        <w:t>percent in 2014.</w:t>
      </w:r>
      <w:r w:rsidRPr="00F0436D">
        <w:rPr>
          <w:rStyle w:val="FootnoteReference"/>
        </w:rPr>
        <w:footnoteReference w:id="129"/>
      </w:r>
      <w:r w:rsidRPr="00F0436D">
        <w:t xml:space="preserve"> Teacher absenteeism, combined with the relatively short duration of the school year</w:t>
      </w:r>
      <w:r w:rsidRPr="007278CC">
        <w:rPr>
          <w:color w:val="000000"/>
        </w:rPr>
        <w:t xml:space="preserve"> and low rates of</w:t>
      </w:r>
      <w:r>
        <w:rPr>
          <w:color w:val="000000"/>
        </w:rPr>
        <w:t xml:space="preserve"> </w:t>
      </w:r>
      <w:r w:rsidRPr="007925A8">
        <w:rPr>
          <w:color w:val="000000"/>
        </w:rPr>
        <w:t>time on task</w:t>
      </w:r>
      <w:r w:rsidRPr="007925A8">
        <w:t xml:space="preserve">, can reduce teaching time by as much as 50 to 60 percent.  </w:t>
      </w:r>
    </w:p>
    <w:p w14:paraId="15788749" w14:textId="77777777" w:rsidR="001F21D2" w:rsidRPr="007925A8" w:rsidRDefault="001F21D2" w:rsidP="00724BAB">
      <w:pPr>
        <w:pStyle w:val="ListParagraph"/>
        <w:numPr>
          <w:ilvl w:val="0"/>
          <w:numId w:val="9"/>
        </w:numPr>
      </w:pPr>
      <w:r w:rsidRPr="007925A8">
        <w:rPr>
          <w:b/>
        </w:rPr>
        <w:t>The supply of textbooks and other educational materials has failed to keep pace with the growing number of students.</w:t>
      </w:r>
      <w:r w:rsidRPr="007925A8">
        <w:t xml:space="preserve"> In kindergarten, the textbook-to-student ratio is 0.2:1, down from 0.4:1 in 2010/11. The ratio at the primary and JHS levels rose from about 1:1 to 2:1 between 2010/11 and 2014/15, then fell to 1.7:1 in 2015/16. Deprived districts have led the declining trend, and textbook-to-student ratios in deprived districts are below the national average at all education levels.</w:t>
      </w:r>
    </w:p>
    <w:p w14:paraId="4BEAA8B3" w14:textId="77777777" w:rsidR="001F21D2" w:rsidRPr="007925A8" w:rsidRDefault="001F21D2" w:rsidP="000E7654">
      <w:pPr>
        <w:pStyle w:val="Heading3"/>
      </w:pPr>
      <w:r w:rsidRPr="007925A8">
        <w:t>Conclusions and Policy Options</w:t>
      </w:r>
    </w:p>
    <w:p w14:paraId="0456C92D" w14:textId="77777777" w:rsidR="001F21D2" w:rsidRPr="007925A8" w:rsidRDefault="001F21D2" w:rsidP="00724BAB">
      <w:pPr>
        <w:pStyle w:val="ListParagraph"/>
        <w:numPr>
          <w:ilvl w:val="0"/>
          <w:numId w:val="9"/>
        </w:numPr>
      </w:pPr>
      <w:r w:rsidRPr="007925A8">
        <w:rPr>
          <w:b/>
        </w:rPr>
        <w:t>The budget process for the education sector is not driven by strategic objectives, but by the overwhelming demands of the wage bill.</w:t>
      </w:r>
      <w:r w:rsidRPr="007925A8">
        <w:t xml:space="preserve"> Despite the government’s efforts to establish a performance-based budget, policymakers have been unable to improve the equity of education services, increase retention rates</w:t>
      </w:r>
      <w:r w:rsidR="00EE6785">
        <w:t>,</w:t>
      </w:r>
      <w:r w:rsidRPr="007925A8">
        <w:t xml:space="preserve"> or address social and geographical disparities due to the uncontrolled growth of personnel spending, which absorbs nearly all sectoral resources. While education funding in Ghana is ample by regional standards, it overwhelmingly finances wages and benefits at the expense of </w:t>
      </w:r>
      <w:r w:rsidR="00777A1E">
        <w:t xml:space="preserve">goods and services </w:t>
      </w:r>
      <w:r w:rsidRPr="007925A8">
        <w:t>and capital investment. Moreover, the unbalanced distribution of the education budget undermines teaching quality and contributes to high rates of teacher absenteeism, which reduce the overall effectiveness of education spending. The wage bill leaves very little fiscal space for investments in scholarships, textbooks, teaching supplies</w:t>
      </w:r>
      <w:r w:rsidR="00EE6785">
        <w:t>,</w:t>
      </w:r>
      <w:r w:rsidRPr="007925A8">
        <w:t xml:space="preserve"> and educational facilities, all of which are necessary to improve education quality in Ghana. </w:t>
      </w:r>
    </w:p>
    <w:p w14:paraId="10707747" w14:textId="77777777" w:rsidR="001F21D2" w:rsidRPr="007925A8" w:rsidRDefault="001F21D2" w:rsidP="00724BAB">
      <w:pPr>
        <w:pStyle w:val="ListParagraph"/>
        <w:numPr>
          <w:ilvl w:val="0"/>
          <w:numId w:val="9"/>
        </w:numPr>
      </w:pPr>
      <w:r w:rsidRPr="007925A8">
        <w:rPr>
          <w:b/>
        </w:rPr>
        <w:t>The authorities can expand the education sector’s available fiscal space by enhancing budget management.</w:t>
      </w:r>
      <w:r w:rsidRPr="007925A8">
        <w:t xml:space="preserve"> Consolidating budgetary responsibilities can improve strategic planning and promote expenditure efficiency, which are undermined by the sector’s fragmented structure. Effective budget planning will require reliable statistics and modern information technology, and data collection should be accorded a high priority in the allocation of any new budgetary resources. Increased supervision can reduce teacher absenteeism, and adopting the measures for controlling personnel spending discussed in Chapter 3 would support more effective personnel management.   </w:t>
      </w:r>
    </w:p>
    <w:p w14:paraId="459C8D8C" w14:textId="77777777" w:rsidR="001F21D2" w:rsidRPr="007925A8" w:rsidRDefault="001F21D2" w:rsidP="00724BAB">
      <w:pPr>
        <w:pStyle w:val="ListParagraph"/>
        <w:numPr>
          <w:ilvl w:val="0"/>
          <w:numId w:val="9"/>
        </w:numPr>
      </w:pPr>
      <w:r w:rsidRPr="007925A8">
        <w:rPr>
          <w:b/>
        </w:rPr>
        <w:t>The substantial disparities in educational outcomes between wealthier and poorer districts and between urban and rural areas reflect the skewed distribution of qualified teachers and educational resources</w:t>
      </w:r>
      <w:r w:rsidRPr="007925A8">
        <w:t xml:space="preserve">. Across all grade levels, schools in poor districts and rural areas have fewer qualified teachers and textbooks than their wealthier urban counterparts. This </w:t>
      </w:r>
      <w:r w:rsidR="005D51A4">
        <w:t>inequitable</w:t>
      </w:r>
      <w:r w:rsidR="005D10D6" w:rsidRPr="007925A8">
        <w:t xml:space="preserve"> </w:t>
      </w:r>
      <w:r w:rsidRPr="007925A8">
        <w:t>distribution of staff and resources undermines educational outcomes in disadvantaged areas, perpetuating cycles of poverty. At the sector level, the authorities could address regional disparities by launching teacher incentive programs and adopting stricter penalties for teachers who fail to report to their posts. At the district level, establishing better systems for monitoring school, teacher</w:t>
      </w:r>
      <w:r w:rsidR="005D10D6">
        <w:t>,</w:t>
      </w:r>
      <w:r w:rsidRPr="007925A8">
        <w:t xml:space="preserve"> and student performance—and directly linking observed indicators to system-wide targets—could greatly improve educational outcomes in poor and rural schools. Fiscal decentralization at the district level could give district education officers the discretion to hire teachers locally, terminate and replace ineffective teachers, and allocate their budgets more efficiently. While the decentralization process is ongoing, progress to date has been very slow. </w:t>
      </w:r>
    </w:p>
    <w:p w14:paraId="21EF1AE3" w14:textId="189B36FE" w:rsidR="001F21D2" w:rsidRDefault="001F21D2" w:rsidP="003209C6">
      <w:pPr>
        <w:pStyle w:val="ListParagraph"/>
        <w:numPr>
          <w:ilvl w:val="0"/>
          <w:numId w:val="9"/>
        </w:numPr>
      </w:pPr>
      <w:r w:rsidRPr="007925A8">
        <w:rPr>
          <w:b/>
        </w:rPr>
        <w:lastRenderedPageBreak/>
        <w:t>While the authorities have substantially expanded education access at the primary level, inadequate attention to education quality sharply limits students’ ability to advance to the secondary and tertiary levels</w:t>
      </w:r>
      <w:r w:rsidRPr="007925A8">
        <w:t xml:space="preserve">. Without a comprehensive and integrated approach to skills development across all levels of the education system, primary students are often unable to successfully transition to </w:t>
      </w:r>
      <w:r w:rsidR="000965E9">
        <w:t>J</w:t>
      </w:r>
      <w:r w:rsidRPr="007925A8">
        <w:t xml:space="preserve">HS, </w:t>
      </w:r>
      <w:r w:rsidR="000965E9">
        <w:t>J</w:t>
      </w:r>
      <w:r w:rsidRPr="007925A8">
        <w:t xml:space="preserve">HS students have difficulty transitioning to SHS, and SHS students struggle to transition to tertiary institutions. Moreover, even the most capable students are often unable to access secondary and tertiary education due to an imbalance in supply across different levels of the education system. Going forward, improvements in primary education quality should be accompanied by the gradual expansion of </w:t>
      </w:r>
      <w:r w:rsidR="000965E9">
        <w:t>access</w:t>
      </w:r>
      <w:r w:rsidRPr="007925A8">
        <w:t xml:space="preserve"> at the secondary and tertiary levels. In addition, strengthening the TVET system, creating new on-the-job training programs</w:t>
      </w:r>
      <w:r w:rsidR="00420CFC">
        <w:t>,</w:t>
      </w:r>
      <w:r w:rsidRPr="007925A8">
        <w:t xml:space="preserve"> and providing incentives to improve the effectiveness of the traditional apprenticeship system would broaden the available range of employment-focused educational opportunities. </w:t>
      </w:r>
      <w:r w:rsidR="003209C6" w:rsidRPr="003209C6">
        <w:t xml:space="preserve">Education quality must be linked more closely </w:t>
      </w:r>
      <w:r w:rsidR="00D41B42">
        <w:t>to</w:t>
      </w:r>
      <w:r w:rsidR="00D41B42" w:rsidRPr="003209C6">
        <w:t xml:space="preserve"> </w:t>
      </w:r>
      <w:r w:rsidR="003209C6" w:rsidRPr="003209C6">
        <w:t xml:space="preserve">assessments. </w:t>
      </w:r>
      <w:r w:rsidR="00D30F22">
        <w:t>To this end, t</w:t>
      </w:r>
      <w:r w:rsidR="003209C6" w:rsidRPr="003209C6">
        <w:t xml:space="preserve">here is </w:t>
      </w:r>
      <w:r w:rsidR="00D41B42">
        <w:t>a</w:t>
      </w:r>
      <w:r w:rsidR="00D41B42" w:rsidRPr="003209C6">
        <w:t xml:space="preserve"> </w:t>
      </w:r>
      <w:r w:rsidR="003209C6" w:rsidRPr="003209C6">
        <w:t xml:space="preserve">need to strengthen the National Council for Curriculum and Assessment (NACCA) and </w:t>
      </w:r>
      <w:r w:rsidR="00D30F22">
        <w:t>fund its</w:t>
      </w:r>
      <w:r w:rsidR="003209C6" w:rsidRPr="003209C6">
        <w:t xml:space="preserve"> activities. </w:t>
      </w:r>
      <w:r w:rsidR="00D30F22">
        <w:t xml:space="preserve">This </w:t>
      </w:r>
      <w:r w:rsidR="003209C6" w:rsidRPr="003209C6">
        <w:t xml:space="preserve">would </w:t>
      </w:r>
      <w:r w:rsidR="00D30F22">
        <w:t>increase the likelihood that</w:t>
      </w:r>
      <w:r w:rsidR="003209C6" w:rsidRPr="003209C6">
        <w:t xml:space="preserve"> standardized tests</w:t>
      </w:r>
      <w:r w:rsidR="003209C6">
        <w:t xml:space="preserve"> at </w:t>
      </w:r>
      <w:r w:rsidR="003209C6" w:rsidRPr="003209C6">
        <w:t>the pre-tertiary level</w:t>
      </w:r>
      <w:r w:rsidR="00D30F22">
        <w:t xml:space="preserve"> are issued</w:t>
      </w:r>
      <w:r w:rsidR="003209C6" w:rsidRPr="003209C6">
        <w:t xml:space="preserve"> and </w:t>
      </w:r>
      <w:r w:rsidR="00D30F22">
        <w:t>evaluated</w:t>
      </w:r>
      <w:r w:rsidR="003209C6" w:rsidRPr="003209C6">
        <w:t xml:space="preserve"> regularly. It is</w:t>
      </w:r>
      <w:r w:rsidR="00D30F22">
        <w:t xml:space="preserve"> also</w:t>
      </w:r>
      <w:r w:rsidR="003209C6" w:rsidRPr="003209C6">
        <w:t xml:space="preserve"> important that assessments </w:t>
      </w:r>
      <w:r w:rsidR="00D30F22">
        <w:t>are</w:t>
      </w:r>
      <w:r w:rsidR="003209C6" w:rsidRPr="003209C6">
        <w:t xml:space="preserve"> </w:t>
      </w:r>
      <w:r w:rsidR="006B5D78">
        <w:t xml:space="preserve">fully </w:t>
      </w:r>
      <w:r w:rsidR="003209C6" w:rsidRPr="003209C6">
        <w:t xml:space="preserve">funded under the </w:t>
      </w:r>
      <w:r w:rsidR="00D30F22">
        <w:t>g</w:t>
      </w:r>
      <w:r w:rsidR="003209C6" w:rsidRPr="003209C6">
        <w:t>overnment budget.</w:t>
      </w:r>
    </w:p>
    <w:p w14:paraId="6CE746EF" w14:textId="15997E13" w:rsidR="00C25A17" w:rsidRPr="007925A8" w:rsidRDefault="00C25A17" w:rsidP="00C25A17">
      <w:pPr>
        <w:pStyle w:val="ListParagraph"/>
        <w:numPr>
          <w:ilvl w:val="0"/>
          <w:numId w:val="9"/>
        </w:numPr>
      </w:pPr>
      <w:r w:rsidRPr="00420CFC">
        <w:rPr>
          <w:b/>
        </w:rPr>
        <w:t xml:space="preserve">The new </w:t>
      </w:r>
      <w:r w:rsidR="00420CFC">
        <w:rPr>
          <w:b/>
        </w:rPr>
        <w:t>G</w:t>
      </w:r>
      <w:r w:rsidRPr="00420CFC">
        <w:rPr>
          <w:b/>
        </w:rPr>
        <w:t xml:space="preserve">overnment of Ghana that took office in January 2017 has embarked on a bold new policy to make upper secondary education free for </w:t>
      </w:r>
      <w:r w:rsidRPr="00021586">
        <w:rPr>
          <w:b/>
        </w:rPr>
        <w:t>all (</w:t>
      </w:r>
      <w:r w:rsidR="00420CFC" w:rsidRPr="00021586">
        <w:rPr>
          <w:b/>
        </w:rPr>
        <w:fldChar w:fldCharType="begin"/>
      </w:r>
      <w:r w:rsidR="00420CFC" w:rsidRPr="00420CFC">
        <w:rPr>
          <w:b/>
        </w:rPr>
        <w:instrText xml:space="preserve"> REF _Ref479614891 \h </w:instrText>
      </w:r>
      <w:r w:rsidR="00420CFC" w:rsidRPr="00E92980">
        <w:rPr>
          <w:b/>
        </w:rPr>
        <w:instrText xml:space="preserve"> \* MERGEFORMAT </w:instrText>
      </w:r>
      <w:r w:rsidR="00420CFC" w:rsidRPr="00021586">
        <w:rPr>
          <w:b/>
        </w:rPr>
      </w:r>
      <w:r w:rsidR="00420CFC" w:rsidRPr="00021586">
        <w:rPr>
          <w:b/>
        </w:rPr>
        <w:fldChar w:fldCharType="separate"/>
      </w:r>
      <w:r w:rsidR="007B1CE6" w:rsidRPr="007B1CE6">
        <w:rPr>
          <w:b/>
        </w:rPr>
        <w:t xml:space="preserve">Box </w:t>
      </w:r>
      <w:r w:rsidR="007B1CE6" w:rsidRPr="007B1CE6">
        <w:rPr>
          <w:b/>
          <w:noProof/>
        </w:rPr>
        <w:t>4.1</w:t>
      </w:r>
      <w:r w:rsidR="00420CFC" w:rsidRPr="00021586">
        <w:rPr>
          <w:b/>
        </w:rPr>
        <w:fldChar w:fldCharType="end"/>
      </w:r>
      <w:r w:rsidRPr="006F01B9">
        <w:rPr>
          <w:b/>
        </w:rPr>
        <w:t>)</w:t>
      </w:r>
      <w:r w:rsidRPr="00420CFC">
        <w:rPr>
          <w:b/>
        </w:rPr>
        <w:t>.</w:t>
      </w:r>
      <w:r w:rsidRPr="00A30CFA">
        <w:t xml:space="preserve"> </w:t>
      </w:r>
      <w:r>
        <w:t>While the goal of universal access to upper secondary education is commendable and well justified, this</w:t>
      </w:r>
      <w:r w:rsidRPr="00A30CFA">
        <w:t xml:space="preserve"> effort comes with significant fiscal implications</w:t>
      </w:r>
      <w:r>
        <w:t xml:space="preserve"> and </w:t>
      </w:r>
      <w:r w:rsidRPr="00A30CFA">
        <w:t xml:space="preserve">also raises a number of challenges </w:t>
      </w:r>
      <w:r w:rsidR="000558E4">
        <w:t>for</w:t>
      </w:r>
      <w:r w:rsidRPr="00A30CFA">
        <w:t xml:space="preserve"> implementation</w:t>
      </w:r>
      <w:r>
        <w:t xml:space="preserve"> and preserving the quality of education. An effective implementation</w:t>
      </w:r>
      <w:r w:rsidRPr="00A30CFA">
        <w:t xml:space="preserve"> will require more analysis about the structure of the </w:t>
      </w:r>
      <w:r w:rsidR="00021586">
        <w:t xml:space="preserve">upper-secondary education </w:t>
      </w:r>
      <w:r w:rsidRPr="00A30CFA">
        <w:t>system -- including day v</w:t>
      </w:r>
      <w:r w:rsidR="00623CAB">
        <w:t>er</w:t>
      </w:r>
      <w:r w:rsidRPr="00A30CFA">
        <w:t>s</w:t>
      </w:r>
      <w:r w:rsidR="00623CAB">
        <w:t>us</w:t>
      </w:r>
      <w:r w:rsidRPr="00A30CFA">
        <w:t xml:space="preserve"> boarding, how to ensure and improve quality, and allocation of teachers – to get to a universal and equitable system.</w:t>
      </w:r>
      <w:r>
        <w:t xml:space="preserve"> </w:t>
      </w:r>
    </w:p>
    <w:p w14:paraId="7F99422C" w14:textId="77777777" w:rsidR="00DD7DF4" w:rsidRDefault="001F21D2" w:rsidP="00DD7DF4">
      <w:pPr>
        <w:pStyle w:val="ListParagraph"/>
        <w:numPr>
          <w:ilvl w:val="0"/>
          <w:numId w:val="9"/>
        </w:numPr>
      </w:pPr>
      <w:r w:rsidRPr="007925A8">
        <w:rPr>
          <w:b/>
        </w:rPr>
        <w:t xml:space="preserve">Ghana’s education system should strive to equip the country’s growing labor force with the skills demanded by employers. </w:t>
      </w:r>
      <w:r w:rsidRPr="007925A8">
        <w:t>Ensuring that graduates possess appropriate workforce skills will require up-to-date analytical work on trends in the labor market. Further analysis will also be necessary to determine the current employment or educational enrollment status of the estimated 900,000 15- to 17-year-olds who are not in the formal secondary education system. Addressing the skills-development needs of this cohort represents a critical opportunity to enhance the productivity and employment prospects of young workers entering the labor market.</w:t>
      </w:r>
    </w:p>
    <w:p w14:paraId="358C7BDC" w14:textId="77777777" w:rsidR="00DD7DF4" w:rsidRPr="00021586" w:rsidRDefault="00420CFC" w:rsidP="00CC0BA6">
      <w:pPr>
        <w:pStyle w:val="Caption"/>
      </w:pPr>
      <w:bookmarkStart w:id="177" w:name="_Ref479614891"/>
      <w:bookmarkStart w:id="178" w:name="_Toc479615073"/>
      <w:r>
        <w:t xml:space="preserve">Box </w:t>
      </w:r>
      <w:r>
        <w:fldChar w:fldCharType="begin"/>
      </w:r>
      <w:r>
        <w:instrText xml:space="preserve"> STYLEREF 1 \s </w:instrText>
      </w:r>
      <w:r>
        <w:fldChar w:fldCharType="separate"/>
      </w:r>
      <w:r w:rsidR="007B1CE6">
        <w:rPr>
          <w:noProof/>
        </w:rPr>
        <w:t>4</w:t>
      </w:r>
      <w:r>
        <w:fldChar w:fldCharType="end"/>
      </w:r>
      <w:r>
        <w:t>.</w:t>
      </w:r>
      <w:r>
        <w:fldChar w:fldCharType="begin"/>
      </w:r>
      <w:r>
        <w:instrText xml:space="preserve"> SEQ Box \* ARABIC \s 1 </w:instrText>
      </w:r>
      <w:r>
        <w:fldChar w:fldCharType="separate"/>
      </w:r>
      <w:r w:rsidR="007B1CE6">
        <w:rPr>
          <w:noProof/>
        </w:rPr>
        <w:t>1</w:t>
      </w:r>
      <w:r>
        <w:fldChar w:fldCharType="end"/>
      </w:r>
      <w:bookmarkEnd w:id="177"/>
      <w:r w:rsidRPr="00CC0BA6">
        <w:rPr>
          <w:lang w:val="en-US"/>
        </w:rPr>
        <w:t>: The New Policy on Universal Access to Upper Secondary Education</w:t>
      </w:r>
      <w:bookmarkEnd w:id="178"/>
    </w:p>
    <w:p w14:paraId="697873B9" w14:textId="77777777" w:rsidR="00522DEA" w:rsidRDefault="00522DEA" w:rsidP="00522DEA">
      <w:pPr>
        <w:pStyle w:val="ListParagraph"/>
        <w:numPr>
          <w:ilvl w:val="0"/>
          <w:numId w:val="0"/>
        </w:numPr>
        <w:pBdr>
          <w:top w:val="single" w:sz="4" w:space="1" w:color="auto"/>
          <w:left w:val="single" w:sz="4" w:space="4" w:color="auto"/>
          <w:bottom w:val="single" w:sz="4" w:space="0" w:color="auto"/>
          <w:right w:val="single" w:sz="4" w:space="4" w:color="auto"/>
        </w:pBdr>
        <w:shd w:val="clear" w:color="auto" w:fill="DBDBDB" w:themeFill="accent3" w:themeFillTint="66"/>
        <w:spacing w:after="120"/>
        <w:ind w:right="446"/>
        <w:rPr>
          <w:rFonts w:asciiTheme="majorHAnsi" w:hAnsiTheme="majorHAnsi" w:cs="Times New Roman"/>
          <w:sz w:val="20"/>
          <w:szCs w:val="20"/>
        </w:rPr>
      </w:pPr>
      <w:r w:rsidRPr="00522DEA">
        <w:rPr>
          <w:rFonts w:asciiTheme="majorHAnsi" w:hAnsiTheme="majorHAnsi" w:cs="Times New Roman"/>
          <w:sz w:val="20"/>
          <w:szCs w:val="20"/>
        </w:rPr>
        <w:t>In early 2017, the new government committed to providing upper secondary and technical SHS programs free of all charges (tuition in all Ghanaian public schools remains free). The proposed free SHS policy will cover costs currently borne by families, such as admission and examination registration fee, library and laboratory charges, textbooks and exercise books, teaching and learning materials, school uniforms (but not sandals), PTA, other administrative costs, as well as one meal for day students. According to the new SHS policy, the government will be expected to subsidize schools for lost revenues and may have to cover families’ out-of-pocket expenditures as well. Board and meals for boarding students are already subsidized by t</w:t>
      </w:r>
      <w:r>
        <w:rPr>
          <w:rFonts w:asciiTheme="majorHAnsi" w:hAnsiTheme="majorHAnsi" w:cs="Times New Roman"/>
          <w:sz w:val="20"/>
          <w:szCs w:val="20"/>
        </w:rPr>
        <w:t>he government.</w:t>
      </w:r>
    </w:p>
    <w:p w14:paraId="4CFC6104" w14:textId="77777777" w:rsidR="00522DEA" w:rsidRPr="00522DEA" w:rsidRDefault="00522DEA" w:rsidP="00522DEA">
      <w:pPr>
        <w:pStyle w:val="ListParagraph"/>
        <w:numPr>
          <w:ilvl w:val="0"/>
          <w:numId w:val="0"/>
        </w:numPr>
        <w:pBdr>
          <w:top w:val="single" w:sz="4" w:space="1" w:color="auto"/>
          <w:left w:val="single" w:sz="4" w:space="4" w:color="auto"/>
          <w:bottom w:val="single" w:sz="4" w:space="0" w:color="auto"/>
          <w:right w:val="single" w:sz="4" w:space="4" w:color="auto"/>
        </w:pBdr>
        <w:shd w:val="clear" w:color="auto" w:fill="DBDBDB" w:themeFill="accent3" w:themeFillTint="66"/>
        <w:spacing w:after="120"/>
        <w:ind w:right="446"/>
        <w:rPr>
          <w:rFonts w:asciiTheme="majorHAnsi" w:hAnsiTheme="majorHAnsi" w:cs="Times New Roman"/>
          <w:sz w:val="20"/>
          <w:szCs w:val="20"/>
        </w:rPr>
      </w:pPr>
      <w:r w:rsidRPr="00522DEA">
        <w:rPr>
          <w:rFonts w:asciiTheme="majorHAnsi" w:hAnsiTheme="majorHAnsi" w:cs="Times New Roman"/>
          <w:sz w:val="20"/>
          <w:szCs w:val="20"/>
        </w:rPr>
        <w:t xml:space="preserve">The new SHS policy is intended to increase the demand for secondary and technical institutions towards the goal of universal access. Children from families who previously could not afford to pay for SHS will be more likely to pursue secondary education. Preliminary projections for 2017/2018 put general SHS enrollment at nearly 950,000 students, up from almost 870,000 in 2016/2017.  </w:t>
      </w:r>
    </w:p>
    <w:p w14:paraId="0922A402" w14:textId="77777777" w:rsidR="00522DEA" w:rsidRPr="00522DEA" w:rsidRDefault="00522DEA" w:rsidP="00522DEA">
      <w:pPr>
        <w:pStyle w:val="ListParagraph"/>
        <w:numPr>
          <w:ilvl w:val="0"/>
          <w:numId w:val="0"/>
        </w:numPr>
        <w:pBdr>
          <w:top w:val="single" w:sz="4" w:space="1" w:color="auto"/>
          <w:left w:val="single" w:sz="4" w:space="4" w:color="auto"/>
          <w:bottom w:val="single" w:sz="4" w:space="0" w:color="auto"/>
          <w:right w:val="single" w:sz="4" w:space="4" w:color="auto"/>
        </w:pBdr>
        <w:shd w:val="clear" w:color="auto" w:fill="DBDBDB" w:themeFill="accent3" w:themeFillTint="66"/>
        <w:spacing w:after="120"/>
        <w:ind w:right="446"/>
        <w:rPr>
          <w:rFonts w:asciiTheme="majorHAnsi" w:hAnsiTheme="majorHAnsi" w:cs="Times New Roman"/>
          <w:sz w:val="20"/>
          <w:szCs w:val="20"/>
        </w:rPr>
      </w:pPr>
      <w:r w:rsidRPr="00522DEA">
        <w:rPr>
          <w:rFonts w:asciiTheme="majorHAnsi" w:hAnsiTheme="majorHAnsi" w:cs="Times New Roman"/>
          <w:sz w:val="20"/>
          <w:szCs w:val="20"/>
        </w:rPr>
        <w:t xml:space="preserve">The goal of universal access to upper secondary education is commendable and well justified. There is evidence from Ghana and globally that upper secondary education has a significant impact on both students and, indirectly, on society and the economy—including improved employment and earnings, less early marriages and </w:t>
      </w:r>
      <w:r w:rsidRPr="00522DEA">
        <w:rPr>
          <w:rFonts w:asciiTheme="majorHAnsi" w:hAnsiTheme="majorHAnsi" w:cs="Times New Roman"/>
          <w:sz w:val="20"/>
          <w:szCs w:val="20"/>
        </w:rPr>
        <w:lastRenderedPageBreak/>
        <w:t>teenage pregnancies, and better child health. Thus, the impact is especially significant for girls. More of the poor could benefit from the new policy if the inequity in access to upper secondary education is also addressed, including through more equitable access to quality basic education.</w:t>
      </w:r>
    </w:p>
    <w:p w14:paraId="10FA9421" w14:textId="77777777" w:rsidR="00522DEA" w:rsidRDefault="00522DEA" w:rsidP="00522DEA">
      <w:pPr>
        <w:pStyle w:val="ListParagraph"/>
        <w:numPr>
          <w:ilvl w:val="0"/>
          <w:numId w:val="0"/>
        </w:numPr>
        <w:pBdr>
          <w:top w:val="single" w:sz="4" w:space="1" w:color="auto"/>
          <w:left w:val="single" w:sz="4" w:space="4" w:color="auto"/>
          <w:bottom w:val="single" w:sz="4" w:space="0" w:color="auto"/>
          <w:right w:val="single" w:sz="4" w:space="4" w:color="auto"/>
        </w:pBdr>
        <w:shd w:val="clear" w:color="auto" w:fill="DBDBDB" w:themeFill="accent3" w:themeFillTint="66"/>
        <w:spacing w:after="120"/>
        <w:ind w:right="446"/>
        <w:rPr>
          <w:rFonts w:asciiTheme="majorHAnsi" w:hAnsiTheme="majorHAnsi" w:cs="Times New Roman"/>
          <w:sz w:val="20"/>
          <w:szCs w:val="20"/>
        </w:rPr>
      </w:pPr>
      <w:r w:rsidRPr="00522DEA">
        <w:rPr>
          <w:rFonts w:asciiTheme="majorHAnsi" w:hAnsiTheme="majorHAnsi" w:cs="Times New Roman"/>
          <w:sz w:val="20"/>
          <w:szCs w:val="20"/>
        </w:rPr>
        <w:t>Complementary investments to provide more schools, classrooms and teachers, especially of mathematics and science will be needed to ensure that the increased enrollment does not result in reduced quality. Core textbooks per student are less than one, and approximately 14 percent of public SHS classrooms require major repairs. The West Africa Secondary School Certificate Examination results indicate that quality has been declining since 2012 and demonstrate significant regional disparities. The exam results also show that a small number of SHS schools supply over 90 percent of the higher education entrants and the rest of SHS schools produce between 60 to 90 percent of the examination fail rates. Since the high quality SHSs will likely remain selective, the bulk of the expansion would likely be channeled to the lower quality SHSs, which could lead to further increasing disparities between the elite institutions and the rest. In sum, without sufficient resources to support the new SHS policy, inequities could increase and returns to upper secondary education might decline (through bot</w:t>
      </w:r>
      <w:r>
        <w:rPr>
          <w:rFonts w:asciiTheme="majorHAnsi" w:hAnsiTheme="majorHAnsi" w:cs="Times New Roman"/>
          <w:sz w:val="20"/>
          <w:szCs w:val="20"/>
        </w:rPr>
        <w:t xml:space="preserve">h quality and supply effects). </w:t>
      </w:r>
    </w:p>
    <w:p w14:paraId="781180B0" w14:textId="77777777" w:rsidR="00522DEA" w:rsidRPr="00522DEA" w:rsidRDefault="00522DEA" w:rsidP="00522DEA">
      <w:pPr>
        <w:pStyle w:val="ListParagraph"/>
        <w:numPr>
          <w:ilvl w:val="0"/>
          <w:numId w:val="0"/>
        </w:numPr>
        <w:pBdr>
          <w:top w:val="single" w:sz="4" w:space="1" w:color="auto"/>
          <w:left w:val="single" w:sz="4" w:space="4" w:color="auto"/>
          <w:bottom w:val="single" w:sz="4" w:space="0" w:color="auto"/>
          <w:right w:val="single" w:sz="4" w:space="4" w:color="auto"/>
        </w:pBdr>
        <w:shd w:val="clear" w:color="auto" w:fill="DBDBDB" w:themeFill="accent3" w:themeFillTint="66"/>
        <w:spacing w:after="120"/>
        <w:ind w:right="446"/>
        <w:rPr>
          <w:rFonts w:asciiTheme="majorHAnsi" w:hAnsiTheme="majorHAnsi" w:cs="Times New Roman"/>
          <w:sz w:val="20"/>
          <w:szCs w:val="20"/>
        </w:rPr>
      </w:pPr>
      <w:r w:rsidRPr="00522DEA">
        <w:rPr>
          <w:rFonts w:asciiTheme="majorHAnsi" w:hAnsiTheme="majorHAnsi" w:cs="Times New Roman"/>
          <w:sz w:val="20"/>
          <w:szCs w:val="20"/>
        </w:rPr>
        <w:t xml:space="preserve">The government has been providing targeted scholarships to needy students, especially girls.  Students who receive scholarships have been able to improve their learning outcomes, access to tertiary education, and incomes and labor market outcomes, with the largest overall impact for girls (Duflo, Dupas, and Kremer 2017). The largest labor market impact was for those in vocational education. Moreover, offering scholarships motivated students in JHS to compete for a high school education. Providing free SHS without a targeting approach (such as scholarships to the needy) will mostly benefit students from the highest income families at least in the short term since enrollment is higher for this group. As the government moves toward full implementation of the free SHS policy, expanding targeted scholarships can help move incrementally to this goal by prioritizing the neediest first. </w:t>
      </w:r>
    </w:p>
    <w:p w14:paraId="5282E3CF" w14:textId="77777777" w:rsidR="00522DEA" w:rsidRPr="00522DEA" w:rsidRDefault="00522DEA" w:rsidP="00522DEA">
      <w:pPr>
        <w:pStyle w:val="ListParagraph"/>
        <w:numPr>
          <w:ilvl w:val="0"/>
          <w:numId w:val="0"/>
        </w:numPr>
        <w:pBdr>
          <w:top w:val="single" w:sz="4" w:space="1" w:color="auto"/>
          <w:left w:val="single" w:sz="4" w:space="4" w:color="auto"/>
          <w:bottom w:val="single" w:sz="4" w:space="0" w:color="auto"/>
          <w:right w:val="single" w:sz="4" w:space="4" w:color="auto"/>
        </w:pBdr>
        <w:shd w:val="clear" w:color="auto" w:fill="DBDBDB" w:themeFill="accent3" w:themeFillTint="66"/>
        <w:spacing w:after="120"/>
        <w:ind w:right="446"/>
        <w:rPr>
          <w:rFonts w:asciiTheme="majorHAnsi" w:hAnsiTheme="majorHAnsi" w:cs="Times New Roman"/>
          <w:sz w:val="20"/>
          <w:szCs w:val="20"/>
        </w:rPr>
      </w:pPr>
      <w:r w:rsidRPr="00522DEA">
        <w:rPr>
          <w:rFonts w:asciiTheme="majorHAnsi" w:hAnsiTheme="majorHAnsi" w:cs="Times New Roman"/>
          <w:sz w:val="20"/>
          <w:szCs w:val="20"/>
        </w:rPr>
        <w:t xml:space="preserve">Effective implementation of the new policy could benefit from a deeper analysis of the structure of the system -- including day vs. boarding, how to ensure and improve quality, and the allocation of teachers – to get to a universal and equitable system. </w:t>
      </w:r>
    </w:p>
    <w:p w14:paraId="026A706B" w14:textId="77777777" w:rsidR="00DD7DF4" w:rsidRPr="00522DEA" w:rsidRDefault="00522DEA" w:rsidP="00522DEA">
      <w:pPr>
        <w:pStyle w:val="ListParagraph"/>
        <w:numPr>
          <w:ilvl w:val="0"/>
          <w:numId w:val="0"/>
        </w:numPr>
        <w:pBdr>
          <w:top w:val="single" w:sz="4" w:space="1" w:color="auto"/>
          <w:left w:val="single" w:sz="4" w:space="4" w:color="auto"/>
          <w:bottom w:val="single" w:sz="4" w:space="0" w:color="auto"/>
          <w:right w:val="single" w:sz="4" w:space="4" w:color="auto"/>
        </w:pBdr>
        <w:shd w:val="clear" w:color="auto" w:fill="DBDBDB" w:themeFill="accent3" w:themeFillTint="66"/>
        <w:spacing w:after="120"/>
        <w:ind w:right="446"/>
        <w:jc w:val="left"/>
        <w:rPr>
          <w:sz w:val="18"/>
          <w:szCs w:val="18"/>
        </w:rPr>
      </w:pPr>
      <w:r w:rsidRPr="00522DEA">
        <w:rPr>
          <w:rFonts w:asciiTheme="majorHAnsi" w:hAnsiTheme="majorHAnsi" w:cs="Times New Roman"/>
          <w:sz w:val="18"/>
          <w:szCs w:val="18"/>
        </w:rPr>
        <w:t>Source: http://www.ghananewsagency.org/education/free-shs-to-commence-september-2017-president-akufo-addo-113179;  MOE Education Sector Performance Report 2016; Esther Duflo, Pascaline Dupas, and Michael Kremer, The Impact of Free Secondary Education: Experimental Evidence from Ghana February 9, 2017. http://economics.mit.edu/files/12682</w:t>
      </w:r>
    </w:p>
    <w:p w14:paraId="486761C8" w14:textId="77777777" w:rsidR="00DD7DF4" w:rsidRPr="007925A8" w:rsidRDefault="00DD7DF4" w:rsidP="00420CFC">
      <w:pPr>
        <w:pStyle w:val="ListParagraph"/>
        <w:numPr>
          <w:ilvl w:val="0"/>
          <w:numId w:val="9"/>
        </w:numPr>
      </w:pPr>
      <w:r w:rsidRPr="007925A8">
        <w:br w:type="page"/>
      </w:r>
    </w:p>
    <w:p w14:paraId="411F163E" w14:textId="77777777" w:rsidR="001F21D2" w:rsidRPr="007925A8" w:rsidRDefault="001F21D2" w:rsidP="002642FC">
      <w:pPr>
        <w:pStyle w:val="Heading2"/>
      </w:pPr>
      <w:bookmarkStart w:id="179" w:name="_Toc479624905"/>
      <w:r w:rsidRPr="007925A8">
        <w:lastRenderedPageBreak/>
        <w:t>T</w:t>
      </w:r>
      <w:r w:rsidR="0084074F" w:rsidRPr="007925A8">
        <w:t>he health sector</w:t>
      </w:r>
      <w:bookmarkEnd w:id="179"/>
    </w:p>
    <w:p w14:paraId="60A5182C" w14:textId="77777777" w:rsidR="001F21D2" w:rsidRPr="007925A8" w:rsidRDefault="001F21D2" w:rsidP="009E1B70">
      <w:pPr>
        <w:pStyle w:val="Heading3"/>
        <w:keepNext/>
      </w:pPr>
      <w:r w:rsidRPr="007925A8">
        <w:t>Financing</w:t>
      </w:r>
    </w:p>
    <w:p w14:paraId="389D2D0C" w14:textId="77777777" w:rsidR="001F21D2" w:rsidRDefault="001F21D2" w:rsidP="00724BAB">
      <w:pPr>
        <w:pStyle w:val="ListParagraph"/>
        <w:numPr>
          <w:ilvl w:val="0"/>
          <w:numId w:val="9"/>
        </w:numPr>
      </w:pPr>
      <w:r w:rsidRPr="007925A8">
        <w:rPr>
          <w:b/>
        </w:rPr>
        <w:t>Ghana’s health sector is financed through a combination of budgetary expenditures, support from the country’s development partners</w:t>
      </w:r>
      <w:r w:rsidR="0008706D">
        <w:rPr>
          <w:b/>
        </w:rPr>
        <w:t>,</w:t>
      </w:r>
      <w:r w:rsidRPr="007925A8">
        <w:rPr>
          <w:b/>
        </w:rPr>
        <w:t xml:space="preserve"> and spending by Ghanaian households.</w:t>
      </w:r>
      <w:r w:rsidRPr="007925A8">
        <w:t xml:space="preserve"> Government revenue flows to the MoH and health facilities through budgetary transfers, and a dedicated levy and deductions from the Social Secu</w:t>
      </w:r>
      <w:r w:rsidRPr="00EB6775">
        <w:t xml:space="preserve">rity and National Insurance Trust </w:t>
      </w:r>
      <w:r>
        <w:t>(</w:t>
      </w:r>
      <w:r w:rsidRPr="004255EE">
        <w:t>SSNIT</w:t>
      </w:r>
      <w:r>
        <w:t>) finance</w:t>
      </w:r>
      <w:r w:rsidRPr="004255EE">
        <w:t xml:space="preserve"> the </w:t>
      </w:r>
      <w:r>
        <w:t xml:space="preserve">NHIS, which is managed by the </w:t>
      </w:r>
      <w:r w:rsidRPr="004255EE">
        <w:t xml:space="preserve">National Health Insurance Authority (NHIA) </w:t>
      </w:r>
      <w:r>
        <w:t>(</w:t>
      </w:r>
      <w:r w:rsidR="00A015A0">
        <w:fldChar w:fldCharType="begin"/>
      </w:r>
      <w:r w:rsidR="00A015A0">
        <w:instrText xml:space="preserve"> REF _Ref466621018 \h </w:instrText>
      </w:r>
      <w:r w:rsidR="00A015A0">
        <w:fldChar w:fldCharType="separate"/>
      </w:r>
      <w:r w:rsidR="007B1CE6">
        <w:t>Figure</w:t>
      </w:r>
      <w:r w:rsidR="007B1CE6" w:rsidRPr="004255EE">
        <w:t xml:space="preserve"> </w:t>
      </w:r>
      <w:r w:rsidR="007B1CE6">
        <w:rPr>
          <w:noProof/>
        </w:rPr>
        <w:t>4</w:t>
      </w:r>
      <w:r w:rsidR="007B1CE6">
        <w:t>.</w:t>
      </w:r>
      <w:r w:rsidR="007B1CE6">
        <w:rPr>
          <w:noProof/>
        </w:rPr>
        <w:t>11</w:t>
      </w:r>
      <w:r w:rsidR="00A015A0">
        <w:fldChar w:fldCharType="end"/>
      </w:r>
      <w:r>
        <w:t>)</w:t>
      </w:r>
      <w:r w:rsidRPr="004255EE">
        <w:t>. Development partner</w:t>
      </w:r>
      <w:r>
        <w:t>s</w:t>
      </w:r>
      <w:r w:rsidRPr="004255EE">
        <w:t xml:space="preserve"> provide</w:t>
      </w:r>
      <w:r>
        <w:t xml:space="preserve"> grant </w:t>
      </w:r>
      <w:r w:rsidRPr="004255EE">
        <w:t>support</w:t>
      </w:r>
      <w:r>
        <w:t>, technical assistance, and both concessional and commercial loans</w:t>
      </w:r>
      <w:r w:rsidRPr="004255EE">
        <w:t xml:space="preserve"> to </w:t>
      </w:r>
      <w:r>
        <w:t>the MoF</w:t>
      </w:r>
      <w:r w:rsidRPr="004255EE">
        <w:t>, MoH, NHIA</w:t>
      </w:r>
      <w:r w:rsidR="0008706D">
        <w:t>,</w:t>
      </w:r>
      <w:r w:rsidRPr="004255EE">
        <w:t xml:space="preserve"> and </w:t>
      </w:r>
      <w:r>
        <w:t xml:space="preserve">individual </w:t>
      </w:r>
      <w:r w:rsidRPr="004255EE">
        <w:t xml:space="preserve">health facilities. </w:t>
      </w:r>
      <w:r>
        <w:t>Finally, h</w:t>
      </w:r>
      <w:r w:rsidRPr="004255EE">
        <w:t>ouseholds</w:t>
      </w:r>
      <w:r>
        <w:t xml:space="preserve"> </w:t>
      </w:r>
      <w:r w:rsidRPr="004255EE">
        <w:t>contribut</w:t>
      </w:r>
      <w:r>
        <w:t>e</w:t>
      </w:r>
      <w:r w:rsidRPr="004255EE">
        <w:t xml:space="preserve"> to </w:t>
      </w:r>
      <w:r>
        <w:t xml:space="preserve">the </w:t>
      </w:r>
      <w:r w:rsidRPr="004255EE">
        <w:t>health sector through premium payment</w:t>
      </w:r>
      <w:r>
        <w:t>s</w:t>
      </w:r>
      <w:r w:rsidRPr="004255EE">
        <w:t xml:space="preserve"> </w:t>
      </w:r>
      <w:r>
        <w:t>to the</w:t>
      </w:r>
      <w:r w:rsidRPr="004255EE">
        <w:t xml:space="preserve"> NHI</w:t>
      </w:r>
      <w:r>
        <w:t xml:space="preserve">A and </w:t>
      </w:r>
      <w:r w:rsidRPr="004255EE">
        <w:t>out-of-pocket payment</w:t>
      </w:r>
      <w:r>
        <w:t>s</w:t>
      </w:r>
      <w:r w:rsidRPr="004255EE">
        <w:t xml:space="preserve"> at </w:t>
      </w:r>
      <w:r>
        <w:t>health facilities.</w:t>
      </w:r>
    </w:p>
    <w:p w14:paraId="00D5EFC4" w14:textId="77777777" w:rsidR="001F21D2" w:rsidRDefault="00657AA2" w:rsidP="00CC6F65">
      <w:pPr>
        <w:pStyle w:val="Caption"/>
      </w:pPr>
      <w:bookmarkStart w:id="180" w:name="_Ref466621018"/>
      <w:bookmarkStart w:id="181" w:name="_Toc454633643"/>
      <w:r>
        <w:t>Figure</w:t>
      </w:r>
      <w:r w:rsidR="001F21D2" w:rsidRPr="004255EE">
        <w:t xml:space="preserve"> </w:t>
      </w:r>
      <w:r w:rsidR="005C0067">
        <w:fldChar w:fldCharType="begin"/>
      </w:r>
      <w:r w:rsidR="005C0067">
        <w:instrText xml:space="preserve"> STYLEREF 1 \s </w:instrText>
      </w:r>
      <w:r w:rsidR="005C0067">
        <w:fldChar w:fldCharType="separate"/>
      </w:r>
      <w:r w:rsidR="007B1CE6">
        <w:rPr>
          <w:noProof/>
        </w:rPr>
        <w:t>4</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11</w:t>
      </w:r>
      <w:r w:rsidR="005C0067">
        <w:fldChar w:fldCharType="end"/>
      </w:r>
      <w:bookmarkEnd w:id="180"/>
      <w:r w:rsidR="001F21D2" w:rsidRPr="004255EE">
        <w:t xml:space="preserve">. </w:t>
      </w:r>
      <w:r w:rsidR="001F21D2">
        <w:t xml:space="preserve">The </w:t>
      </w:r>
      <w:r w:rsidR="001F21D2" w:rsidRPr="004255EE">
        <w:t>Flow of Funds in Ghana’s Health Sector</w:t>
      </w:r>
      <w:bookmarkEnd w:id="181"/>
    </w:p>
    <w:p w14:paraId="2A5BF3D8" w14:textId="77777777" w:rsidR="001F21D2" w:rsidRDefault="001F21D2" w:rsidP="001F21D2">
      <w:pPr>
        <w:spacing w:after="0"/>
        <w:jc w:val="center"/>
        <w:rPr>
          <w:rFonts w:ascii="Times New Roman" w:hAnsi="Times New Roman"/>
          <w:b/>
          <w:u w:val="single"/>
        </w:rPr>
      </w:pPr>
      <w:r>
        <w:rPr>
          <w:noProof/>
        </w:rPr>
        <w:drawing>
          <wp:inline distT="0" distB="0" distL="0" distR="0" wp14:anchorId="3C4846D4" wp14:editId="3BD2013E">
            <wp:extent cx="5395595" cy="3315446"/>
            <wp:effectExtent l="19050" t="19050" r="14605" b="18415"/>
            <wp:docPr id="66577" name="Picture 6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98843" cy="3317442"/>
                    </a:xfrm>
                    <a:prstGeom prst="rect">
                      <a:avLst/>
                    </a:prstGeom>
                    <a:noFill/>
                    <a:ln>
                      <a:solidFill>
                        <a:schemeClr val="tx1"/>
                      </a:solidFill>
                    </a:ln>
                  </pic:spPr>
                </pic:pic>
              </a:graphicData>
            </a:graphic>
          </wp:inline>
        </w:drawing>
      </w:r>
    </w:p>
    <w:p w14:paraId="24A65D71" w14:textId="77777777" w:rsidR="001F21D2" w:rsidRPr="00F0436D" w:rsidRDefault="001F21D2" w:rsidP="001F21D2">
      <w:pPr>
        <w:ind w:firstLine="720"/>
        <w:rPr>
          <w:rFonts w:ascii="Garamond" w:hAnsi="Garamond"/>
          <w:sz w:val="20"/>
          <w:szCs w:val="20"/>
        </w:rPr>
      </w:pPr>
      <w:r w:rsidRPr="00F0436D">
        <w:rPr>
          <w:rFonts w:ascii="Garamond" w:hAnsi="Garamond"/>
          <w:i/>
          <w:sz w:val="20"/>
          <w:szCs w:val="20"/>
        </w:rPr>
        <w:t>Sources</w:t>
      </w:r>
      <w:r w:rsidRPr="00F0436D">
        <w:rPr>
          <w:rFonts w:ascii="Garamond" w:hAnsi="Garamond"/>
          <w:sz w:val="20"/>
          <w:szCs w:val="20"/>
        </w:rPr>
        <w:t xml:space="preserve">: Authors’ figure based on Karima </w:t>
      </w:r>
      <w:r w:rsidRPr="00F0436D">
        <w:rPr>
          <w:rFonts w:ascii="Garamond" w:hAnsi="Garamond"/>
          <w:i/>
          <w:sz w:val="20"/>
          <w:szCs w:val="20"/>
        </w:rPr>
        <w:t>et al</w:t>
      </w:r>
      <w:r w:rsidRPr="00F0436D">
        <w:rPr>
          <w:rFonts w:ascii="Garamond" w:hAnsi="Garamond"/>
          <w:sz w:val="20"/>
          <w:szCs w:val="20"/>
        </w:rPr>
        <w:t>. (2012).</w:t>
      </w:r>
    </w:p>
    <w:p w14:paraId="1D5B9155" w14:textId="77777777" w:rsidR="001F21D2" w:rsidRDefault="001F21D2" w:rsidP="00724BAB">
      <w:pPr>
        <w:pStyle w:val="ListParagraph"/>
        <w:numPr>
          <w:ilvl w:val="0"/>
          <w:numId w:val="9"/>
        </w:numPr>
      </w:pPr>
      <w:r w:rsidRPr="004255EE">
        <w:rPr>
          <w:b/>
        </w:rPr>
        <w:t xml:space="preserve">Per capita health </w:t>
      </w:r>
      <w:r>
        <w:rPr>
          <w:b/>
        </w:rPr>
        <w:t>spending</w:t>
      </w:r>
      <w:r w:rsidRPr="004255EE">
        <w:rPr>
          <w:b/>
        </w:rPr>
        <w:t xml:space="preserve"> </w:t>
      </w:r>
      <w:r>
        <w:rPr>
          <w:b/>
        </w:rPr>
        <w:t xml:space="preserve">has </w:t>
      </w:r>
      <w:r w:rsidRPr="004255EE">
        <w:rPr>
          <w:b/>
        </w:rPr>
        <w:t xml:space="preserve">increased </w:t>
      </w:r>
      <w:r>
        <w:rPr>
          <w:b/>
        </w:rPr>
        <w:t>over</w:t>
      </w:r>
      <w:r w:rsidRPr="004255EE">
        <w:rPr>
          <w:b/>
        </w:rPr>
        <w:t xml:space="preserve"> the past decade, and the mix of financing sources </w:t>
      </w:r>
      <w:r>
        <w:rPr>
          <w:b/>
        </w:rPr>
        <w:t>has moved</w:t>
      </w:r>
      <w:r w:rsidRPr="004255EE">
        <w:rPr>
          <w:b/>
        </w:rPr>
        <w:t xml:space="preserve"> away from donors and toward government and private funds.</w:t>
      </w:r>
      <w:r w:rsidRPr="004255EE">
        <w:t xml:space="preserve"> Between 2005 and 2012, </w:t>
      </w:r>
      <w:r w:rsidRPr="00D165E9">
        <w:t xml:space="preserve">total </w:t>
      </w:r>
      <w:r w:rsidRPr="004255EE">
        <w:t xml:space="preserve">per capita health </w:t>
      </w:r>
      <w:r>
        <w:t>spending</w:t>
      </w:r>
      <w:r w:rsidRPr="004255EE">
        <w:t xml:space="preserve"> </w:t>
      </w:r>
      <w:r>
        <w:t>rose</w:t>
      </w:r>
      <w:r w:rsidRPr="004255EE">
        <w:t xml:space="preserve"> from </w:t>
      </w:r>
      <w:r w:rsidRPr="00751B2C">
        <w:t>GH¢</w:t>
      </w:r>
      <w:r w:rsidRPr="004255EE">
        <w:t xml:space="preserve"> 29 </w:t>
      </w:r>
      <w:r>
        <w:t xml:space="preserve">per year </w:t>
      </w:r>
      <w:r w:rsidRPr="004255EE">
        <w:t xml:space="preserve">in 2005 to </w:t>
      </w:r>
      <w:r w:rsidRPr="00751B2C">
        <w:t xml:space="preserve">GH¢ </w:t>
      </w:r>
      <w:r w:rsidRPr="004255EE">
        <w:t>140 in 2012</w:t>
      </w:r>
      <w:r>
        <w:t xml:space="preserve"> </w:t>
      </w:r>
      <w:r w:rsidRPr="004255EE">
        <w:t>(</w:t>
      </w:r>
      <w:r w:rsidR="00A015A0">
        <w:fldChar w:fldCharType="begin"/>
      </w:r>
      <w:r w:rsidR="00A015A0">
        <w:instrText xml:space="preserve"> REF _Ref466622971 \h </w:instrText>
      </w:r>
      <w:r w:rsidR="00A015A0">
        <w:fldChar w:fldCharType="separate"/>
      </w:r>
      <w:r w:rsidR="007B1CE6">
        <w:t>Figure</w:t>
      </w:r>
      <w:r w:rsidR="007B1CE6" w:rsidRPr="00A71B5E">
        <w:t xml:space="preserve"> </w:t>
      </w:r>
      <w:r w:rsidR="007B1CE6">
        <w:rPr>
          <w:noProof/>
        </w:rPr>
        <w:t>4</w:t>
      </w:r>
      <w:r w:rsidR="007B1CE6">
        <w:t>.</w:t>
      </w:r>
      <w:r w:rsidR="007B1CE6">
        <w:rPr>
          <w:noProof/>
        </w:rPr>
        <w:t>12</w:t>
      </w:r>
      <w:r w:rsidR="00A015A0">
        <w:fldChar w:fldCharType="end"/>
      </w:r>
      <w:r w:rsidRPr="004255EE">
        <w:t>a)</w:t>
      </w:r>
      <w:r w:rsidR="00C56F14">
        <w:t>,</w:t>
      </w:r>
      <w:r>
        <w:t xml:space="preserve"> as the health sector’s financing sources shifted</w:t>
      </w:r>
      <w:r w:rsidR="00FF011F">
        <w:t xml:space="preserve"> </w:t>
      </w:r>
      <w:r w:rsidRPr="004255EE">
        <w:t>(</w:t>
      </w:r>
      <w:r w:rsidR="00A015A0">
        <w:fldChar w:fldCharType="begin"/>
      </w:r>
      <w:r w:rsidR="00A015A0">
        <w:instrText xml:space="preserve"> REF _Ref466622971 \h </w:instrText>
      </w:r>
      <w:r w:rsidR="00A015A0">
        <w:fldChar w:fldCharType="separate"/>
      </w:r>
      <w:r w:rsidR="007B1CE6">
        <w:t>Figure</w:t>
      </w:r>
      <w:r w:rsidR="007B1CE6" w:rsidRPr="00A71B5E">
        <w:t xml:space="preserve"> </w:t>
      </w:r>
      <w:r w:rsidR="007B1CE6">
        <w:rPr>
          <w:noProof/>
        </w:rPr>
        <w:t>4</w:t>
      </w:r>
      <w:r w:rsidR="007B1CE6">
        <w:t>.</w:t>
      </w:r>
      <w:r w:rsidR="007B1CE6">
        <w:rPr>
          <w:noProof/>
        </w:rPr>
        <w:t>12</w:t>
      </w:r>
      <w:r w:rsidR="00A015A0">
        <w:fldChar w:fldCharType="end"/>
      </w:r>
      <w:r w:rsidRPr="00856CBD">
        <w:t>b</w:t>
      </w:r>
      <w:r w:rsidRPr="004255EE">
        <w:t>)</w:t>
      </w:r>
      <w:r>
        <w:t>. While i</w:t>
      </w:r>
      <w:r w:rsidRPr="004255EE">
        <w:t xml:space="preserve">n 2005 international </w:t>
      </w:r>
      <w:r>
        <w:t>support</w:t>
      </w:r>
      <w:r w:rsidRPr="004255EE">
        <w:t xml:space="preserve"> account</w:t>
      </w:r>
      <w:r>
        <w:t>ed</w:t>
      </w:r>
      <w:r w:rsidRPr="004255EE">
        <w:t xml:space="preserve"> for more than half of total health </w:t>
      </w:r>
      <w:r>
        <w:t>spending, t</w:t>
      </w:r>
      <w:r w:rsidRPr="004255EE">
        <w:t xml:space="preserve">he expansion of </w:t>
      </w:r>
      <w:r>
        <w:t xml:space="preserve">the </w:t>
      </w:r>
      <w:r w:rsidRPr="004255EE">
        <w:t>NHIS</w:t>
      </w:r>
      <w:r>
        <w:t xml:space="preserve"> boosted the </w:t>
      </w:r>
      <w:r w:rsidRPr="004255EE">
        <w:t>government’s share</w:t>
      </w:r>
      <w:r>
        <w:t xml:space="preserve"> to </w:t>
      </w:r>
      <w:r w:rsidRPr="004255EE">
        <w:t xml:space="preserve">two-thirds of total </w:t>
      </w:r>
      <w:r>
        <w:t xml:space="preserve">sectoral </w:t>
      </w:r>
      <w:r w:rsidRPr="004255EE">
        <w:t xml:space="preserve">financing </w:t>
      </w:r>
      <w:r>
        <w:t>by</w:t>
      </w:r>
      <w:r w:rsidRPr="004255EE">
        <w:t xml:space="preserve"> 2010. </w:t>
      </w:r>
      <w:r>
        <w:t>F</w:t>
      </w:r>
      <w:r w:rsidRPr="004255EE">
        <w:t>rom 2010 to 2012</w:t>
      </w:r>
      <w:r w:rsidR="00CE3F55">
        <w:t>,</w:t>
      </w:r>
      <w:r w:rsidRPr="004255EE">
        <w:t xml:space="preserve"> the share of private fund</w:t>
      </w:r>
      <w:r>
        <w:t>ing—primarily</w:t>
      </w:r>
      <w:r w:rsidRPr="00F072AD">
        <w:t xml:space="preserve"> out-of-pocket payment</w:t>
      </w:r>
      <w:r>
        <w:t>s</w:t>
      </w:r>
      <w:r w:rsidRPr="00F072AD">
        <w:t xml:space="preserve"> by households</w:t>
      </w:r>
      <w:r>
        <w:t>—</w:t>
      </w:r>
      <w:r w:rsidRPr="001F703A">
        <w:t>almo</w:t>
      </w:r>
      <w:r>
        <w:t>st tripled, while</w:t>
      </w:r>
      <w:r w:rsidRPr="001F703A">
        <w:t xml:space="preserve"> both government </w:t>
      </w:r>
      <w:r>
        <w:t xml:space="preserve">financing </w:t>
      </w:r>
      <w:r w:rsidRPr="001F703A">
        <w:t xml:space="preserve">and </w:t>
      </w:r>
      <w:r>
        <w:t>external assistance decreased</w:t>
      </w:r>
      <w:r w:rsidRPr="001F703A">
        <w:t>.</w:t>
      </w:r>
    </w:p>
    <w:p w14:paraId="5CE31A78" w14:textId="77777777" w:rsidR="001F21D2" w:rsidRPr="00A71B5E" w:rsidRDefault="00657AA2" w:rsidP="00CC6F65">
      <w:pPr>
        <w:pStyle w:val="Caption"/>
      </w:pPr>
      <w:bookmarkStart w:id="182" w:name="_Ref466622971"/>
      <w:bookmarkStart w:id="183" w:name="_Toc454633644"/>
      <w:bookmarkStart w:id="184" w:name="_Toc479624939"/>
      <w:r>
        <w:lastRenderedPageBreak/>
        <w:t>Figure</w:t>
      </w:r>
      <w:r w:rsidR="001F21D2" w:rsidRPr="00A71B5E">
        <w:t xml:space="preserve"> </w:t>
      </w:r>
      <w:r w:rsidR="005C0067">
        <w:fldChar w:fldCharType="begin"/>
      </w:r>
      <w:r w:rsidR="005C0067">
        <w:instrText xml:space="preserve"> STYLEREF 1 \s </w:instrText>
      </w:r>
      <w:r w:rsidR="005C0067">
        <w:fldChar w:fldCharType="separate"/>
      </w:r>
      <w:r w:rsidR="007B1CE6">
        <w:rPr>
          <w:noProof/>
        </w:rPr>
        <w:t>4</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12</w:t>
      </w:r>
      <w:r w:rsidR="005C0067">
        <w:fldChar w:fldCharType="end"/>
      </w:r>
      <w:bookmarkEnd w:id="182"/>
      <w:r w:rsidR="001F21D2" w:rsidRPr="00A71B5E">
        <w:t xml:space="preserve">. Total </w:t>
      </w:r>
      <w:r w:rsidR="001F21D2">
        <w:t>H</w:t>
      </w:r>
      <w:r w:rsidR="001F21D2" w:rsidRPr="00A71B5E">
        <w:t xml:space="preserve">ealth </w:t>
      </w:r>
      <w:r w:rsidR="001F21D2">
        <w:t>E</w:t>
      </w:r>
      <w:r w:rsidR="001F21D2" w:rsidRPr="00A71B5E">
        <w:t>xpenditure</w:t>
      </w:r>
      <w:r w:rsidR="001F21D2">
        <w:t>s</w:t>
      </w:r>
      <w:r w:rsidR="001F21D2" w:rsidRPr="00A71B5E">
        <w:t>, 2005-2012</w:t>
      </w:r>
      <w:bookmarkEnd w:id="183"/>
      <w:bookmarkEnd w:id="1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613"/>
      </w:tblGrid>
      <w:tr w:rsidR="002A6686" w:rsidRPr="00856CBD" w14:paraId="4C9166A3" w14:textId="77777777" w:rsidTr="002A6686">
        <w:tc>
          <w:tcPr>
            <w:tcW w:w="4654" w:type="dxa"/>
          </w:tcPr>
          <w:p w14:paraId="0F7B52B6" w14:textId="77777777" w:rsidR="001F21D2" w:rsidRPr="004255EE" w:rsidRDefault="001F21D2" w:rsidP="00724BAB">
            <w:pPr>
              <w:pStyle w:val="ListParagraph"/>
              <w:keepNext/>
              <w:keepLines/>
              <w:numPr>
                <w:ilvl w:val="0"/>
                <w:numId w:val="7"/>
              </w:numPr>
              <w:tabs>
                <w:tab w:val="left" w:pos="157"/>
              </w:tabs>
              <w:autoSpaceDE w:val="0"/>
              <w:autoSpaceDN w:val="0"/>
              <w:adjustRightInd w:val="0"/>
              <w:spacing w:after="0" w:line="276" w:lineRule="auto"/>
              <w:ind w:left="157" w:hanging="180"/>
              <w:contextualSpacing/>
              <w:jc w:val="left"/>
              <w:rPr>
                <w:sz w:val="20"/>
                <w:szCs w:val="20"/>
              </w:rPr>
            </w:pPr>
            <w:r>
              <w:rPr>
                <w:sz w:val="20"/>
                <w:szCs w:val="20"/>
              </w:rPr>
              <w:t>T</w:t>
            </w:r>
            <w:r w:rsidRPr="004255EE">
              <w:rPr>
                <w:sz w:val="20"/>
                <w:szCs w:val="20"/>
              </w:rPr>
              <w:t xml:space="preserve">otal </w:t>
            </w:r>
            <w:r>
              <w:rPr>
                <w:sz w:val="20"/>
                <w:szCs w:val="20"/>
              </w:rPr>
              <w:t>p</w:t>
            </w:r>
            <w:r w:rsidRPr="004255EE">
              <w:rPr>
                <w:sz w:val="20"/>
                <w:szCs w:val="20"/>
              </w:rPr>
              <w:t xml:space="preserve">er capita health </w:t>
            </w:r>
            <w:r>
              <w:rPr>
                <w:sz w:val="20"/>
                <w:szCs w:val="20"/>
              </w:rPr>
              <w:t>spending (GH¢)</w:t>
            </w:r>
          </w:p>
        </w:tc>
        <w:tc>
          <w:tcPr>
            <w:tcW w:w="4696" w:type="dxa"/>
          </w:tcPr>
          <w:p w14:paraId="0920DB80" w14:textId="77777777" w:rsidR="001F21D2" w:rsidRPr="004255EE" w:rsidRDefault="001F21D2" w:rsidP="00724BAB">
            <w:pPr>
              <w:pStyle w:val="ListParagraph"/>
              <w:keepNext/>
              <w:keepLines/>
              <w:numPr>
                <w:ilvl w:val="0"/>
                <w:numId w:val="7"/>
              </w:numPr>
              <w:tabs>
                <w:tab w:val="left" w:pos="157"/>
              </w:tabs>
              <w:autoSpaceDE w:val="0"/>
              <w:autoSpaceDN w:val="0"/>
              <w:adjustRightInd w:val="0"/>
              <w:spacing w:after="0" w:line="276" w:lineRule="auto"/>
              <w:ind w:left="157" w:hanging="180"/>
              <w:contextualSpacing/>
              <w:jc w:val="left"/>
              <w:rPr>
                <w:sz w:val="20"/>
                <w:szCs w:val="20"/>
              </w:rPr>
            </w:pPr>
            <w:r w:rsidRPr="004255EE">
              <w:rPr>
                <w:sz w:val="20"/>
                <w:szCs w:val="20"/>
              </w:rPr>
              <w:t xml:space="preserve"> </w:t>
            </w:r>
            <w:r>
              <w:rPr>
                <w:sz w:val="20"/>
                <w:szCs w:val="20"/>
              </w:rPr>
              <w:t xml:space="preserve">Total health spending </w:t>
            </w:r>
            <w:r w:rsidRPr="004255EE">
              <w:rPr>
                <w:sz w:val="20"/>
                <w:szCs w:val="20"/>
              </w:rPr>
              <w:t>by financing source</w:t>
            </w:r>
          </w:p>
        </w:tc>
      </w:tr>
      <w:tr w:rsidR="002A6686" w:rsidRPr="00856CBD" w14:paraId="04328482" w14:textId="77777777" w:rsidTr="002A6686">
        <w:trPr>
          <w:trHeight w:val="2627"/>
        </w:trPr>
        <w:tc>
          <w:tcPr>
            <w:tcW w:w="4654" w:type="dxa"/>
          </w:tcPr>
          <w:p w14:paraId="011B4A58" w14:textId="77777777" w:rsidR="001F21D2" w:rsidRPr="00E7721B" w:rsidRDefault="00D42E46" w:rsidP="005A7652">
            <w:pPr>
              <w:tabs>
                <w:tab w:val="left" w:pos="720"/>
              </w:tabs>
              <w:autoSpaceDE w:val="0"/>
              <w:autoSpaceDN w:val="0"/>
              <w:adjustRightInd w:val="0"/>
              <w:rPr>
                <w:sz w:val="20"/>
                <w:szCs w:val="20"/>
              </w:rPr>
            </w:pPr>
            <w:r>
              <w:rPr>
                <w:noProof/>
                <w:sz w:val="20"/>
                <w:szCs w:val="20"/>
              </w:rPr>
              <w:drawing>
                <wp:inline distT="0" distB="0" distL="0" distR="0" wp14:anchorId="02867348" wp14:editId="7B0136C4">
                  <wp:extent cx="2952750" cy="1773288"/>
                  <wp:effectExtent l="0" t="0" r="0" b="0"/>
                  <wp:docPr id="66590" name="Picture 6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61918" cy="1778794"/>
                          </a:xfrm>
                          <a:prstGeom prst="rect">
                            <a:avLst/>
                          </a:prstGeom>
                          <a:noFill/>
                        </pic:spPr>
                      </pic:pic>
                    </a:graphicData>
                  </a:graphic>
                </wp:inline>
              </w:drawing>
            </w:r>
          </w:p>
        </w:tc>
        <w:tc>
          <w:tcPr>
            <w:tcW w:w="4696" w:type="dxa"/>
          </w:tcPr>
          <w:p w14:paraId="0EFFBE41" w14:textId="77777777" w:rsidR="001F21D2" w:rsidRPr="00E7721B" w:rsidRDefault="002A6686" w:rsidP="005A7652">
            <w:pPr>
              <w:tabs>
                <w:tab w:val="left" w:pos="720"/>
              </w:tabs>
              <w:autoSpaceDE w:val="0"/>
              <w:autoSpaceDN w:val="0"/>
              <w:adjustRightInd w:val="0"/>
              <w:rPr>
                <w:sz w:val="20"/>
                <w:szCs w:val="20"/>
              </w:rPr>
            </w:pPr>
            <w:r>
              <w:rPr>
                <w:noProof/>
                <w:sz w:val="20"/>
                <w:szCs w:val="20"/>
              </w:rPr>
              <w:drawing>
                <wp:inline distT="0" distB="0" distL="0" distR="0" wp14:anchorId="789F0473" wp14:editId="077A9B4E">
                  <wp:extent cx="2865434" cy="1720850"/>
                  <wp:effectExtent l="0" t="0" r="0" b="0"/>
                  <wp:docPr id="66560" name="Picture 6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71262" cy="1724350"/>
                          </a:xfrm>
                          <a:prstGeom prst="rect">
                            <a:avLst/>
                          </a:prstGeom>
                          <a:noFill/>
                        </pic:spPr>
                      </pic:pic>
                    </a:graphicData>
                  </a:graphic>
                </wp:inline>
              </w:drawing>
            </w:r>
          </w:p>
        </w:tc>
      </w:tr>
    </w:tbl>
    <w:p w14:paraId="21121362" w14:textId="77777777" w:rsidR="001F21D2" w:rsidRPr="004255EE" w:rsidRDefault="001F21D2" w:rsidP="001F21D2">
      <w:pPr>
        <w:pStyle w:val="ListParagraph"/>
        <w:numPr>
          <w:ilvl w:val="0"/>
          <w:numId w:val="0"/>
        </w:numPr>
      </w:pPr>
      <w:r w:rsidRPr="00F0436D">
        <w:rPr>
          <w:i/>
          <w:sz w:val="20"/>
          <w:szCs w:val="20"/>
        </w:rPr>
        <w:t>Sources</w:t>
      </w:r>
      <w:r w:rsidRPr="00F0436D">
        <w:rPr>
          <w:sz w:val="20"/>
          <w:szCs w:val="20"/>
        </w:rPr>
        <w:t>: Authors’ figure based on National Health Account Studies by Ministry of Health.</w:t>
      </w:r>
    </w:p>
    <w:p w14:paraId="4D7E4F82" w14:textId="77777777" w:rsidR="001F21D2" w:rsidRDefault="002C03F4" w:rsidP="00724BAB">
      <w:pPr>
        <w:pStyle w:val="ListParagraph"/>
        <w:numPr>
          <w:ilvl w:val="0"/>
          <w:numId w:val="10"/>
        </w:numPr>
        <w:spacing w:before="240"/>
        <w:rPr>
          <w:b/>
        </w:rPr>
      </w:pPr>
      <w:r>
        <w:rPr>
          <w:b/>
        </w:rPr>
        <w:t>H</w:t>
      </w:r>
      <w:r w:rsidR="001F21D2">
        <w:rPr>
          <w:b/>
        </w:rPr>
        <w:t xml:space="preserve">ealthcare spending in </w:t>
      </w:r>
      <w:r w:rsidR="001F21D2" w:rsidRPr="004255EE">
        <w:rPr>
          <w:b/>
        </w:rPr>
        <w:t xml:space="preserve">Ghana </w:t>
      </w:r>
      <w:r w:rsidR="001F21D2">
        <w:rPr>
          <w:b/>
        </w:rPr>
        <w:t xml:space="preserve">remains </w:t>
      </w:r>
      <w:r w:rsidR="001F21D2" w:rsidRPr="004255EE">
        <w:rPr>
          <w:b/>
        </w:rPr>
        <w:t>low</w:t>
      </w:r>
      <w:r w:rsidRPr="002C03F4">
        <w:rPr>
          <w:b/>
        </w:rPr>
        <w:t xml:space="preserve"> </w:t>
      </w:r>
      <w:r>
        <w:rPr>
          <w:b/>
        </w:rPr>
        <w:t>c</w:t>
      </w:r>
      <w:r w:rsidRPr="004255EE">
        <w:rPr>
          <w:b/>
        </w:rPr>
        <w:t>ompared with other lower-middle</w:t>
      </w:r>
      <w:r>
        <w:rPr>
          <w:b/>
        </w:rPr>
        <w:t>-</w:t>
      </w:r>
      <w:r w:rsidRPr="004255EE">
        <w:rPr>
          <w:b/>
        </w:rPr>
        <w:t>income countries,</w:t>
      </w:r>
      <w:r w:rsidR="001F21D2" w:rsidRPr="004255EE">
        <w:rPr>
          <w:b/>
        </w:rPr>
        <w:t xml:space="preserve"> both </w:t>
      </w:r>
      <w:r w:rsidR="001F21D2">
        <w:rPr>
          <w:b/>
        </w:rPr>
        <w:t xml:space="preserve">in </w:t>
      </w:r>
      <w:r w:rsidR="001F21D2" w:rsidRPr="004255EE">
        <w:rPr>
          <w:b/>
        </w:rPr>
        <w:t xml:space="preserve">per capita </w:t>
      </w:r>
      <w:r w:rsidR="001F21D2">
        <w:rPr>
          <w:b/>
        </w:rPr>
        <w:t>terms</w:t>
      </w:r>
      <w:r w:rsidR="001F21D2" w:rsidRPr="004255EE">
        <w:rPr>
          <w:b/>
        </w:rPr>
        <w:t xml:space="preserve"> and </w:t>
      </w:r>
      <w:r w:rsidR="001F21D2">
        <w:rPr>
          <w:b/>
        </w:rPr>
        <w:t>as a share</w:t>
      </w:r>
      <w:r w:rsidR="001F21D2" w:rsidRPr="004255EE">
        <w:rPr>
          <w:b/>
        </w:rPr>
        <w:t xml:space="preserve"> of GDP. </w:t>
      </w:r>
      <w:r w:rsidR="001F21D2" w:rsidRPr="004255EE">
        <w:t xml:space="preserve">As of 2014, </w:t>
      </w:r>
      <w:r w:rsidR="001F21D2" w:rsidRPr="007D481A">
        <w:t xml:space="preserve">total </w:t>
      </w:r>
      <w:r w:rsidR="001F21D2" w:rsidRPr="004255EE">
        <w:t>per capita health expenditure</w:t>
      </w:r>
      <w:r w:rsidR="001F21D2">
        <w:t>s</w:t>
      </w:r>
      <w:r w:rsidR="001F21D2" w:rsidRPr="004255EE">
        <w:t xml:space="preserve"> </w:t>
      </w:r>
      <w:r w:rsidR="001F21D2">
        <w:t>had reached</w:t>
      </w:r>
      <w:r w:rsidR="001F21D2" w:rsidRPr="004255EE">
        <w:t xml:space="preserve"> US$58. Ghana</w:t>
      </w:r>
      <w:r w:rsidR="001F21D2">
        <w:t xml:space="preserve">’s per capita health spending is the </w:t>
      </w:r>
      <w:r w:rsidR="001F21D2" w:rsidRPr="004255EE">
        <w:t>ninth</w:t>
      </w:r>
      <w:r w:rsidR="001F21D2">
        <w:t>-</w:t>
      </w:r>
      <w:r w:rsidR="001F21D2" w:rsidRPr="004255EE">
        <w:t xml:space="preserve">lowest </w:t>
      </w:r>
      <w:r w:rsidR="001F21D2">
        <w:t>a</w:t>
      </w:r>
      <w:r w:rsidR="001F21D2" w:rsidRPr="00652F4A">
        <w:t>mong lower</w:t>
      </w:r>
      <w:r w:rsidR="001F21D2">
        <w:t xml:space="preserve"> middle</w:t>
      </w:r>
      <w:r w:rsidR="001F21D2" w:rsidRPr="00652F4A">
        <w:t xml:space="preserve">-income countries </w:t>
      </w:r>
      <w:r w:rsidR="001F21D2" w:rsidRPr="004255EE">
        <w:t>and</w:t>
      </w:r>
      <w:r w:rsidR="001F21D2">
        <w:t xml:space="preserve"> the</w:t>
      </w:r>
      <w:r w:rsidR="001F21D2" w:rsidRPr="004255EE">
        <w:t xml:space="preserve"> third</w:t>
      </w:r>
      <w:r w:rsidR="001F21D2">
        <w:t>-</w:t>
      </w:r>
      <w:r w:rsidR="001F21D2" w:rsidRPr="004255EE">
        <w:t>lowest in SSA (</w:t>
      </w:r>
      <w:r w:rsidR="00A015A0">
        <w:fldChar w:fldCharType="begin"/>
      </w:r>
      <w:r w:rsidR="00A015A0">
        <w:instrText xml:space="preserve"> REF _Ref466117934 \h </w:instrText>
      </w:r>
      <w:r w:rsidR="00A015A0">
        <w:fldChar w:fldCharType="separate"/>
      </w:r>
      <w:r w:rsidR="007B1CE6">
        <w:rPr>
          <w:rFonts w:eastAsia="Calibri"/>
        </w:rPr>
        <w:t>Figure</w:t>
      </w:r>
      <w:r w:rsidR="007B1CE6" w:rsidRPr="00E53773">
        <w:rPr>
          <w:rFonts w:eastAsia="Calibri"/>
        </w:rPr>
        <w:t xml:space="preserve"> </w:t>
      </w:r>
      <w:r w:rsidR="007B1CE6">
        <w:rPr>
          <w:rFonts w:eastAsia="Calibri"/>
          <w:noProof/>
        </w:rPr>
        <w:t>4</w:t>
      </w:r>
      <w:r w:rsidR="007B1CE6">
        <w:rPr>
          <w:rFonts w:eastAsia="Calibri"/>
        </w:rPr>
        <w:t>.</w:t>
      </w:r>
      <w:r w:rsidR="007B1CE6">
        <w:rPr>
          <w:rFonts w:eastAsia="Calibri"/>
          <w:noProof/>
        </w:rPr>
        <w:t>13</w:t>
      </w:r>
      <w:r w:rsidR="00A015A0">
        <w:fldChar w:fldCharType="end"/>
      </w:r>
      <w:r>
        <w:t>)</w:t>
      </w:r>
      <w:r w:rsidR="001F21D2" w:rsidRPr="004255EE">
        <w:t xml:space="preserve">. </w:t>
      </w:r>
      <w:r w:rsidR="001F21D2">
        <w:t>Moreover, the country’s t</w:t>
      </w:r>
      <w:r w:rsidR="001F21D2" w:rsidRPr="004255EE">
        <w:t xml:space="preserve">otal health </w:t>
      </w:r>
      <w:r w:rsidR="001F21D2">
        <w:t>spending</w:t>
      </w:r>
      <w:r w:rsidR="001F21D2" w:rsidRPr="004255EE">
        <w:t xml:space="preserve"> accounted for </w:t>
      </w:r>
      <w:r w:rsidR="001F21D2">
        <w:t xml:space="preserve">just </w:t>
      </w:r>
      <w:r w:rsidR="001F21D2" w:rsidRPr="004255EE">
        <w:t xml:space="preserve">3.4 percent of GDP </w:t>
      </w:r>
      <w:r w:rsidR="001F21D2">
        <w:t>in</w:t>
      </w:r>
      <w:r w:rsidR="001F21D2" w:rsidRPr="004255EE">
        <w:t xml:space="preserve"> 2014, the tenth</w:t>
      </w:r>
      <w:r w:rsidR="001F21D2">
        <w:t>-</w:t>
      </w:r>
      <w:r w:rsidR="001F21D2" w:rsidRPr="004255EE">
        <w:t xml:space="preserve">lowest share </w:t>
      </w:r>
      <w:r w:rsidR="001F21D2">
        <w:t xml:space="preserve">among all lower-middle income countries </w:t>
      </w:r>
      <w:r w:rsidR="001F21D2" w:rsidRPr="004255EE">
        <w:t xml:space="preserve">and the lowest </w:t>
      </w:r>
      <w:r w:rsidR="001F21D2">
        <w:t xml:space="preserve">share both </w:t>
      </w:r>
      <w:r w:rsidR="001F21D2" w:rsidRPr="004255EE">
        <w:t xml:space="preserve">in SSA </w:t>
      </w:r>
      <w:r w:rsidR="001F21D2">
        <w:t xml:space="preserve">and worldwide </w:t>
      </w:r>
      <w:r w:rsidR="001F21D2" w:rsidRPr="004255EE">
        <w:t>(</w:t>
      </w:r>
      <w:r w:rsidR="00A015A0">
        <w:fldChar w:fldCharType="begin"/>
      </w:r>
      <w:r w:rsidR="00A015A0">
        <w:instrText xml:space="preserve"> REF _Ref466117940 \h </w:instrText>
      </w:r>
      <w:r w:rsidR="00A015A0">
        <w:fldChar w:fldCharType="separate"/>
      </w:r>
      <w:r w:rsidR="007B1CE6">
        <w:rPr>
          <w:rFonts w:eastAsia="Calibri"/>
        </w:rPr>
        <w:t>Figure</w:t>
      </w:r>
      <w:r w:rsidR="007B1CE6" w:rsidRPr="00E53773">
        <w:rPr>
          <w:rFonts w:eastAsia="Calibri"/>
        </w:rPr>
        <w:t xml:space="preserve"> </w:t>
      </w:r>
      <w:r w:rsidR="007B1CE6">
        <w:rPr>
          <w:rFonts w:eastAsia="Calibri"/>
          <w:noProof/>
        </w:rPr>
        <w:t>4</w:t>
      </w:r>
      <w:r w:rsidR="007B1CE6">
        <w:rPr>
          <w:rFonts w:eastAsia="Calibri"/>
        </w:rPr>
        <w:t>.</w:t>
      </w:r>
      <w:r w:rsidR="007B1CE6">
        <w:rPr>
          <w:rFonts w:eastAsia="Calibri"/>
          <w:noProof/>
        </w:rPr>
        <w:t>14</w:t>
      </w:r>
      <w:r w:rsidR="00A015A0">
        <w:fldChar w:fldCharType="end"/>
      </w:r>
      <w:r w:rsidR="001F21D2" w:rsidRPr="004255EE">
        <w:t>)</w:t>
      </w:r>
      <w:r w:rsidR="001F21D2">
        <w:t>.</w:t>
      </w:r>
    </w:p>
    <w:p w14:paraId="01BD1991" w14:textId="77777777" w:rsidR="001F21D2" w:rsidRPr="00E53773" w:rsidRDefault="00657AA2" w:rsidP="00CC6F65">
      <w:pPr>
        <w:pStyle w:val="Caption"/>
        <w:rPr>
          <w:rFonts w:eastAsia="Calibri"/>
        </w:rPr>
      </w:pPr>
      <w:bookmarkStart w:id="185" w:name="_Ref466117934"/>
      <w:bookmarkStart w:id="186" w:name="_Toc479624940"/>
      <w:r>
        <w:rPr>
          <w:rFonts w:eastAsia="Calibri"/>
        </w:rPr>
        <w:t>Figure</w:t>
      </w:r>
      <w:r w:rsidR="001F21D2" w:rsidRPr="00E53773">
        <w:rPr>
          <w:rFonts w:eastAsia="Calibri"/>
        </w:rPr>
        <w:t xml:space="preserve"> </w:t>
      </w:r>
      <w:r w:rsidR="005C0067">
        <w:rPr>
          <w:rFonts w:eastAsia="Calibri"/>
        </w:rPr>
        <w:fldChar w:fldCharType="begin"/>
      </w:r>
      <w:r w:rsidR="005C0067">
        <w:rPr>
          <w:rFonts w:eastAsia="Calibri"/>
        </w:rPr>
        <w:instrText xml:space="preserve"> STYLEREF 1 \s </w:instrText>
      </w:r>
      <w:r w:rsidR="005C0067">
        <w:rPr>
          <w:rFonts w:eastAsia="Calibri"/>
        </w:rPr>
        <w:fldChar w:fldCharType="separate"/>
      </w:r>
      <w:r w:rsidR="007B1CE6">
        <w:rPr>
          <w:rFonts w:eastAsia="Calibri"/>
          <w:noProof/>
        </w:rPr>
        <w:t>4</w:t>
      </w:r>
      <w:r w:rsidR="005C0067">
        <w:rPr>
          <w:rFonts w:eastAsia="Calibri"/>
        </w:rPr>
        <w:fldChar w:fldCharType="end"/>
      </w:r>
      <w:r w:rsidR="005C0067">
        <w:rPr>
          <w:rFonts w:eastAsia="Calibri"/>
        </w:rPr>
        <w:t>.</w:t>
      </w:r>
      <w:r w:rsidR="005C0067">
        <w:rPr>
          <w:rFonts w:eastAsia="Calibri"/>
        </w:rPr>
        <w:fldChar w:fldCharType="begin"/>
      </w:r>
      <w:r w:rsidR="005C0067">
        <w:rPr>
          <w:rFonts w:eastAsia="Calibri"/>
        </w:rPr>
        <w:instrText xml:space="preserve"> SEQ Figure \* ARABIC \s 1 </w:instrText>
      </w:r>
      <w:r w:rsidR="005C0067">
        <w:rPr>
          <w:rFonts w:eastAsia="Calibri"/>
        </w:rPr>
        <w:fldChar w:fldCharType="separate"/>
      </w:r>
      <w:r w:rsidR="007B1CE6">
        <w:rPr>
          <w:rFonts w:eastAsia="Calibri"/>
          <w:noProof/>
        </w:rPr>
        <w:t>13</w:t>
      </w:r>
      <w:r w:rsidR="005C0067">
        <w:rPr>
          <w:rFonts w:eastAsia="Calibri"/>
        </w:rPr>
        <w:fldChar w:fldCharType="end"/>
      </w:r>
      <w:bookmarkEnd w:id="185"/>
      <w:r w:rsidR="001F21D2" w:rsidRPr="00E53773">
        <w:rPr>
          <w:rFonts w:eastAsia="Calibri"/>
        </w:rPr>
        <w:t>: Nominal Health Spending per Capita, Ghana and Comparators, 2014</w:t>
      </w:r>
      <w:bookmarkEnd w:id="186"/>
    </w:p>
    <w:p w14:paraId="4E8A77B0" w14:textId="77777777" w:rsidR="00BA311E" w:rsidRDefault="00782AE4" w:rsidP="00BA311E">
      <w:pPr>
        <w:tabs>
          <w:tab w:val="left" w:pos="720"/>
        </w:tabs>
        <w:autoSpaceDE w:val="0"/>
        <w:autoSpaceDN w:val="0"/>
        <w:adjustRightInd w:val="0"/>
        <w:spacing w:after="0"/>
        <w:jc w:val="center"/>
        <w:rPr>
          <w:rFonts w:ascii="Garamond" w:hAnsi="Garamond"/>
          <w:i/>
          <w:sz w:val="20"/>
          <w:szCs w:val="20"/>
        </w:rPr>
      </w:pPr>
      <w:r>
        <w:rPr>
          <w:rFonts w:ascii="Garamond" w:hAnsi="Garamond"/>
          <w:i/>
          <w:noProof/>
          <w:sz w:val="20"/>
          <w:szCs w:val="20"/>
        </w:rPr>
        <w:drawing>
          <wp:inline distT="0" distB="0" distL="0" distR="0" wp14:anchorId="05A4A5A1" wp14:editId="1872BE00">
            <wp:extent cx="4121060" cy="31559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27035" cy="3160526"/>
                    </a:xfrm>
                    <a:prstGeom prst="rect">
                      <a:avLst/>
                    </a:prstGeom>
                    <a:noFill/>
                  </pic:spPr>
                </pic:pic>
              </a:graphicData>
            </a:graphic>
          </wp:inline>
        </w:drawing>
      </w:r>
    </w:p>
    <w:p w14:paraId="311E74A1" w14:textId="77777777" w:rsidR="001F21D2" w:rsidRDefault="001F21D2" w:rsidP="00BA311E">
      <w:pPr>
        <w:tabs>
          <w:tab w:val="left" w:pos="720"/>
        </w:tabs>
        <w:autoSpaceDE w:val="0"/>
        <w:autoSpaceDN w:val="0"/>
        <w:adjustRightInd w:val="0"/>
        <w:spacing w:after="0"/>
        <w:jc w:val="center"/>
        <w:rPr>
          <w:rFonts w:ascii="Garamond" w:hAnsi="Garamond"/>
          <w:sz w:val="20"/>
          <w:szCs w:val="20"/>
        </w:rPr>
      </w:pPr>
      <w:r w:rsidRPr="00F0436D">
        <w:rPr>
          <w:rFonts w:ascii="Garamond" w:hAnsi="Garamond"/>
          <w:i/>
          <w:sz w:val="20"/>
          <w:szCs w:val="20"/>
        </w:rPr>
        <w:t>Sources</w:t>
      </w:r>
      <w:r w:rsidRPr="00F0436D">
        <w:rPr>
          <w:rFonts w:ascii="Garamond" w:hAnsi="Garamond"/>
          <w:sz w:val="20"/>
          <w:szCs w:val="20"/>
        </w:rPr>
        <w:t>: Authors’ figure based on World Development Indicators</w:t>
      </w:r>
      <w:r w:rsidRPr="00B056A8">
        <w:rPr>
          <w:rFonts w:ascii="Garamond" w:hAnsi="Garamond"/>
          <w:sz w:val="20"/>
          <w:szCs w:val="20"/>
        </w:rPr>
        <w:t xml:space="preserve"> </w:t>
      </w:r>
      <w:r w:rsidRPr="00F0436D">
        <w:rPr>
          <w:rFonts w:ascii="Garamond" w:hAnsi="Garamond"/>
          <w:sz w:val="20"/>
          <w:szCs w:val="20"/>
        </w:rPr>
        <w:t>data</w:t>
      </w:r>
      <w:r>
        <w:rPr>
          <w:rFonts w:ascii="Garamond" w:hAnsi="Garamond"/>
          <w:sz w:val="20"/>
          <w:szCs w:val="20"/>
        </w:rPr>
        <w:t>.</w:t>
      </w:r>
    </w:p>
    <w:p w14:paraId="786D1F39" w14:textId="77777777" w:rsidR="00B9275D" w:rsidRPr="00BA311E" w:rsidRDefault="00B9275D" w:rsidP="00BA311E">
      <w:pPr>
        <w:tabs>
          <w:tab w:val="left" w:pos="720"/>
        </w:tabs>
        <w:autoSpaceDE w:val="0"/>
        <w:autoSpaceDN w:val="0"/>
        <w:adjustRightInd w:val="0"/>
        <w:spacing w:after="0"/>
        <w:jc w:val="center"/>
        <w:rPr>
          <w:rFonts w:ascii="Times New Roman" w:hAnsi="Times New Roman"/>
          <w:b/>
          <w:u w:val="single"/>
        </w:rPr>
      </w:pPr>
    </w:p>
    <w:p w14:paraId="0D53CCA4" w14:textId="77777777" w:rsidR="001F21D2" w:rsidRPr="00E53773" w:rsidRDefault="00657AA2" w:rsidP="00CC6F65">
      <w:pPr>
        <w:pStyle w:val="Caption"/>
        <w:rPr>
          <w:rFonts w:eastAsia="Calibri"/>
        </w:rPr>
      </w:pPr>
      <w:bookmarkStart w:id="187" w:name="_Ref466117940"/>
      <w:bookmarkStart w:id="188" w:name="_Toc479624941"/>
      <w:r>
        <w:rPr>
          <w:rFonts w:eastAsia="Calibri"/>
        </w:rPr>
        <w:lastRenderedPageBreak/>
        <w:t>Figure</w:t>
      </w:r>
      <w:r w:rsidR="001F21D2" w:rsidRPr="00E53773">
        <w:rPr>
          <w:rFonts w:eastAsia="Calibri"/>
        </w:rPr>
        <w:t xml:space="preserve"> </w:t>
      </w:r>
      <w:r w:rsidR="005C0067">
        <w:rPr>
          <w:rFonts w:eastAsia="Calibri"/>
        </w:rPr>
        <w:fldChar w:fldCharType="begin"/>
      </w:r>
      <w:r w:rsidR="005C0067">
        <w:rPr>
          <w:rFonts w:eastAsia="Calibri"/>
        </w:rPr>
        <w:instrText xml:space="preserve"> STYLEREF 1 \s </w:instrText>
      </w:r>
      <w:r w:rsidR="005C0067">
        <w:rPr>
          <w:rFonts w:eastAsia="Calibri"/>
        </w:rPr>
        <w:fldChar w:fldCharType="separate"/>
      </w:r>
      <w:r w:rsidR="007B1CE6">
        <w:rPr>
          <w:rFonts w:eastAsia="Calibri"/>
          <w:noProof/>
        </w:rPr>
        <w:t>4</w:t>
      </w:r>
      <w:r w:rsidR="005C0067">
        <w:rPr>
          <w:rFonts w:eastAsia="Calibri"/>
        </w:rPr>
        <w:fldChar w:fldCharType="end"/>
      </w:r>
      <w:r w:rsidR="005C0067">
        <w:rPr>
          <w:rFonts w:eastAsia="Calibri"/>
        </w:rPr>
        <w:t>.</w:t>
      </w:r>
      <w:r w:rsidR="005C0067">
        <w:rPr>
          <w:rFonts w:eastAsia="Calibri"/>
        </w:rPr>
        <w:fldChar w:fldCharType="begin"/>
      </w:r>
      <w:r w:rsidR="005C0067">
        <w:rPr>
          <w:rFonts w:eastAsia="Calibri"/>
        </w:rPr>
        <w:instrText xml:space="preserve"> SEQ Figure \* ARABIC \s 1 </w:instrText>
      </w:r>
      <w:r w:rsidR="005C0067">
        <w:rPr>
          <w:rFonts w:eastAsia="Calibri"/>
        </w:rPr>
        <w:fldChar w:fldCharType="separate"/>
      </w:r>
      <w:r w:rsidR="007B1CE6">
        <w:rPr>
          <w:rFonts w:eastAsia="Calibri"/>
          <w:noProof/>
        </w:rPr>
        <w:t>14</w:t>
      </w:r>
      <w:r w:rsidR="005C0067">
        <w:rPr>
          <w:rFonts w:eastAsia="Calibri"/>
        </w:rPr>
        <w:fldChar w:fldCharType="end"/>
      </w:r>
      <w:bookmarkEnd w:id="187"/>
      <w:r w:rsidR="001F21D2" w:rsidRPr="00E53773">
        <w:rPr>
          <w:rFonts w:eastAsia="Calibri"/>
        </w:rPr>
        <w:t>: Health Spending as a Share of GDP, Ghana and Comparators, 2014</w:t>
      </w:r>
      <w:bookmarkEnd w:id="188"/>
    </w:p>
    <w:p w14:paraId="62DE57AA" w14:textId="77777777" w:rsidR="001F21D2" w:rsidRDefault="00786833" w:rsidP="001F21D2">
      <w:pPr>
        <w:spacing w:after="0"/>
        <w:jc w:val="center"/>
      </w:pPr>
      <w:r>
        <w:rPr>
          <w:noProof/>
        </w:rPr>
        <w:drawing>
          <wp:inline distT="0" distB="0" distL="0" distR="0" wp14:anchorId="04EFB56F" wp14:editId="7B1015F9">
            <wp:extent cx="4514850" cy="272977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14850" cy="2729779"/>
                    </a:xfrm>
                    <a:prstGeom prst="rect">
                      <a:avLst/>
                    </a:prstGeom>
                    <a:noFill/>
                  </pic:spPr>
                </pic:pic>
              </a:graphicData>
            </a:graphic>
          </wp:inline>
        </w:drawing>
      </w:r>
    </w:p>
    <w:p w14:paraId="06D5F56B" w14:textId="77777777" w:rsidR="001F21D2" w:rsidRPr="00F0436D" w:rsidRDefault="001F21D2" w:rsidP="001F21D2">
      <w:pPr>
        <w:ind w:firstLine="720"/>
        <w:rPr>
          <w:rFonts w:ascii="Garamond" w:hAnsi="Garamond"/>
          <w:sz w:val="20"/>
          <w:szCs w:val="20"/>
        </w:rPr>
      </w:pPr>
      <w:r w:rsidRPr="00F0436D">
        <w:rPr>
          <w:rFonts w:ascii="Garamond" w:hAnsi="Garamond"/>
          <w:i/>
          <w:sz w:val="20"/>
          <w:szCs w:val="20"/>
        </w:rPr>
        <w:t>Source</w:t>
      </w:r>
      <w:r w:rsidRPr="00F0436D">
        <w:rPr>
          <w:rFonts w:ascii="Garamond" w:hAnsi="Garamond"/>
          <w:sz w:val="20"/>
          <w:szCs w:val="20"/>
        </w:rPr>
        <w:t>: Authors’ figure based on World Development Indicators</w:t>
      </w:r>
      <w:r w:rsidRPr="00B056A8">
        <w:rPr>
          <w:rFonts w:ascii="Garamond" w:hAnsi="Garamond"/>
          <w:sz w:val="20"/>
          <w:szCs w:val="20"/>
        </w:rPr>
        <w:t xml:space="preserve"> </w:t>
      </w:r>
      <w:r w:rsidRPr="00F0436D">
        <w:rPr>
          <w:rFonts w:ascii="Garamond" w:hAnsi="Garamond"/>
          <w:sz w:val="20"/>
          <w:szCs w:val="20"/>
        </w:rPr>
        <w:t>data.</w:t>
      </w:r>
    </w:p>
    <w:p w14:paraId="5934C97C" w14:textId="77777777" w:rsidR="001F21D2" w:rsidRPr="000F2237" w:rsidRDefault="001F21D2" w:rsidP="009E1B70">
      <w:pPr>
        <w:pStyle w:val="Heading3"/>
        <w:keepNext/>
      </w:pPr>
      <w:r w:rsidRPr="000F2237">
        <w:t xml:space="preserve">Government Health </w:t>
      </w:r>
      <w:r>
        <w:t>Spending</w:t>
      </w:r>
      <w:r w:rsidRPr="000F2237">
        <w:t xml:space="preserve"> </w:t>
      </w:r>
    </w:p>
    <w:p w14:paraId="59227C0D" w14:textId="77777777" w:rsidR="001F21D2" w:rsidRPr="00925B8B" w:rsidRDefault="001F21D2" w:rsidP="00724BAB">
      <w:pPr>
        <w:pStyle w:val="ListParagraph"/>
        <w:numPr>
          <w:ilvl w:val="0"/>
          <w:numId w:val="10"/>
        </w:numPr>
      </w:pPr>
      <w:r w:rsidRPr="004255EE">
        <w:rPr>
          <w:b/>
        </w:rPr>
        <w:t>Government</w:t>
      </w:r>
      <w:r>
        <w:rPr>
          <w:b/>
        </w:rPr>
        <w:t xml:space="preserve"> health</w:t>
      </w:r>
      <w:r w:rsidRPr="004255EE">
        <w:rPr>
          <w:b/>
        </w:rPr>
        <w:t xml:space="preserve"> </w:t>
      </w:r>
      <w:r>
        <w:rPr>
          <w:b/>
        </w:rPr>
        <w:t>spending</w:t>
      </w:r>
      <w:r w:rsidRPr="004255EE">
        <w:rPr>
          <w:b/>
        </w:rPr>
        <w:t xml:space="preserve"> </w:t>
      </w:r>
      <w:r>
        <w:rPr>
          <w:b/>
        </w:rPr>
        <w:t>via the</w:t>
      </w:r>
      <w:r w:rsidRPr="004255EE">
        <w:rPr>
          <w:b/>
        </w:rPr>
        <w:t xml:space="preserve"> MoH </w:t>
      </w:r>
      <w:r>
        <w:rPr>
          <w:b/>
        </w:rPr>
        <w:t>rose</w:t>
      </w:r>
      <w:r w:rsidRPr="004255EE">
        <w:rPr>
          <w:b/>
        </w:rPr>
        <w:t xml:space="preserve"> </w:t>
      </w:r>
      <w:r>
        <w:rPr>
          <w:b/>
        </w:rPr>
        <w:t>between</w:t>
      </w:r>
      <w:r w:rsidRPr="004255EE">
        <w:rPr>
          <w:b/>
        </w:rPr>
        <w:t xml:space="preserve"> 2010 </w:t>
      </w:r>
      <w:r>
        <w:rPr>
          <w:b/>
        </w:rPr>
        <w:t>and 2013, then fell in</w:t>
      </w:r>
      <w:r w:rsidRPr="004255EE">
        <w:rPr>
          <w:b/>
        </w:rPr>
        <w:t xml:space="preserve"> 2014</w:t>
      </w:r>
      <w:r>
        <w:rPr>
          <w:b/>
        </w:rPr>
        <w:t>.</w:t>
      </w:r>
      <w:r w:rsidRPr="0031596A">
        <w:t xml:space="preserve"> MoH spending peaked in absolute terms in 2013 and as a share of </w:t>
      </w:r>
      <w:r>
        <w:t xml:space="preserve">total </w:t>
      </w:r>
      <w:r w:rsidRPr="0031596A">
        <w:t>government spending in 2012 (</w:t>
      </w:r>
      <w:r w:rsidR="00A015A0">
        <w:fldChar w:fldCharType="begin"/>
      </w:r>
      <w:r w:rsidR="00A015A0">
        <w:instrText xml:space="preserve"> REF _Ref466624558 \h </w:instrText>
      </w:r>
      <w:r w:rsidR="00A015A0">
        <w:fldChar w:fldCharType="separate"/>
      </w:r>
      <w:r w:rsidR="007B1CE6" w:rsidRPr="00D46978">
        <w:rPr>
          <w:rFonts w:eastAsia="Calibri"/>
        </w:rPr>
        <w:t xml:space="preserve">Figure </w:t>
      </w:r>
      <w:r w:rsidR="007B1CE6">
        <w:rPr>
          <w:rFonts w:eastAsia="Calibri"/>
          <w:noProof/>
        </w:rPr>
        <w:t>4</w:t>
      </w:r>
      <w:r w:rsidR="007B1CE6" w:rsidRPr="00D46978">
        <w:rPr>
          <w:rFonts w:eastAsia="Calibri"/>
        </w:rPr>
        <w:t>.</w:t>
      </w:r>
      <w:r w:rsidR="007B1CE6">
        <w:rPr>
          <w:rFonts w:eastAsia="Calibri"/>
          <w:noProof/>
        </w:rPr>
        <w:t>15</w:t>
      </w:r>
      <w:r w:rsidR="00A015A0">
        <w:fldChar w:fldCharType="end"/>
      </w:r>
      <w:r w:rsidR="005F7DBC">
        <w:t>a</w:t>
      </w:r>
      <w:r w:rsidRPr="0031596A">
        <w:t>).</w:t>
      </w:r>
      <w:r w:rsidRPr="007278CC">
        <w:t xml:space="preserve"> </w:t>
      </w:r>
      <w:r w:rsidRPr="004255EE">
        <w:t>Similar to</w:t>
      </w:r>
      <w:r>
        <w:t xml:space="preserve"> trends in</w:t>
      </w:r>
      <w:r w:rsidRPr="004255EE">
        <w:t xml:space="preserve"> the education sector, </w:t>
      </w:r>
      <w:r>
        <w:t>the wage bill drove the increase in the public health budget. Between 2011 and 2012, public health spending rose by</w:t>
      </w:r>
      <w:r w:rsidRPr="004255EE">
        <w:t xml:space="preserve"> </w:t>
      </w:r>
      <w:r>
        <w:t>127 percent</w:t>
      </w:r>
      <w:r w:rsidRPr="004255EE">
        <w:t xml:space="preserve"> </w:t>
      </w:r>
      <w:r>
        <w:t>as</w:t>
      </w:r>
      <w:r w:rsidRPr="004255EE">
        <w:t xml:space="preserve"> the </w:t>
      </w:r>
      <w:r>
        <w:t xml:space="preserve">government </w:t>
      </w:r>
      <w:r w:rsidRPr="004255EE">
        <w:t>implement</w:t>
      </w:r>
      <w:r>
        <w:t>ed</w:t>
      </w:r>
      <w:r w:rsidRPr="004255EE">
        <w:t xml:space="preserve"> the SSS</w:t>
      </w:r>
      <w:r>
        <w:t>S</w:t>
      </w:r>
      <w:r w:rsidRPr="004255EE">
        <w:t xml:space="preserve"> </w:t>
      </w:r>
      <w:r>
        <w:t xml:space="preserve">and expanded </w:t>
      </w:r>
      <w:r w:rsidRPr="00B06BB5">
        <w:t>public employment in the health sector</w:t>
      </w:r>
      <w:r w:rsidRPr="00925B8B">
        <w:t xml:space="preserve"> </w:t>
      </w:r>
      <w:r w:rsidRPr="004255EE">
        <w:t>by more than 25 percent.</w:t>
      </w:r>
      <w:r w:rsidRPr="004255EE" w:rsidDel="00A01720">
        <w:t xml:space="preserve"> </w:t>
      </w:r>
      <w:r w:rsidRPr="004255EE">
        <w:t>The share of MoH expenditure</w:t>
      </w:r>
      <w:r>
        <w:t>s</w:t>
      </w:r>
      <w:r w:rsidRPr="004255EE">
        <w:t xml:space="preserve"> </w:t>
      </w:r>
      <w:r>
        <w:t>in</w:t>
      </w:r>
      <w:r w:rsidRPr="004255EE">
        <w:t xml:space="preserve"> total government </w:t>
      </w:r>
      <w:r>
        <w:t>spending</w:t>
      </w:r>
      <w:r w:rsidRPr="004255EE">
        <w:t xml:space="preserve"> reached a </w:t>
      </w:r>
      <w:r>
        <w:t>high</w:t>
      </w:r>
      <w:r w:rsidRPr="004255EE">
        <w:t xml:space="preserve"> of 8.5 percent in 2012, then decreased to </w:t>
      </w:r>
      <w:r>
        <w:t>5 percent</w:t>
      </w:r>
      <w:r w:rsidRPr="00B66F4E">
        <w:t xml:space="preserve"> </w:t>
      </w:r>
      <w:r w:rsidRPr="0091717B">
        <w:t>in 2014</w:t>
      </w:r>
      <w:r>
        <w:t>—</w:t>
      </w:r>
      <w:r w:rsidRPr="004255EE">
        <w:t xml:space="preserve">the same level as </w:t>
      </w:r>
      <w:r>
        <w:t xml:space="preserve">in </w:t>
      </w:r>
      <w:r w:rsidRPr="004255EE">
        <w:t>2010</w:t>
      </w:r>
      <w:r>
        <w:t xml:space="preserve">. </w:t>
      </w:r>
    </w:p>
    <w:p w14:paraId="1AFDEF0B" w14:textId="77777777" w:rsidR="001F21D2" w:rsidRPr="004255EE" w:rsidRDefault="001F21D2" w:rsidP="00724BAB">
      <w:pPr>
        <w:pStyle w:val="ListParagraph"/>
        <w:numPr>
          <w:ilvl w:val="0"/>
          <w:numId w:val="10"/>
        </w:numPr>
        <w:tabs>
          <w:tab w:val="left" w:pos="720"/>
        </w:tabs>
        <w:autoSpaceDE w:val="0"/>
        <w:autoSpaceDN w:val="0"/>
        <w:adjustRightInd w:val="0"/>
        <w:rPr>
          <w:rFonts w:ascii="Times New Roman" w:hAnsi="Times New Roman"/>
        </w:rPr>
      </w:pPr>
      <w:r w:rsidRPr="004255EE">
        <w:rPr>
          <w:b/>
        </w:rPr>
        <w:t>Personnel expenditure</w:t>
      </w:r>
      <w:r>
        <w:rPr>
          <w:b/>
        </w:rPr>
        <w:t>s</w:t>
      </w:r>
      <w:r w:rsidRPr="004255EE">
        <w:rPr>
          <w:b/>
        </w:rPr>
        <w:t xml:space="preserve"> account for a dominant share of </w:t>
      </w:r>
      <w:r>
        <w:rPr>
          <w:b/>
        </w:rPr>
        <w:t xml:space="preserve">the </w:t>
      </w:r>
      <w:r w:rsidRPr="004255EE">
        <w:rPr>
          <w:b/>
        </w:rPr>
        <w:t xml:space="preserve">MoH </w:t>
      </w:r>
      <w:r>
        <w:rPr>
          <w:b/>
        </w:rPr>
        <w:t>budget</w:t>
      </w:r>
      <w:r w:rsidRPr="004255EE">
        <w:rPr>
          <w:b/>
        </w:rPr>
        <w:t xml:space="preserve">, </w:t>
      </w:r>
      <w:r>
        <w:rPr>
          <w:b/>
        </w:rPr>
        <w:t>while</w:t>
      </w:r>
      <w:r w:rsidRPr="004255EE">
        <w:rPr>
          <w:b/>
        </w:rPr>
        <w:t xml:space="preserve"> </w:t>
      </w:r>
      <w:r>
        <w:rPr>
          <w:b/>
        </w:rPr>
        <w:t>spending on goods and services is minimal</w:t>
      </w:r>
      <w:r w:rsidRPr="004255EE">
        <w:rPr>
          <w:b/>
        </w:rPr>
        <w:t xml:space="preserve">. </w:t>
      </w:r>
      <w:r>
        <w:t>Wages and benefits</w:t>
      </w:r>
      <w:r w:rsidRPr="004255EE">
        <w:t xml:space="preserve"> </w:t>
      </w:r>
      <w:r>
        <w:t>represented</w:t>
      </w:r>
      <w:r w:rsidRPr="004255EE">
        <w:t xml:space="preserve"> </w:t>
      </w:r>
      <w:r w:rsidRPr="000301C0">
        <w:t xml:space="preserve">more than 90 percent </w:t>
      </w:r>
      <w:r>
        <w:t xml:space="preserve">of total MoH spending between 2011 and 2014, except in 2013 when a large one-time interest payment reduced personnel spending to </w:t>
      </w:r>
      <w:r w:rsidRPr="004255EE">
        <w:t>84 percent</w:t>
      </w:r>
      <w:r>
        <w:t xml:space="preserve"> (</w:t>
      </w:r>
      <w:r w:rsidR="00A015A0">
        <w:fldChar w:fldCharType="begin"/>
      </w:r>
      <w:r w:rsidR="00A015A0">
        <w:instrText xml:space="preserve"> REF _Ref466624558 \h </w:instrText>
      </w:r>
      <w:r w:rsidR="00A015A0">
        <w:fldChar w:fldCharType="separate"/>
      </w:r>
      <w:r w:rsidR="007B1CE6" w:rsidRPr="00D46978">
        <w:rPr>
          <w:rFonts w:eastAsia="Calibri"/>
        </w:rPr>
        <w:t xml:space="preserve">Figure </w:t>
      </w:r>
      <w:r w:rsidR="007B1CE6">
        <w:rPr>
          <w:rFonts w:eastAsia="Calibri"/>
          <w:noProof/>
        </w:rPr>
        <w:t>4</w:t>
      </w:r>
      <w:r w:rsidR="007B1CE6" w:rsidRPr="00D46978">
        <w:rPr>
          <w:rFonts w:eastAsia="Calibri"/>
        </w:rPr>
        <w:t>.</w:t>
      </w:r>
      <w:r w:rsidR="007B1CE6">
        <w:rPr>
          <w:rFonts w:eastAsia="Calibri"/>
          <w:noProof/>
        </w:rPr>
        <w:t>15</w:t>
      </w:r>
      <w:r w:rsidR="00A015A0">
        <w:fldChar w:fldCharType="end"/>
      </w:r>
      <w:r w:rsidRPr="007A0D9E">
        <w:t>c</w:t>
      </w:r>
      <w:r>
        <w:t>)</w:t>
      </w:r>
      <w:r w:rsidRPr="004255EE">
        <w:t>.</w:t>
      </w:r>
      <w:r w:rsidRPr="004255EE">
        <w:rPr>
          <w:rStyle w:val="FootnoteReference"/>
        </w:rPr>
        <w:footnoteReference w:id="130"/>
      </w:r>
      <w:r w:rsidRPr="004255EE">
        <w:t xml:space="preserve"> </w:t>
      </w:r>
      <w:r>
        <w:t xml:space="preserve">At </w:t>
      </w:r>
      <w:r w:rsidRPr="004255EE">
        <w:t xml:space="preserve">about </w:t>
      </w:r>
      <w:r w:rsidRPr="00FA2B28">
        <w:t xml:space="preserve">GH¢ </w:t>
      </w:r>
      <w:r w:rsidRPr="004255EE">
        <w:t>83 million</w:t>
      </w:r>
      <w:r>
        <w:t>, goods and services expenditures represent a very small portion of MoH spending. H</w:t>
      </w:r>
      <w:r w:rsidRPr="004255EE">
        <w:t>ead</w:t>
      </w:r>
      <w:r>
        <w:t xml:space="preserve"> offices, such as the </w:t>
      </w:r>
      <w:r w:rsidRPr="004255EE">
        <w:t xml:space="preserve">Offices of </w:t>
      </w:r>
      <w:r>
        <w:t xml:space="preserve">the </w:t>
      </w:r>
      <w:r w:rsidRPr="004255EE">
        <w:t xml:space="preserve">Minister and Chief Director, </w:t>
      </w:r>
      <w:r>
        <w:t>are responsible for a much larger share of these expenditures than</w:t>
      </w:r>
      <w:r w:rsidRPr="004255EE">
        <w:t xml:space="preserve"> service providers</w:t>
      </w:r>
      <w:r w:rsidR="00753DD1">
        <w:t>,</w:t>
      </w:r>
      <w:r>
        <w:t xml:space="preserve"> such as the Ghana Health Services </w:t>
      </w:r>
      <w:r w:rsidRPr="004255EE">
        <w:t>(GHS</w:t>
      </w:r>
      <w:r>
        <w:t>)</w:t>
      </w:r>
      <w:r w:rsidRPr="004255EE">
        <w:t xml:space="preserve"> and</w:t>
      </w:r>
      <w:r>
        <w:t xml:space="preserve"> the Christian Health Association of Ghana (</w:t>
      </w:r>
      <w:r w:rsidRPr="004255EE">
        <w:t xml:space="preserve">CHAG). </w:t>
      </w:r>
      <w:r>
        <w:t>In</w:t>
      </w:r>
      <w:r w:rsidRPr="004255EE">
        <w:t xml:space="preserve"> three out of four years </w:t>
      </w:r>
      <w:r>
        <w:t>for which</w:t>
      </w:r>
      <w:r w:rsidRPr="004255EE">
        <w:t xml:space="preserve"> data </w:t>
      </w:r>
      <w:r>
        <w:t>are</w:t>
      </w:r>
      <w:r w:rsidRPr="004255EE">
        <w:t xml:space="preserve"> available, goods and services </w:t>
      </w:r>
      <w:r>
        <w:t>expenditures were</w:t>
      </w:r>
      <w:r w:rsidRPr="004255EE">
        <w:t xml:space="preserve"> zero </w:t>
      </w:r>
      <w:r>
        <w:t xml:space="preserve">or near zero </w:t>
      </w:r>
      <w:r w:rsidRPr="004255EE">
        <w:t xml:space="preserve">for </w:t>
      </w:r>
      <w:r w:rsidR="00753DD1">
        <w:t xml:space="preserve">the </w:t>
      </w:r>
      <w:r w:rsidRPr="004255EE">
        <w:t xml:space="preserve">CHAG and </w:t>
      </w:r>
      <w:r w:rsidR="00753DD1">
        <w:t xml:space="preserve">below </w:t>
      </w:r>
      <w:r w:rsidRPr="004255EE">
        <w:t>GH</w:t>
      </w:r>
      <w:r w:rsidRPr="000A714B">
        <w:t>¢</w:t>
      </w:r>
      <w:r w:rsidRPr="004255EE">
        <w:t xml:space="preserve"> 7 million for </w:t>
      </w:r>
      <w:r w:rsidR="00753DD1">
        <w:t xml:space="preserve">the </w:t>
      </w:r>
      <w:r w:rsidRPr="004255EE">
        <w:t>GHS (</w:t>
      </w:r>
      <w:r w:rsidR="00A015A0">
        <w:fldChar w:fldCharType="begin"/>
      </w:r>
      <w:r w:rsidR="00A015A0">
        <w:instrText xml:space="preserve"> REF _Ref466624558 \h </w:instrText>
      </w:r>
      <w:r w:rsidR="00A015A0">
        <w:fldChar w:fldCharType="separate"/>
      </w:r>
      <w:r w:rsidR="007B1CE6" w:rsidRPr="00D46978">
        <w:rPr>
          <w:rFonts w:eastAsia="Calibri"/>
        </w:rPr>
        <w:t xml:space="preserve">Figure </w:t>
      </w:r>
      <w:r w:rsidR="007B1CE6">
        <w:rPr>
          <w:rFonts w:eastAsia="Calibri"/>
          <w:noProof/>
        </w:rPr>
        <w:t>4</w:t>
      </w:r>
      <w:r w:rsidR="007B1CE6" w:rsidRPr="00D46978">
        <w:rPr>
          <w:rFonts w:eastAsia="Calibri"/>
        </w:rPr>
        <w:t>.</w:t>
      </w:r>
      <w:r w:rsidR="007B1CE6">
        <w:rPr>
          <w:rFonts w:eastAsia="Calibri"/>
          <w:noProof/>
        </w:rPr>
        <w:t>15</w:t>
      </w:r>
      <w:r w:rsidR="00A015A0">
        <w:fldChar w:fldCharType="end"/>
      </w:r>
      <w:r w:rsidRPr="004255EE">
        <w:t>d).</w:t>
      </w:r>
    </w:p>
    <w:p w14:paraId="1AC83730" w14:textId="77777777" w:rsidR="001F21D2" w:rsidRPr="00F0436D" w:rsidRDefault="001F21D2" w:rsidP="00724BAB">
      <w:pPr>
        <w:pStyle w:val="ListParagraph"/>
        <w:numPr>
          <w:ilvl w:val="0"/>
          <w:numId w:val="10"/>
        </w:numPr>
        <w:tabs>
          <w:tab w:val="left" w:pos="720"/>
        </w:tabs>
        <w:autoSpaceDE w:val="0"/>
        <w:autoSpaceDN w:val="0"/>
        <w:adjustRightInd w:val="0"/>
      </w:pPr>
      <w:r w:rsidRPr="0031596A">
        <w:rPr>
          <w:b/>
        </w:rPr>
        <w:t>Public spending</w:t>
      </w:r>
      <w:r w:rsidRPr="00840300">
        <w:rPr>
          <w:b/>
        </w:rPr>
        <w:t xml:space="preserve"> through the </w:t>
      </w:r>
      <w:r w:rsidRPr="00950CB9">
        <w:rPr>
          <w:b/>
        </w:rPr>
        <w:t>NHIS has increased over time in absolute terms</w:t>
      </w:r>
      <w:r>
        <w:rPr>
          <w:b/>
        </w:rPr>
        <w:t xml:space="preserve"> while</w:t>
      </w:r>
      <w:r w:rsidRPr="00840300">
        <w:rPr>
          <w:b/>
        </w:rPr>
        <w:t xml:space="preserve"> remaining broadly</w:t>
      </w:r>
      <w:r w:rsidRPr="00950CB9">
        <w:rPr>
          <w:b/>
        </w:rPr>
        <w:t xml:space="preserve"> stable in relative terms at </w:t>
      </w:r>
      <w:r>
        <w:rPr>
          <w:b/>
        </w:rPr>
        <w:t>about</w:t>
      </w:r>
      <w:r w:rsidRPr="00840300">
        <w:rPr>
          <w:b/>
        </w:rPr>
        <w:t xml:space="preserve"> </w:t>
      </w:r>
      <w:r w:rsidRPr="00950CB9">
        <w:rPr>
          <w:b/>
        </w:rPr>
        <w:t>3 percent of total government spending.</w:t>
      </w:r>
      <w:r w:rsidRPr="00950CB9">
        <w:t xml:space="preserve"> Between 2010 and 2014, NHIS funding </w:t>
      </w:r>
      <w:r>
        <w:t>rose</w:t>
      </w:r>
      <w:r w:rsidRPr="00950CB9">
        <w:t xml:space="preserve"> </w:t>
      </w:r>
      <w:r w:rsidRPr="00631FDF">
        <w:t>by 170 percent</w:t>
      </w:r>
      <w:r w:rsidRPr="00950CB9">
        <w:t xml:space="preserve">, or 43 percent per year. As MoH expenditures have </w:t>
      </w:r>
      <w:r>
        <w:t>fallen</w:t>
      </w:r>
      <w:r w:rsidRPr="00950CB9">
        <w:t xml:space="preserve">, public health spending has increasingly shifted toward statutory funds. </w:t>
      </w:r>
      <w:r>
        <w:t xml:space="preserve">As a </w:t>
      </w:r>
      <w:r>
        <w:lastRenderedPageBreak/>
        <w:t>result, t</w:t>
      </w:r>
      <w:r w:rsidRPr="00840300">
        <w:t xml:space="preserve">he ratio </w:t>
      </w:r>
      <w:r>
        <w:t>of</w:t>
      </w:r>
      <w:r w:rsidRPr="00840300">
        <w:t xml:space="preserve"> MoH </w:t>
      </w:r>
      <w:r>
        <w:t>to</w:t>
      </w:r>
      <w:r w:rsidRPr="00840300">
        <w:t xml:space="preserve"> </w:t>
      </w:r>
      <w:r w:rsidR="009E1B70" w:rsidRPr="00950CB9">
        <w:t>N</w:t>
      </w:r>
      <w:r w:rsidR="001F4110">
        <w:t>ational Health Fund</w:t>
      </w:r>
      <w:r w:rsidR="009E1B70" w:rsidRPr="00950CB9">
        <w:t xml:space="preserve"> </w:t>
      </w:r>
      <w:r w:rsidRPr="00840300">
        <w:t xml:space="preserve">expenditures </w:t>
      </w:r>
      <w:r>
        <w:t>dropped</w:t>
      </w:r>
      <w:r w:rsidRPr="00840300">
        <w:t xml:space="preserve"> from 2.9:1</w:t>
      </w:r>
      <w:r w:rsidRPr="00950CB9">
        <w:t xml:space="preserve"> in 2012 to 1.7:1 in 2014. </w:t>
      </w:r>
    </w:p>
    <w:p w14:paraId="0DF9FD23" w14:textId="77777777" w:rsidR="001F21D2" w:rsidRPr="004255EE" w:rsidRDefault="001F21D2" w:rsidP="00724BAB">
      <w:pPr>
        <w:pStyle w:val="ListParagraph"/>
        <w:numPr>
          <w:ilvl w:val="0"/>
          <w:numId w:val="10"/>
        </w:numPr>
        <w:tabs>
          <w:tab w:val="left" w:pos="720"/>
        </w:tabs>
        <w:autoSpaceDE w:val="0"/>
        <w:autoSpaceDN w:val="0"/>
        <w:adjustRightInd w:val="0"/>
      </w:pPr>
      <w:r>
        <w:rPr>
          <w:b/>
        </w:rPr>
        <w:t xml:space="preserve">The </w:t>
      </w:r>
      <w:r w:rsidRPr="004255EE">
        <w:rPr>
          <w:b/>
        </w:rPr>
        <w:t xml:space="preserve">NHIS is </w:t>
      </w:r>
      <w:r>
        <w:rPr>
          <w:b/>
        </w:rPr>
        <w:t>primarily</w:t>
      </w:r>
      <w:r w:rsidRPr="004255EE">
        <w:rPr>
          <w:b/>
        </w:rPr>
        <w:t xml:space="preserve"> financed </w:t>
      </w:r>
      <w:r>
        <w:rPr>
          <w:b/>
        </w:rPr>
        <w:t>through a combination of</w:t>
      </w:r>
      <w:r w:rsidRPr="004255EE">
        <w:rPr>
          <w:b/>
        </w:rPr>
        <w:t xml:space="preserve"> lev</w:t>
      </w:r>
      <w:r>
        <w:rPr>
          <w:b/>
        </w:rPr>
        <w:t>ies</w:t>
      </w:r>
      <w:r w:rsidRPr="004255EE">
        <w:rPr>
          <w:b/>
        </w:rPr>
        <w:t xml:space="preserve"> and </w:t>
      </w:r>
      <w:r w:rsidR="00753DD1">
        <w:rPr>
          <w:b/>
        </w:rPr>
        <w:t>S</w:t>
      </w:r>
      <w:r w:rsidRPr="004255EE">
        <w:rPr>
          <w:b/>
        </w:rPr>
        <w:t>SNIT deduction</w:t>
      </w:r>
      <w:r>
        <w:rPr>
          <w:b/>
        </w:rPr>
        <w:t xml:space="preserve">s, </w:t>
      </w:r>
      <w:r w:rsidRPr="004255EE">
        <w:rPr>
          <w:b/>
        </w:rPr>
        <w:t>and claims payment</w:t>
      </w:r>
      <w:r>
        <w:rPr>
          <w:b/>
        </w:rPr>
        <w:t>s comprise the bulk of its expenditures</w:t>
      </w:r>
      <w:r w:rsidRPr="004255EE">
        <w:rPr>
          <w:b/>
        </w:rPr>
        <w:t xml:space="preserve">. </w:t>
      </w:r>
      <w:r>
        <w:t>As of 2014, the national health insurance</w:t>
      </w:r>
      <w:r w:rsidRPr="004255EE">
        <w:t xml:space="preserve"> levy and SSNIT contribution</w:t>
      </w:r>
      <w:r>
        <w:t>s</w:t>
      </w:r>
      <w:r w:rsidRPr="004255EE">
        <w:t xml:space="preserve"> </w:t>
      </w:r>
      <w:r>
        <w:t>represented 74 and 20 percent</w:t>
      </w:r>
      <w:r w:rsidRPr="0045355B">
        <w:t xml:space="preserve"> </w:t>
      </w:r>
      <w:r w:rsidRPr="00BE71B4">
        <w:t>of NHIS revenue</w:t>
      </w:r>
      <w:r>
        <w:t>, respectively (</w:t>
      </w:r>
      <w:r w:rsidR="00A015A0">
        <w:fldChar w:fldCharType="begin"/>
      </w:r>
      <w:r w:rsidR="00A015A0">
        <w:instrText xml:space="preserve"> REF _Ref466624558 \h </w:instrText>
      </w:r>
      <w:r w:rsidR="00A015A0">
        <w:fldChar w:fldCharType="separate"/>
      </w:r>
      <w:r w:rsidR="007B1CE6" w:rsidRPr="00D46978">
        <w:rPr>
          <w:rFonts w:eastAsia="Calibri"/>
        </w:rPr>
        <w:t xml:space="preserve">Figure </w:t>
      </w:r>
      <w:r w:rsidR="007B1CE6">
        <w:rPr>
          <w:rFonts w:eastAsia="Calibri"/>
          <w:noProof/>
        </w:rPr>
        <w:t>4</w:t>
      </w:r>
      <w:r w:rsidR="007B1CE6" w:rsidRPr="00D46978">
        <w:rPr>
          <w:rFonts w:eastAsia="Calibri"/>
        </w:rPr>
        <w:t>.</w:t>
      </w:r>
      <w:r w:rsidR="007B1CE6">
        <w:rPr>
          <w:rFonts w:eastAsia="Calibri"/>
          <w:noProof/>
        </w:rPr>
        <w:t>15</w:t>
      </w:r>
      <w:r w:rsidR="00A015A0">
        <w:fldChar w:fldCharType="end"/>
      </w:r>
      <w:r w:rsidRPr="004255EE">
        <w:t xml:space="preserve">e and </w:t>
      </w:r>
      <w:r w:rsidR="00A015A0">
        <w:fldChar w:fldCharType="begin"/>
      </w:r>
      <w:r w:rsidR="00A015A0">
        <w:instrText xml:space="preserve"> REF _Ref466624558 \h </w:instrText>
      </w:r>
      <w:r w:rsidR="00A015A0">
        <w:fldChar w:fldCharType="separate"/>
      </w:r>
      <w:r w:rsidR="007B1CE6" w:rsidRPr="00D46978">
        <w:rPr>
          <w:rFonts w:eastAsia="Calibri"/>
        </w:rPr>
        <w:t xml:space="preserve">Figure </w:t>
      </w:r>
      <w:r w:rsidR="007B1CE6">
        <w:rPr>
          <w:rFonts w:eastAsia="Calibri"/>
          <w:noProof/>
        </w:rPr>
        <w:t>4</w:t>
      </w:r>
      <w:r w:rsidR="007B1CE6" w:rsidRPr="00D46978">
        <w:rPr>
          <w:rFonts w:eastAsia="Calibri"/>
        </w:rPr>
        <w:t>.</w:t>
      </w:r>
      <w:r w:rsidR="007B1CE6">
        <w:rPr>
          <w:rFonts w:eastAsia="Calibri"/>
          <w:noProof/>
        </w:rPr>
        <w:t>15</w:t>
      </w:r>
      <w:r w:rsidR="00A015A0">
        <w:fldChar w:fldCharType="end"/>
      </w:r>
      <w:r w:rsidRPr="004255EE">
        <w:t>f</w:t>
      </w:r>
      <w:r>
        <w:t>), while c</w:t>
      </w:r>
      <w:r w:rsidRPr="004255EE">
        <w:t>laims payment</w:t>
      </w:r>
      <w:r>
        <w:t xml:space="preserve">s made up </w:t>
      </w:r>
      <w:r w:rsidRPr="004255EE">
        <w:t>77 percent</w:t>
      </w:r>
      <w:r>
        <w:t xml:space="preserve"> </w:t>
      </w:r>
      <w:r w:rsidRPr="004255EE">
        <w:t>of NHIS expenditure</w:t>
      </w:r>
      <w:r>
        <w:t>s</w:t>
      </w:r>
      <w:r w:rsidRPr="004255EE">
        <w:t xml:space="preserve">. </w:t>
      </w:r>
      <w:r>
        <w:t>Given</w:t>
      </w:r>
      <w:r w:rsidRPr="004255EE">
        <w:t xml:space="preserve"> the extremely low level of MoH </w:t>
      </w:r>
      <w:r>
        <w:t>spending on goods and services</w:t>
      </w:r>
      <w:r w:rsidRPr="004255EE">
        <w:t>, NHIS claims payment</w:t>
      </w:r>
      <w:r>
        <w:t>s</w:t>
      </w:r>
      <w:r w:rsidRPr="004255EE">
        <w:t xml:space="preserve"> </w:t>
      </w:r>
      <w:r>
        <w:t>now finance more than 80 percent of</w:t>
      </w:r>
      <w:r w:rsidRPr="004255EE">
        <w:t xml:space="preserve"> health facilities’ operational expenses</w:t>
      </w:r>
      <w:r>
        <w:t>.</w:t>
      </w:r>
      <w:r w:rsidRPr="004255EE">
        <w:rPr>
          <w:rStyle w:val="FootnoteReference"/>
        </w:rPr>
        <w:footnoteReference w:id="131"/>
      </w:r>
      <w:r>
        <w:t xml:space="preserve"> As a result,</w:t>
      </w:r>
      <w:r w:rsidRPr="004255EE">
        <w:t xml:space="preserve"> delays in reimbursement ha</w:t>
      </w:r>
      <w:r>
        <w:t>ve</w:t>
      </w:r>
      <w:r w:rsidRPr="004255EE">
        <w:t xml:space="preserve"> become </w:t>
      </w:r>
      <w:r>
        <w:t>a major</w:t>
      </w:r>
      <w:r w:rsidRPr="004255EE">
        <w:t xml:space="preserve"> concern </w:t>
      </w:r>
      <w:r>
        <w:t>for</w:t>
      </w:r>
      <w:r w:rsidRPr="004255EE">
        <w:t xml:space="preserve"> NHIS health providers</w:t>
      </w:r>
      <w:r>
        <w:t>. T</w:t>
      </w:r>
      <w:r w:rsidRPr="004255EE">
        <w:t xml:space="preserve">here is anecdotal evidence that </w:t>
      </w:r>
      <w:r>
        <w:t>payment</w:t>
      </w:r>
      <w:r w:rsidRPr="004255EE">
        <w:t xml:space="preserve"> delays </w:t>
      </w:r>
      <w:r>
        <w:t xml:space="preserve">frequently compel </w:t>
      </w:r>
      <w:r w:rsidRPr="004255EE">
        <w:t>providers to borrow at interest rate</w:t>
      </w:r>
      <w:r>
        <w:t>s</w:t>
      </w:r>
      <w:r w:rsidRPr="004255EE">
        <w:t xml:space="preserve"> </w:t>
      </w:r>
      <w:r>
        <w:t>upwards of</w:t>
      </w:r>
      <w:r w:rsidRPr="004255EE">
        <w:t xml:space="preserve"> 25 percent to maintain their operation</w:t>
      </w:r>
      <w:r>
        <w:t>s</w:t>
      </w:r>
      <w:r w:rsidRPr="004255EE">
        <w:t xml:space="preserve">. </w:t>
      </w:r>
    </w:p>
    <w:p w14:paraId="4A70F33E" w14:textId="77777777" w:rsidR="001F21D2" w:rsidRPr="004255EE" w:rsidRDefault="001F21D2" w:rsidP="00724BAB">
      <w:pPr>
        <w:pStyle w:val="ListParagraph"/>
        <w:numPr>
          <w:ilvl w:val="0"/>
          <w:numId w:val="10"/>
        </w:numPr>
        <w:tabs>
          <w:tab w:val="left" w:pos="720"/>
        </w:tabs>
        <w:autoSpaceDE w:val="0"/>
        <w:autoSpaceDN w:val="0"/>
        <w:adjustRightInd w:val="0"/>
      </w:pPr>
      <w:r>
        <w:rPr>
          <w:b/>
        </w:rPr>
        <w:t>Public</w:t>
      </w:r>
      <w:r w:rsidRPr="004255EE">
        <w:rPr>
          <w:b/>
        </w:rPr>
        <w:t xml:space="preserve"> capital </w:t>
      </w:r>
      <w:r>
        <w:rPr>
          <w:b/>
        </w:rPr>
        <w:t>investment</w:t>
      </w:r>
      <w:r w:rsidRPr="004255EE">
        <w:rPr>
          <w:b/>
        </w:rPr>
        <w:t xml:space="preserve"> in</w:t>
      </w:r>
      <w:r>
        <w:rPr>
          <w:b/>
        </w:rPr>
        <w:t xml:space="preserve"> the</w:t>
      </w:r>
      <w:r w:rsidRPr="004255EE">
        <w:rPr>
          <w:b/>
        </w:rPr>
        <w:t xml:space="preserve"> health sector </w:t>
      </w:r>
      <w:r>
        <w:rPr>
          <w:b/>
        </w:rPr>
        <w:t>appears to be</w:t>
      </w:r>
      <w:r w:rsidRPr="004255EE">
        <w:rPr>
          <w:b/>
        </w:rPr>
        <w:t xml:space="preserve"> </w:t>
      </w:r>
      <w:r>
        <w:rPr>
          <w:b/>
        </w:rPr>
        <w:t>limited</w:t>
      </w:r>
      <w:r w:rsidRPr="004255EE">
        <w:rPr>
          <w:b/>
        </w:rPr>
        <w:t xml:space="preserve">, </w:t>
      </w:r>
      <w:r>
        <w:rPr>
          <w:b/>
        </w:rPr>
        <w:t>though</w:t>
      </w:r>
      <w:r w:rsidRPr="004255EE">
        <w:rPr>
          <w:b/>
        </w:rPr>
        <w:t xml:space="preserve"> no systematic data</w:t>
      </w:r>
      <w:r>
        <w:rPr>
          <w:b/>
        </w:rPr>
        <w:t xml:space="preserve"> are</w:t>
      </w:r>
      <w:r w:rsidRPr="004255EE">
        <w:rPr>
          <w:b/>
        </w:rPr>
        <w:t xml:space="preserve"> available.</w:t>
      </w:r>
      <w:r w:rsidRPr="004255EE">
        <w:t xml:space="preserve"> </w:t>
      </w:r>
      <w:r>
        <w:t xml:space="preserve">The </w:t>
      </w:r>
      <w:r w:rsidRPr="004255EE">
        <w:t>government</w:t>
      </w:r>
      <w:r>
        <w:t xml:space="preserve"> spent just </w:t>
      </w:r>
      <w:r w:rsidRPr="004255EE">
        <w:t>GH</w:t>
      </w:r>
      <w:r w:rsidRPr="00CF1C16">
        <w:t>¢</w:t>
      </w:r>
      <w:r w:rsidRPr="004255EE">
        <w:t xml:space="preserve"> 3.3 million </w:t>
      </w:r>
      <w:r>
        <w:t xml:space="preserve">on </w:t>
      </w:r>
      <w:r w:rsidRPr="004255EE">
        <w:t xml:space="preserve">capital </w:t>
      </w:r>
      <w:r>
        <w:t>investment</w:t>
      </w:r>
      <w:r w:rsidRPr="004255EE">
        <w:t xml:space="preserve"> in</w:t>
      </w:r>
      <w:r>
        <w:t xml:space="preserve"> the</w:t>
      </w:r>
      <w:r w:rsidRPr="004255EE">
        <w:t xml:space="preserve"> health sector in 2014</w:t>
      </w:r>
      <w:r>
        <w:t>, far less than the</w:t>
      </w:r>
      <w:r w:rsidRPr="00E41613">
        <w:t xml:space="preserve"> GH¢ 1.5 billion </w:t>
      </w:r>
      <w:r>
        <w:t>spent on</w:t>
      </w:r>
      <w:r w:rsidRPr="00E41613">
        <w:t xml:space="preserve"> </w:t>
      </w:r>
      <w:r>
        <w:t>wages</w:t>
      </w:r>
      <w:r w:rsidRPr="00E41613">
        <w:t xml:space="preserve"> </w:t>
      </w:r>
      <w:r>
        <w:t xml:space="preserve">and benefits </w:t>
      </w:r>
      <w:r w:rsidRPr="00E41613">
        <w:t xml:space="preserve">and </w:t>
      </w:r>
      <w:r>
        <w:t xml:space="preserve">the </w:t>
      </w:r>
      <w:r w:rsidRPr="00E41613">
        <w:t xml:space="preserve">GH¢ 0.9 billion </w:t>
      </w:r>
      <w:r>
        <w:t>spent on the</w:t>
      </w:r>
      <w:r w:rsidRPr="00E41613">
        <w:t xml:space="preserve"> NHIS.</w:t>
      </w:r>
      <w:r>
        <w:rPr>
          <w:rStyle w:val="FootnoteReference"/>
        </w:rPr>
        <w:footnoteReference w:id="132"/>
      </w:r>
      <w:r>
        <w:t xml:space="preserve"> A full 40 percent of public capital spending financed</w:t>
      </w:r>
      <w:r w:rsidRPr="004255EE">
        <w:t xml:space="preserve"> </w:t>
      </w:r>
      <w:r>
        <w:t>a single</w:t>
      </w:r>
      <w:r w:rsidRPr="004255EE">
        <w:t xml:space="preserve"> water improvement program</w:t>
      </w:r>
      <w:r>
        <w:t xml:space="preserve">, while 36 percent financed </w:t>
      </w:r>
      <w:r w:rsidRPr="004255EE">
        <w:t xml:space="preserve">three </w:t>
      </w:r>
      <w:r>
        <w:t xml:space="preserve">training-facility </w:t>
      </w:r>
      <w:r w:rsidRPr="004255EE">
        <w:t>projects</w:t>
      </w:r>
      <w:r>
        <w:t xml:space="preserve">, </w:t>
      </w:r>
      <w:r w:rsidRPr="004255EE">
        <w:t>and</w:t>
      </w:r>
      <w:r>
        <w:t xml:space="preserve"> 18 percent financed</w:t>
      </w:r>
      <w:r w:rsidRPr="004255EE">
        <w:t xml:space="preserve"> two </w:t>
      </w:r>
      <w:r>
        <w:t xml:space="preserve">maternity-ward construction </w:t>
      </w:r>
      <w:r w:rsidRPr="004255EE">
        <w:t xml:space="preserve">projects. </w:t>
      </w:r>
    </w:p>
    <w:p w14:paraId="6A306EF5" w14:textId="77777777" w:rsidR="001F21D2" w:rsidRPr="00D46978" w:rsidRDefault="00657AA2" w:rsidP="00CC6F65">
      <w:pPr>
        <w:pStyle w:val="Caption"/>
        <w:rPr>
          <w:rFonts w:eastAsia="Calibri"/>
          <w:lang w:val="en-US"/>
        </w:rPr>
      </w:pPr>
      <w:bookmarkStart w:id="189" w:name="_Ref466624558"/>
      <w:bookmarkStart w:id="190" w:name="_Toc452412915"/>
      <w:bookmarkStart w:id="191" w:name="_Toc479624942"/>
      <w:r w:rsidRPr="00D46978">
        <w:rPr>
          <w:rFonts w:eastAsia="Calibri"/>
          <w:lang w:val="en-US"/>
        </w:rPr>
        <w:t>Figure</w:t>
      </w:r>
      <w:r w:rsidR="001F21D2" w:rsidRPr="00D46978">
        <w:rPr>
          <w:rFonts w:eastAsia="Calibri"/>
          <w:lang w:val="en-US"/>
        </w:rPr>
        <w:t xml:space="preserve"> </w:t>
      </w:r>
      <w:r w:rsidR="005C0067" w:rsidRPr="00D46978">
        <w:rPr>
          <w:rFonts w:eastAsia="Calibri"/>
          <w:lang w:val="en-US"/>
        </w:rPr>
        <w:fldChar w:fldCharType="begin"/>
      </w:r>
      <w:r w:rsidR="005C0067" w:rsidRPr="00D46978">
        <w:rPr>
          <w:rFonts w:eastAsia="Calibri"/>
          <w:lang w:val="en-US"/>
        </w:rPr>
        <w:instrText xml:space="preserve"> STYLEREF 1 \s </w:instrText>
      </w:r>
      <w:r w:rsidR="005C0067" w:rsidRPr="00D46978">
        <w:rPr>
          <w:rFonts w:eastAsia="Calibri"/>
          <w:lang w:val="en-US"/>
        </w:rPr>
        <w:fldChar w:fldCharType="separate"/>
      </w:r>
      <w:r w:rsidR="007B1CE6">
        <w:rPr>
          <w:rFonts w:eastAsia="Calibri"/>
          <w:noProof/>
          <w:lang w:val="en-US"/>
        </w:rPr>
        <w:t>4</w:t>
      </w:r>
      <w:r w:rsidR="005C0067" w:rsidRPr="00D46978">
        <w:rPr>
          <w:rFonts w:eastAsia="Calibri"/>
          <w:lang w:val="en-US"/>
        </w:rPr>
        <w:fldChar w:fldCharType="end"/>
      </w:r>
      <w:r w:rsidR="005C0067" w:rsidRPr="00D46978">
        <w:rPr>
          <w:rFonts w:eastAsia="Calibri"/>
          <w:lang w:val="en-US"/>
        </w:rPr>
        <w:t>.</w:t>
      </w:r>
      <w:r w:rsidR="005C0067" w:rsidRPr="00D46978">
        <w:rPr>
          <w:rFonts w:eastAsia="Calibri"/>
          <w:lang w:val="en-US"/>
        </w:rPr>
        <w:fldChar w:fldCharType="begin"/>
      </w:r>
      <w:r w:rsidR="005C0067" w:rsidRPr="00D46978">
        <w:rPr>
          <w:rFonts w:eastAsia="Calibri"/>
          <w:lang w:val="en-US"/>
        </w:rPr>
        <w:instrText xml:space="preserve"> SEQ Figure \* ARABIC \s 1 </w:instrText>
      </w:r>
      <w:r w:rsidR="005C0067" w:rsidRPr="00D46978">
        <w:rPr>
          <w:rFonts w:eastAsia="Calibri"/>
          <w:lang w:val="en-US"/>
        </w:rPr>
        <w:fldChar w:fldCharType="separate"/>
      </w:r>
      <w:r w:rsidR="007B1CE6">
        <w:rPr>
          <w:rFonts w:eastAsia="Calibri"/>
          <w:noProof/>
          <w:lang w:val="en-US"/>
        </w:rPr>
        <w:t>15</w:t>
      </w:r>
      <w:r w:rsidR="005C0067" w:rsidRPr="00D46978">
        <w:rPr>
          <w:rFonts w:eastAsia="Calibri"/>
          <w:lang w:val="en-US"/>
        </w:rPr>
        <w:fldChar w:fldCharType="end"/>
      </w:r>
      <w:bookmarkEnd w:id="189"/>
      <w:r w:rsidR="008E57D6" w:rsidRPr="00D46978">
        <w:rPr>
          <w:rFonts w:eastAsia="Calibri"/>
          <w:lang w:val="en-US"/>
        </w:rPr>
        <w:t>:</w:t>
      </w:r>
      <w:r w:rsidR="001F21D2" w:rsidRPr="00D46978">
        <w:rPr>
          <w:rFonts w:eastAsia="Calibri"/>
          <w:lang w:val="en-US"/>
        </w:rPr>
        <w:t xml:space="preserve"> Public Health Spending by the MoH and NHIS</w:t>
      </w:r>
      <w:bookmarkEnd w:id="190"/>
      <w:bookmarkEnd w:id="1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505"/>
      </w:tblGrid>
      <w:tr w:rsidR="00C103D6" w:rsidRPr="00D15C7D" w14:paraId="34F60626" w14:textId="77777777" w:rsidTr="00640AC2">
        <w:tc>
          <w:tcPr>
            <w:tcW w:w="4784" w:type="dxa"/>
          </w:tcPr>
          <w:p w14:paraId="5F1D9A3F" w14:textId="77777777" w:rsidR="001F21D2" w:rsidRPr="00D46978" w:rsidRDefault="001F21D2" w:rsidP="00724BAB">
            <w:pPr>
              <w:pStyle w:val="ListParagraph"/>
              <w:keepNext/>
              <w:keepLines/>
              <w:numPr>
                <w:ilvl w:val="0"/>
                <w:numId w:val="8"/>
              </w:numPr>
              <w:tabs>
                <w:tab w:val="left" w:pos="157"/>
              </w:tabs>
              <w:autoSpaceDE w:val="0"/>
              <w:autoSpaceDN w:val="0"/>
              <w:adjustRightInd w:val="0"/>
              <w:spacing w:after="0" w:line="276" w:lineRule="auto"/>
              <w:ind w:left="157" w:hanging="180"/>
              <w:contextualSpacing/>
              <w:jc w:val="left"/>
              <w:rPr>
                <w:sz w:val="20"/>
                <w:lang w:val="en-US"/>
              </w:rPr>
            </w:pPr>
            <w:r w:rsidRPr="003E74BD">
              <w:rPr>
                <w:sz w:val="20"/>
              </w:rPr>
              <w:t xml:space="preserve">Public </w:t>
            </w:r>
            <w:r w:rsidR="003E74BD" w:rsidRPr="003E74BD">
              <w:rPr>
                <w:sz w:val="20"/>
              </w:rPr>
              <w:t>H</w:t>
            </w:r>
            <w:r w:rsidRPr="003E74BD">
              <w:rPr>
                <w:sz w:val="20"/>
              </w:rPr>
              <w:t xml:space="preserve">ealth </w:t>
            </w:r>
            <w:r w:rsidR="003E74BD" w:rsidRPr="003E74BD">
              <w:rPr>
                <w:sz w:val="20"/>
              </w:rPr>
              <w:t>S</w:t>
            </w:r>
            <w:r w:rsidRPr="003E74BD">
              <w:rPr>
                <w:sz w:val="20"/>
              </w:rPr>
              <w:t>pending by the MoH and NHIS, 2011-14 (US$)</w:t>
            </w:r>
          </w:p>
        </w:tc>
        <w:tc>
          <w:tcPr>
            <w:tcW w:w="4566" w:type="dxa"/>
          </w:tcPr>
          <w:p w14:paraId="0DB35CA6" w14:textId="77777777" w:rsidR="001F21D2" w:rsidRPr="00D46978" w:rsidRDefault="001F21D2" w:rsidP="00724BAB">
            <w:pPr>
              <w:pStyle w:val="ListParagraph"/>
              <w:keepNext/>
              <w:keepLines/>
              <w:numPr>
                <w:ilvl w:val="0"/>
                <w:numId w:val="8"/>
              </w:numPr>
              <w:tabs>
                <w:tab w:val="left" w:pos="157"/>
              </w:tabs>
              <w:autoSpaceDE w:val="0"/>
              <w:autoSpaceDN w:val="0"/>
              <w:adjustRightInd w:val="0"/>
              <w:spacing w:after="0" w:line="276" w:lineRule="auto"/>
              <w:ind w:left="157" w:hanging="180"/>
              <w:contextualSpacing/>
              <w:jc w:val="left"/>
              <w:rPr>
                <w:sz w:val="20"/>
                <w:lang w:val="en-US"/>
              </w:rPr>
            </w:pPr>
            <w:r w:rsidRPr="003E74BD">
              <w:rPr>
                <w:sz w:val="20"/>
              </w:rPr>
              <w:t xml:space="preserve">Public </w:t>
            </w:r>
            <w:r w:rsidR="003E74BD" w:rsidRPr="003E74BD">
              <w:rPr>
                <w:sz w:val="20"/>
              </w:rPr>
              <w:t>H</w:t>
            </w:r>
            <w:r w:rsidRPr="003E74BD">
              <w:rPr>
                <w:sz w:val="20"/>
              </w:rPr>
              <w:t xml:space="preserve">ealth </w:t>
            </w:r>
            <w:r w:rsidR="003E74BD" w:rsidRPr="003E74BD">
              <w:rPr>
                <w:sz w:val="20"/>
              </w:rPr>
              <w:t>S</w:t>
            </w:r>
            <w:r w:rsidRPr="003E74BD">
              <w:rPr>
                <w:sz w:val="20"/>
              </w:rPr>
              <w:t>pending by the MoH and NHIS, 2011-14 (% of total government spending)</w:t>
            </w:r>
          </w:p>
        </w:tc>
      </w:tr>
      <w:tr w:rsidR="00C103D6" w:rsidRPr="0045355B" w14:paraId="58FE1BBE" w14:textId="77777777" w:rsidTr="00640AC2">
        <w:trPr>
          <w:trHeight w:val="2627"/>
        </w:trPr>
        <w:tc>
          <w:tcPr>
            <w:tcW w:w="4784" w:type="dxa"/>
          </w:tcPr>
          <w:p w14:paraId="5D56C255" w14:textId="77777777" w:rsidR="001F21D2" w:rsidRPr="00B05E89" w:rsidRDefault="00A75EC9" w:rsidP="005A7652">
            <w:pPr>
              <w:tabs>
                <w:tab w:val="left" w:pos="720"/>
              </w:tabs>
              <w:autoSpaceDE w:val="0"/>
              <w:autoSpaceDN w:val="0"/>
              <w:adjustRightInd w:val="0"/>
              <w:jc w:val="center"/>
              <w:rPr>
                <w:rFonts w:ascii="Garamond" w:hAnsi="Garamond"/>
                <w:sz w:val="20"/>
              </w:rPr>
            </w:pPr>
            <w:r>
              <w:rPr>
                <w:rFonts w:ascii="Garamond" w:hAnsi="Garamond"/>
                <w:noProof/>
                <w:sz w:val="20"/>
              </w:rPr>
              <w:drawing>
                <wp:inline distT="0" distB="0" distL="0" distR="0" wp14:anchorId="3327E991" wp14:editId="1D38401C">
                  <wp:extent cx="2880746" cy="1724025"/>
                  <wp:effectExtent l="0" t="0" r="0" b="0"/>
                  <wp:docPr id="66564" name="Picture 6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85460" cy="1726846"/>
                          </a:xfrm>
                          <a:prstGeom prst="rect">
                            <a:avLst/>
                          </a:prstGeom>
                          <a:noFill/>
                        </pic:spPr>
                      </pic:pic>
                    </a:graphicData>
                  </a:graphic>
                </wp:inline>
              </w:drawing>
            </w:r>
          </w:p>
        </w:tc>
        <w:tc>
          <w:tcPr>
            <w:tcW w:w="4566" w:type="dxa"/>
          </w:tcPr>
          <w:p w14:paraId="646A319C" w14:textId="77777777" w:rsidR="001F21D2" w:rsidRPr="00B05E89" w:rsidRDefault="00C103D6" w:rsidP="005A7652">
            <w:pPr>
              <w:tabs>
                <w:tab w:val="left" w:pos="720"/>
              </w:tabs>
              <w:autoSpaceDE w:val="0"/>
              <w:autoSpaceDN w:val="0"/>
              <w:adjustRightInd w:val="0"/>
              <w:rPr>
                <w:rFonts w:ascii="Garamond" w:hAnsi="Garamond"/>
                <w:sz w:val="20"/>
              </w:rPr>
            </w:pPr>
            <w:r>
              <w:rPr>
                <w:rFonts w:ascii="Garamond" w:hAnsi="Garamond"/>
                <w:noProof/>
                <w:sz w:val="20"/>
              </w:rPr>
              <w:drawing>
                <wp:inline distT="0" distB="0" distL="0" distR="0" wp14:anchorId="1200433F" wp14:editId="2F208FE5">
                  <wp:extent cx="2824344" cy="1713230"/>
                  <wp:effectExtent l="0" t="0" r="0" b="1270"/>
                  <wp:docPr id="66561" name="Picture 6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29962" cy="1716638"/>
                          </a:xfrm>
                          <a:prstGeom prst="rect">
                            <a:avLst/>
                          </a:prstGeom>
                          <a:noFill/>
                        </pic:spPr>
                      </pic:pic>
                    </a:graphicData>
                  </a:graphic>
                </wp:inline>
              </w:drawing>
            </w:r>
          </w:p>
        </w:tc>
      </w:tr>
      <w:tr w:rsidR="00C103D6" w:rsidRPr="0045355B" w14:paraId="58774FE8" w14:textId="77777777" w:rsidTr="00640AC2">
        <w:tc>
          <w:tcPr>
            <w:tcW w:w="4784" w:type="dxa"/>
          </w:tcPr>
          <w:p w14:paraId="277B1B58" w14:textId="77777777" w:rsidR="001F21D2" w:rsidRPr="00D46978" w:rsidRDefault="001F21D2" w:rsidP="00724BAB">
            <w:pPr>
              <w:pStyle w:val="ListParagraph"/>
              <w:keepNext/>
              <w:keepLines/>
              <w:numPr>
                <w:ilvl w:val="0"/>
                <w:numId w:val="8"/>
              </w:numPr>
              <w:tabs>
                <w:tab w:val="left" w:pos="157"/>
              </w:tabs>
              <w:autoSpaceDE w:val="0"/>
              <w:autoSpaceDN w:val="0"/>
              <w:adjustRightInd w:val="0"/>
              <w:spacing w:after="0"/>
              <w:ind w:left="158" w:hanging="187"/>
              <w:contextualSpacing/>
              <w:jc w:val="left"/>
              <w:rPr>
                <w:sz w:val="20"/>
                <w:lang w:val="en-US"/>
              </w:rPr>
            </w:pPr>
            <w:r w:rsidRPr="003E74BD">
              <w:rPr>
                <w:sz w:val="20"/>
              </w:rPr>
              <w:t xml:space="preserve">Composition of </w:t>
            </w:r>
            <w:r w:rsidR="003E74BD" w:rsidRPr="003E74BD">
              <w:rPr>
                <w:sz w:val="20"/>
              </w:rPr>
              <w:t>P</w:t>
            </w:r>
            <w:r w:rsidRPr="003E74BD">
              <w:rPr>
                <w:sz w:val="20"/>
              </w:rPr>
              <w:t xml:space="preserve">ublic </w:t>
            </w:r>
            <w:r w:rsidR="003E74BD" w:rsidRPr="003E74BD">
              <w:rPr>
                <w:sz w:val="20"/>
              </w:rPr>
              <w:t>H</w:t>
            </w:r>
            <w:r w:rsidRPr="003E74BD">
              <w:rPr>
                <w:sz w:val="20"/>
              </w:rPr>
              <w:t xml:space="preserve">ealth </w:t>
            </w:r>
            <w:r w:rsidR="003E74BD" w:rsidRPr="003E74BD">
              <w:rPr>
                <w:sz w:val="20"/>
              </w:rPr>
              <w:t>S</w:t>
            </w:r>
            <w:r w:rsidRPr="003E74BD">
              <w:rPr>
                <w:sz w:val="20"/>
              </w:rPr>
              <w:t xml:space="preserve">pending by the MoH, 2011-14 (%) </w:t>
            </w:r>
          </w:p>
        </w:tc>
        <w:tc>
          <w:tcPr>
            <w:tcW w:w="4566" w:type="dxa"/>
          </w:tcPr>
          <w:p w14:paraId="38D4D836" w14:textId="77777777" w:rsidR="001F21D2" w:rsidRPr="00D46978" w:rsidRDefault="001F21D2" w:rsidP="00724BAB">
            <w:pPr>
              <w:pStyle w:val="ListParagraph"/>
              <w:keepNext/>
              <w:keepLines/>
              <w:numPr>
                <w:ilvl w:val="0"/>
                <w:numId w:val="8"/>
              </w:numPr>
              <w:tabs>
                <w:tab w:val="left" w:pos="157"/>
              </w:tabs>
              <w:autoSpaceDE w:val="0"/>
              <w:autoSpaceDN w:val="0"/>
              <w:adjustRightInd w:val="0"/>
              <w:spacing w:after="0"/>
              <w:ind w:left="158" w:hanging="187"/>
              <w:contextualSpacing/>
              <w:jc w:val="left"/>
              <w:rPr>
                <w:sz w:val="20"/>
                <w:lang w:val="en-US"/>
              </w:rPr>
            </w:pPr>
            <w:r w:rsidRPr="003E74BD">
              <w:rPr>
                <w:sz w:val="20"/>
              </w:rPr>
              <w:t>Government-</w:t>
            </w:r>
            <w:r w:rsidR="003E74BD" w:rsidRPr="003E74BD">
              <w:rPr>
                <w:sz w:val="20"/>
              </w:rPr>
              <w:t>S</w:t>
            </w:r>
            <w:r w:rsidRPr="003E74BD">
              <w:rPr>
                <w:sz w:val="20"/>
              </w:rPr>
              <w:t xml:space="preserve">ourced </w:t>
            </w:r>
            <w:r w:rsidR="003E74BD" w:rsidRPr="003E74BD">
              <w:rPr>
                <w:sz w:val="20"/>
              </w:rPr>
              <w:t>P</w:t>
            </w:r>
            <w:r w:rsidRPr="003E74BD">
              <w:rPr>
                <w:sz w:val="20"/>
              </w:rPr>
              <w:t xml:space="preserve">rocurement </w:t>
            </w:r>
            <w:r w:rsidR="003E74BD" w:rsidRPr="003E74BD">
              <w:rPr>
                <w:sz w:val="20"/>
              </w:rPr>
              <w:t>S</w:t>
            </w:r>
            <w:r w:rsidRPr="003E74BD">
              <w:rPr>
                <w:sz w:val="20"/>
              </w:rPr>
              <w:t xml:space="preserve">pending by </w:t>
            </w:r>
            <w:r w:rsidR="003E74BD" w:rsidRPr="003E74BD">
              <w:rPr>
                <w:sz w:val="20"/>
              </w:rPr>
              <w:t>M</w:t>
            </w:r>
            <w:r w:rsidRPr="003E74BD">
              <w:rPr>
                <w:sz w:val="20"/>
              </w:rPr>
              <w:t xml:space="preserve">ajor </w:t>
            </w:r>
            <w:r w:rsidR="003E74BD" w:rsidRPr="003E74BD">
              <w:rPr>
                <w:sz w:val="20"/>
              </w:rPr>
              <w:t>R</w:t>
            </w:r>
            <w:r w:rsidRPr="003E74BD">
              <w:rPr>
                <w:sz w:val="20"/>
              </w:rPr>
              <w:t>ecipient, 2012-15 (GH¢)</w:t>
            </w:r>
          </w:p>
        </w:tc>
      </w:tr>
      <w:tr w:rsidR="00C103D6" w:rsidRPr="0045355B" w14:paraId="5DADDDBE" w14:textId="77777777" w:rsidTr="00640AC2">
        <w:trPr>
          <w:trHeight w:val="2627"/>
        </w:trPr>
        <w:tc>
          <w:tcPr>
            <w:tcW w:w="4784" w:type="dxa"/>
          </w:tcPr>
          <w:p w14:paraId="74414B46" w14:textId="77777777" w:rsidR="001F21D2" w:rsidRPr="00B05E89" w:rsidRDefault="00F368D0" w:rsidP="005A7652">
            <w:pPr>
              <w:tabs>
                <w:tab w:val="left" w:pos="720"/>
              </w:tabs>
              <w:autoSpaceDE w:val="0"/>
              <w:autoSpaceDN w:val="0"/>
              <w:adjustRightInd w:val="0"/>
              <w:rPr>
                <w:rFonts w:ascii="Garamond" w:hAnsi="Garamond"/>
                <w:sz w:val="20"/>
              </w:rPr>
            </w:pPr>
            <w:r>
              <w:rPr>
                <w:rFonts w:ascii="Garamond" w:hAnsi="Garamond"/>
                <w:noProof/>
                <w:sz w:val="20"/>
              </w:rPr>
              <w:drawing>
                <wp:inline distT="0" distB="0" distL="0" distR="0" wp14:anchorId="0F3D0D06" wp14:editId="342967F0">
                  <wp:extent cx="2990850" cy="1804051"/>
                  <wp:effectExtent l="0" t="0" r="0" b="5715"/>
                  <wp:docPr id="66563" name="Picture 6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98715" cy="1808795"/>
                          </a:xfrm>
                          <a:prstGeom prst="rect">
                            <a:avLst/>
                          </a:prstGeom>
                          <a:noFill/>
                        </pic:spPr>
                      </pic:pic>
                    </a:graphicData>
                  </a:graphic>
                </wp:inline>
              </w:drawing>
            </w:r>
          </w:p>
        </w:tc>
        <w:tc>
          <w:tcPr>
            <w:tcW w:w="4566" w:type="dxa"/>
          </w:tcPr>
          <w:p w14:paraId="07F1AE06" w14:textId="77777777" w:rsidR="001F21D2" w:rsidRPr="00B05E89" w:rsidRDefault="00A87442" w:rsidP="005A7652">
            <w:pPr>
              <w:tabs>
                <w:tab w:val="left" w:pos="720"/>
              </w:tabs>
              <w:autoSpaceDE w:val="0"/>
              <w:autoSpaceDN w:val="0"/>
              <w:adjustRightInd w:val="0"/>
              <w:rPr>
                <w:rFonts w:ascii="Garamond" w:hAnsi="Garamond"/>
                <w:sz w:val="20"/>
              </w:rPr>
            </w:pPr>
            <w:r>
              <w:rPr>
                <w:rFonts w:ascii="Garamond" w:hAnsi="Garamond"/>
                <w:noProof/>
                <w:sz w:val="20"/>
              </w:rPr>
              <w:drawing>
                <wp:inline distT="0" distB="0" distL="0" distR="0" wp14:anchorId="338523FA" wp14:editId="3945FAC3">
                  <wp:extent cx="2862580" cy="1849272"/>
                  <wp:effectExtent l="0" t="0" r="0" b="0"/>
                  <wp:docPr id="66587" name="Picture 6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72246" cy="1855517"/>
                          </a:xfrm>
                          <a:prstGeom prst="rect">
                            <a:avLst/>
                          </a:prstGeom>
                          <a:noFill/>
                        </pic:spPr>
                      </pic:pic>
                    </a:graphicData>
                  </a:graphic>
                </wp:inline>
              </w:drawing>
            </w:r>
          </w:p>
        </w:tc>
      </w:tr>
      <w:tr w:rsidR="00C103D6" w:rsidRPr="0045355B" w14:paraId="68507013" w14:textId="77777777" w:rsidTr="00640AC2">
        <w:tc>
          <w:tcPr>
            <w:tcW w:w="4784" w:type="dxa"/>
          </w:tcPr>
          <w:p w14:paraId="72209963" w14:textId="77777777" w:rsidR="001F21D2" w:rsidRPr="00D46978" w:rsidRDefault="001F21D2" w:rsidP="00724BAB">
            <w:pPr>
              <w:pStyle w:val="ListParagraph"/>
              <w:keepNext/>
              <w:keepLines/>
              <w:numPr>
                <w:ilvl w:val="0"/>
                <w:numId w:val="8"/>
              </w:numPr>
              <w:tabs>
                <w:tab w:val="left" w:pos="157"/>
              </w:tabs>
              <w:autoSpaceDE w:val="0"/>
              <w:autoSpaceDN w:val="0"/>
              <w:adjustRightInd w:val="0"/>
              <w:spacing w:after="0"/>
              <w:ind w:left="157" w:hanging="180"/>
              <w:contextualSpacing/>
              <w:jc w:val="left"/>
              <w:rPr>
                <w:sz w:val="20"/>
                <w:lang w:val="en-US"/>
              </w:rPr>
            </w:pPr>
            <w:r w:rsidRPr="003E74BD">
              <w:rPr>
                <w:sz w:val="20"/>
              </w:rPr>
              <w:lastRenderedPageBreak/>
              <w:t xml:space="preserve">Composition of NHIS </w:t>
            </w:r>
            <w:r w:rsidR="003E74BD" w:rsidRPr="003E74BD">
              <w:rPr>
                <w:sz w:val="20"/>
              </w:rPr>
              <w:t>R</w:t>
            </w:r>
            <w:r w:rsidRPr="003E74BD">
              <w:rPr>
                <w:sz w:val="20"/>
              </w:rPr>
              <w:t>evenues, 2014 (%)</w:t>
            </w:r>
          </w:p>
        </w:tc>
        <w:tc>
          <w:tcPr>
            <w:tcW w:w="4566" w:type="dxa"/>
          </w:tcPr>
          <w:p w14:paraId="67A96339" w14:textId="77777777" w:rsidR="001F21D2" w:rsidRPr="00D46978" w:rsidRDefault="001F21D2" w:rsidP="00724BAB">
            <w:pPr>
              <w:pStyle w:val="ListParagraph"/>
              <w:keepNext/>
              <w:keepLines/>
              <w:numPr>
                <w:ilvl w:val="0"/>
                <w:numId w:val="8"/>
              </w:numPr>
              <w:tabs>
                <w:tab w:val="left" w:pos="157"/>
              </w:tabs>
              <w:autoSpaceDE w:val="0"/>
              <w:autoSpaceDN w:val="0"/>
              <w:adjustRightInd w:val="0"/>
              <w:spacing w:after="0"/>
              <w:ind w:left="157" w:hanging="180"/>
              <w:contextualSpacing/>
              <w:jc w:val="left"/>
              <w:rPr>
                <w:sz w:val="20"/>
                <w:lang w:val="en-US"/>
              </w:rPr>
            </w:pPr>
            <w:r w:rsidRPr="003E74BD">
              <w:rPr>
                <w:sz w:val="20"/>
              </w:rPr>
              <w:t xml:space="preserve">Composition of NHIS </w:t>
            </w:r>
            <w:r w:rsidR="003E74BD" w:rsidRPr="003E74BD">
              <w:rPr>
                <w:sz w:val="20"/>
              </w:rPr>
              <w:t>E</w:t>
            </w:r>
            <w:r w:rsidRPr="003E74BD">
              <w:rPr>
                <w:sz w:val="20"/>
              </w:rPr>
              <w:t>xpenditures, 2014 (%)</w:t>
            </w:r>
          </w:p>
        </w:tc>
      </w:tr>
      <w:tr w:rsidR="00C103D6" w:rsidRPr="0045355B" w14:paraId="33563CF8" w14:textId="77777777" w:rsidTr="00640AC2">
        <w:trPr>
          <w:trHeight w:val="2762"/>
        </w:trPr>
        <w:tc>
          <w:tcPr>
            <w:tcW w:w="4784" w:type="dxa"/>
          </w:tcPr>
          <w:p w14:paraId="70E87818" w14:textId="77777777" w:rsidR="001F21D2" w:rsidRPr="00B05E89" w:rsidRDefault="00640AC2" w:rsidP="005A7652">
            <w:pPr>
              <w:tabs>
                <w:tab w:val="left" w:pos="720"/>
              </w:tabs>
              <w:autoSpaceDE w:val="0"/>
              <w:autoSpaceDN w:val="0"/>
              <w:adjustRightInd w:val="0"/>
              <w:rPr>
                <w:rFonts w:ascii="Garamond" w:hAnsi="Garamond"/>
              </w:rPr>
            </w:pPr>
            <w:bookmarkStart w:id="192" w:name="_Toc454633606"/>
            <w:r>
              <w:rPr>
                <w:rFonts w:ascii="Garamond" w:hAnsi="Garamond"/>
                <w:noProof/>
              </w:rPr>
              <w:drawing>
                <wp:inline distT="0" distB="0" distL="0" distR="0" wp14:anchorId="4CB01277" wp14:editId="19C14EA7">
                  <wp:extent cx="3095625" cy="187047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106343" cy="1876953"/>
                          </a:xfrm>
                          <a:prstGeom prst="rect">
                            <a:avLst/>
                          </a:prstGeom>
                          <a:noFill/>
                        </pic:spPr>
                      </pic:pic>
                    </a:graphicData>
                  </a:graphic>
                </wp:inline>
              </w:drawing>
            </w:r>
          </w:p>
        </w:tc>
        <w:tc>
          <w:tcPr>
            <w:tcW w:w="4566" w:type="dxa"/>
          </w:tcPr>
          <w:p w14:paraId="21541FD7" w14:textId="77777777" w:rsidR="001F21D2" w:rsidRPr="00B05E89" w:rsidRDefault="00640AC2" w:rsidP="005A7652">
            <w:pPr>
              <w:tabs>
                <w:tab w:val="left" w:pos="720"/>
              </w:tabs>
              <w:autoSpaceDE w:val="0"/>
              <w:autoSpaceDN w:val="0"/>
              <w:adjustRightInd w:val="0"/>
              <w:rPr>
                <w:rFonts w:ascii="Garamond" w:hAnsi="Garamond"/>
              </w:rPr>
            </w:pPr>
            <w:r>
              <w:rPr>
                <w:rFonts w:ascii="Garamond" w:hAnsi="Garamond"/>
                <w:noProof/>
              </w:rPr>
              <w:drawing>
                <wp:inline distT="0" distB="0" distL="0" distR="0" wp14:anchorId="27F313F8" wp14:editId="3351C685">
                  <wp:extent cx="2801564" cy="21196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19539" cy="2133229"/>
                          </a:xfrm>
                          <a:prstGeom prst="rect">
                            <a:avLst/>
                          </a:prstGeom>
                          <a:noFill/>
                        </pic:spPr>
                      </pic:pic>
                    </a:graphicData>
                  </a:graphic>
                </wp:inline>
              </w:drawing>
            </w:r>
          </w:p>
        </w:tc>
      </w:tr>
    </w:tbl>
    <w:p w14:paraId="0E6DC2F9" w14:textId="77777777" w:rsidR="001F21D2" w:rsidRPr="002616CC" w:rsidRDefault="001F21D2" w:rsidP="001F21D2">
      <w:pPr>
        <w:spacing w:after="0"/>
        <w:rPr>
          <w:sz w:val="20"/>
          <w:szCs w:val="20"/>
        </w:rPr>
      </w:pPr>
      <w:r w:rsidRPr="00F0436D">
        <w:rPr>
          <w:rFonts w:ascii="Garamond" w:hAnsi="Garamond"/>
          <w:i/>
          <w:sz w:val="20"/>
          <w:szCs w:val="20"/>
        </w:rPr>
        <w:t>Source</w:t>
      </w:r>
      <w:r w:rsidRPr="00F0436D">
        <w:rPr>
          <w:rFonts w:ascii="Garamond" w:hAnsi="Garamond"/>
          <w:sz w:val="20"/>
          <w:szCs w:val="20"/>
        </w:rPr>
        <w:t>: Authors’ figure based on Ghana Consolidated Account data and fiscal account data (2011-2015), NHIS financial statements.</w:t>
      </w:r>
      <w:r>
        <w:rPr>
          <w:rFonts w:ascii="Garamond" w:hAnsi="Garamond"/>
          <w:sz w:val="20"/>
          <w:szCs w:val="20"/>
        </w:rPr>
        <w:t xml:space="preserve"> </w:t>
      </w:r>
    </w:p>
    <w:p w14:paraId="23DD8BDF" w14:textId="77777777" w:rsidR="001F21D2" w:rsidRDefault="001F21D2" w:rsidP="001F21D2">
      <w:pPr>
        <w:rPr>
          <w:sz w:val="20"/>
          <w:szCs w:val="20"/>
        </w:rPr>
      </w:pPr>
      <w:r w:rsidRPr="00F0436D">
        <w:rPr>
          <w:rFonts w:ascii="Garamond" w:hAnsi="Garamond"/>
          <w:i/>
          <w:iCs/>
          <w:sz w:val="20"/>
          <w:szCs w:val="20"/>
        </w:rPr>
        <w:t>Note</w:t>
      </w:r>
      <w:r w:rsidRPr="00F0436D">
        <w:rPr>
          <w:rFonts w:ascii="Garamond" w:hAnsi="Garamond"/>
          <w:iCs/>
          <w:sz w:val="20"/>
          <w:szCs w:val="20"/>
        </w:rPr>
        <w:t>: A</w:t>
      </w:r>
      <w:r w:rsidRPr="00F0436D">
        <w:rPr>
          <w:rFonts w:ascii="Garamond" w:hAnsi="Garamond"/>
          <w:sz w:val="20"/>
          <w:szCs w:val="20"/>
        </w:rPr>
        <w:t>ctual expenditure data for 2012-14 and budget data for 2015.</w:t>
      </w:r>
    </w:p>
    <w:p w14:paraId="054BB372" w14:textId="77777777" w:rsidR="001F21D2" w:rsidRPr="00C8760E" w:rsidRDefault="001F21D2" w:rsidP="000E7654">
      <w:pPr>
        <w:pStyle w:val="Heading3"/>
      </w:pPr>
      <w:r w:rsidRPr="008F0853">
        <w:t xml:space="preserve">Health Spending </w:t>
      </w:r>
      <w:r>
        <w:t>from</w:t>
      </w:r>
      <w:r w:rsidRPr="008F0853">
        <w:t xml:space="preserve"> Nongovernmental Sources </w:t>
      </w:r>
    </w:p>
    <w:p w14:paraId="442FD031" w14:textId="77777777" w:rsidR="001F21D2" w:rsidRPr="004255EE" w:rsidRDefault="001F21D2" w:rsidP="00724BAB">
      <w:pPr>
        <w:pStyle w:val="ListParagraph"/>
        <w:numPr>
          <w:ilvl w:val="0"/>
          <w:numId w:val="10"/>
        </w:numPr>
        <w:tabs>
          <w:tab w:val="left" w:pos="720"/>
        </w:tabs>
        <w:autoSpaceDE w:val="0"/>
        <w:autoSpaceDN w:val="0"/>
        <w:adjustRightInd w:val="0"/>
      </w:pPr>
      <w:r>
        <w:rPr>
          <w:b/>
        </w:rPr>
        <w:t xml:space="preserve">Ghana’s external development partners </w:t>
      </w:r>
      <w:r w:rsidRPr="004255EE">
        <w:rPr>
          <w:b/>
        </w:rPr>
        <w:t>play an important role in financing</w:t>
      </w:r>
      <w:r>
        <w:rPr>
          <w:b/>
        </w:rPr>
        <w:t xml:space="preserve"> prevention-focused</w:t>
      </w:r>
      <w:r w:rsidRPr="004255EE">
        <w:rPr>
          <w:b/>
        </w:rPr>
        <w:t xml:space="preserve"> public health programs</w:t>
      </w:r>
      <w:r>
        <w:rPr>
          <w:b/>
        </w:rPr>
        <w:t xml:space="preserve"> in key areas</w:t>
      </w:r>
      <w:r w:rsidR="00C61D09">
        <w:rPr>
          <w:b/>
        </w:rPr>
        <w:t>,</w:t>
      </w:r>
      <w:r>
        <w:rPr>
          <w:b/>
        </w:rPr>
        <w:t xml:space="preserve"> </w:t>
      </w:r>
      <w:r w:rsidRPr="00FE5AE6">
        <w:rPr>
          <w:b/>
        </w:rPr>
        <w:t>such as maternal health, immunization</w:t>
      </w:r>
      <w:r w:rsidR="003E74BD">
        <w:rPr>
          <w:b/>
        </w:rPr>
        <w:t>,</w:t>
      </w:r>
      <w:r w:rsidRPr="00FE5AE6">
        <w:rPr>
          <w:b/>
        </w:rPr>
        <w:t xml:space="preserve"> and malaria control</w:t>
      </w:r>
      <w:r w:rsidRPr="004255EE">
        <w:rPr>
          <w:b/>
        </w:rPr>
        <w:t>.</w:t>
      </w:r>
      <w:r w:rsidRPr="004255EE">
        <w:t xml:space="preserve"> Although the share of donor </w:t>
      </w:r>
      <w:r w:rsidRPr="00FE5AE6">
        <w:t>funding</w:t>
      </w:r>
      <w:r w:rsidRPr="004255EE">
        <w:t xml:space="preserve"> has </w:t>
      </w:r>
      <w:r w:rsidRPr="00FE5AE6">
        <w:t>decreased</w:t>
      </w:r>
      <w:r w:rsidRPr="004255EE">
        <w:t xml:space="preserve">, </w:t>
      </w:r>
      <w:r w:rsidRPr="00FE5AE6">
        <w:t>donors</w:t>
      </w:r>
      <w:r w:rsidRPr="004255EE">
        <w:t xml:space="preserve"> </w:t>
      </w:r>
      <w:r w:rsidRPr="00FE5AE6">
        <w:t>remain</w:t>
      </w:r>
      <w:r w:rsidRPr="004255EE">
        <w:t xml:space="preserve"> the major </w:t>
      </w:r>
      <w:r w:rsidRPr="00FE5AE6">
        <w:t xml:space="preserve">financing </w:t>
      </w:r>
      <w:r w:rsidRPr="004255EE">
        <w:t xml:space="preserve">source for </w:t>
      </w:r>
      <w:r w:rsidRPr="00FE5AE6">
        <w:t>health-program procurement</w:t>
      </w:r>
      <w:r w:rsidR="003E74BD">
        <w:t>s</w:t>
      </w:r>
      <w:r w:rsidRPr="004255EE">
        <w:t xml:space="preserve"> and operat</w:t>
      </w:r>
      <w:r w:rsidRPr="00FE5AE6">
        <w:t>ing</w:t>
      </w:r>
      <w:r w:rsidRPr="004255EE">
        <w:t xml:space="preserve"> expenses. According to the MoH, existing donor</w:t>
      </w:r>
      <w:r>
        <w:t>-supported health</w:t>
      </w:r>
      <w:r w:rsidRPr="004255EE">
        <w:t xml:space="preserve"> programs amount to GH</w:t>
      </w:r>
      <w:r w:rsidRPr="00FE5AE6">
        <w:t>¢</w:t>
      </w:r>
      <w:r w:rsidRPr="004255EE">
        <w:t xml:space="preserve"> 1.1 billion</w:t>
      </w:r>
      <w:r>
        <w:t>.</w:t>
      </w:r>
      <w:r w:rsidRPr="004255EE">
        <w:t xml:space="preserve"> </w:t>
      </w:r>
      <w:r>
        <w:t>More than</w:t>
      </w:r>
      <w:r w:rsidRPr="004255EE">
        <w:t xml:space="preserve"> 80 percent</w:t>
      </w:r>
      <w:r>
        <w:t xml:space="preserve"> of donor support comes</w:t>
      </w:r>
      <w:r w:rsidRPr="004255EE">
        <w:t xml:space="preserve"> from </w:t>
      </w:r>
      <w:r w:rsidR="003E74BD">
        <w:t>the United States Agency</w:t>
      </w:r>
      <w:r w:rsidR="00D762EA">
        <w:t xml:space="preserve"> for International Development</w:t>
      </w:r>
      <w:r w:rsidRPr="004255EE">
        <w:t xml:space="preserve">, </w:t>
      </w:r>
      <w:r>
        <w:t xml:space="preserve">the </w:t>
      </w:r>
      <w:r w:rsidRPr="004255EE">
        <w:t xml:space="preserve">Global Fund, the </w:t>
      </w:r>
      <w:r w:rsidR="00733CA5">
        <w:t>European Union</w:t>
      </w:r>
      <w:r w:rsidR="003E74BD">
        <w:t>,</w:t>
      </w:r>
      <w:r w:rsidRPr="004255EE">
        <w:t xml:space="preserve"> and the World Bank. Almost all donor resources are earmarked for specific activities.</w:t>
      </w:r>
      <w:r>
        <w:t xml:space="preserve"> Donor-financed programs executed by government agencies</w:t>
      </w:r>
      <w:r w:rsidRPr="004255EE">
        <w:t xml:space="preserve"> are based on mutually agreed</w:t>
      </w:r>
      <w:r>
        <w:t xml:space="preserve">-upon </w:t>
      </w:r>
      <w:r w:rsidRPr="004255EE">
        <w:t>work plans</w:t>
      </w:r>
      <w:r>
        <w:t xml:space="preserve">. This includes the </w:t>
      </w:r>
      <w:r w:rsidRPr="004255EE">
        <w:t>E</w:t>
      </w:r>
      <w:r w:rsidR="00733CA5">
        <w:t xml:space="preserve">uropean </w:t>
      </w:r>
      <w:r w:rsidRPr="004255EE">
        <w:t>U</w:t>
      </w:r>
      <w:r w:rsidR="00733CA5">
        <w:t>nion</w:t>
      </w:r>
      <w:r>
        <w:t>’s</w:t>
      </w:r>
      <w:r w:rsidRPr="004255EE">
        <w:t xml:space="preserve"> Accelerated Framework</w:t>
      </w:r>
      <w:r>
        <w:t xml:space="preserve"> for the Millennium Development Goals</w:t>
      </w:r>
      <w:r w:rsidRPr="004255EE">
        <w:t xml:space="preserve"> and </w:t>
      </w:r>
      <w:r>
        <w:t xml:space="preserve">its associated </w:t>
      </w:r>
      <w:r w:rsidRPr="004255EE">
        <w:t>Country Action Plan</w:t>
      </w:r>
      <w:r>
        <w:t xml:space="preserve">, which </w:t>
      </w:r>
      <w:r w:rsidRPr="004255EE">
        <w:t>focus on</w:t>
      </w:r>
      <w:r>
        <w:t xml:space="preserve"> reducing</w:t>
      </w:r>
      <w:r w:rsidRPr="004255EE">
        <w:t xml:space="preserve"> maternal </w:t>
      </w:r>
      <w:r>
        <w:t>mortality;</w:t>
      </w:r>
      <w:r w:rsidRPr="004255EE">
        <w:t xml:space="preserve"> </w:t>
      </w:r>
      <w:r>
        <w:t xml:space="preserve">the </w:t>
      </w:r>
      <w:r w:rsidRPr="004255EE">
        <w:t xml:space="preserve">Global Fund for Malaria, </w:t>
      </w:r>
      <w:r>
        <w:t>Tuberculosis</w:t>
      </w:r>
      <w:r w:rsidRPr="004255EE">
        <w:t xml:space="preserve">, HIV and </w:t>
      </w:r>
      <w:r>
        <w:t>AIDS;</w:t>
      </w:r>
      <w:r w:rsidRPr="004255EE">
        <w:t xml:space="preserve"> and World Bank</w:t>
      </w:r>
      <w:r>
        <w:t xml:space="preserve"> programs</w:t>
      </w:r>
      <w:r w:rsidRPr="004255EE">
        <w:t xml:space="preserve"> </w:t>
      </w:r>
      <w:r>
        <w:t>supporting</w:t>
      </w:r>
      <w:r w:rsidRPr="004255EE">
        <w:t xml:space="preserve"> maternal</w:t>
      </w:r>
      <w:r>
        <w:t xml:space="preserve"> and </w:t>
      </w:r>
      <w:r w:rsidRPr="004255EE">
        <w:t>child health and nutrition. GH</w:t>
      </w:r>
      <w:r w:rsidRPr="00FE5AE6">
        <w:t>¢</w:t>
      </w:r>
      <w:r w:rsidRPr="004255EE">
        <w:t xml:space="preserve"> 300 million </w:t>
      </w:r>
      <w:r>
        <w:t>in</w:t>
      </w:r>
      <w:r w:rsidRPr="004255EE">
        <w:t xml:space="preserve"> </w:t>
      </w:r>
      <w:r w:rsidR="00D762EA" w:rsidRPr="00D762EA">
        <w:t>United States Agency for International Development</w:t>
      </w:r>
      <w:r w:rsidR="00D762EA">
        <w:t xml:space="preserve"> </w:t>
      </w:r>
      <w:r w:rsidRPr="00871363">
        <w:t>program</w:t>
      </w:r>
      <w:r>
        <w:t xml:space="preserve"> funding, </w:t>
      </w:r>
      <w:r w:rsidRPr="004255EE">
        <w:t>most</w:t>
      </w:r>
      <w:r>
        <w:t xml:space="preserve"> of which is executed</w:t>
      </w:r>
      <w:r w:rsidRPr="004255EE">
        <w:t xml:space="preserve"> off</w:t>
      </w:r>
      <w:r>
        <w:t>-budget</w:t>
      </w:r>
      <w:r w:rsidRPr="004255EE">
        <w:t xml:space="preserve">, </w:t>
      </w:r>
      <w:r>
        <w:t xml:space="preserve">finances </w:t>
      </w:r>
      <w:r w:rsidRPr="004255EE">
        <w:t>40 subprograms</w:t>
      </w:r>
      <w:r w:rsidR="0067396F">
        <w:t>,</w:t>
      </w:r>
      <w:r w:rsidRPr="004255EE">
        <w:t xml:space="preserve"> ranging from GH</w:t>
      </w:r>
      <w:r w:rsidRPr="00FE5AE6">
        <w:t>¢</w:t>
      </w:r>
      <w:r w:rsidRPr="004255EE">
        <w:t xml:space="preserve"> 500,000 to </w:t>
      </w:r>
      <w:r w:rsidRPr="00332B73">
        <w:t>GH</w:t>
      </w:r>
      <w:r w:rsidRPr="00FE5AE6">
        <w:t>¢</w:t>
      </w:r>
      <w:r w:rsidRPr="00332B73">
        <w:t xml:space="preserve"> </w:t>
      </w:r>
      <w:r w:rsidRPr="004255EE">
        <w:t xml:space="preserve">18 million. </w:t>
      </w:r>
      <w:r w:rsidRPr="00CE7203">
        <w:t>Many donors reduce their support once countries reach middle-income status</w:t>
      </w:r>
      <w:r>
        <w:t>, and p</w:t>
      </w:r>
      <w:r w:rsidRPr="00CE7203">
        <w:t xml:space="preserve">roper transition plans will be necessary to support the government’s assumption of full financial responsibility </w:t>
      </w:r>
      <w:r>
        <w:t>for these programs and</w:t>
      </w:r>
      <w:r w:rsidRPr="00CE7203">
        <w:t xml:space="preserve"> ensure the</w:t>
      </w:r>
      <w:r>
        <w:t>ir long-term</w:t>
      </w:r>
      <w:r w:rsidRPr="00CE7203">
        <w:t xml:space="preserve"> sustainability.</w:t>
      </w:r>
      <w:r>
        <w:t xml:space="preserve"> </w:t>
      </w:r>
    </w:p>
    <w:p w14:paraId="7952AEFB" w14:textId="77777777" w:rsidR="001F21D2" w:rsidRPr="004255EE" w:rsidRDefault="001F21D2" w:rsidP="00724BAB">
      <w:pPr>
        <w:pStyle w:val="ListParagraph"/>
        <w:numPr>
          <w:ilvl w:val="0"/>
          <w:numId w:val="10"/>
        </w:numPr>
        <w:tabs>
          <w:tab w:val="left" w:pos="720"/>
        </w:tabs>
        <w:autoSpaceDE w:val="0"/>
        <w:autoSpaceDN w:val="0"/>
        <w:adjustRightInd w:val="0"/>
      </w:pPr>
      <w:r w:rsidRPr="004255EE">
        <w:rPr>
          <w:b/>
        </w:rPr>
        <w:t xml:space="preserve">The government also borrows from development partners </w:t>
      </w:r>
      <w:r>
        <w:rPr>
          <w:b/>
        </w:rPr>
        <w:t xml:space="preserve">to finance </w:t>
      </w:r>
      <w:r w:rsidRPr="004255EE">
        <w:rPr>
          <w:b/>
        </w:rPr>
        <w:t>capital investment</w:t>
      </w:r>
      <w:r>
        <w:rPr>
          <w:b/>
        </w:rPr>
        <w:t xml:space="preserve"> in the health sector</w:t>
      </w:r>
      <w:r w:rsidRPr="004255EE">
        <w:rPr>
          <w:b/>
        </w:rPr>
        <w:t xml:space="preserve">. </w:t>
      </w:r>
      <w:r>
        <w:t>In 2014,</w:t>
      </w:r>
      <w:r w:rsidRPr="004255EE">
        <w:t xml:space="preserve"> GH</w:t>
      </w:r>
      <w:r w:rsidRPr="00FE5AE6">
        <w:t>¢</w:t>
      </w:r>
      <w:r w:rsidRPr="004255EE">
        <w:t xml:space="preserve"> 544.7 million</w:t>
      </w:r>
      <w:r>
        <w:t>, or</w:t>
      </w:r>
      <w:r w:rsidRPr="004255EE">
        <w:t xml:space="preserve"> 96 percent of total capital </w:t>
      </w:r>
      <w:r>
        <w:t>investment,</w:t>
      </w:r>
      <w:r w:rsidRPr="004255EE">
        <w:t xml:space="preserve"> </w:t>
      </w:r>
      <w:r>
        <w:t>was</w:t>
      </w:r>
      <w:r w:rsidRPr="004255EE">
        <w:t xml:space="preserve"> financed by loans and credits. </w:t>
      </w:r>
      <w:r>
        <w:t>As most of these</w:t>
      </w:r>
      <w:r w:rsidRPr="004255EE">
        <w:t xml:space="preserve"> loans and credits are </w:t>
      </w:r>
      <w:r>
        <w:t xml:space="preserve">initiated by </w:t>
      </w:r>
      <w:r w:rsidR="005C1FFF">
        <w:t>development partners</w:t>
      </w:r>
      <w:r>
        <w:t>,</w:t>
      </w:r>
      <w:r w:rsidRPr="004255EE">
        <w:t xml:space="preserve"> </w:t>
      </w:r>
      <w:r>
        <w:t xml:space="preserve">their </w:t>
      </w:r>
      <w:r w:rsidRPr="004255EE">
        <w:t>preferences</w:t>
      </w:r>
      <w:r>
        <w:t xml:space="preserve"> </w:t>
      </w:r>
      <w:r w:rsidRPr="004255EE">
        <w:t xml:space="preserve">play a significant role in </w:t>
      </w:r>
      <w:r>
        <w:t>project selection</w:t>
      </w:r>
      <w:r w:rsidRPr="004255EE">
        <w:t xml:space="preserve">. </w:t>
      </w:r>
      <w:r>
        <w:t>O</w:t>
      </w:r>
      <w:r w:rsidRPr="004255EE">
        <w:t xml:space="preserve">ngoing projects amount to </w:t>
      </w:r>
      <w:r>
        <w:t>an estimated GH¢ 6</w:t>
      </w:r>
      <w:r w:rsidRPr="004255EE">
        <w:t xml:space="preserve"> billion, more than half</w:t>
      </w:r>
      <w:r>
        <w:t xml:space="preserve"> of which finances projects in</w:t>
      </w:r>
      <w:r w:rsidRPr="004255EE">
        <w:t xml:space="preserve"> secondary and tertiary facilities.</w:t>
      </w:r>
      <w:r>
        <w:rPr>
          <w:rStyle w:val="FootnoteReference"/>
        </w:rPr>
        <w:footnoteReference w:id="133"/>
      </w:r>
      <w:r w:rsidRPr="004255EE">
        <w:t xml:space="preserve"> </w:t>
      </w:r>
    </w:p>
    <w:p w14:paraId="740FC273" w14:textId="77777777" w:rsidR="001F21D2" w:rsidRPr="004255EE" w:rsidRDefault="001F21D2" w:rsidP="00724BAB">
      <w:pPr>
        <w:pStyle w:val="ListParagraph"/>
        <w:numPr>
          <w:ilvl w:val="0"/>
          <w:numId w:val="10"/>
        </w:numPr>
        <w:tabs>
          <w:tab w:val="left" w:pos="720"/>
        </w:tabs>
        <w:autoSpaceDE w:val="0"/>
        <w:autoSpaceDN w:val="0"/>
        <w:adjustRightInd w:val="0"/>
      </w:pPr>
      <w:r w:rsidRPr="004255EE">
        <w:rPr>
          <w:b/>
        </w:rPr>
        <w:t xml:space="preserve">The share of </w:t>
      </w:r>
      <w:r>
        <w:rPr>
          <w:b/>
        </w:rPr>
        <w:t xml:space="preserve">household spending on </w:t>
      </w:r>
      <w:r w:rsidRPr="004255EE">
        <w:rPr>
          <w:b/>
        </w:rPr>
        <w:t xml:space="preserve">health services has increased </w:t>
      </w:r>
      <w:r>
        <w:rPr>
          <w:b/>
        </w:rPr>
        <w:t>in</w:t>
      </w:r>
      <w:r w:rsidRPr="004255EE">
        <w:rPr>
          <w:b/>
        </w:rPr>
        <w:t xml:space="preserve"> recent years.</w:t>
      </w:r>
      <w:r w:rsidRPr="004255EE">
        <w:t xml:space="preserve"> </w:t>
      </w:r>
      <w:r>
        <w:t>T</w:t>
      </w:r>
      <w:r w:rsidRPr="004255EE">
        <w:t xml:space="preserve">he </w:t>
      </w:r>
      <w:r>
        <w:t>share</w:t>
      </w:r>
      <w:r w:rsidRPr="004255EE">
        <w:t xml:space="preserve"> of out-of-pocket </w:t>
      </w:r>
      <w:r>
        <w:t>spending</w:t>
      </w:r>
      <w:r w:rsidRPr="004255EE">
        <w:t xml:space="preserve"> </w:t>
      </w:r>
      <w:r>
        <w:t>decreased</w:t>
      </w:r>
      <w:r w:rsidRPr="004255EE">
        <w:t xml:space="preserve"> </w:t>
      </w:r>
      <w:r>
        <w:t>between</w:t>
      </w:r>
      <w:r w:rsidRPr="004255EE">
        <w:t xml:space="preserve"> 2005 </w:t>
      </w:r>
      <w:r>
        <w:t>and</w:t>
      </w:r>
      <w:r w:rsidRPr="004255EE">
        <w:t xml:space="preserve"> 2010 </w:t>
      </w:r>
      <w:r>
        <w:t>as government funding</w:t>
      </w:r>
      <w:r w:rsidRPr="004255EE">
        <w:t xml:space="preserve"> increas</w:t>
      </w:r>
      <w:r>
        <w:t>ed, then</w:t>
      </w:r>
      <w:r w:rsidRPr="004255EE">
        <w:t xml:space="preserve"> almost tripled from 12.7 percent in 2010 to 34.2 percent in 2012. In nominal terms, per capita </w:t>
      </w:r>
      <w:r w:rsidRPr="004255EE">
        <w:lastRenderedPageBreak/>
        <w:t xml:space="preserve">out-of-pocket </w:t>
      </w:r>
      <w:r>
        <w:t>spending</w:t>
      </w:r>
      <w:r w:rsidRPr="004255EE">
        <w:t xml:space="preserve"> </w:t>
      </w:r>
      <w:r>
        <w:t>rose</w:t>
      </w:r>
      <w:r w:rsidRPr="004255EE">
        <w:t xml:space="preserve"> from G</w:t>
      </w:r>
      <w:r>
        <w:t>H</w:t>
      </w:r>
      <w:r w:rsidRPr="00FE5AE6">
        <w:t>¢</w:t>
      </w:r>
      <w:r>
        <w:t xml:space="preserve"> </w:t>
      </w:r>
      <w:r w:rsidRPr="004255EE">
        <w:t>7</w:t>
      </w:r>
      <w:r>
        <w:t xml:space="preserve"> per year</w:t>
      </w:r>
      <w:r w:rsidRPr="004255EE">
        <w:t xml:space="preserve"> in 2010 to GH</w:t>
      </w:r>
      <w:r w:rsidRPr="00FE5AE6">
        <w:t>¢</w:t>
      </w:r>
      <w:r w:rsidRPr="004255EE">
        <w:t xml:space="preserve"> 48 in 2012. Ghana </w:t>
      </w:r>
      <w:r>
        <w:t>plummeted</w:t>
      </w:r>
      <w:r w:rsidRPr="004255EE">
        <w:t xml:space="preserve"> from 59</w:t>
      </w:r>
      <w:r w:rsidRPr="004255EE">
        <w:rPr>
          <w:vertAlign w:val="superscript"/>
        </w:rPr>
        <w:t>th</w:t>
      </w:r>
      <w:r w:rsidRPr="004255EE">
        <w:t xml:space="preserve"> </w:t>
      </w:r>
      <w:r>
        <w:t xml:space="preserve">worldwide in the share of out-of-pocket spending </w:t>
      </w:r>
      <w:r w:rsidRPr="004255EE">
        <w:t>in 2010 to 118</w:t>
      </w:r>
      <w:r w:rsidRPr="004255EE">
        <w:rPr>
          <w:vertAlign w:val="superscript"/>
        </w:rPr>
        <w:t>th</w:t>
      </w:r>
      <w:r>
        <w:t xml:space="preserve"> </w:t>
      </w:r>
      <w:r w:rsidRPr="004255EE">
        <w:t xml:space="preserve">in 2013. Out-of-pocket </w:t>
      </w:r>
      <w:r>
        <w:t>spending</w:t>
      </w:r>
      <w:r w:rsidRPr="004255EE">
        <w:t xml:space="preserve"> includ</w:t>
      </w:r>
      <w:r>
        <w:t>es</w:t>
      </w:r>
      <w:r w:rsidRPr="004255EE">
        <w:t xml:space="preserve"> self-treatment</w:t>
      </w:r>
      <w:r>
        <w:t xml:space="preserve"> costs</w:t>
      </w:r>
      <w:r w:rsidRPr="004255EE">
        <w:t>, NHIS premium</w:t>
      </w:r>
      <w:r>
        <w:t>s,</w:t>
      </w:r>
      <w:r w:rsidRPr="004255EE">
        <w:t xml:space="preserve"> copayments informally charged to NHIS members</w:t>
      </w:r>
      <w:r>
        <w:t>,</w:t>
      </w:r>
      <w:r w:rsidRPr="004255EE">
        <w:rPr>
          <w:rStyle w:val="FootnoteReference"/>
        </w:rPr>
        <w:footnoteReference w:id="134"/>
      </w:r>
      <w:r w:rsidRPr="004255EE">
        <w:t xml:space="preserve"> and payment</w:t>
      </w:r>
      <w:r>
        <w:t>s</w:t>
      </w:r>
      <w:r w:rsidRPr="004255EE">
        <w:t xml:space="preserve"> </w:t>
      </w:r>
      <w:r>
        <w:t>for services by</w:t>
      </w:r>
      <w:r w:rsidRPr="004255EE">
        <w:t xml:space="preserve"> non-NHIS members. Aggregate data indicate that </w:t>
      </w:r>
      <w:r>
        <w:t>prescription drug purchases represent the</w:t>
      </w:r>
      <w:r w:rsidRPr="004255EE">
        <w:t xml:space="preserve"> majority of out-of-pocket </w:t>
      </w:r>
      <w:r>
        <w:t>spending</w:t>
      </w:r>
      <w:r w:rsidRPr="004255EE">
        <w:t>.</w:t>
      </w:r>
    </w:p>
    <w:bookmarkEnd w:id="192"/>
    <w:p w14:paraId="1BA3ABF1" w14:textId="77777777" w:rsidR="001F21D2" w:rsidRDefault="001F21D2" w:rsidP="00D46978">
      <w:pPr>
        <w:pStyle w:val="Heading3"/>
        <w:keepNext/>
      </w:pPr>
      <w:r w:rsidRPr="00875B2D">
        <w:t xml:space="preserve">Service Delivery </w:t>
      </w:r>
    </w:p>
    <w:p w14:paraId="71080142" w14:textId="77777777" w:rsidR="001F21D2" w:rsidRPr="00875B2D" w:rsidRDefault="001F21D2" w:rsidP="00724BAB">
      <w:pPr>
        <w:pStyle w:val="ListParagraph"/>
        <w:numPr>
          <w:ilvl w:val="0"/>
          <w:numId w:val="10"/>
        </w:numPr>
        <w:tabs>
          <w:tab w:val="left" w:pos="720"/>
        </w:tabs>
        <w:autoSpaceDE w:val="0"/>
        <w:autoSpaceDN w:val="0"/>
        <w:adjustRightInd w:val="0"/>
      </w:pPr>
      <w:r w:rsidRPr="00875B2D">
        <w:rPr>
          <w:b/>
        </w:rPr>
        <w:t>Progress in expanding the coverage of essential health services has been mixed.</w:t>
      </w:r>
      <w:r w:rsidRPr="00875B2D">
        <w:t xml:space="preserve"> </w:t>
      </w:r>
      <w:r>
        <w:t>T</w:t>
      </w:r>
      <w:r w:rsidRPr="00875B2D">
        <w:t>he share of births attended by a skilled health professional has improved significantly, rising from 47.1 percent in 2003 to 73.7 percent in 2014</w:t>
      </w:r>
      <w:r>
        <w:t xml:space="preserve"> (</w:t>
      </w:r>
      <w:r w:rsidR="00A015A0">
        <w:fldChar w:fldCharType="begin"/>
      </w:r>
      <w:r w:rsidR="00A015A0">
        <w:instrText xml:space="preserve"> REF _Ref472430372 \h </w:instrText>
      </w:r>
      <w:r w:rsidR="00A015A0">
        <w:fldChar w:fldCharType="separate"/>
      </w:r>
      <w:r w:rsidR="007B1CE6">
        <w:t xml:space="preserve">Table </w:t>
      </w:r>
      <w:r w:rsidR="007B1CE6">
        <w:rPr>
          <w:noProof/>
        </w:rPr>
        <w:t>4</w:t>
      </w:r>
      <w:r w:rsidR="007B1CE6">
        <w:t>.</w:t>
      </w:r>
      <w:r w:rsidR="007B1CE6">
        <w:rPr>
          <w:noProof/>
        </w:rPr>
        <w:t>9</w:t>
      </w:r>
      <w:r w:rsidR="00A015A0">
        <w:fldChar w:fldCharType="end"/>
      </w:r>
      <w:r>
        <w:t>)</w:t>
      </w:r>
      <w:r w:rsidRPr="00875B2D">
        <w:t>.</w:t>
      </w:r>
      <w:r w:rsidRPr="00B67392">
        <w:t xml:space="preserve"> </w:t>
      </w:r>
      <w:r w:rsidRPr="00875B2D">
        <w:t xml:space="preserve">However, the use of modern contraceptives only modestly improved from 18.7 percent in 2003 to 22.2 percent in 2014. Immunization coverage declined slightly between 2008 and 2014, and the share of children taking antimalarial drugs was significantly lower in 2014 than </w:t>
      </w:r>
      <w:r>
        <w:t xml:space="preserve">it had been </w:t>
      </w:r>
      <w:r w:rsidRPr="00875B2D">
        <w:t xml:space="preserve">in 2003, prior to the establishment of the NHIS. In addition, outpatient visits increased sharply from 0.5 per capita </w:t>
      </w:r>
      <w:r>
        <w:t>during</w:t>
      </w:r>
      <w:r w:rsidRPr="00875B2D">
        <w:t xml:space="preserve"> 2001-2006 to 1.1 per capita </w:t>
      </w:r>
      <w:r>
        <w:t>during</w:t>
      </w:r>
      <w:r w:rsidRPr="00875B2D">
        <w:t xml:space="preserve"> 2011-2014.  </w:t>
      </w:r>
    </w:p>
    <w:p w14:paraId="5B253078" w14:textId="77777777" w:rsidR="001F21D2" w:rsidRPr="00875B2D" w:rsidRDefault="00B061CA" w:rsidP="00B061CA">
      <w:pPr>
        <w:pStyle w:val="Caption"/>
      </w:pPr>
      <w:bookmarkStart w:id="193" w:name="_Ref472430372"/>
      <w:bookmarkStart w:id="194" w:name="_Toc454633672"/>
      <w:bookmarkStart w:id="195" w:name="_Toc478837657"/>
      <w:r>
        <w:t xml:space="preserve">Table </w:t>
      </w:r>
      <w:r w:rsidR="00500291">
        <w:fldChar w:fldCharType="begin"/>
      </w:r>
      <w:r w:rsidR="00500291">
        <w:instrText xml:space="preserve"> STYLEREF 1 \s </w:instrText>
      </w:r>
      <w:r w:rsidR="00500291">
        <w:fldChar w:fldCharType="separate"/>
      </w:r>
      <w:r w:rsidR="007B1CE6">
        <w:rPr>
          <w:noProof/>
        </w:rPr>
        <w:t>4</w:t>
      </w:r>
      <w:r w:rsidR="00500291">
        <w:fldChar w:fldCharType="end"/>
      </w:r>
      <w:r w:rsidR="00500291">
        <w:t>.</w:t>
      </w:r>
      <w:r w:rsidR="00500291">
        <w:fldChar w:fldCharType="begin"/>
      </w:r>
      <w:r w:rsidR="00500291">
        <w:instrText xml:space="preserve"> SEQ Table \* ARABIC \s 1 </w:instrText>
      </w:r>
      <w:r w:rsidR="00500291">
        <w:fldChar w:fldCharType="separate"/>
      </w:r>
      <w:r w:rsidR="007B1CE6">
        <w:rPr>
          <w:noProof/>
        </w:rPr>
        <w:t>9</w:t>
      </w:r>
      <w:r w:rsidR="00500291">
        <w:fldChar w:fldCharType="end"/>
      </w:r>
      <w:bookmarkEnd w:id="193"/>
      <w:r>
        <w:t>:</w:t>
      </w:r>
      <w:r w:rsidR="001F21D2" w:rsidRPr="00875B2D">
        <w:t xml:space="preserve"> </w:t>
      </w:r>
      <w:r w:rsidR="001F21D2">
        <w:t xml:space="preserve">The </w:t>
      </w:r>
      <w:r w:rsidR="001F21D2" w:rsidRPr="00875B2D">
        <w:t>Coverage of Essential Services, 2003-2014</w:t>
      </w:r>
      <w:bookmarkEnd w:id="194"/>
      <w:r w:rsidR="001F21D2">
        <w:t xml:space="preserve"> (%)</w:t>
      </w:r>
      <w:bookmarkEnd w:id="195"/>
    </w:p>
    <w:tbl>
      <w:tblPr>
        <w:tblStyle w:val="TableGrid"/>
        <w:tblW w:w="8905" w:type="dxa"/>
        <w:tblLook w:val="04A0" w:firstRow="1" w:lastRow="0" w:firstColumn="1" w:lastColumn="0" w:noHBand="0" w:noVBand="1"/>
      </w:tblPr>
      <w:tblGrid>
        <w:gridCol w:w="5305"/>
        <w:gridCol w:w="1170"/>
        <w:gridCol w:w="1170"/>
        <w:gridCol w:w="1260"/>
      </w:tblGrid>
      <w:tr w:rsidR="001F21D2" w:rsidRPr="00D31C3D" w14:paraId="04E6CC75" w14:textId="77777777" w:rsidTr="005A7652">
        <w:tc>
          <w:tcPr>
            <w:tcW w:w="5305" w:type="dxa"/>
          </w:tcPr>
          <w:p w14:paraId="3CC15039" w14:textId="77777777" w:rsidR="001F21D2" w:rsidRPr="004255EE" w:rsidRDefault="001F21D2" w:rsidP="005A7652">
            <w:pPr>
              <w:pStyle w:val="ListParagraph"/>
              <w:keepNext/>
              <w:keepLines/>
              <w:numPr>
                <w:ilvl w:val="0"/>
                <w:numId w:val="0"/>
              </w:numPr>
              <w:tabs>
                <w:tab w:val="left" w:pos="720"/>
              </w:tabs>
              <w:autoSpaceDE w:val="0"/>
              <w:autoSpaceDN w:val="0"/>
              <w:adjustRightInd w:val="0"/>
              <w:spacing w:after="120"/>
              <w:jc w:val="left"/>
              <w:rPr>
                <w:sz w:val="20"/>
              </w:rPr>
            </w:pPr>
          </w:p>
        </w:tc>
        <w:tc>
          <w:tcPr>
            <w:tcW w:w="1170" w:type="dxa"/>
          </w:tcPr>
          <w:p w14:paraId="5F2F725F" w14:textId="77777777" w:rsidR="001F21D2" w:rsidRPr="00875B2D" w:rsidRDefault="001F21D2" w:rsidP="005A7652">
            <w:pPr>
              <w:keepNext/>
              <w:keepLines/>
              <w:tabs>
                <w:tab w:val="left" w:pos="720"/>
              </w:tabs>
              <w:autoSpaceDE w:val="0"/>
              <w:autoSpaceDN w:val="0"/>
              <w:adjustRightInd w:val="0"/>
              <w:spacing w:after="120"/>
              <w:jc w:val="center"/>
              <w:rPr>
                <w:sz w:val="20"/>
              </w:rPr>
            </w:pPr>
            <w:r w:rsidRPr="00875B2D">
              <w:rPr>
                <w:sz w:val="20"/>
              </w:rPr>
              <w:t>2003</w:t>
            </w:r>
          </w:p>
        </w:tc>
        <w:tc>
          <w:tcPr>
            <w:tcW w:w="1170" w:type="dxa"/>
          </w:tcPr>
          <w:p w14:paraId="3A439448" w14:textId="77777777" w:rsidR="001F21D2" w:rsidRPr="00875B2D" w:rsidRDefault="001F21D2" w:rsidP="005A7652">
            <w:pPr>
              <w:keepNext/>
              <w:keepLines/>
              <w:tabs>
                <w:tab w:val="left" w:pos="720"/>
              </w:tabs>
              <w:autoSpaceDE w:val="0"/>
              <w:autoSpaceDN w:val="0"/>
              <w:adjustRightInd w:val="0"/>
              <w:spacing w:after="120"/>
              <w:jc w:val="center"/>
              <w:rPr>
                <w:sz w:val="20"/>
              </w:rPr>
            </w:pPr>
            <w:r w:rsidRPr="00875B2D">
              <w:rPr>
                <w:sz w:val="20"/>
              </w:rPr>
              <w:t>2008</w:t>
            </w:r>
          </w:p>
        </w:tc>
        <w:tc>
          <w:tcPr>
            <w:tcW w:w="1260" w:type="dxa"/>
          </w:tcPr>
          <w:p w14:paraId="4D9C6BF7" w14:textId="77777777" w:rsidR="001F21D2" w:rsidRPr="00875B2D" w:rsidRDefault="001F21D2" w:rsidP="005A7652">
            <w:pPr>
              <w:keepNext/>
              <w:keepLines/>
              <w:tabs>
                <w:tab w:val="left" w:pos="720"/>
              </w:tabs>
              <w:autoSpaceDE w:val="0"/>
              <w:autoSpaceDN w:val="0"/>
              <w:adjustRightInd w:val="0"/>
              <w:spacing w:after="120"/>
              <w:jc w:val="center"/>
              <w:rPr>
                <w:sz w:val="20"/>
              </w:rPr>
            </w:pPr>
            <w:r w:rsidRPr="00875B2D">
              <w:rPr>
                <w:sz w:val="20"/>
              </w:rPr>
              <w:t>2014</w:t>
            </w:r>
          </w:p>
        </w:tc>
      </w:tr>
      <w:tr w:rsidR="001F21D2" w:rsidRPr="00D31C3D" w14:paraId="0B5F2856" w14:textId="77777777" w:rsidTr="005A7652">
        <w:tc>
          <w:tcPr>
            <w:tcW w:w="5305" w:type="dxa"/>
          </w:tcPr>
          <w:p w14:paraId="253E634C" w14:textId="77777777" w:rsidR="001F21D2" w:rsidRPr="00875B2D" w:rsidRDefault="001F21D2" w:rsidP="005A7652">
            <w:pPr>
              <w:keepNext/>
              <w:keepLines/>
              <w:tabs>
                <w:tab w:val="left" w:pos="720"/>
              </w:tabs>
              <w:autoSpaceDE w:val="0"/>
              <w:autoSpaceDN w:val="0"/>
              <w:adjustRightInd w:val="0"/>
              <w:spacing w:after="120"/>
              <w:rPr>
                <w:sz w:val="20"/>
              </w:rPr>
            </w:pPr>
            <w:r w:rsidRPr="00875B2D">
              <w:rPr>
                <w:sz w:val="20"/>
              </w:rPr>
              <w:t>Children fully immunized</w:t>
            </w:r>
          </w:p>
        </w:tc>
        <w:tc>
          <w:tcPr>
            <w:tcW w:w="1170" w:type="dxa"/>
            <w:vAlign w:val="bottom"/>
          </w:tcPr>
          <w:p w14:paraId="65741653" w14:textId="77777777" w:rsidR="001F21D2" w:rsidRPr="00875B2D" w:rsidRDefault="001F21D2" w:rsidP="005A7652">
            <w:pPr>
              <w:keepNext/>
              <w:keepLines/>
              <w:tabs>
                <w:tab w:val="left" w:pos="882"/>
              </w:tabs>
              <w:autoSpaceDE w:val="0"/>
              <w:autoSpaceDN w:val="0"/>
              <w:adjustRightInd w:val="0"/>
              <w:spacing w:after="120"/>
              <w:ind w:right="72"/>
              <w:jc w:val="center"/>
              <w:rPr>
                <w:sz w:val="20"/>
              </w:rPr>
            </w:pPr>
            <w:r w:rsidRPr="00875B2D">
              <w:rPr>
                <w:color w:val="000000"/>
                <w:sz w:val="20"/>
              </w:rPr>
              <w:t>69.4</w:t>
            </w:r>
          </w:p>
        </w:tc>
        <w:tc>
          <w:tcPr>
            <w:tcW w:w="1170" w:type="dxa"/>
            <w:vAlign w:val="bottom"/>
          </w:tcPr>
          <w:p w14:paraId="31896570" w14:textId="77777777" w:rsidR="001F21D2" w:rsidRPr="00875B2D" w:rsidRDefault="001F21D2" w:rsidP="005A7652">
            <w:pPr>
              <w:keepNext/>
              <w:keepLines/>
              <w:tabs>
                <w:tab w:val="left" w:pos="882"/>
              </w:tabs>
              <w:autoSpaceDE w:val="0"/>
              <w:autoSpaceDN w:val="0"/>
              <w:adjustRightInd w:val="0"/>
              <w:spacing w:after="120"/>
              <w:ind w:right="72"/>
              <w:jc w:val="center"/>
              <w:rPr>
                <w:sz w:val="20"/>
              </w:rPr>
            </w:pPr>
            <w:r w:rsidRPr="00875B2D">
              <w:rPr>
                <w:color w:val="000000"/>
                <w:sz w:val="20"/>
              </w:rPr>
              <w:t>79.0</w:t>
            </w:r>
          </w:p>
        </w:tc>
        <w:tc>
          <w:tcPr>
            <w:tcW w:w="1260" w:type="dxa"/>
            <w:vAlign w:val="bottom"/>
          </w:tcPr>
          <w:p w14:paraId="7F055A1E" w14:textId="77777777" w:rsidR="001F21D2" w:rsidRPr="00875B2D" w:rsidRDefault="001F21D2" w:rsidP="005A7652">
            <w:pPr>
              <w:keepNext/>
              <w:keepLines/>
              <w:tabs>
                <w:tab w:val="left" w:pos="882"/>
              </w:tabs>
              <w:autoSpaceDE w:val="0"/>
              <w:autoSpaceDN w:val="0"/>
              <w:adjustRightInd w:val="0"/>
              <w:spacing w:after="120"/>
              <w:ind w:right="72"/>
              <w:jc w:val="center"/>
              <w:rPr>
                <w:sz w:val="20"/>
              </w:rPr>
            </w:pPr>
            <w:r w:rsidRPr="00875B2D">
              <w:rPr>
                <w:color w:val="000000"/>
                <w:sz w:val="20"/>
              </w:rPr>
              <w:t>77.3</w:t>
            </w:r>
          </w:p>
        </w:tc>
      </w:tr>
      <w:tr w:rsidR="001F21D2" w:rsidRPr="00D31C3D" w14:paraId="3CBC9CC3" w14:textId="77777777" w:rsidTr="005A7652">
        <w:tc>
          <w:tcPr>
            <w:tcW w:w="5305" w:type="dxa"/>
          </w:tcPr>
          <w:p w14:paraId="5C9B3366" w14:textId="77777777" w:rsidR="001F21D2" w:rsidRPr="00875B2D" w:rsidRDefault="001F21D2" w:rsidP="005A7652">
            <w:pPr>
              <w:keepNext/>
              <w:keepLines/>
              <w:tabs>
                <w:tab w:val="left" w:pos="720"/>
              </w:tabs>
              <w:autoSpaceDE w:val="0"/>
              <w:autoSpaceDN w:val="0"/>
              <w:adjustRightInd w:val="0"/>
              <w:spacing w:after="120"/>
              <w:rPr>
                <w:sz w:val="20"/>
              </w:rPr>
            </w:pPr>
            <w:r w:rsidRPr="00875B2D">
              <w:rPr>
                <w:sz w:val="20"/>
              </w:rPr>
              <w:t>Children with fever taking antimalaria</w:t>
            </w:r>
            <w:r>
              <w:rPr>
                <w:sz w:val="20"/>
              </w:rPr>
              <w:t>l</w:t>
            </w:r>
            <w:r w:rsidRPr="00875B2D">
              <w:rPr>
                <w:sz w:val="20"/>
              </w:rPr>
              <w:t xml:space="preserve"> drugs</w:t>
            </w:r>
          </w:p>
        </w:tc>
        <w:tc>
          <w:tcPr>
            <w:tcW w:w="1170" w:type="dxa"/>
            <w:vAlign w:val="bottom"/>
          </w:tcPr>
          <w:p w14:paraId="490FA6D2" w14:textId="77777777" w:rsidR="001F21D2" w:rsidRPr="00875B2D" w:rsidRDefault="001F21D2" w:rsidP="005A7652">
            <w:pPr>
              <w:keepNext/>
              <w:keepLines/>
              <w:tabs>
                <w:tab w:val="left" w:pos="882"/>
              </w:tabs>
              <w:autoSpaceDE w:val="0"/>
              <w:autoSpaceDN w:val="0"/>
              <w:adjustRightInd w:val="0"/>
              <w:spacing w:after="120"/>
              <w:ind w:right="72"/>
              <w:jc w:val="center"/>
              <w:rPr>
                <w:sz w:val="20"/>
              </w:rPr>
            </w:pPr>
            <w:r w:rsidRPr="00875B2D">
              <w:rPr>
                <w:color w:val="000000"/>
                <w:sz w:val="20"/>
              </w:rPr>
              <w:t>62.8</w:t>
            </w:r>
          </w:p>
        </w:tc>
        <w:tc>
          <w:tcPr>
            <w:tcW w:w="1170" w:type="dxa"/>
            <w:vAlign w:val="bottom"/>
          </w:tcPr>
          <w:p w14:paraId="787FAD2A" w14:textId="77777777" w:rsidR="001F21D2" w:rsidRPr="00875B2D" w:rsidRDefault="001F21D2" w:rsidP="005A7652">
            <w:pPr>
              <w:keepNext/>
              <w:keepLines/>
              <w:tabs>
                <w:tab w:val="left" w:pos="882"/>
              </w:tabs>
              <w:autoSpaceDE w:val="0"/>
              <w:autoSpaceDN w:val="0"/>
              <w:adjustRightInd w:val="0"/>
              <w:spacing w:after="120"/>
              <w:ind w:right="72"/>
              <w:jc w:val="center"/>
              <w:rPr>
                <w:sz w:val="20"/>
              </w:rPr>
            </w:pPr>
            <w:r w:rsidRPr="00875B2D">
              <w:rPr>
                <w:sz w:val="20"/>
              </w:rPr>
              <w:t>43.0</w:t>
            </w:r>
          </w:p>
        </w:tc>
        <w:tc>
          <w:tcPr>
            <w:tcW w:w="1260" w:type="dxa"/>
            <w:vAlign w:val="bottom"/>
          </w:tcPr>
          <w:p w14:paraId="55230D28" w14:textId="77777777" w:rsidR="001F21D2" w:rsidRPr="00875B2D" w:rsidRDefault="001F21D2" w:rsidP="005A7652">
            <w:pPr>
              <w:keepNext/>
              <w:keepLines/>
              <w:tabs>
                <w:tab w:val="left" w:pos="882"/>
              </w:tabs>
              <w:autoSpaceDE w:val="0"/>
              <w:autoSpaceDN w:val="0"/>
              <w:adjustRightInd w:val="0"/>
              <w:spacing w:after="120"/>
              <w:ind w:right="72"/>
              <w:jc w:val="center"/>
              <w:rPr>
                <w:sz w:val="20"/>
              </w:rPr>
            </w:pPr>
            <w:r w:rsidRPr="00875B2D">
              <w:rPr>
                <w:sz w:val="20"/>
              </w:rPr>
              <w:t>48.5</w:t>
            </w:r>
          </w:p>
        </w:tc>
      </w:tr>
      <w:tr w:rsidR="001F21D2" w:rsidRPr="00D31C3D" w14:paraId="7CFA07BB" w14:textId="77777777" w:rsidTr="005A7652">
        <w:tc>
          <w:tcPr>
            <w:tcW w:w="5305" w:type="dxa"/>
          </w:tcPr>
          <w:p w14:paraId="2AD6A787" w14:textId="77777777" w:rsidR="001F21D2" w:rsidRPr="00875B2D" w:rsidRDefault="001F21D2" w:rsidP="005A7652">
            <w:pPr>
              <w:keepNext/>
              <w:keepLines/>
              <w:tabs>
                <w:tab w:val="left" w:pos="720"/>
              </w:tabs>
              <w:autoSpaceDE w:val="0"/>
              <w:autoSpaceDN w:val="0"/>
              <w:adjustRightInd w:val="0"/>
              <w:spacing w:after="120"/>
              <w:rPr>
                <w:sz w:val="20"/>
              </w:rPr>
            </w:pPr>
            <w:r>
              <w:rPr>
                <w:sz w:val="20"/>
              </w:rPr>
              <w:t>B</w:t>
            </w:r>
            <w:r w:rsidRPr="00875B2D">
              <w:rPr>
                <w:sz w:val="20"/>
              </w:rPr>
              <w:t>irth</w:t>
            </w:r>
            <w:r>
              <w:rPr>
                <w:sz w:val="20"/>
              </w:rPr>
              <w:t>s</w:t>
            </w:r>
            <w:r w:rsidRPr="00875B2D">
              <w:rPr>
                <w:sz w:val="20"/>
              </w:rPr>
              <w:t xml:space="preserve"> attend</w:t>
            </w:r>
            <w:r>
              <w:rPr>
                <w:sz w:val="20"/>
              </w:rPr>
              <w:t>ed by a skilled health worker</w:t>
            </w:r>
          </w:p>
        </w:tc>
        <w:tc>
          <w:tcPr>
            <w:tcW w:w="1170" w:type="dxa"/>
            <w:vAlign w:val="bottom"/>
          </w:tcPr>
          <w:p w14:paraId="07E5B2D9" w14:textId="77777777" w:rsidR="001F21D2" w:rsidRPr="00875B2D" w:rsidRDefault="001F21D2" w:rsidP="005A7652">
            <w:pPr>
              <w:keepNext/>
              <w:keepLines/>
              <w:tabs>
                <w:tab w:val="left" w:pos="882"/>
              </w:tabs>
              <w:autoSpaceDE w:val="0"/>
              <w:autoSpaceDN w:val="0"/>
              <w:adjustRightInd w:val="0"/>
              <w:spacing w:after="120"/>
              <w:ind w:right="72"/>
              <w:jc w:val="center"/>
              <w:rPr>
                <w:sz w:val="20"/>
              </w:rPr>
            </w:pPr>
            <w:r w:rsidRPr="00875B2D">
              <w:rPr>
                <w:color w:val="000000"/>
                <w:sz w:val="20"/>
              </w:rPr>
              <w:t>47.1</w:t>
            </w:r>
          </w:p>
        </w:tc>
        <w:tc>
          <w:tcPr>
            <w:tcW w:w="1170" w:type="dxa"/>
            <w:vAlign w:val="bottom"/>
          </w:tcPr>
          <w:p w14:paraId="120AE947" w14:textId="77777777" w:rsidR="001F21D2" w:rsidRPr="00875B2D" w:rsidRDefault="001F21D2" w:rsidP="005A7652">
            <w:pPr>
              <w:keepNext/>
              <w:keepLines/>
              <w:tabs>
                <w:tab w:val="left" w:pos="882"/>
              </w:tabs>
              <w:autoSpaceDE w:val="0"/>
              <w:autoSpaceDN w:val="0"/>
              <w:adjustRightInd w:val="0"/>
              <w:spacing w:after="120"/>
              <w:ind w:right="72"/>
              <w:jc w:val="center"/>
              <w:rPr>
                <w:sz w:val="20"/>
              </w:rPr>
            </w:pPr>
            <w:r w:rsidRPr="00875B2D">
              <w:rPr>
                <w:sz w:val="20"/>
              </w:rPr>
              <w:t>58.7</w:t>
            </w:r>
          </w:p>
        </w:tc>
        <w:tc>
          <w:tcPr>
            <w:tcW w:w="1260" w:type="dxa"/>
            <w:vAlign w:val="bottom"/>
          </w:tcPr>
          <w:p w14:paraId="47A41658" w14:textId="77777777" w:rsidR="001F21D2" w:rsidRPr="00875B2D" w:rsidRDefault="001F21D2" w:rsidP="005A7652">
            <w:pPr>
              <w:keepNext/>
              <w:keepLines/>
              <w:tabs>
                <w:tab w:val="left" w:pos="882"/>
              </w:tabs>
              <w:autoSpaceDE w:val="0"/>
              <w:autoSpaceDN w:val="0"/>
              <w:adjustRightInd w:val="0"/>
              <w:spacing w:after="120"/>
              <w:ind w:right="72"/>
              <w:jc w:val="center"/>
              <w:rPr>
                <w:sz w:val="20"/>
              </w:rPr>
            </w:pPr>
            <w:r w:rsidRPr="00875B2D">
              <w:rPr>
                <w:sz w:val="20"/>
              </w:rPr>
              <w:t>73.7</w:t>
            </w:r>
          </w:p>
        </w:tc>
      </w:tr>
      <w:tr w:rsidR="001F21D2" w:rsidRPr="00D31C3D" w14:paraId="472940F0" w14:textId="77777777" w:rsidTr="005A7652">
        <w:tc>
          <w:tcPr>
            <w:tcW w:w="5305" w:type="dxa"/>
          </w:tcPr>
          <w:p w14:paraId="1F078201" w14:textId="77777777" w:rsidR="001F21D2" w:rsidRPr="00875B2D" w:rsidRDefault="001F21D2" w:rsidP="005A7652">
            <w:pPr>
              <w:keepNext/>
              <w:keepLines/>
              <w:tabs>
                <w:tab w:val="left" w:pos="720"/>
              </w:tabs>
              <w:autoSpaceDE w:val="0"/>
              <w:autoSpaceDN w:val="0"/>
              <w:adjustRightInd w:val="0"/>
              <w:spacing w:after="120"/>
              <w:rPr>
                <w:sz w:val="20"/>
              </w:rPr>
            </w:pPr>
            <w:r w:rsidRPr="00875B2D">
              <w:rPr>
                <w:sz w:val="20"/>
              </w:rPr>
              <w:t>Use of modern contraceptives</w:t>
            </w:r>
          </w:p>
        </w:tc>
        <w:tc>
          <w:tcPr>
            <w:tcW w:w="1170" w:type="dxa"/>
            <w:vAlign w:val="bottom"/>
          </w:tcPr>
          <w:p w14:paraId="7E131795" w14:textId="77777777" w:rsidR="001F21D2" w:rsidRPr="00875B2D" w:rsidRDefault="001F21D2" w:rsidP="005A7652">
            <w:pPr>
              <w:keepNext/>
              <w:keepLines/>
              <w:tabs>
                <w:tab w:val="left" w:pos="882"/>
              </w:tabs>
              <w:autoSpaceDE w:val="0"/>
              <w:autoSpaceDN w:val="0"/>
              <w:adjustRightInd w:val="0"/>
              <w:spacing w:after="120"/>
              <w:ind w:right="72"/>
              <w:jc w:val="center"/>
              <w:rPr>
                <w:sz w:val="20"/>
              </w:rPr>
            </w:pPr>
            <w:r w:rsidRPr="00875B2D">
              <w:rPr>
                <w:sz w:val="20"/>
              </w:rPr>
              <w:t>18.7</w:t>
            </w:r>
          </w:p>
        </w:tc>
        <w:tc>
          <w:tcPr>
            <w:tcW w:w="1170" w:type="dxa"/>
            <w:vAlign w:val="bottom"/>
          </w:tcPr>
          <w:p w14:paraId="3D7CAA50" w14:textId="77777777" w:rsidR="001F21D2" w:rsidRPr="00875B2D" w:rsidRDefault="001F21D2" w:rsidP="005A7652">
            <w:pPr>
              <w:keepNext/>
              <w:keepLines/>
              <w:tabs>
                <w:tab w:val="left" w:pos="882"/>
              </w:tabs>
              <w:autoSpaceDE w:val="0"/>
              <w:autoSpaceDN w:val="0"/>
              <w:adjustRightInd w:val="0"/>
              <w:spacing w:after="120"/>
              <w:ind w:right="72"/>
              <w:jc w:val="center"/>
              <w:rPr>
                <w:sz w:val="20"/>
              </w:rPr>
            </w:pPr>
            <w:r w:rsidRPr="00875B2D">
              <w:rPr>
                <w:sz w:val="20"/>
              </w:rPr>
              <w:t>16.6</w:t>
            </w:r>
          </w:p>
        </w:tc>
        <w:tc>
          <w:tcPr>
            <w:tcW w:w="1260" w:type="dxa"/>
            <w:vAlign w:val="bottom"/>
          </w:tcPr>
          <w:p w14:paraId="729E8A36" w14:textId="77777777" w:rsidR="001F21D2" w:rsidRPr="00875B2D" w:rsidRDefault="001F21D2" w:rsidP="005A7652">
            <w:pPr>
              <w:keepNext/>
              <w:keepLines/>
              <w:tabs>
                <w:tab w:val="left" w:pos="882"/>
              </w:tabs>
              <w:autoSpaceDE w:val="0"/>
              <w:autoSpaceDN w:val="0"/>
              <w:adjustRightInd w:val="0"/>
              <w:spacing w:after="120"/>
              <w:ind w:right="72"/>
              <w:jc w:val="center"/>
              <w:rPr>
                <w:sz w:val="20"/>
              </w:rPr>
            </w:pPr>
            <w:r w:rsidRPr="00875B2D">
              <w:rPr>
                <w:color w:val="000000"/>
                <w:sz w:val="20"/>
              </w:rPr>
              <w:t>22.2</w:t>
            </w:r>
          </w:p>
        </w:tc>
      </w:tr>
    </w:tbl>
    <w:p w14:paraId="14AD12D4" w14:textId="77777777" w:rsidR="001F21D2" w:rsidRPr="00D46978" w:rsidRDefault="001F21D2" w:rsidP="001F21D2">
      <w:pPr>
        <w:rPr>
          <w:rFonts w:ascii="Calibri" w:hAnsi="Calibri"/>
          <w:sz w:val="20"/>
          <w:szCs w:val="20"/>
        </w:rPr>
      </w:pPr>
      <w:bookmarkStart w:id="196" w:name="_Toc454633607"/>
      <w:r w:rsidRPr="00D46978">
        <w:rPr>
          <w:rFonts w:ascii="Calibri" w:hAnsi="Calibri"/>
          <w:i/>
          <w:sz w:val="20"/>
          <w:szCs w:val="20"/>
        </w:rPr>
        <w:t>Source</w:t>
      </w:r>
      <w:r w:rsidRPr="00D46978">
        <w:rPr>
          <w:rFonts w:ascii="Calibri" w:hAnsi="Calibri"/>
          <w:sz w:val="20"/>
          <w:szCs w:val="20"/>
        </w:rPr>
        <w:t>: Ghana Demographic and Health Survey 2003, 2008 and 2014.</w:t>
      </w:r>
    </w:p>
    <w:bookmarkEnd w:id="196"/>
    <w:p w14:paraId="4EB8081C" w14:textId="77777777" w:rsidR="001F21D2" w:rsidRPr="00856CBD" w:rsidRDefault="001F21D2" w:rsidP="00724BAB">
      <w:pPr>
        <w:pStyle w:val="ListParagraph"/>
        <w:numPr>
          <w:ilvl w:val="0"/>
          <w:numId w:val="9"/>
        </w:numPr>
        <w:rPr>
          <w:rFonts w:ascii="Times New Roman" w:hAnsi="Times New Roman"/>
          <w:b/>
        </w:rPr>
      </w:pPr>
      <w:r>
        <w:rPr>
          <w:b/>
        </w:rPr>
        <w:t>About</w:t>
      </w:r>
      <w:r w:rsidRPr="004255EE">
        <w:rPr>
          <w:b/>
        </w:rPr>
        <w:t xml:space="preserve"> 3,500 </w:t>
      </w:r>
      <w:r>
        <w:rPr>
          <w:b/>
        </w:rPr>
        <w:t>public</w:t>
      </w:r>
      <w:r w:rsidRPr="009B24BD">
        <w:rPr>
          <w:b/>
        </w:rPr>
        <w:t>, private</w:t>
      </w:r>
      <w:r w:rsidR="00523FCD">
        <w:rPr>
          <w:b/>
        </w:rPr>
        <w:t>,</w:t>
      </w:r>
      <w:r w:rsidRPr="009B24BD">
        <w:rPr>
          <w:b/>
        </w:rPr>
        <w:t xml:space="preserve"> and faith</w:t>
      </w:r>
      <w:r>
        <w:rPr>
          <w:b/>
        </w:rPr>
        <w:t>-based</w:t>
      </w:r>
      <w:r w:rsidRPr="00345B6D">
        <w:rPr>
          <w:b/>
        </w:rPr>
        <w:t xml:space="preserve"> </w:t>
      </w:r>
      <w:r>
        <w:rPr>
          <w:b/>
        </w:rPr>
        <w:t xml:space="preserve">health </w:t>
      </w:r>
      <w:r w:rsidRPr="004255EE">
        <w:rPr>
          <w:b/>
        </w:rPr>
        <w:t xml:space="preserve">facilities </w:t>
      </w:r>
      <w:r>
        <w:rPr>
          <w:b/>
        </w:rPr>
        <w:t xml:space="preserve">are currently operating across the </w:t>
      </w:r>
      <w:r w:rsidRPr="002642FC">
        <w:rPr>
          <w:b/>
        </w:rPr>
        <w:t>country (</w:t>
      </w:r>
      <w:r w:rsidR="00A015A0" w:rsidRPr="00D15C7D">
        <w:rPr>
          <w:b/>
        </w:rPr>
        <w:fldChar w:fldCharType="begin"/>
      </w:r>
      <w:r w:rsidR="00A015A0" w:rsidRPr="00D15C7D">
        <w:rPr>
          <w:b/>
        </w:rPr>
        <w:instrText xml:space="preserve"> REF _Ref472430397 \h </w:instrText>
      </w:r>
      <w:r w:rsidR="00523FCD" w:rsidRPr="00D46978">
        <w:rPr>
          <w:b/>
        </w:rPr>
        <w:instrText xml:space="preserve"> \* MERGEFORMAT </w:instrText>
      </w:r>
      <w:r w:rsidR="00A015A0" w:rsidRPr="00D15C7D">
        <w:rPr>
          <w:b/>
        </w:rPr>
      </w:r>
      <w:r w:rsidR="00A015A0" w:rsidRPr="00D15C7D">
        <w:rPr>
          <w:b/>
        </w:rPr>
        <w:fldChar w:fldCharType="separate"/>
      </w:r>
      <w:r w:rsidR="007B1CE6" w:rsidRPr="007B1CE6">
        <w:rPr>
          <w:b/>
        </w:rPr>
        <w:t xml:space="preserve">Table </w:t>
      </w:r>
      <w:r w:rsidR="007B1CE6" w:rsidRPr="007B1CE6">
        <w:rPr>
          <w:b/>
          <w:noProof/>
        </w:rPr>
        <w:t>4.10</w:t>
      </w:r>
      <w:r w:rsidR="00A015A0" w:rsidRPr="00D15C7D">
        <w:rPr>
          <w:b/>
        </w:rPr>
        <w:fldChar w:fldCharType="end"/>
      </w:r>
      <w:r w:rsidRPr="00D15C7D">
        <w:rPr>
          <w:b/>
        </w:rPr>
        <w:t>)</w:t>
      </w:r>
      <w:r w:rsidRPr="004255EE">
        <w:rPr>
          <w:b/>
        </w:rPr>
        <w:t xml:space="preserve">. </w:t>
      </w:r>
      <w:r>
        <w:t xml:space="preserve">Government facilities account for about </w:t>
      </w:r>
      <w:r w:rsidRPr="004255EE">
        <w:t>57 percent</w:t>
      </w:r>
      <w:r>
        <w:t xml:space="preserve"> of the total</w:t>
      </w:r>
      <w:r w:rsidRPr="004255EE">
        <w:t xml:space="preserve">, followed by private facilities </w:t>
      </w:r>
      <w:r>
        <w:t xml:space="preserve">at </w:t>
      </w:r>
      <w:r w:rsidRPr="004255EE">
        <w:t xml:space="preserve">33 percent and CHAG </w:t>
      </w:r>
      <w:r>
        <w:t xml:space="preserve">faith-based facilities at </w:t>
      </w:r>
      <w:r w:rsidRPr="004255EE">
        <w:t>7 percent</w:t>
      </w:r>
      <w:r>
        <w:t xml:space="preserve"> (</w:t>
      </w:r>
      <w:r w:rsidR="00A015A0">
        <w:fldChar w:fldCharType="begin"/>
      </w:r>
      <w:r w:rsidR="00A015A0">
        <w:instrText xml:space="preserve"> REF _Ref466642371 \h </w:instrText>
      </w:r>
      <w:r w:rsidR="00A015A0">
        <w:fldChar w:fldCharType="separate"/>
      </w:r>
      <w:r w:rsidR="007B1CE6">
        <w:t>Figure</w:t>
      </w:r>
      <w:r w:rsidR="007B1CE6" w:rsidRPr="00875B2D">
        <w:t xml:space="preserve"> </w:t>
      </w:r>
      <w:r w:rsidR="007B1CE6">
        <w:rPr>
          <w:noProof/>
        </w:rPr>
        <w:t>4</w:t>
      </w:r>
      <w:r w:rsidR="007B1CE6">
        <w:t>.</w:t>
      </w:r>
      <w:r w:rsidR="007B1CE6">
        <w:rPr>
          <w:noProof/>
        </w:rPr>
        <w:t>16</w:t>
      </w:r>
      <w:r w:rsidR="00A015A0">
        <w:fldChar w:fldCharType="end"/>
      </w:r>
      <w:r>
        <w:t>)</w:t>
      </w:r>
      <w:r w:rsidRPr="004255EE">
        <w:t xml:space="preserve">. </w:t>
      </w:r>
      <w:r>
        <w:t>A</w:t>
      </w:r>
      <w:r w:rsidRPr="004255EE">
        <w:t xml:space="preserve">ll </w:t>
      </w:r>
      <w:r>
        <w:t xml:space="preserve">health </w:t>
      </w:r>
      <w:r w:rsidRPr="004255EE">
        <w:t>compounds</w:t>
      </w:r>
      <w:r>
        <w:t xml:space="preserve"> and </w:t>
      </w:r>
      <w:r w:rsidRPr="004255EE">
        <w:t xml:space="preserve">most health centers and district hospitals are government facilities, </w:t>
      </w:r>
      <w:r>
        <w:t xml:space="preserve">while </w:t>
      </w:r>
      <w:r w:rsidRPr="004255EE">
        <w:t>most clinics, maternity homes and uncategorized hospitals are private</w:t>
      </w:r>
      <w:r>
        <w:t xml:space="preserve"> facilities. O</w:t>
      </w:r>
      <w:r w:rsidRPr="004255EE">
        <w:t xml:space="preserve">ne municipal hospital is </w:t>
      </w:r>
      <w:r w:rsidRPr="00C96959">
        <w:t>owned</w:t>
      </w:r>
      <w:r>
        <w:t xml:space="preserve"> by</w:t>
      </w:r>
      <w:r w:rsidRPr="0098708B">
        <w:t xml:space="preserve"> </w:t>
      </w:r>
      <w:r w:rsidR="00523FCD">
        <w:t xml:space="preserve">the </w:t>
      </w:r>
      <w:r w:rsidRPr="004255EE">
        <w:t xml:space="preserve">CHAG, one teaching hospital is private, and </w:t>
      </w:r>
      <w:r>
        <w:t>all other</w:t>
      </w:r>
      <w:r w:rsidRPr="004255EE">
        <w:t xml:space="preserve"> municipal, metropolitan, regional</w:t>
      </w:r>
      <w:r w:rsidR="00523FCD">
        <w:t>,</w:t>
      </w:r>
      <w:r>
        <w:t xml:space="preserve"> </w:t>
      </w:r>
      <w:r w:rsidRPr="004255EE">
        <w:t xml:space="preserve">and teaching </w:t>
      </w:r>
      <w:r>
        <w:t>hospitals are</w:t>
      </w:r>
      <w:r w:rsidRPr="004255EE">
        <w:t xml:space="preserve"> </w:t>
      </w:r>
      <w:r>
        <w:t>publicly</w:t>
      </w:r>
      <w:r w:rsidRPr="004255EE">
        <w:t xml:space="preserve"> owned. </w:t>
      </w:r>
      <w:r>
        <w:t>T</w:t>
      </w:r>
      <w:r w:rsidRPr="004255EE">
        <w:t xml:space="preserve">he </w:t>
      </w:r>
      <w:r>
        <w:t>share</w:t>
      </w:r>
      <w:r w:rsidRPr="004255EE">
        <w:t xml:space="preserve"> of private facilities varies </w:t>
      </w:r>
      <w:r>
        <w:t xml:space="preserve">greatly by region, ranging </w:t>
      </w:r>
      <w:r w:rsidRPr="004255EE">
        <w:t xml:space="preserve">from 5.4 </w:t>
      </w:r>
      <w:r>
        <w:t xml:space="preserve">percent </w:t>
      </w:r>
      <w:r w:rsidRPr="004255EE">
        <w:t xml:space="preserve">in </w:t>
      </w:r>
      <w:r>
        <w:t xml:space="preserve">the </w:t>
      </w:r>
      <w:r w:rsidRPr="004255EE">
        <w:t>Northern region to 74.9 percent in Greater Accra (</w:t>
      </w:r>
      <w:r>
        <w:t>see</w:t>
      </w:r>
      <w:r w:rsidR="00A015A0">
        <w:t xml:space="preserve"> Annex </w:t>
      </w:r>
      <w:r w:rsidR="00A015A0">
        <w:fldChar w:fldCharType="begin"/>
      </w:r>
      <w:r w:rsidR="00A015A0">
        <w:instrText xml:space="preserve"> REF _Ref472430753 \h </w:instrText>
      </w:r>
      <w:r w:rsidR="00A015A0">
        <w:fldChar w:fldCharType="separate"/>
      </w:r>
      <w:r w:rsidR="007B1CE6">
        <w:t xml:space="preserve">Figure </w:t>
      </w:r>
      <w:r w:rsidR="007B1CE6">
        <w:rPr>
          <w:noProof/>
        </w:rPr>
        <w:t>4</w:t>
      </w:r>
      <w:r w:rsidR="007B1CE6">
        <w:t>.</w:t>
      </w:r>
      <w:r w:rsidR="007B1CE6">
        <w:rPr>
          <w:noProof/>
        </w:rPr>
        <w:t>24</w:t>
      </w:r>
      <w:r w:rsidR="00A015A0">
        <w:fldChar w:fldCharType="end"/>
      </w:r>
      <w:r w:rsidRPr="004255EE">
        <w:t>).</w:t>
      </w:r>
    </w:p>
    <w:tbl>
      <w:tblPr>
        <w:tblStyle w:val="TableGrid"/>
        <w:tblW w:w="9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4062"/>
      </w:tblGrid>
      <w:tr w:rsidR="001F21D2" w:rsidRPr="00D31C3D" w14:paraId="0EED3746" w14:textId="77777777" w:rsidTr="006F2087">
        <w:tc>
          <w:tcPr>
            <w:tcW w:w="5616" w:type="dxa"/>
          </w:tcPr>
          <w:p w14:paraId="051C03C0" w14:textId="77777777" w:rsidR="001F21D2" w:rsidRPr="00875B2D" w:rsidRDefault="00657AA2" w:rsidP="00CC6F65">
            <w:pPr>
              <w:pStyle w:val="Caption"/>
            </w:pPr>
            <w:bookmarkStart w:id="197" w:name="_Ref466642371"/>
            <w:bookmarkStart w:id="198" w:name="_Toc454633641"/>
            <w:r>
              <w:lastRenderedPageBreak/>
              <w:t>Figure</w:t>
            </w:r>
            <w:r w:rsidR="001F21D2" w:rsidRPr="00875B2D">
              <w:t xml:space="preserve"> </w:t>
            </w:r>
            <w:r w:rsidR="005C0067">
              <w:fldChar w:fldCharType="begin"/>
            </w:r>
            <w:r w:rsidR="005C0067">
              <w:instrText xml:space="preserve"> STYLEREF 1 \s </w:instrText>
            </w:r>
            <w:r w:rsidR="005C0067">
              <w:fldChar w:fldCharType="separate"/>
            </w:r>
            <w:r w:rsidR="007B1CE6">
              <w:rPr>
                <w:noProof/>
              </w:rPr>
              <w:t>4</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16</w:t>
            </w:r>
            <w:r w:rsidR="005C0067">
              <w:fldChar w:fldCharType="end"/>
            </w:r>
            <w:bookmarkEnd w:id="197"/>
            <w:r w:rsidR="001F21D2" w:rsidRPr="00875B2D">
              <w:t>. Distribution of Facilities by Ownership</w:t>
            </w:r>
            <w:bookmarkEnd w:id="198"/>
          </w:p>
        </w:tc>
        <w:tc>
          <w:tcPr>
            <w:tcW w:w="4062" w:type="dxa"/>
          </w:tcPr>
          <w:p w14:paraId="1EC88D9B" w14:textId="77777777" w:rsidR="001F21D2" w:rsidRPr="00875B2D" w:rsidRDefault="006F2087" w:rsidP="00CC6F65">
            <w:pPr>
              <w:pStyle w:val="Caption"/>
            </w:pPr>
            <w:bookmarkStart w:id="199" w:name="_Toc454633673"/>
            <w:r>
              <w:t xml:space="preserve"> </w:t>
            </w:r>
            <w:bookmarkStart w:id="200" w:name="_Ref472430397"/>
            <w:bookmarkStart w:id="201" w:name="_Toc478837658"/>
            <w:r>
              <w:t xml:space="preserve">Table </w:t>
            </w:r>
            <w:r w:rsidR="00500291">
              <w:fldChar w:fldCharType="begin"/>
            </w:r>
            <w:r w:rsidR="00500291">
              <w:instrText xml:space="preserve"> STYLEREF 1 \s </w:instrText>
            </w:r>
            <w:r w:rsidR="00500291">
              <w:fldChar w:fldCharType="separate"/>
            </w:r>
            <w:r w:rsidR="007B1CE6">
              <w:rPr>
                <w:noProof/>
              </w:rPr>
              <w:t>4</w:t>
            </w:r>
            <w:r w:rsidR="00500291">
              <w:fldChar w:fldCharType="end"/>
            </w:r>
            <w:r w:rsidR="00500291">
              <w:t>.</w:t>
            </w:r>
            <w:r w:rsidR="00500291">
              <w:fldChar w:fldCharType="begin"/>
            </w:r>
            <w:r w:rsidR="00500291">
              <w:instrText xml:space="preserve"> SEQ Table \* ARABIC \s 1 </w:instrText>
            </w:r>
            <w:r w:rsidR="00500291">
              <w:fldChar w:fldCharType="separate"/>
            </w:r>
            <w:r w:rsidR="007B1CE6">
              <w:rPr>
                <w:noProof/>
              </w:rPr>
              <w:t>10</w:t>
            </w:r>
            <w:r w:rsidR="00500291">
              <w:fldChar w:fldCharType="end"/>
            </w:r>
            <w:bookmarkEnd w:id="200"/>
            <w:r>
              <w:t>: N</w:t>
            </w:r>
            <w:r w:rsidR="001F21D2" w:rsidRPr="00875B2D">
              <w:t>umber of Facilities by Type</w:t>
            </w:r>
            <w:bookmarkEnd w:id="199"/>
            <w:bookmarkEnd w:id="201"/>
          </w:p>
        </w:tc>
      </w:tr>
      <w:tr w:rsidR="001F21D2" w:rsidRPr="00D31C3D" w14:paraId="38A006BD" w14:textId="77777777" w:rsidTr="006F2087">
        <w:trPr>
          <w:trHeight w:val="350"/>
        </w:trPr>
        <w:tc>
          <w:tcPr>
            <w:tcW w:w="5616" w:type="dxa"/>
          </w:tcPr>
          <w:p w14:paraId="3D6E223D" w14:textId="77777777" w:rsidR="001F21D2" w:rsidRPr="004255EE" w:rsidRDefault="00CB0E25" w:rsidP="005A7652">
            <w:pPr>
              <w:keepNext/>
              <w:tabs>
                <w:tab w:val="left" w:pos="720"/>
              </w:tabs>
              <w:autoSpaceDE w:val="0"/>
              <w:autoSpaceDN w:val="0"/>
              <w:adjustRightInd w:val="0"/>
            </w:pPr>
            <w:r>
              <w:rPr>
                <w:noProof/>
              </w:rPr>
              <w:drawing>
                <wp:inline distT="0" distB="0" distL="0" distR="0" wp14:anchorId="6339A359" wp14:editId="353C6EAA">
                  <wp:extent cx="3429001" cy="2057400"/>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9"/>
                          <a:stretch>
                            <a:fillRect/>
                          </a:stretch>
                        </pic:blipFill>
                        <pic:spPr>
                          <a:xfrm>
                            <a:off x="0" y="0"/>
                            <a:ext cx="3456776" cy="2074065"/>
                          </a:xfrm>
                          <a:prstGeom prst="rect">
                            <a:avLst/>
                          </a:prstGeom>
                        </pic:spPr>
                      </pic:pic>
                    </a:graphicData>
                  </a:graphic>
                </wp:inline>
              </w:drawing>
            </w:r>
          </w:p>
        </w:tc>
        <w:tc>
          <w:tcPr>
            <w:tcW w:w="4062" w:type="dxa"/>
          </w:tcPr>
          <w:tbl>
            <w:tblPr>
              <w:tblW w:w="3841" w:type="dxa"/>
              <w:tblLook w:val="04A0" w:firstRow="1" w:lastRow="0" w:firstColumn="1" w:lastColumn="0" w:noHBand="0" w:noVBand="1"/>
            </w:tblPr>
            <w:tblGrid>
              <w:gridCol w:w="3211"/>
              <w:gridCol w:w="635"/>
            </w:tblGrid>
            <w:tr w:rsidR="001F21D2" w:rsidRPr="00D31C3D" w14:paraId="0264ECFB" w14:textId="77777777" w:rsidTr="005A7652">
              <w:trPr>
                <w:trHeight w:val="288"/>
              </w:trPr>
              <w:tc>
                <w:tcPr>
                  <w:tcW w:w="3211" w:type="dxa"/>
                  <w:tcBorders>
                    <w:top w:val="nil"/>
                    <w:left w:val="nil"/>
                    <w:bottom w:val="nil"/>
                    <w:right w:val="nil"/>
                  </w:tcBorders>
                  <w:shd w:val="clear" w:color="auto" w:fill="auto"/>
                  <w:noWrap/>
                  <w:vAlign w:val="bottom"/>
                  <w:hideMark/>
                </w:tcPr>
                <w:p w14:paraId="452465A3" w14:textId="77777777" w:rsidR="001F21D2" w:rsidRPr="004255EE" w:rsidRDefault="001F21D2" w:rsidP="005A7652">
                  <w:pPr>
                    <w:keepNext/>
                    <w:spacing w:after="0"/>
                    <w:rPr>
                      <w:rFonts w:ascii="Garamond" w:eastAsia="Times New Roman" w:hAnsi="Garamond"/>
                      <w:color w:val="000000"/>
                      <w:sz w:val="20"/>
                    </w:rPr>
                  </w:pPr>
                  <w:r w:rsidRPr="004255EE">
                    <w:rPr>
                      <w:rFonts w:ascii="Garamond" w:eastAsia="Times New Roman" w:hAnsi="Garamond"/>
                      <w:color w:val="000000"/>
                      <w:sz w:val="20"/>
                    </w:rPr>
                    <w:t>CHPS</w:t>
                  </w:r>
                </w:p>
              </w:tc>
              <w:tc>
                <w:tcPr>
                  <w:tcW w:w="630" w:type="dxa"/>
                  <w:tcBorders>
                    <w:top w:val="nil"/>
                    <w:left w:val="nil"/>
                    <w:bottom w:val="nil"/>
                    <w:right w:val="nil"/>
                  </w:tcBorders>
                  <w:shd w:val="clear" w:color="auto" w:fill="auto"/>
                  <w:noWrap/>
                  <w:vAlign w:val="bottom"/>
                  <w:hideMark/>
                </w:tcPr>
                <w:p w14:paraId="205BF223" w14:textId="77777777" w:rsidR="001F21D2" w:rsidRPr="004255EE" w:rsidRDefault="001F21D2" w:rsidP="005A7652">
                  <w:pPr>
                    <w:keepNext/>
                    <w:spacing w:after="0"/>
                    <w:jc w:val="right"/>
                    <w:rPr>
                      <w:rFonts w:ascii="Garamond" w:eastAsia="Times New Roman" w:hAnsi="Garamond"/>
                      <w:color w:val="000000"/>
                      <w:sz w:val="20"/>
                    </w:rPr>
                  </w:pPr>
                  <w:r w:rsidRPr="004255EE">
                    <w:rPr>
                      <w:rFonts w:ascii="Garamond" w:eastAsia="Times New Roman" w:hAnsi="Garamond"/>
                      <w:color w:val="000000"/>
                      <w:sz w:val="20"/>
                    </w:rPr>
                    <w:t>653</w:t>
                  </w:r>
                </w:p>
              </w:tc>
            </w:tr>
            <w:tr w:rsidR="001F21D2" w:rsidRPr="00D31C3D" w14:paraId="595514FB" w14:textId="77777777" w:rsidTr="005A7652">
              <w:trPr>
                <w:trHeight w:val="288"/>
              </w:trPr>
              <w:tc>
                <w:tcPr>
                  <w:tcW w:w="3211" w:type="dxa"/>
                  <w:tcBorders>
                    <w:top w:val="nil"/>
                    <w:left w:val="nil"/>
                    <w:bottom w:val="nil"/>
                    <w:right w:val="nil"/>
                  </w:tcBorders>
                  <w:shd w:val="clear" w:color="auto" w:fill="auto"/>
                  <w:noWrap/>
                  <w:vAlign w:val="bottom"/>
                  <w:hideMark/>
                </w:tcPr>
                <w:p w14:paraId="74E3F880" w14:textId="77777777" w:rsidR="001F21D2" w:rsidRPr="004255EE" w:rsidRDefault="001F21D2" w:rsidP="005A7652">
                  <w:pPr>
                    <w:keepNext/>
                    <w:spacing w:after="0"/>
                    <w:rPr>
                      <w:rFonts w:ascii="Garamond" w:eastAsia="Times New Roman" w:hAnsi="Garamond"/>
                      <w:color w:val="000000"/>
                      <w:sz w:val="20"/>
                    </w:rPr>
                  </w:pPr>
                  <w:r w:rsidRPr="004255EE">
                    <w:rPr>
                      <w:rFonts w:ascii="Garamond" w:eastAsia="Times New Roman" w:hAnsi="Garamond"/>
                      <w:color w:val="000000"/>
                      <w:sz w:val="20"/>
                    </w:rPr>
                    <w:t>Clinic</w:t>
                  </w:r>
                </w:p>
              </w:tc>
              <w:tc>
                <w:tcPr>
                  <w:tcW w:w="630" w:type="dxa"/>
                  <w:tcBorders>
                    <w:top w:val="nil"/>
                    <w:left w:val="nil"/>
                    <w:bottom w:val="nil"/>
                    <w:right w:val="nil"/>
                  </w:tcBorders>
                  <w:shd w:val="clear" w:color="auto" w:fill="auto"/>
                  <w:noWrap/>
                  <w:vAlign w:val="bottom"/>
                  <w:hideMark/>
                </w:tcPr>
                <w:p w14:paraId="68C143DB" w14:textId="77777777" w:rsidR="001F21D2" w:rsidRPr="004255EE" w:rsidRDefault="001F21D2" w:rsidP="005A7652">
                  <w:pPr>
                    <w:keepNext/>
                    <w:spacing w:after="0"/>
                    <w:jc w:val="right"/>
                    <w:rPr>
                      <w:rFonts w:ascii="Garamond" w:eastAsia="Times New Roman" w:hAnsi="Garamond"/>
                      <w:color w:val="000000"/>
                      <w:sz w:val="20"/>
                    </w:rPr>
                  </w:pPr>
                  <w:r w:rsidRPr="004255EE">
                    <w:rPr>
                      <w:rFonts w:ascii="Garamond" w:eastAsia="Times New Roman" w:hAnsi="Garamond"/>
                      <w:color w:val="000000"/>
                      <w:sz w:val="20"/>
                    </w:rPr>
                    <w:t>1,173</w:t>
                  </w:r>
                </w:p>
              </w:tc>
            </w:tr>
            <w:tr w:rsidR="001F21D2" w:rsidRPr="00D31C3D" w14:paraId="72B5A9E0" w14:textId="77777777" w:rsidTr="005A7652">
              <w:trPr>
                <w:trHeight w:val="288"/>
              </w:trPr>
              <w:tc>
                <w:tcPr>
                  <w:tcW w:w="3211" w:type="dxa"/>
                  <w:tcBorders>
                    <w:top w:val="nil"/>
                    <w:left w:val="nil"/>
                    <w:bottom w:val="nil"/>
                    <w:right w:val="nil"/>
                  </w:tcBorders>
                  <w:shd w:val="clear" w:color="auto" w:fill="auto"/>
                  <w:noWrap/>
                  <w:vAlign w:val="bottom"/>
                  <w:hideMark/>
                </w:tcPr>
                <w:p w14:paraId="3012B4A8" w14:textId="77777777" w:rsidR="001F21D2" w:rsidRPr="004255EE" w:rsidRDefault="001F21D2" w:rsidP="005A7652">
                  <w:pPr>
                    <w:keepNext/>
                    <w:spacing w:after="0"/>
                    <w:rPr>
                      <w:rFonts w:ascii="Garamond" w:eastAsia="Times New Roman" w:hAnsi="Garamond"/>
                      <w:color w:val="000000"/>
                      <w:sz w:val="20"/>
                    </w:rPr>
                  </w:pPr>
                  <w:r w:rsidRPr="004255EE">
                    <w:rPr>
                      <w:rFonts w:ascii="Garamond" w:eastAsia="Times New Roman" w:hAnsi="Garamond"/>
                      <w:color w:val="000000"/>
                      <w:sz w:val="20"/>
                    </w:rPr>
                    <w:t>Health Cent</w:t>
                  </w:r>
                  <w:r>
                    <w:rPr>
                      <w:rFonts w:ascii="Garamond" w:eastAsia="Times New Roman" w:hAnsi="Garamond"/>
                      <w:color w:val="000000"/>
                      <w:sz w:val="20"/>
                    </w:rPr>
                    <w:t>er</w:t>
                  </w:r>
                </w:p>
              </w:tc>
              <w:tc>
                <w:tcPr>
                  <w:tcW w:w="630" w:type="dxa"/>
                  <w:tcBorders>
                    <w:top w:val="nil"/>
                    <w:left w:val="nil"/>
                    <w:bottom w:val="nil"/>
                    <w:right w:val="nil"/>
                  </w:tcBorders>
                  <w:shd w:val="clear" w:color="auto" w:fill="auto"/>
                  <w:noWrap/>
                  <w:vAlign w:val="bottom"/>
                  <w:hideMark/>
                </w:tcPr>
                <w:p w14:paraId="58A951D8" w14:textId="77777777" w:rsidR="001F21D2" w:rsidRPr="004255EE" w:rsidRDefault="001F21D2" w:rsidP="005A7652">
                  <w:pPr>
                    <w:keepNext/>
                    <w:spacing w:after="0"/>
                    <w:jc w:val="right"/>
                    <w:rPr>
                      <w:rFonts w:ascii="Garamond" w:eastAsia="Times New Roman" w:hAnsi="Garamond"/>
                      <w:color w:val="000000"/>
                      <w:sz w:val="20"/>
                    </w:rPr>
                  </w:pPr>
                  <w:r w:rsidRPr="004255EE">
                    <w:rPr>
                      <w:rFonts w:ascii="Garamond" w:eastAsia="Times New Roman" w:hAnsi="Garamond"/>
                      <w:color w:val="000000"/>
                      <w:sz w:val="20"/>
                    </w:rPr>
                    <w:t>787</w:t>
                  </w:r>
                </w:p>
              </w:tc>
            </w:tr>
            <w:tr w:rsidR="001F21D2" w:rsidRPr="00D31C3D" w14:paraId="3A2E2A62" w14:textId="77777777" w:rsidTr="005A7652">
              <w:trPr>
                <w:trHeight w:val="288"/>
              </w:trPr>
              <w:tc>
                <w:tcPr>
                  <w:tcW w:w="3211" w:type="dxa"/>
                  <w:tcBorders>
                    <w:top w:val="nil"/>
                    <w:left w:val="nil"/>
                    <w:bottom w:val="nil"/>
                    <w:right w:val="nil"/>
                  </w:tcBorders>
                  <w:shd w:val="clear" w:color="auto" w:fill="auto"/>
                  <w:noWrap/>
                  <w:vAlign w:val="bottom"/>
                  <w:hideMark/>
                </w:tcPr>
                <w:p w14:paraId="3E42F17C" w14:textId="77777777" w:rsidR="001F21D2" w:rsidRPr="004255EE" w:rsidRDefault="001F21D2" w:rsidP="005A7652">
                  <w:pPr>
                    <w:keepNext/>
                    <w:spacing w:after="0"/>
                    <w:rPr>
                      <w:rFonts w:ascii="Garamond" w:eastAsia="Times New Roman" w:hAnsi="Garamond"/>
                      <w:color w:val="000000"/>
                      <w:sz w:val="20"/>
                    </w:rPr>
                  </w:pPr>
                  <w:r w:rsidRPr="004255EE">
                    <w:rPr>
                      <w:rFonts w:ascii="Garamond" w:eastAsia="Times New Roman" w:hAnsi="Garamond"/>
                      <w:color w:val="000000"/>
                      <w:sz w:val="20"/>
                    </w:rPr>
                    <w:t>Maternity Home</w:t>
                  </w:r>
                </w:p>
              </w:tc>
              <w:tc>
                <w:tcPr>
                  <w:tcW w:w="630" w:type="dxa"/>
                  <w:tcBorders>
                    <w:top w:val="nil"/>
                    <w:left w:val="nil"/>
                    <w:bottom w:val="nil"/>
                    <w:right w:val="nil"/>
                  </w:tcBorders>
                  <w:shd w:val="clear" w:color="auto" w:fill="auto"/>
                  <w:noWrap/>
                  <w:vAlign w:val="bottom"/>
                  <w:hideMark/>
                </w:tcPr>
                <w:p w14:paraId="2936E64F" w14:textId="77777777" w:rsidR="001F21D2" w:rsidRPr="004255EE" w:rsidRDefault="001F21D2" w:rsidP="005A7652">
                  <w:pPr>
                    <w:keepNext/>
                    <w:spacing w:after="0"/>
                    <w:jc w:val="right"/>
                    <w:rPr>
                      <w:rFonts w:ascii="Garamond" w:eastAsia="Times New Roman" w:hAnsi="Garamond"/>
                      <w:color w:val="000000"/>
                      <w:sz w:val="20"/>
                    </w:rPr>
                  </w:pPr>
                  <w:r w:rsidRPr="004255EE">
                    <w:rPr>
                      <w:rFonts w:ascii="Garamond" w:eastAsia="Times New Roman" w:hAnsi="Garamond"/>
                      <w:color w:val="000000"/>
                      <w:sz w:val="20"/>
                    </w:rPr>
                    <w:t>369</w:t>
                  </w:r>
                </w:p>
              </w:tc>
            </w:tr>
            <w:tr w:rsidR="001F21D2" w:rsidRPr="00D31C3D" w14:paraId="267DFDC1" w14:textId="77777777" w:rsidTr="005A7652">
              <w:trPr>
                <w:trHeight w:val="288"/>
              </w:trPr>
              <w:tc>
                <w:tcPr>
                  <w:tcW w:w="3211" w:type="dxa"/>
                  <w:tcBorders>
                    <w:top w:val="nil"/>
                    <w:left w:val="nil"/>
                    <w:bottom w:val="nil"/>
                    <w:right w:val="nil"/>
                  </w:tcBorders>
                  <w:shd w:val="clear" w:color="auto" w:fill="auto"/>
                  <w:noWrap/>
                  <w:vAlign w:val="bottom"/>
                  <w:hideMark/>
                </w:tcPr>
                <w:p w14:paraId="181CC899" w14:textId="77777777" w:rsidR="001F21D2" w:rsidRPr="004255EE" w:rsidRDefault="001F21D2" w:rsidP="005A7652">
                  <w:pPr>
                    <w:keepNext/>
                    <w:spacing w:after="0"/>
                    <w:rPr>
                      <w:rFonts w:ascii="Garamond" w:eastAsia="Times New Roman" w:hAnsi="Garamond"/>
                      <w:color w:val="000000"/>
                      <w:sz w:val="20"/>
                    </w:rPr>
                  </w:pPr>
                  <w:r w:rsidRPr="004255EE">
                    <w:rPr>
                      <w:rFonts w:ascii="Garamond" w:eastAsia="Times New Roman" w:hAnsi="Garamond"/>
                      <w:color w:val="000000"/>
                      <w:sz w:val="20"/>
                    </w:rPr>
                    <w:t>Polyclinic</w:t>
                  </w:r>
                </w:p>
              </w:tc>
              <w:tc>
                <w:tcPr>
                  <w:tcW w:w="630" w:type="dxa"/>
                  <w:tcBorders>
                    <w:top w:val="nil"/>
                    <w:left w:val="nil"/>
                    <w:bottom w:val="nil"/>
                    <w:right w:val="nil"/>
                  </w:tcBorders>
                  <w:shd w:val="clear" w:color="auto" w:fill="auto"/>
                  <w:noWrap/>
                  <w:vAlign w:val="bottom"/>
                  <w:hideMark/>
                </w:tcPr>
                <w:p w14:paraId="234844A4" w14:textId="77777777" w:rsidR="001F21D2" w:rsidRPr="004255EE" w:rsidRDefault="001F21D2" w:rsidP="005A7652">
                  <w:pPr>
                    <w:keepNext/>
                    <w:spacing w:after="0"/>
                    <w:jc w:val="right"/>
                    <w:rPr>
                      <w:rFonts w:ascii="Garamond" w:eastAsia="Times New Roman" w:hAnsi="Garamond"/>
                      <w:color w:val="000000"/>
                      <w:sz w:val="20"/>
                    </w:rPr>
                  </w:pPr>
                  <w:r w:rsidRPr="004255EE">
                    <w:rPr>
                      <w:rFonts w:ascii="Garamond" w:eastAsia="Times New Roman" w:hAnsi="Garamond"/>
                      <w:color w:val="000000"/>
                      <w:sz w:val="20"/>
                    </w:rPr>
                    <w:t>16</w:t>
                  </w:r>
                </w:p>
              </w:tc>
            </w:tr>
            <w:tr w:rsidR="001F21D2" w:rsidRPr="00D31C3D" w14:paraId="0E0B5A2D" w14:textId="77777777" w:rsidTr="005A7652">
              <w:trPr>
                <w:trHeight w:val="288"/>
              </w:trPr>
              <w:tc>
                <w:tcPr>
                  <w:tcW w:w="3211" w:type="dxa"/>
                  <w:tcBorders>
                    <w:top w:val="nil"/>
                    <w:left w:val="nil"/>
                    <w:bottom w:val="nil"/>
                    <w:right w:val="nil"/>
                  </w:tcBorders>
                  <w:shd w:val="clear" w:color="auto" w:fill="auto"/>
                  <w:noWrap/>
                  <w:vAlign w:val="bottom"/>
                  <w:hideMark/>
                </w:tcPr>
                <w:p w14:paraId="4A7C951A" w14:textId="77777777" w:rsidR="001F21D2" w:rsidRPr="004255EE" w:rsidRDefault="001F21D2" w:rsidP="005A7652">
                  <w:pPr>
                    <w:keepNext/>
                    <w:spacing w:after="0"/>
                    <w:rPr>
                      <w:rFonts w:ascii="Garamond" w:eastAsia="Times New Roman" w:hAnsi="Garamond"/>
                      <w:color w:val="000000"/>
                      <w:sz w:val="20"/>
                    </w:rPr>
                  </w:pPr>
                  <w:r w:rsidRPr="004255EE">
                    <w:rPr>
                      <w:rFonts w:ascii="Garamond" w:eastAsia="Times New Roman" w:hAnsi="Garamond"/>
                      <w:color w:val="000000"/>
                      <w:sz w:val="20"/>
                    </w:rPr>
                    <w:t>District Hospital</w:t>
                  </w:r>
                </w:p>
              </w:tc>
              <w:tc>
                <w:tcPr>
                  <w:tcW w:w="630" w:type="dxa"/>
                  <w:tcBorders>
                    <w:top w:val="nil"/>
                    <w:left w:val="nil"/>
                    <w:bottom w:val="nil"/>
                    <w:right w:val="nil"/>
                  </w:tcBorders>
                  <w:shd w:val="clear" w:color="auto" w:fill="auto"/>
                  <w:noWrap/>
                  <w:vAlign w:val="bottom"/>
                  <w:hideMark/>
                </w:tcPr>
                <w:p w14:paraId="2870E4EF" w14:textId="77777777" w:rsidR="001F21D2" w:rsidRPr="004255EE" w:rsidRDefault="001F21D2" w:rsidP="005A7652">
                  <w:pPr>
                    <w:keepNext/>
                    <w:spacing w:after="0"/>
                    <w:jc w:val="right"/>
                    <w:rPr>
                      <w:rFonts w:ascii="Garamond" w:eastAsia="Times New Roman" w:hAnsi="Garamond"/>
                      <w:color w:val="000000"/>
                      <w:sz w:val="20"/>
                    </w:rPr>
                  </w:pPr>
                  <w:r w:rsidRPr="004255EE">
                    <w:rPr>
                      <w:rFonts w:ascii="Garamond" w:eastAsia="Times New Roman" w:hAnsi="Garamond"/>
                      <w:color w:val="000000"/>
                      <w:sz w:val="20"/>
                    </w:rPr>
                    <w:t>82</w:t>
                  </w:r>
                </w:p>
              </w:tc>
            </w:tr>
            <w:tr w:rsidR="001F21D2" w:rsidRPr="00D31C3D" w14:paraId="2F4CF22D" w14:textId="77777777" w:rsidTr="005A7652">
              <w:trPr>
                <w:trHeight w:val="288"/>
              </w:trPr>
              <w:tc>
                <w:tcPr>
                  <w:tcW w:w="3211" w:type="dxa"/>
                  <w:tcBorders>
                    <w:top w:val="nil"/>
                    <w:left w:val="nil"/>
                    <w:bottom w:val="nil"/>
                    <w:right w:val="nil"/>
                  </w:tcBorders>
                  <w:shd w:val="clear" w:color="auto" w:fill="auto"/>
                  <w:noWrap/>
                  <w:vAlign w:val="bottom"/>
                </w:tcPr>
                <w:p w14:paraId="648F3069" w14:textId="77777777" w:rsidR="001F21D2" w:rsidRPr="004255EE" w:rsidRDefault="001F21D2" w:rsidP="005A7652">
                  <w:pPr>
                    <w:keepNext/>
                    <w:spacing w:after="0"/>
                    <w:rPr>
                      <w:rFonts w:ascii="Garamond" w:eastAsia="Times New Roman" w:hAnsi="Garamond"/>
                      <w:color w:val="000000"/>
                      <w:sz w:val="20"/>
                    </w:rPr>
                  </w:pPr>
                  <w:r w:rsidRPr="004255EE">
                    <w:rPr>
                      <w:rFonts w:ascii="Garamond" w:eastAsia="Times New Roman" w:hAnsi="Garamond"/>
                      <w:color w:val="000000"/>
                      <w:sz w:val="20"/>
                    </w:rPr>
                    <w:t>Hospital (unidentified)</w:t>
                  </w:r>
                </w:p>
              </w:tc>
              <w:tc>
                <w:tcPr>
                  <w:tcW w:w="630" w:type="dxa"/>
                  <w:tcBorders>
                    <w:top w:val="nil"/>
                    <w:left w:val="nil"/>
                    <w:bottom w:val="nil"/>
                    <w:right w:val="nil"/>
                  </w:tcBorders>
                  <w:shd w:val="clear" w:color="auto" w:fill="auto"/>
                  <w:noWrap/>
                  <w:vAlign w:val="bottom"/>
                </w:tcPr>
                <w:p w14:paraId="64411198" w14:textId="77777777" w:rsidR="001F21D2" w:rsidRPr="004255EE" w:rsidRDefault="001F21D2" w:rsidP="005A7652">
                  <w:pPr>
                    <w:keepNext/>
                    <w:spacing w:after="0"/>
                    <w:jc w:val="right"/>
                    <w:rPr>
                      <w:rFonts w:ascii="Garamond" w:eastAsia="Times New Roman" w:hAnsi="Garamond"/>
                      <w:color w:val="000000"/>
                      <w:sz w:val="20"/>
                    </w:rPr>
                  </w:pPr>
                  <w:r w:rsidRPr="004255EE">
                    <w:rPr>
                      <w:rFonts w:ascii="Garamond" w:eastAsia="Times New Roman" w:hAnsi="Garamond"/>
                      <w:color w:val="000000"/>
                      <w:sz w:val="20"/>
                    </w:rPr>
                    <w:t>276</w:t>
                  </w:r>
                </w:p>
              </w:tc>
            </w:tr>
            <w:tr w:rsidR="001F21D2" w:rsidRPr="00D31C3D" w14:paraId="03B4FBA1" w14:textId="77777777" w:rsidTr="005A7652">
              <w:trPr>
                <w:trHeight w:val="288"/>
              </w:trPr>
              <w:tc>
                <w:tcPr>
                  <w:tcW w:w="3211" w:type="dxa"/>
                  <w:tcBorders>
                    <w:top w:val="nil"/>
                    <w:left w:val="nil"/>
                    <w:bottom w:val="nil"/>
                    <w:right w:val="nil"/>
                  </w:tcBorders>
                  <w:shd w:val="clear" w:color="auto" w:fill="auto"/>
                  <w:noWrap/>
                  <w:vAlign w:val="bottom"/>
                  <w:hideMark/>
                </w:tcPr>
                <w:p w14:paraId="35F368C9" w14:textId="77777777" w:rsidR="001F21D2" w:rsidRPr="004255EE" w:rsidRDefault="001F21D2" w:rsidP="005A7652">
                  <w:pPr>
                    <w:keepNext/>
                    <w:spacing w:after="0"/>
                    <w:rPr>
                      <w:rFonts w:ascii="Garamond" w:eastAsia="Times New Roman" w:hAnsi="Garamond"/>
                      <w:color w:val="000000"/>
                      <w:sz w:val="20"/>
                    </w:rPr>
                  </w:pPr>
                  <w:r w:rsidRPr="004255EE">
                    <w:rPr>
                      <w:rFonts w:ascii="Garamond" w:eastAsia="Times New Roman" w:hAnsi="Garamond"/>
                      <w:color w:val="000000"/>
                      <w:sz w:val="20"/>
                    </w:rPr>
                    <w:t>Metropolitan/</w:t>
                  </w:r>
                  <w:r>
                    <w:rPr>
                      <w:rFonts w:ascii="Garamond" w:eastAsia="Times New Roman" w:hAnsi="Garamond"/>
                      <w:color w:val="000000"/>
                      <w:sz w:val="20"/>
                    </w:rPr>
                    <w:t>M</w:t>
                  </w:r>
                  <w:r w:rsidRPr="004255EE">
                    <w:rPr>
                      <w:rFonts w:ascii="Garamond" w:eastAsia="Times New Roman" w:hAnsi="Garamond"/>
                      <w:color w:val="000000"/>
                      <w:sz w:val="20"/>
                    </w:rPr>
                    <w:t xml:space="preserve">unicipal </w:t>
                  </w:r>
                  <w:r>
                    <w:rPr>
                      <w:rFonts w:ascii="Garamond" w:eastAsia="Times New Roman" w:hAnsi="Garamond"/>
                      <w:color w:val="000000"/>
                      <w:sz w:val="20"/>
                    </w:rPr>
                    <w:t>H</w:t>
                  </w:r>
                  <w:r w:rsidRPr="004255EE">
                    <w:rPr>
                      <w:rFonts w:ascii="Garamond" w:eastAsia="Times New Roman" w:hAnsi="Garamond"/>
                      <w:color w:val="000000"/>
                      <w:sz w:val="20"/>
                    </w:rPr>
                    <w:t>ospital</w:t>
                  </w:r>
                </w:p>
              </w:tc>
              <w:tc>
                <w:tcPr>
                  <w:tcW w:w="630" w:type="dxa"/>
                  <w:tcBorders>
                    <w:top w:val="nil"/>
                    <w:left w:val="nil"/>
                    <w:bottom w:val="nil"/>
                    <w:right w:val="nil"/>
                  </w:tcBorders>
                  <w:shd w:val="clear" w:color="auto" w:fill="auto"/>
                  <w:noWrap/>
                  <w:vAlign w:val="bottom"/>
                  <w:hideMark/>
                </w:tcPr>
                <w:p w14:paraId="5607C8F3" w14:textId="77777777" w:rsidR="001F21D2" w:rsidRPr="004255EE" w:rsidRDefault="001F21D2" w:rsidP="005A7652">
                  <w:pPr>
                    <w:keepNext/>
                    <w:spacing w:after="0"/>
                    <w:jc w:val="right"/>
                    <w:rPr>
                      <w:rFonts w:ascii="Garamond" w:eastAsia="Times New Roman" w:hAnsi="Garamond"/>
                      <w:color w:val="000000"/>
                      <w:sz w:val="20"/>
                    </w:rPr>
                  </w:pPr>
                  <w:r w:rsidRPr="004255EE">
                    <w:rPr>
                      <w:rFonts w:ascii="Garamond" w:eastAsia="Times New Roman" w:hAnsi="Garamond"/>
                      <w:color w:val="000000"/>
                      <w:sz w:val="20"/>
                    </w:rPr>
                    <w:t>5</w:t>
                  </w:r>
                </w:p>
              </w:tc>
            </w:tr>
            <w:tr w:rsidR="001F21D2" w:rsidRPr="00D31C3D" w14:paraId="709C2228" w14:textId="77777777" w:rsidTr="005A7652">
              <w:trPr>
                <w:trHeight w:val="288"/>
              </w:trPr>
              <w:tc>
                <w:tcPr>
                  <w:tcW w:w="3211" w:type="dxa"/>
                  <w:tcBorders>
                    <w:top w:val="nil"/>
                    <w:left w:val="nil"/>
                    <w:bottom w:val="nil"/>
                    <w:right w:val="nil"/>
                  </w:tcBorders>
                  <w:shd w:val="clear" w:color="auto" w:fill="auto"/>
                  <w:noWrap/>
                  <w:vAlign w:val="bottom"/>
                </w:tcPr>
                <w:p w14:paraId="512611CD" w14:textId="77777777" w:rsidR="001F21D2" w:rsidRPr="004255EE" w:rsidRDefault="001F21D2" w:rsidP="005A7652">
                  <w:pPr>
                    <w:keepNext/>
                    <w:spacing w:after="0"/>
                    <w:rPr>
                      <w:rFonts w:ascii="Garamond" w:eastAsia="Times New Roman" w:hAnsi="Garamond"/>
                      <w:color w:val="000000"/>
                      <w:sz w:val="20"/>
                    </w:rPr>
                  </w:pPr>
                  <w:r w:rsidRPr="004255EE">
                    <w:rPr>
                      <w:rFonts w:ascii="Garamond" w:eastAsia="Times New Roman" w:hAnsi="Garamond"/>
                      <w:color w:val="000000"/>
                      <w:sz w:val="20"/>
                    </w:rPr>
                    <w:t>Regional Hospital</w:t>
                  </w:r>
                </w:p>
              </w:tc>
              <w:tc>
                <w:tcPr>
                  <w:tcW w:w="630" w:type="dxa"/>
                  <w:tcBorders>
                    <w:top w:val="nil"/>
                    <w:left w:val="nil"/>
                    <w:bottom w:val="nil"/>
                    <w:right w:val="nil"/>
                  </w:tcBorders>
                  <w:shd w:val="clear" w:color="auto" w:fill="auto"/>
                  <w:noWrap/>
                  <w:vAlign w:val="bottom"/>
                </w:tcPr>
                <w:p w14:paraId="3C85B5CC" w14:textId="77777777" w:rsidR="001F21D2" w:rsidRPr="004255EE" w:rsidRDefault="001F21D2" w:rsidP="005A7652">
                  <w:pPr>
                    <w:keepNext/>
                    <w:spacing w:after="0"/>
                    <w:jc w:val="right"/>
                    <w:rPr>
                      <w:rFonts w:ascii="Garamond" w:eastAsia="Times New Roman" w:hAnsi="Garamond"/>
                      <w:color w:val="000000"/>
                      <w:sz w:val="20"/>
                    </w:rPr>
                  </w:pPr>
                  <w:r w:rsidRPr="004255EE">
                    <w:rPr>
                      <w:rFonts w:ascii="Garamond" w:eastAsia="Times New Roman" w:hAnsi="Garamond"/>
                      <w:color w:val="000000"/>
                      <w:sz w:val="20"/>
                    </w:rPr>
                    <w:t>9</w:t>
                  </w:r>
                </w:p>
              </w:tc>
            </w:tr>
            <w:tr w:rsidR="001F21D2" w:rsidRPr="00D31C3D" w14:paraId="21B996E4" w14:textId="77777777" w:rsidTr="005A7652">
              <w:trPr>
                <w:trHeight w:val="288"/>
              </w:trPr>
              <w:tc>
                <w:tcPr>
                  <w:tcW w:w="3211" w:type="dxa"/>
                  <w:tcBorders>
                    <w:top w:val="nil"/>
                    <w:left w:val="nil"/>
                    <w:bottom w:val="nil"/>
                    <w:right w:val="nil"/>
                  </w:tcBorders>
                  <w:shd w:val="clear" w:color="auto" w:fill="auto"/>
                  <w:noWrap/>
                  <w:vAlign w:val="bottom"/>
                </w:tcPr>
                <w:p w14:paraId="30D74A93" w14:textId="77777777" w:rsidR="001F21D2" w:rsidRPr="004255EE" w:rsidRDefault="001F21D2" w:rsidP="005A7652">
                  <w:pPr>
                    <w:keepNext/>
                    <w:spacing w:after="0"/>
                    <w:rPr>
                      <w:rFonts w:ascii="Garamond" w:eastAsia="Times New Roman" w:hAnsi="Garamond"/>
                      <w:color w:val="000000"/>
                      <w:sz w:val="20"/>
                    </w:rPr>
                  </w:pPr>
                  <w:r w:rsidRPr="004255EE">
                    <w:rPr>
                      <w:rFonts w:ascii="Garamond" w:eastAsia="Times New Roman" w:hAnsi="Garamond"/>
                      <w:color w:val="000000"/>
                      <w:sz w:val="20"/>
                    </w:rPr>
                    <w:t>Psychiatric Hospital</w:t>
                  </w:r>
                </w:p>
              </w:tc>
              <w:tc>
                <w:tcPr>
                  <w:tcW w:w="630" w:type="dxa"/>
                  <w:tcBorders>
                    <w:top w:val="nil"/>
                    <w:left w:val="nil"/>
                    <w:bottom w:val="nil"/>
                    <w:right w:val="nil"/>
                  </w:tcBorders>
                  <w:shd w:val="clear" w:color="auto" w:fill="auto"/>
                  <w:noWrap/>
                  <w:vAlign w:val="bottom"/>
                </w:tcPr>
                <w:p w14:paraId="4E54AE90" w14:textId="77777777" w:rsidR="001F21D2" w:rsidRPr="004255EE" w:rsidRDefault="001F21D2" w:rsidP="005A7652">
                  <w:pPr>
                    <w:keepNext/>
                    <w:spacing w:after="0"/>
                    <w:jc w:val="right"/>
                    <w:rPr>
                      <w:rFonts w:ascii="Garamond" w:eastAsia="Times New Roman" w:hAnsi="Garamond"/>
                      <w:color w:val="000000"/>
                      <w:sz w:val="20"/>
                    </w:rPr>
                  </w:pPr>
                  <w:r w:rsidRPr="004255EE">
                    <w:rPr>
                      <w:rFonts w:ascii="Garamond" w:eastAsia="Times New Roman" w:hAnsi="Garamond"/>
                      <w:color w:val="000000"/>
                      <w:sz w:val="20"/>
                    </w:rPr>
                    <w:t>3</w:t>
                  </w:r>
                </w:p>
              </w:tc>
            </w:tr>
            <w:tr w:rsidR="001F21D2" w:rsidRPr="00D31C3D" w14:paraId="5F6D7478" w14:textId="77777777" w:rsidTr="005A7652">
              <w:trPr>
                <w:trHeight w:val="288"/>
              </w:trPr>
              <w:tc>
                <w:tcPr>
                  <w:tcW w:w="3211" w:type="dxa"/>
                  <w:tcBorders>
                    <w:top w:val="nil"/>
                    <w:left w:val="nil"/>
                    <w:bottom w:val="nil"/>
                    <w:right w:val="nil"/>
                  </w:tcBorders>
                  <w:shd w:val="clear" w:color="auto" w:fill="auto"/>
                  <w:noWrap/>
                  <w:vAlign w:val="bottom"/>
                  <w:hideMark/>
                </w:tcPr>
                <w:p w14:paraId="67DE74BA" w14:textId="77777777" w:rsidR="001F21D2" w:rsidRPr="004255EE" w:rsidRDefault="001F21D2" w:rsidP="005A7652">
                  <w:pPr>
                    <w:keepNext/>
                    <w:spacing w:after="0"/>
                    <w:rPr>
                      <w:rFonts w:ascii="Garamond" w:eastAsia="Times New Roman" w:hAnsi="Garamond"/>
                      <w:color w:val="000000"/>
                      <w:sz w:val="20"/>
                    </w:rPr>
                  </w:pPr>
                  <w:r w:rsidRPr="004255EE">
                    <w:rPr>
                      <w:rFonts w:ascii="Garamond" w:eastAsia="Times New Roman" w:hAnsi="Garamond"/>
                      <w:color w:val="000000"/>
                      <w:sz w:val="20"/>
                    </w:rPr>
                    <w:t>Teaching Hospital</w:t>
                  </w:r>
                </w:p>
              </w:tc>
              <w:tc>
                <w:tcPr>
                  <w:tcW w:w="630" w:type="dxa"/>
                  <w:tcBorders>
                    <w:top w:val="nil"/>
                    <w:left w:val="nil"/>
                    <w:bottom w:val="nil"/>
                    <w:right w:val="nil"/>
                  </w:tcBorders>
                  <w:shd w:val="clear" w:color="auto" w:fill="auto"/>
                  <w:noWrap/>
                  <w:vAlign w:val="bottom"/>
                  <w:hideMark/>
                </w:tcPr>
                <w:p w14:paraId="5C3103D9" w14:textId="77777777" w:rsidR="001F21D2" w:rsidRPr="004255EE" w:rsidRDefault="001F21D2" w:rsidP="005A7652">
                  <w:pPr>
                    <w:keepNext/>
                    <w:spacing w:after="0"/>
                    <w:jc w:val="right"/>
                    <w:rPr>
                      <w:rFonts w:ascii="Garamond" w:eastAsia="Times New Roman" w:hAnsi="Garamond"/>
                      <w:color w:val="000000"/>
                      <w:sz w:val="20"/>
                    </w:rPr>
                  </w:pPr>
                  <w:r w:rsidRPr="004255EE">
                    <w:rPr>
                      <w:rFonts w:ascii="Garamond" w:eastAsia="Times New Roman" w:hAnsi="Garamond"/>
                      <w:color w:val="000000"/>
                      <w:sz w:val="20"/>
                    </w:rPr>
                    <w:t>3</w:t>
                  </w:r>
                </w:p>
              </w:tc>
            </w:tr>
            <w:tr w:rsidR="001F21D2" w:rsidRPr="00D31C3D" w14:paraId="0F3DE4B8" w14:textId="77777777" w:rsidTr="005A7652">
              <w:trPr>
                <w:trHeight w:val="288"/>
              </w:trPr>
              <w:tc>
                <w:tcPr>
                  <w:tcW w:w="3211" w:type="dxa"/>
                  <w:tcBorders>
                    <w:top w:val="nil"/>
                    <w:left w:val="nil"/>
                    <w:bottom w:val="nil"/>
                    <w:right w:val="nil"/>
                  </w:tcBorders>
                  <w:shd w:val="clear" w:color="auto" w:fill="auto"/>
                  <w:noWrap/>
                  <w:vAlign w:val="bottom"/>
                  <w:hideMark/>
                </w:tcPr>
                <w:p w14:paraId="051A1B3B" w14:textId="77777777" w:rsidR="001F21D2" w:rsidRPr="004255EE" w:rsidRDefault="001F21D2" w:rsidP="005A7652">
                  <w:pPr>
                    <w:keepNext/>
                    <w:spacing w:after="0"/>
                    <w:rPr>
                      <w:rFonts w:ascii="Garamond" w:eastAsia="Times New Roman" w:hAnsi="Garamond"/>
                      <w:color w:val="000000"/>
                      <w:sz w:val="20"/>
                    </w:rPr>
                  </w:pPr>
                  <w:r w:rsidRPr="004255EE">
                    <w:rPr>
                      <w:rFonts w:ascii="Garamond" w:eastAsia="Times New Roman" w:hAnsi="Garamond"/>
                      <w:color w:val="000000"/>
                      <w:sz w:val="20"/>
                    </w:rPr>
                    <w:t>Other</w:t>
                  </w:r>
                </w:p>
              </w:tc>
              <w:tc>
                <w:tcPr>
                  <w:tcW w:w="630" w:type="dxa"/>
                  <w:tcBorders>
                    <w:top w:val="nil"/>
                    <w:left w:val="nil"/>
                    <w:bottom w:val="nil"/>
                    <w:right w:val="nil"/>
                  </w:tcBorders>
                  <w:shd w:val="clear" w:color="auto" w:fill="auto"/>
                  <w:noWrap/>
                  <w:vAlign w:val="bottom"/>
                  <w:hideMark/>
                </w:tcPr>
                <w:p w14:paraId="55934EAB" w14:textId="77777777" w:rsidR="001F21D2" w:rsidRPr="004255EE" w:rsidRDefault="001F21D2" w:rsidP="005A7652">
                  <w:pPr>
                    <w:keepNext/>
                    <w:spacing w:after="0"/>
                    <w:jc w:val="right"/>
                    <w:rPr>
                      <w:rFonts w:ascii="Garamond" w:eastAsia="Times New Roman" w:hAnsi="Garamond"/>
                      <w:color w:val="000000"/>
                      <w:sz w:val="20"/>
                    </w:rPr>
                  </w:pPr>
                  <w:r w:rsidRPr="004255EE">
                    <w:rPr>
                      <w:rFonts w:ascii="Garamond" w:eastAsia="Times New Roman" w:hAnsi="Garamond"/>
                      <w:color w:val="000000"/>
                      <w:sz w:val="20"/>
                    </w:rPr>
                    <w:t>183</w:t>
                  </w:r>
                </w:p>
              </w:tc>
            </w:tr>
          </w:tbl>
          <w:p w14:paraId="547C1E37" w14:textId="77777777" w:rsidR="001F21D2" w:rsidRPr="00875B2D" w:rsidRDefault="001F21D2" w:rsidP="005A7652">
            <w:pPr>
              <w:keepNext/>
              <w:tabs>
                <w:tab w:val="left" w:pos="720"/>
              </w:tabs>
              <w:autoSpaceDE w:val="0"/>
              <w:autoSpaceDN w:val="0"/>
              <w:adjustRightInd w:val="0"/>
              <w:spacing w:line="276" w:lineRule="auto"/>
              <w:rPr>
                <w:rFonts w:eastAsia="Times New Roman"/>
                <w:noProof/>
                <w:color w:val="000000"/>
              </w:rPr>
            </w:pPr>
          </w:p>
        </w:tc>
      </w:tr>
    </w:tbl>
    <w:p w14:paraId="6E2F4392" w14:textId="77777777" w:rsidR="001F21D2" w:rsidRPr="00D46978" w:rsidRDefault="001F21D2" w:rsidP="001F21D2">
      <w:pPr>
        <w:pStyle w:val="ListParagraph"/>
        <w:numPr>
          <w:ilvl w:val="0"/>
          <w:numId w:val="0"/>
        </w:numPr>
        <w:tabs>
          <w:tab w:val="left" w:pos="720"/>
        </w:tabs>
        <w:autoSpaceDE w:val="0"/>
        <w:autoSpaceDN w:val="0"/>
        <w:adjustRightInd w:val="0"/>
        <w:rPr>
          <w:rFonts w:ascii="Calibri" w:hAnsi="Calibri"/>
          <w:sz w:val="20"/>
          <w:szCs w:val="20"/>
        </w:rPr>
      </w:pPr>
      <w:r w:rsidRPr="00D46978">
        <w:rPr>
          <w:rFonts w:ascii="Calibri" w:hAnsi="Calibri"/>
          <w:i/>
          <w:sz w:val="20"/>
          <w:szCs w:val="20"/>
        </w:rPr>
        <w:t>Source</w:t>
      </w:r>
      <w:r w:rsidRPr="00D46978">
        <w:rPr>
          <w:rFonts w:ascii="Calibri" w:hAnsi="Calibri"/>
          <w:sz w:val="20"/>
          <w:szCs w:val="20"/>
        </w:rPr>
        <w:t>: Authors’ figure based on MoH facility inventories.</w:t>
      </w:r>
    </w:p>
    <w:p w14:paraId="264019BF" w14:textId="77777777" w:rsidR="001F21D2" w:rsidRPr="00856CBD" w:rsidRDefault="001F21D2" w:rsidP="00724BAB">
      <w:pPr>
        <w:pStyle w:val="ListParagraph"/>
        <w:numPr>
          <w:ilvl w:val="0"/>
          <w:numId w:val="10"/>
        </w:numPr>
        <w:tabs>
          <w:tab w:val="left" w:pos="720"/>
        </w:tabs>
        <w:autoSpaceDE w:val="0"/>
        <w:autoSpaceDN w:val="0"/>
        <w:adjustRightInd w:val="0"/>
        <w:spacing w:before="240"/>
        <w:rPr>
          <w:rFonts w:ascii="Times New Roman" w:hAnsi="Times New Roman"/>
        </w:rPr>
      </w:pPr>
      <w:r>
        <w:rPr>
          <w:b/>
        </w:rPr>
        <w:t>A</w:t>
      </w:r>
      <w:r w:rsidRPr="004255EE">
        <w:rPr>
          <w:b/>
        </w:rPr>
        <w:t>s of February 2016</w:t>
      </w:r>
      <w:r w:rsidR="00523FCD">
        <w:rPr>
          <w:b/>
        </w:rPr>
        <w:t>,</w:t>
      </w:r>
      <w:r>
        <w:rPr>
          <w:b/>
        </w:rPr>
        <w:t xml:space="preserve"> the MOH </w:t>
      </w:r>
      <w:r w:rsidRPr="004255EE">
        <w:rPr>
          <w:b/>
        </w:rPr>
        <w:t>ha</w:t>
      </w:r>
      <w:r>
        <w:rPr>
          <w:b/>
        </w:rPr>
        <w:t xml:space="preserve">d </w:t>
      </w:r>
      <w:r w:rsidRPr="004255EE">
        <w:rPr>
          <w:b/>
        </w:rPr>
        <w:t xml:space="preserve">104,652 health workers registered </w:t>
      </w:r>
      <w:r>
        <w:rPr>
          <w:b/>
        </w:rPr>
        <w:t>on</w:t>
      </w:r>
      <w:r w:rsidRPr="004255EE">
        <w:rPr>
          <w:b/>
        </w:rPr>
        <w:t xml:space="preserve"> </w:t>
      </w:r>
      <w:r>
        <w:rPr>
          <w:b/>
        </w:rPr>
        <w:t>its</w:t>
      </w:r>
      <w:r w:rsidRPr="004255EE">
        <w:rPr>
          <w:b/>
        </w:rPr>
        <w:t xml:space="preserve"> payroll, with nurses </w:t>
      </w:r>
      <w:r>
        <w:rPr>
          <w:b/>
        </w:rPr>
        <w:t>representing</w:t>
      </w:r>
      <w:r w:rsidRPr="004255EE">
        <w:rPr>
          <w:b/>
        </w:rPr>
        <w:t xml:space="preserve"> the </w:t>
      </w:r>
      <w:r>
        <w:rPr>
          <w:b/>
        </w:rPr>
        <w:t>largest share of the</w:t>
      </w:r>
      <w:r w:rsidRPr="004255EE">
        <w:rPr>
          <w:b/>
        </w:rPr>
        <w:t xml:space="preserve"> workforce.</w:t>
      </w:r>
      <w:r w:rsidRPr="004255EE">
        <w:t xml:space="preserve"> </w:t>
      </w:r>
      <w:r>
        <w:t>P</w:t>
      </w:r>
      <w:r w:rsidRPr="004255EE">
        <w:t xml:space="preserve">ayroll data </w:t>
      </w:r>
      <w:r>
        <w:t>are available for the</w:t>
      </w:r>
      <w:r w:rsidRPr="004255EE">
        <w:t xml:space="preserve"> MoH, government-owned facilities</w:t>
      </w:r>
      <w:r w:rsidR="00523FCD">
        <w:t>,</w:t>
      </w:r>
      <w:r>
        <w:t xml:space="preserve"> and </w:t>
      </w:r>
      <w:r w:rsidRPr="004255EE">
        <w:t xml:space="preserve">CHAG facilities, but not private facilities. </w:t>
      </w:r>
      <w:r w:rsidR="00523FCD">
        <w:t>84</w:t>
      </w:r>
      <w:r w:rsidRPr="004255EE">
        <w:t xml:space="preserve"> percent </w:t>
      </w:r>
      <w:r>
        <w:t xml:space="preserve">of registered healthcare workers </w:t>
      </w:r>
      <w:r w:rsidRPr="004255EE">
        <w:t xml:space="preserve">are </w:t>
      </w:r>
      <w:r>
        <w:t xml:space="preserve">classified as </w:t>
      </w:r>
      <w:r w:rsidRPr="004255EE">
        <w:t xml:space="preserve">professionals, 15 percent </w:t>
      </w:r>
      <w:r>
        <w:t>are</w:t>
      </w:r>
      <w:r w:rsidRPr="004255EE">
        <w:t xml:space="preserve"> administrat</w:t>
      </w:r>
      <w:r>
        <w:t>ors</w:t>
      </w:r>
      <w:r w:rsidRPr="004255EE">
        <w:t xml:space="preserve"> and 1 percent </w:t>
      </w:r>
      <w:r>
        <w:t>are</w:t>
      </w:r>
      <w:r w:rsidRPr="004255EE">
        <w:t xml:space="preserve"> logistic</w:t>
      </w:r>
      <w:r>
        <w:t>ians</w:t>
      </w:r>
      <w:r w:rsidRPr="004255EE">
        <w:t xml:space="preserve">. </w:t>
      </w:r>
      <w:r>
        <w:t>N</w:t>
      </w:r>
      <w:r w:rsidRPr="004255EE">
        <w:t xml:space="preserve">urses </w:t>
      </w:r>
      <w:r>
        <w:t>comprise</w:t>
      </w:r>
      <w:r w:rsidRPr="004255EE">
        <w:t xml:space="preserve"> 59 percent</w:t>
      </w:r>
      <w:r>
        <w:t xml:space="preserve"> of all professional staff</w:t>
      </w:r>
      <w:r w:rsidRPr="004255EE">
        <w:t>, followed by trainees (13 percent), allied health professionals (13 percent), physician</w:t>
      </w:r>
      <w:r>
        <w:t>’s</w:t>
      </w:r>
      <w:r w:rsidRPr="004255EE">
        <w:t xml:space="preserve"> assistants (4 percent)</w:t>
      </w:r>
      <w:r w:rsidR="00523FCD">
        <w:t>,</w:t>
      </w:r>
      <w:r w:rsidRPr="004255EE">
        <w:t xml:space="preserve"> and doctors (4 percent).</w:t>
      </w:r>
    </w:p>
    <w:p w14:paraId="042888D6" w14:textId="77777777" w:rsidR="001F21D2" w:rsidRPr="004255EE" w:rsidRDefault="001F21D2" w:rsidP="00724BAB">
      <w:pPr>
        <w:pStyle w:val="ListParagraph"/>
        <w:numPr>
          <w:ilvl w:val="0"/>
          <w:numId w:val="10"/>
        </w:numPr>
        <w:tabs>
          <w:tab w:val="left" w:pos="720"/>
        </w:tabs>
        <w:autoSpaceDE w:val="0"/>
        <w:autoSpaceDN w:val="0"/>
        <w:adjustRightInd w:val="0"/>
        <w:rPr>
          <w:rFonts w:ascii="Times New Roman" w:hAnsi="Times New Roman"/>
          <w:b/>
        </w:rPr>
      </w:pPr>
      <w:r w:rsidRPr="004255EE">
        <w:rPr>
          <w:b/>
        </w:rPr>
        <w:t xml:space="preserve">The distribution of public health workers is </w:t>
      </w:r>
      <w:r>
        <w:rPr>
          <w:b/>
        </w:rPr>
        <w:t>broadly</w:t>
      </w:r>
      <w:r w:rsidRPr="004255EE">
        <w:rPr>
          <w:b/>
        </w:rPr>
        <w:t xml:space="preserve"> </w:t>
      </w:r>
      <w:r>
        <w:rPr>
          <w:b/>
        </w:rPr>
        <w:t>consistent across</w:t>
      </w:r>
      <w:r w:rsidRPr="004255EE">
        <w:rPr>
          <w:b/>
        </w:rPr>
        <w:t xml:space="preserve"> most regions</w:t>
      </w:r>
      <w:r>
        <w:rPr>
          <w:b/>
        </w:rPr>
        <w:t xml:space="preserve">, </w:t>
      </w:r>
      <w:r w:rsidRPr="004255EE">
        <w:rPr>
          <w:b/>
        </w:rPr>
        <w:t xml:space="preserve">except </w:t>
      </w:r>
      <w:r>
        <w:rPr>
          <w:b/>
        </w:rPr>
        <w:t xml:space="preserve">for a dense concentration in </w:t>
      </w:r>
      <w:r w:rsidRPr="004255EE">
        <w:rPr>
          <w:b/>
        </w:rPr>
        <w:t xml:space="preserve">Greater Accra </w:t>
      </w:r>
      <w:r>
        <w:rPr>
          <w:b/>
        </w:rPr>
        <w:t xml:space="preserve">and in the </w:t>
      </w:r>
      <w:r w:rsidRPr="004255EE">
        <w:rPr>
          <w:b/>
        </w:rPr>
        <w:t>Upper East and Upper West</w:t>
      </w:r>
      <w:r>
        <w:rPr>
          <w:b/>
        </w:rPr>
        <w:t xml:space="preserve"> regions. </w:t>
      </w:r>
      <w:r w:rsidRPr="008C2D73">
        <w:t>The</w:t>
      </w:r>
      <w:r>
        <w:t xml:space="preserve"> number of public </w:t>
      </w:r>
      <w:r w:rsidRPr="004255EE">
        <w:t>health workers</w:t>
      </w:r>
      <w:r>
        <w:t xml:space="preserve"> per 1,000 people is higher </w:t>
      </w:r>
      <w:r w:rsidRPr="004255EE">
        <w:t xml:space="preserve">in the </w:t>
      </w:r>
      <w:r>
        <w:t xml:space="preserve">urban </w:t>
      </w:r>
      <w:r w:rsidRPr="004255EE">
        <w:t>Greater Accra</w:t>
      </w:r>
      <w:r>
        <w:t xml:space="preserve"> region</w:t>
      </w:r>
      <w:r w:rsidR="00C25F5A">
        <w:t xml:space="preserve"> and</w:t>
      </w:r>
      <w:r>
        <w:t xml:space="preserve"> in the largely rural </w:t>
      </w:r>
      <w:r w:rsidRPr="004255EE">
        <w:t xml:space="preserve">Upper East and Upper West </w:t>
      </w:r>
      <w:r>
        <w:t>regions than it is in the rest of the country (</w:t>
      </w:r>
      <w:r w:rsidR="00A015A0">
        <w:fldChar w:fldCharType="begin"/>
      </w:r>
      <w:r w:rsidR="00A015A0">
        <w:instrText xml:space="preserve"> REF _Ref466644864 \h </w:instrText>
      </w:r>
      <w:r w:rsidR="00A015A0">
        <w:fldChar w:fldCharType="separate"/>
      </w:r>
      <w:r w:rsidR="007B1CE6">
        <w:t>Figure</w:t>
      </w:r>
      <w:r w:rsidR="007B1CE6" w:rsidRPr="00875B2D">
        <w:t xml:space="preserve"> </w:t>
      </w:r>
      <w:r w:rsidR="007B1CE6">
        <w:rPr>
          <w:noProof/>
        </w:rPr>
        <w:t>4</w:t>
      </w:r>
      <w:r w:rsidR="007B1CE6">
        <w:t>.</w:t>
      </w:r>
      <w:r w:rsidR="007B1CE6">
        <w:rPr>
          <w:noProof/>
        </w:rPr>
        <w:t>18</w:t>
      </w:r>
      <w:r w:rsidR="00A015A0">
        <w:fldChar w:fldCharType="end"/>
      </w:r>
      <w:r>
        <w:t>)</w:t>
      </w:r>
      <w:r w:rsidRPr="004255EE">
        <w:t xml:space="preserve">. In </w:t>
      </w:r>
      <w:r>
        <w:t xml:space="preserve">all </w:t>
      </w:r>
      <w:r w:rsidRPr="004255EE">
        <w:t xml:space="preserve">other regions, the number of health workers ranges </w:t>
      </w:r>
      <w:r>
        <w:t xml:space="preserve">from </w:t>
      </w:r>
      <w:r w:rsidRPr="004255EE">
        <w:t>2.5 and 2.9</w:t>
      </w:r>
      <w:r w:rsidRPr="00EF1C75">
        <w:t xml:space="preserve"> </w:t>
      </w:r>
      <w:r w:rsidRPr="00621275">
        <w:t xml:space="preserve">per 1,000 </w:t>
      </w:r>
      <w:r>
        <w:t>people</w:t>
      </w:r>
      <w:r w:rsidRPr="004255EE">
        <w:t xml:space="preserve">. </w:t>
      </w:r>
      <w:r>
        <w:t xml:space="preserve">No </w:t>
      </w:r>
      <w:r w:rsidRPr="004255EE">
        <w:t xml:space="preserve">information </w:t>
      </w:r>
      <w:r>
        <w:t xml:space="preserve">is </w:t>
      </w:r>
      <w:r w:rsidRPr="004255EE">
        <w:t xml:space="preserve">available on the distribution of private </w:t>
      </w:r>
      <w:r>
        <w:t xml:space="preserve">health </w:t>
      </w:r>
      <w:r w:rsidRPr="004255EE">
        <w:t xml:space="preserve">workers.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82"/>
      </w:tblGrid>
      <w:tr w:rsidR="00B16C68" w14:paraId="1E6CC423" w14:textId="77777777" w:rsidTr="00217008">
        <w:tc>
          <w:tcPr>
            <w:tcW w:w="4675" w:type="dxa"/>
          </w:tcPr>
          <w:p w14:paraId="2216220E" w14:textId="77777777" w:rsidR="001F21D2" w:rsidRPr="00875B2D" w:rsidRDefault="00657AA2" w:rsidP="00CC6F65">
            <w:pPr>
              <w:pStyle w:val="Caption"/>
            </w:pPr>
            <w:r>
              <w:t>Figure</w:t>
            </w:r>
            <w:r w:rsidR="001F21D2" w:rsidRPr="00875B2D">
              <w:t xml:space="preserve"> </w:t>
            </w:r>
            <w:r w:rsidR="005C0067">
              <w:fldChar w:fldCharType="begin"/>
            </w:r>
            <w:r w:rsidR="005C0067">
              <w:instrText xml:space="preserve"> STYLEREF 1 \s </w:instrText>
            </w:r>
            <w:r w:rsidR="005C0067">
              <w:fldChar w:fldCharType="separate"/>
            </w:r>
            <w:r w:rsidR="007B1CE6">
              <w:rPr>
                <w:noProof/>
              </w:rPr>
              <w:t>4</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17</w:t>
            </w:r>
            <w:r w:rsidR="005C0067">
              <w:fldChar w:fldCharType="end"/>
            </w:r>
            <w:r w:rsidR="001F21D2" w:rsidRPr="00875B2D">
              <w:t>. Health Insurance Coverage by Wealth Quintile</w:t>
            </w:r>
          </w:p>
        </w:tc>
        <w:tc>
          <w:tcPr>
            <w:tcW w:w="4675" w:type="dxa"/>
          </w:tcPr>
          <w:p w14:paraId="46254249" w14:textId="77777777" w:rsidR="001F21D2" w:rsidRPr="00875B2D" w:rsidRDefault="00657AA2" w:rsidP="00CC6F65">
            <w:pPr>
              <w:pStyle w:val="Caption"/>
            </w:pPr>
            <w:bookmarkStart w:id="202" w:name="_Ref466644864"/>
            <w:bookmarkStart w:id="203" w:name="_Toc479624943"/>
            <w:r>
              <w:t>Figure</w:t>
            </w:r>
            <w:r w:rsidR="001F21D2" w:rsidRPr="00875B2D">
              <w:t xml:space="preserve"> </w:t>
            </w:r>
            <w:r w:rsidR="005C0067">
              <w:fldChar w:fldCharType="begin"/>
            </w:r>
            <w:r w:rsidR="005C0067">
              <w:instrText xml:space="preserve"> STYLEREF 1 \s </w:instrText>
            </w:r>
            <w:r w:rsidR="005C0067">
              <w:fldChar w:fldCharType="separate"/>
            </w:r>
            <w:r w:rsidR="007B1CE6">
              <w:rPr>
                <w:noProof/>
              </w:rPr>
              <w:t>4</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18</w:t>
            </w:r>
            <w:r w:rsidR="005C0067">
              <w:fldChar w:fldCharType="end"/>
            </w:r>
            <w:bookmarkEnd w:id="202"/>
            <w:r w:rsidR="001F21D2" w:rsidRPr="00875B2D">
              <w:t>. Number of Public Health Workers per 1,000 People by Region, 2016</w:t>
            </w:r>
            <w:bookmarkEnd w:id="203"/>
          </w:p>
        </w:tc>
      </w:tr>
      <w:tr w:rsidR="00B16C68" w14:paraId="61968575" w14:textId="77777777" w:rsidTr="00217008">
        <w:trPr>
          <w:trHeight w:val="3482"/>
        </w:trPr>
        <w:tc>
          <w:tcPr>
            <w:tcW w:w="4675" w:type="dxa"/>
          </w:tcPr>
          <w:p w14:paraId="4DAD2F7B" w14:textId="77777777" w:rsidR="001F21D2" w:rsidRDefault="00B16C68" w:rsidP="005A7652">
            <w:pPr>
              <w:autoSpaceDE w:val="0"/>
              <w:autoSpaceDN w:val="0"/>
              <w:adjustRightInd w:val="0"/>
              <w:rPr>
                <w:rFonts w:ascii="Times New Roman" w:hAnsi="Times New Roman"/>
                <w:b/>
                <w:noProof/>
              </w:rPr>
            </w:pPr>
            <w:r>
              <w:rPr>
                <w:rFonts w:ascii="Times New Roman" w:hAnsi="Times New Roman"/>
                <w:b/>
                <w:noProof/>
              </w:rPr>
              <w:drawing>
                <wp:inline distT="0" distB="0" distL="0" distR="0" wp14:anchorId="6A6E47B9" wp14:editId="23C2677D">
                  <wp:extent cx="2956053" cy="2209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62871" cy="2214897"/>
                          </a:xfrm>
                          <a:prstGeom prst="rect">
                            <a:avLst/>
                          </a:prstGeom>
                          <a:noFill/>
                        </pic:spPr>
                      </pic:pic>
                    </a:graphicData>
                  </a:graphic>
                </wp:inline>
              </w:drawing>
            </w:r>
          </w:p>
          <w:p w14:paraId="08036771" w14:textId="77777777" w:rsidR="001F21D2" w:rsidRPr="00322917" w:rsidRDefault="001F21D2" w:rsidP="005A7652">
            <w:pPr>
              <w:autoSpaceDE w:val="0"/>
              <w:autoSpaceDN w:val="0"/>
              <w:adjustRightInd w:val="0"/>
              <w:rPr>
                <w:rFonts w:ascii="Times New Roman" w:hAnsi="Times New Roman"/>
                <w:b/>
              </w:rPr>
            </w:pPr>
            <w:r w:rsidRPr="00F0436D">
              <w:rPr>
                <w:rFonts w:ascii="Garamond" w:hAnsi="Garamond"/>
                <w:i/>
                <w:noProof/>
                <w:sz w:val="20"/>
                <w:szCs w:val="20"/>
              </w:rPr>
              <w:t>Source</w:t>
            </w:r>
            <w:r w:rsidRPr="00F0436D">
              <w:rPr>
                <w:rFonts w:ascii="Garamond" w:hAnsi="Garamond"/>
                <w:noProof/>
                <w:sz w:val="20"/>
                <w:szCs w:val="20"/>
              </w:rPr>
              <w:t xml:space="preserve">: Authors’ figure based on </w:t>
            </w:r>
            <w:r>
              <w:rPr>
                <w:rFonts w:ascii="Garamond" w:hAnsi="Garamond"/>
                <w:noProof/>
                <w:sz w:val="20"/>
                <w:szCs w:val="20"/>
              </w:rPr>
              <w:t xml:space="preserve">the </w:t>
            </w:r>
            <w:r w:rsidRPr="00F0436D">
              <w:rPr>
                <w:rFonts w:ascii="Garamond" w:hAnsi="Garamond"/>
                <w:noProof/>
                <w:sz w:val="20"/>
                <w:szCs w:val="20"/>
              </w:rPr>
              <w:t>2008 and 2014</w:t>
            </w:r>
            <w:r w:rsidRPr="0046432A">
              <w:rPr>
                <w:rFonts w:ascii="Garamond" w:hAnsi="Garamond"/>
                <w:noProof/>
                <w:sz w:val="20"/>
                <w:szCs w:val="20"/>
              </w:rPr>
              <w:t xml:space="preserve"> Ghana DHS</w:t>
            </w:r>
            <w:r w:rsidRPr="00F0436D">
              <w:rPr>
                <w:rFonts w:ascii="Garamond" w:hAnsi="Garamond"/>
                <w:noProof/>
                <w:sz w:val="20"/>
                <w:szCs w:val="20"/>
              </w:rPr>
              <w:t>.</w:t>
            </w:r>
          </w:p>
        </w:tc>
        <w:tc>
          <w:tcPr>
            <w:tcW w:w="4675" w:type="dxa"/>
          </w:tcPr>
          <w:p w14:paraId="05A400CB" w14:textId="77777777" w:rsidR="00B16C68" w:rsidRPr="000E7654" w:rsidRDefault="00B16C68" w:rsidP="005A7652">
            <w:pPr>
              <w:autoSpaceDE w:val="0"/>
              <w:autoSpaceDN w:val="0"/>
              <w:adjustRightInd w:val="0"/>
              <w:rPr>
                <w:rFonts w:ascii="Garamond" w:hAnsi="Garamond"/>
                <w:b/>
                <w:noProof/>
              </w:rPr>
            </w:pPr>
            <w:r w:rsidRPr="000E7654">
              <w:rPr>
                <w:rFonts w:ascii="Garamond" w:hAnsi="Garamond"/>
                <w:b/>
                <w:noProof/>
              </w:rPr>
              <w:drawing>
                <wp:inline distT="0" distB="0" distL="0" distR="0" wp14:anchorId="7408F3BC" wp14:editId="167B5E86">
                  <wp:extent cx="2958465" cy="2209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970655" cy="2218905"/>
                          </a:xfrm>
                          <a:prstGeom prst="rect">
                            <a:avLst/>
                          </a:prstGeom>
                          <a:noFill/>
                        </pic:spPr>
                      </pic:pic>
                    </a:graphicData>
                  </a:graphic>
                </wp:inline>
              </w:drawing>
            </w:r>
          </w:p>
          <w:p w14:paraId="7FBF1BB2" w14:textId="77777777" w:rsidR="001F21D2" w:rsidRPr="000E7654" w:rsidRDefault="001F21D2" w:rsidP="005A7652">
            <w:pPr>
              <w:autoSpaceDE w:val="0"/>
              <w:autoSpaceDN w:val="0"/>
              <w:adjustRightInd w:val="0"/>
              <w:rPr>
                <w:rFonts w:ascii="Garamond" w:hAnsi="Garamond"/>
                <w:b/>
              </w:rPr>
            </w:pPr>
            <w:r w:rsidRPr="000E7654">
              <w:rPr>
                <w:rFonts w:ascii="Garamond" w:hAnsi="Garamond"/>
                <w:i/>
                <w:noProof/>
                <w:sz w:val="20"/>
                <w:szCs w:val="20"/>
              </w:rPr>
              <w:t>Source</w:t>
            </w:r>
            <w:r w:rsidRPr="000E7654">
              <w:rPr>
                <w:rFonts w:ascii="Garamond" w:hAnsi="Garamond"/>
                <w:noProof/>
                <w:sz w:val="20"/>
                <w:szCs w:val="20"/>
              </w:rPr>
              <w:t>: Authors’ figure based on MoH payroll data.</w:t>
            </w:r>
          </w:p>
        </w:tc>
      </w:tr>
    </w:tbl>
    <w:p w14:paraId="668AB4D7" w14:textId="77777777" w:rsidR="001F21D2" w:rsidRPr="004255EE" w:rsidRDefault="001F21D2" w:rsidP="00724BAB">
      <w:pPr>
        <w:pStyle w:val="ListParagraph"/>
        <w:numPr>
          <w:ilvl w:val="0"/>
          <w:numId w:val="10"/>
        </w:numPr>
        <w:tabs>
          <w:tab w:val="left" w:pos="720"/>
        </w:tabs>
        <w:autoSpaceDE w:val="0"/>
        <w:autoSpaceDN w:val="0"/>
        <w:adjustRightInd w:val="0"/>
        <w:spacing w:before="240"/>
        <w:rPr>
          <w:rFonts w:ascii="Times New Roman" w:hAnsi="Times New Roman"/>
        </w:rPr>
      </w:pPr>
      <w:r w:rsidRPr="00875B2D">
        <w:rPr>
          <w:b/>
        </w:rPr>
        <w:lastRenderedPageBreak/>
        <w:t xml:space="preserve">Most pharmaceuticals are imported and distributed by the private sector and paid for through a combination of </w:t>
      </w:r>
      <w:r>
        <w:rPr>
          <w:b/>
        </w:rPr>
        <w:t>donor</w:t>
      </w:r>
      <w:r w:rsidRPr="00875B2D">
        <w:rPr>
          <w:b/>
        </w:rPr>
        <w:t xml:space="preserve"> funds, NHIS </w:t>
      </w:r>
      <w:r>
        <w:rPr>
          <w:b/>
        </w:rPr>
        <w:t>resources</w:t>
      </w:r>
      <w:r w:rsidR="005E101C">
        <w:rPr>
          <w:b/>
        </w:rPr>
        <w:t>,</w:t>
      </w:r>
      <w:r w:rsidRPr="00875B2D">
        <w:rPr>
          <w:b/>
        </w:rPr>
        <w:t xml:space="preserve"> and out-of-pocket </w:t>
      </w:r>
      <w:r>
        <w:rPr>
          <w:b/>
        </w:rPr>
        <w:t>spending</w:t>
      </w:r>
      <w:r w:rsidRPr="00875B2D">
        <w:rPr>
          <w:b/>
        </w:rPr>
        <w:t xml:space="preserve">. </w:t>
      </w:r>
      <w:r w:rsidRPr="00875B2D">
        <w:t>Ghana’s total wholesale pharmaceutical market was valued at US$522 million in 2014.</w:t>
      </w:r>
      <w:r>
        <w:rPr>
          <w:rStyle w:val="FootnoteReference"/>
        </w:rPr>
        <w:footnoteReference w:id="135"/>
      </w:r>
      <w:r w:rsidRPr="00875B2D">
        <w:t xml:space="preserve"> The majority of pharmaceuticals are imported—60 percent by volume and 70-80 percent by value—</w:t>
      </w:r>
      <w:r>
        <w:t>and</w:t>
      </w:r>
      <w:r w:rsidRPr="00875B2D">
        <w:t xml:space="preserve"> most domestic manufacture</w:t>
      </w:r>
      <w:r>
        <w:t>r</w:t>
      </w:r>
      <w:r w:rsidRPr="00875B2D">
        <w:t xml:space="preserve">s can only produce low-cost generic drugs. </w:t>
      </w:r>
      <w:r w:rsidRPr="004255EE">
        <w:t>More than 40 percent of NHIS claims payment</w:t>
      </w:r>
      <w:r>
        <w:t>s</w:t>
      </w:r>
      <w:r w:rsidRPr="004255EE">
        <w:t xml:space="preserve"> </w:t>
      </w:r>
      <w:r>
        <w:t>are</w:t>
      </w:r>
      <w:r w:rsidRPr="004255EE">
        <w:t xml:space="preserve"> for medicine</w:t>
      </w:r>
      <w:r>
        <w:t xml:space="preserve">, and the </w:t>
      </w:r>
      <w:r w:rsidRPr="00875B2D">
        <w:t>NHIS’</w:t>
      </w:r>
      <w:r>
        <w:t>s</w:t>
      </w:r>
      <w:r w:rsidRPr="00875B2D">
        <w:t xml:space="preserve"> dependence on imported medicines leaves it vulnerable to </w:t>
      </w:r>
      <w:r w:rsidR="00BA785A">
        <w:t xml:space="preserve">foreign </w:t>
      </w:r>
      <w:r>
        <w:t>exchange risks</w:t>
      </w:r>
      <w:r w:rsidRPr="00875B2D">
        <w:t>. The MoH procurement unit has an annual budget of about US$40 million, of which US$35 million is financed by Ghana’s development partners. Central</w:t>
      </w:r>
      <w:r>
        <w:t>ized</w:t>
      </w:r>
      <w:r w:rsidRPr="00875B2D">
        <w:t xml:space="preserve"> procure</w:t>
      </w:r>
      <w:r>
        <w:t>ment</w:t>
      </w:r>
      <w:r w:rsidRPr="00875B2D">
        <w:t xml:space="preserve"> </w:t>
      </w:r>
      <w:r>
        <w:t>is</w:t>
      </w:r>
      <w:r w:rsidRPr="00875B2D">
        <w:t xml:space="preserve"> limited to antiretrovirals, antimalarials, oxytocin, snake </w:t>
      </w:r>
      <w:r>
        <w:t>antivenin</w:t>
      </w:r>
      <w:r w:rsidRPr="00875B2D">
        <w:t>, rabies vaccines</w:t>
      </w:r>
      <w:r w:rsidR="00BA785A">
        <w:t>,</w:t>
      </w:r>
      <w:r w:rsidRPr="00875B2D">
        <w:t xml:space="preserve"> and a few other special items. </w:t>
      </w:r>
      <w:r>
        <w:t xml:space="preserve">Over 80 percent </w:t>
      </w:r>
      <w:r w:rsidRPr="00875B2D">
        <w:t>of the pharmaceuticals dispensed by public facilities are procured directly from private distributors in accordance with the Public Procurement Act (Act 663).</w:t>
      </w:r>
    </w:p>
    <w:p w14:paraId="7248860D" w14:textId="77777777" w:rsidR="001F21D2" w:rsidRPr="00F61DCA" w:rsidRDefault="001F21D2" w:rsidP="00D46978">
      <w:pPr>
        <w:pStyle w:val="Heading3"/>
        <w:keepNext/>
      </w:pPr>
      <w:r w:rsidRPr="00875B2D">
        <w:t xml:space="preserve">The National Health Insurance Scheme </w:t>
      </w:r>
    </w:p>
    <w:p w14:paraId="634B9AC7" w14:textId="77777777" w:rsidR="001F21D2" w:rsidRPr="004A77CD" w:rsidRDefault="001F21D2" w:rsidP="00724BAB">
      <w:pPr>
        <w:pStyle w:val="ListParagraph"/>
        <w:numPr>
          <w:ilvl w:val="0"/>
          <w:numId w:val="10"/>
        </w:numPr>
        <w:tabs>
          <w:tab w:val="left" w:pos="720"/>
        </w:tabs>
        <w:autoSpaceDE w:val="0"/>
        <w:autoSpaceDN w:val="0"/>
        <w:adjustRightInd w:val="0"/>
      </w:pPr>
      <w:r>
        <w:rPr>
          <w:b/>
        </w:rPr>
        <w:t>The</w:t>
      </w:r>
      <w:r w:rsidRPr="004A77CD">
        <w:rPr>
          <w:b/>
        </w:rPr>
        <w:t xml:space="preserve"> NHIS was established in 2003 to replace the existing user</w:t>
      </w:r>
      <w:r>
        <w:rPr>
          <w:b/>
        </w:rPr>
        <w:t>-</w:t>
      </w:r>
      <w:r w:rsidRPr="004A77CD">
        <w:rPr>
          <w:b/>
        </w:rPr>
        <w:t>fee</w:t>
      </w:r>
      <w:r>
        <w:rPr>
          <w:b/>
        </w:rPr>
        <w:t xml:space="preserve">-based </w:t>
      </w:r>
      <w:r w:rsidRPr="004A77CD">
        <w:rPr>
          <w:b/>
        </w:rPr>
        <w:t>“cash and carry”</w:t>
      </w:r>
      <w:r>
        <w:rPr>
          <w:b/>
        </w:rPr>
        <w:t xml:space="preserve"> system</w:t>
      </w:r>
      <w:r w:rsidRPr="004A77CD">
        <w:rPr>
          <w:b/>
        </w:rPr>
        <w:t>.</w:t>
      </w:r>
      <w:r w:rsidRPr="004A77CD">
        <w:t xml:space="preserve"> </w:t>
      </w:r>
      <w:r w:rsidRPr="009966B1">
        <w:t>The NHIS’s primary objective is to ensure financial access to basic healthcare services for all Ghana</w:t>
      </w:r>
      <w:r>
        <w:t>ian</w:t>
      </w:r>
      <w:r w:rsidRPr="009966B1">
        <w:t xml:space="preserve"> residents by eliminating out-of-pocket spending at the point of service delivery. Between 2003 and 2012, the NHIS was governed by Act 650, which established a decentralized health insurance scheme administered by a semi-autonomous board and management team. In 2012, Act 852 recentralized the </w:t>
      </w:r>
      <w:r>
        <w:t>system</w:t>
      </w:r>
      <w:r w:rsidRPr="009966B1">
        <w:t xml:space="preserve"> by transforming </w:t>
      </w:r>
      <w:r>
        <w:t>mutual health organizations</w:t>
      </w:r>
      <w:r w:rsidRPr="009966B1">
        <w:t xml:space="preserve"> into district offices of the NHIA.</w:t>
      </w:r>
      <w:r w:rsidRPr="00D775DD">
        <w:rPr>
          <w:shd w:val="clear" w:color="auto" w:fill="FAFAFA"/>
        </w:rPr>
        <w:t xml:space="preserve"> </w:t>
      </w:r>
    </w:p>
    <w:p w14:paraId="667DC072" w14:textId="77777777" w:rsidR="001F21D2" w:rsidRPr="004255EE" w:rsidRDefault="001F21D2" w:rsidP="00724BAB">
      <w:pPr>
        <w:pStyle w:val="ListParagraph"/>
        <w:numPr>
          <w:ilvl w:val="0"/>
          <w:numId w:val="10"/>
        </w:numPr>
        <w:tabs>
          <w:tab w:val="left" w:pos="720"/>
        </w:tabs>
        <w:autoSpaceDE w:val="0"/>
        <w:autoSpaceDN w:val="0"/>
        <w:adjustRightInd w:val="0"/>
      </w:pPr>
      <w:r w:rsidRPr="004255EE">
        <w:rPr>
          <w:b/>
        </w:rPr>
        <w:t xml:space="preserve">Ghana is the only country </w:t>
      </w:r>
      <w:r>
        <w:rPr>
          <w:b/>
        </w:rPr>
        <w:t xml:space="preserve">in the world to use </w:t>
      </w:r>
      <w:r w:rsidRPr="004255EE">
        <w:rPr>
          <w:b/>
        </w:rPr>
        <w:t xml:space="preserve">VAT </w:t>
      </w:r>
      <w:r>
        <w:rPr>
          <w:b/>
        </w:rPr>
        <w:t xml:space="preserve">revenue to finance </w:t>
      </w:r>
      <w:r w:rsidRPr="004255EE">
        <w:rPr>
          <w:b/>
        </w:rPr>
        <w:t>75 percent</w:t>
      </w:r>
      <w:r>
        <w:rPr>
          <w:b/>
        </w:rPr>
        <w:t xml:space="preserve"> of</w:t>
      </w:r>
      <w:r w:rsidRPr="004255EE">
        <w:rPr>
          <w:b/>
        </w:rPr>
        <w:t xml:space="preserve"> </w:t>
      </w:r>
      <w:r>
        <w:rPr>
          <w:b/>
        </w:rPr>
        <w:t>its</w:t>
      </w:r>
      <w:r w:rsidRPr="004255EE">
        <w:rPr>
          <w:b/>
        </w:rPr>
        <w:t xml:space="preserve"> health insurance scheme, which presents both </w:t>
      </w:r>
      <w:r>
        <w:rPr>
          <w:b/>
        </w:rPr>
        <w:t>advantages</w:t>
      </w:r>
      <w:r w:rsidRPr="004255EE">
        <w:rPr>
          <w:b/>
        </w:rPr>
        <w:t xml:space="preserve"> and </w:t>
      </w:r>
      <w:r>
        <w:rPr>
          <w:b/>
        </w:rPr>
        <w:t>drawbacks</w:t>
      </w:r>
      <w:r w:rsidRPr="004255EE">
        <w:rPr>
          <w:b/>
        </w:rPr>
        <w:t xml:space="preserve">. </w:t>
      </w:r>
      <w:r w:rsidRPr="004255EE">
        <w:t xml:space="preserve">One advantage </w:t>
      </w:r>
      <w:r>
        <w:t xml:space="preserve">on relying on VAT is that </w:t>
      </w:r>
      <w:r w:rsidRPr="004255EE">
        <w:t xml:space="preserve">it ensures that </w:t>
      </w:r>
      <w:r>
        <w:t xml:space="preserve">the </w:t>
      </w:r>
      <w:r w:rsidRPr="004255EE">
        <w:t xml:space="preserve">NHIS </w:t>
      </w:r>
      <w:r>
        <w:t>budget</w:t>
      </w:r>
      <w:r w:rsidRPr="004255EE">
        <w:t xml:space="preserve"> automatically keep</w:t>
      </w:r>
      <w:r>
        <w:t xml:space="preserve">s pace </w:t>
      </w:r>
      <w:r w:rsidRPr="004255EE">
        <w:t xml:space="preserve">with </w:t>
      </w:r>
      <w:r>
        <w:t xml:space="preserve">the country’s </w:t>
      </w:r>
      <w:r w:rsidRPr="004255EE">
        <w:t>economic development</w:t>
      </w:r>
      <w:r>
        <w:t>, as</w:t>
      </w:r>
      <w:r w:rsidRPr="004255EE">
        <w:t xml:space="preserve"> </w:t>
      </w:r>
      <w:r>
        <w:t>reflected in</w:t>
      </w:r>
      <w:r w:rsidRPr="004255EE">
        <w:t xml:space="preserve"> the stab</w:t>
      </w:r>
      <w:r>
        <w:t>ility of NHIS funding as a</w:t>
      </w:r>
      <w:r w:rsidRPr="004255EE">
        <w:t xml:space="preserve"> </w:t>
      </w:r>
      <w:r>
        <w:t>share</w:t>
      </w:r>
      <w:r w:rsidRPr="004255EE">
        <w:t xml:space="preserve"> of total government </w:t>
      </w:r>
      <w:r>
        <w:t>spending</w:t>
      </w:r>
      <w:r w:rsidRPr="004255EE">
        <w:t xml:space="preserve"> </w:t>
      </w:r>
      <w:r>
        <w:t>(</w:t>
      </w:r>
      <w:r w:rsidR="00A015A0">
        <w:fldChar w:fldCharType="begin"/>
      </w:r>
      <w:r w:rsidR="00A015A0">
        <w:instrText xml:space="preserve"> REF _Ref466624558 \h </w:instrText>
      </w:r>
      <w:r w:rsidR="00A015A0">
        <w:fldChar w:fldCharType="separate"/>
      </w:r>
      <w:r w:rsidR="007B1CE6" w:rsidRPr="00D46978">
        <w:rPr>
          <w:rFonts w:eastAsia="Calibri"/>
        </w:rPr>
        <w:t xml:space="preserve">Figure </w:t>
      </w:r>
      <w:r w:rsidR="007B1CE6">
        <w:rPr>
          <w:rFonts w:eastAsia="Calibri"/>
          <w:noProof/>
        </w:rPr>
        <w:t>4</w:t>
      </w:r>
      <w:r w:rsidR="007B1CE6" w:rsidRPr="00D46978">
        <w:rPr>
          <w:rFonts w:eastAsia="Calibri"/>
        </w:rPr>
        <w:t>.</w:t>
      </w:r>
      <w:r w:rsidR="007B1CE6">
        <w:rPr>
          <w:rFonts w:eastAsia="Calibri"/>
          <w:noProof/>
        </w:rPr>
        <w:t>15</w:t>
      </w:r>
      <w:r w:rsidR="00A015A0">
        <w:fldChar w:fldCharType="end"/>
      </w:r>
      <w:r w:rsidRPr="004255EE">
        <w:t>b</w:t>
      </w:r>
      <w:r>
        <w:t>)</w:t>
      </w:r>
      <w:r w:rsidRPr="004255EE">
        <w:t xml:space="preserve">. </w:t>
      </w:r>
      <w:r>
        <w:t>Another</w:t>
      </w:r>
      <w:r w:rsidRPr="004255EE">
        <w:t xml:space="preserve"> advantage is that </w:t>
      </w:r>
      <w:r>
        <w:t>VAT revenue acts</w:t>
      </w:r>
      <w:r w:rsidRPr="004255EE">
        <w:t xml:space="preserve"> as a</w:t>
      </w:r>
      <w:r>
        <w:t>n implicit</w:t>
      </w:r>
      <w:r w:rsidRPr="004255EE">
        <w:t xml:space="preserve"> government subsidy</w:t>
      </w:r>
      <w:r>
        <w:t xml:space="preserve"> for</w:t>
      </w:r>
      <w:r w:rsidRPr="004255EE">
        <w:t xml:space="preserve"> basic </w:t>
      </w:r>
      <w:r>
        <w:t>health</w:t>
      </w:r>
      <w:r w:rsidRPr="004255EE">
        <w:t>care</w:t>
      </w:r>
      <w:r>
        <w:t>. If this subsidy w</w:t>
      </w:r>
      <w:r w:rsidR="00BA785A">
        <w:t>as</w:t>
      </w:r>
      <w:r>
        <w:t xml:space="preserve"> made explicit, it could</w:t>
      </w:r>
      <w:r w:rsidRPr="004255EE">
        <w:t xml:space="preserve"> potentially incentivize enrollment. </w:t>
      </w:r>
      <w:r>
        <w:t>Using VAT revenue to fund the NHIS also</w:t>
      </w:r>
      <w:r w:rsidRPr="0065144A">
        <w:t xml:space="preserve"> allow</w:t>
      </w:r>
      <w:r>
        <w:t>s the government to pool health-</w:t>
      </w:r>
      <w:r w:rsidRPr="0065144A">
        <w:t>insurance financing at the national level and thereby avoid the revenue fragmentation common in most countries</w:t>
      </w:r>
      <w:r w:rsidRPr="004255EE">
        <w:t xml:space="preserve">. However, one major </w:t>
      </w:r>
      <w:r>
        <w:t>drawback</w:t>
      </w:r>
      <w:r w:rsidRPr="004255EE">
        <w:t xml:space="preserve"> is that revenue does not </w:t>
      </w:r>
      <w:r>
        <w:t>rise</w:t>
      </w:r>
      <w:r w:rsidRPr="004255EE">
        <w:t xml:space="preserve"> </w:t>
      </w:r>
      <w:r>
        <w:t>as coverage</w:t>
      </w:r>
      <w:r w:rsidRPr="004255EE">
        <w:t xml:space="preserve"> expan</w:t>
      </w:r>
      <w:r>
        <w:t>ds</w:t>
      </w:r>
      <w:r w:rsidRPr="004255EE">
        <w:t xml:space="preserve">, as more than two-thirds of NHIS members are exempted </w:t>
      </w:r>
      <w:r>
        <w:t>from</w:t>
      </w:r>
      <w:r w:rsidRPr="004255EE">
        <w:t xml:space="preserve"> paying premiums. </w:t>
      </w:r>
      <w:r>
        <w:t xml:space="preserve">Premiums typically provide </w:t>
      </w:r>
      <w:r w:rsidRPr="004255EE">
        <w:t xml:space="preserve">less than 5 percent of NHIS </w:t>
      </w:r>
      <w:r w:rsidRPr="00E1508C">
        <w:t xml:space="preserve">revenue. </w:t>
      </w:r>
    </w:p>
    <w:p w14:paraId="014CD4CC" w14:textId="77777777" w:rsidR="001F21D2" w:rsidRPr="004255EE" w:rsidRDefault="001F21D2" w:rsidP="00724BAB">
      <w:pPr>
        <w:pStyle w:val="ListParagraph"/>
        <w:numPr>
          <w:ilvl w:val="0"/>
          <w:numId w:val="10"/>
        </w:numPr>
        <w:tabs>
          <w:tab w:val="left" w:pos="720"/>
        </w:tabs>
        <w:autoSpaceDE w:val="0"/>
        <w:autoSpaceDN w:val="0"/>
        <w:adjustRightInd w:val="0"/>
      </w:pPr>
      <w:r w:rsidRPr="00474390">
        <w:rPr>
          <w:b/>
        </w:rPr>
        <w:t xml:space="preserve">The financial sustainability of the NHIS has become an issue in recent years. </w:t>
      </w:r>
      <w:r>
        <w:t>T</w:t>
      </w:r>
      <w:r w:rsidRPr="0051040A">
        <w:t xml:space="preserve">he NHIS </w:t>
      </w:r>
      <w:r>
        <w:t>has ru</w:t>
      </w:r>
      <w:r w:rsidRPr="0051040A">
        <w:t xml:space="preserve">n </w:t>
      </w:r>
      <w:r>
        <w:t>a</w:t>
      </w:r>
      <w:r w:rsidRPr="0051040A">
        <w:t xml:space="preserve"> deficit</w:t>
      </w:r>
      <w:r>
        <w:t xml:space="preserve"> each</w:t>
      </w:r>
      <w:r w:rsidRPr="0051040A">
        <w:t xml:space="preserve"> year </w:t>
      </w:r>
      <w:r>
        <w:t>since</w:t>
      </w:r>
      <w:r w:rsidRPr="004255EE">
        <w:t xml:space="preserve"> 2009. </w:t>
      </w:r>
      <w:r>
        <w:t xml:space="preserve">While NHIS </w:t>
      </w:r>
      <w:r w:rsidRPr="004255EE">
        <w:t>income and expenditure</w:t>
      </w:r>
      <w:r>
        <w:t>s</w:t>
      </w:r>
      <w:r w:rsidRPr="004255EE">
        <w:t xml:space="preserve"> </w:t>
      </w:r>
      <w:r>
        <w:t xml:space="preserve">have both </w:t>
      </w:r>
      <w:r w:rsidRPr="004255EE">
        <w:t>increas</w:t>
      </w:r>
      <w:r>
        <w:t>ed</w:t>
      </w:r>
      <w:r w:rsidRPr="004255EE">
        <w:t xml:space="preserve"> since 2005, expenditure</w:t>
      </w:r>
      <w:r>
        <w:t xml:space="preserve"> growth</w:t>
      </w:r>
      <w:r w:rsidRPr="004255EE">
        <w:t xml:space="preserve"> </w:t>
      </w:r>
      <w:r>
        <w:t xml:space="preserve">has </w:t>
      </w:r>
      <w:r w:rsidRPr="004255EE">
        <w:t>out</w:t>
      </w:r>
      <w:r>
        <w:t>paced</w:t>
      </w:r>
      <w:r w:rsidRPr="004255EE">
        <w:t xml:space="preserve"> income </w:t>
      </w:r>
      <w:r>
        <w:t>growth since</w:t>
      </w:r>
      <w:r w:rsidRPr="004255EE">
        <w:t xml:space="preserve"> 2009</w:t>
      </w:r>
      <w:r>
        <w:t xml:space="preserve"> (</w:t>
      </w:r>
      <w:r w:rsidR="00A015A0">
        <w:fldChar w:fldCharType="begin"/>
      </w:r>
      <w:r w:rsidR="00A015A0">
        <w:instrText xml:space="preserve"> REF _Ref467164066 \h </w:instrText>
      </w:r>
      <w:r w:rsidR="00A015A0">
        <w:fldChar w:fldCharType="separate"/>
      </w:r>
      <w:r w:rsidR="007B1CE6">
        <w:t>Figure</w:t>
      </w:r>
      <w:r w:rsidR="007B1CE6" w:rsidRPr="00875B2D">
        <w:t xml:space="preserve"> </w:t>
      </w:r>
      <w:r w:rsidR="007B1CE6">
        <w:rPr>
          <w:noProof/>
        </w:rPr>
        <w:t>4</w:t>
      </w:r>
      <w:r w:rsidR="007B1CE6">
        <w:t>.</w:t>
      </w:r>
      <w:r w:rsidR="007B1CE6">
        <w:rPr>
          <w:noProof/>
        </w:rPr>
        <w:t>19</w:t>
      </w:r>
      <w:r w:rsidR="00A015A0">
        <w:fldChar w:fldCharType="end"/>
      </w:r>
      <w:r>
        <w:t>) due to a growing number of members combined with</w:t>
      </w:r>
      <w:r w:rsidRPr="00474390">
        <w:t xml:space="preserve"> increasing utilization </w:t>
      </w:r>
      <w:r>
        <w:t>rates and weak incentives for</w:t>
      </w:r>
      <w:r w:rsidRPr="00474390">
        <w:t xml:space="preserve"> cost-consciousness </w:t>
      </w:r>
      <w:r>
        <w:t>among both patients and providers</w:t>
      </w:r>
      <w:r w:rsidRPr="00474390">
        <w:t>.</w:t>
      </w:r>
      <w:r>
        <w:rPr>
          <w:rStyle w:val="FootnoteReference"/>
        </w:rPr>
        <w:footnoteReference w:id="136"/>
      </w:r>
      <w:r w:rsidRPr="00474390">
        <w:t xml:space="preserve"> </w:t>
      </w:r>
      <w:r>
        <w:t>R</w:t>
      </w:r>
      <w:r w:rsidRPr="004255EE">
        <w:t>ising claims expenditure</w:t>
      </w:r>
      <w:r>
        <w:t>s</w:t>
      </w:r>
      <w:r w:rsidRPr="004255EE">
        <w:t xml:space="preserve"> </w:t>
      </w:r>
      <w:r>
        <w:t>coupled with</w:t>
      </w:r>
      <w:r w:rsidRPr="004255EE">
        <w:t xml:space="preserve"> increasing out-of-pocket payment</w:t>
      </w:r>
      <w:r>
        <w:t>s cast doubt on</w:t>
      </w:r>
      <w:r w:rsidRPr="004255EE">
        <w:t xml:space="preserve"> how effectively </w:t>
      </w:r>
      <w:r>
        <w:t xml:space="preserve">the </w:t>
      </w:r>
      <w:r w:rsidRPr="004255EE">
        <w:t xml:space="preserve">NHIS is providing financial protection to </w:t>
      </w:r>
      <w:r>
        <w:t>Ghanaian citizens.</w:t>
      </w:r>
      <w:r w:rsidRPr="004255EE">
        <w:t xml:space="preserve"> </w:t>
      </w:r>
      <w:r>
        <w:t>The</w:t>
      </w:r>
      <w:r w:rsidRPr="002225FD">
        <w:t xml:space="preserve"> NHIA </w:t>
      </w:r>
      <w:r>
        <w:t xml:space="preserve">has responded with a strategy of </w:t>
      </w:r>
      <w:r w:rsidRPr="004255EE">
        <w:t>cost containment, disinvestment</w:t>
      </w:r>
      <w:r w:rsidR="003E3713">
        <w:t>,</w:t>
      </w:r>
      <w:r w:rsidRPr="004255EE">
        <w:t xml:space="preserve"> and borrowing. </w:t>
      </w:r>
      <w:r>
        <w:t>Co</w:t>
      </w:r>
      <w:r w:rsidRPr="004255EE">
        <w:t>st</w:t>
      </w:r>
      <w:r>
        <w:t>-</w:t>
      </w:r>
      <w:r w:rsidRPr="004255EE">
        <w:t>containment measures</w:t>
      </w:r>
      <w:r>
        <w:t xml:space="preserve">, including </w:t>
      </w:r>
      <w:r w:rsidRPr="008F31A9">
        <w:t>clinical audit</w:t>
      </w:r>
      <w:r>
        <w:t xml:space="preserve">s and </w:t>
      </w:r>
      <w:r w:rsidRPr="008F31A9">
        <w:t>biometric registration</w:t>
      </w:r>
      <w:r>
        <w:t>,</w:t>
      </w:r>
      <w:r w:rsidRPr="00EF26B6">
        <w:t xml:space="preserve"> </w:t>
      </w:r>
      <w:r w:rsidRPr="004255EE">
        <w:t xml:space="preserve">were put in place </w:t>
      </w:r>
      <w:r>
        <w:t>to enhance the</w:t>
      </w:r>
      <w:r w:rsidRPr="004255EE">
        <w:t xml:space="preserve"> financial sustainability of the scheme. </w:t>
      </w:r>
      <w:r>
        <w:t>T</w:t>
      </w:r>
      <w:r w:rsidRPr="004255EE">
        <w:t xml:space="preserve">he investment fund </w:t>
      </w:r>
      <w:r>
        <w:t>was</w:t>
      </w:r>
      <w:r w:rsidRPr="004255EE">
        <w:t xml:space="preserve"> decreased from GH¢ 447 million in 2009</w:t>
      </w:r>
      <w:r>
        <w:t xml:space="preserve">, or </w:t>
      </w:r>
      <w:r w:rsidRPr="004255EE">
        <w:t>14.8 months of claims value</w:t>
      </w:r>
      <w:r>
        <w:t>,</w:t>
      </w:r>
      <w:r w:rsidRPr="004255EE">
        <w:t xml:space="preserve"> to GH¢ 100.3 </w:t>
      </w:r>
      <w:r w:rsidRPr="004255EE">
        <w:lastRenderedPageBreak/>
        <w:t xml:space="preserve">million </w:t>
      </w:r>
      <w:r>
        <w:t>in</w:t>
      </w:r>
      <w:r w:rsidRPr="004255EE">
        <w:t xml:space="preserve"> 2014</w:t>
      </w:r>
      <w:r>
        <w:t xml:space="preserve">, or </w:t>
      </w:r>
      <w:r w:rsidRPr="004255EE">
        <w:t xml:space="preserve">1.2 months of claims value. </w:t>
      </w:r>
      <w:r>
        <w:t>Finally, t</w:t>
      </w:r>
      <w:r w:rsidRPr="004255EE">
        <w:t xml:space="preserve">he NHIA took </w:t>
      </w:r>
      <w:r>
        <w:t xml:space="preserve">out </w:t>
      </w:r>
      <w:r w:rsidRPr="004255EE">
        <w:t>loans to finance the deficit</w:t>
      </w:r>
      <w:r>
        <w:t xml:space="preserve">, starting with a </w:t>
      </w:r>
      <w:r w:rsidRPr="00332B73">
        <w:t xml:space="preserve">GH¢ </w:t>
      </w:r>
      <w:r w:rsidRPr="004255EE">
        <w:t>100 million</w:t>
      </w:r>
      <w:r>
        <w:t xml:space="preserve"> loan</w:t>
      </w:r>
      <w:r w:rsidRPr="004255EE">
        <w:t xml:space="preserve"> in 2011</w:t>
      </w:r>
      <w:r>
        <w:t xml:space="preserve">, and it began making </w:t>
      </w:r>
      <w:r w:rsidRPr="004255EE">
        <w:t>interest</w:t>
      </w:r>
      <w:r>
        <w:t xml:space="preserve"> payments </w:t>
      </w:r>
      <w:r w:rsidRPr="004255EE">
        <w:t>in 2012.</w:t>
      </w:r>
      <w:r>
        <w:rPr>
          <w:rStyle w:val="FootnoteReference"/>
        </w:rPr>
        <w:footnoteReference w:id="137"/>
      </w:r>
      <w:r w:rsidRPr="004255EE">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6"/>
      </w:tblGrid>
      <w:tr w:rsidR="001F21D2" w14:paraId="4EB95F22" w14:textId="77777777" w:rsidTr="00AC215E">
        <w:trPr>
          <w:jc w:val="center"/>
        </w:trPr>
        <w:tc>
          <w:tcPr>
            <w:tcW w:w="4776" w:type="dxa"/>
          </w:tcPr>
          <w:p w14:paraId="7B8C417D" w14:textId="77777777" w:rsidR="001F21D2" w:rsidRPr="00875B2D" w:rsidRDefault="00657AA2" w:rsidP="00CC6F65">
            <w:pPr>
              <w:pStyle w:val="Caption"/>
            </w:pPr>
            <w:bookmarkStart w:id="204" w:name="_Ref467164066"/>
            <w:bookmarkStart w:id="205" w:name="_Toc479624944"/>
            <w:r>
              <w:t>Figure</w:t>
            </w:r>
            <w:r w:rsidR="001F21D2" w:rsidRPr="00875B2D">
              <w:t xml:space="preserve"> </w:t>
            </w:r>
            <w:r w:rsidR="005C0067">
              <w:fldChar w:fldCharType="begin"/>
            </w:r>
            <w:r w:rsidR="005C0067">
              <w:instrText xml:space="preserve"> STYLEREF 1 \s </w:instrText>
            </w:r>
            <w:r w:rsidR="005C0067">
              <w:fldChar w:fldCharType="separate"/>
            </w:r>
            <w:r w:rsidR="007B1CE6">
              <w:rPr>
                <w:noProof/>
              </w:rPr>
              <w:t>4</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19</w:t>
            </w:r>
            <w:r w:rsidR="005C0067">
              <w:fldChar w:fldCharType="end"/>
            </w:r>
            <w:bookmarkEnd w:id="204"/>
            <w:r w:rsidR="001F21D2" w:rsidRPr="00875B2D">
              <w:t>. NHIS Income and Expenditures, 2005-2014</w:t>
            </w:r>
            <w:bookmarkEnd w:id="205"/>
          </w:p>
        </w:tc>
      </w:tr>
      <w:tr w:rsidR="001F21D2" w14:paraId="2592B1B8" w14:textId="77777777" w:rsidTr="00AC215E">
        <w:trPr>
          <w:trHeight w:val="2762"/>
          <w:jc w:val="center"/>
        </w:trPr>
        <w:tc>
          <w:tcPr>
            <w:tcW w:w="4776" w:type="dxa"/>
          </w:tcPr>
          <w:p w14:paraId="388370FF" w14:textId="77777777" w:rsidR="001F21D2" w:rsidRPr="00322917" w:rsidRDefault="00A61F5E" w:rsidP="005A7652">
            <w:pPr>
              <w:autoSpaceDE w:val="0"/>
              <w:autoSpaceDN w:val="0"/>
              <w:adjustRightInd w:val="0"/>
              <w:rPr>
                <w:rFonts w:ascii="Times New Roman" w:hAnsi="Times New Roman"/>
                <w:b/>
              </w:rPr>
            </w:pPr>
            <w:r>
              <w:rPr>
                <w:rFonts w:ascii="Times New Roman" w:hAnsi="Times New Roman"/>
                <w:b/>
                <w:noProof/>
              </w:rPr>
              <w:drawing>
                <wp:inline distT="0" distB="0" distL="0" distR="0" wp14:anchorId="15E5EB76" wp14:editId="3086CADC">
                  <wp:extent cx="3657600" cy="2130212"/>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81531" cy="2144150"/>
                          </a:xfrm>
                          <a:prstGeom prst="rect">
                            <a:avLst/>
                          </a:prstGeom>
                          <a:noFill/>
                        </pic:spPr>
                      </pic:pic>
                    </a:graphicData>
                  </a:graphic>
                </wp:inline>
              </w:drawing>
            </w:r>
          </w:p>
        </w:tc>
      </w:tr>
    </w:tbl>
    <w:p w14:paraId="07B89379" w14:textId="77777777" w:rsidR="001F21D2" w:rsidRPr="00F0436D" w:rsidRDefault="001F21D2" w:rsidP="001F21D2">
      <w:pPr>
        <w:ind w:left="1440" w:firstLine="720"/>
        <w:rPr>
          <w:sz w:val="20"/>
          <w:szCs w:val="20"/>
        </w:rPr>
      </w:pPr>
      <w:r w:rsidRPr="00F0436D">
        <w:rPr>
          <w:rFonts w:ascii="Garamond" w:hAnsi="Garamond"/>
          <w:i/>
          <w:sz w:val="20"/>
          <w:szCs w:val="20"/>
        </w:rPr>
        <w:t>Source</w:t>
      </w:r>
      <w:r w:rsidRPr="00F0436D">
        <w:rPr>
          <w:rFonts w:ascii="Garamond" w:hAnsi="Garamond"/>
          <w:sz w:val="20"/>
          <w:szCs w:val="20"/>
        </w:rPr>
        <w:t>: Authors’ figure based on NHIS financial statements.</w:t>
      </w:r>
    </w:p>
    <w:p w14:paraId="4EFE4234" w14:textId="77777777" w:rsidR="001F21D2" w:rsidRDefault="001F21D2" w:rsidP="00D46978">
      <w:pPr>
        <w:pStyle w:val="Heading3"/>
        <w:keepNext/>
      </w:pPr>
      <w:r w:rsidRPr="00875B2D">
        <w:t>Health Outcomes</w:t>
      </w:r>
    </w:p>
    <w:p w14:paraId="0B3E960B" w14:textId="77777777" w:rsidR="001F21D2" w:rsidRPr="004255EE" w:rsidRDefault="001F21D2" w:rsidP="00724BAB">
      <w:pPr>
        <w:pStyle w:val="ListParagraph"/>
        <w:numPr>
          <w:ilvl w:val="0"/>
          <w:numId w:val="10"/>
        </w:numPr>
        <w:tabs>
          <w:tab w:val="left" w:pos="720"/>
        </w:tabs>
        <w:autoSpaceDE w:val="0"/>
        <w:autoSpaceDN w:val="0"/>
        <w:adjustRightInd w:val="0"/>
        <w:rPr>
          <w:rFonts w:ascii="Times New Roman" w:hAnsi="Times New Roman"/>
        </w:rPr>
      </w:pPr>
      <w:r>
        <w:rPr>
          <w:b/>
        </w:rPr>
        <w:t>Ghana’s progress in improving key health indicators has not kept pace with its economic development</w:t>
      </w:r>
      <w:r w:rsidRPr="004255EE">
        <w:rPr>
          <w:b/>
        </w:rPr>
        <w:t>.</w:t>
      </w:r>
      <w:r w:rsidRPr="004255EE">
        <w:t xml:space="preserve"> </w:t>
      </w:r>
      <w:r>
        <w:t>Ghana’s</w:t>
      </w:r>
      <w:r w:rsidRPr="004255EE">
        <w:t xml:space="preserve"> per capita </w:t>
      </w:r>
      <w:r w:rsidR="003E3713">
        <w:t>gross national income (</w:t>
      </w:r>
      <w:r w:rsidRPr="004255EE">
        <w:t>GNI</w:t>
      </w:r>
      <w:r w:rsidR="009E7BC9">
        <w:t>)</w:t>
      </w:r>
      <w:r w:rsidRPr="004255EE">
        <w:t xml:space="preserve"> increased from </w:t>
      </w:r>
      <w:r w:rsidR="00D46978">
        <w:t xml:space="preserve">the bottom </w:t>
      </w:r>
      <w:r w:rsidRPr="004255EE">
        <w:t>20</w:t>
      </w:r>
      <w:r w:rsidRPr="004255EE">
        <w:rPr>
          <w:vertAlign w:val="superscript"/>
        </w:rPr>
        <w:t>th</w:t>
      </w:r>
      <w:r>
        <w:t xml:space="preserve"> in the world</w:t>
      </w:r>
      <w:r w:rsidRPr="004255EE">
        <w:t xml:space="preserve"> in 2002 to </w:t>
      </w:r>
      <w:r>
        <w:t>51</w:t>
      </w:r>
      <w:r w:rsidRPr="004255EE">
        <w:rPr>
          <w:vertAlign w:val="superscript"/>
        </w:rPr>
        <w:t>st</w:t>
      </w:r>
      <w:r>
        <w:t xml:space="preserve"> </w:t>
      </w:r>
      <w:r w:rsidRPr="004255EE">
        <w:t xml:space="preserve">in 2008, </w:t>
      </w:r>
      <w:r>
        <w:t>and since then it has</w:t>
      </w:r>
      <w:r w:rsidRPr="004255EE">
        <w:t xml:space="preserve"> remained between 45</w:t>
      </w:r>
      <w:r w:rsidRPr="001A40E9">
        <w:rPr>
          <w:vertAlign w:val="superscript"/>
        </w:rPr>
        <w:t>th</w:t>
      </w:r>
      <w:r w:rsidRPr="004255EE">
        <w:t xml:space="preserve"> and 49</w:t>
      </w:r>
      <w:r w:rsidRPr="001A40E9">
        <w:rPr>
          <w:vertAlign w:val="superscript"/>
        </w:rPr>
        <w:t>th</w:t>
      </w:r>
      <w:r>
        <w:t xml:space="preserve"> (</w:t>
      </w:r>
      <w:r w:rsidR="00A015A0">
        <w:fldChar w:fldCharType="begin"/>
      </w:r>
      <w:r w:rsidR="00A015A0">
        <w:instrText xml:space="preserve"> REF _Ref466726159 \h </w:instrText>
      </w:r>
      <w:r w:rsidR="00A015A0">
        <w:fldChar w:fldCharType="separate"/>
      </w:r>
      <w:r w:rsidR="007B1CE6">
        <w:t>Figure</w:t>
      </w:r>
      <w:r w:rsidR="007B1CE6" w:rsidRPr="00875B2D">
        <w:t xml:space="preserve"> </w:t>
      </w:r>
      <w:r w:rsidR="007B1CE6">
        <w:rPr>
          <w:noProof/>
        </w:rPr>
        <w:t>4</w:t>
      </w:r>
      <w:r w:rsidR="007B1CE6">
        <w:t>.</w:t>
      </w:r>
      <w:r w:rsidR="007B1CE6">
        <w:rPr>
          <w:noProof/>
        </w:rPr>
        <w:t>20</w:t>
      </w:r>
      <w:r w:rsidR="00A015A0">
        <w:fldChar w:fldCharType="end"/>
      </w:r>
      <w:r>
        <w:t>)</w:t>
      </w:r>
      <w:r w:rsidRPr="004255EE">
        <w:t xml:space="preserve">. However, </w:t>
      </w:r>
      <w:r>
        <w:t>its</w:t>
      </w:r>
      <w:r w:rsidRPr="004255EE">
        <w:t xml:space="preserve"> rank</w:t>
      </w:r>
      <w:r>
        <w:t>ing</w:t>
      </w:r>
      <w:r w:rsidRPr="004255EE">
        <w:t xml:space="preserve"> </w:t>
      </w:r>
      <w:r>
        <w:t>on</w:t>
      </w:r>
      <w:r w:rsidRPr="004255EE">
        <w:t xml:space="preserve"> three </w:t>
      </w:r>
      <w:r>
        <w:t xml:space="preserve">major </w:t>
      </w:r>
      <w:r w:rsidRPr="004255EE">
        <w:t xml:space="preserve">health outcome indicators </w:t>
      </w:r>
      <w:r>
        <w:t>began to</w:t>
      </w:r>
      <w:r w:rsidRPr="004255EE">
        <w:t xml:space="preserve"> declin</w:t>
      </w:r>
      <w:r>
        <w:t>e</w:t>
      </w:r>
      <w:r w:rsidRPr="004255EE">
        <w:t xml:space="preserve"> between 2005 and 2007</w:t>
      </w:r>
      <w:r>
        <w:t xml:space="preserve">. By 2008, </w:t>
      </w:r>
      <w:r w:rsidR="001D76F6">
        <w:t xml:space="preserve">Ghana’s ranking in </w:t>
      </w:r>
      <w:r w:rsidRPr="00E34239">
        <w:t xml:space="preserve">life expectancy and </w:t>
      </w:r>
      <w:r>
        <w:t>under-five mortality had both dropped</w:t>
      </w:r>
      <w:r w:rsidRPr="004255EE">
        <w:t xml:space="preserve"> below the</w:t>
      </w:r>
      <w:r>
        <w:t>ir</w:t>
      </w:r>
      <w:r w:rsidRPr="004255EE">
        <w:t xml:space="preserve"> 1990 level</w:t>
      </w:r>
      <w:r>
        <w:t>s, and Ghana’s</w:t>
      </w:r>
      <w:r w:rsidRPr="004255EE">
        <w:t xml:space="preserve"> rank</w:t>
      </w:r>
      <w:r>
        <w:t>ings</w:t>
      </w:r>
      <w:r w:rsidRPr="004255EE">
        <w:t xml:space="preserve"> </w:t>
      </w:r>
      <w:r>
        <w:t>for life expectancy, under-five mortality, maternal mortality</w:t>
      </w:r>
      <w:r w:rsidR="003907EE">
        <w:t>,</w:t>
      </w:r>
      <w:r>
        <w:t xml:space="preserve"> and total fertility</w:t>
      </w:r>
      <w:r w:rsidRPr="004255EE">
        <w:t xml:space="preserve"> </w:t>
      </w:r>
      <w:r>
        <w:t>have all fallen</w:t>
      </w:r>
      <w:r w:rsidRPr="004255EE">
        <w:t xml:space="preserve"> </w:t>
      </w:r>
      <w:r>
        <w:t>below its GNI per capita ra</w:t>
      </w:r>
      <w:r w:rsidR="003907EE">
        <w:t>n</w:t>
      </w:r>
      <w:r>
        <w:t>king</w:t>
      </w:r>
      <w:r w:rsidR="003907EE">
        <w:t xml:space="preserve"> since </w:t>
      </w:r>
      <w:r w:rsidR="003907EE" w:rsidRPr="004255EE">
        <w:t>2008</w:t>
      </w:r>
      <w:r w:rsidRPr="004255EE">
        <w:t xml:space="preserve">. </w:t>
      </w:r>
    </w:p>
    <w:p w14:paraId="7B0ECC9B" w14:textId="77777777" w:rsidR="001F21D2" w:rsidRPr="00875B2D" w:rsidRDefault="00657AA2" w:rsidP="00CC6F65">
      <w:pPr>
        <w:pStyle w:val="Caption"/>
      </w:pPr>
      <w:bookmarkStart w:id="206" w:name="_Ref466726159"/>
      <w:bookmarkStart w:id="207" w:name="_Toc454633638"/>
      <w:bookmarkStart w:id="208" w:name="_Toc479624945"/>
      <w:r>
        <w:t>Figure</w:t>
      </w:r>
      <w:r w:rsidR="001F21D2" w:rsidRPr="00875B2D">
        <w:t xml:space="preserve"> </w:t>
      </w:r>
      <w:r w:rsidR="005C0067">
        <w:fldChar w:fldCharType="begin"/>
      </w:r>
      <w:r w:rsidR="005C0067">
        <w:instrText xml:space="preserve"> STYLEREF 1 \s </w:instrText>
      </w:r>
      <w:r w:rsidR="005C0067">
        <w:fldChar w:fldCharType="separate"/>
      </w:r>
      <w:r w:rsidR="007B1CE6">
        <w:rPr>
          <w:noProof/>
        </w:rPr>
        <w:t>4</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20</w:t>
      </w:r>
      <w:r w:rsidR="005C0067">
        <w:fldChar w:fldCharType="end"/>
      </w:r>
      <w:bookmarkEnd w:id="206"/>
      <w:r w:rsidR="001F21D2" w:rsidRPr="00875B2D">
        <w:t>. Ghana’s Global Ranking on Economic and Health Outcome Indicators, 1990-2013</w:t>
      </w:r>
      <w:bookmarkEnd w:id="207"/>
      <w:bookmarkEnd w:id="208"/>
    </w:p>
    <w:p w14:paraId="01CC4163" w14:textId="77777777" w:rsidR="001F21D2" w:rsidRDefault="00A565B3" w:rsidP="001F21D2">
      <w:pPr>
        <w:autoSpaceDE w:val="0"/>
        <w:autoSpaceDN w:val="0"/>
        <w:adjustRightInd w:val="0"/>
        <w:spacing w:after="0" w:line="276" w:lineRule="auto"/>
        <w:jc w:val="center"/>
        <w:rPr>
          <w:rFonts w:ascii="Times New Roman" w:hAnsi="Times New Roman"/>
        </w:rPr>
      </w:pPr>
      <w:r>
        <w:rPr>
          <w:rFonts w:ascii="Times New Roman" w:hAnsi="Times New Roman"/>
          <w:noProof/>
        </w:rPr>
        <w:drawing>
          <wp:inline distT="0" distB="0" distL="0" distR="0" wp14:anchorId="3E212E37" wp14:editId="19F6DB16">
            <wp:extent cx="3633335" cy="2095500"/>
            <wp:effectExtent l="0" t="0" r="5715" b="0"/>
            <wp:docPr id="66562" name="Picture 6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46879" cy="2103311"/>
                    </a:xfrm>
                    <a:prstGeom prst="rect">
                      <a:avLst/>
                    </a:prstGeom>
                    <a:noFill/>
                  </pic:spPr>
                </pic:pic>
              </a:graphicData>
            </a:graphic>
          </wp:inline>
        </w:drawing>
      </w:r>
    </w:p>
    <w:p w14:paraId="13F515CF" w14:textId="77777777" w:rsidR="001F21D2" w:rsidRPr="001A40E9" w:rsidRDefault="001F21D2" w:rsidP="001F21D2">
      <w:pPr>
        <w:autoSpaceDE w:val="0"/>
        <w:autoSpaceDN w:val="0"/>
        <w:adjustRightInd w:val="0"/>
        <w:spacing w:after="0"/>
        <w:ind w:left="720" w:right="720"/>
        <w:rPr>
          <w:rFonts w:ascii="Garamond" w:hAnsi="Garamond"/>
          <w:sz w:val="20"/>
          <w:szCs w:val="20"/>
        </w:rPr>
      </w:pPr>
      <w:r w:rsidRPr="001A40E9">
        <w:rPr>
          <w:rFonts w:ascii="Garamond" w:hAnsi="Garamond"/>
          <w:i/>
          <w:sz w:val="20"/>
          <w:szCs w:val="20"/>
        </w:rPr>
        <w:t>Source</w:t>
      </w:r>
      <w:r w:rsidRPr="001A40E9">
        <w:rPr>
          <w:rFonts w:ascii="Garamond" w:hAnsi="Garamond"/>
          <w:sz w:val="20"/>
          <w:szCs w:val="20"/>
        </w:rPr>
        <w:t xml:space="preserve">: </w:t>
      </w:r>
      <w:r>
        <w:rPr>
          <w:rFonts w:ascii="Garamond" w:hAnsi="Garamond"/>
          <w:sz w:val="20"/>
          <w:szCs w:val="20"/>
        </w:rPr>
        <w:t>Authors’ figure based on World Development Indicators</w:t>
      </w:r>
      <w:r w:rsidRPr="004808C5">
        <w:rPr>
          <w:rFonts w:ascii="Garamond" w:hAnsi="Garamond"/>
          <w:sz w:val="20"/>
          <w:szCs w:val="20"/>
        </w:rPr>
        <w:t xml:space="preserve"> </w:t>
      </w:r>
      <w:r>
        <w:rPr>
          <w:rFonts w:ascii="Garamond" w:hAnsi="Garamond"/>
          <w:sz w:val="20"/>
          <w:szCs w:val="20"/>
        </w:rPr>
        <w:t>data.</w:t>
      </w:r>
    </w:p>
    <w:p w14:paraId="3C526B70" w14:textId="77777777" w:rsidR="001F21D2" w:rsidRPr="00F0436D" w:rsidRDefault="001F21D2" w:rsidP="001F21D2">
      <w:pPr>
        <w:autoSpaceDE w:val="0"/>
        <w:autoSpaceDN w:val="0"/>
        <w:adjustRightInd w:val="0"/>
        <w:spacing w:after="0"/>
        <w:ind w:left="720" w:right="720"/>
        <w:rPr>
          <w:rFonts w:ascii="Garamond" w:hAnsi="Garamond"/>
          <w:sz w:val="20"/>
          <w:szCs w:val="20"/>
        </w:rPr>
      </w:pPr>
      <w:r w:rsidRPr="001A40E9">
        <w:rPr>
          <w:rFonts w:ascii="Garamond" w:hAnsi="Garamond"/>
          <w:i/>
          <w:sz w:val="20"/>
          <w:szCs w:val="20"/>
        </w:rPr>
        <w:t>Note</w:t>
      </w:r>
      <w:r w:rsidRPr="001A40E9">
        <w:rPr>
          <w:rFonts w:ascii="Garamond" w:hAnsi="Garamond"/>
          <w:sz w:val="20"/>
          <w:szCs w:val="20"/>
        </w:rPr>
        <w:t>: In addition to life expectancy, the indicators shown above include the total fertility rate (TFR), the maternal mortality rate (MMR)</w:t>
      </w:r>
      <w:r w:rsidR="003907EE">
        <w:rPr>
          <w:rFonts w:ascii="Garamond" w:hAnsi="Garamond"/>
          <w:sz w:val="20"/>
          <w:szCs w:val="20"/>
        </w:rPr>
        <w:t>,</w:t>
      </w:r>
      <w:r w:rsidRPr="001A40E9">
        <w:rPr>
          <w:rFonts w:ascii="Garamond" w:hAnsi="Garamond"/>
          <w:sz w:val="20"/>
          <w:szCs w:val="20"/>
        </w:rPr>
        <w:t xml:space="preserve"> and the under-five mortality rate (U5M). Higher rankings indicate improvement relative to other countries</w:t>
      </w:r>
      <w:r w:rsidRPr="00F0436D">
        <w:rPr>
          <w:rFonts w:ascii="Garamond" w:hAnsi="Garamond"/>
          <w:sz w:val="20"/>
          <w:szCs w:val="20"/>
        </w:rPr>
        <w:t xml:space="preserve">. </w:t>
      </w:r>
    </w:p>
    <w:p w14:paraId="40F06BDF" w14:textId="77777777" w:rsidR="001F21D2" w:rsidRPr="004255EE" w:rsidRDefault="001F21D2" w:rsidP="00724BAB">
      <w:pPr>
        <w:pStyle w:val="ListParagraph"/>
        <w:numPr>
          <w:ilvl w:val="0"/>
          <w:numId w:val="10"/>
        </w:numPr>
        <w:tabs>
          <w:tab w:val="left" w:pos="720"/>
        </w:tabs>
        <w:autoSpaceDE w:val="0"/>
        <w:autoSpaceDN w:val="0"/>
        <w:adjustRightInd w:val="0"/>
        <w:spacing w:before="240"/>
      </w:pPr>
      <w:r>
        <w:rPr>
          <w:b/>
        </w:rPr>
        <w:lastRenderedPageBreak/>
        <w:t xml:space="preserve">In terms of key health indicators, </w:t>
      </w:r>
      <w:r w:rsidRPr="004255EE">
        <w:rPr>
          <w:b/>
        </w:rPr>
        <w:t>Ghana</w:t>
      </w:r>
      <w:r>
        <w:rPr>
          <w:b/>
        </w:rPr>
        <w:t xml:space="preserve"> performs well by the standards of other SSA countries at similar income levels</w:t>
      </w:r>
      <w:r w:rsidRPr="004255EE">
        <w:rPr>
          <w:b/>
        </w:rPr>
        <w:t xml:space="preserve">, but </w:t>
      </w:r>
      <w:r>
        <w:rPr>
          <w:b/>
        </w:rPr>
        <w:t>it compares far less favorably with countries</w:t>
      </w:r>
      <w:r w:rsidRPr="004255EE">
        <w:rPr>
          <w:b/>
        </w:rPr>
        <w:t xml:space="preserve"> </w:t>
      </w:r>
      <w:r>
        <w:rPr>
          <w:b/>
        </w:rPr>
        <w:t>at similar income levels</w:t>
      </w:r>
      <w:r w:rsidRPr="004255EE">
        <w:rPr>
          <w:b/>
        </w:rPr>
        <w:t xml:space="preserve"> outside </w:t>
      </w:r>
      <w:r w:rsidR="00F60EE5">
        <w:rPr>
          <w:b/>
        </w:rPr>
        <w:t>of</w:t>
      </w:r>
      <w:r w:rsidR="00F60EE5" w:rsidRPr="00927C12">
        <w:rPr>
          <w:b/>
        </w:rPr>
        <w:t xml:space="preserve"> </w:t>
      </w:r>
      <w:r w:rsidRPr="004255EE">
        <w:rPr>
          <w:b/>
        </w:rPr>
        <w:t>Africa.</w:t>
      </w:r>
      <w:r w:rsidRPr="004255EE">
        <w:t xml:space="preserve"> </w:t>
      </w:r>
      <w:r>
        <w:t xml:space="preserve">In 2013, </w:t>
      </w:r>
      <w:r w:rsidRPr="004255EE">
        <w:t xml:space="preserve">Nicaragua, </w:t>
      </w:r>
      <w:r>
        <w:t xml:space="preserve">the </w:t>
      </w:r>
      <w:r w:rsidRPr="004255EE">
        <w:t>Solomon Islands</w:t>
      </w:r>
      <w:r w:rsidR="002138BB">
        <w:t>,</w:t>
      </w:r>
      <w:r w:rsidRPr="004255EE">
        <w:t xml:space="preserve"> and Uzbekistan</w:t>
      </w:r>
      <w:r w:rsidR="00171B9C">
        <w:t xml:space="preserve"> ranked immediately above Ghana in terms of GNI per capita</w:t>
      </w:r>
      <w:r>
        <w:t>, while</w:t>
      </w:r>
      <w:r w:rsidRPr="004255EE">
        <w:t xml:space="preserve"> Vietnam, Zambia</w:t>
      </w:r>
      <w:r w:rsidR="002138BB">
        <w:t>,</w:t>
      </w:r>
      <w:r w:rsidRPr="004255EE">
        <w:t xml:space="preserve"> and Sudan</w:t>
      </w:r>
      <w:r w:rsidR="00171B9C">
        <w:t xml:space="preserve"> ranked </w:t>
      </w:r>
      <w:r w:rsidR="00171B9C" w:rsidRPr="004255EE">
        <w:t>below</w:t>
      </w:r>
      <w:r w:rsidRPr="004255EE">
        <w:t>.</w:t>
      </w:r>
      <w:r w:rsidRPr="004255EE">
        <w:rPr>
          <w:rStyle w:val="FootnoteReference"/>
        </w:rPr>
        <w:footnoteReference w:id="138"/>
      </w:r>
      <w:r w:rsidRPr="004255EE">
        <w:t xml:space="preserve"> </w:t>
      </w:r>
      <w:r>
        <w:t>T</w:t>
      </w:r>
      <w:r w:rsidRPr="004255EE">
        <w:t xml:space="preserve">he four </w:t>
      </w:r>
      <w:r>
        <w:t xml:space="preserve">non-SSA </w:t>
      </w:r>
      <w:r w:rsidRPr="004255EE">
        <w:t>countries fare</w:t>
      </w:r>
      <w:r w:rsidRPr="00927C12">
        <w:t>d</w:t>
      </w:r>
      <w:r w:rsidRPr="004255EE">
        <w:t xml:space="preserve"> significantly better </w:t>
      </w:r>
      <w:r w:rsidRPr="00927C12">
        <w:t>across</w:t>
      </w:r>
      <w:r w:rsidRPr="004255EE">
        <w:t xml:space="preserve"> all four indicators</w:t>
      </w:r>
      <w:r w:rsidRPr="00927C12">
        <w:t>, except for</w:t>
      </w:r>
      <w:r w:rsidRPr="004255EE">
        <w:t xml:space="preserve"> </w:t>
      </w:r>
      <w:r w:rsidRPr="00927C12">
        <w:t xml:space="preserve">the </w:t>
      </w:r>
      <w:r w:rsidRPr="004255EE">
        <w:t>Solomon Islands</w:t>
      </w:r>
      <w:r w:rsidRPr="00927C12">
        <w:t>, which had</w:t>
      </w:r>
      <w:r w:rsidRPr="004255EE">
        <w:t xml:space="preserve"> a similar </w:t>
      </w:r>
      <w:r>
        <w:t>total fertility rate (</w:t>
      </w:r>
      <w:r w:rsidR="00A015A0">
        <w:fldChar w:fldCharType="begin"/>
      </w:r>
      <w:r w:rsidR="00A015A0">
        <w:instrText xml:space="preserve"> REF _Ref467164979 \h </w:instrText>
      </w:r>
      <w:r w:rsidR="00A015A0">
        <w:fldChar w:fldCharType="separate"/>
      </w:r>
      <w:r w:rsidR="007B1CE6">
        <w:t xml:space="preserve">Figure </w:t>
      </w:r>
      <w:r w:rsidR="007B1CE6">
        <w:rPr>
          <w:noProof/>
        </w:rPr>
        <w:t>4</w:t>
      </w:r>
      <w:r w:rsidR="007B1CE6">
        <w:t>.</w:t>
      </w:r>
      <w:r w:rsidR="007B1CE6">
        <w:rPr>
          <w:noProof/>
        </w:rPr>
        <w:t>21</w:t>
      </w:r>
      <w:r w:rsidR="00A015A0">
        <w:fldChar w:fldCharType="end"/>
      </w:r>
      <w:r>
        <w:t>)</w:t>
      </w:r>
      <w:r w:rsidRPr="004255EE">
        <w:t>.</w:t>
      </w:r>
    </w:p>
    <w:p w14:paraId="62672F17" w14:textId="77777777" w:rsidR="001F21D2" w:rsidRDefault="00657AA2" w:rsidP="001F21D2">
      <w:pPr>
        <w:pStyle w:val="Caption"/>
      </w:pPr>
      <w:bookmarkStart w:id="209" w:name="_Ref467164979"/>
      <w:bookmarkStart w:id="210" w:name="_Toc479624946"/>
      <w:r>
        <w:t>Figure</w:t>
      </w:r>
      <w:r w:rsidR="001F21D2">
        <w:t xml:space="preserve"> </w:t>
      </w:r>
      <w:r w:rsidR="005C0067">
        <w:fldChar w:fldCharType="begin"/>
      </w:r>
      <w:r w:rsidR="005C0067">
        <w:instrText xml:space="preserve"> STYLEREF 1 \s </w:instrText>
      </w:r>
      <w:r w:rsidR="005C0067">
        <w:fldChar w:fldCharType="separate"/>
      </w:r>
      <w:r w:rsidR="007B1CE6">
        <w:rPr>
          <w:noProof/>
        </w:rPr>
        <w:t>4</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21</w:t>
      </w:r>
      <w:r w:rsidR="005C0067">
        <w:fldChar w:fldCharType="end"/>
      </w:r>
      <w:bookmarkEnd w:id="209"/>
      <w:r w:rsidR="001F21D2">
        <w:t xml:space="preserve">: </w:t>
      </w:r>
      <w:r w:rsidR="001F21D2" w:rsidRPr="00533642">
        <w:t>Health Outcome Indicators</w:t>
      </w:r>
      <w:r w:rsidR="001F21D2">
        <w:t xml:space="preserve"> in</w:t>
      </w:r>
      <w:r w:rsidR="001F21D2" w:rsidRPr="00533642">
        <w:t xml:space="preserve"> Ghana </w:t>
      </w:r>
      <w:r w:rsidR="001F21D2">
        <w:t xml:space="preserve">and </w:t>
      </w:r>
      <w:r w:rsidR="001F21D2" w:rsidRPr="00533642">
        <w:t>Countries with Similar Income Levels</w:t>
      </w:r>
      <w:bookmarkEnd w:id="210"/>
    </w:p>
    <w:p w14:paraId="2B866078" w14:textId="77777777" w:rsidR="001F21D2" w:rsidRPr="00533642" w:rsidRDefault="00C90878" w:rsidP="001F21D2">
      <w:pPr>
        <w:spacing w:after="120"/>
        <w:jc w:val="center"/>
        <w:rPr>
          <w:rFonts w:ascii="Garamond" w:hAnsi="Garamond"/>
        </w:rPr>
      </w:pPr>
      <w:r>
        <w:rPr>
          <w:rFonts w:ascii="Garamond" w:hAnsi="Garamond"/>
          <w:noProof/>
        </w:rPr>
        <w:drawing>
          <wp:inline distT="0" distB="0" distL="0" distR="0" wp14:anchorId="2E3F8C12" wp14:editId="56ED6767">
            <wp:extent cx="3022383" cy="1714500"/>
            <wp:effectExtent l="0" t="0" r="6985" b="0"/>
            <wp:docPr id="66565" name="Picture 6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31820" cy="1719853"/>
                    </a:xfrm>
                    <a:prstGeom prst="rect">
                      <a:avLst/>
                    </a:prstGeom>
                    <a:noFill/>
                  </pic:spPr>
                </pic:pic>
              </a:graphicData>
            </a:graphic>
          </wp:inline>
        </w:drawing>
      </w:r>
      <w:r>
        <w:rPr>
          <w:rFonts w:ascii="Garamond" w:hAnsi="Garamond"/>
          <w:noProof/>
        </w:rPr>
        <w:drawing>
          <wp:inline distT="0" distB="0" distL="0" distR="0" wp14:anchorId="6CA4C497" wp14:editId="0816BD76">
            <wp:extent cx="2838450" cy="1586832"/>
            <wp:effectExtent l="0" t="0" r="0" b="0"/>
            <wp:docPr id="66567" name="Picture 6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48746" cy="1592588"/>
                    </a:xfrm>
                    <a:prstGeom prst="rect">
                      <a:avLst/>
                    </a:prstGeom>
                    <a:noFill/>
                  </pic:spPr>
                </pic:pic>
              </a:graphicData>
            </a:graphic>
          </wp:inline>
        </w:drawing>
      </w:r>
    </w:p>
    <w:p w14:paraId="5D2FB0A3" w14:textId="77777777" w:rsidR="001F21D2" w:rsidRPr="00533642" w:rsidRDefault="00C90878" w:rsidP="001F21D2">
      <w:pPr>
        <w:spacing w:after="0"/>
        <w:jc w:val="center"/>
        <w:rPr>
          <w:rFonts w:ascii="Garamond" w:hAnsi="Garamond"/>
        </w:rPr>
      </w:pPr>
      <w:r>
        <w:rPr>
          <w:rFonts w:ascii="Garamond" w:hAnsi="Garamond"/>
          <w:noProof/>
        </w:rPr>
        <w:drawing>
          <wp:inline distT="0" distB="0" distL="0" distR="0" wp14:anchorId="6B6EFADB" wp14:editId="1B9A9D18">
            <wp:extent cx="2909979" cy="1638300"/>
            <wp:effectExtent l="0" t="0" r="5080" b="0"/>
            <wp:docPr id="66566" name="Picture 6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921255" cy="1644648"/>
                    </a:xfrm>
                    <a:prstGeom prst="rect">
                      <a:avLst/>
                    </a:prstGeom>
                    <a:noFill/>
                  </pic:spPr>
                </pic:pic>
              </a:graphicData>
            </a:graphic>
          </wp:inline>
        </w:drawing>
      </w:r>
      <w:r>
        <w:rPr>
          <w:rFonts w:ascii="Garamond" w:hAnsi="Garamond"/>
          <w:noProof/>
        </w:rPr>
        <w:drawing>
          <wp:inline distT="0" distB="0" distL="0" distR="0" wp14:anchorId="15896D2D" wp14:editId="542E0773">
            <wp:extent cx="3019418" cy="1685925"/>
            <wp:effectExtent l="0" t="0" r="0" b="0"/>
            <wp:docPr id="66569" name="Picture 6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29588" cy="1691604"/>
                    </a:xfrm>
                    <a:prstGeom prst="rect">
                      <a:avLst/>
                    </a:prstGeom>
                    <a:noFill/>
                  </pic:spPr>
                </pic:pic>
              </a:graphicData>
            </a:graphic>
          </wp:inline>
        </w:drawing>
      </w:r>
    </w:p>
    <w:p w14:paraId="09983D47" w14:textId="77777777" w:rsidR="001F21D2" w:rsidRPr="00F0436D" w:rsidRDefault="001F21D2" w:rsidP="001F21D2">
      <w:pPr>
        <w:pStyle w:val="ListParagraph"/>
        <w:numPr>
          <w:ilvl w:val="0"/>
          <w:numId w:val="0"/>
        </w:numPr>
        <w:rPr>
          <w:sz w:val="20"/>
          <w:szCs w:val="20"/>
        </w:rPr>
      </w:pPr>
      <w:r w:rsidRPr="00F0436D">
        <w:rPr>
          <w:i/>
          <w:sz w:val="20"/>
          <w:szCs w:val="20"/>
        </w:rPr>
        <w:t>Source</w:t>
      </w:r>
      <w:r w:rsidRPr="00F0436D">
        <w:rPr>
          <w:sz w:val="20"/>
          <w:szCs w:val="20"/>
        </w:rPr>
        <w:t>: Authors’ figures based on World Development Indicators</w:t>
      </w:r>
      <w:r w:rsidRPr="004808C5">
        <w:rPr>
          <w:sz w:val="20"/>
          <w:szCs w:val="20"/>
        </w:rPr>
        <w:t xml:space="preserve"> </w:t>
      </w:r>
      <w:r w:rsidRPr="00F0436D">
        <w:rPr>
          <w:sz w:val="20"/>
          <w:szCs w:val="20"/>
        </w:rPr>
        <w:t>data.</w:t>
      </w:r>
    </w:p>
    <w:p w14:paraId="30737B06" w14:textId="77777777" w:rsidR="001F21D2" w:rsidRDefault="001F21D2" w:rsidP="00724BAB">
      <w:pPr>
        <w:pStyle w:val="ListParagraph"/>
        <w:numPr>
          <w:ilvl w:val="0"/>
          <w:numId w:val="9"/>
        </w:numPr>
      </w:pPr>
      <w:r w:rsidRPr="001A40E9">
        <w:rPr>
          <w:b/>
        </w:rPr>
        <w:t>Within Ghana, there are significant disparities in health outcomes and service utilization indicators between different income groups.</w:t>
      </w:r>
      <w:r w:rsidRPr="004255EE">
        <w:t xml:space="preserve"> </w:t>
      </w:r>
      <w:r>
        <w:t>T</w:t>
      </w:r>
      <w:r w:rsidRPr="004255EE">
        <w:t xml:space="preserve">he </w:t>
      </w:r>
      <w:r>
        <w:t>total fertility rate</w:t>
      </w:r>
      <w:r w:rsidRPr="004255EE">
        <w:t xml:space="preserve"> </w:t>
      </w:r>
      <w:r>
        <w:t>among women in the lowest wealth quintile is more</w:t>
      </w:r>
      <w:r w:rsidRPr="004255EE">
        <w:t xml:space="preserve"> than double</w:t>
      </w:r>
      <w:r>
        <w:t xml:space="preserve"> that of women in the highest quintile</w:t>
      </w:r>
      <w:r w:rsidRPr="004255EE">
        <w:t xml:space="preserve"> (6.3 vs. 2.8), the </w:t>
      </w:r>
      <w:r w:rsidRPr="009D6C74">
        <w:t>stunting prevalence is almost triple</w:t>
      </w:r>
      <w:r>
        <w:t xml:space="preserve"> </w:t>
      </w:r>
      <w:r w:rsidRPr="009D6C74">
        <w:t xml:space="preserve">(24.8 </w:t>
      </w:r>
      <w:r w:rsidRPr="00875B2D">
        <w:t xml:space="preserve">vs. 8.5 percent), </w:t>
      </w:r>
      <w:r>
        <w:t>the under-five mortality rate</w:t>
      </w:r>
      <w:r w:rsidRPr="00875B2D">
        <w:t xml:space="preserve"> is 44 percent higher (92 vs. 64)</w:t>
      </w:r>
      <w:r w:rsidR="005045FA">
        <w:t>,</w:t>
      </w:r>
      <w:r w:rsidRPr="00875B2D">
        <w:t xml:space="preserve"> and anemia prevalence is 68 percent higher (79 vs. 47</w:t>
      </w:r>
      <w:r>
        <w:t xml:space="preserve"> percent</w:t>
      </w:r>
      <w:r w:rsidRPr="00875B2D">
        <w:t>)</w:t>
      </w:r>
      <w:r w:rsidRPr="00517BB1">
        <w:t xml:space="preserve"> </w:t>
      </w:r>
      <w:r>
        <w:t>(</w:t>
      </w:r>
      <w:r w:rsidR="00A015A0">
        <w:fldChar w:fldCharType="begin"/>
      </w:r>
      <w:r w:rsidR="00A015A0">
        <w:instrText xml:space="preserve"> REF _Ref467165367 \h </w:instrText>
      </w:r>
      <w:r w:rsidR="00A015A0">
        <w:fldChar w:fldCharType="separate"/>
      </w:r>
      <w:r w:rsidR="007B1CE6" w:rsidRPr="00B70790">
        <w:t xml:space="preserve">Figure </w:t>
      </w:r>
      <w:r w:rsidR="007B1CE6">
        <w:rPr>
          <w:noProof/>
        </w:rPr>
        <w:t>4</w:t>
      </w:r>
      <w:r w:rsidR="007B1CE6" w:rsidRPr="00B70790">
        <w:t>.</w:t>
      </w:r>
      <w:r w:rsidR="007B1CE6">
        <w:rPr>
          <w:noProof/>
        </w:rPr>
        <w:t>22</w:t>
      </w:r>
      <w:r w:rsidR="00A015A0">
        <w:fldChar w:fldCharType="end"/>
      </w:r>
      <w:r>
        <w:t>)</w:t>
      </w:r>
      <w:r w:rsidRPr="00875B2D">
        <w:t xml:space="preserve">. </w:t>
      </w:r>
      <w:r>
        <w:t xml:space="preserve">Moreover, health </w:t>
      </w:r>
      <w:r w:rsidRPr="009D6C74">
        <w:t xml:space="preserve">equity </w:t>
      </w:r>
      <w:r w:rsidRPr="00875B2D">
        <w:t xml:space="preserve">has not significantly improved during the past decade, except for some </w:t>
      </w:r>
      <w:r>
        <w:t xml:space="preserve">modest </w:t>
      </w:r>
      <w:r w:rsidRPr="00875B2D">
        <w:t xml:space="preserve">progress </w:t>
      </w:r>
      <w:r>
        <w:t>in</w:t>
      </w:r>
      <w:r w:rsidRPr="00875B2D">
        <w:t xml:space="preserve"> reducing stunting. </w:t>
      </w:r>
      <w:r>
        <w:t>Similar disparities are evident in the coverage of health services (</w:t>
      </w:r>
      <w:r w:rsidR="00A015A0">
        <w:fldChar w:fldCharType="begin"/>
      </w:r>
      <w:r w:rsidR="00A015A0">
        <w:instrText xml:space="preserve"> REF _Ref467165425 \h </w:instrText>
      </w:r>
      <w:r w:rsidR="00A015A0">
        <w:fldChar w:fldCharType="separate"/>
      </w:r>
      <w:r w:rsidR="007B1CE6">
        <w:t xml:space="preserve">Figure </w:t>
      </w:r>
      <w:r w:rsidR="007B1CE6">
        <w:rPr>
          <w:noProof/>
        </w:rPr>
        <w:t>4</w:t>
      </w:r>
      <w:r w:rsidR="007B1CE6">
        <w:t>.</w:t>
      </w:r>
      <w:r w:rsidR="007B1CE6">
        <w:rPr>
          <w:noProof/>
        </w:rPr>
        <w:t>23</w:t>
      </w:r>
      <w:r w:rsidR="00A015A0">
        <w:fldChar w:fldCharType="end"/>
      </w:r>
      <w:r>
        <w:t>). For example, the share of births attended by a skilled health worker among households</w:t>
      </w:r>
      <w:r w:rsidRPr="004255EE">
        <w:t xml:space="preserve"> in </w:t>
      </w:r>
      <w:r>
        <w:t>the wealthiest</w:t>
      </w:r>
      <w:r w:rsidRPr="004255EE">
        <w:t xml:space="preserve"> quintile </w:t>
      </w:r>
      <w:r>
        <w:t>is</w:t>
      </w:r>
      <w:r w:rsidRPr="00190DBB">
        <w:t xml:space="preserve"> </w:t>
      </w:r>
      <w:r w:rsidRPr="004255EE">
        <w:t>more than doubl</w:t>
      </w:r>
      <w:r>
        <w:t>e</w:t>
      </w:r>
      <w:r w:rsidRPr="004255EE">
        <w:t xml:space="preserve"> that of </w:t>
      </w:r>
      <w:r>
        <w:t>the poorest</w:t>
      </w:r>
      <w:r w:rsidRPr="004255EE">
        <w:t xml:space="preserve">. </w:t>
      </w:r>
    </w:p>
    <w:p w14:paraId="594371CA" w14:textId="77777777" w:rsidR="001F21D2" w:rsidRPr="00B70790" w:rsidRDefault="00657AA2" w:rsidP="001F21D2">
      <w:pPr>
        <w:pStyle w:val="Caption"/>
        <w:rPr>
          <w:lang w:val="en-US"/>
        </w:rPr>
      </w:pPr>
      <w:bookmarkStart w:id="211" w:name="_Ref467165367"/>
      <w:bookmarkStart w:id="212" w:name="_Toc479624947"/>
      <w:r w:rsidRPr="00B70790">
        <w:rPr>
          <w:lang w:val="en-US"/>
        </w:rPr>
        <w:lastRenderedPageBreak/>
        <w:t>Figure</w:t>
      </w:r>
      <w:r w:rsidR="001F21D2" w:rsidRPr="00B70790">
        <w:rPr>
          <w:lang w:val="en-US"/>
        </w:rPr>
        <w:t xml:space="preserve"> </w:t>
      </w:r>
      <w:r w:rsidR="005C0067" w:rsidRPr="00B70790">
        <w:rPr>
          <w:lang w:val="en-US"/>
        </w:rPr>
        <w:fldChar w:fldCharType="begin"/>
      </w:r>
      <w:r w:rsidR="005C0067" w:rsidRPr="00B70790">
        <w:rPr>
          <w:lang w:val="en-US"/>
        </w:rPr>
        <w:instrText xml:space="preserve"> STYLEREF 1 \s </w:instrText>
      </w:r>
      <w:r w:rsidR="005C0067" w:rsidRPr="00B70790">
        <w:rPr>
          <w:lang w:val="en-US"/>
        </w:rPr>
        <w:fldChar w:fldCharType="separate"/>
      </w:r>
      <w:r w:rsidR="007B1CE6">
        <w:rPr>
          <w:noProof/>
          <w:lang w:val="en-US"/>
        </w:rPr>
        <w:t>4</w:t>
      </w:r>
      <w:r w:rsidR="005C0067" w:rsidRPr="00B70790">
        <w:rPr>
          <w:lang w:val="en-US"/>
        </w:rPr>
        <w:fldChar w:fldCharType="end"/>
      </w:r>
      <w:r w:rsidR="005C0067" w:rsidRPr="00B70790">
        <w:rPr>
          <w:lang w:val="en-US"/>
        </w:rPr>
        <w:t>.</w:t>
      </w:r>
      <w:r w:rsidR="005C0067" w:rsidRPr="00B70790">
        <w:rPr>
          <w:lang w:val="en-US"/>
        </w:rPr>
        <w:fldChar w:fldCharType="begin"/>
      </w:r>
      <w:r w:rsidR="005C0067" w:rsidRPr="00B70790">
        <w:rPr>
          <w:lang w:val="en-US"/>
        </w:rPr>
        <w:instrText xml:space="preserve"> SEQ Figure \* ARABIC \s 1 </w:instrText>
      </w:r>
      <w:r w:rsidR="005C0067" w:rsidRPr="00B70790">
        <w:rPr>
          <w:lang w:val="en-US"/>
        </w:rPr>
        <w:fldChar w:fldCharType="separate"/>
      </w:r>
      <w:r w:rsidR="007B1CE6">
        <w:rPr>
          <w:noProof/>
          <w:lang w:val="en-US"/>
        </w:rPr>
        <w:t>22</w:t>
      </w:r>
      <w:r w:rsidR="005C0067" w:rsidRPr="00B70790">
        <w:rPr>
          <w:lang w:val="en-US"/>
        </w:rPr>
        <w:fldChar w:fldCharType="end"/>
      </w:r>
      <w:bookmarkEnd w:id="211"/>
      <w:r w:rsidR="001F21D2" w:rsidRPr="00B70790">
        <w:rPr>
          <w:lang w:val="en-US"/>
        </w:rPr>
        <w:t>: Equity in Health Outcomes, 2003-2014</w:t>
      </w:r>
      <w:bookmarkEnd w:id="212"/>
    </w:p>
    <w:p w14:paraId="0B713FB5" w14:textId="77777777" w:rsidR="001F21D2" w:rsidRPr="00533642" w:rsidRDefault="005650EC" w:rsidP="001F21D2">
      <w:pPr>
        <w:pStyle w:val="ListParagraph"/>
        <w:numPr>
          <w:ilvl w:val="0"/>
          <w:numId w:val="0"/>
        </w:numPr>
        <w:spacing w:after="0"/>
        <w:jc w:val="center"/>
      </w:pPr>
      <w:r>
        <w:rPr>
          <w:noProof/>
        </w:rPr>
        <w:drawing>
          <wp:inline distT="0" distB="0" distL="0" distR="0" wp14:anchorId="04E0B826" wp14:editId="3C053676">
            <wp:extent cx="2622226" cy="1581150"/>
            <wp:effectExtent l="0" t="0" r="6985" b="0"/>
            <wp:docPr id="66573" name="Picture 6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26929" cy="1583986"/>
                    </a:xfrm>
                    <a:prstGeom prst="rect">
                      <a:avLst/>
                    </a:prstGeom>
                    <a:noFill/>
                  </pic:spPr>
                </pic:pic>
              </a:graphicData>
            </a:graphic>
          </wp:inline>
        </w:drawing>
      </w:r>
      <w:r>
        <w:rPr>
          <w:noProof/>
        </w:rPr>
        <w:drawing>
          <wp:inline distT="0" distB="0" distL="0" distR="0" wp14:anchorId="2F073099" wp14:editId="41E02E5B">
            <wp:extent cx="2559040" cy="1543050"/>
            <wp:effectExtent l="0" t="0" r="0" b="0"/>
            <wp:docPr id="66574" name="Picture 6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72969" cy="1551449"/>
                    </a:xfrm>
                    <a:prstGeom prst="rect">
                      <a:avLst/>
                    </a:prstGeom>
                    <a:noFill/>
                  </pic:spPr>
                </pic:pic>
              </a:graphicData>
            </a:graphic>
          </wp:inline>
        </w:drawing>
      </w:r>
    </w:p>
    <w:p w14:paraId="12A5B6C2" w14:textId="77777777" w:rsidR="001F21D2" w:rsidRDefault="005650EC" w:rsidP="001F21D2">
      <w:pPr>
        <w:spacing w:after="0"/>
        <w:jc w:val="center"/>
        <w:rPr>
          <w:rFonts w:ascii="Garamond" w:hAnsi="Garamond"/>
        </w:rPr>
      </w:pPr>
      <w:r>
        <w:rPr>
          <w:rFonts w:ascii="Garamond" w:hAnsi="Garamond"/>
          <w:noProof/>
        </w:rPr>
        <w:drawing>
          <wp:inline distT="0" distB="0" distL="0" distR="0" wp14:anchorId="505F2B8E" wp14:editId="6E16BFE6">
            <wp:extent cx="2583074" cy="1571625"/>
            <wp:effectExtent l="0" t="0" r="8255" b="0"/>
            <wp:docPr id="66575" name="Picture 6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99495" cy="1581616"/>
                    </a:xfrm>
                    <a:prstGeom prst="rect">
                      <a:avLst/>
                    </a:prstGeom>
                    <a:noFill/>
                  </pic:spPr>
                </pic:pic>
              </a:graphicData>
            </a:graphic>
          </wp:inline>
        </w:drawing>
      </w:r>
      <w:r>
        <w:rPr>
          <w:rFonts w:ascii="Garamond" w:hAnsi="Garamond"/>
          <w:noProof/>
        </w:rPr>
        <w:drawing>
          <wp:inline distT="0" distB="0" distL="0" distR="0" wp14:anchorId="79CCC82C" wp14:editId="4028364C">
            <wp:extent cx="2575560" cy="1564897"/>
            <wp:effectExtent l="0" t="0" r="0" b="0"/>
            <wp:docPr id="66576" name="Picture 6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13697" cy="1588069"/>
                    </a:xfrm>
                    <a:prstGeom prst="rect">
                      <a:avLst/>
                    </a:prstGeom>
                    <a:noFill/>
                  </pic:spPr>
                </pic:pic>
              </a:graphicData>
            </a:graphic>
          </wp:inline>
        </w:drawing>
      </w:r>
    </w:p>
    <w:p w14:paraId="7A60E632" w14:textId="77777777" w:rsidR="001F21D2" w:rsidRPr="00F0436D" w:rsidRDefault="001F21D2" w:rsidP="001F21D2">
      <w:pPr>
        <w:ind w:firstLine="720"/>
        <w:rPr>
          <w:rFonts w:ascii="Garamond" w:hAnsi="Garamond"/>
          <w:sz w:val="20"/>
          <w:szCs w:val="20"/>
        </w:rPr>
      </w:pPr>
      <w:r w:rsidRPr="00F0436D">
        <w:rPr>
          <w:rFonts w:ascii="Garamond" w:hAnsi="Garamond"/>
          <w:i/>
          <w:sz w:val="20"/>
          <w:szCs w:val="20"/>
        </w:rPr>
        <w:t>Sources</w:t>
      </w:r>
      <w:r w:rsidRPr="00F0436D">
        <w:rPr>
          <w:rFonts w:ascii="Garamond" w:hAnsi="Garamond"/>
          <w:sz w:val="20"/>
          <w:szCs w:val="20"/>
        </w:rPr>
        <w:t xml:space="preserve">: Authors’ figures based on data from </w:t>
      </w:r>
      <w:r>
        <w:rPr>
          <w:rFonts w:ascii="Garamond" w:hAnsi="Garamond"/>
          <w:sz w:val="20"/>
          <w:szCs w:val="20"/>
        </w:rPr>
        <w:t xml:space="preserve">the </w:t>
      </w:r>
      <w:r w:rsidRPr="00F0436D">
        <w:rPr>
          <w:rFonts w:ascii="Garamond" w:hAnsi="Garamond"/>
          <w:sz w:val="20"/>
          <w:szCs w:val="20"/>
        </w:rPr>
        <w:t>2003, 2008 and 2014</w:t>
      </w:r>
      <w:r>
        <w:rPr>
          <w:rFonts w:ascii="Garamond" w:hAnsi="Garamond"/>
          <w:sz w:val="20"/>
          <w:szCs w:val="20"/>
        </w:rPr>
        <w:t xml:space="preserve"> </w:t>
      </w:r>
      <w:r w:rsidRPr="00D4625C">
        <w:rPr>
          <w:rFonts w:ascii="Garamond" w:hAnsi="Garamond"/>
          <w:sz w:val="20"/>
          <w:szCs w:val="20"/>
        </w:rPr>
        <w:t>Ghana DHS</w:t>
      </w:r>
      <w:r w:rsidRPr="00F0436D">
        <w:rPr>
          <w:rFonts w:ascii="Garamond" w:hAnsi="Garamond"/>
          <w:sz w:val="20"/>
          <w:szCs w:val="20"/>
        </w:rPr>
        <w:t>.</w:t>
      </w:r>
    </w:p>
    <w:p w14:paraId="726C156E" w14:textId="77777777" w:rsidR="001F21D2" w:rsidRDefault="00657AA2" w:rsidP="001F21D2">
      <w:pPr>
        <w:pStyle w:val="Caption"/>
      </w:pPr>
      <w:bookmarkStart w:id="213" w:name="_Ref467165425"/>
      <w:bookmarkStart w:id="214" w:name="_Toc479624948"/>
      <w:r>
        <w:t>Figure</w:t>
      </w:r>
      <w:r w:rsidR="001F21D2">
        <w:t xml:space="preserve"> </w:t>
      </w:r>
      <w:r w:rsidR="005C0067">
        <w:fldChar w:fldCharType="begin"/>
      </w:r>
      <w:r w:rsidR="005C0067">
        <w:instrText xml:space="preserve"> STYLEREF 1 \s </w:instrText>
      </w:r>
      <w:r w:rsidR="005C0067">
        <w:fldChar w:fldCharType="separate"/>
      </w:r>
      <w:r w:rsidR="007B1CE6">
        <w:rPr>
          <w:noProof/>
        </w:rPr>
        <w:t>4</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23</w:t>
      </w:r>
      <w:r w:rsidR="005C0067">
        <w:fldChar w:fldCharType="end"/>
      </w:r>
      <w:bookmarkEnd w:id="213"/>
      <w:r w:rsidR="001F21D2">
        <w:t xml:space="preserve">: </w:t>
      </w:r>
      <w:r w:rsidR="001F21D2" w:rsidRPr="00533642">
        <w:t>Coverage of Essential Services by Wealth Quintiles, 2003-2014</w:t>
      </w:r>
      <w:bookmarkEnd w:id="214"/>
    </w:p>
    <w:p w14:paraId="377F142C" w14:textId="77777777" w:rsidR="001F21D2" w:rsidRPr="00533642" w:rsidRDefault="00634793" w:rsidP="001F21D2">
      <w:pPr>
        <w:spacing w:after="0"/>
        <w:jc w:val="center"/>
        <w:rPr>
          <w:rFonts w:ascii="Garamond" w:hAnsi="Garamond"/>
        </w:rPr>
      </w:pPr>
      <w:r>
        <w:rPr>
          <w:rFonts w:ascii="Garamond" w:hAnsi="Garamond"/>
          <w:noProof/>
        </w:rPr>
        <w:drawing>
          <wp:inline distT="0" distB="0" distL="0" distR="0" wp14:anchorId="61B7D441" wp14:editId="6456A8DD">
            <wp:extent cx="2665016" cy="1619250"/>
            <wp:effectExtent l="0" t="0" r="2540" b="0"/>
            <wp:docPr id="66578" name="Picture 6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78743" cy="1627590"/>
                    </a:xfrm>
                    <a:prstGeom prst="rect">
                      <a:avLst/>
                    </a:prstGeom>
                    <a:noFill/>
                  </pic:spPr>
                </pic:pic>
              </a:graphicData>
            </a:graphic>
          </wp:inline>
        </w:drawing>
      </w:r>
      <w:r>
        <w:rPr>
          <w:rFonts w:ascii="Garamond" w:hAnsi="Garamond"/>
          <w:noProof/>
        </w:rPr>
        <w:drawing>
          <wp:inline distT="0" distB="0" distL="0" distR="0" wp14:anchorId="6B990BA9" wp14:editId="69614961">
            <wp:extent cx="2696369" cy="1638300"/>
            <wp:effectExtent l="0" t="0" r="8890" b="0"/>
            <wp:docPr id="66579" name="Picture 6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02953" cy="1642301"/>
                    </a:xfrm>
                    <a:prstGeom prst="rect">
                      <a:avLst/>
                    </a:prstGeom>
                    <a:noFill/>
                  </pic:spPr>
                </pic:pic>
              </a:graphicData>
            </a:graphic>
          </wp:inline>
        </w:drawing>
      </w:r>
    </w:p>
    <w:p w14:paraId="2135B587" w14:textId="77777777" w:rsidR="001F21D2" w:rsidRPr="00533642" w:rsidRDefault="00634793" w:rsidP="001F21D2">
      <w:pPr>
        <w:spacing w:after="0"/>
        <w:jc w:val="center"/>
        <w:rPr>
          <w:rFonts w:ascii="Garamond" w:hAnsi="Garamond"/>
        </w:rPr>
      </w:pPr>
      <w:r>
        <w:rPr>
          <w:rFonts w:ascii="Garamond" w:hAnsi="Garamond"/>
          <w:noProof/>
        </w:rPr>
        <w:drawing>
          <wp:inline distT="0" distB="0" distL="0" distR="0" wp14:anchorId="5448F929" wp14:editId="0E8B7B74">
            <wp:extent cx="2708314" cy="1647825"/>
            <wp:effectExtent l="0" t="0" r="0" b="0"/>
            <wp:docPr id="66581" name="Picture 6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14599" cy="1651649"/>
                    </a:xfrm>
                    <a:prstGeom prst="rect">
                      <a:avLst/>
                    </a:prstGeom>
                    <a:noFill/>
                  </pic:spPr>
                </pic:pic>
              </a:graphicData>
            </a:graphic>
          </wp:inline>
        </w:drawing>
      </w:r>
      <w:r>
        <w:rPr>
          <w:rFonts w:ascii="Garamond" w:hAnsi="Garamond"/>
          <w:noProof/>
        </w:rPr>
        <w:drawing>
          <wp:inline distT="0" distB="0" distL="0" distR="0" wp14:anchorId="180BD7A7" wp14:editId="195CD239">
            <wp:extent cx="2680692" cy="1628775"/>
            <wp:effectExtent l="0" t="0" r="5715" b="0"/>
            <wp:docPr id="66583" name="Picture 6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5033" cy="1637488"/>
                    </a:xfrm>
                    <a:prstGeom prst="rect">
                      <a:avLst/>
                    </a:prstGeom>
                    <a:noFill/>
                  </pic:spPr>
                </pic:pic>
              </a:graphicData>
            </a:graphic>
          </wp:inline>
        </w:drawing>
      </w:r>
    </w:p>
    <w:p w14:paraId="2481B1D8" w14:textId="77777777" w:rsidR="001F21D2" w:rsidRPr="00F0436D" w:rsidRDefault="001F21D2" w:rsidP="001F21D2">
      <w:pPr>
        <w:ind w:firstLine="720"/>
        <w:rPr>
          <w:rFonts w:ascii="Garamond" w:hAnsi="Garamond"/>
          <w:sz w:val="20"/>
          <w:szCs w:val="20"/>
        </w:rPr>
      </w:pPr>
      <w:r w:rsidRPr="00F0436D">
        <w:rPr>
          <w:rFonts w:ascii="Garamond" w:hAnsi="Garamond"/>
          <w:i/>
          <w:sz w:val="20"/>
          <w:szCs w:val="20"/>
        </w:rPr>
        <w:t>Source</w:t>
      </w:r>
      <w:r w:rsidRPr="00F0436D">
        <w:rPr>
          <w:rFonts w:ascii="Garamond" w:hAnsi="Garamond"/>
          <w:sz w:val="20"/>
          <w:szCs w:val="20"/>
        </w:rPr>
        <w:t xml:space="preserve">: Authors’ figures based on data from </w:t>
      </w:r>
      <w:r>
        <w:rPr>
          <w:rFonts w:ascii="Garamond" w:hAnsi="Garamond"/>
          <w:sz w:val="20"/>
          <w:szCs w:val="20"/>
        </w:rPr>
        <w:t xml:space="preserve">the </w:t>
      </w:r>
      <w:r w:rsidRPr="00F0436D">
        <w:rPr>
          <w:rFonts w:ascii="Garamond" w:hAnsi="Garamond"/>
          <w:sz w:val="20"/>
          <w:szCs w:val="20"/>
        </w:rPr>
        <w:t>2003, 2008 and 2014</w:t>
      </w:r>
      <w:r w:rsidRPr="00530B20">
        <w:rPr>
          <w:rFonts w:ascii="Garamond" w:hAnsi="Garamond"/>
          <w:sz w:val="20"/>
          <w:szCs w:val="20"/>
        </w:rPr>
        <w:t xml:space="preserve"> </w:t>
      </w:r>
      <w:r w:rsidRPr="00F94B95">
        <w:rPr>
          <w:rFonts w:ascii="Garamond" w:hAnsi="Garamond"/>
          <w:sz w:val="20"/>
          <w:szCs w:val="20"/>
        </w:rPr>
        <w:t>Ghana DHS</w:t>
      </w:r>
      <w:r w:rsidRPr="00F0436D">
        <w:rPr>
          <w:rFonts w:ascii="Garamond" w:hAnsi="Garamond"/>
          <w:sz w:val="20"/>
          <w:szCs w:val="20"/>
        </w:rPr>
        <w:t>.</w:t>
      </w:r>
    </w:p>
    <w:p w14:paraId="1E906EFB" w14:textId="77777777" w:rsidR="001F21D2" w:rsidRPr="00854AC2" w:rsidRDefault="001F21D2" w:rsidP="00B70790">
      <w:pPr>
        <w:pStyle w:val="Heading3"/>
        <w:keepNext/>
      </w:pPr>
      <w:r>
        <w:t xml:space="preserve">Financing Issues </w:t>
      </w:r>
    </w:p>
    <w:p w14:paraId="25FE5FE9" w14:textId="77777777" w:rsidR="001F21D2" w:rsidRPr="004255EE" w:rsidRDefault="001F21D2" w:rsidP="00724BAB">
      <w:pPr>
        <w:pStyle w:val="ListParagraph"/>
        <w:numPr>
          <w:ilvl w:val="0"/>
          <w:numId w:val="9"/>
        </w:numPr>
      </w:pPr>
      <w:r w:rsidRPr="005A39BA">
        <w:rPr>
          <w:b/>
        </w:rPr>
        <w:t xml:space="preserve">Health facilities are expected to deliver a wide range of preventive and clinical services, but they only have </w:t>
      </w:r>
      <w:r>
        <w:rPr>
          <w:b/>
        </w:rPr>
        <w:t>financial autonomy</w:t>
      </w:r>
      <w:r w:rsidRPr="005A39BA">
        <w:rPr>
          <w:b/>
        </w:rPr>
        <w:t xml:space="preserve"> over NHIS reimbursement</w:t>
      </w:r>
      <w:r>
        <w:rPr>
          <w:b/>
        </w:rPr>
        <w:t>s</w:t>
      </w:r>
      <w:r w:rsidRPr="005A39BA">
        <w:rPr>
          <w:b/>
        </w:rPr>
        <w:t xml:space="preserve"> and out-of-pocket </w:t>
      </w:r>
      <w:r w:rsidRPr="005A39BA">
        <w:rPr>
          <w:b/>
        </w:rPr>
        <w:lastRenderedPageBreak/>
        <w:t>payments.</w:t>
      </w:r>
      <w:r w:rsidRPr="005117FC">
        <w:t xml:space="preserve"> </w:t>
      </w:r>
      <w:r w:rsidRPr="004255EE">
        <w:t xml:space="preserve">Human resources are deployed </w:t>
      </w:r>
      <w:r>
        <w:t>at</w:t>
      </w:r>
      <w:r w:rsidRPr="004255EE">
        <w:t xml:space="preserve"> the central level</w:t>
      </w:r>
      <w:r>
        <w:t>,</w:t>
      </w:r>
      <w:r w:rsidRPr="004255EE">
        <w:t xml:space="preserve"> and </w:t>
      </w:r>
      <w:r>
        <w:t xml:space="preserve">staff </w:t>
      </w:r>
      <w:r w:rsidRPr="004255EE">
        <w:t xml:space="preserve">compensation </w:t>
      </w:r>
      <w:r>
        <w:t>is</w:t>
      </w:r>
      <w:r w:rsidRPr="004255EE">
        <w:t xml:space="preserve"> </w:t>
      </w:r>
      <w:r>
        <w:t>not linked to</w:t>
      </w:r>
      <w:r w:rsidRPr="004255EE">
        <w:t xml:space="preserve"> service </w:t>
      </w:r>
      <w:r>
        <w:t>quality or outcome indicators</w:t>
      </w:r>
      <w:r w:rsidRPr="004255EE">
        <w:t xml:space="preserve">. </w:t>
      </w:r>
      <w:r>
        <w:t xml:space="preserve">Health facilities’ financial reliance </w:t>
      </w:r>
      <w:r w:rsidRPr="004255EE">
        <w:t>on</w:t>
      </w:r>
      <w:r>
        <w:t xml:space="preserve"> the</w:t>
      </w:r>
      <w:r w:rsidRPr="004255EE">
        <w:t xml:space="preserve"> NHIS </w:t>
      </w:r>
      <w:r>
        <w:t xml:space="preserve">encourages them to focus on </w:t>
      </w:r>
      <w:r w:rsidRPr="004255EE">
        <w:t>NHIS</w:t>
      </w:r>
      <w:r>
        <w:t>-covered curative services, rather than on prevention</w:t>
      </w:r>
      <w:r w:rsidRPr="004255EE">
        <w:t>.</w:t>
      </w:r>
    </w:p>
    <w:p w14:paraId="2AB2477C" w14:textId="77777777" w:rsidR="001F21D2" w:rsidRPr="004255EE" w:rsidRDefault="001F21D2" w:rsidP="00724BAB">
      <w:pPr>
        <w:pStyle w:val="ListParagraph"/>
        <w:numPr>
          <w:ilvl w:val="0"/>
          <w:numId w:val="9"/>
        </w:numPr>
      </w:pPr>
      <w:r w:rsidRPr="005A39BA">
        <w:rPr>
          <w:b/>
        </w:rPr>
        <w:t xml:space="preserve">The NHIS pays </w:t>
      </w:r>
      <w:r>
        <w:rPr>
          <w:b/>
        </w:rPr>
        <w:t>higher reimbursement rates</w:t>
      </w:r>
      <w:r w:rsidRPr="005A39BA">
        <w:rPr>
          <w:b/>
        </w:rPr>
        <w:t xml:space="preserve"> </w:t>
      </w:r>
      <w:r>
        <w:rPr>
          <w:b/>
        </w:rPr>
        <w:t>to</w:t>
      </w:r>
      <w:r w:rsidRPr="005A39BA">
        <w:rPr>
          <w:b/>
        </w:rPr>
        <w:t xml:space="preserve"> private facilities, while heavily-subsidized government-owned facilities appear to be underutilized.</w:t>
      </w:r>
      <w:r w:rsidRPr="004255EE">
        <w:t xml:space="preserve"> The </w:t>
      </w:r>
      <w:r>
        <w:t xml:space="preserve">health sector’s </w:t>
      </w:r>
      <w:r w:rsidRPr="004255EE">
        <w:t xml:space="preserve">wage bill </w:t>
      </w:r>
      <w:r>
        <w:t xml:space="preserve">is substantial, reaching </w:t>
      </w:r>
      <w:r w:rsidRPr="004255EE">
        <w:t>GH</w:t>
      </w:r>
      <w:r w:rsidRPr="0061701E">
        <w:t>¢</w:t>
      </w:r>
      <w:r w:rsidRPr="004255EE">
        <w:t xml:space="preserve"> 1.5 billion in 2014, but public health </w:t>
      </w:r>
      <w:r>
        <w:t>workers</w:t>
      </w:r>
      <w:r w:rsidRPr="004255EE">
        <w:t xml:space="preserve"> </w:t>
      </w:r>
      <w:r w:rsidRPr="007B3B8C">
        <w:t xml:space="preserve">see </w:t>
      </w:r>
      <w:r>
        <w:t xml:space="preserve">an average of </w:t>
      </w:r>
      <w:r w:rsidRPr="004255EE">
        <w:t>only 2-</w:t>
      </w:r>
      <w:r>
        <w:t>3</w:t>
      </w:r>
      <w:r w:rsidRPr="004255EE">
        <w:t xml:space="preserve"> outpatient</w:t>
      </w:r>
      <w:r>
        <w:t xml:space="preserve">s </w:t>
      </w:r>
      <w:r w:rsidRPr="004255EE">
        <w:t xml:space="preserve">per working day. </w:t>
      </w:r>
      <w:r>
        <w:t>Meanwhile</w:t>
      </w:r>
      <w:r w:rsidRPr="004255EE">
        <w:t xml:space="preserve">, a large </w:t>
      </w:r>
      <w:r>
        <w:t>share</w:t>
      </w:r>
      <w:r w:rsidRPr="004255EE">
        <w:t xml:space="preserve"> of NHIS claims expenditure</w:t>
      </w:r>
      <w:r>
        <w:t>s</w:t>
      </w:r>
      <w:r w:rsidRPr="004255EE">
        <w:t xml:space="preserve"> </w:t>
      </w:r>
      <w:r>
        <w:t>go</w:t>
      </w:r>
      <w:r w:rsidRPr="004255EE">
        <w:t xml:space="preserve"> to private facilities</w:t>
      </w:r>
      <w:r>
        <w:t xml:space="preserve">, including </w:t>
      </w:r>
      <w:r w:rsidRPr="004255EE">
        <w:t xml:space="preserve">20 percent </w:t>
      </w:r>
      <w:r>
        <w:t xml:space="preserve">of claims expenditures </w:t>
      </w:r>
      <w:r w:rsidRPr="004255EE">
        <w:t>in</w:t>
      </w:r>
      <w:r>
        <w:t xml:space="preserve"> the</w:t>
      </w:r>
      <w:r w:rsidRPr="004255EE">
        <w:t xml:space="preserve"> Volta region</w:t>
      </w:r>
      <w:r>
        <w:t>. These claims are subject to</w:t>
      </w:r>
      <w:r w:rsidRPr="004255EE">
        <w:t xml:space="preserve"> higher </w:t>
      </w:r>
      <w:r>
        <w:t>reimbursement rates</w:t>
      </w:r>
      <w:r w:rsidRPr="004255EE">
        <w:t xml:space="preserve"> under the rationale that private facilities </w:t>
      </w:r>
      <w:r>
        <w:t>do not receive</w:t>
      </w:r>
      <w:r w:rsidRPr="004255EE">
        <w:t xml:space="preserve"> government subsid</w:t>
      </w:r>
      <w:r>
        <w:t>ies and are therefore more expensive to operate</w:t>
      </w:r>
      <w:r w:rsidRPr="004255EE">
        <w:t>.</w:t>
      </w:r>
    </w:p>
    <w:p w14:paraId="146D31B9" w14:textId="77777777" w:rsidR="001F21D2" w:rsidRPr="004255EE" w:rsidRDefault="001F21D2" w:rsidP="00724BAB">
      <w:pPr>
        <w:pStyle w:val="ListParagraph"/>
        <w:numPr>
          <w:ilvl w:val="0"/>
          <w:numId w:val="9"/>
        </w:numPr>
      </w:pPr>
      <w:r w:rsidRPr="00F76602">
        <w:rPr>
          <w:b/>
        </w:rPr>
        <w:t xml:space="preserve">The government’s increasing recourse to external borrowing and out-of-pocket payments to finance capital investment is increasing the fiscal burden on an already-stretched NHIS. </w:t>
      </w:r>
      <w:r w:rsidRPr="005A39BA">
        <w:t xml:space="preserve">Ongoing capital projects currently amount to at least </w:t>
      </w:r>
      <w:r>
        <w:t>GH¢ 6</w:t>
      </w:r>
      <w:r w:rsidRPr="005A39BA">
        <w:t xml:space="preserve"> billion, more than half </w:t>
      </w:r>
      <w:r>
        <w:t>of which is devoted to</w:t>
      </w:r>
      <w:r w:rsidRPr="005A39BA">
        <w:t xml:space="preserve"> secondary and tertiary facilities.</w:t>
      </w:r>
      <w:r w:rsidRPr="004255EE">
        <w:t xml:space="preserve"> </w:t>
      </w:r>
      <w:r>
        <w:t>Under the current system, patients tend to seek consultations and care at the most sophisticated health facilities, and hospital reimbursements are estimated to account for over</w:t>
      </w:r>
      <w:r w:rsidRPr="004255EE">
        <w:t xml:space="preserve"> 70 percent of NHIS expenditures. </w:t>
      </w:r>
      <w:r>
        <w:t>Without a proper referral system and appropriate financial incentives, the upgrading of secondary and tertiary facilities may further increase hospital reimbursements as a share of total NHIS expenditures.</w:t>
      </w:r>
    </w:p>
    <w:p w14:paraId="3C19393C" w14:textId="77777777" w:rsidR="001F21D2" w:rsidRPr="004255EE" w:rsidRDefault="001F21D2" w:rsidP="00724BAB">
      <w:pPr>
        <w:pStyle w:val="ListParagraph"/>
        <w:numPr>
          <w:ilvl w:val="0"/>
          <w:numId w:val="9"/>
        </w:numPr>
      </w:pPr>
      <w:r w:rsidRPr="008E5018">
        <w:rPr>
          <w:b/>
        </w:rPr>
        <w:t>The NHIS offers a generous benefit</w:t>
      </w:r>
      <w:r>
        <w:rPr>
          <w:b/>
        </w:rPr>
        <w:t>s</w:t>
      </w:r>
      <w:r w:rsidRPr="008E5018">
        <w:rPr>
          <w:b/>
        </w:rPr>
        <w:t xml:space="preserve"> package, but </w:t>
      </w:r>
      <w:r>
        <w:rPr>
          <w:b/>
        </w:rPr>
        <w:t xml:space="preserve">it </w:t>
      </w:r>
      <w:r w:rsidRPr="008E5018">
        <w:rPr>
          <w:b/>
        </w:rPr>
        <w:t>does not explicitly cover cost-effective preventive services</w:t>
      </w:r>
      <w:r>
        <w:rPr>
          <w:b/>
        </w:rPr>
        <w:t xml:space="preserve">, and these services are </w:t>
      </w:r>
      <w:r w:rsidRPr="008E5018">
        <w:rPr>
          <w:b/>
        </w:rPr>
        <w:t>either donor</w:t>
      </w:r>
      <w:r>
        <w:rPr>
          <w:b/>
        </w:rPr>
        <w:t xml:space="preserve"> </w:t>
      </w:r>
      <w:r w:rsidRPr="008E5018">
        <w:rPr>
          <w:b/>
        </w:rPr>
        <w:t>supported or underfunded.</w:t>
      </w:r>
      <w:r w:rsidRPr="004255EE">
        <w:t xml:space="preserve"> </w:t>
      </w:r>
      <w:r>
        <w:t xml:space="preserve">The </w:t>
      </w:r>
      <w:r w:rsidRPr="004255EE">
        <w:t xml:space="preserve">NHIS </w:t>
      </w:r>
      <w:r>
        <w:t xml:space="preserve">protects households from the financial </w:t>
      </w:r>
      <w:r w:rsidRPr="004255EE">
        <w:t xml:space="preserve">consequences of </w:t>
      </w:r>
      <w:r>
        <w:t xml:space="preserve">poorly </w:t>
      </w:r>
      <w:r w:rsidRPr="004255EE">
        <w:t xml:space="preserve">performing public health programs. </w:t>
      </w:r>
      <w:r>
        <w:t>Failing to implement an effective</w:t>
      </w:r>
      <w:r w:rsidRPr="004255EE">
        <w:t xml:space="preserve"> transition </w:t>
      </w:r>
      <w:r>
        <w:t xml:space="preserve">plan </w:t>
      </w:r>
      <w:r w:rsidRPr="004255EE">
        <w:t xml:space="preserve">for public health programs </w:t>
      </w:r>
      <w:r>
        <w:t xml:space="preserve">to assume greater responsibilities </w:t>
      </w:r>
      <w:r w:rsidRPr="004255EE">
        <w:t>when donors withdraw their support</w:t>
      </w:r>
      <w:r>
        <w:t xml:space="preserve"> could increase the financial burden on the NHIS</w:t>
      </w:r>
      <w:r w:rsidRPr="004255EE">
        <w:t xml:space="preserve">. </w:t>
      </w:r>
    </w:p>
    <w:p w14:paraId="2EB58106" w14:textId="77777777" w:rsidR="001F21D2" w:rsidRDefault="001F21D2" w:rsidP="00724BAB">
      <w:pPr>
        <w:pStyle w:val="ListParagraph"/>
        <w:numPr>
          <w:ilvl w:val="0"/>
          <w:numId w:val="9"/>
        </w:numPr>
      </w:pPr>
      <w:r w:rsidRPr="005117FC">
        <w:rPr>
          <w:b/>
        </w:rPr>
        <w:t xml:space="preserve">Both government financing and out-of-pocket payments have been increasing in absolute terms. </w:t>
      </w:r>
      <w:r w:rsidRPr="004255EE">
        <w:t>The introduction of</w:t>
      </w:r>
      <w:r>
        <w:t xml:space="preserve"> the</w:t>
      </w:r>
      <w:r w:rsidRPr="004255EE">
        <w:t xml:space="preserve"> NHIS and public</w:t>
      </w:r>
      <w:r>
        <w:t xml:space="preserve">ly </w:t>
      </w:r>
      <w:r w:rsidRPr="004255EE">
        <w:t xml:space="preserve">financed health facilities </w:t>
      </w:r>
      <w:r>
        <w:t>was</w:t>
      </w:r>
      <w:r w:rsidRPr="004255EE">
        <w:t xml:space="preserve"> </w:t>
      </w:r>
      <w:r>
        <w:t>intended</w:t>
      </w:r>
      <w:r w:rsidRPr="004255EE">
        <w:t xml:space="preserve"> to improve access to services and provide financial protection against catastrophic health </w:t>
      </w:r>
      <w:r>
        <w:t>expenses</w:t>
      </w:r>
      <w:r w:rsidRPr="004255EE">
        <w:t xml:space="preserve">. However, </w:t>
      </w:r>
      <w:r>
        <w:t>they have not</w:t>
      </w:r>
      <w:r w:rsidRPr="004255EE">
        <w:t xml:space="preserve"> stop</w:t>
      </w:r>
      <w:r>
        <w:t>ped</w:t>
      </w:r>
      <w:r w:rsidRPr="004255EE">
        <w:t xml:space="preserve"> </w:t>
      </w:r>
      <w:r>
        <w:t xml:space="preserve">the increase in </w:t>
      </w:r>
      <w:r w:rsidRPr="004255EE">
        <w:t>out-of-pocket payment</w:t>
      </w:r>
      <w:r>
        <w:t>s</w:t>
      </w:r>
      <w:r w:rsidRPr="004255EE">
        <w:t xml:space="preserve">. This raises concerns </w:t>
      </w:r>
      <w:r>
        <w:t>regarding the</w:t>
      </w:r>
      <w:r w:rsidRPr="004255EE">
        <w:t xml:space="preserve"> effectiveness of </w:t>
      </w:r>
      <w:r>
        <w:t xml:space="preserve">the </w:t>
      </w:r>
      <w:r w:rsidRPr="004255EE">
        <w:t xml:space="preserve">NHIS in </w:t>
      </w:r>
      <w:r>
        <w:t>shielding households from rising healthcare costs</w:t>
      </w:r>
      <w:r w:rsidRPr="004255EE">
        <w:t>.</w:t>
      </w:r>
    </w:p>
    <w:p w14:paraId="04238EF0" w14:textId="51A97942" w:rsidR="00C304B6" w:rsidRDefault="002B4979" w:rsidP="00C304B6">
      <w:pPr>
        <w:pStyle w:val="ListParagraph"/>
        <w:numPr>
          <w:ilvl w:val="0"/>
          <w:numId w:val="9"/>
        </w:numPr>
      </w:pPr>
      <w:r>
        <w:rPr>
          <w:b/>
        </w:rPr>
        <w:t>Public</w:t>
      </w:r>
      <w:r w:rsidR="00B24111">
        <w:rPr>
          <w:b/>
        </w:rPr>
        <w:t xml:space="preserve"> l</w:t>
      </w:r>
      <w:r w:rsidR="00C304B6" w:rsidRPr="0047632F">
        <w:rPr>
          <w:b/>
        </w:rPr>
        <w:t xml:space="preserve">iabilities </w:t>
      </w:r>
      <w:r>
        <w:rPr>
          <w:b/>
        </w:rPr>
        <w:t xml:space="preserve">in the health sector </w:t>
      </w:r>
      <w:r w:rsidR="00C304B6" w:rsidRPr="0047632F">
        <w:rPr>
          <w:b/>
        </w:rPr>
        <w:t>ha</w:t>
      </w:r>
      <w:r w:rsidR="00B24111">
        <w:rPr>
          <w:b/>
        </w:rPr>
        <w:t>ve</w:t>
      </w:r>
      <w:r w:rsidR="00C304B6" w:rsidRPr="0047632F">
        <w:rPr>
          <w:b/>
        </w:rPr>
        <w:t xml:space="preserve"> become an increasingly urgent issue for the </w:t>
      </w:r>
      <w:r w:rsidR="004F4C68">
        <w:rPr>
          <w:b/>
        </w:rPr>
        <w:t>g</w:t>
      </w:r>
      <w:r w:rsidR="00C304B6" w:rsidRPr="0047632F">
        <w:rPr>
          <w:b/>
        </w:rPr>
        <w:t xml:space="preserve">overnment. </w:t>
      </w:r>
      <w:r w:rsidR="00C304B6" w:rsidRPr="00857582">
        <w:t xml:space="preserve">This includes both </w:t>
      </w:r>
      <w:r w:rsidR="006D195C">
        <w:t>the g</w:t>
      </w:r>
      <w:r w:rsidR="00C304B6" w:rsidRPr="00857582">
        <w:t xml:space="preserve">overnment’s commitment to international organizations (e.g., </w:t>
      </w:r>
      <w:r w:rsidR="00C304B6">
        <w:t xml:space="preserve">co-financing for </w:t>
      </w:r>
      <w:r w:rsidR="00C304B6" w:rsidRPr="00857582">
        <w:t xml:space="preserve">GAVI and </w:t>
      </w:r>
      <w:r w:rsidR="006D195C">
        <w:t xml:space="preserve">the </w:t>
      </w:r>
      <w:r w:rsidR="00C304B6" w:rsidRPr="00857582">
        <w:t xml:space="preserve">Global Fund), and </w:t>
      </w:r>
      <w:r w:rsidR="002642FC">
        <w:t xml:space="preserve">the </w:t>
      </w:r>
      <w:r w:rsidR="00C304B6" w:rsidRPr="00857582">
        <w:t>NHIS’s liabilities to providers</w:t>
      </w:r>
      <w:r w:rsidR="00C304B6">
        <w:t xml:space="preserve"> in claims reimbursement</w:t>
      </w:r>
      <w:r w:rsidR="00C304B6" w:rsidRPr="00857582">
        <w:t xml:space="preserve">. </w:t>
      </w:r>
      <w:r w:rsidR="00B24111">
        <w:t>U</w:t>
      </w:r>
      <w:r w:rsidR="00C304B6">
        <w:t xml:space="preserve">rgent actions are required </w:t>
      </w:r>
      <w:r w:rsidR="00B24111">
        <w:t xml:space="preserve">by the government </w:t>
      </w:r>
      <w:r w:rsidR="00C304B6">
        <w:t xml:space="preserve">to balance the financial sheet in </w:t>
      </w:r>
      <w:r w:rsidR="006D195C">
        <w:t xml:space="preserve">the </w:t>
      </w:r>
      <w:r w:rsidR="00C304B6">
        <w:t xml:space="preserve">short term, and authorities </w:t>
      </w:r>
      <w:r w:rsidR="006D195C">
        <w:t xml:space="preserve">have </w:t>
      </w:r>
      <w:r w:rsidR="00C304B6">
        <w:t xml:space="preserve">already started taking discretionary actions </w:t>
      </w:r>
      <w:r w:rsidR="006D195C">
        <w:t xml:space="preserve">to secure </w:t>
      </w:r>
      <w:r w:rsidR="00C304B6">
        <w:t>GAVI co-financing. More importantly, the</w:t>
      </w:r>
      <w:r w:rsidR="00B24111">
        <w:t>se</w:t>
      </w:r>
      <w:r w:rsidR="00C304B6">
        <w:t xml:space="preserve"> challenge</w:t>
      </w:r>
      <w:r w:rsidR="00625B9E">
        <w:t>s are the result of</w:t>
      </w:r>
      <w:r w:rsidR="00C304B6">
        <w:t xml:space="preserve"> an ineffective health financing system that lack</w:t>
      </w:r>
      <w:r w:rsidR="003F4CEB">
        <w:t>s</w:t>
      </w:r>
      <w:r w:rsidR="00C304B6">
        <w:t xml:space="preserve">: a) </w:t>
      </w:r>
      <w:r w:rsidR="00625B9E">
        <w:t xml:space="preserve">an </w:t>
      </w:r>
      <w:r w:rsidR="00C304B6">
        <w:t xml:space="preserve">established mechanism </w:t>
      </w:r>
      <w:r w:rsidR="00625B9E">
        <w:t xml:space="preserve">to </w:t>
      </w:r>
      <w:r w:rsidR="00C304B6">
        <w:t>allocat</w:t>
      </w:r>
      <w:r w:rsidR="00625B9E">
        <w:t>e</w:t>
      </w:r>
      <w:r w:rsidR="00C304B6">
        <w:t xml:space="preserve"> resources to essential preventive programs; b) explicit incentives for providers to deliver preventive health services at good quality; c) systematic interventions to address inefficiency in </w:t>
      </w:r>
      <w:r w:rsidR="006D195C">
        <w:t xml:space="preserve">the </w:t>
      </w:r>
      <w:r w:rsidR="00C304B6">
        <w:t>overall health sector</w:t>
      </w:r>
      <w:r w:rsidR="006D195C">
        <w:t>,</w:t>
      </w:r>
      <w:r w:rsidR="00C304B6">
        <w:t xml:space="preserve"> including</w:t>
      </w:r>
      <w:r w:rsidR="006D195C">
        <w:t xml:space="preserve"> in the</w:t>
      </w:r>
      <w:r w:rsidR="00C304B6">
        <w:t xml:space="preserve"> NHIS; and d) </w:t>
      </w:r>
      <w:r w:rsidR="0011348B">
        <w:t>strong accountability</w:t>
      </w:r>
      <w:r w:rsidR="00C304B6">
        <w:t xml:space="preserve"> mechanisms to improv</w:t>
      </w:r>
      <w:r w:rsidR="006D195C">
        <w:t>e</w:t>
      </w:r>
      <w:r w:rsidR="00C304B6">
        <w:t xml:space="preserve"> service coverage and health outcomes</w:t>
      </w:r>
      <w:r w:rsidR="006D195C">
        <w:t>.</w:t>
      </w:r>
    </w:p>
    <w:p w14:paraId="632F32CD" w14:textId="77777777" w:rsidR="001F21D2" w:rsidRDefault="001F21D2" w:rsidP="009848C1">
      <w:pPr>
        <w:pStyle w:val="Heading3"/>
        <w:keepNext/>
        <w:spacing w:before="0" w:after="240"/>
      </w:pPr>
      <w:r>
        <w:lastRenderedPageBreak/>
        <w:t>Recommendations</w:t>
      </w:r>
    </w:p>
    <w:p w14:paraId="4544E591" w14:textId="6D9DC937" w:rsidR="00274020" w:rsidRPr="008E5018" w:rsidRDefault="00274020" w:rsidP="00274020">
      <w:pPr>
        <w:pStyle w:val="ListParagraph"/>
        <w:numPr>
          <w:ilvl w:val="0"/>
          <w:numId w:val="9"/>
        </w:numPr>
      </w:pPr>
      <w:r>
        <w:rPr>
          <w:b/>
        </w:rPr>
        <w:t>P</w:t>
      </w:r>
      <w:r w:rsidRPr="008E5018">
        <w:rPr>
          <w:b/>
        </w:rPr>
        <w:t xml:space="preserve">olicymakers should focus on improving the allocative and technical efficiency of health spending before devoting more resources to the sector. </w:t>
      </w:r>
      <w:r>
        <w:t>Health spending in</w:t>
      </w:r>
      <w:r w:rsidRPr="00867399">
        <w:t xml:space="preserve"> </w:t>
      </w:r>
      <w:r>
        <w:t>Ghana is modest</w:t>
      </w:r>
      <w:r w:rsidRPr="00F0436D">
        <w:t xml:space="preserve"> </w:t>
      </w:r>
      <w:r>
        <w:t xml:space="preserve">compared with that of other </w:t>
      </w:r>
      <w:r w:rsidRPr="00F0436D">
        <w:t>lower-middle income countries,</w:t>
      </w:r>
      <w:r>
        <w:t xml:space="preserve"> and</w:t>
      </w:r>
      <w:r w:rsidRPr="00F0436D">
        <w:t xml:space="preserve"> </w:t>
      </w:r>
      <w:r>
        <w:t>Ghana’s</w:t>
      </w:r>
      <w:r w:rsidRPr="008E5018">
        <w:t xml:space="preserve"> outcome indicators continue to lag </w:t>
      </w:r>
      <w:r>
        <w:t>those of</w:t>
      </w:r>
      <w:r w:rsidRPr="008E5018">
        <w:t xml:space="preserve"> </w:t>
      </w:r>
      <w:r>
        <w:t>its comparators</w:t>
      </w:r>
      <w:r w:rsidRPr="00D50669">
        <w:t>.</w:t>
      </w:r>
      <w:r>
        <w:t xml:space="preserve"> The section on financing issues identifies major sources of inefficiency, which underscores the multidimensional challenge of health sector reform</w:t>
      </w:r>
      <w:r w:rsidRPr="00207BBC">
        <w:t xml:space="preserve">. </w:t>
      </w:r>
      <w:r>
        <w:t xml:space="preserve">While the government should strive to allocate greater resources to the health sector over the long term, priority should be given to developing a strategic plan for enhancing </w:t>
      </w:r>
      <w:r w:rsidRPr="008E5018">
        <w:t>efficiency</w:t>
      </w:r>
      <w:r>
        <w:t xml:space="preserve"> in the sector</w:t>
      </w:r>
      <w:r w:rsidRPr="008E5018">
        <w:t xml:space="preserve">. </w:t>
      </w:r>
    </w:p>
    <w:p w14:paraId="7F27B973" w14:textId="557671B8" w:rsidR="00274020" w:rsidRPr="005C012E" w:rsidRDefault="00274020" w:rsidP="00274020">
      <w:pPr>
        <w:pStyle w:val="ListParagraph"/>
        <w:numPr>
          <w:ilvl w:val="0"/>
          <w:numId w:val="9"/>
        </w:numPr>
        <w:rPr>
          <w:b/>
        </w:rPr>
      </w:pPr>
      <w:r w:rsidRPr="00867399">
        <w:rPr>
          <w:b/>
        </w:rPr>
        <w:t>Strengthening results monitoring and accountability mechanisms will be critical to improve the performance of the health sector.</w:t>
      </w:r>
      <w:r w:rsidRPr="00D775DD">
        <w:rPr>
          <w:b/>
        </w:rPr>
        <w:t xml:space="preserve"> </w:t>
      </w:r>
      <w:r w:rsidRPr="00D50669">
        <w:t xml:space="preserve">The </w:t>
      </w:r>
      <w:r>
        <w:t>MoH</w:t>
      </w:r>
      <w:r w:rsidRPr="00D50669">
        <w:t xml:space="preserve"> spends the bulk of its resources on personnel costs, yet compensation does not reflect output or outcome indicators.</w:t>
      </w:r>
      <w:r w:rsidRPr="00867399">
        <w:t xml:space="preserve"> </w:t>
      </w:r>
      <w:r>
        <w:t>All compensations are fixed and do not reflect the number of patients seen, the number of cases in which treatment protocols were followed, or even the attendance rate of healthcare workers</w:t>
      </w:r>
      <w:r w:rsidRPr="00D775DD">
        <w:t xml:space="preserve">. </w:t>
      </w:r>
      <w:r>
        <w:t>I</w:t>
      </w:r>
      <w:r w:rsidRPr="00D775DD">
        <w:t>ntroduc</w:t>
      </w:r>
      <w:r>
        <w:t>ing</w:t>
      </w:r>
      <w:r w:rsidRPr="00D775DD">
        <w:t xml:space="preserve"> </w:t>
      </w:r>
      <w:r>
        <w:t>a system of well-designed</w:t>
      </w:r>
      <w:r w:rsidRPr="00D775DD">
        <w:t xml:space="preserve"> incentives and </w:t>
      </w:r>
      <w:r>
        <w:t xml:space="preserve">more comprehensive </w:t>
      </w:r>
      <w:r w:rsidRPr="00D775DD">
        <w:t>account</w:t>
      </w:r>
      <w:r>
        <w:t>ability mechanisms</w:t>
      </w:r>
      <w:r w:rsidRPr="00D775DD">
        <w:t xml:space="preserve"> </w:t>
      </w:r>
      <w:r>
        <w:t xml:space="preserve">at both the individual and facility level could greatly improve health outcomes at a modest fiscal </w:t>
      </w:r>
      <w:r w:rsidRPr="006B5805">
        <w:t>cost.</w:t>
      </w:r>
      <w:r w:rsidRPr="00867399">
        <w:t xml:space="preserve"> </w:t>
      </w:r>
      <w:r>
        <w:t xml:space="preserve">Actions should be taken to map out </w:t>
      </w:r>
      <w:r w:rsidR="00FC1E4A">
        <w:t xml:space="preserve">the </w:t>
      </w:r>
      <w:r>
        <w:t xml:space="preserve">existing system of measuring health worker performance, identify gaps, </w:t>
      </w:r>
      <w:r w:rsidR="00FC1E4A">
        <w:t xml:space="preserve">and </w:t>
      </w:r>
      <w:r>
        <w:t xml:space="preserve">introduce </w:t>
      </w:r>
      <w:r w:rsidR="00FC1E4A">
        <w:t xml:space="preserve">a </w:t>
      </w:r>
      <w:r>
        <w:t>new approach to measur</w:t>
      </w:r>
      <w:r w:rsidR="00355561">
        <w:t>ing</w:t>
      </w:r>
      <w:r>
        <w:t xml:space="preserve"> that is appropriate for </w:t>
      </w:r>
      <w:r w:rsidR="00FC1E4A">
        <w:t xml:space="preserve">the </w:t>
      </w:r>
      <w:r>
        <w:t xml:space="preserve">Ghanaian context. Following this, pilots should be put in place to </w:t>
      </w:r>
      <w:r w:rsidRPr="00867399">
        <w:t xml:space="preserve">link performance </w:t>
      </w:r>
      <w:r>
        <w:t xml:space="preserve">indicators </w:t>
      </w:r>
      <w:r w:rsidRPr="00867399">
        <w:t>to personnel compensation and insurance reimbursement</w:t>
      </w:r>
      <w:r>
        <w:t xml:space="preserve"> mechanisms so as to </w:t>
      </w:r>
      <w:r w:rsidR="00D9466F">
        <w:t>re</w:t>
      </w:r>
      <w:r>
        <w:t>ward good performance</w:t>
      </w:r>
      <w:r w:rsidRPr="00867399">
        <w:t xml:space="preserve">. </w:t>
      </w:r>
      <w:r>
        <w:t>Efforts to enhance performance monitoring</w:t>
      </w:r>
      <w:r w:rsidR="00890C2C">
        <w:t>, as well as link</w:t>
      </w:r>
      <w:r>
        <w:t xml:space="preserve"> payment</w:t>
      </w:r>
      <w:r w:rsidR="00890C2C">
        <w:t>s with performance</w:t>
      </w:r>
      <w:r>
        <w:t xml:space="preserve"> may begin with</w:t>
      </w:r>
      <w:r w:rsidRPr="00867399">
        <w:t xml:space="preserve"> preventive care</w:t>
      </w:r>
      <w:r>
        <w:t xml:space="preserve">, where </w:t>
      </w:r>
      <w:r w:rsidRPr="00867399">
        <w:t xml:space="preserve">performance is </w:t>
      </w:r>
      <w:r>
        <w:t xml:space="preserve">mostly essential and often </w:t>
      </w:r>
      <w:r w:rsidRPr="00867399">
        <w:t xml:space="preserve">easier to measure.  </w:t>
      </w:r>
      <w:r w:rsidRPr="005C012E">
        <w:t xml:space="preserve">  </w:t>
      </w:r>
    </w:p>
    <w:p w14:paraId="32025F73" w14:textId="77777777" w:rsidR="00274020" w:rsidRPr="00867399" w:rsidRDefault="00274020" w:rsidP="00274020">
      <w:pPr>
        <w:pStyle w:val="ListParagraph"/>
        <w:numPr>
          <w:ilvl w:val="0"/>
          <w:numId w:val="9"/>
        </w:numPr>
      </w:pPr>
      <w:r w:rsidRPr="009C13CF">
        <w:rPr>
          <w:b/>
        </w:rPr>
        <w:t xml:space="preserve">Capital investment should </w:t>
      </w:r>
      <w:r>
        <w:rPr>
          <w:b/>
        </w:rPr>
        <w:t>be rebalanced toward primary</w:t>
      </w:r>
      <w:r w:rsidRPr="009C13CF">
        <w:rPr>
          <w:b/>
        </w:rPr>
        <w:t xml:space="preserve"> care</w:t>
      </w:r>
      <w:r>
        <w:rPr>
          <w:b/>
        </w:rPr>
        <w:t xml:space="preserve"> providers</w:t>
      </w:r>
      <w:r w:rsidRPr="009C13CF">
        <w:rPr>
          <w:b/>
        </w:rPr>
        <w:t>.</w:t>
      </w:r>
      <w:r w:rsidRPr="00C328DC">
        <w:t xml:space="preserve"> The </w:t>
      </w:r>
      <w:r>
        <w:t>implementation of the MoH</w:t>
      </w:r>
      <w:r w:rsidRPr="00C328DC">
        <w:t xml:space="preserve"> </w:t>
      </w:r>
      <w:r>
        <w:t xml:space="preserve">capital </w:t>
      </w:r>
      <w:r w:rsidRPr="00C328DC">
        <w:t xml:space="preserve">investment plan </w:t>
      </w:r>
      <w:r>
        <w:t>focuses</w:t>
      </w:r>
      <w:r w:rsidRPr="00C328DC">
        <w:t xml:space="preserve"> a large share of resources </w:t>
      </w:r>
      <w:r>
        <w:t>on</w:t>
      </w:r>
      <w:r w:rsidRPr="00C328DC">
        <w:t xml:space="preserve"> </w:t>
      </w:r>
      <w:r>
        <w:t>hospitals</w:t>
      </w:r>
      <w:r w:rsidRPr="00C328DC">
        <w:t xml:space="preserve"> </w:t>
      </w:r>
      <w:r>
        <w:t xml:space="preserve">and other tertiary facilities that specialize in more </w:t>
      </w:r>
      <w:r w:rsidRPr="00C328DC">
        <w:t xml:space="preserve">sophisticated </w:t>
      </w:r>
      <w:r>
        <w:t>and costly forms of treatment</w:t>
      </w:r>
      <w:r w:rsidRPr="00C328DC">
        <w:t xml:space="preserve">. </w:t>
      </w:r>
      <w:r>
        <w:t>By contrast</w:t>
      </w:r>
      <w:r w:rsidRPr="00C328DC">
        <w:t xml:space="preserve">, </w:t>
      </w:r>
      <w:r>
        <w:t>primary</w:t>
      </w:r>
      <w:r w:rsidRPr="00C328DC">
        <w:t xml:space="preserve"> care facilities</w:t>
      </w:r>
      <w:r>
        <w:t>,</w:t>
      </w:r>
      <w:r w:rsidRPr="00C328DC">
        <w:t xml:space="preserve"> such as health centers and </w:t>
      </w:r>
      <w:r w:rsidRPr="00465A6C">
        <w:t>Ghana Hea</w:t>
      </w:r>
      <w:r>
        <w:t>l</w:t>
      </w:r>
      <w:r w:rsidRPr="00465A6C">
        <w:t>th Service Community-Based Health Planning and Services</w:t>
      </w:r>
      <w:r w:rsidRPr="00C328DC">
        <w:t xml:space="preserve"> compounds</w:t>
      </w:r>
      <w:r>
        <w:t>,</w:t>
      </w:r>
      <w:r w:rsidRPr="00C328DC">
        <w:t xml:space="preserve"> tend to deliver much more cost-effective services</w:t>
      </w:r>
      <w:r>
        <w:t>, but they do not receive sufficient resources for capital investment</w:t>
      </w:r>
      <w:r w:rsidRPr="00C328DC">
        <w:t>. Further borrowing to finance capital investment should be evaluated in terms of sector-wide efficiency</w:t>
      </w:r>
      <w:r>
        <w:t xml:space="preserve"> and</w:t>
      </w:r>
      <w:r w:rsidRPr="00C328DC">
        <w:t xml:space="preserve"> not solely on the basis of individual projects. The government should also encourage investors to </w:t>
      </w:r>
      <w:r>
        <w:t>devote more attention to</w:t>
      </w:r>
      <w:r w:rsidRPr="00C328DC">
        <w:t xml:space="preserve"> basic care facilities </w:t>
      </w:r>
      <w:r>
        <w:t xml:space="preserve">in order </w:t>
      </w:r>
      <w:r w:rsidRPr="00C328DC">
        <w:t>to ensure the balanced development of the healthcare system.</w:t>
      </w:r>
      <w:r w:rsidRPr="006A3007">
        <w:rPr>
          <w:b/>
        </w:rPr>
        <w:t xml:space="preserve"> </w:t>
      </w:r>
    </w:p>
    <w:p w14:paraId="20147D32" w14:textId="77777777" w:rsidR="00274020" w:rsidRPr="007A4C83" w:rsidRDefault="00274020" w:rsidP="00274020">
      <w:pPr>
        <w:pStyle w:val="ListParagraph"/>
        <w:numPr>
          <w:ilvl w:val="0"/>
          <w:numId w:val="9"/>
        </w:numPr>
      </w:pPr>
      <w:r w:rsidRPr="005842FE">
        <w:rPr>
          <w:b/>
        </w:rPr>
        <w:t xml:space="preserve">Policymakers should develop a strategy </w:t>
      </w:r>
      <w:r>
        <w:rPr>
          <w:b/>
        </w:rPr>
        <w:t xml:space="preserve">on how to finance </w:t>
      </w:r>
      <w:r w:rsidRPr="005842FE">
        <w:rPr>
          <w:b/>
        </w:rPr>
        <w:t>preventive care that reflects the gradual drawdown of donor support anticipated over the medium term.</w:t>
      </w:r>
      <w:r>
        <w:t xml:space="preserve"> Most of Ghana’s </w:t>
      </w:r>
      <w:r w:rsidRPr="005842FE">
        <w:t xml:space="preserve">preventive care </w:t>
      </w:r>
      <w:r>
        <w:t>services, including immunization and malaria prevention and control</w:t>
      </w:r>
      <w:r w:rsidRPr="00EE2506">
        <w:t xml:space="preserve"> </w:t>
      </w:r>
      <w:r w:rsidRPr="00A82E90">
        <w:t>programs</w:t>
      </w:r>
      <w:r>
        <w:t>,</w:t>
      </w:r>
      <w:r w:rsidRPr="005842FE">
        <w:t xml:space="preserve"> are </w:t>
      </w:r>
      <w:r>
        <w:t>either donor-financed or underfunded</w:t>
      </w:r>
      <w:r w:rsidRPr="005842FE">
        <w:t xml:space="preserve">. </w:t>
      </w:r>
      <w:r>
        <w:t>S</w:t>
      </w:r>
      <w:r w:rsidRPr="00940698">
        <w:t xml:space="preserve">uccessful </w:t>
      </w:r>
      <w:r>
        <w:t>preventive care programs greatly reduce the cost of treatment</w:t>
      </w:r>
      <w:r w:rsidRPr="00207BBC">
        <w:t xml:space="preserve">, </w:t>
      </w:r>
      <w:r>
        <w:t>which is essential to control public health spending. As donors gradually withdraw their support from the health sector, the government will need to formulate a transition plan to assume responsibility for providing these services</w:t>
      </w:r>
      <w:r w:rsidRPr="005842FE">
        <w:t xml:space="preserve">. </w:t>
      </w:r>
      <w:r>
        <w:t xml:space="preserve">Preventive services that are currently underfunded, such as the prevention of chronic diseases, should be integrated into the existing system. In order for health facilities to provide these services, </w:t>
      </w:r>
      <w:r w:rsidRPr="00207BBC">
        <w:t xml:space="preserve">sufficient resources </w:t>
      </w:r>
      <w:r>
        <w:t>will need to be allocated</w:t>
      </w:r>
      <w:r w:rsidRPr="00207BBC">
        <w:t xml:space="preserve"> at </w:t>
      </w:r>
      <w:r>
        <w:t xml:space="preserve">the </w:t>
      </w:r>
      <w:r w:rsidRPr="00207BBC">
        <w:t xml:space="preserve">facility and community level, </w:t>
      </w:r>
      <w:r>
        <w:t>with higher level agencies providing</w:t>
      </w:r>
      <w:r w:rsidRPr="00207BBC">
        <w:t xml:space="preserve"> technical support </w:t>
      </w:r>
      <w:r>
        <w:t>as needed</w:t>
      </w:r>
      <w:r w:rsidRPr="00207BBC">
        <w:t xml:space="preserve">. </w:t>
      </w:r>
      <w:r>
        <w:t xml:space="preserve">Dedicated </w:t>
      </w:r>
      <w:r w:rsidRPr="00207BBC">
        <w:t>funding mechanisms</w:t>
      </w:r>
      <w:r>
        <w:t xml:space="preserve"> that integrate performance indicators</w:t>
      </w:r>
      <w:r w:rsidRPr="00207BBC">
        <w:t xml:space="preserve"> </w:t>
      </w:r>
      <w:r>
        <w:t>will be crucial to</w:t>
      </w:r>
      <w:r w:rsidRPr="00207BBC">
        <w:t xml:space="preserve"> ensur</w:t>
      </w:r>
      <w:r>
        <w:t>e program</w:t>
      </w:r>
      <w:r w:rsidRPr="00207BBC">
        <w:t xml:space="preserve"> sustainability</w:t>
      </w:r>
      <w:r>
        <w:t xml:space="preserve">. </w:t>
      </w:r>
    </w:p>
    <w:p w14:paraId="4D13A667" w14:textId="568D3ECB" w:rsidR="00274020" w:rsidRPr="00207BBC" w:rsidRDefault="00274020" w:rsidP="00274020">
      <w:pPr>
        <w:pStyle w:val="ListParagraph"/>
        <w:numPr>
          <w:ilvl w:val="0"/>
          <w:numId w:val="9"/>
        </w:numPr>
      </w:pPr>
      <w:r w:rsidRPr="00D2339A">
        <w:rPr>
          <w:b/>
        </w:rPr>
        <w:t xml:space="preserve">Finally, the NHIS should explore opportunities to increase its expenditure efficiency through strategic purchasing. </w:t>
      </w:r>
      <w:r w:rsidRPr="00D2339A">
        <w:t xml:space="preserve">Cost-sharing rules and the design of the insurance benefits package </w:t>
      </w:r>
      <w:r w:rsidRPr="00D2339A">
        <w:lastRenderedPageBreak/>
        <w:t>should encourage patients to seek out more cost-effective forms of care. Building on lessons learned from the international experience, the NHIA should attempt</w:t>
      </w:r>
      <w:r>
        <w:t xml:space="preserve"> to</w:t>
      </w:r>
      <w:r w:rsidRPr="00D2339A">
        <w:t xml:space="preserve"> </w:t>
      </w:r>
      <w:r>
        <w:t>develop an optimal</w:t>
      </w:r>
      <w:r w:rsidRPr="00D2339A">
        <w:t xml:space="preserve"> benefit</w:t>
      </w:r>
      <w:r>
        <w:t>s</w:t>
      </w:r>
      <w:r w:rsidRPr="00D2339A">
        <w:t xml:space="preserve"> package</w:t>
      </w:r>
      <w:r>
        <w:t xml:space="preserve"> and define an explicit list of covered health services</w:t>
      </w:r>
      <w:r w:rsidRPr="00D2339A">
        <w:t xml:space="preserve">. </w:t>
      </w:r>
      <w:r>
        <w:t xml:space="preserve">Different cost-sharing arrangements should be designed for preventive and curative care, and for providers at the primary, secondary, and tertiary levels of the healthcare system, so that patients are encouraged to use </w:t>
      </w:r>
      <w:r w:rsidR="009F5165">
        <w:t xml:space="preserve">care </w:t>
      </w:r>
      <w:r>
        <w:t>more cost-effective</w:t>
      </w:r>
      <w:r w:rsidR="009F5165">
        <w:t>ly</w:t>
      </w:r>
      <w:r>
        <w:t xml:space="preserve">. As outpatient consultations consume a significant portion of NHIS resources, policymakers should explore more cost-effective alternatives for delivering outpatient services, such as group sessions for health education and chronic disease management or a simplified system for acquiring pharmaceutical refills. </w:t>
      </w:r>
    </w:p>
    <w:p w14:paraId="05E3A2F3" w14:textId="7062A70C" w:rsidR="00274020" w:rsidRDefault="00274020" w:rsidP="00274020">
      <w:pPr>
        <w:pStyle w:val="ListParagraph"/>
        <w:numPr>
          <w:ilvl w:val="0"/>
          <w:numId w:val="9"/>
        </w:numPr>
      </w:pPr>
      <w:r>
        <w:rPr>
          <w:b/>
        </w:rPr>
        <w:t>Provider p</w:t>
      </w:r>
      <w:r w:rsidRPr="00207BBC">
        <w:rPr>
          <w:b/>
        </w:rPr>
        <w:t>ayment mechanism</w:t>
      </w:r>
      <w:r>
        <w:rPr>
          <w:b/>
        </w:rPr>
        <w:t xml:space="preserve">s should be designed to promote cost-consciousness and incentivize high-quality services. </w:t>
      </w:r>
      <w:r w:rsidRPr="00D2339A">
        <w:t xml:space="preserve">The current </w:t>
      </w:r>
      <w:r>
        <w:t xml:space="preserve">system, in which </w:t>
      </w:r>
      <w:r w:rsidRPr="00D2339A">
        <w:t>providers pass</w:t>
      </w:r>
      <w:r>
        <w:t xml:space="preserve"> the</w:t>
      </w:r>
      <w:r w:rsidRPr="00D2339A">
        <w:t xml:space="preserve"> entire cost </w:t>
      </w:r>
      <w:r>
        <w:t xml:space="preserve">of care on </w:t>
      </w:r>
      <w:r w:rsidRPr="00D2339A">
        <w:t xml:space="preserve">to </w:t>
      </w:r>
      <w:r>
        <w:t xml:space="preserve">the </w:t>
      </w:r>
      <w:r w:rsidRPr="00D2339A">
        <w:t>NHIS and patients</w:t>
      </w:r>
      <w:r>
        <w:t>, does not encourage efficiency or reinforce service quality</w:t>
      </w:r>
      <w:r w:rsidRPr="00D2339A">
        <w:t xml:space="preserve">. </w:t>
      </w:r>
      <w:r>
        <w:t>A system in which</w:t>
      </w:r>
      <w:r w:rsidRPr="00D2339A">
        <w:t xml:space="preserve"> providers share </w:t>
      </w:r>
      <w:r>
        <w:t xml:space="preserve">the </w:t>
      </w:r>
      <w:r w:rsidRPr="00D2339A">
        <w:t xml:space="preserve">financial risks related to service delivery </w:t>
      </w:r>
      <w:r>
        <w:t>would</w:t>
      </w:r>
      <w:r w:rsidRPr="00D2339A">
        <w:t xml:space="preserve"> help reduce </w:t>
      </w:r>
      <w:r>
        <w:t xml:space="preserve">the incidence of </w:t>
      </w:r>
      <w:r w:rsidRPr="00D2339A">
        <w:t xml:space="preserve">unnecessary </w:t>
      </w:r>
      <w:r>
        <w:t>or</w:t>
      </w:r>
      <w:r w:rsidRPr="00D2339A">
        <w:t xml:space="preserve"> inappropriate </w:t>
      </w:r>
      <w:r>
        <w:t xml:space="preserve">forms of </w:t>
      </w:r>
      <w:r w:rsidRPr="00D2339A">
        <w:t>care.</w:t>
      </w:r>
      <w:r>
        <w:t xml:space="preserve"> </w:t>
      </w:r>
      <w:r w:rsidR="00203653">
        <w:t xml:space="preserve">For example, </w:t>
      </w:r>
      <w:r w:rsidR="004D2CAF">
        <w:t xml:space="preserve">the implementation of capitation payments in Ghana should </w:t>
      </w:r>
      <w:r w:rsidR="00F7406D">
        <w:t xml:space="preserve">have </w:t>
      </w:r>
      <w:r>
        <w:t>shift</w:t>
      </w:r>
      <w:r w:rsidR="00F7406D">
        <w:t>ed</w:t>
      </w:r>
      <w:r>
        <w:t xml:space="preserve"> financial risk to service providers by paying them a fixed amount. </w:t>
      </w:r>
      <w:r w:rsidR="00F7406D">
        <w:t>H</w:t>
      </w:r>
      <w:r>
        <w:t xml:space="preserve">owever, </w:t>
      </w:r>
      <w:r w:rsidR="00F7406D">
        <w:t xml:space="preserve">they continue </w:t>
      </w:r>
      <w:r>
        <w:t xml:space="preserve">to avoid financial risks by </w:t>
      </w:r>
      <w:r w:rsidR="00F7406D">
        <w:t xml:space="preserve">referring </w:t>
      </w:r>
      <w:r>
        <w:t xml:space="preserve">patients to </w:t>
      </w:r>
      <w:r w:rsidR="00F7406D">
        <w:t xml:space="preserve">care </w:t>
      </w:r>
      <w:r>
        <w:t xml:space="preserve">outside </w:t>
      </w:r>
      <w:r w:rsidR="00F7406D">
        <w:t xml:space="preserve">of </w:t>
      </w:r>
      <w:r>
        <w:t>capitation package</w:t>
      </w:r>
      <w:r w:rsidR="00F7406D">
        <w:t>s,</w:t>
      </w:r>
      <w:r>
        <w:t xml:space="preserve"> including medicine, outpatient specialty care</w:t>
      </w:r>
      <w:r w:rsidR="00F7406D">
        <w:t>,</w:t>
      </w:r>
      <w:r>
        <w:t xml:space="preserve"> and inpatient care. </w:t>
      </w:r>
      <w:r w:rsidR="0034128F">
        <w:t xml:space="preserve">Thus, </w:t>
      </w:r>
      <w:r>
        <w:t>existing payment mechanism</w:t>
      </w:r>
      <w:r w:rsidR="0034128F">
        <w:t>s</w:t>
      </w:r>
      <w:r>
        <w:t xml:space="preserve"> </w:t>
      </w:r>
      <w:r w:rsidR="0034128F">
        <w:t xml:space="preserve">need to be further refined to </w:t>
      </w:r>
      <w:r w:rsidR="004A18B6">
        <w:t>prevent an unsustainable</w:t>
      </w:r>
      <w:r w:rsidR="0034128F">
        <w:t xml:space="preserve"> </w:t>
      </w:r>
      <w:r>
        <w:t xml:space="preserve">expenditure growth curve. In addition, provider payment mechanisms should include </w:t>
      </w:r>
      <w:r w:rsidRPr="00207BBC">
        <w:t xml:space="preserve">explicit incentives to </w:t>
      </w:r>
      <w:r>
        <w:t xml:space="preserve">provide </w:t>
      </w:r>
      <w:r w:rsidRPr="00207BBC">
        <w:t>preventive services</w:t>
      </w:r>
      <w:r>
        <w:t>, and service-</w:t>
      </w:r>
      <w:r w:rsidRPr="00207BBC">
        <w:t>quality</w:t>
      </w:r>
      <w:r>
        <w:t xml:space="preserve"> indicators should be incorporated into the reimbursement formula, so that providers are incentivized to provide more preventive services and high quality care.</w:t>
      </w:r>
      <w:r w:rsidRPr="00207BBC">
        <w:t xml:space="preserve"> </w:t>
      </w:r>
    </w:p>
    <w:p w14:paraId="08EEFC7A" w14:textId="58E784B2" w:rsidR="00274020" w:rsidRPr="00207BBC" w:rsidRDefault="00274020" w:rsidP="00274020">
      <w:pPr>
        <w:pStyle w:val="ListParagraph"/>
        <w:numPr>
          <w:ilvl w:val="0"/>
          <w:numId w:val="9"/>
        </w:numPr>
      </w:pPr>
      <w:r>
        <w:rPr>
          <w:b/>
        </w:rPr>
        <w:t xml:space="preserve">Ghanaian citizens should be empowered to strengthen </w:t>
      </w:r>
      <w:r w:rsidRPr="00D2339A">
        <w:rPr>
          <w:b/>
        </w:rPr>
        <w:t>transparency and accountability in the health sector</w:t>
      </w:r>
      <w:r>
        <w:rPr>
          <w:b/>
        </w:rPr>
        <w:t>.</w:t>
      </w:r>
      <w:r w:rsidRPr="00D2339A">
        <w:t xml:space="preserve"> </w:t>
      </w:r>
      <w:r>
        <w:t xml:space="preserve">Currently, there is no systematic engagement with </w:t>
      </w:r>
      <w:r w:rsidR="000C168C">
        <w:t xml:space="preserve">patients </w:t>
      </w:r>
      <w:r>
        <w:t xml:space="preserve">for them to share their experience and satisfaction </w:t>
      </w:r>
      <w:r w:rsidR="00590FDD">
        <w:t>with the health care system</w:t>
      </w:r>
      <w:r>
        <w:t xml:space="preserve">. </w:t>
      </w:r>
      <w:r w:rsidR="00953FBE">
        <w:t xml:space="preserve">The </w:t>
      </w:r>
      <w:r>
        <w:t>NHIS</w:t>
      </w:r>
      <w:r w:rsidR="00953FBE">
        <w:t xml:space="preserve"> is</w:t>
      </w:r>
      <w:r>
        <w:t xml:space="preserve"> supposed to be a purchasing agent for its members, </w:t>
      </w:r>
      <w:r w:rsidR="00953FBE">
        <w:t xml:space="preserve">but </w:t>
      </w:r>
      <w:r>
        <w:t>a</w:t>
      </w:r>
      <w:r w:rsidRPr="00D2339A">
        <w:t xml:space="preserve">ll interaction </w:t>
      </w:r>
      <w:r>
        <w:t xml:space="preserve">with </w:t>
      </w:r>
      <w:r w:rsidRPr="00D2339A">
        <w:t>beneficiaries ends after the enrol</w:t>
      </w:r>
      <w:r>
        <w:t>l</w:t>
      </w:r>
      <w:r w:rsidRPr="00D2339A">
        <w:t xml:space="preserve">ment stage. Patients </w:t>
      </w:r>
      <w:r>
        <w:t xml:space="preserve">do not regularly </w:t>
      </w:r>
      <w:r w:rsidRPr="00FC2764">
        <w:t xml:space="preserve">communicate </w:t>
      </w:r>
      <w:r w:rsidRPr="00D2339A">
        <w:t>feedback</w:t>
      </w:r>
      <w:r w:rsidRPr="00FC2764">
        <w:t xml:space="preserve"> to</w:t>
      </w:r>
      <w:r w:rsidRPr="00D2339A">
        <w:t xml:space="preserve"> the NHIS</w:t>
      </w:r>
      <w:r>
        <w:t xml:space="preserve">, and the </w:t>
      </w:r>
      <w:r w:rsidRPr="00D2339A">
        <w:t>NHIS</w:t>
      </w:r>
      <w:r w:rsidRPr="00FC2764">
        <w:t xml:space="preserve"> </w:t>
      </w:r>
      <w:r>
        <w:t xml:space="preserve">does not routinely </w:t>
      </w:r>
      <w:r w:rsidRPr="00FC2764">
        <w:t xml:space="preserve">investigate complaints </w:t>
      </w:r>
      <w:r>
        <w:t>or even</w:t>
      </w:r>
      <w:r w:rsidRPr="00D2339A">
        <w:t xml:space="preserve"> </w:t>
      </w:r>
      <w:r w:rsidRPr="00FC2764">
        <w:t xml:space="preserve">verify </w:t>
      </w:r>
      <w:r w:rsidRPr="00D2339A">
        <w:t xml:space="preserve">the accuracy of reimbursement </w:t>
      </w:r>
      <w:r w:rsidRPr="00FC2764">
        <w:t>claims.</w:t>
      </w:r>
      <w:r w:rsidRPr="00BD7E77">
        <w:t xml:space="preserve"> </w:t>
      </w:r>
      <w:r>
        <w:t xml:space="preserve">This lack of communication weakens service-quality incentives and creates opportunities for fraud. A strategy should be developed to empower Ghanaian citizens </w:t>
      </w:r>
      <w:r w:rsidR="00953FBE">
        <w:t xml:space="preserve">to </w:t>
      </w:r>
      <w:r>
        <w:t xml:space="preserve">be more engaged in sharing feedback to </w:t>
      </w:r>
      <w:r w:rsidR="00953FBE">
        <w:t xml:space="preserve">the </w:t>
      </w:r>
      <w:r>
        <w:t>NHIS and service providers. Mechanisms for recording patients’ experiences and redressing grievances should be established at the facility level, and at GHS, MoH, and NHIS levels. Meanwhile, the NHIS should regularly assess patient</w:t>
      </w:r>
      <w:r w:rsidRPr="00207BBC">
        <w:t xml:space="preserve"> knowledge about </w:t>
      </w:r>
      <w:r>
        <w:t xml:space="preserve">its </w:t>
      </w:r>
      <w:r w:rsidRPr="00207BBC">
        <w:t>features</w:t>
      </w:r>
      <w:r>
        <w:t xml:space="preserve"> and services,</w:t>
      </w:r>
      <w:r w:rsidRPr="00207BBC">
        <w:t xml:space="preserve"> </w:t>
      </w:r>
      <w:r>
        <w:t xml:space="preserve">and it should work to expand awareness of </w:t>
      </w:r>
      <w:r w:rsidRPr="00207BBC">
        <w:t>premium exemption</w:t>
      </w:r>
      <w:r>
        <w:t>s</w:t>
      </w:r>
      <w:r w:rsidRPr="00207BBC">
        <w:t xml:space="preserve">, </w:t>
      </w:r>
      <w:r>
        <w:t xml:space="preserve">the </w:t>
      </w:r>
      <w:r w:rsidRPr="00207BBC">
        <w:t>benefit</w:t>
      </w:r>
      <w:r>
        <w:t>s</w:t>
      </w:r>
      <w:r w:rsidRPr="00207BBC">
        <w:t xml:space="preserve"> package, copayment requirements</w:t>
      </w:r>
      <w:r>
        <w:t xml:space="preserve">, and </w:t>
      </w:r>
      <w:r w:rsidRPr="00207BBC">
        <w:t xml:space="preserve">provider payment mechanisms. </w:t>
      </w:r>
      <w:r>
        <w:t>Information collection and public awareness-raising are</w:t>
      </w:r>
      <w:r w:rsidRPr="00207BBC">
        <w:t xml:space="preserve"> </w:t>
      </w:r>
      <w:r>
        <w:t>prime</w:t>
      </w:r>
      <w:r w:rsidRPr="00207BBC">
        <w:t xml:space="preserve"> area</w:t>
      </w:r>
      <w:r>
        <w:t>s</w:t>
      </w:r>
      <w:r w:rsidRPr="00207BBC">
        <w:t xml:space="preserve"> for </w:t>
      </w:r>
      <w:r>
        <w:t>leveraging</w:t>
      </w:r>
      <w:r w:rsidRPr="00207BBC">
        <w:t xml:space="preserve"> </w:t>
      </w:r>
      <w:r>
        <w:t xml:space="preserve">modern information </w:t>
      </w:r>
      <w:r w:rsidRPr="00207BBC">
        <w:t>technologies</w:t>
      </w:r>
      <w:r>
        <w:t>, such as cell</w:t>
      </w:r>
      <w:r w:rsidRPr="00207BBC">
        <w:t>phone applications</w:t>
      </w:r>
      <w:r>
        <w:t xml:space="preserve"> and tablet surveys</w:t>
      </w:r>
      <w:r w:rsidRPr="00207BBC">
        <w:t xml:space="preserve">. </w:t>
      </w:r>
    </w:p>
    <w:p w14:paraId="29F356A4" w14:textId="165A9D65" w:rsidR="001F21D2" w:rsidRPr="00274020" w:rsidRDefault="00274020" w:rsidP="00274020">
      <w:pPr>
        <w:pStyle w:val="ListParagraph"/>
        <w:numPr>
          <w:ilvl w:val="0"/>
          <w:numId w:val="9"/>
        </w:numPr>
      </w:pPr>
      <w:r>
        <w:rPr>
          <w:b/>
        </w:rPr>
        <w:t>A</w:t>
      </w:r>
      <w:r w:rsidRPr="00207BBC">
        <w:rPr>
          <w:b/>
        </w:rPr>
        <w:t xml:space="preserve">dditional analytical work </w:t>
      </w:r>
      <w:r>
        <w:rPr>
          <w:b/>
        </w:rPr>
        <w:t xml:space="preserve">on the financial underpinnings of the health sector and the activities of private service providers will be necessary to provide a solid foundation for further reforms. </w:t>
      </w:r>
      <w:r>
        <w:t>Limited information on</w:t>
      </w:r>
      <w:r w:rsidRPr="0098120D">
        <w:t xml:space="preserve"> out-of-pocket payments and </w:t>
      </w:r>
      <w:r>
        <w:t xml:space="preserve">on the range and quality of services provided by </w:t>
      </w:r>
      <w:r w:rsidRPr="0098120D">
        <w:t xml:space="preserve">private </w:t>
      </w:r>
      <w:r>
        <w:t>facilities inhibit</w:t>
      </w:r>
      <w:r w:rsidRPr="0098120D">
        <w:t xml:space="preserve"> </w:t>
      </w:r>
      <w:r>
        <w:t xml:space="preserve">an </w:t>
      </w:r>
      <w:r w:rsidRPr="0098120D">
        <w:t xml:space="preserve">evidence-based policy </w:t>
      </w:r>
      <w:r>
        <w:t>dialogue</w:t>
      </w:r>
      <w:r w:rsidRPr="0098120D">
        <w:t>.</w:t>
      </w:r>
      <w:r w:rsidRPr="00207BBC">
        <w:t xml:space="preserve"> </w:t>
      </w:r>
      <w:r>
        <w:t>In order to develop appropriate reforms, policymakers will require more granular information on how patients spend money within the healthcare system.</w:t>
      </w:r>
      <w:r w:rsidRPr="00207BBC">
        <w:t xml:space="preserve"> </w:t>
      </w:r>
      <w:r>
        <w:t>Finally</w:t>
      </w:r>
      <w:r w:rsidRPr="00207BBC">
        <w:t xml:space="preserve">, a comprehensive assessment of </w:t>
      </w:r>
      <w:r>
        <w:t xml:space="preserve">the activities of </w:t>
      </w:r>
      <w:r w:rsidRPr="00207BBC">
        <w:t xml:space="preserve">private </w:t>
      </w:r>
      <w:r>
        <w:t xml:space="preserve">healthcare </w:t>
      </w:r>
      <w:r w:rsidRPr="00207BBC">
        <w:t>providers</w:t>
      </w:r>
      <w:r>
        <w:t xml:space="preserve">—including their cost structure, clinical focus, service quality, and patient characteristics—will be essential to formulate a healthcare policy that fully leverages the strengths of both the public and private sectors. </w:t>
      </w:r>
      <w:r w:rsidR="001F21D2">
        <w:br w:type="page"/>
      </w:r>
    </w:p>
    <w:p w14:paraId="774F9C94" w14:textId="77777777" w:rsidR="001F21D2" w:rsidRPr="00E45355" w:rsidRDefault="001F21D2" w:rsidP="00894F2B">
      <w:pPr>
        <w:pStyle w:val="Heading2"/>
      </w:pPr>
      <w:bookmarkStart w:id="215" w:name="_Toc479624906"/>
      <w:r w:rsidRPr="00E45355">
        <w:lastRenderedPageBreak/>
        <w:t>References</w:t>
      </w:r>
      <w:bookmarkEnd w:id="215"/>
    </w:p>
    <w:p w14:paraId="4436D326" w14:textId="77777777" w:rsidR="001F21D2" w:rsidRPr="00F03742" w:rsidRDefault="001F21D2" w:rsidP="001F21D2">
      <w:pPr>
        <w:pStyle w:val="FootnoteText"/>
        <w:spacing w:after="120"/>
        <w:rPr>
          <w:rFonts w:ascii="Garamond" w:hAnsi="Garamond"/>
          <w:sz w:val="22"/>
          <w:szCs w:val="22"/>
        </w:rPr>
      </w:pPr>
      <w:r w:rsidRPr="00F03742">
        <w:rPr>
          <w:rFonts w:ascii="Garamond" w:hAnsi="Garamond"/>
          <w:sz w:val="22"/>
          <w:szCs w:val="22"/>
        </w:rPr>
        <w:t>Bitrán, R. 2014. “Field Report: Rapid Assessment of the Current Status of Ghana's National Health Insurance Scheme.”</w:t>
      </w:r>
    </w:p>
    <w:p w14:paraId="064F3C8A" w14:textId="77777777" w:rsidR="001F21D2" w:rsidRPr="00F03742" w:rsidRDefault="001F21D2" w:rsidP="001F21D2">
      <w:pPr>
        <w:pStyle w:val="FootnoteText"/>
        <w:spacing w:after="120"/>
        <w:rPr>
          <w:rFonts w:ascii="Garamond" w:hAnsi="Garamond"/>
          <w:sz w:val="22"/>
          <w:szCs w:val="22"/>
        </w:rPr>
      </w:pPr>
      <w:r w:rsidRPr="00F03742">
        <w:rPr>
          <w:rFonts w:ascii="Garamond" w:hAnsi="Garamond"/>
          <w:sz w:val="22"/>
          <w:szCs w:val="22"/>
        </w:rPr>
        <w:t xml:space="preserve">Darvas, P. and D. Balwanz. 2011. “Basic Education beyond the Millennium Development Goals in Ghana: How Equity in Service Delivery Affects Educational and Learning Outcomes.” Washington DC: The World Bank </w:t>
      </w:r>
      <w:hyperlink r:id="rId106" w:history="1">
        <w:r w:rsidRPr="00F03742">
          <w:rPr>
            <w:rStyle w:val="Hyperlink"/>
            <w:rFonts w:ascii="Garamond" w:hAnsi="Garamond"/>
            <w:sz w:val="22"/>
            <w:szCs w:val="22"/>
          </w:rPr>
          <w:t>https://openknowledge.worldbank.org/handle/10986/16307</w:t>
        </w:r>
      </w:hyperlink>
    </w:p>
    <w:p w14:paraId="28D2248B" w14:textId="77777777" w:rsidR="001F21D2" w:rsidRPr="00F03742" w:rsidRDefault="001F21D2" w:rsidP="001F21D2">
      <w:pPr>
        <w:pStyle w:val="FootnoteText"/>
        <w:spacing w:after="120"/>
        <w:rPr>
          <w:rFonts w:ascii="Garamond" w:hAnsi="Garamond"/>
          <w:sz w:val="22"/>
          <w:szCs w:val="22"/>
        </w:rPr>
      </w:pPr>
      <w:r w:rsidRPr="00F03742">
        <w:rPr>
          <w:rFonts w:ascii="Garamond" w:hAnsi="Garamond"/>
          <w:sz w:val="22"/>
          <w:szCs w:val="22"/>
        </w:rPr>
        <w:t>Ghana Health Services. 2015. “Ghana Health Service Annual Report.” Accra: Government of Ghana</w:t>
      </w:r>
    </w:p>
    <w:p w14:paraId="20D0BAFF" w14:textId="77777777" w:rsidR="001F21D2" w:rsidRPr="00F03742" w:rsidRDefault="001F21D2" w:rsidP="001F21D2">
      <w:pPr>
        <w:pStyle w:val="FootnoteText"/>
        <w:spacing w:after="120"/>
        <w:rPr>
          <w:rFonts w:ascii="Garamond" w:hAnsi="Garamond"/>
          <w:sz w:val="22"/>
          <w:szCs w:val="22"/>
        </w:rPr>
      </w:pPr>
      <w:r w:rsidRPr="00F03742">
        <w:rPr>
          <w:rFonts w:ascii="Garamond" w:hAnsi="Garamond"/>
          <w:sz w:val="22"/>
          <w:szCs w:val="22"/>
        </w:rPr>
        <w:t>Ghana Health Services.2012. “Ghana Health Service Annual Report.” Accra: Government of Ghana</w:t>
      </w:r>
    </w:p>
    <w:p w14:paraId="02A27B98" w14:textId="77777777" w:rsidR="001F21D2" w:rsidRPr="00F03742" w:rsidRDefault="001F21D2" w:rsidP="001F21D2">
      <w:pPr>
        <w:pStyle w:val="FootnoteText"/>
        <w:spacing w:after="120"/>
        <w:rPr>
          <w:rFonts w:ascii="Garamond" w:hAnsi="Garamond"/>
          <w:sz w:val="22"/>
          <w:szCs w:val="22"/>
        </w:rPr>
      </w:pPr>
      <w:r w:rsidRPr="00F03742">
        <w:rPr>
          <w:rFonts w:ascii="Garamond" w:hAnsi="Garamond"/>
          <w:sz w:val="22"/>
          <w:szCs w:val="22"/>
        </w:rPr>
        <w:t>Ghana Ministry of Health. 2007. “Third Five-Year Capital Investment Plan, 2007-2011.” Accra: Government of Ghana.</w:t>
      </w:r>
    </w:p>
    <w:p w14:paraId="2E6C171D" w14:textId="77777777" w:rsidR="001F21D2" w:rsidRPr="00F03742" w:rsidRDefault="001F21D2" w:rsidP="001F21D2">
      <w:pPr>
        <w:pStyle w:val="FootnoteText"/>
        <w:spacing w:after="120"/>
        <w:rPr>
          <w:rFonts w:ascii="Garamond" w:hAnsi="Garamond"/>
          <w:sz w:val="22"/>
          <w:szCs w:val="22"/>
        </w:rPr>
      </w:pPr>
      <w:r w:rsidRPr="00F03742">
        <w:rPr>
          <w:rFonts w:ascii="Garamond" w:hAnsi="Garamond"/>
          <w:sz w:val="22"/>
          <w:szCs w:val="22"/>
        </w:rPr>
        <w:t>Ghana Ministry of Health. 2013a. “Ghana National Health Accounts, 2005 and 2010.” Accra: Government of Ghana</w:t>
      </w:r>
    </w:p>
    <w:p w14:paraId="03BF836A" w14:textId="77777777" w:rsidR="001F21D2" w:rsidRPr="00F03742" w:rsidRDefault="001F21D2" w:rsidP="001F21D2">
      <w:pPr>
        <w:pStyle w:val="FootnoteText"/>
        <w:spacing w:after="120"/>
        <w:rPr>
          <w:rFonts w:ascii="Garamond" w:hAnsi="Garamond"/>
          <w:sz w:val="22"/>
          <w:szCs w:val="22"/>
        </w:rPr>
      </w:pPr>
      <w:r w:rsidRPr="00F03742">
        <w:rPr>
          <w:rFonts w:ascii="Garamond" w:hAnsi="Garamond"/>
          <w:sz w:val="22"/>
          <w:szCs w:val="22"/>
        </w:rPr>
        <w:t>Ghana Ministry of Health. 2013b. “Health Sector Medium-Term Development Plan, 2014-2017.” Accra: Government of Ghana</w:t>
      </w:r>
    </w:p>
    <w:p w14:paraId="652135C0" w14:textId="77777777" w:rsidR="001F21D2" w:rsidRPr="00F03742" w:rsidRDefault="001F21D2" w:rsidP="001F21D2">
      <w:pPr>
        <w:pStyle w:val="FootnoteText"/>
        <w:spacing w:after="120"/>
        <w:rPr>
          <w:rFonts w:ascii="Garamond" w:hAnsi="Garamond"/>
          <w:sz w:val="22"/>
          <w:szCs w:val="22"/>
        </w:rPr>
      </w:pPr>
      <w:r w:rsidRPr="00F03742">
        <w:rPr>
          <w:rFonts w:ascii="Garamond" w:hAnsi="Garamond"/>
          <w:sz w:val="22"/>
          <w:szCs w:val="22"/>
        </w:rPr>
        <w:t>Ghana Ministry of Health. 2015. “Holistic Assessment of 2014 Programme of Work.” Accra: Government of Ghana</w:t>
      </w:r>
    </w:p>
    <w:p w14:paraId="4617E216" w14:textId="77777777" w:rsidR="001F21D2" w:rsidRPr="00F03742" w:rsidRDefault="001F21D2" w:rsidP="001F21D2">
      <w:pPr>
        <w:pStyle w:val="FootnoteText"/>
        <w:spacing w:after="120"/>
        <w:rPr>
          <w:rFonts w:ascii="Garamond" w:hAnsi="Garamond"/>
          <w:sz w:val="22"/>
          <w:szCs w:val="22"/>
        </w:rPr>
      </w:pPr>
      <w:r w:rsidRPr="00F03742">
        <w:rPr>
          <w:rFonts w:ascii="Garamond" w:hAnsi="Garamond"/>
          <w:sz w:val="22"/>
          <w:szCs w:val="22"/>
        </w:rPr>
        <w:t>Ghana Ministry of Health. 2014. “Ghana National Health Accounts, 2012.” Accra: Government of Ghana</w:t>
      </w:r>
    </w:p>
    <w:p w14:paraId="1D494FF1" w14:textId="77777777" w:rsidR="001F21D2" w:rsidRPr="00F03742" w:rsidRDefault="001F21D2" w:rsidP="001F21D2">
      <w:pPr>
        <w:pStyle w:val="FootnoteText"/>
        <w:spacing w:after="120"/>
        <w:rPr>
          <w:rFonts w:ascii="Garamond" w:hAnsi="Garamond"/>
          <w:sz w:val="22"/>
          <w:szCs w:val="22"/>
        </w:rPr>
      </w:pPr>
      <w:r w:rsidRPr="00F03742">
        <w:rPr>
          <w:rFonts w:ascii="Garamond" w:hAnsi="Garamond"/>
          <w:sz w:val="22"/>
          <w:szCs w:val="22"/>
        </w:rPr>
        <w:t xml:space="preserve">Ghana National Health Insurance Authority. 2010-14. “National Health Insurance Authority Annual Reports.” Accra: Government of Ghana </w:t>
      </w:r>
    </w:p>
    <w:p w14:paraId="208CA43F" w14:textId="77777777" w:rsidR="001F21D2" w:rsidRPr="00F03742" w:rsidRDefault="001F21D2" w:rsidP="001F21D2">
      <w:pPr>
        <w:pStyle w:val="FootnoteText"/>
        <w:spacing w:after="120"/>
        <w:rPr>
          <w:rFonts w:ascii="Garamond" w:hAnsi="Garamond"/>
          <w:sz w:val="22"/>
          <w:szCs w:val="22"/>
        </w:rPr>
      </w:pPr>
      <w:r w:rsidRPr="00F03742">
        <w:rPr>
          <w:rFonts w:ascii="Garamond" w:hAnsi="Garamond"/>
          <w:sz w:val="22"/>
          <w:szCs w:val="22"/>
        </w:rPr>
        <w:t>Ghana National Health Insurance Scheme. 2010. “Membership, Income and Expenditure Projections 2008-2018.” Accra: Government of Ghana</w:t>
      </w:r>
    </w:p>
    <w:p w14:paraId="4E85DA9B" w14:textId="77777777" w:rsidR="001F21D2" w:rsidRPr="00F03742" w:rsidRDefault="001F21D2" w:rsidP="001F21D2">
      <w:pPr>
        <w:pStyle w:val="FootnoteText"/>
        <w:spacing w:after="120"/>
        <w:rPr>
          <w:rFonts w:ascii="Garamond" w:hAnsi="Garamond"/>
          <w:sz w:val="22"/>
          <w:szCs w:val="22"/>
        </w:rPr>
      </w:pPr>
      <w:r w:rsidRPr="00F03742">
        <w:rPr>
          <w:rFonts w:ascii="Garamond" w:hAnsi="Garamond"/>
          <w:sz w:val="22"/>
          <w:szCs w:val="22"/>
        </w:rPr>
        <w:t>Ghana Statistical Service (GSS), Noguchi Memorial Institute for Medical Research (NMIMR), and ORC Macro. 2004. “</w:t>
      </w:r>
      <w:r w:rsidRPr="00F03742">
        <w:rPr>
          <w:rFonts w:ascii="Garamond" w:hAnsi="Garamond"/>
          <w:iCs/>
          <w:sz w:val="22"/>
          <w:szCs w:val="22"/>
        </w:rPr>
        <w:t>Ghana Demographic and Health Survey 2003</w:t>
      </w:r>
      <w:r w:rsidRPr="00F03742">
        <w:rPr>
          <w:rFonts w:ascii="Garamond" w:hAnsi="Garamond"/>
          <w:i/>
          <w:iCs/>
          <w:sz w:val="22"/>
          <w:szCs w:val="22"/>
        </w:rPr>
        <w:t>.</w:t>
      </w:r>
      <w:r w:rsidRPr="00F03742">
        <w:rPr>
          <w:rFonts w:ascii="Garamond" w:hAnsi="Garamond"/>
          <w:iCs/>
          <w:sz w:val="22"/>
          <w:szCs w:val="22"/>
        </w:rPr>
        <w:t>”</w:t>
      </w:r>
      <w:r w:rsidRPr="00F03742">
        <w:rPr>
          <w:rFonts w:ascii="Garamond" w:hAnsi="Garamond"/>
          <w:i/>
          <w:iCs/>
          <w:sz w:val="22"/>
          <w:szCs w:val="22"/>
        </w:rPr>
        <w:t xml:space="preserve"> </w:t>
      </w:r>
      <w:r w:rsidRPr="00F03742">
        <w:rPr>
          <w:rFonts w:ascii="Garamond" w:hAnsi="Garamond"/>
          <w:sz w:val="22"/>
          <w:szCs w:val="22"/>
        </w:rPr>
        <w:t>Calverton, Maryland: GSS, NMIMR, and ORC Macro.</w:t>
      </w:r>
    </w:p>
    <w:p w14:paraId="00203E5C" w14:textId="77777777" w:rsidR="001F21D2" w:rsidRPr="00F03742" w:rsidRDefault="001F21D2" w:rsidP="001F21D2">
      <w:pPr>
        <w:pStyle w:val="FootnoteText"/>
        <w:spacing w:after="120"/>
        <w:rPr>
          <w:rFonts w:ascii="Garamond" w:hAnsi="Garamond"/>
          <w:i/>
          <w:iCs/>
          <w:sz w:val="22"/>
          <w:szCs w:val="22"/>
        </w:rPr>
      </w:pPr>
      <w:r w:rsidRPr="00F03742">
        <w:rPr>
          <w:rFonts w:ascii="Garamond" w:hAnsi="Garamond"/>
          <w:sz w:val="22"/>
          <w:szCs w:val="22"/>
        </w:rPr>
        <w:t>Ghana Statistical Service (GSS), Ghana Health Service (GHS), and ICF Macro. 2009. “</w:t>
      </w:r>
      <w:r w:rsidRPr="00F03742">
        <w:rPr>
          <w:rFonts w:ascii="Garamond" w:hAnsi="Garamond"/>
          <w:iCs/>
          <w:sz w:val="22"/>
          <w:szCs w:val="22"/>
        </w:rPr>
        <w:t>Ghana Demographic and Health Survey 2008</w:t>
      </w:r>
      <w:r w:rsidRPr="00F03742">
        <w:rPr>
          <w:rFonts w:ascii="Garamond" w:hAnsi="Garamond"/>
          <w:sz w:val="22"/>
          <w:szCs w:val="22"/>
        </w:rPr>
        <w:t>.” Accra, Ghana: GSS, GHS, and ICF Macro.</w:t>
      </w:r>
    </w:p>
    <w:p w14:paraId="7004FEEC" w14:textId="77777777" w:rsidR="001F21D2" w:rsidRPr="00F03742" w:rsidRDefault="001F21D2" w:rsidP="001F21D2">
      <w:pPr>
        <w:pStyle w:val="FootnoteText"/>
        <w:spacing w:after="120"/>
        <w:rPr>
          <w:rFonts w:ascii="Garamond" w:hAnsi="Garamond"/>
          <w:sz w:val="22"/>
          <w:szCs w:val="22"/>
        </w:rPr>
      </w:pPr>
      <w:r w:rsidRPr="00F03742">
        <w:rPr>
          <w:rFonts w:ascii="Garamond" w:hAnsi="Garamond"/>
          <w:sz w:val="22"/>
          <w:szCs w:val="22"/>
        </w:rPr>
        <w:t xml:space="preserve">Ghana Statistical Service (GSS), Ghana Health Service (GHS), and ICF International. 2015. “Ghana Demographic and Health Survey 2014.” Rockville, Maryland, USA: GSS, GHS, and ICF International. </w:t>
      </w:r>
    </w:p>
    <w:p w14:paraId="0AB4AA16" w14:textId="77777777" w:rsidR="001F21D2" w:rsidRPr="00F03742" w:rsidRDefault="001F21D2" w:rsidP="001F21D2">
      <w:pPr>
        <w:pStyle w:val="FootnoteText"/>
        <w:spacing w:after="120"/>
        <w:rPr>
          <w:rFonts w:ascii="Garamond" w:hAnsi="Garamond"/>
          <w:sz w:val="22"/>
          <w:szCs w:val="22"/>
        </w:rPr>
      </w:pPr>
      <w:r w:rsidRPr="00F03742">
        <w:rPr>
          <w:rFonts w:ascii="Garamond" w:hAnsi="Garamond"/>
          <w:sz w:val="22"/>
          <w:szCs w:val="22"/>
        </w:rPr>
        <w:t>Government of Ghana. 2015. “Ghana Health Financing Strategy” Accra: Government of Ghana</w:t>
      </w:r>
    </w:p>
    <w:p w14:paraId="4FEDC3B7" w14:textId="77777777" w:rsidR="001F21D2" w:rsidRPr="00F03742" w:rsidRDefault="001F21D2" w:rsidP="001F21D2">
      <w:pPr>
        <w:pStyle w:val="FootnoteText"/>
        <w:spacing w:after="120"/>
        <w:rPr>
          <w:rFonts w:ascii="Garamond" w:hAnsi="Garamond"/>
          <w:sz w:val="22"/>
          <w:szCs w:val="22"/>
        </w:rPr>
      </w:pPr>
      <w:r w:rsidRPr="00F03742">
        <w:rPr>
          <w:rFonts w:ascii="Garamond" w:hAnsi="Garamond"/>
          <w:sz w:val="22"/>
          <w:szCs w:val="22"/>
        </w:rPr>
        <w:t xml:space="preserve">Schieber, G., C. Cashin, K. Saleh and R. Lavado. 2012. “Health Financing in Ghana.” Washington, DC: The World Bank. </w:t>
      </w:r>
      <w:hyperlink r:id="rId107" w:history="1">
        <w:r w:rsidRPr="00F03742">
          <w:rPr>
            <w:rStyle w:val="Hyperlink"/>
            <w:rFonts w:ascii="Garamond" w:hAnsi="Garamond"/>
            <w:sz w:val="22"/>
            <w:szCs w:val="22"/>
          </w:rPr>
          <w:t>http://elibrary.worldbank.org/doi/abs/10.1596/978-0-8213-9566-0</w:t>
        </w:r>
      </w:hyperlink>
      <w:r w:rsidRPr="00F03742">
        <w:rPr>
          <w:rFonts w:ascii="Garamond" w:hAnsi="Garamond"/>
          <w:sz w:val="22"/>
          <w:szCs w:val="22"/>
        </w:rPr>
        <w:t xml:space="preserve"> </w:t>
      </w:r>
    </w:p>
    <w:p w14:paraId="6F7A2662" w14:textId="77777777" w:rsidR="001F21D2" w:rsidRPr="00F03742" w:rsidRDefault="001F21D2" w:rsidP="001F21D2">
      <w:pPr>
        <w:pStyle w:val="FootnoteText"/>
        <w:spacing w:after="120"/>
        <w:rPr>
          <w:rFonts w:ascii="Garamond" w:hAnsi="Garamond"/>
          <w:sz w:val="22"/>
          <w:szCs w:val="22"/>
        </w:rPr>
      </w:pPr>
      <w:r w:rsidRPr="00F03742">
        <w:rPr>
          <w:rFonts w:ascii="Garamond" w:hAnsi="Garamond"/>
          <w:sz w:val="22"/>
          <w:szCs w:val="22"/>
        </w:rPr>
        <w:t>World Bank. 2016. “Republic of Ghana National Health Insurance Scheme: Designing Customized Expenditure Policies—Claims Expenditure Review” Report No. ASC19157. Washington DC: The World Bank</w:t>
      </w:r>
    </w:p>
    <w:p w14:paraId="3C1F74D0" w14:textId="77777777" w:rsidR="00627748" w:rsidRDefault="00627748">
      <w:pPr>
        <w:rPr>
          <w:sz w:val="24"/>
          <w:szCs w:val="24"/>
        </w:rPr>
      </w:pPr>
      <w:r>
        <w:rPr>
          <w:sz w:val="24"/>
          <w:szCs w:val="24"/>
        </w:rPr>
        <w:br w:type="page"/>
      </w:r>
    </w:p>
    <w:p w14:paraId="1DD1291B" w14:textId="77777777" w:rsidR="001F21D2" w:rsidRPr="00E45355" w:rsidRDefault="001F21D2" w:rsidP="00894F2B">
      <w:pPr>
        <w:pStyle w:val="Heading2"/>
      </w:pPr>
      <w:bookmarkStart w:id="216" w:name="_Toc479624907"/>
      <w:r w:rsidRPr="00E45355">
        <w:lastRenderedPageBreak/>
        <w:t xml:space="preserve">Annex </w:t>
      </w:r>
      <w:r w:rsidR="00AD66D6">
        <w:t>4.1</w:t>
      </w:r>
      <w:bookmarkEnd w:id="216"/>
    </w:p>
    <w:p w14:paraId="7C22A69B" w14:textId="77777777" w:rsidR="001F21D2" w:rsidRPr="00533642" w:rsidRDefault="00657AA2" w:rsidP="00CC6F65">
      <w:pPr>
        <w:pStyle w:val="Caption"/>
      </w:pPr>
      <w:bookmarkStart w:id="217" w:name="_Ref472430753"/>
      <w:bookmarkStart w:id="218" w:name="_Toc479624949"/>
      <w:r>
        <w:t>Figure</w:t>
      </w:r>
      <w:r w:rsidR="00CC6F65">
        <w:t xml:space="preserve"> </w:t>
      </w:r>
      <w:r w:rsidR="005C0067">
        <w:fldChar w:fldCharType="begin"/>
      </w:r>
      <w:r w:rsidR="005C0067">
        <w:instrText xml:space="preserve"> STYLEREF 1 \s </w:instrText>
      </w:r>
      <w:r w:rsidR="005C0067">
        <w:fldChar w:fldCharType="separate"/>
      </w:r>
      <w:r w:rsidR="007B1CE6">
        <w:rPr>
          <w:noProof/>
        </w:rPr>
        <w:t>4</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24</w:t>
      </w:r>
      <w:r w:rsidR="005C0067">
        <w:fldChar w:fldCharType="end"/>
      </w:r>
      <w:bookmarkEnd w:id="217"/>
      <w:r w:rsidR="00CC6F65">
        <w:t xml:space="preserve"> </w:t>
      </w:r>
      <w:r w:rsidR="001F21D2" w:rsidRPr="00533642">
        <w:t>Proportion of Private Facilities by Region, 2016</w:t>
      </w:r>
      <w:r w:rsidR="00E345F6">
        <w:t xml:space="preserve"> (%)</w:t>
      </w:r>
      <w:bookmarkEnd w:id="218"/>
    </w:p>
    <w:p w14:paraId="585E722E" w14:textId="77777777" w:rsidR="001F21D2" w:rsidRDefault="00780381" w:rsidP="001F21D2">
      <w:pPr>
        <w:spacing w:after="0"/>
        <w:jc w:val="center"/>
        <w:rPr>
          <w:rFonts w:ascii="Garamond" w:hAnsi="Garamond"/>
        </w:rPr>
      </w:pPr>
      <w:r>
        <w:rPr>
          <w:rFonts w:ascii="Garamond" w:hAnsi="Garamond"/>
          <w:noProof/>
        </w:rPr>
        <w:drawing>
          <wp:inline distT="0" distB="0" distL="0" distR="0" wp14:anchorId="18F9A329" wp14:editId="3BF51630">
            <wp:extent cx="4554220" cy="2749550"/>
            <wp:effectExtent l="0" t="0" r="0" b="0"/>
            <wp:docPr id="66585" name="Picture 6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54220" cy="2749550"/>
                    </a:xfrm>
                    <a:prstGeom prst="rect">
                      <a:avLst/>
                    </a:prstGeom>
                    <a:noFill/>
                  </pic:spPr>
                </pic:pic>
              </a:graphicData>
            </a:graphic>
          </wp:inline>
        </w:drawing>
      </w:r>
    </w:p>
    <w:p w14:paraId="3A4F41E0" w14:textId="77777777" w:rsidR="001F21D2" w:rsidRPr="00D13405" w:rsidRDefault="001F21D2" w:rsidP="001F21D2">
      <w:pPr>
        <w:pStyle w:val="ListParagraph"/>
        <w:numPr>
          <w:ilvl w:val="0"/>
          <w:numId w:val="0"/>
        </w:numPr>
        <w:tabs>
          <w:tab w:val="left" w:pos="720"/>
        </w:tabs>
        <w:autoSpaceDE w:val="0"/>
        <w:autoSpaceDN w:val="0"/>
        <w:adjustRightInd w:val="0"/>
        <w:rPr>
          <w:sz w:val="20"/>
          <w:szCs w:val="20"/>
        </w:rPr>
      </w:pPr>
      <w:r>
        <w:rPr>
          <w:rFonts w:ascii="Times New Roman" w:hAnsi="Times New Roman"/>
          <w:i/>
        </w:rPr>
        <w:tab/>
      </w:r>
      <w:r>
        <w:rPr>
          <w:rFonts w:ascii="Times New Roman" w:hAnsi="Times New Roman"/>
          <w:i/>
        </w:rPr>
        <w:tab/>
      </w:r>
      <w:r w:rsidRPr="00D13405">
        <w:rPr>
          <w:i/>
          <w:sz w:val="20"/>
          <w:szCs w:val="20"/>
        </w:rPr>
        <w:t>Source</w:t>
      </w:r>
      <w:r w:rsidRPr="00D13405">
        <w:rPr>
          <w:sz w:val="20"/>
          <w:szCs w:val="20"/>
        </w:rPr>
        <w:t>: Authors’ figure based on the MoH facility inventory list.</w:t>
      </w:r>
    </w:p>
    <w:p w14:paraId="0D9F0F30" w14:textId="77777777" w:rsidR="001F21D2" w:rsidRPr="00533642" w:rsidRDefault="00657AA2" w:rsidP="00CC6F65">
      <w:pPr>
        <w:pStyle w:val="Caption"/>
      </w:pPr>
      <w:bookmarkStart w:id="219" w:name="_Toc479624950"/>
      <w:r>
        <w:t>Figure</w:t>
      </w:r>
      <w:r w:rsidR="00CC6F65">
        <w:t xml:space="preserve"> </w:t>
      </w:r>
      <w:r w:rsidR="005C0067">
        <w:fldChar w:fldCharType="begin"/>
      </w:r>
      <w:r w:rsidR="005C0067">
        <w:instrText xml:space="preserve"> STYLEREF 1 \s </w:instrText>
      </w:r>
      <w:r w:rsidR="005C0067">
        <w:fldChar w:fldCharType="separate"/>
      </w:r>
      <w:r w:rsidR="007B1CE6">
        <w:rPr>
          <w:noProof/>
        </w:rPr>
        <w:t>4</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25</w:t>
      </w:r>
      <w:r w:rsidR="005C0067">
        <w:fldChar w:fldCharType="end"/>
      </w:r>
      <w:r w:rsidR="00CC6F65">
        <w:t xml:space="preserve"> </w:t>
      </w:r>
      <w:r w:rsidR="001F21D2" w:rsidRPr="00533642">
        <w:t>Per Capita GHS Outpatient Visits by Region, 2014</w:t>
      </w:r>
      <w:bookmarkEnd w:id="219"/>
    </w:p>
    <w:p w14:paraId="2A164BA0" w14:textId="77777777" w:rsidR="001F21D2" w:rsidRPr="00533642" w:rsidRDefault="00780381" w:rsidP="001F21D2">
      <w:pPr>
        <w:pStyle w:val="ListParagraph"/>
        <w:numPr>
          <w:ilvl w:val="0"/>
          <w:numId w:val="0"/>
        </w:numPr>
        <w:spacing w:after="0"/>
        <w:jc w:val="center"/>
      </w:pPr>
      <w:r>
        <w:rPr>
          <w:noProof/>
        </w:rPr>
        <w:drawing>
          <wp:inline distT="0" distB="0" distL="0" distR="0" wp14:anchorId="4461156A" wp14:editId="5B7F6583">
            <wp:extent cx="4559935" cy="2792095"/>
            <wp:effectExtent l="0" t="0" r="0" b="8255"/>
            <wp:docPr id="66584" name="Picture 66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59935" cy="2792095"/>
                    </a:xfrm>
                    <a:prstGeom prst="rect">
                      <a:avLst/>
                    </a:prstGeom>
                    <a:noFill/>
                  </pic:spPr>
                </pic:pic>
              </a:graphicData>
            </a:graphic>
          </wp:inline>
        </w:drawing>
      </w:r>
    </w:p>
    <w:p w14:paraId="346012E4" w14:textId="77777777" w:rsidR="001F21D2" w:rsidRPr="00D13405" w:rsidRDefault="001F21D2" w:rsidP="001F21D2">
      <w:pPr>
        <w:pStyle w:val="ListParagraph"/>
        <w:numPr>
          <w:ilvl w:val="0"/>
          <w:numId w:val="0"/>
        </w:numPr>
        <w:tabs>
          <w:tab w:val="left" w:pos="720"/>
        </w:tabs>
        <w:autoSpaceDE w:val="0"/>
        <w:autoSpaceDN w:val="0"/>
        <w:adjustRightInd w:val="0"/>
        <w:rPr>
          <w:sz w:val="20"/>
          <w:szCs w:val="20"/>
        </w:rPr>
      </w:pPr>
      <w:r>
        <w:rPr>
          <w:rFonts w:ascii="Times New Roman" w:hAnsi="Times New Roman"/>
          <w:i/>
          <w:sz w:val="20"/>
          <w:szCs w:val="20"/>
        </w:rPr>
        <w:tab/>
      </w:r>
      <w:r>
        <w:rPr>
          <w:rFonts w:ascii="Times New Roman" w:hAnsi="Times New Roman"/>
          <w:i/>
          <w:sz w:val="20"/>
          <w:szCs w:val="20"/>
        </w:rPr>
        <w:tab/>
      </w:r>
      <w:r w:rsidRPr="00D13405">
        <w:rPr>
          <w:i/>
          <w:sz w:val="20"/>
          <w:szCs w:val="20"/>
        </w:rPr>
        <w:t>Source</w:t>
      </w:r>
      <w:r w:rsidRPr="00D13405">
        <w:rPr>
          <w:sz w:val="20"/>
          <w:szCs w:val="20"/>
        </w:rPr>
        <w:t>: Authors’ figure based on GHS data.</w:t>
      </w:r>
    </w:p>
    <w:p w14:paraId="64C17F88" w14:textId="77777777" w:rsidR="001F21D2" w:rsidRPr="00533642" w:rsidRDefault="001F21D2" w:rsidP="001F21D2"/>
    <w:p w14:paraId="6E4661EA" w14:textId="77777777" w:rsidR="00050905" w:rsidRDefault="00050905">
      <w:pPr>
        <w:rPr>
          <w:rFonts w:ascii="Garamond" w:hAnsi="Garamond" w:cs="Arial"/>
          <w:sz w:val="24"/>
        </w:rPr>
      </w:pPr>
      <w:r>
        <w:br w:type="page"/>
      </w:r>
    </w:p>
    <w:p w14:paraId="1D274239" w14:textId="77777777" w:rsidR="00050905" w:rsidRPr="00C514FA" w:rsidRDefault="000E7654" w:rsidP="00B33493">
      <w:pPr>
        <w:pStyle w:val="Heading1"/>
      </w:pPr>
      <w:bookmarkStart w:id="220" w:name="_Toc479624908"/>
      <w:r>
        <w:lastRenderedPageBreak/>
        <w:t>Revitalizing Agricultural Growth through Enhanced Expenditure T</w:t>
      </w:r>
      <w:r w:rsidR="00050905" w:rsidRPr="00C514FA">
        <w:t>argeting</w:t>
      </w:r>
      <w:bookmarkEnd w:id="220"/>
    </w:p>
    <w:p w14:paraId="0624540F" w14:textId="77777777" w:rsidR="00050905" w:rsidRPr="00C514FA" w:rsidRDefault="00050905" w:rsidP="00050905">
      <w:pPr>
        <w:pStyle w:val="Box"/>
        <w:pBdr>
          <w:bottom w:val="single" w:sz="4" w:space="9" w:color="auto"/>
        </w:pBdr>
        <w:rPr>
          <w:rFonts w:ascii="Garamond" w:hAnsi="Garamond"/>
        </w:rPr>
      </w:pPr>
      <w:r w:rsidRPr="00C514FA">
        <w:rPr>
          <w:rFonts w:ascii="Garamond" w:hAnsi="Garamond"/>
        </w:rPr>
        <w:t>Ghana’s agriculture sector is crucial to the country’s long-term development. Though the rapid growth of the extractive industries has diminished its relative economic size, agriculture remains vital to employment, income generation</w:t>
      </w:r>
      <w:r w:rsidR="00ED0864">
        <w:rPr>
          <w:rFonts w:ascii="Garamond" w:hAnsi="Garamond"/>
        </w:rPr>
        <w:t>,</w:t>
      </w:r>
      <w:r w:rsidRPr="00C514FA">
        <w:rPr>
          <w:rFonts w:ascii="Garamond" w:hAnsi="Garamond"/>
        </w:rPr>
        <w:t xml:space="preserve"> and poverty reduction. While agriculture accounts for just one-fifth of GDP, it employs nearly half of the Ghanaian workforce and provides livelihoods for a majority of the country’s poorest households. </w:t>
      </w:r>
      <w:r>
        <w:rPr>
          <w:rFonts w:ascii="Garamond" w:hAnsi="Garamond"/>
        </w:rPr>
        <w:t>The sector also plays an important role in the trade balance. Food comprises a large share of total imports, and</w:t>
      </w:r>
      <w:r w:rsidRPr="00C514FA">
        <w:rPr>
          <w:rFonts w:ascii="Garamond" w:hAnsi="Garamond"/>
        </w:rPr>
        <w:t xml:space="preserve"> cocoa, the country major export crop, is responsible for 20-25 percent of </w:t>
      </w:r>
      <w:r>
        <w:rPr>
          <w:rFonts w:ascii="Garamond" w:hAnsi="Garamond"/>
        </w:rPr>
        <w:t>all</w:t>
      </w:r>
      <w:r w:rsidRPr="00C514FA">
        <w:rPr>
          <w:rFonts w:ascii="Garamond" w:hAnsi="Garamond"/>
        </w:rPr>
        <w:t xml:space="preserve"> foreign-exchange earnings. </w:t>
      </w:r>
    </w:p>
    <w:p w14:paraId="3AB984A3" w14:textId="77777777" w:rsidR="00050905" w:rsidRPr="00C514FA" w:rsidRDefault="00050905" w:rsidP="00050905">
      <w:pPr>
        <w:pStyle w:val="Box"/>
        <w:pBdr>
          <w:bottom w:val="single" w:sz="4" w:space="9" w:color="auto"/>
        </w:pBdr>
        <w:rPr>
          <w:rFonts w:ascii="Garamond" w:hAnsi="Garamond"/>
        </w:rPr>
      </w:pPr>
      <w:r w:rsidRPr="00C514FA">
        <w:rPr>
          <w:rFonts w:ascii="Garamond" w:hAnsi="Garamond"/>
        </w:rPr>
        <w:t>Yet despite its importance to employment, poverty reduction</w:t>
      </w:r>
      <w:r w:rsidR="00780398">
        <w:rPr>
          <w:rFonts w:ascii="Garamond" w:hAnsi="Garamond"/>
        </w:rPr>
        <w:t>,</w:t>
      </w:r>
      <w:r w:rsidRPr="00C514FA">
        <w:rPr>
          <w:rFonts w:ascii="Garamond" w:hAnsi="Garamond"/>
        </w:rPr>
        <w:t xml:space="preserve"> and </w:t>
      </w:r>
      <w:r>
        <w:rPr>
          <w:rFonts w:ascii="Garamond" w:hAnsi="Garamond"/>
        </w:rPr>
        <w:t>trade</w:t>
      </w:r>
      <w:r w:rsidRPr="00C514FA">
        <w:rPr>
          <w:rFonts w:ascii="Garamond" w:hAnsi="Garamond"/>
        </w:rPr>
        <w:t xml:space="preserve">, </w:t>
      </w:r>
      <w:r>
        <w:rPr>
          <w:rFonts w:ascii="Garamond" w:hAnsi="Garamond"/>
        </w:rPr>
        <w:t>Ghana’s</w:t>
      </w:r>
      <w:r w:rsidRPr="00C514FA">
        <w:rPr>
          <w:rFonts w:ascii="Garamond" w:hAnsi="Garamond"/>
        </w:rPr>
        <w:t xml:space="preserve"> agricultural sector remains severely underdeveloped. Low yields for staple crops threaten food security, and rising food imports are weakening the current account</w:t>
      </w:r>
      <w:r w:rsidR="00E436C5">
        <w:rPr>
          <w:rFonts w:ascii="Garamond" w:hAnsi="Garamond"/>
        </w:rPr>
        <w:t xml:space="preserve"> of the balance of payments</w:t>
      </w:r>
      <w:r w:rsidRPr="00C514FA">
        <w:rPr>
          <w:rFonts w:ascii="Garamond" w:hAnsi="Garamond"/>
        </w:rPr>
        <w:t xml:space="preserve">. In recent years, the growth of the extractive industries and the domestic service sector has diverted investment and labor away from agriculture. Annual production is erratic, and output growth has repeatedly failed to meet the government’s target of 6 percent per year. Public spending on agricultural development is low and declining, and the Ministry of Agriculture’s budget barely covers its day-to-day operations. Sectoral public investment projects tend to be extremely modest, and structural weaknesses in the project cycle diminish their impact. </w:t>
      </w:r>
    </w:p>
    <w:p w14:paraId="7A223C1A" w14:textId="77777777" w:rsidR="00050905" w:rsidRPr="00C514FA" w:rsidRDefault="00050905" w:rsidP="00050905">
      <w:pPr>
        <w:pStyle w:val="Box"/>
        <w:pBdr>
          <w:bottom w:val="single" w:sz="4" w:space="9" w:color="auto"/>
        </w:pBdr>
        <w:rPr>
          <w:rFonts w:ascii="Garamond" w:hAnsi="Garamond"/>
        </w:rPr>
      </w:pPr>
      <w:r w:rsidRPr="00C514FA">
        <w:rPr>
          <w:rFonts w:ascii="Garamond" w:hAnsi="Garamond"/>
        </w:rPr>
        <w:t>In the context of Ghana’s ongoing fiscal consolidation, the development of the agricultural sector presents a major opportunity to boost growth through better expenditure targeting</w:t>
      </w:r>
      <w:r w:rsidR="00E436C5">
        <w:rPr>
          <w:rFonts w:ascii="Garamond" w:hAnsi="Garamond"/>
        </w:rPr>
        <w:t xml:space="preserve"> to spur productivity growth</w:t>
      </w:r>
      <w:r w:rsidRPr="00C514FA">
        <w:rPr>
          <w:rFonts w:ascii="Garamond" w:hAnsi="Garamond"/>
        </w:rPr>
        <w:t>. Agricultural research is crucial to productivity and competitiveness, yet it remains chronically underfunded. Refocusing sectoral resources on the commercialization of smallholder farming and the integration of smallholder farmers into agricultural value chains could significantly boost production</w:t>
      </w:r>
      <w:r w:rsidR="00C12EDC">
        <w:rPr>
          <w:rFonts w:ascii="Garamond" w:hAnsi="Garamond"/>
        </w:rPr>
        <w:t>.</w:t>
      </w:r>
      <w:r w:rsidRPr="00C514FA">
        <w:rPr>
          <w:rFonts w:ascii="Garamond" w:hAnsi="Garamond"/>
        </w:rPr>
        <w:t xml:space="preserve"> </w:t>
      </w:r>
      <w:r w:rsidR="00C12EDC">
        <w:rPr>
          <w:rFonts w:ascii="Garamond" w:hAnsi="Garamond"/>
        </w:rPr>
        <w:t>Furthermore, e</w:t>
      </w:r>
      <w:r w:rsidRPr="00C514FA">
        <w:rPr>
          <w:rFonts w:ascii="Garamond" w:hAnsi="Garamond"/>
        </w:rPr>
        <w:t xml:space="preserve">fforts to link smallholder farmers to markets or to aggregate production through outgrower schemes could accelerate rural income growth, and </w:t>
      </w:r>
      <w:r w:rsidR="00C12EDC">
        <w:rPr>
          <w:rFonts w:ascii="Garamond" w:hAnsi="Garamond"/>
        </w:rPr>
        <w:t xml:space="preserve">steps to </w:t>
      </w:r>
      <w:r w:rsidRPr="00C514FA">
        <w:rPr>
          <w:rFonts w:ascii="Garamond" w:hAnsi="Garamond"/>
        </w:rPr>
        <w:t>elimina</w:t>
      </w:r>
      <w:r w:rsidR="00C12EDC">
        <w:rPr>
          <w:rFonts w:ascii="Garamond" w:hAnsi="Garamond"/>
        </w:rPr>
        <w:t>te</w:t>
      </w:r>
      <w:r w:rsidRPr="00C514FA">
        <w:rPr>
          <w:rFonts w:ascii="Garamond" w:hAnsi="Garamond"/>
        </w:rPr>
        <w:t xml:space="preserve"> price distortions that discourage investment in the cocoa subsector could boost export earnings. A new strategy for agricultural investment and policy reform that effectively targets these bottlenecks could deliver major gains in poverty reduction, employment growth, social development</w:t>
      </w:r>
      <w:r w:rsidR="00C12EDC">
        <w:rPr>
          <w:rFonts w:ascii="Garamond" w:hAnsi="Garamond"/>
        </w:rPr>
        <w:t>,</w:t>
      </w:r>
      <w:r w:rsidRPr="00C514FA">
        <w:rPr>
          <w:rFonts w:ascii="Garamond" w:hAnsi="Garamond"/>
        </w:rPr>
        <w:t xml:space="preserve"> and food security at a relatively low fiscal cost.</w:t>
      </w:r>
    </w:p>
    <w:p w14:paraId="333A479D" w14:textId="77777777" w:rsidR="00050905" w:rsidRPr="00E45355" w:rsidRDefault="00050905" w:rsidP="00894F2B">
      <w:pPr>
        <w:pStyle w:val="Heading2"/>
      </w:pPr>
      <w:bookmarkStart w:id="221" w:name="_Toc479624909"/>
      <w:r w:rsidRPr="00E45355">
        <w:t>Background</w:t>
      </w:r>
      <w:bookmarkEnd w:id="221"/>
    </w:p>
    <w:p w14:paraId="5DDA176B" w14:textId="77777777" w:rsidR="00050905" w:rsidRPr="00C514FA" w:rsidRDefault="00050905" w:rsidP="00724BAB">
      <w:pPr>
        <w:pStyle w:val="ListParagraph"/>
        <w:numPr>
          <w:ilvl w:val="3"/>
          <w:numId w:val="11"/>
        </w:numPr>
        <w:ind w:left="0"/>
      </w:pPr>
      <w:r w:rsidRPr="00C514FA">
        <w:rPr>
          <w:b/>
        </w:rPr>
        <w:t xml:space="preserve">Though it comprises a relatively modest share of GDP, Ghana’s agricultural sector </w:t>
      </w:r>
      <w:r>
        <w:rPr>
          <w:b/>
        </w:rPr>
        <w:t>plays a</w:t>
      </w:r>
      <w:r w:rsidRPr="00C514FA">
        <w:rPr>
          <w:b/>
        </w:rPr>
        <w:t xml:space="preserve"> pivotal </w:t>
      </w:r>
      <w:r>
        <w:rPr>
          <w:b/>
        </w:rPr>
        <w:t>role in</w:t>
      </w:r>
      <w:r w:rsidRPr="00C514FA">
        <w:rPr>
          <w:b/>
        </w:rPr>
        <w:t xml:space="preserve"> the country’s social and economic development.</w:t>
      </w:r>
      <w:r w:rsidRPr="00C514FA">
        <w:t xml:space="preserve"> Agriculture employs 45 percent of the national labor force</w:t>
      </w:r>
      <w:r>
        <w:t xml:space="preserve">, </w:t>
      </w:r>
      <w:r w:rsidRPr="00C514FA">
        <w:t xml:space="preserve">far more than any other sector. </w:t>
      </w:r>
      <w:r>
        <w:t>R</w:t>
      </w:r>
      <w:r w:rsidRPr="00C514FA">
        <w:t xml:space="preserve">ural poverty rates are well above the national average, </w:t>
      </w:r>
      <w:r>
        <w:t xml:space="preserve">and </w:t>
      </w:r>
      <w:r w:rsidRPr="00C514FA">
        <w:t>agriculture and other primary</w:t>
      </w:r>
      <w:r>
        <w:t>-</w:t>
      </w:r>
      <w:r w:rsidRPr="00C514FA">
        <w:t>sector activities</w:t>
      </w:r>
      <w:r w:rsidR="008D1783">
        <w:t>,</w:t>
      </w:r>
      <w:r>
        <w:t xml:space="preserve"> such as forestry, fishing</w:t>
      </w:r>
      <w:r w:rsidR="00C12EDC">
        <w:t>,</w:t>
      </w:r>
      <w:r>
        <w:t xml:space="preserve"> and animal husbandry</w:t>
      </w:r>
      <w:r w:rsidR="008D1783">
        <w:t>,</w:t>
      </w:r>
      <w:r w:rsidRPr="00C514FA">
        <w:t xml:space="preserve"> are critical to the livelihoods of the country’s poorest households. Even in a context of structural economic transformation, inclusive agricultural growth is particularly effective in reducing poverty. While rural-urban migration is projected to continue at a rapid pace, rural areas will remain home to the majority of poor households for decades to come. Yet despite agriculture’s enormous potential to accelerate poverty reduction and its </w:t>
      </w:r>
      <w:r>
        <w:t>critical</w:t>
      </w:r>
      <w:r w:rsidRPr="00C514FA">
        <w:t xml:space="preserve"> importance to the government’s social development objectives</w:t>
      </w:r>
      <w:r>
        <w:t>,</w:t>
      </w:r>
      <w:r w:rsidRPr="00C514FA">
        <w:t xml:space="preserve"> public spending in the agricultural sector is </w:t>
      </w:r>
      <w:r>
        <w:t>both low</w:t>
      </w:r>
      <w:r w:rsidRPr="00C514FA">
        <w:t xml:space="preserve"> and inefficient.</w:t>
      </w:r>
    </w:p>
    <w:p w14:paraId="12C150DB" w14:textId="77777777" w:rsidR="00050905" w:rsidRDefault="00050905" w:rsidP="00724BAB">
      <w:pPr>
        <w:pStyle w:val="ListParagraph"/>
        <w:numPr>
          <w:ilvl w:val="3"/>
          <w:numId w:val="11"/>
        </w:numPr>
        <w:ind w:left="0"/>
      </w:pPr>
      <w:r w:rsidRPr="00C514FA">
        <w:rPr>
          <w:b/>
        </w:rPr>
        <w:lastRenderedPageBreak/>
        <w:t>Agriculture is the traditional mainstay of the Ghanaian economy, though in recent years the rise of the extractive industries and the growth of the urban service</w:t>
      </w:r>
      <w:r w:rsidR="009614FD">
        <w:rPr>
          <w:b/>
        </w:rPr>
        <w:t>s</w:t>
      </w:r>
      <w:r w:rsidRPr="00C514FA">
        <w:rPr>
          <w:b/>
        </w:rPr>
        <w:t xml:space="preserve"> sector have greatly diminished its macroeconomic </w:t>
      </w:r>
      <w:r>
        <w:rPr>
          <w:b/>
        </w:rPr>
        <w:t>profile</w:t>
      </w:r>
      <w:r w:rsidRPr="00C514FA">
        <w:rPr>
          <w:b/>
        </w:rPr>
        <w:t>.</w:t>
      </w:r>
      <w:r w:rsidRPr="00322815">
        <w:t xml:space="preserve"> Prior to the start of oil production in 2011, an estimated two-thirds of Ghanaian manufacturing depended on agricultural inputs, and the sector’s performance remains crucial to the competitiveness of nonoil manufacturing.</w:t>
      </w:r>
      <w:r w:rsidRPr="00C514FA">
        <w:rPr>
          <w:rStyle w:val="FootnoteReference"/>
        </w:rPr>
        <w:footnoteReference w:id="139"/>
      </w:r>
      <w:r w:rsidRPr="008C49AB">
        <w:t xml:space="preserve"> </w:t>
      </w:r>
      <w:r w:rsidRPr="00322815">
        <w:t>Agriculture represent</w:t>
      </w:r>
      <w:r>
        <w:t>s</w:t>
      </w:r>
      <w:r w:rsidRPr="00322815">
        <w:t xml:space="preserve"> more than one-fifth of Ghana’s GDP, and agricultural exports—principally cocoa—are a key source of foreign exchange.</w:t>
      </w:r>
      <w:r w:rsidRPr="00C514FA">
        <w:rPr>
          <w:rStyle w:val="FootnoteReference"/>
        </w:rPr>
        <w:footnoteReference w:id="140"/>
      </w:r>
      <w:r w:rsidRPr="008C49AB">
        <w:t xml:space="preserve"> </w:t>
      </w:r>
      <w:r w:rsidRPr="00322815">
        <w:t xml:space="preserve">However, </w:t>
      </w:r>
      <w:r>
        <w:t xml:space="preserve">agricultural production is increasing slowly, and </w:t>
      </w:r>
      <w:r w:rsidRPr="00322815">
        <w:t>annual output is highly erratic</w:t>
      </w:r>
      <w:r>
        <w:t>. T</w:t>
      </w:r>
      <w:r w:rsidRPr="00322815">
        <w:t xml:space="preserve">he </w:t>
      </w:r>
      <w:r>
        <w:t>agricultural</w:t>
      </w:r>
      <w:r w:rsidRPr="00322815">
        <w:t xml:space="preserve"> growth rate dropped to just 2.4 percent in 2015</w:t>
      </w:r>
      <w:r>
        <w:t xml:space="preserve">, and its </w:t>
      </w:r>
      <w:r w:rsidRPr="00322815">
        <w:t>medium-term average growth rate is well below both the overall GDP growth rate and the government’s sectoral growth target of 6 percent (</w:t>
      </w:r>
      <w:r w:rsidR="00967840">
        <w:fldChar w:fldCharType="begin"/>
      </w:r>
      <w:r w:rsidR="00967840">
        <w:instrText xml:space="preserve"> REF _Ref472430896 \h </w:instrText>
      </w:r>
      <w:r w:rsidR="00967840">
        <w:fldChar w:fldCharType="separate"/>
      </w:r>
      <w:r w:rsidR="007B1CE6" w:rsidRPr="006120BE">
        <w:t xml:space="preserve">Table </w:t>
      </w:r>
      <w:r w:rsidR="007B1CE6">
        <w:rPr>
          <w:noProof/>
        </w:rPr>
        <w:t>5</w:t>
      </w:r>
      <w:r w:rsidR="007B1CE6" w:rsidRPr="006120BE">
        <w:t>.</w:t>
      </w:r>
      <w:r w:rsidR="007B1CE6">
        <w:rPr>
          <w:noProof/>
        </w:rPr>
        <w:t>1</w:t>
      </w:r>
      <w:r w:rsidR="00967840">
        <w:fldChar w:fldCharType="end"/>
      </w:r>
      <w:r w:rsidRPr="00322815">
        <w:t xml:space="preserve">). </w:t>
      </w:r>
    </w:p>
    <w:p w14:paraId="1D47AFC9" w14:textId="77777777" w:rsidR="00050905" w:rsidRPr="006120BE" w:rsidRDefault="00F76416" w:rsidP="00F76416">
      <w:pPr>
        <w:pStyle w:val="Caption"/>
        <w:rPr>
          <w:lang w:val="en-US"/>
        </w:rPr>
      </w:pPr>
      <w:bookmarkStart w:id="222" w:name="_Ref472430896"/>
      <w:bookmarkStart w:id="223" w:name="_Toc478837659"/>
      <w:r w:rsidRPr="006120BE">
        <w:rPr>
          <w:lang w:val="en-US"/>
        </w:rPr>
        <w:t xml:space="preserve">Table </w:t>
      </w:r>
      <w:r w:rsidR="00500291" w:rsidRPr="006120BE">
        <w:fldChar w:fldCharType="begin"/>
      </w:r>
      <w:r w:rsidR="00500291" w:rsidRPr="006120BE">
        <w:rPr>
          <w:lang w:val="en-US"/>
        </w:rPr>
        <w:instrText xml:space="preserve"> STYLEREF 1 \s </w:instrText>
      </w:r>
      <w:r w:rsidR="00500291" w:rsidRPr="006120BE">
        <w:fldChar w:fldCharType="separate"/>
      </w:r>
      <w:r w:rsidR="007B1CE6">
        <w:rPr>
          <w:noProof/>
          <w:lang w:val="en-US"/>
        </w:rPr>
        <w:t>5</w:t>
      </w:r>
      <w:r w:rsidR="00500291" w:rsidRPr="006120BE">
        <w:fldChar w:fldCharType="end"/>
      </w:r>
      <w:r w:rsidR="00500291" w:rsidRPr="006120BE">
        <w:rPr>
          <w:lang w:val="en-US"/>
        </w:rPr>
        <w:t>.</w:t>
      </w:r>
      <w:r w:rsidR="00500291" w:rsidRPr="006120BE">
        <w:fldChar w:fldCharType="begin"/>
      </w:r>
      <w:r w:rsidR="00500291" w:rsidRPr="006120BE">
        <w:rPr>
          <w:lang w:val="en-US"/>
        </w:rPr>
        <w:instrText xml:space="preserve"> SEQ Table \* ARABIC \s 1 </w:instrText>
      </w:r>
      <w:r w:rsidR="00500291" w:rsidRPr="006120BE">
        <w:fldChar w:fldCharType="separate"/>
      </w:r>
      <w:r w:rsidR="007B1CE6">
        <w:rPr>
          <w:noProof/>
          <w:lang w:val="en-US"/>
        </w:rPr>
        <w:t>1</w:t>
      </w:r>
      <w:r w:rsidR="00500291" w:rsidRPr="006120BE">
        <w:fldChar w:fldCharType="end"/>
      </w:r>
      <w:bookmarkEnd w:id="222"/>
      <w:r w:rsidR="00CC6F65" w:rsidRPr="006120BE">
        <w:rPr>
          <w:lang w:val="en-US"/>
        </w:rPr>
        <w:t>:</w:t>
      </w:r>
      <w:r w:rsidR="00A015A0" w:rsidRPr="006120BE">
        <w:rPr>
          <w:lang w:val="en-US"/>
        </w:rPr>
        <w:t xml:space="preserve"> </w:t>
      </w:r>
      <w:r w:rsidR="00050905" w:rsidRPr="006120BE">
        <w:rPr>
          <w:lang w:val="en-US"/>
        </w:rPr>
        <w:t>Productivity Growth Rates by Sector (%)</w:t>
      </w:r>
      <w:bookmarkEnd w:id="223"/>
    </w:p>
    <w:tbl>
      <w:tblPr>
        <w:tblStyle w:val="TableGrid"/>
        <w:tblW w:w="9350" w:type="dxa"/>
        <w:jc w:val="center"/>
        <w:tblLook w:val="04A0" w:firstRow="1" w:lastRow="0" w:firstColumn="1" w:lastColumn="0" w:noHBand="0" w:noVBand="1"/>
      </w:tblPr>
      <w:tblGrid>
        <w:gridCol w:w="2217"/>
        <w:gridCol w:w="901"/>
        <w:gridCol w:w="902"/>
        <w:gridCol w:w="899"/>
        <w:gridCol w:w="897"/>
        <w:gridCol w:w="899"/>
        <w:gridCol w:w="900"/>
        <w:gridCol w:w="900"/>
        <w:gridCol w:w="835"/>
      </w:tblGrid>
      <w:tr w:rsidR="00050905" w:rsidRPr="008868E7" w14:paraId="56B35F7B" w14:textId="77777777" w:rsidTr="003C7A84">
        <w:trPr>
          <w:trHeight w:val="379"/>
          <w:jc w:val="center"/>
        </w:trPr>
        <w:tc>
          <w:tcPr>
            <w:tcW w:w="2217" w:type="dxa"/>
            <w:shd w:val="clear" w:color="auto" w:fill="DBDBDB" w:themeFill="accent3" w:themeFillTint="66"/>
            <w:vAlign w:val="center"/>
          </w:tcPr>
          <w:p w14:paraId="622F7DC5" w14:textId="77777777" w:rsidR="00050905" w:rsidRPr="008868E7" w:rsidRDefault="00050905" w:rsidP="005A7652">
            <w:pPr>
              <w:keepNext/>
              <w:keepLines/>
              <w:widowControl w:val="0"/>
              <w:jc w:val="center"/>
              <w:rPr>
                <w:rFonts w:ascii="Garamond" w:hAnsi="Garamond" w:cs="Times New Roman"/>
              </w:rPr>
            </w:pPr>
          </w:p>
        </w:tc>
        <w:tc>
          <w:tcPr>
            <w:tcW w:w="901" w:type="dxa"/>
            <w:shd w:val="clear" w:color="auto" w:fill="DBDBDB" w:themeFill="accent3" w:themeFillTint="66"/>
            <w:vAlign w:val="center"/>
          </w:tcPr>
          <w:p w14:paraId="52F8E0E8"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2008</w:t>
            </w:r>
          </w:p>
        </w:tc>
        <w:tc>
          <w:tcPr>
            <w:tcW w:w="902" w:type="dxa"/>
            <w:shd w:val="clear" w:color="auto" w:fill="DBDBDB" w:themeFill="accent3" w:themeFillTint="66"/>
            <w:vAlign w:val="center"/>
          </w:tcPr>
          <w:p w14:paraId="30D9052A"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2009</w:t>
            </w:r>
          </w:p>
        </w:tc>
        <w:tc>
          <w:tcPr>
            <w:tcW w:w="899" w:type="dxa"/>
            <w:shd w:val="clear" w:color="auto" w:fill="DBDBDB" w:themeFill="accent3" w:themeFillTint="66"/>
            <w:vAlign w:val="center"/>
          </w:tcPr>
          <w:p w14:paraId="10A7F0C8"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2010</w:t>
            </w:r>
          </w:p>
        </w:tc>
        <w:tc>
          <w:tcPr>
            <w:tcW w:w="897" w:type="dxa"/>
            <w:shd w:val="clear" w:color="auto" w:fill="DBDBDB" w:themeFill="accent3" w:themeFillTint="66"/>
            <w:vAlign w:val="center"/>
          </w:tcPr>
          <w:p w14:paraId="15CCD7F0"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2011</w:t>
            </w:r>
          </w:p>
        </w:tc>
        <w:tc>
          <w:tcPr>
            <w:tcW w:w="899" w:type="dxa"/>
            <w:shd w:val="clear" w:color="auto" w:fill="DBDBDB" w:themeFill="accent3" w:themeFillTint="66"/>
            <w:vAlign w:val="center"/>
          </w:tcPr>
          <w:p w14:paraId="6E84DD43"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2012</w:t>
            </w:r>
          </w:p>
        </w:tc>
        <w:tc>
          <w:tcPr>
            <w:tcW w:w="900" w:type="dxa"/>
            <w:shd w:val="clear" w:color="auto" w:fill="DBDBDB" w:themeFill="accent3" w:themeFillTint="66"/>
            <w:vAlign w:val="center"/>
          </w:tcPr>
          <w:p w14:paraId="7A2953B0"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2013</w:t>
            </w:r>
          </w:p>
        </w:tc>
        <w:tc>
          <w:tcPr>
            <w:tcW w:w="900" w:type="dxa"/>
            <w:shd w:val="clear" w:color="auto" w:fill="DBDBDB" w:themeFill="accent3" w:themeFillTint="66"/>
            <w:vAlign w:val="center"/>
          </w:tcPr>
          <w:p w14:paraId="1E7C8CFD"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2014</w:t>
            </w:r>
          </w:p>
        </w:tc>
        <w:tc>
          <w:tcPr>
            <w:tcW w:w="835" w:type="dxa"/>
            <w:shd w:val="clear" w:color="auto" w:fill="DBDBDB" w:themeFill="accent3" w:themeFillTint="66"/>
            <w:vAlign w:val="center"/>
          </w:tcPr>
          <w:p w14:paraId="2B3977BD"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2015</w:t>
            </w:r>
          </w:p>
        </w:tc>
      </w:tr>
      <w:tr w:rsidR="00050905" w:rsidRPr="008868E7" w14:paraId="3899F915" w14:textId="77777777" w:rsidTr="005A7652">
        <w:trPr>
          <w:trHeight w:val="380"/>
          <w:jc w:val="center"/>
        </w:trPr>
        <w:tc>
          <w:tcPr>
            <w:tcW w:w="2217" w:type="dxa"/>
            <w:vAlign w:val="center"/>
          </w:tcPr>
          <w:p w14:paraId="3A62D903" w14:textId="77777777" w:rsidR="00050905" w:rsidRPr="008868E7" w:rsidRDefault="00050905" w:rsidP="005A7652">
            <w:pPr>
              <w:keepNext/>
              <w:keepLines/>
              <w:widowControl w:val="0"/>
              <w:rPr>
                <w:rFonts w:ascii="Garamond" w:hAnsi="Garamond" w:cs="Times New Roman"/>
                <w:b/>
              </w:rPr>
            </w:pPr>
            <w:r w:rsidRPr="008868E7">
              <w:rPr>
                <w:rFonts w:ascii="Garamond" w:hAnsi="Garamond" w:cs="Times New Roman"/>
                <w:b/>
              </w:rPr>
              <w:t>Agriculture</w:t>
            </w:r>
          </w:p>
        </w:tc>
        <w:tc>
          <w:tcPr>
            <w:tcW w:w="901" w:type="dxa"/>
            <w:vAlign w:val="center"/>
          </w:tcPr>
          <w:p w14:paraId="7D2C0E12"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7.4</w:t>
            </w:r>
          </w:p>
        </w:tc>
        <w:tc>
          <w:tcPr>
            <w:tcW w:w="902" w:type="dxa"/>
            <w:vAlign w:val="center"/>
          </w:tcPr>
          <w:p w14:paraId="1E24BB68"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7.2</w:t>
            </w:r>
          </w:p>
        </w:tc>
        <w:tc>
          <w:tcPr>
            <w:tcW w:w="899" w:type="dxa"/>
            <w:vAlign w:val="center"/>
          </w:tcPr>
          <w:p w14:paraId="023649CB"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5.3</w:t>
            </w:r>
          </w:p>
        </w:tc>
        <w:tc>
          <w:tcPr>
            <w:tcW w:w="897" w:type="dxa"/>
            <w:vAlign w:val="center"/>
          </w:tcPr>
          <w:p w14:paraId="77B9AF62"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0.8</w:t>
            </w:r>
          </w:p>
        </w:tc>
        <w:tc>
          <w:tcPr>
            <w:tcW w:w="899" w:type="dxa"/>
            <w:vAlign w:val="center"/>
          </w:tcPr>
          <w:p w14:paraId="298A3D1D"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2.3</w:t>
            </w:r>
          </w:p>
        </w:tc>
        <w:tc>
          <w:tcPr>
            <w:tcW w:w="900" w:type="dxa"/>
            <w:vAlign w:val="center"/>
          </w:tcPr>
          <w:p w14:paraId="37574B57"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5.7</w:t>
            </w:r>
          </w:p>
        </w:tc>
        <w:tc>
          <w:tcPr>
            <w:tcW w:w="900" w:type="dxa"/>
            <w:vAlign w:val="center"/>
          </w:tcPr>
          <w:p w14:paraId="2AF21F39"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4.6</w:t>
            </w:r>
          </w:p>
        </w:tc>
        <w:tc>
          <w:tcPr>
            <w:tcW w:w="835" w:type="dxa"/>
            <w:vAlign w:val="center"/>
          </w:tcPr>
          <w:p w14:paraId="25A4A6A6"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2.4</w:t>
            </w:r>
          </w:p>
        </w:tc>
      </w:tr>
      <w:tr w:rsidR="00050905" w:rsidRPr="008868E7" w14:paraId="397948AB" w14:textId="77777777" w:rsidTr="005A7652">
        <w:trPr>
          <w:trHeight w:val="379"/>
          <w:jc w:val="center"/>
        </w:trPr>
        <w:tc>
          <w:tcPr>
            <w:tcW w:w="2217" w:type="dxa"/>
            <w:vAlign w:val="center"/>
          </w:tcPr>
          <w:p w14:paraId="05F57F1D" w14:textId="77777777" w:rsidR="00050905" w:rsidRPr="008868E7" w:rsidRDefault="00050905" w:rsidP="005A7652">
            <w:pPr>
              <w:keepNext/>
              <w:keepLines/>
              <w:widowControl w:val="0"/>
              <w:rPr>
                <w:rFonts w:ascii="Garamond" w:hAnsi="Garamond" w:cs="Times New Roman"/>
              </w:rPr>
            </w:pPr>
            <w:r w:rsidRPr="008868E7">
              <w:rPr>
                <w:rFonts w:ascii="Garamond" w:hAnsi="Garamond" w:cs="Times New Roman"/>
              </w:rPr>
              <w:t xml:space="preserve">    Crops</w:t>
            </w:r>
          </w:p>
        </w:tc>
        <w:tc>
          <w:tcPr>
            <w:tcW w:w="901" w:type="dxa"/>
            <w:vAlign w:val="center"/>
          </w:tcPr>
          <w:p w14:paraId="361A1EE7"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8.6</w:t>
            </w:r>
          </w:p>
        </w:tc>
        <w:tc>
          <w:tcPr>
            <w:tcW w:w="902" w:type="dxa"/>
            <w:vAlign w:val="center"/>
          </w:tcPr>
          <w:p w14:paraId="23205392"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10.2</w:t>
            </w:r>
          </w:p>
        </w:tc>
        <w:tc>
          <w:tcPr>
            <w:tcW w:w="899" w:type="dxa"/>
            <w:vAlign w:val="center"/>
          </w:tcPr>
          <w:p w14:paraId="2A32BEBD"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5.0</w:t>
            </w:r>
          </w:p>
        </w:tc>
        <w:tc>
          <w:tcPr>
            <w:tcW w:w="897" w:type="dxa"/>
            <w:vAlign w:val="center"/>
          </w:tcPr>
          <w:p w14:paraId="77CC2310"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3.7</w:t>
            </w:r>
          </w:p>
        </w:tc>
        <w:tc>
          <w:tcPr>
            <w:tcW w:w="899" w:type="dxa"/>
            <w:vAlign w:val="center"/>
          </w:tcPr>
          <w:p w14:paraId="6D6A04CF"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0.8</w:t>
            </w:r>
          </w:p>
        </w:tc>
        <w:tc>
          <w:tcPr>
            <w:tcW w:w="900" w:type="dxa"/>
            <w:vAlign w:val="center"/>
          </w:tcPr>
          <w:p w14:paraId="17477DE6"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5.9</w:t>
            </w:r>
          </w:p>
        </w:tc>
        <w:tc>
          <w:tcPr>
            <w:tcW w:w="900" w:type="dxa"/>
            <w:vAlign w:val="center"/>
          </w:tcPr>
          <w:p w14:paraId="2CB5AE68"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5.7</w:t>
            </w:r>
          </w:p>
        </w:tc>
        <w:tc>
          <w:tcPr>
            <w:tcW w:w="835" w:type="dxa"/>
            <w:vAlign w:val="center"/>
          </w:tcPr>
          <w:p w14:paraId="50F09B0E"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2.0</w:t>
            </w:r>
          </w:p>
        </w:tc>
      </w:tr>
      <w:tr w:rsidR="00050905" w:rsidRPr="008868E7" w14:paraId="2BC84385" w14:textId="77777777" w:rsidTr="005A7652">
        <w:trPr>
          <w:trHeight w:val="380"/>
          <w:jc w:val="center"/>
        </w:trPr>
        <w:tc>
          <w:tcPr>
            <w:tcW w:w="2217" w:type="dxa"/>
            <w:vAlign w:val="center"/>
          </w:tcPr>
          <w:p w14:paraId="7CE5A720" w14:textId="77777777" w:rsidR="00050905" w:rsidRPr="008868E7" w:rsidRDefault="00050905" w:rsidP="005A7652">
            <w:pPr>
              <w:keepNext/>
              <w:keepLines/>
              <w:widowControl w:val="0"/>
              <w:rPr>
                <w:rFonts w:ascii="Garamond" w:hAnsi="Garamond" w:cs="Times New Roman"/>
              </w:rPr>
            </w:pPr>
            <w:r w:rsidRPr="008868E7">
              <w:rPr>
                <w:rFonts w:ascii="Garamond" w:hAnsi="Garamond" w:cs="Times New Roman"/>
              </w:rPr>
              <w:t xml:space="preserve">     </w:t>
            </w:r>
            <w:r w:rsidR="0089024D" w:rsidRPr="008868E7">
              <w:rPr>
                <w:rFonts w:ascii="Garamond" w:hAnsi="Garamond" w:cs="Times New Roman"/>
              </w:rPr>
              <w:t xml:space="preserve">    </w:t>
            </w:r>
            <w:r w:rsidRPr="008868E7">
              <w:rPr>
                <w:rFonts w:ascii="Garamond" w:hAnsi="Garamond" w:cs="Times New Roman"/>
              </w:rPr>
              <w:t>of which cocoa</w:t>
            </w:r>
          </w:p>
        </w:tc>
        <w:tc>
          <w:tcPr>
            <w:tcW w:w="901" w:type="dxa"/>
            <w:vAlign w:val="center"/>
          </w:tcPr>
          <w:p w14:paraId="1149831E"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3.2</w:t>
            </w:r>
          </w:p>
        </w:tc>
        <w:tc>
          <w:tcPr>
            <w:tcW w:w="902" w:type="dxa"/>
            <w:vAlign w:val="center"/>
          </w:tcPr>
          <w:p w14:paraId="4C37DF8D"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5.0</w:t>
            </w:r>
          </w:p>
        </w:tc>
        <w:tc>
          <w:tcPr>
            <w:tcW w:w="899" w:type="dxa"/>
            <w:vAlign w:val="center"/>
          </w:tcPr>
          <w:p w14:paraId="16881345"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26.6</w:t>
            </w:r>
          </w:p>
        </w:tc>
        <w:tc>
          <w:tcPr>
            <w:tcW w:w="897" w:type="dxa"/>
            <w:vAlign w:val="center"/>
          </w:tcPr>
          <w:p w14:paraId="7D57F8E2"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14.0</w:t>
            </w:r>
          </w:p>
        </w:tc>
        <w:tc>
          <w:tcPr>
            <w:tcW w:w="899" w:type="dxa"/>
            <w:vAlign w:val="center"/>
          </w:tcPr>
          <w:p w14:paraId="32F3E67F"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-9.5</w:t>
            </w:r>
          </w:p>
        </w:tc>
        <w:tc>
          <w:tcPr>
            <w:tcW w:w="900" w:type="dxa"/>
            <w:vAlign w:val="center"/>
          </w:tcPr>
          <w:p w14:paraId="51DE5B4B"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2.6</w:t>
            </w:r>
          </w:p>
        </w:tc>
        <w:tc>
          <w:tcPr>
            <w:tcW w:w="900" w:type="dxa"/>
            <w:vAlign w:val="center"/>
          </w:tcPr>
          <w:p w14:paraId="5A613F2F"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4.3</w:t>
            </w:r>
          </w:p>
        </w:tc>
        <w:tc>
          <w:tcPr>
            <w:tcW w:w="835" w:type="dxa"/>
            <w:vAlign w:val="center"/>
          </w:tcPr>
          <w:p w14:paraId="5FC1E057"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-1.4</w:t>
            </w:r>
          </w:p>
        </w:tc>
      </w:tr>
      <w:tr w:rsidR="00050905" w:rsidRPr="008868E7" w14:paraId="1AAF839A" w14:textId="77777777" w:rsidTr="005A7652">
        <w:trPr>
          <w:trHeight w:val="379"/>
          <w:jc w:val="center"/>
        </w:trPr>
        <w:tc>
          <w:tcPr>
            <w:tcW w:w="2217" w:type="dxa"/>
            <w:vAlign w:val="center"/>
          </w:tcPr>
          <w:p w14:paraId="3CD31DF5" w14:textId="77777777" w:rsidR="00050905" w:rsidRPr="008868E7" w:rsidRDefault="00050905" w:rsidP="005A7652">
            <w:pPr>
              <w:keepNext/>
              <w:keepLines/>
              <w:widowControl w:val="0"/>
              <w:rPr>
                <w:rFonts w:ascii="Garamond" w:hAnsi="Garamond" w:cs="Times New Roman"/>
              </w:rPr>
            </w:pPr>
            <w:r w:rsidRPr="008868E7">
              <w:rPr>
                <w:rFonts w:ascii="Garamond" w:hAnsi="Garamond" w:cs="Times New Roman"/>
              </w:rPr>
              <w:t xml:space="preserve">    Livestock</w:t>
            </w:r>
          </w:p>
        </w:tc>
        <w:tc>
          <w:tcPr>
            <w:tcW w:w="901" w:type="dxa"/>
            <w:vAlign w:val="center"/>
          </w:tcPr>
          <w:p w14:paraId="0A311547"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5.1</w:t>
            </w:r>
          </w:p>
        </w:tc>
        <w:tc>
          <w:tcPr>
            <w:tcW w:w="902" w:type="dxa"/>
            <w:vAlign w:val="center"/>
          </w:tcPr>
          <w:p w14:paraId="1809ED08"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4.4</w:t>
            </w:r>
          </w:p>
        </w:tc>
        <w:tc>
          <w:tcPr>
            <w:tcW w:w="899" w:type="dxa"/>
            <w:vAlign w:val="center"/>
          </w:tcPr>
          <w:p w14:paraId="4FD71423"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4.6</w:t>
            </w:r>
          </w:p>
        </w:tc>
        <w:tc>
          <w:tcPr>
            <w:tcW w:w="897" w:type="dxa"/>
            <w:vAlign w:val="center"/>
          </w:tcPr>
          <w:p w14:paraId="092C6074"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5.1</w:t>
            </w:r>
          </w:p>
        </w:tc>
        <w:tc>
          <w:tcPr>
            <w:tcW w:w="899" w:type="dxa"/>
            <w:vAlign w:val="center"/>
          </w:tcPr>
          <w:p w14:paraId="067CFE89"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5.2</w:t>
            </w:r>
          </w:p>
        </w:tc>
        <w:tc>
          <w:tcPr>
            <w:tcW w:w="900" w:type="dxa"/>
            <w:vAlign w:val="center"/>
          </w:tcPr>
          <w:p w14:paraId="043D90AF"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5.3</w:t>
            </w:r>
          </w:p>
        </w:tc>
        <w:tc>
          <w:tcPr>
            <w:tcW w:w="900" w:type="dxa"/>
            <w:vAlign w:val="center"/>
          </w:tcPr>
          <w:p w14:paraId="48E444EB"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5.3</w:t>
            </w:r>
          </w:p>
        </w:tc>
        <w:tc>
          <w:tcPr>
            <w:tcW w:w="835" w:type="dxa"/>
            <w:vAlign w:val="center"/>
          </w:tcPr>
          <w:p w14:paraId="7834BFD0"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5.3</w:t>
            </w:r>
          </w:p>
        </w:tc>
      </w:tr>
      <w:tr w:rsidR="00050905" w:rsidRPr="008868E7" w14:paraId="4A5DB043" w14:textId="77777777" w:rsidTr="005A7652">
        <w:trPr>
          <w:trHeight w:val="380"/>
          <w:jc w:val="center"/>
        </w:trPr>
        <w:tc>
          <w:tcPr>
            <w:tcW w:w="2217" w:type="dxa"/>
            <w:vAlign w:val="center"/>
          </w:tcPr>
          <w:p w14:paraId="5A587A4B" w14:textId="77777777" w:rsidR="00050905" w:rsidRPr="008868E7" w:rsidRDefault="00050905" w:rsidP="005A7652">
            <w:pPr>
              <w:keepNext/>
              <w:keepLines/>
              <w:widowControl w:val="0"/>
              <w:rPr>
                <w:rFonts w:ascii="Garamond" w:hAnsi="Garamond" w:cs="Times New Roman"/>
              </w:rPr>
            </w:pPr>
            <w:r w:rsidRPr="008868E7">
              <w:rPr>
                <w:rFonts w:ascii="Garamond" w:hAnsi="Garamond" w:cs="Times New Roman"/>
              </w:rPr>
              <w:t xml:space="preserve">    Forestry</w:t>
            </w:r>
          </w:p>
        </w:tc>
        <w:tc>
          <w:tcPr>
            <w:tcW w:w="901" w:type="dxa"/>
            <w:vAlign w:val="center"/>
          </w:tcPr>
          <w:p w14:paraId="0F5876CD"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-3.3</w:t>
            </w:r>
          </w:p>
        </w:tc>
        <w:tc>
          <w:tcPr>
            <w:tcW w:w="902" w:type="dxa"/>
            <w:vAlign w:val="center"/>
          </w:tcPr>
          <w:p w14:paraId="4FD24AFF"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0.7</w:t>
            </w:r>
          </w:p>
        </w:tc>
        <w:tc>
          <w:tcPr>
            <w:tcW w:w="899" w:type="dxa"/>
            <w:vAlign w:val="center"/>
          </w:tcPr>
          <w:p w14:paraId="5193FF23"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10.1</w:t>
            </w:r>
          </w:p>
        </w:tc>
        <w:tc>
          <w:tcPr>
            <w:tcW w:w="897" w:type="dxa"/>
            <w:vAlign w:val="center"/>
          </w:tcPr>
          <w:p w14:paraId="35AFCE23"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-14.0</w:t>
            </w:r>
          </w:p>
        </w:tc>
        <w:tc>
          <w:tcPr>
            <w:tcW w:w="899" w:type="dxa"/>
            <w:vAlign w:val="center"/>
          </w:tcPr>
          <w:p w14:paraId="3483E830"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6.8</w:t>
            </w:r>
          </w:p>
        </w:tc>
        <w:tc>
          <w:tcPr>
            <w:tcW w:w="900" w:type="dxa"/>
            <w:vAlign w:val="center"/>
          </w:tcPr>
          <w:p w14:paraId="436F3A40"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4.6</w:t>
            </w:r>
          </w:p>
        </w:tc>
        <w:tc>
          <w:tcPr>
            <w:tcW w:w="900" w:type="dxa"/>
            <w:vAlign w:val="center"/>
          </w:tcPr>
          <w:p w14:paraId="1D1A87A9"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3.8</w:t>
            </w:r>
          </w:p>
        </w:tc>
        <w:tc>
          <w:tcPr>
            <w:tcW w:w="835" w:type="dxa"/>
            <w:vAlign w:val="center"/>
          </w:tcPr>
          <w:p w14:paraId="1DD33324"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3.8</w:t>
            </w:r>
          </w:p>
        </w:tc>
      </w:tr>
      <w:tr w:rsidR="00050905" w:rsidRPr="008868E7" w14:paraId="30549443" w14:textId="77777777" w:rsidTr="005A7652">
        <w:trPr>
          <w:trHeight w:val="379"/>
          <w:jc w:val="center"/>
        </w:trPr>
        <w:tc>
          <w:tcPr>
            <w:tcW w:w="2217" w:type="dxa"/>
            <w:vAlign w:val="center"/>
          </w:tcPr>
          <w:p w14:paraId="073FDF6C" w14:textId="77777777" w:rsidR="00050905" w:rsidRPr="008868E7" w:rsidRDefault="00050905" w:rsidP="005A7652">
            <w:pPr>
              <w:keepNext/>
              <w:keepLines/>
              <w:widowControl w:val="0"/>
              <w:rPr>
                <w:rFonts w:ascii="Garamond" w:hAnsi="Garamond" w:cs="Times New Roman"/>
              </w:rPr>
            </w:pPr>
            <w:r w:rsidRPr="008868E7">
              <w:rPr>
                <w:rFonts w:ascii="Garamond" w:hAnsi="Garamond" w:cs="Times New Roman"/>
              </w:rPr>
              <w:t xml:space="preserve">    Fishing</w:t>
            </w:r>
          </w:p>
        </w:tc>
        <w:tc>
          <w:tcPr>
            <w:tcW w:w="901" w:type="dxa"/>
            <w:vAlign w:val="center"/>
          </w:tcPr>
          <w:p w14:paraId="386AE6FC"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17.4</w:t>
            </w:r>
          </w:p>
        </w:tc>
        <w:tc>
          <w:tcPr>
            <w:tcW w:w="902" w:type="dxa"/>
            <w:vAlign w:val="center"/>
          </w:tcPr>
          <w:p w14:paraId="782C2696"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-5.7</w:t>
            </w:r>
          </w:p>
        </w:tc>
        <w:tc>
          <w:tcPr>
            <w:tcW w:w="899" w:type="dxa"/>
            <w:vAlign w:val="center"/>
          </w:tcPr>
          <w:p w14:paraId="50D14EEA"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1.5</w:t>
            </w:r>
          </w:p>
        </w:tc>
        <w:tc>
          <w:tcPr>
            <w:tcW w:w="897" w:type="dxa"/>
            <w:vAlign w:val="center"/>
          </w:tcPr>
          <w:p w14:paraId="08CD3BC1"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-8.7</w:t>
            </w:r>
          </w:p>
        </w:tc>
        <w:tc>
          <w:tcPr>
            <w:tcW w:w="899" w:type="dxa"/>
            <w:vAlign w:val="center"/>
          </w:tcPr>
          <w:p w14:paraId="447A1F4C"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9.1</w:t>
            </w:r>
          </w:p>
        </w:tc>
        <w:tc>
          <w:tcPr>
            <w:tcW w:w="900" w:type="dxa"/>
            <w:vAlign w:val="center"/>
          </w:tcPr>
          <w:p w14:paraId="1C0F8BB1"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5.7</w:t>
            </w:r>
          </w:p>
        </w:tc>
        <w:tc>
          <w:tcPr>
            <w:tcW w:w="900" w:type="dxa"/>
            <w:vAlign w:val="center"/>
          </w:tcPr>
          <w:p w14:paraId="1B6EBA0E"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-5.6</w:t>
            </w:r>
          </w:p>
        </w:tc>
        <w:tc>
          <w:tcPr>
            <w:tcW w:w="835" w:type="dxa"/>
            <w:vAlign w:val="center"/>
          </w:tcPr>
          <w:p w14:paraId="01E459C5" w14:textId="77777777" w:rsidR="00050905" w:rsidRPr="008868E7" w:rsidRDefault="00050905" w:rsidP="005A7652">
            <w:pPr>
              <w:keepNext/>
              <w:keepLines/>
              <w:widowControl w:val="0"/>
              <w:jc w:val="center"/>
              <w:rPr>
                <w:rFonts w:ascii="Garamond" w:hAnsi="Garamond" w:cs="Times New Roman"/>
              </w:rPr>
            </w:pPr>
            <w:r w:rsidRPr="008868E7">
              <w:rPr>
                <w:rFonts w:ascii="Garamond" w:hAnsi="Garamond" w:cs="Times New Roman"/>
              </w:rPr>
              <w:t>1.2</w:t>
            </w:r>
          </w:p>
        </w:tc>
      </w:tr>
      <w:tr w:rsidR="00050905" w:rsidRPr="008868E7" w14:paraId="0FA8CCC7" w14:textId="77777777" w:rsidTr="005A7652">
        <w:trPr>
          <w:trHeight w:val="380"/>
          <w:jc w:val="center"/>
        </w:trPr>
        <w:tc>
          <w:tcPr>
            <w:tcW w:w="2217" w:type="dxa"/>
            <w:vAlign w:val="center"/>
          </w:tcPr>
          <w:p w14:paraId="37C8A2F0" w14:textId="77777777" w:rsidR="00050905" w:rsidRPr="008868E7" w:rsidRDefault="00050905" w:rsidP="005A7652">
            <w:pPr>
              <w:keepNext/>
              <w:keepLines/>
              <w:widowControl w:val="0"/>
              <w:rPr>
                <w:rFonts w:ascii="Garamond" w:hAnsi="Garamond" w:cs="Times New Roman"/>
                <w:b/>
              </w:rPr>
            </w:pPr>
            <w:r w:rsidRPr="008868E7">
              <w:rPr>
                <w:rFonts w:ascii="Garamond" w:hAnsi="Garamond" w:cs="Times New Roman"/>
                <w:b/>
              </w:rPr>
              <w:t>Industry</w:t>
            </w:r>
          </w:p>
        </w:tc>
        <w:tc>
          <w:tcPr>
            <w:tcW w:w="901" w:type="dxa"/>
            <w:vAlign w:val="center"/>
          </w:tcPr>
          <w:p w14:paraId="271F9E71"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15.1</w:t>
            </w:r>
          </w:p>
        </w:tc>
        <w:tc>
          <w:tcPr>
            <w:tcW w:w="902" w:type="dxa"/>
            <w:vAlign w:val="center"/>
          </w:tcPr>
          <w:p w14:paraId="030E12F2"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4.5</w:t>
            </w:r>
          </w:p>
        </w:tc>
        <w:tc>
          <w:tcPr>
            <w:tcW w:w="899" w:type="dxa"/>
            <w:vAlign w:val="center"/>
          </w:tcPr>
          <w:p w14:paraId="4DF982BD"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6.9</w:t>
            </w:r>
          </w:p>
        </w:tc>
        <w:tc>
          <w:tcPr>
            <w:tcW w:w="897" w:type="dxa"/>
            <w:vAlign w:val="center"/>
          </w:tcPr>
          <w:p w14:paraId="781968AC"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41.6</w:t>
            </w:r>
          </w:p>
        </w:tc>
        <w:tc>
          <w:tcPr>
            <w:tcW w:w="899" w:type="dxa"/>
            <w:vAlign w:val="center"/>
          </w:tcPr>
          <w:p w14:paraId="01D1816E"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11.0</w:t>
            </w:r>
          </w:p>
        </w:tc>
        <w:tc>
          <w:tcPr>
            <w:tcW w:w="900" w:type="dxa"/>
            <w:vAlign w:val="center"/>
          </w:tcPr>
          <w:p w14:paraId="5D5EFEA6"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6.6</w:t>
            </w:r>
          </w:p>
        </w:tc>
        <w:tc>
          <w:tcPr>
            <w:tcW w:w="900" w:type="dxa"/>
            <w:vAlign w:val="center"/>
          </w:tcPr>
          <w:p w14:paraId="205C0E29"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0.8</w:t>
            </w:r>
          </w:p>
        </w:tc>
        <w:tc>
          <w:tcPr>
            <w:tcW w:w="835" w:type="dxa"/>
            <w:vAlign w:val="center"/>
          </w:tcPr>
          <w:p w14:paraId="0697FBF0"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1.2</w:t>
            </w:r>
          </w:p>
        </w:tc>
      </w:tr>
      <w:tr w:rsidR="00050905" w:rsidRPr="008868E7" w14:paraId="7BF12281" w14:textId="77777777" w:rsidTr="005A7652">
        <w:trPr>
          <w:trHeight w:val="379"/>
          <w:jc w:val="center"/>
        </w:trPr>
        <w:tc>
          <w:tcPr>
            <w:tcW w:w="2217" w:type="dxa"/>
            <w:vAlign w:val="center"/>
          </w:tcPr>
          <w:p w14:paraId="59C4B6AC" w14:textId="77777777" w:rsidR="00050905" w:rsidRPr="008868E7" w:rsidRDefault="00050905" w:rsidP="005A7652">
            <w:pPr>
              <w:keepNext/>
              <w:keepLines/>
              <w:widowControl w:val="0"/>
              <w:rPr>
                <w:rFonts w:ascii="Garamond" w:hAnsi="Garamond" w:cs="Times New Roman"/>
                <w:b/>
              </w:rPr>
            </w:pPr>
            <w:r w:rsidRPr="008868E7">
              <w:rPr>
                <w:rFonts w:ascii="Garamond" w:hAnsi="Garamond" w:cs="Times New Roman"/>
                <w:b/>
              </w:rPr>
              <w:t>Services</w:t>
            </w:r>
          </w:p>
        </w:tc>
        <w:tc>
          <w:tcPr>
            <w:tcW w:w="901" w:type="dxa"/>
            <w:vAlign w:val="center"/>
          </w:tcPr>
          <w:p w14:paraId="6AA0D027"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8.0</w:t>
            </w:r>
          </w:p>
        </w:tc>
        <w:tc>
          <w:tcPr>
            <w:tcW w:w="902" w:type="dxa"/>
            <w:vAlign w:val="center"/>
          </w:tcPr>
          <w:p w14:paraId="365E690C"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5.6</w:t>
            </w:r>
          </w:p>
        </w:tc>
        <w:tc>
          <w:tcPr>
            <w:tcW w:w="899" w:type="dxa"/>
            <w:vAlign w:val="center"/>
          </w:tcPr>
          <w:p w14:paraId="5EF0B505"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9.8</w:t>
            </w:r>
          </w:p>
        </w:tc>
        <w:tc>
          <w:tcPr>
            <w:tcW w:w="897" w:type="dxa"/>
            <w:vAlign w:val="center"/>
          </w:tcPr>
          <w:p w14:paraId="535D5B7B"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9.4</w:t>
            </w:r>
          </w:p>
        </w:tc>
        <w:tc>
          <w:tcPr>
            <w:tcW w:w="899" w:type="dxa"/>
            <w:vAlign w:val="center"/>
          </w:tcPr>
          <w:p w14:paraId="3F8B4F48"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12.1</w:t>
            </w:r>
          </w:p>
        </w:tc>
        <w:tc>
          <w:tcPr>
            <w:tcW w:w="900" w:type="dxa"/>
            <w:vAlign w:val="center"/>
          </w:tcPr>
          <w:p w14:paraId="5E6D4F93"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10.0</w:t>
            </w:r>
          </w:p>
        </w:tc>
        <w:tc>
          <w:tcPr>
            <w:tcW w:w="900" w:type="dxa"/>
            <w:vAlign w:val="center"/>
          </w:tcPr>
          <w:p w14:paraId="2292B31D"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5.6</w:t>
            </w:r>
          </w:p>
        </w:tc>
        <w:tc>
          <w:tcPr>
            <w:tcW w:w="835" w:type="dxa"/>
            <w:vAlign w:val="center"/>
          </w:tcPr>
          <w:p w14:paraId="70EE2AE9"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5.7</w:t>
            </w:r>
          </w:p>
        </w:tc>
      </w:tr>
      <w:tr w:rsidR="00050905" w:rsidRPr="008868E7" w14:paraId="090E1241" w14:textId="77777777" w:rsidTr="005A7652">
        <w:trPr>
          <w:trHeight w:val="380"/>
          <w:jc w:val="center"/>
        </w:trPr>
        <w:tc>
          <w:tcPr>
            <w:tcW w:w="2217" w:type="dxa"/>
            <w:vAlign w:val="center"/>
          </w:tcPr>
          <w:p w14:paraId="6CC5A46C" w14:textId="77777777" w:rsidR="00050905" w:rsidRPr="008868E7" w:rsidRDefault="00050905" w:rsidP="005A7652">
            <w:pPr>
              <w:keepNext/>
              <w:keepLines/>
              <w:widowControl w:val="0"/>
              <w:rPr>
                <w:rFonts w:ascii="Garamond" w:hAnsi="Garamond" w:cs="Times New Roman"/>
                <w:b/>
              </w:rPr>
            </w:pPr>
            <w:r w:rsidRPr="008868E7">
              <w:rPr>
                <w:rFonts w:ascii="Garamond" w:hAnsi="Garamond" w:cs="Times New Roman"/>
                <w:b/>
              </w:rPr>
              <w:t>GDP (total)</w:t>
            </w:r>
          </w:p>
        </w:tc>
        <w:tc>
          <w:tcPr>
            <w:tcW w:w="901" w:type="dxa"/>
            <w:vAlign w:val="center"/>
          </w:tcPr>
          <w:p w14:paraId="7541C349"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9.1</w:t>
            </w:r>
          </w:p>
        </w:tc>
        <w:tc>
          <w:tcPr>
            <w:tcW w:w="902" w:type="dxa"/>
            <w:vAlign w:val="center"/>
          </w:tcPr>
          <w:p w14:paraId="76EDB1B1"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4.8</w:t>
            </w:r>
          </w:p>
        </w:tc>
        <w:tc>
          <w:tcPr>
            <w:tcW w:w="899" w:type="dxa"/>
            <w:vAlign w:val="center"/>
          </w:tcPr>
          <w:p w14:paraId="17C6BBFA"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7.9</w:t>
            </w:r>
          </w:p>
        </w:tc>
        <w:tc>
          <w:tcPr>
            <w:tcW w:w="897" w:type="dxa"/>
            <w:vAlign w:val="center"/>
          </w:tcPr>
          <w:p w14:paraId="3E263638"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14.0</w:t>
            </w:r>
          </w:p>
        </w:tc>
        <w:tc>
          <w:tcPr>
            <w:tcW w:w="899" w:type="dxa"/>
            <w:vAlign w:val="center"/>
          </w:tcPr>
          <w:p w14:paraId="5AFAD85C"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9.3</w:t>
            </w:r>
          </w:p>
        </w:tc>
        <w:tc>
          <w:tcPr>
            <w:tcW w:w="900" w:type="dxa"/>
            <w:vAlign w:val="center"/>
          </w:tcPr>
          <w:p w14:paraId="644B2F57"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7.3</w:t>
            </w:r>
          </w:p>
        </w:tc>
        <w:tc>
          <w:tcPr>
            <w:tcW w:w="900" w:type="dxa"/>
            <w:vAlign w:val="center"/>
          </w:tcPr>
          <w:p w14:paraId="3364085A"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4.0</w:t>
            </w:r>
          </w:p>
        </w:tc>
        <w:tc>
          <w:tcPr>
            <w:tcW w:w="835" w:type="dxa"/>
            <w:vAlign w:val="center"/>
          </w:tcPr>
          <w:p w14:paraId="1FA1462E" w14:textId="77777777" w:rsidR="00050905" w:rsidRPr="008868E7" w:rsidRDefault="00050905" w:rsidP="005A7652">
            <w:pPr>
              <w:keepNext/>
              <w:keepLines/>
              <w:widowControl w:val="0"/>
              <w:jc w:val="center"/>
              <w:rPr>
                <w:rFonts w:ascii="Garamond" w:hAnsi="Garamond" w:cs="Times New Roman"/>
                <w:b/>
              </w:rPr>
            </w:pPr>
            <w:r w:rsidRPr="008868E7">
              <w:rPr>
                <w:rFonts w:ascii="Garamond" w:hAnsi="Garamond" w:cs="Times New Roman"/>
                <w:b/>
              </w:rPr>
              <w:t>3.9</w:t>
            </w:r>
          </w:p>
        </w:tc>
      </w:tr>
    </w:tbl>
    <w:p w14:paraId="7BDEFC49" w14:textId="77777777" w:rsidR="00050905" w:rsidRPr="00D13405" w:rsidRDefault="00050905" w:rsidP="00050905">
      <w:pPr>
        <w:pStyle w:val="Source"/>
        <w:jc w:val="left"/>
        <w:rPr>
          <w:rFonts w:ascii="Garamond" w:hAnsi="Garamond"/>
          <w:i w:val="0"/>
        </w:rPr>
      </w:pPr>
      <w:r w:rsidRPr="00D13405">
        <w:rPr>
          <w:rFonts w:ascii="Garamond" w:hAnsi="Garamond"/>
        </w:rPr>
        <w:t xml:space="preserve">Note: </w:t>
      </w:r>
      <w:r w:rsidRPr="00D13405">
        <w:rPr>
          <w:rFonts w:ascii="Garamond" w:hAnsi="Garamond"/>
          <w:i w:val="0"/>
        </w:rPr>
        <w:t>All figures are presented in constant 2006 prices</w:t>
      </w:r>
    </w:p>
    <w:p w14:paraId="348170F6" w14:textId="77777777" w:rsidR="00050905" w:rsidRPr="00D13405" w:rsidRDefault="00050905" w:rsidP="00050905">
      <w:pPr>
        <w:pStyle w:val="Source"/>
        <w:spacing w:after="240"/>
        <w:contextualSpacing w:val="0"/>
        <w:jc w:val="left"/>
        <w:rPr>
          <w:rFonts w:ascii="Garamond" w:hAnsi="Garamond"/>
        </w:rPr>
      </w:pPr>
      <w:r w:rsidRPr="00D13405">
        <w:rPr>
          <w:rFonts w:ascii="Garamond" w:hAnsi="Garamond"/>
        </w:rPr>
        <w:t xml:space="preserve">Source: </w:t>
      </w:r>
      <w:r w:rsidRPr="00D13405">
        <w:rPr>
          <w:rFonts w:ascii="Garamond" w:hAnsi="Garamond"/>
          <w:i w:val="0"/>
        </w:rPr>
        <w:t>MoFA, 2015; SRID, 2015.</w:t>
      </w:r>
    </w:p>
    <w:p w14:paraId="64D74B55" w14:textId="77777777" w:rsidR="00050905" w:rsidRDefault="00050905" w:rsidP="00724BAB">
      <w:pPr>
        <w:pStyle w:val="ListParagraph"/>
        <w:numPr>
          <w:ilvl w:val="3"/>
          <w:numId w:val="11"/>
        </w:numPr>
        <w:ind w:left="0"/>
      </w:pPr>
      <w:r w:rsidRPr="00C514FA">
        <w:rPr>
          <w:b/>
        </w:rPr>
        <w:t xml:space="preserve">Crop production dominates the </w:t>
      </w:r>
      <w:r>
        <w:rPr>
          <w:b/>
        </w:rPr>
        <w:t xml:space="preserve">agricultural </w:t>
      </w:r>
      <w:r w:rsidRPr="00C514FA">
        <w:rPr>
          <w:b/>
        </w:rPr>
        <w:t>sector, accounting for more than 75 percent of total output, while livestock, fishing</w:t>
      </w:r>
      <w:r w:rsidR="008D2392">
        <w:rPr>
          <w:b/>
        </w:rPr>
        <w:t>,</w:t>
      </w:r>
      <w:r w:rsidRPr="00C514FA">
        <w:rPr>
          <w:b/>
        </w:rPr>
        <w:t xml:space="preserve"> and forestry comprise the remain</w:t>
      </w:r>
      <w:r>
        <w:rPr>
          <w:b/>
        </w:rPr>
        <w:t>ing 25 percent</w:t>
      </w:r>
      <w:r w:rsidRPr="00C514FA">
        <w:rPr>
          <w:b/>
        </w:rPr>
        <w:t>.</w:t>
      </w:r>
      <w:r w:rsidRPr="00322815">
        <w:t xml:space="preserve"> Ghana is the world’s second-largest cocoa producer after Côte d’Ivoire, and cocoa represents over 10 percent of agricultural production (</w:t>
      </w:r>
      <w:r w:rsidR="003D5DA2">
        <w:fldChar w:fldCharType="begin"/>
      </w:r>
      <w:r w:rsidR="003D5DA2">
        <w:instrText xml:space="preserve"> REF _Ref472431097 \h </w:instrText>
      </w:r>
      <w:r w:rsidR="003D5DA2">
        <w:fldChar w:fldCharType="separate"/>
      </w:r>
      <w:r w:rsidR="007B1CE6">
        <w:t xml:space="preserve">Figure </w:t>
      </w:r>
      <w:r w:rsidR="007B1CE6">
        <w:rPr>
          <w:noProof/>
        </w:rPr>
        <w:t>5</w:t>
      </w:r>
      <w:r w:rsidR="007B1CE6">
        <w:t>.</w:t>
      </w:r>
      <w:r w:rsidR="007B1CE6">
        <w:rPr>
          <w:noProof/>
        </w:rPr>
        <w:t>1</w:t>
      </w:r>
      <w:r w:rsidR="003D5DA2">
        <w:fldChar w:fldCharType="end"/>
      </w:r>
      <w:r w:rsidRPr="00322815">
        <w:t>). Other key crops include staple foods such as maize, cassava</w:t>
      </w:r>
      <w:r w:rsidR="008D2392">
        <w:t>,</w:t>
      </w:r>
      <w:r w:rsidRPr="00322815">
        <w:t xml:space="preserve"> and yam. While domestic rice production is on the rise, imports still meet about half of the country’s rapidly growing demand.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4809"/>
      </w:tblGrid>
      <w:tr w:rsidR="00050905" w:rsidRPr="00322815" w14:paraId="58CE1C34" w14:textId="77777777" w:rsidTr="007A1E33">
        <w:tc>
          <w:tcPr>
            <w:tcW w:w="4809" w:type="dxa"/>
          </w:tcPr>
          <w:p w14:paraId="3271DE09" w14:textId="77777777" w:rsidR="00050905" w:rsidRPr="00322815" w:rsidRDefault="00657AA2" w:rsidP="00CC6F65">
            <w:pPr>
              <w:pStyle w:val="Caption"/>
              <w:rPr>
                <w:rFonts w:cs="Times New Roman"/>
                <w:sz w:val="24"/>
                <w:szCs w:val="24"/>
                <w:lang w:val="en-US"/>
              </w:rPr>
            </w:pPr>
            <w:bookmarkStart w:id="224" w:name="_Ref472431097"/>
            <w:r>
              <w:lastRenderedPageBreak/>
              <w:t>Figure</w:t>
            </w:r>
            <w:r w:rsidR="00CC6F65">
              <w:t xml:space="preserve"> </w:t>
            </w:r>
            <w:r w:rsidR="005C0067">
              <w:fldChar w:fldCharType="begin"/>
            </w:r>
            <w:r w:rsidR="005C0067">
              <w:instrText xml:space="preserve"> STYLEREF 1 \s </w:instrText>
            </w:r>
            <w:r w:rsidR="005C0067">
              <w:fldChar w:fldCharType="separate"/>
            </w:r>
            <w:r w:rsidR="007B1CE6">
              <w:rPr>
                <w:noProof/>
              </w:rPr>
              <w:t>5</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1</w:t>
            </w:r>
            <w:r w:rsidR="005C0067">
              <w:fldChar w:fldCharType="end"/>
            </w:r>
            <w:bookmarkEnd w:id="224"/>
            <w:r w:rsidR="00050905" w:rsidRPr="00322815">
              <w:rPr>
                <w:lang w:val="en-US"/>
              </w:rPr>
              <w:t>: Agricultural Production by Subsector, 2014</w:t>
            </w:r>
          </w:p>
        </w:tc>
        <w:tc>
          <w:tcPr>
            <w:tcW w:w="4551" w:type="dxa"/>
          </w:tcPr>
          <w:p w14:paraId="555FD729" w14:textId="77777777" w:rsidR="00050905" w:rsidRPr="00322815" w:rsidRDefault="00657AA2" w:rsidP="00CC6F65">
            <w:pPr>
              <w:pStyle w:val="Caption"/>
              <w:rPr>
                <w:rFonts w:cs="Times New Roman"/>
                <w:sz w:val="24"/>
                <w:szCs w:val="24"/>
                <w:lang w:val="en-US"/>
              </w:rPr>
            </w:pPr>
            <w:bookmarkStart w:id="225" w:name="_Toc479624951"/>
            <w:r>
              <w:t>Figure</w:t>
            </w:r>
            <w:r w:rsidR="00CC6F65">
              <w:t xml:space="preserve"> </w:t>
            </w:r>
            <w:r w:rsidR="005C0067">
              <w:fldChar w:fldCharType="begin"/>
            </w:r>
            <w:r w:rsidR="005C0067">
              <w:instrText xml:space="preserve"> STYLEREF 1 \s </w:instrText>
            </w:r>
            <w:r w:rsidR="005C0067">
              <w:fldChar w:fldCharType="separate"/>
            </w:r>
            <w:r w:rsidR="007B1CE6">
              <w:rPr>
                <w:noProof/>
              </w:rPr>
              <w:t>5</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2</w:t>
            </w:r>
            <w:r w:rsidR="005C0067">
              <w:fldChar w:fldCharType="end"/>
            </w:r>
            <w:r w:rsidR="00050905" w:rsidRPr="00322815">
              <w:rPr>
                <w:lang w:val="en-US"/>
              </w:rPr>
              <w:t>: Agricultural Growth vs. Growth in All Other sectors, 2008-2014</w:t>
            </w:r>
            <w:bookmarkEnd w:id="225"/>
          </w:p>
        </w:tc>
      </w:tr>
      <w:tr w:rsidR="00050905" w:rsidRPr="00322815" w14:paraId="0918F31E" w14:textId="77777777" w:rsidTr="007A1E33">
        <w:tc>
          <w:tcPr>
            <w:tcW w:w="4809" w:type="dxa"/>
          </w:tcPr>
          <w:p w14:paraId="761CEEB3" w14:textId="77777777" w:rsidR="00050905" w:rsidRPr="00322815" w:rsidRDefault="00050905" w:rsidP="005A7652">
            <w:pPr>
              <w:rPr>
                <w:rFonts w:asciiTheme="minorHAnsi" w:hAnsiTheme="minorHAnsi" w:cs="Times New Roman"/>
                <w:sz w:val="24"/>
                <w:szCs w:val="24"/>
              </w:rPr>
            </w:pPr>
            <w:r w:rsidRPr="00322815">
              <w:rPr>
                <w:rFonts w:asciiTheme="minorHAnsi" w:hAnsiTheme="minorHAnsi"/>
                <w:noProof/>
              </w:rPr>
              <w:drawing>
                <wp:inline distT="0" distB="0" distL="0" distR="0" wp14:anchorId="51BD0DD0" wp14:editId="5CC7D4CE">
                  <wp:extent cx="2859405" cy="242887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c>
          <w:tcPr>
            <w:tcW w:w="4551" w:type="dxa"/>
          </w:tcPr>
          <w:p w14:paraId="4EFE33E0" w14:textId="77777777" w:rsidR="00050905" w:rsidRPr="00322815" w:rsidRDefault="00050905" w:rsidP="005A7652">
            <w:pPr>
              <w:rPr>
                <w:rFonts w:asciiTheme="minorHAnsi" w:hAnsiTheme="minorHAnsi" w:cs="Times New Roman"/>
                <w:sz w:val="24"/>
                <w:szCs w:val="24"/>
              </w:rPr>
            </w:pPr>
            <w:r w:rsidRPr="00322815">
              <w:rPr>
                <w:rFonts w:asciiTheme="minorHAnsi" w:hAnsiTheme="minorHAnsi"/>
                <w:noProof/>
              </w:rPr>
              <w:drawing>
                <wp:inline distT="0" distB="0" distL="0" distR="0" wp14:anchorId="793BC06B" wp14:editId="0451C40F">
                  <wp:extent cx="3028950" cy="24288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r>
      <w:tr w:rsidR="00050905" w:rsidRPr="00322815" w14:paraId="5FCDB11B" w14:textId="77777777" w:rsidTr="007A1E33">
        <w:tc>
          <w:tcPr>
            <w:tcW w:w="4809" w:type="dxa"/>
          </w:tcPr>
          <w:p w14:paraId="1D33781A" w14:textId="77777777" w:rsidR="00050905" w:rsidRPr="00B70891" w:rsidRDefault="00050905" w:rsidP="005A7652">
            <w:pPr>
              <w:pStyle w:val="Source"/>
              <w:spacing w:after="0"/>
              <w:contextualSpacing w:val="0"/>
              <w:jc w:val="left"/>
              <w:rPr>
                <w:rFonts w:ascii="Garamond" w:hAnsi="Garamond"/>
              </w:rPr>
            </w:pPr>
            <w:r w:rsidRPr="00B70891">
              <w:rPr>
                <w:rFonts w:ascii="Garamond" w:hAnsi="Garamond"/>
              </w:rPr>
              <w:t xml:space="preserve">Source: </w:t>
            </w:r>
            <w:r w:rsidRPr="00B70891">
              <w:rPr>
                <w:rFonts w:ascii="Garamond" w:hAnsi="Garamond"/>
                <w:i w:val="0"/>
              </w:rPr>
              <w:t>MoFA (2015)</w:t>
            </w:r>
          </w:p>
        </w:tc>
        <w:tc>
          <w:tcPr>
            <w:tcW w:w="4551" w:type="dxa"/>
          </w:tcPr>
          <w:p w14:paraId="5A934BBE" w14:textId="77777777" w:rsidR="00050905" w:rsidRPr="00B70891" w:rsidRDefault="00050905" w:rsidP="005A7652">
            <w:pPr>
              <w:pStyle w:val="Source"/>
              <w:spacing w:after="0"/>
              <w:contextualSpacing w:val="0"/>
              <w:jc w:val="left"/>
              <w:rPr>
                <w:rFonts w:ascii="Garamond" w:hAnsi="Garamond"/>
              </w:rPr>
            </w:pPr>
            <w:r w:rsidRPr="00B70891">
              <w:rPr>
                <w:rFonts w:ascii="Garamond" w:hAnsi="Garamond"/>
              </w:rPr>
              <w:t xml:space="preserve">Source: </w:t>
            </w:r>
            <w:r w:rsidRPr="00B70891">
              <w:rPr>
                <w:rFonts w:ascii="Garamond" w:hAnsi="Garamond"/>
                <w:i w:val="0"/>
              </w:rPr>
              <w:t>SRID; World Bank data</w:t>
            </w:r>
            <w:r w:rsidRPr="00B70891">
              <w:rPr>
                <w:rFonts w:ascii="Garamond" w:hAnsi="Garamond"/>
              </w:rPr>
              <w:t xml:space="preserve"> </w:t>
            </w:r>
          </w:p>
        </w:tc>
      </w:tr>
    </w:tbl>
    <w:p w14:paraId="71104707" w14:textId="77777777" w:rsidR="00050905" w:rsidRPr="00322815" w:rsidRDefault="00050905" w:rsidP="00724BAB">
      <w:pPr>
        <w:pStyle w:val="ListParagraph"/>
        <w:numPr>
          <w:ilvl w:val="3"/>
          <w:numId w:val="11"/>
        </w:numPr>
        <w:spacing w:before="240"/>
        <w:ind w:left="0"/>
      </w:pPr>
      <w:r w:rsidRPr="004A50A0">
        <w:rPr>
          <w:b/>
        </w:rPr>
        <w:t>The agricultural sector provides a critical source of employment for the 300,000-350,000 new workers who enter the Ghanaian labor force each year.</w:t>
      </w:r>
      <w:r w:rsidRPr="00322815">
        <w:t xml:space="preserve"> The economy’s fastest-growing sector—extractive industries—is highly capital intensive and employs only a small fraction of unskilled workers. By contrast, agriculture employs a huge number of unskilled workers and provides livelihoods for more than 70 percent of the rural population, including a large share of the country’s poorest households. The agricultural sector will likely continue to contribute to net job growth over the medium term,</w:t>
      </w:r>
      <w:r w:rsidRPr="008D1783">
        <w:rPr>
          <w:rStyle w:val="FootnoteReference"/>
        </w:rPr>
        <w:footnoteReference w:id="141"/>
      </w:r>
      <w:r w:rsidRPr="00322815">
        <w:t xml:space="preserve"> and improving agricultural </w:t>
      </w:r>
      <w:r>
        <w:t>output</w:t>
      </w:r>
      <w:r w:rsidRPr="00322815">
        <w:t xml:space="preserve"> will remain vital to poverty reduction. In this context, the agricultural sector’s </w:t>
      </w:r>
      <w:r>
        <w:t>slowing</w:t>
      </w:r>
      <w:r w:rsidRPr="00322815">
        <w:t xml:space="preserve"> growth rate </w:t>
      </w:r>
      <w:r>
        <w:t>(</w:t>
      </w:r>
      <w:r w:rsidR="003D5DA2">
        <w:fldChar w:fldCharType="begin"/>
      </w:r>
      <w:r w:rsidR="003D5DA2">
        <w:instrText xml:space="preserve"> REF _Ref472431119 \h </w:instrText>
      </w:r>
      <w:r w:rsidR="003D5DA2">
        <w:fldChar w:fldCharType="separate"/>
      </w:r>
      <w:r w:rsidR="007B1CE6" w:rsidRPr="00B70891">
        <w:t xml:space="preserve">Figure </w:t>
      </w:r>
      <w:r w:rsidR="007B1CE6">
        <w:rPr>
          <w:noProof/>
        </w:rPr>
        <w:t>5</w:t>
      </w:r>
      <w:r w:rsidR="007B1CE6" w:rsidRPr="00B70891">
        <w:t>.</w:t>
      </w:r>
      <w:r w:rsidR="007B1CE6">
        <w:rPr>
          <w:noProof/>
        </w:rPr>
        <w:t>3</w:t>
      </w:r>
      <w:r w:rsidR="003D5DA2">
        <w:fldChar w:fldCharType="end"/>
      </w:r>
      <w:r>
        <w:t xml:space="preserve">) </w:t>
      </w:r>
      <w:r w:rsidRPr="00322815">
        <w:t>raises development policy concerns that extend well beyond its immediate macroeconomic impact.</w:t>
      </w:r>
    </w:p>
    <w:p w14:paraId="1881B8CD" w14:textId="77777777" w:rsidR="00050905" w:rsidRPr="00322815" w:rsidRDefault="00050905" w:rsidP="00724BAB">
      <w:pPr>
        <w:pStyle w:val="ListParagraph"/>
        <w:numPr>
          <w:ilvl w:val="3"/>
          <w:numId w:val="11"/>
        </w:numPr>
        <w:ind w:left="0"/>
      </w:pPr>
      <w:r w:rsidRPr="00322815">
        <w:rPr>
          <w:b/>
        </w:rPr>
        <w:t>Ghana’s recent poverty dynamics further underscore the importance of the agricultural sector.</w:t>
      </w:r>
      <w:r w:rsidRPr="00322815">
        <w:t xml:space="preserve"> Following significant progress in poverty reduction over the past decade, moderate and extreme poverty rates as well as inequality have </w:t>
      </w:r>
      <w:r w:rsidR="00F4278D">
        <w:t xml:space="preserve">not </w:t>
      </w:r>
      <w:r w:rsidR="00F71BAA">
        <w:t>changed</w:t>
      </w:r>
      <w:r w:rsidR="00F4278D" w:rsidRPr="00322815">
        <w:t xml:space="preserve"> </w:t>
      </w:r>
      <w:r w:rsidRPr="00322815">
        <w:t>in recent years</w:t>
      </w:r>
      <w:r w:rsidRPr="00FD35C5">
        <w:t>.</w:t>
      </w:r>
      <w:r w:rsidRPr="004A50A0">
        <w:rPr>
          <w:rStyle w:val="FootnoteReference"/>
        </w:rPr>
        <w:footnoteReference w:id="142"/>
      </w:r>
      <w:r w:rsidRPr="00FD35C5">
        <w:t xml:space="preserve"> Meanwhile, the international experience has shown that agricultural growth can reduce poverty in developing countries by about three times more than growth in other sectors.</w:t>
      </w:r>
      <w:r w:rsidRPr="004A50A0">
        <w:rPr>
          <w:rStyle w:val="FootnoteReference"/>
        </w:rPr>
        <w:footnoteReference w:id="143"/>
      </w:r>
      <w:r w:rsidRPr="00FD35C5">
        <w:t xml:space="preserve"> In addition to foste</w:t>
      </w:r>
      <w:r w:rsidRPr="00322815">
        <w:t xml:space="preserve">ring poverty reduction and inclusive growth, investments and policies designed to support agricultural productivity will be critical to facilitate the structural transformation of the Ghanaian economy and to manage the ongoing process of urbanization. </w:t>
      </w:r>
    </w:p>
    <w:p w14:paraId="439B619F" w14:textId="77777777" w:rsidR="00050905" w:rsidRPr="00B70891" w:rsidRDefault="00657AA2" w:rsidP="00CC6F65">
      <w:pPr>
        <w:pStyle w:val="Caption"/>
        <w:rPr>
          <w:rFonts w:cs="Times New Roman"/>
          <w:sz w:val="24"/>
          <w:szCs w:val="24"/>
          <w:lang w:val="en-US"/>
        </w:rPr>
      </w:pPr>
      <w:bookmarkStart w:id="226" w:name="_Ref472431119"/>
      <w:bookmarkStart w:id="227" w:name="_Toc479624952"/>
      <w:r w:rsidRPr="00B70891">
        <w:rPr>
          <w:lang w:val="en-US"/>
        </w:rPr>
        <w:lastRenderedPageBreak/>
        <w:t>Figure</w:t>
      </w:r>
      <w:r w:rsidR="00CC6F65" w:rsidRPr="00B70891">
        <w:rPr>
          <w:lang w:val="en-US"/>
        </w:rPr>
        <w:t xml:space="preserve"> </w:t>
      </w:r>
      <w:r w:rsidR="005C0067" w:rsidRPr="00B70891">
        <w:fldChar w:fldCharType="begin"/>
      </w:r>
      <w:r w:rsidR="005C0067" w:rsidRPr="00B70891">
        <w:rPr>
          <w:lang w:val="en-US"/>
        </w:rPr>
        <w:instrText xml:space="preserve"> STYLEREF 1 \s </w:instrText>
      </w:r>
      <w:r w:rsidR="005C0067" w:rsidRPr="00B70891">
        <w:fldChar w:fldCharType="separate"/>
      </w:r>
      <w:r w:rsidR="007B1CE6">
        <w:rPr>
          <w:noProof/>
          <w:lang w:val="en-US"/>
        </w:rPr>
        <w:t>5</w:t>
      </w:r>
      <w:r w:rsidR="005C0067" w:rsidRPr="00B70891">
        <w:fldChar w:fldCharType="end"/>
      </w:r>
      <w:r w:rsidR="005C0067" w:rsidRPr="00B70891">
        <w:rPr>
          <w:lang w:val="en-US"/>
        </w:rPr>
        <w:t>.</w:t>
      </w:r>
      <w:r w:rsidR="005C0067" w:rsidRPr="00B70891">
        <w:fldChar w:fldCharType="begin"/>
      </w:r>
      <w:r w:rsidR="005C0067" w:rsidRPr="00B70891">
        <w:rPr>
          <w:lang w:val="en-US"/>
        </w:rPr>
        <w:instrText xml:space="preserve"> SEQ Figure \* ARABIC \s 1 </w:instrText>
      </w:r>
      <w:r w:rsidR="005C0067" w:rsidRPr="00B70891">
        <w:fldChar w:fldCharType="separate"/>
      </w:r>
      <w:r w:rsidR="007B1CE6">
        <w:rPr>
          <w:noProof/>
          <w:lang w:val="en-US"/>
        </w:rPr>
        <w:t>3</w:t>
      </w:r>
      <w:r w:rsidR="005C0067" w:rsidRPr="00B70891">
        <w:fldChar w:fldCharType="end"/>
      </w:r>
      <w:bookmarkEnd w:id="226"/>
      <w:r w:rsidR="00CC6F65" w:rsidRPr="00B70891">
        <w:rPr>
          <w:lang w:val="en-US"/>
        </w:rPr>
        <w:t>:</w:t>
      </w:r>
      <w:r w:rsidR="00050905" w:rsidRPr="00B70891">
        <w:rPr>
          <w:lang w:val="en-US"/>
        </w:rPr>
        <w:t>Annual Agricultural Sector Growth Rates</w:t>
      </w:r>
      <w:bookmarkEnd w:id="227"/>
      <w:r w:rsidR="00050905" w:rsidRPr="00B70891">
        <w:rPr>
          <w:lang w:val="en-US"/>
        </w:rPr>
        <w:t xml:space="preserve"> </w:t>
      </w:r>
    </w:p>
    <w:p w14:paraId="3AFCDFBD" w14:textId="77777777" w:rsidR="00050905" w:rsidRPr="00B70891" w:rsidRDefault="00050905" w:rsidP="00050905">
      <w:pPr>
        <w:keepNext/>
        <w:keepLines/>
        <w:spacing w:after="60" w:line="240" w:lineRule="auto"/>
        <w:jc w:val="center"/>
        <w:rPr>
          <w:rFonts w:ascii="Garamond" w:hAnsi="Garamond" w:cs="Times New Roman"/>
          <w:b/>
          <w:sz w:val="24"/>
          <w:szCs w:val="24"/>
        </w:rPr>
      </w:pPr>
      <w:r w:rsidRPr="00B70891">
        <w:rPr>
          <w:rFonts w:ascii="Garamond" w:hAnsi="Garamond" w:cs="Times New Roman"/>
          <w:noProof/>
          <w:sz w:val="24"/>
          <w:szCs w:val="24"/>
          <w:bdr w:val="single" w:sz="4" w:space="0" w:color="auto"/>
          <w:shd w:val="clear" w:color="auto" w:fill="2F8396"/>
        </w:rPr>
        <w:drawing>
          <wp:inline distT="0" distB="0" distL="0" distR="0" wp14:anchorId="4FDB183D" wp14:editId="233DBD1F">
            <wp:extent cx="4705350" cy="3006547"/>
            <wp:effectExtent l="0" t="0" r="0" b="381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12201A5F" w14:textId="77777777" w:rsidR="00050905" w:rsidRPr="00B70891" w:rsidRDefault="00050905" w:rsidP="00050905">
      <w:pPr>
        <w:pStyle w:val="Source"/>
        <w:spacing w:after="240"/>
        <w:ind w:firstLine="720"/>
        <w:contextualSpacing w:val="0"/>
        <w:jc w:val="left"/>
        <w:rPr>
          <w:rFonts w:ascii="Garamond" w:hAnsi="Garamond"/>
        </w:rPr>
      </w:pPr>
      <w:r w:rsidRPr="00B70891">
        <w:rPr>
          <w:rFonts w:ascii="Garamond" w:hAnsi="Garamond"/>
        </w:rPr>
        <w:t xml:space="preserve">      Source: </w:t>
      </w:r>
      <w:r w:rsidRPr="00B70891">
        <w:rPr>
          <w:rFonts w:ascii="Garamond" w:hAnsi="Garamond"/>
          <w:i w:val="0"/>
        </w:rPr>
        <w:t>Author’s calculations</w:t>
      </w:r>
    </w:p>
    <w:p w14:paraId="74A077A4" w14:textId="77777777" w:rsidR="00050905" w:rsidRPr="00322815" w:rsidRDefault="00050905" w:rsidP="00724BAB">
      <w:pPr>
        <w:pStyle w:val="ListParagraph"/>
        <w:numPr>
          <w:ilvl w:val="3"/>
          <w:numId w:val="11"/>
        </w:numPr>
        <w:ind w:left="0"/>
      </w:pPr>
      <w:r w:rsidRPr="00322815">
        <w:rPr>
          <w:b/>
        </w:rPr>
        <w:t>The rise of the extractive industries appears to be constraining agriculture sector</w:t>
      </w:r>
      <w:r w:rsidR="006E57BF" w:rsidRPr="006E57BF">
        <w:rPr>
          <w:b/>
        </w:rPr>
        <w:t xml:space="preserve"> </w:t>
      </w:r>
      <w:r w:rsidR="006E57BF" w:rsidRPr="00322815">
        <w:rPr>
          <w:b/>
        </w:rPr>
        <w:t>growth</w:t>
      </w:r>
      <w:r w:rsidRPr="00322815">
        <w:rPr>
          <w:b/>
        </w:rPr>
        <w:t>.</w:t>
      </w:r>
      <w:r w:rsidRPr="00322815">
        <w:t xml:space="preserve"> The international experience shows that the rapid growth of natural-resource exports can </w:t>
      </w:r>
      <w:r w:rsidR="0055773D">
        <w:t xml:space="preserve">lead to appreciation of </w:t>
      </w:r>
      <w:r w:rsidRPr="00322815">
        <w:t xml:space="preserve">the real exchange rate, eroding the price competitiveness of non-resource </w:t>
      </w:r>
      <w:r>
        <w:t>sectors</w:t>
      </w:r>
      <w:r w:rsidRPr="00322815">
        <w:t xml:space="preserve">. Meanwhile, the natural resources sector tends to absorb a disproportionate share of capital and </w:t>
      </w:r>
      <w:r>
        <w:t xml:space="preserve">to some extend </w:t>
      </w:r>
      <w:r w:rsidRPr="00322815">
        <w:t>skilled labor, increasing the factor costs faced by other sectors, especially agriculture and manufacturing. As exchange</w:t>
      </w:r>
      <w:r w:rsidR="00354098">
        <w:t xml:space="preserve"> </w:t>
      </w:r>
      <w:r w:rsidRPr="00322815">
        <w:t>rate appreciation weakens the competitiveness of domestic products in both external and domestic markets, the reallocation of productive factors to extractive industries slows productivity growth in the non-resource economy.</w:t>
      </w:r>
      <w:r w:rsidRPr="004A50A0">
        <w:rPr>
          <w:rStyle w:val="FootnoteReference"/>
        </w:rPr>
        <w:footnoteReference w:id="144"/>
      </w:r>
      <w:r w:rsidRPr="00322815">
        <w:t xml:space="preserve"> While the impact of the extractive industries on Ghana’s non-resource economy has not yet been fully explored, the agricultural sector experienced a sharp deterioration in its terms of trade following the start of oil production in 2011 (</w:t>
      </w:r>
      <w:r w:rsidR="003D5DA2">
        <w:fldChar w:fldCharType="begin"/>
      </w:r>
      <w:r w:rsidR="003D5DA2">
        <w:instrText xml:space="preserve"> REF _Ref472431135 \h </w:instrText>
      </w:r>
      <w:r w:rsidR="003D5DA2">
        <w:fldChar w:fldCharType="separate"/>
      </w:r>
      <w:r w:rsidR="007B1CE6">
        <w:t xml:space="preserve">Figure </w:t>
      </w:r>
      <w:r w:rsidR="007B1CE6">
        <w:rPr>
          <w:noProof/>
        </w:rPr>
        <w:t>5</w:t>
      </w:r>
      <w:r w:rsidR="007B1CE6">
        <w:t>.</w:t>
      </w:r>
      <w:r w:rsidR="007B1CE6">
        <w:rPr>
          <w:noProof/>
        </w:rPr>
        <w:t>4</w:t>
      </w:r>
      <w:r w:rsidR="003D5DA2">
        <w:fldChar w:fldCharType="end"/>
      </w:r>
      <w:r w:rsidRPr="00322815">
        <w:t>).</w:t>
      </w:r>
    </w:p>
    <w:tbl>
      <w:tblPr>
        <w:tblStyle w:val="TableGrid"/>
        <w:tblpPr w:leftFromText="180" w:rightFromText="180" w:vertAnchor="text" w:horzAnchor="margin" w:tblpY="-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0"/>
        <w:gridCol w:w="4869"/>
      </w:tblGrid>
      <w:tr w:rsidR="00050905" w:rsidRPr="00322815" w14:paraId="428D3803" w14:textId="77777777" w:rsidTr="002847F0">
        <w:tc>
          <w:tcPr>
            <w:tcW w:w="4410" w:type="dxa"/>
          </w:tcPr>
          <w:p w14:paraId="4B1AB335" w14:textId="77777777" w:rsidR="00050905" w:rsidRPr="00322815" w:rsidRDefault="00657AA2" w:rsidP="00CC6F65">
            <w:pPr>
              <w:pStyle w:val="Caption"/>
              <w:rPr>
                <w:lang w:val="en-US"/>
              </w:rPr>
            </w:pPr>
            <w:bookmarkStart w:id="228" w:name="_Ref472431135"/>
            <w:bookmarkStart w:id="229" w:name="_Toc479624953"/>
            <w:r>
              <w:lastRenderedPageBreak/>
              <w:t>Figure</w:t>
            </w:r>
            <w:r w:rsidR="00CC6F65">
              <w:t xml:space="preserve"> </w:t>
            </w:r>
            <w:r w:rsidR="005C0067">
              <w:fldChar w:fldCharType="begin"/>
            </w:r>
            <w:r w:rsidR="005C0067">
              <w:instrText xml:space="preserve"> STYLEREF 1 \s </w:instrText>
            </w:r>
            <w:r w:rsidR="005C0067">
              <w:fldChar w:fldCharType="separate"/>
            </w:r>
            <w:r w:rsidR="007B1CE6">
              <w:rPr>
                <w:noProof/>
              </w:rPr>
              <w:t>5</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4</w:t>
            </w:r>
            <w:r w:rsidR="005C0067">
              <w:fldChar w:fldCharType="end"/>
            </w:r>
            <w:bookmarkEnd w:id="228"/>
            <w:r w:rsidR="00050905" w:rsidRPr="00322815">
              <w:rPr>
                <w:lang w:val="en-US"/>
              </w:rPr>
              <w:t>: Agricultural Terms of Trade, Expressed as the Ratio of the Food to Nonfood Price Indices</w:t>
            </w:r>
            <w:bookmarkEnd w:id="229"/>
            <w:r w:rsidR="00050905" w:rsidRPr="00322815">
              <w:rPr>
                <w:lang w:val="en-US"/>
              </w:rPr>
              <w:t xml:space="preserve"> </w:t>
            </w:r>
          </w:p>
        </w:tc>
        <w:tc>
          <w:tcPr>
            <w:tcW w:w="4869" w:type="dxa"/>
          </w:tcPr>
          <w:p w14:paraId="5A59CFFE" w14:textId="77777777" w:rsidR="00050905" w:rsidRPr="00322815" w:rsidRDefault="00657AA2" w:rsidP="00CC6F65">
            <w:pPr>
              <w:pStyle w:val="Caption"/>
              <w:rPr>
                <w:lang w:val="en-US"/>
              </w:rPr>
            </w:pPr>
            <w:bookmarkStart w:id="230" w:name="_Ref465083702"/>
            <w:bookmarkStart w:id="231" w:name="_Toc479624954"/>
            <w:r>
              <w:t>Figure</w:t>
            </w:r>
            <w:r w:rsidR="00CC6F65">
              <w:t xml:space="preserve"> </w:t>
            </w:r>
            <w:r w:rsidR="005C0067">
              <w:fldChar w:fldCharType="begin"/>
            </w:r>
            <w:r w:rsidR="005C0067">
              <w:instrText xml:space="preserve"> STYLEREF 1 \s </w:instrText>
            </w:r>
            <w:r w:rsidR="005C0067">
              <w:fldChar w:fldCharType="separate"/>
            </w:r>
            <w:r w:rsidR="007B1CE6">
              <w:rPr>
                <w:noProof/>
              </w:rPr>
              <w:t>5</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5</w:t>
            </w:r>
            <w:r w:rsidR="005C0067">
              <w:fldChar w:fldCharType="end"/>
            </w:r>
            <w:r w:rsidR="00CC6F65" w:rsidRPr="00322815">
              <w:rPr>
                <w:lang w:val="en-US"/>
              </w:rPr>
              <w:t>:</w:t>
            </w:r>
            <w:r w:rsidR="00050905" w:rsidRPr="00322815">
              <w:rPr>
                <w:lang w:val="en-US"/>
              </w:rPr>
              <w:t>Public Spending in the Agricultural Sector</w:t>
            </w:r>
            <w:bookmarkEnd w:id="230"/>
            <w:bookmarkEnd w:id="231"/>
            <w:r w:rsidR="00050905" w:rsidRPr="00322815">
              <w:rPr>
                <w:lang w:val="en-US"/>
              </w:rPr>
              <w:t xml:space="preserve"> </w:t>
            </w:r>
          </w:p>
        </w:tc>
      </w:tr>
      <w:tr w:rsidR="00050905" w:rsidRPr="00322815" w14:paraId="5C98EDF5" w14:textId="77777777" w:rsidTr="002847F0">
        <w:tc>
          <w:tcPr>
            <w:tcW w:w="4410" w:type="dxa"/>
          </w:tcPr>
          <w:p w14:paraId="3EAAA4C8" w14:textId="77777777" w:rsidR="00050905" w:rsidRPr="00670996" w:rsidRDefault="00050905" w:rsidP="00724BAB">
            <w:pPr>
              <w:pStyle w:val="Caption"/>
              <w:numPr>
                <w:ilvl w:val="4"/>
                <w:numId w:val="12"/>
              </w:numPr>
              <w:rPr>
                <w:rFonts w:ascii="Garamond" w:hAnsi="Garamond"/>
                <w:lang w:val="en-US"/>
              </w:rPr>
            </w:pPr>
            <w:r w:rsidRPr="00670996">
              <w:rPr>
                <w:rFonts w:ascii="Garamond" w:hAnsi="Garamond"/>
                <w:noProof/>
                <w:lang w:val="en-US" w:eastAsia="en-US"/>
              </w:rPr>
              <w:drawing>
                <wp:inline distT="0" distB="0" distL="0" distR="0" wp14:anchorId="128D0364" wp14:editId="46C7BE7D">
                  <wp:extent cx="2552700" cy="2438400"/>
                  <wp:effectExtent l="0" t="0" r="0" b="0"/>
                  <wp:docPr id="2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c>
          <w:tcPr>
            <w:tcW w:w="4869" w:type="dxa"/>
          </w:tcPr>
          <w:p w14:paraId="33805064" w14:textId="77777777" w:rsidR="00050905" w:rsidRPr="00670996" w:rsidRDefault="00694909" w:rsidP="00724BAB">
            <w:pPr>
              <w:pStyle w:val="Caption"/>
              <w:numPr>
                <w:ilvl w:val="4"/>
                <w:numId w:val="12"/>
              </w:numPr>
              <w:rPr>
                <w:rFonts w:ascii="Garamond" w:hAnsi="Garamond" w:cs="Times New Roman"/>
                <w:sz w:val="24"/>
                <w:szCs w:val="24"/>
                <w:lang w:val="en-US"/>
              </w:rPr>
            </w:pPr>
            <w:r>
              <w:rPr>
                <w:rFonts w:ascii="Garamond" w:hAnsi="Garamond" w:cs="Times New Roman"/>
                <w:noProof/>
                <w:sz w:val="24"/>
                <w:szCs w:val="24"/>
                <w:lang w:val="en-US" w:eastAsia="en-US"/>
              </w:rPr>
              <w:drawing>
                <wp:inline distT="0" distB="0" distL="0" distR="0" wp14:anchorId="77E38CDC" wp14:editId="6F9FD0C0">
                  <wp:extent cx="2736850" cy="2377050"/>
                  <wp:effectExtent l="0" t="0" r="635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43612" cy="2382923"/>
                          </a:xfrm>
                          <a:prstGeom prst="rect">
                            <a:avLst/>
                          </a:prstGeom>
                          <a:noFill/>
                        </pic:spPr>
                      </pic:pic>
                    </a:graphicData>
                  </a:graphic>
                </wp:inline>
              </w:drawing>
            </w:r>
          </w:p>
        </w:tc>
      </w:tr>
      <w:tr w:rsidR="00050905" w:rsidRPr="00322815" w14:paraId="497F0844" w14:textId="77777777" w:rsidTr="005A7652">
        <w:trPr>
          <w:trHeight w:val="58"/>
        </w:trPr>
        <w:tc>
          <w:tcPr>
            <w:tcW w:w="9279" w:type="dxa"/>
            <w:gridSpan w:val="2"/>
            <w:vAlign w:val="center"/>
          </w:tcPr>
          <w:p w14:paraId="71EDC3D7" w14:textId="77777777" w:rsidR="00050905" w:rsidRPr="00670996" w:rsidRDefault="00050905" w:rsidP="005A7652">
            <w:pPr>
              <w:pStyle w:val="Source"/>
              <w:rPr>
                <w:rFonts w:ascii="Garamond" w:eastAsia="Calibri" w:hAnsi="Garamond"/>
                <w:i w:val="0"/>
              </w:rPr>
            </w:pPr>
            <w:r w:rsidRPr="00670996">
              <w:rPr>
                <w:rFonts w:ascii="Garamond" w:hAnsi="Garamond"/>
              </w:rPr>
              <w:t>Source:</w:t>
            </w:r>
            <w:r w:rsidRPr="00670996">
              <w:rPr>
                <w:rFonts w:ascii="Garamond" w:hAnsi="Garamond"/>
                <w:i w:val="0"/>
              </w:rPr>
              <w:t xml:space="preserve"> Author’s calculations based on SRID and World Bank data.</w:t>
            </w:r>
          </w:p>
        </w:tc>
      </w:tr>
    </w:tbl>
    <w:p w14:paraId="296CE79B" w14:textId="77777777" w:rsidR="00050905" w:rsidRPr="00E45355" w:rsidRDefault="00050905" w:rsidP="00894F2B">
      <w:pPr>
        <w:pStyle w:val="Heading2"/>
      </w:pPr>
      <w:bookmarkStart w:id="232" w:name="_Toc479624910"/>
      <w:r w:rsidRPr="00E45355">
        <w:t>Public Spending in the Agricultural Sector</w:t>
      </w:r>
      <w:bookmarkEnd w:id="232"/>
    </w:p>
    <w:p w14:paraId="51FDE30C" w14:textId="77777777" w:rsidR="00050905" w:rsidRPr="00D96DC6" w:rsidRDefault="00050905" w:rsidP="00724BAB">
      <w:pPr>
        <w:pStyle w:val="ListParagraph"/>
        <w:numPr>
          <w:ilvl w:val="3"/>
          <w:numId w:val="11"/>
        </w:numPr>
        <w:ind w:left="0"/>
      </w:pPr>
      <w:r w:rsidRPr="004A50A0">
        <w:rPr>
          <w:b/>
        </w:rPr>
        <w:t>Public spending on agricultural development in Ghana is low both by regional and international standards, and spending levels have declined in recent years.</w:t>
      </w:r>
      <w:r w:rsidRPr="00352D3A">
        <w:t xml:space="preserve"> While Ghana currently lacks an</w:t>
      </w:r>
      <w:r w:rsidRPr="00D96DC6">
        <w:t xml:space="preserve"> institutional mechanism to systematically collect, process</w:t>
      </w:r>
      <w:r w:rsidR="00702162">
        <w:t>,</w:t>
      </w:r>
      <w:r w:rsidRPr="00D96DC6">
        <w:t xml:space="preserve"> and publish agricultural expenditure data,</w:t>
      </w:r>
      <w:r w:rsidRPr="004A50A0">
        <w:rPr>
          <w:rStyle w:val="FootnoteReference"/>
        </w:rPr>
        <w:footnoteReference w:id="145"/>
      </w:r>
      <w:r w:rsidRPr="00352D3A">
        <w:t xml:space="preserve"> spending </w:t>
      </w:r>
      <w:r w:rsidRPr="007F0935">
        <w:t xml:space="preserve">on the sector </w:t>
      </w:r>
      <w:r w:rsidRPr="00D96DC6">
        <w:t>appears to have comprised just 5.2 percent of total spending between 2001 and 2014 (</w:t>
      </w:r>
      <w:r w:rsidR="00576821">
        <w:fldChar w:fldCharType="begin"/>
      </w:r>
      <w:r w:rsidR="00576821">
        <w:instrText xml:space="preserve"> REF _Ref474244714 \h </w:instrText>
      </w:r>
      <w:r w:rsidR="00576821">
        <w:fldChar w:fldCharType="separate"/>
      </w:r>
      <w:r w:rsidR="007B1CE6">
        <w:t xml:space="preserve">Table </w:t>
      </w:r>
      <w:r w:rsidR="007B1CE6">
        <w:rPr>
          <w:noProof/>
        </w:rPr>
        <w:t>5</w:t>
      </w:r>
      <w:r w:rsidR="007B1CE6">
        <w:t>.</w:t>
      </w:r>
      <w:r w:rsidR="007B1CE6">
        <w:rPr>
          <w:noProof/>
        </w:rPr>
        <w:t>2</w:t>
      </w:r>
      <w:r w:rsidR="00576821">
        <w:fldChar w:fldCharType="end"/>
      </w:r>
      <w:r w:rsidRPr="00352D3A">
        <w:t xml:space="preserve">). </w:t>
      </w:r>
      <w:r w:rsidRPr="007F0935">
        <w:t xml:space="preserve">Moreover, </w:t>
      </w:r>
      <w:r w:rsidRPr="00D96DC6">
        <w:t>agricultural spending began to decline in 2007, and this trend accelerated in 2011</w:t>
      </w:r>
      <w:r w:rsidRPr="00352D3A">
        <w:t>. Nominal</w:t>
      </w:r>
      <w:r w:rsidRPr="007F0935">
        <w:t xml:space="preserve"> spending fell from </w:t>
      </w:r>
      <w:r w:rsidR="0055773D" w:rsidRPr="0055773D">
        <w:t>GH¢</w:t>
      </w:r>
      <w:r w:rsidR="0055773D">
        <w:t xml:space="preserve"> </w:t>
      </w:r>
      <w:r w:rsidRPr="007F0935">
        <w:t xml:space="preserve">576 million  in 2011 </w:t>
      </w:r>
      <w:r w:rsidRPr="00D96DC6">
        <w:t>to an estimated GH¢ 400 million in 2014, while the sector’s share in total spending dropped from 4.2 to just 1.2 percent. Agricultural spending has also declined sharply relative to sectoral output, and by 2014 it equaled just 1.3 percent, far below the rates of regional comparators</w:t>
      </w:r>
      <w:r w:rsidR="00F1606E">
        <w:t>,</w:t>
      </w:r>
      <w:r w:rsidRPr="00D96DC6">
        <w:t xml:space="preserve"> such as Burkina Faso (8 percent), Ethiopia (6 percent), Uganda (5 percent)</w:t>
      </w:r>
      <w:r w:rsidR="00702162">
        <w:t>,</w:t>
      </w:r>
      <w:r w:rsidRPr="00D96DC6">
        <w:t xml:space="preserve"> and Kenya (4 percent).</w:t>
      </w:r>
    </w:p>
    <w:p w14:paraId="13FC36FA" w14:textId="77777777" w:rsidR="00050905" w:rsidRPr="00D96DC6" w:rsidRDefault="00050905" w:rsidP="00724BAB">
      <w:pPr>
        <w:pStyle w:val="ListParagraph"/>
        <w:numPr>
          <w:ilvl w:val="3"/>
          <w:numId w:val="11"/>
        </w:numPr>
        <w:ind w:left="0"/>
      </w:pPr>
      <w:r w:rsidRPr="00D96DC6">
        <w:rPr>
          <w:b/>
        </w:rPr>
        <w:t>A large share of agricultural spending is devoted to the cocoa subsector.</w:t>
      </w:r>
      <w:r w:rsidRPr="00D96DC6">
        <w:t xml:space="preserve"> The Ghana Cocoa Board (COCOBOD) is a public corporation tasked with supporting the development of cocoa production. According to African Union directives, spending by COCOBOD should be excluded when calculating public agricultural spending. Excluding the cocoa subsector has a major impact on the estimated size of agricultural spending in Ghana, as COCOBOD’s expenditures are very high relative to the value of cocoa production. For example, between 2006 and 2011</w:t>
      </w:r>
      <w:r w:rsidR="0029525E">
        <w:t>,</w:t>
      </w:r>
      <w:r w:rsidRPr="00D96DC6">
        <w:t xml:space="preserve"> the share of public agricultural spending devoted to the cocoa subsector averaged </w:t>
      </w:r>
      <w:r w:rsidR="0029525E">
        <w:t>three</w:t>
      </w:r>
      <w:r w:rsidRPr="00D96DC6">
        <w:t xml:space="preserve"> times the subsector’s share in total agricultural output.</w:t>
      </w:r>
      <w:r w:rsidRPr="004A50A0">
        <w:rPr>
          <w:rStyle w:val="FootnoteReference"/>
        </w:rPr>
        <w:footnoteReference w:id="146"/>
      </w:r>
      <w:r w:rsidRPr="00352D3A">
        <w:t xml:space="preserve"> Removing COCOBOD from the equation cuts agricultural sp</w:t>
      </w:r>
      <w:r w:rsidRPr="00D96DC6">
        <w:t>ending as a share of total spending in half, from an average of 5.2 percent to an average of just 2.6 percent over the period.</w:t>
      </w:r>
    </w:p>
    <w:p w14:paraId="4DD5D2B6" w14:textId="77777777" w:rsidR="00050905" w:rsidRPr="00322815" w:rsidRDefault="003D78F6" w:rsidP="003D78F6">
      <w:pPr>
        <w:pStyle w:val="Caption"/>
      </w:pPr>
      <w:bookmarkStart w:id="233" w:name="_Ref474244714"/>
      <w:bookmarkStart w:id="234" w:name="_Toc478837660"/>
      <w:r>
        <w:lastRenderedPageBreak/>
        <w:t xml:space="preserve">Table </w:t>
      </w:r>
      <w:r w:rsidR="00500291">
        <w:fldChar w:fldCharType="begin"/>
      </w:r>
      <w:r w:rsidR="00500291">
        <w:instrText xml:space="preserve"> STYLEREF 1 \s </w:instrText>
      </w:r>
      <w:r w:rsidR="00500291">
        <w:fldChar w:fldCharType="separate"/>
      </w:r>
      <w:r w:rsidR="007B1CE6">
        <w:rPr>
          <w:noProof/>
        </w:rPr>
        <w:t>5</w:t>
      </w:r>
      <w:r w:rsidR="00500291">
        <w:fldChar w:fldCharType="end"/>
      </w:r>
      <w:r w:rsidR="00500291">
        <w:t>.</w:t>
      </w:r>
      <w:r w:rsidR="00500291">
        <w:fldChar w:fldCharType="begin"/>
      </w:r>
      <w:r w:rsidR="00500291">
        <w:instrText xml:space="preserve"> SEQ Table \* ARABIC \s 1 </w:instrText>
      </w:r>
      <w:r w:rsidR="00500291">
        <w:fldChar w:fldCharType="separate"/>
      </w:r>
      <w:r w:rsidR="007B1CE6">
        <w:rPr>
          <w:noProof/>
        </w:rPr>
        <w:t>2</w:t>
      </w:r>
      <w:r w:rsidR="00500291">
        <w:fldChar w:fldCharType="end"/>
      </w:r>
      <w:bookmarkEnd w:id="233"/>
      <w:r>
        <w:t xml:space="preserve">: </w:t>
      </w:r>
      <w:r w:rsidR="00050905" w:rsidRPr="00322815">
        <w:t>Public Spending on Agriculture, 2001-2015</w:t>
      </w:r>
      <w:bookmarkEnd w:id="234"/>
    </w:p>
    <w:tbl>
      <w:tblPr>
        <w:tblW w:w="7290" w:type="dxa"/>
        <w:jc w:val="center"/>
        <w:tblLook w:val="04A0" w:firstRow="1" w:lastRow="0" w:firstColumn="1" w:lastColumn="0" w:noHBand="0" w:noVBand="1"/>
      </w:tblPr>
      <w:tblGrid>
        <w:gridCol w:w="1416"/>
        <w:gridCol w:w="1623"/>
        <w:gridCol w:w="1416"/>
        <w:gridCol w:w="1416"/>
        <w:gridCol w:w="1419"/>
      </w:tblGrid>
      <w:tr w:rsidR="00050905" w:rsidRPr="00670996" w14:paraId="1848590A" w14:textId="77777777" w:rsidTr="007D4BB4">
        <w:trPr>
          <w:trHeight w:val="224"/>
          <w:jc w:val="center"/>
        </w:trPr>
        <w:tc>
          <w:tcPr>
            <w:tcW w:w="1416" w:type="dxa"/>
            <w:tcBorders>
              <w:top w:val="single" w:sz="4" w:space="0" w:color="auto"/>
              <w:left w:val="single" w:sz="4" w:space="0" w:color="auto"/>
              <w:bottom w:val="nil"/>
              <w:right w:val="single" w:sz="8" w:space="0" w:color="auto"/>
            </w:tcBorders>
            <w:shd w:val="clear" w:color="auto" w:fill="DBDBDB" w:themeFill="accent3" w:themeFillTint="66"/>
            <w:noWrap/>
            <w:vAlign w:val="bottom"/>
            <w:hideMark/>
          </w:tcPr>
          <w:p w14:paraId="1F016B4F" w14:textId="77777777" w:rsidR="00050905" w:rsidRPr="008868E7" w:rsidRDefault="00050905" w:rsidP="005A7652">
            <w:pPr>
              <w:keepNext/>
              <w:spacing w:after="0" w:line="240" w:lineRule="auto"/>
              <w:jc w:val="center"/>
              <w:rPr>
                <w:rFonts w:ascii="Garamond" w:eastAsia="Times New Roman" w:hAnsi="Garamond" w:cs="Times New Roman"/>
              </w:rPr>
            </w:pPr>
            <w:r w:rsidRPr="008868E7">
              <w:rPr>
                <w:rFonts w:ascii="Garamond" w:eastAsia="Times New Roman" w:hAnsi="Garamond" w:cs="Times New Roman"/>
              </w:rPr>
              <w:t> </w:t>
            </w:r>
          </w:p>
        </w:tc>
        <w:tc>
          <w:tcPr>
            <w:tcW w:w="1623" w:type="dxa"/>
            <w:vMerge w:val="restart"/>
            <w:tcBorders>
              <w:top w:val="single" w:sz="4" w:space="0" w:color="auto"/>
              <w:left w:val="nil"/>
              <w:bottom w:val="single" w:sz="8" w:space="0" w:color="000000"/>
              <w:right w:val="single" w:sz="8" w:space="0" w:color="auto"/>
            </w:tcBorders>
            <w:shd w:val="clear" w:color="auto" w:fill="DBDBDB" w:themeFill="accent3" w:themeFillTint="66"/>
            <w:vAlign w:val="center"/>
            <w:hideMark/>
          </w:tcPr>
          <w:p w14:paraId="147E6B5A" w14:textId="77777777" w:rsidR="00050905" w:rsidRPr="008868E7" w:rsidRDefault="00050905" w:rsidP="005A7652">
            <w:pPr>
              <w:keepNext/>
              <w:spacing w:after="0" w:line="240" w:lineRule="auto"/>
              <w:jc w:val="center"/>
              <w:rPr>
                <w:rFonts w:ascii="Garamond" w:eastAsia="Times New Roman" w:hAnsi="Garamond" w:cs="Times New Roman"/>
              </w:rPr>
            </w:pPr>
            <w:r w:rsidRPr="008868E7">
              <w:rPr>
                <w:rFonts w:ascii="Garamond" w:eastAsia="Times New Roman" w:hAnsi="Garamond" w:cs="Times New Roman"/>
              </w:rPr>
              <w:t>In GH¢ millions</w:t>
            </w:r>
          </w:p>
        </w:tc>
        <w:tc>
          <w:tcPr>
            <w:tcW w:w="4251" w:type="dxa"/>
            <w:gridSpan w:val="3"/>
            <w:tcBorders>
              <w:top w:val="single" w:sz="4" w:space="0" w:color="auto"/>
              <w:left w:val="nil"/>
              <w:bottom w:val="single" w:sz="8" w:space="0" w:color="auto"/>
              <w:right w:val="single" w:sz="4" w:space="0" w:color="auto"/>
            </w:tcBorders>
            <w:shd w:val="clear" w:color="auto" w:fill="DBDBDB" w:themeFill="accent3" w:themeFillTint="66"/>
            <w:vAlign w:val="center"/>
            <w:hideMark/>
          </w:tcPr>
          <w:p w14:paraId="50E91145" w14:textId="77777777" w:rsidR="00050905" w:rsidRPr="008868E7" w:rsidRDefault="00050905" w:rsidP="005A7652">
            <w:pPr>
              <w:keepNext/>
              <w:spacing w:after="0" w:line="240" w:lineRule="auto"/>
              <w:jc w:val="center"/>
              <w:rPr>
                <w:rFonts w:ascii="Garamond" w:eastAsia="Times New Roman" w:hAnsi="Garamond" w:cs="Times New Roman"/>
              </w:rPr>
            </w:pPr>
            <w:r w:rsidRPr="008868E7">
              <w:rPr>
                <w:rFonts w:ascii="Garamond" w:eastAsia="Times New Roman" w:hAnsi="Garamond" w:cs="Times New Roman"/>
              </w:rPr>
              <w:t>As a percentage of</w:t>
            </w:r>
          </w:p>
        </w:tc>
      </w:tr>
      <w:tr w:rsidR="00050905" w:rsidRPr="00670996" w14:paraId="2EBA53C1" w14:textId="77777777" w:rsidTr="007D4BB4">
        <w:trPr>
          <w:trHeight w:val="359"/>
          <w:jc w:val="center"/>
        </w:trPr>
        <w:tc>
          <w:tcPr>
            <w:tcW w:w="1416" w:type="dxa"/>
            <w:tcBorders>
              <w:top w:val="nil"/>
              <w:left w:val="single" w:sz="4" w:space="0" w:color="auto"/>
              <w:bottom w:val="single" w:sz="4" w:space="0" w:color="auto"/>
              <w:right w:val="single" w:sz="8" w:space="0" w:color="auto"/>
            </w:tcBorders>
            <w:shd w:val="clear" w:color="auto" w:fill="DBDBDB" w:themeFill="accent3" w:themeFillTint="66"/>
            <w:vAlign w:val="center"/>
            <w:hideMark/>
          </w:tcPr>
          <w:p w14:paraId="2A8C875C" w14:textId="77777777" w:rsidR="00050905" w:rsidRPr="008868E7" w:rsidRDefault="00050905" w:rsidP="005A7652">
            <w:pPr>
              <w:keepNext/>
              <w:spacing w:after="0" w:line="240" w:lineRule="auto"/>
              <w:jc w:val="center"/>
              <w:rPr>
                <w:rFonts w:ascii="Garamond" w:eastAsia="Times New Roman" w:hAnsi="Garamond" w:cs="Times New Roman"/>
              </w:rPr>
            </w:pPr>
            <w:r w:rsidRPr="008868E7">
              <w:rPr>
                <w:rFonts w:ascii="Garamond" w:eastAsia="Times New Roman" w:hAnsi="Garamond" w:cs="Times New Roman"/>
              </w:rPr>
              <w:t> </w:t>
            </w:r>
          </w:p>
        </w:tc>
        <w:tc>
          <w:tcPr>
            <w:tcW w:w="1623" w:type="dxa"/>
            <w:vMerge/>
            <w:tcBorders>
              <w:top w:val="single" w:sz="8" w:space="0" w:color="auto"/>
              <w:left w:val="nil"/>
              <w:bottom w:val="single" w:sz="4" w:space="0" w:color="auto"/>
              <w:right w:val="single" w:sz="8" w:space="0" w:color="auto"/>
            </w:tcBorders>
            <w:shd w:val="clear" w:color="auto" w:fill="DBDBDB" w:themeFill="accent3" w:themeFillTint="66"/>
            <w:vAlign w:val="center"/>
            <w:hideMark/>
          </w:tcPr>
          <w:p w14:paraId="6C31AD22" w14:textId="77777777" w:rsidR="00050905" w:rsidRPr="008868E7" w:rsidRDefault="00050905" w:rsidP="005A7652">
            <w:pPr>
              <w:keepNext/>
              <w:spacing w:after="0" w:line="240" w:lineRule="auto"/>
              <w:rPr>
                <w:rFonts w:ascii="Garamond" w:eastAsia="Times New Roman" w:hAnsi="Garamond" w:cs="Times New Roman"/>
              </w:rPr>
            </w:pPr>
          </w:p>
        </w:tc>
        <w:tc>
          <w:tcPr>
            <w:tcW w:w="1416" w:type="dxa"/>
            <w:tcBorders>
              <w:top w:val="nil"/>
              <w:left w:val="nil"/>
              <w:bottom w:val="single" w:sz="4" w:space="0" w:color="auto"/>
              <w:right w:val="nil"/>
            </w:tcBorders>
            <w:shd w:val="clear" w:color="auto" w:fill="DBDBDB" w:themeFill="accent3" w:themeFillTint="66"/>
            <w:vAlign w:val="center"/>
            <w:hideMark/>
          </w:tcPr>
          <w:p w14:paraId="48CBF3F4" w14:textId="77777777" w:rsidR="00050905" w:rsidRPr="008868E7" w:rsidRDefault="00050905" w:rsidP="005A7652">
            <w:pPr>
              <w:keepNext/>
              <w:spacing w:after="0" w:line="240" w:lineRule="auto"/>
              <w:jc w:val="center"/>
              <w:rPr>
                <w:rFonts w:ascii="Garamond" w:eastAsia="Times New Roman" w:hAnsi="Garamond" w:cs="Times New Roman"/>
              </w:rPr>
            </w:pPr>
            <w:r w:rsidRPr="008868E7">
              <w:rPr>
                <w:rFonts w:ascii="Garamond" w:eastAsia="Times New Roman" w:hAnsi="Garamond" w:cs="Times New Roman"/>
              </w:rPr>
              <w:t>Total spending</w:t>
            </w:r>
          </w:p>
        </w:tc>
        <w:tc>
          <w:tcPr>
            <w:tcW w:w="1416" w:type="dxa"/>
            <w:tcBorders>
              <w:top w:val="nil"/>
              <w:left w:val="nil"/>
              <w:bottom w:val="single" w:sz="4" w:space="0" w:color="auto"/>
              <w:right w:val="nil"/>
            </w:tcBorders>
            <w:shd w:val="clear" w:color="auto" w:fill="DBDBDB" w:themeFill="accent3" w:themeFillTint="66"/>
            <w:vAlign w:val="center"/>
            <w:hideMark/>
          </w:tcPr>
          <w:p w14:paraId="535AA232" w14:textId="77777777" w:rsidR="00050905" w:rsidRPr="008868E7" w:rsidRDefault="00050905" w:rsidP="005A7652">
            <w:pPr>
              <w:keepNext/>
              <w:spacing w:after="0" w:line="240" w:lineRule="auto"/>
              <w:jc w:val="center"/>
              <w:rPr>
                <w:rFonts w:ascii="Garamond" w:eastAsia="Times New Roman" w:hAnsi="Garamond" w:cs="Times New Roman"/>
              </w:rPr>
            </w:pPr>
            <w:r w:rsidRPr="008868E7">
              <w:rPr>
                <w:rFonts w:ascii="Garamond" w:eastAsia="Times New Roman" w:hAnsi="Garamond" w:cs="Times New Roman"/>
              </w:rPr>
              <w:t>Agricultural output</w:t>
            </w:r>
          </w:p>
        </w:tc>
        <w:tc>
          <w:tcPr>
            <w:tcW w:w="1419" w:type="dxa"/>
            <w:tcBorders>
              <w:top w:val="nil"/>
              <w:left w:val="nil"/>
              <w:bottom w:val="single" w:sz="4" w:space="0" w:color="auto"/>
              <w:right w:val="single" w:sz="4" w:space="0" w:color="auto"/>
            </w:tcBorders>
            <w:shd w:val="clear" w:color="auto" w:fill="DBDBDB" w:themeFill="accent3" w:themeFillTint="66"/>
            <w:vAlign w:val="center"/>
            <w:hideMark/>
          </w:tcPr>
          <w:p w14:paraId="570D27BD" w14:textId="77777777" w:rsidR="00050905" w:rsidRPr="008868E7" w:rsidRDefault="00050905" w:rsidP="005A7652">
            <w:pPr>
              <w:keepNext/>
              <w:spacing w:after="0" w:line="240" w:lineRule="auto"/>
              <w:jc w:val="center"/>
              <w:rPr>
                <w:rFonts w:ascii="Garamond" w:eastAsia="Times New Roman" w:hAnsi="Garamond" w:cs="Times New Roman"/>
              </w:rPr>
            </w:pPr>
            <w:r w:rsidRPr="008868E7">
              <w:rPr>
                <w:rFonts w:ascii="Garamond" w:eastAsia="Times New Roman" w:hAnsi="Garamond" w:cs="Times New Roman"/>
              </w:rPr>
              <w:t xml:space="preserve">GDP </w:t>
            </w:r>
          </w:p>
        </w:tc>
      </w:tr>
      <w:tr w:rsidR="00050905" w:rsidRPr="00670996" w14:paraId="0E900C07" w14:textId="77777777" w:rsidTr="007D4BB4">
        <w:trPr>
          <w:trHeight w:val="324"/>
          <w:jc w:val="center"/>
        </w:trPr>
        <w:tc>
          <w:tcPr>
            <w:tcW w:w="1416" w:type="dxa"/>
            <w:tcBorders>
              <w:top w:val="single" w:sz="4" w:space="0" w:color="auto"/>
              <w:left w:val="single" w:sz="8" w:space="0" w:color="auto"/>
              <w:bottom w:val="nil"/>
              <w:right w:val="single" w:sz="8" w:space="0" w:color="auto"/>
            </w:tcBorders>
            <w:shd w:val="clear" w:color="000000" w:fill="FFFFFF"/>
            <w:vAlign w:val="center"/>
            <w:hideMark/>
          </w:tcPr>
          <w:p w14:paraId="3D2BE1A3"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2001</w:t>
            </w:r>
          </w:p>
        </w:tc>
        <w:tc>
          <w:tcPr>
            <w:tcW w:w="1623" w:type="dxa"/>
            <w:tcBorders>
              <w:top w:val="single" w:sz="4" w:space="0" w:color="auto"/>
              <w:left w:val="nil"/>
              <w:bottom w:val="nil"/>
              <w:right w:val="single" w:sz="4" w:space="0" w:color="auto"/>
            </w:tcBorders>
            <w:shd w:val="clear" w:color="000000" w:fill="FFFFFF"/>
            <w:vAlign w:val="center"/>
            <w:hideMark/>
          </w:tcPr>
          <w:p w14:paraId="577C11D7"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25</w:t>
            </w:r>
          </w:p>
        </w:tc>
        <w:tc>
          <w:tcPr>
            <w:tcW w:w="1416" w:type="dxa"/>
            <w:tcBorders>
              <w:top w:val="single" w:sz="4" w:space="0" w:color="auto"/>
              <w:left w:val="single" w:sz="4" w:space="0" w:color="auto"/>
              <w:bottom w:val="nil"/>
              <w:right w:val="nil"/>
            </w:tcBorders>
            <w:shd w:val="clear" w:color="000000" w:fill="FFFFFF"/>
            <w:vAlign w:val="center"/>
            <w:hideMark/>
          </w:tcPr>
          <w:p w14:paraId="4DC546F6"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5.3</w:t>
            </w:r>
          </w:p>
        </w:tc>
        <w:tc>
          <w:tcPr>
            <w:tcW w:w="1416" w:type="dxa"/>
            <w:tcBorders>
              <w:top w:val="single" w:sz="4" w:space="0" w:color="auto"/>
              <w:left w:val="nil"/>
              <w:bottom w:val="nil"/>
              <w:right w:val="nil"/>
            </w:tcBorders>
            <w:shd w:val="clear" w:color="000000" w:fill="FFFFFF"/>
            <w:vAlign w:val="center"/>
            <w:hideMark/>
          </w:tcPr>
          <w:p w14:paraId="24402DC0"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1.9</w:t>
            </w:r>
          </w:p>
        </w:tc>
        <w:tc>
          <w:tcPr>
            <w:tcW w:w="1419" w:type="dxa"/>
            <w:tcBorders>
              <w:top w:val="single" w:sz="4" w:space="0" w:color="auto"/>
              <w:left w:val="nil"/>
              <w:bottom w:val="nil"/>
              <w:right w:val="single" w:sz="4" w:space="0" w:color="auto"/>
            </w:tcBorders>
            <w:shd w:val="clear" w:color="000000" w:fill="FFFFFF"/>
            <w:vAlign w:val="center"/>
            <w:hideMark/>
          </w:tcPr>
          <w:p w14:paraId="4D27E52F"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0.7</w:t>
            </w:r>
          </w:p>
        </w:tc>
      </w:tr>
      <w:tr w:rsidR="00050905" w:rsidRPr="00670996" w14:paraId="0D9237B6" w14:textId="77777777" w:rsidTr="005A7652">
        <w:trPr>
          <w:trHeight w:val="215"/>
          <w:jc w:val="center"/>
        </w:trPr>
        <w:tc>
          <w:tcPr>
            <w:tcW w:w="1416" w:type="dxa"/>
            <w:tcBorders>
              <w:top w:val="nil"/>
              <w:left w:val="single" w:sz="8" w:space="0" w:color="auto"/>
              <w:bottom w:val="nil"/>
              <w:right w:val="single" w:sz="8" w:space="0" w:color="auto"/>
            </w:tcBorders>
            <w:shd w:val="clear" w:color="000000" w:fill="FFFFFF"/>
            <w:vAlign w:val="center"/>
            <w:hideMark/>
          </w:tcPr>
          <w:p w14:paraId="472A14C0"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2002</w:t>
            </w:r>
          </w:p>
        </w:tc>
        <w:tc>
          <w:tcPr>
            <w:tcW w:w="1623" w:type="dxa"/>
            <w:tcBorders>
              <w:top w:val="nil"/>
              <w:left w:val="nil"/>
              <w:bottom w:val="nil"/>
              <w:right w:val="single" w:sz="4" w:space="0" w:color="auto"/>
            </w:tcBorders>
            <w:shd w:val="clear" w:color="000000" w:fill="FFFFFF"/>
            <w:vAlign w:val="center"/>
            <w:hideMark/>
          </w:tcPr>
          <w:p w14:paraId="346AEA09"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34</w:t>
            </w:r>
          </w:p>
        </w:tc>
        <w:tc>
          <w:tcPr>
            <w:tcW w:w="1416" w:type="dxa"/>
            <w:tcBorders>
              <w:top w:val="nil"/>
              <w:left w:val="single" w:sz="4" w:space="0" w:color="auto"/>
              <w:bottom w:val="nil"/>
              <w:right w:val="nil"/>
            </w:tcBorders>
            <w:shd w:val="clear" w:color="000000" w:fill="FFFFFF"/>
            <w:vAlign w:val="center"/>
            <w:hideMark/>
          </w:tcPr>
          <w:p w14:paraId="04A11E69"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5.0</w:t>
            </w:r>
          </w:p>
        </w:tc>
        <w:tc>
          <w:tcPr>
            <w:tcW w:w="1416" w:type="dxa"/>
            <w:tcBorders>
              <w:top w:val="nil"/>
              <w:left w:val="nil"/>
              <w:bottom w:val="nil"/>
              <w:right w:val="nil"/>
            </w:tcBorders>
            <w:shd w:val="clear" w:color="000000" w:fill="FFFFFF"/>
            <w:vAlign w:val="center"/>
            <w:hideMark/>
          </w:tcPr>
          <w:p w14:paraId="34184C08"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2.1</w:t>
            </w:r>
          </w:p>
        </w:tc>
        <w:tc>
          <w:tcPr>
            <w:tcW w:w="1419" w:type="dxa"/>
            <w:tcBorders>
              <w:top w:val="nil"/>
              <w:left w:val="nil"/>
              <w:bottom w:val="nil"/>
              <w:right w:val="single" w:sz="4" w:space="0" w:color="auto"/>
            </w:tcBorders>
            <w:shd w:val="clear" w:color="000000" w:fill="FFFFFF"/>
            <w:vAlign w:val="center"/>
            <w:hideMark/>
          </w:tcPr>
          <w:p w14:paraId="232996FD"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0.7</w:t>
            </w:r>
          </w:p>
        </w:tc>
      </w:tr>
      <w:tr w:rsidR="00050905" w:rsidRPr="00670996" w14:paraId="106ADF4D" w14:textId="77777777" w:rsidTr="005A7652">
        <w:trPr>
          <w:trHeight w:val="215"/>
          <w:jc w:val="center"/>
        </w:trPr>
        <w:tc>
          <w:tcPr>
            <w:tcW w:w="1416" w:type="dxa"/>
            <w:tcBorders>
              <w:top w:val="nil"/>
              <w:left w:val="single" w:sz="8" w:space="0" w:color="auto"/>
              <w:bottom w:val="nil"/>
              <w:right w:val="single" w:sz="8" w:space="0" w:color="auto"/>
            </w:tcBorders>
            <w:shd w:val="clear" w:color="000000" w:fill="FFFFFF"/>
            <w:vAlign w:val="center"/>
            <w:hideMark/>
          </w:tcPr>
          <w:p w14:paraId="3D7005C1"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2003</w:t>
            </w:r>
          </w:p>
        </w:tc>
        <w:tc>
          <w:tcPr>
            <w:tcW w:w="1623" w:type="dxa"/>
            <w:tcBorders>
              <w:top w:val="nil"/>
              <w:left w:val="nil"/>
              <w:bottom w:val="nil"/>
              <w:right w:val="single" w:sz="4" w:space="0" w:color="auto"/>
            </w:tcBorders>
            <w:shd w:val="clear" w:color="000000" w:fill="FFFFFF"/>
            <w:vAlign w:val="center"/>
            <w:hideMark/>
          </w:tcPr>
          <w:p w14:paraId="0D997F47"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45</w:t>
            </w:r>
          </w:p>
        </w:tc>
        <w:tc>
          <w:tcPr>
            <w:tcW w:w="1416" w:type="dxa"/>
            <w:tcBorders>
              <w:top w:val="nil"/>
              <w:left w:val="single" w:sz="4" w:space="0" w:color="auto"/>
              <w:bottom w:val="nil"/>
              <w:right w:val="nil"/>
            </w:tcBorders>
            <w:shd w:val="clear" w:color="000000" w:fill="FFFFFF"/>
            <w:vAlign w:val="center"/>
            <w:hideMark/>
          </w:tcPr>
          <w:p w14:paraId="54B4892E"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4.6</w:t>
            </w:r>
          </w:p>
        </w:tc>
        <w:tc>
          <w:tcPr>
            <w:tcW w:w="1416" w:type="dxa"/>
            <w:tcBorders>
              <w:top w:val="nil"/>
              <w:left w:val="nil"/>
              <w:bottom w:val="nil"/>
              <w:right w:val="nil"/>
            </w:tcBorders>
            <w:shd w:val="clear" w:color="000000" w:fill="FFFFFF"/>
            <w:vAlign w:val="center"/>
            <w:hideMark/>
          </w:tcPr>
          <w:p w14:paraId="2CFF8101"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1.9</w:t>
            </w:r>
          </w:p>
        </w:tc>
        <w:tc>
          <w:tcPr>
            <w:tcW w:w="1419" w:type="dxa"/>
            <w:tcBorders>
              <w:top w:val="nil"/>
              <w:left w:val="nil"/>
              <w:bottom w:val="nil"/>
              <w:right w:val="single" w:sz="4" w:space="0" w:color="auto"/>
            </w:tcBorders>
            <w:shd w:val="clear" w:color="000000" w:fill="FFFFFF"/>
            <w:vAlign w:val="center"/>
            <w:hideMark/>
          </w:tcPr>
          <w:p w14:paraId="6104CE4A"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0.7</w:t>
            </w:r>
          </w:p>
        </w:tc>
      </w:tr>
      <w:tr w:rsidR="00050905" w:rsidRPr="00670996" w14:paraId="67B6432D" w14:textId="77777777" w:rsidTr="005A7652">
        <w:trPr>
          <w:trHeight w:val="215"/>
          <w:jc w:val="center"/>
        </w:trPr>
        <w:tc>
          <w:tcPr>
            <w:tcW w:w="1416" w:type="dxa"/>
            <w:tcBorders>
              <w:top w:val="nil"/>
              <w:left w:val="single" w:sz="8" w:space="0" w:color="auto"/>
              <w:bottom w:val="nil"/>
              <w:right w:val="single" w:sz="8" w:space="0" w:color="auto"/>
            </w:tcBorders>
            <w:shd w:val="clear" w:color="000000" w:fill="FFFFFF"/>
            <w:vAlign w:val="center"/>
            <w:hideMark/>
          </w:tcPr>
          <w:p w14:paraId="6F054E75"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2004</w:t>
            </w:r>
          </w:p>
        </w:tc>
        <w:tc>
          <w:tcPr>
            <w:tcW w:w="1623" w:type="dxa"/>
            <w:tcBorders>
              <w:top w:val="nil"/>
              <w:left w:val="nil"/>
              <w:bottom w:val="nil"/>
              <w:right w:val="single" w:sz="4" w:space="0" w:color="auto"/>
            </w:tcBorders>
            <w:shd w:val="clear" w:color="000000" w:fill="FFFFFF"/>
            <w:vAlign w:val="center"/>
            <w:hideMark/>
          </w:tcPr>
          <w:p w14:paraId="399FD544"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70</w:t>
            </w:r>
          </w:p>
        </w:tc>
        <w:tc>
          <w:tcPr>
            <w:tcW w:w="1416" w:type="dxa"/>
            <w:tcBorders>
              <w:top w:val="nil"/>
              <w:left w:val="single" w:sz="4" w:space="0" w:color="auto"/>
              <w:bottom w:val="nil"/>
              <w:right w:val="nil"/>
            </w:tcBorders>
            <w:shd w:val="clear" w:color="000000" w:fill="FFFFFF"/>
            <w:vAlign w:val="center"/>
            <w:hideMark/>
          </w:tcPr>
          <w:p w14:paraId="43C567CC"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4.6</w:t>
            </w:r>
          </w:p>
        </w:tc>
        <w:tc>
          <w:tcPr>
            <w:tcW w:w="1416" w:type="dxa"/>
            <w:tcBorders>
              <w:top w:val="nil"/>
              <w:left w:val="nil"/>
              <w:bottom w:val="nil"/>
              <w:right w:val="nil"/>
            </w:tcBorders>
            <w:shd w:val="clear" w:color="000000" w:fill="FFFFFF"/>
            <w:vAlign w:val="center"/>
            <w:hideMark/>
          </w:tcPr>
          <w:p w14:paraId="072BCBA3"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2.9</w:t>
            </w:r>
          </w:p>
        </w:tc>
        <w:tc>
          <w:tcPr>
            <w:tcW w:w="1419" w:type="dxa"/>
            <w:tcBorders>
              <w:top w:val="nil"/>
              <w:left w:val="nil"/>
              <w:bottom w:val="nil"/>
              <w:right w:val="single" w:sz="4" w:space="0" w:color="auto"/>
            </w:tcBorders>
            <w:shd w:val="clear" w:color="000000" w:fill="FFFFFF"/>
            <w:vAlign w:val="center"/>
            <w:hideMark/>
          </w:tcPr>
          <w:p w14:paraId="362FED7A"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1.1</w:t>
            </w:r>
          </w:p>
        </w:tc>
      </w:tr>
      <w:tr w:rsidR="00050905" w:rsidRPr="00670996" w14:paraId="36A96FC7" w14:textId="77777777" w:rsidTr="005A7652">
        <w:trPr>
          <w:trHeight w:val="215"/>
          <w:jc w:val="center"/>
        </w:trPr>
        <w:tc>
          <w:tcPr>
            <w:tcW w:w="1416" w:type="dxa"/>
            <w:tcBorders>
              <w:top w:val="nil"/>
              <w:left w:val="single" w:sz="8" w:space="0" w:color="auto"/>
              <w:bottom w:val="nil"/>
              <w:right w:val="single" w:sz="8" w:space="0" w:color="auto"/>
            </w:tcBorders>
            <w:shd w:val="clear" w:color="000000" w:fill="FFFFFF"/>
            <w:vAlign w:val="center"/>
            <w:hideMark/>
          </w:tcPr>
          <w:p w14:paraId="563BF7BA"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2005</w:t>
            </w:r>
          </w:p>
        </w:tc>
        <w:tc>
          <w:tcPr>
            <w:tcW w:w="1623" w:type="dxa"/>
            <w:tcBorders>
              <w:top w:val="nil"/>
              <w:left w:val="nil"/>
              <w:bottom w:val="nil"/>
              <w:right w:val="single" w:sz="4" w:space="0" w:color="auto"/>
            </w:tcBorders>
            <w:shd w:val="clear" w:color="000000" w:fill="FFFFFF"/>
            <w:vAlign w:val="center"/>
            <w:hideMark/>
          </w:tcPr>
          <w:p w14:paraId="559B875D"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107</w:t>
            </w:r>
          </w:p>
        </w:tc>
        <w:tc>
          <w:tcPr>
            <w:tcW w:w="1416" w:type="dxa"/>
            <w:tcBorders>
              <w:top w:val="nil"/>
              <w:left w:val="single" w:sz="4" w:space="0" w:color="auto"/>
              <w:bottom w:val="nil"/>
              <w:right w:val="nil"/>
            </w:tcBorders>
            <w:shd w:val="clear" w:color="000000" w:fill="FFFFFF"/>
            <w:vAlign w:val="center"/>
            <w:hideMark/>
          </w:tcPr>
          <w:p w14:paraId="4AA4F119"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6.2</w:t>
            </w:r>
          </w:p>
        </w:tc>
        <w:tc>
          <w:tcPr>
            <w:tcW w:w="1416" w:type="dxa"/>
            <w:tcBorders>
              <w:top w:val="nil"/>
              <w:left w:val="nil"/>
              <w:bottom w:val="nil"/>
              <w:right w:val="nil"/>
            </w:tcBorders>
            <w:shd w:val="clear" w:color="000000" w:fill="FFFFFF"/>
            <w:vAlign w:val="center"/>
            <w:hideMark/>
          </w:tcPr>
          <w:p w14:paraId="34C21EA7"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3.1</w:t>
            </w:r>
          </w:p>
        </w:tc>
        <w:tc>
          <w:tcPr>
            <w:tcW w:w="1419" w:type="dxa"/>
            <w:tcBorders>
              <w:top w:val="nil"/>
              <w:left w:val="nil"/>
              <w:bottom w:val="nil"/>
              <w:right w:val="single" w:sz="4" w:space="0" w:color="auto"/>
            </w:tcBorders>
            <w:shd w:val="clear" w:color="000000" w:fill="FFFFFF"/>
            <w:vAlign w:val="center"/>
            <w:hideMark/>
          </w:tcPr>
          <w:p w14:paraId="161ECCF4"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1.2</w:t>
            </w:r>
          </w:p>
        </w:tc>
      </w:tr>
      <w:tr w:rsidR="00050905" w:rsidRPr="00670996" w14:paraId="73FCAB74" w14:textId="77777777" w:rsidTr="005A7652">
        <w:trPr>
          <w:trHeight w:val="215"/>
          <w:jc w:val="center"/>
        </w:trPr>
        <w:tc>
          <w:tcPr>
            <w:tcW w:w="1416" w:type="dxa"/>
            <w:tcBorders>
              <w:top w:val="nil"/>
              <w:left w:val="single" w:sz="8" w:space="0" w:color="auto"/>
              <w:bottom w:val="nil"/>
              <w:right w:val="single" w:sz="8" w:space="0" w:color="auto"/>
            </w:tcBorders>
            <w:shd w:val="clear" w:color="000000" w:fill="FFFFFF"/>
            <w:vAlign w:val="center"/>
            <w:hideMark/>
          </w:tcPr>
          <w:p w14:paraId="1D31F58B"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2006</w:t>
            </w:r>
          </w:p>
        </w:tc>
        <w:tc>
          <w:tcPr>
            <w:tcW w:w="1623" w:type="dxa"/>
            <w:tcBorders>
              <w:top w:val="nil"/>
              <w:left w:val="nil"/>
              <w:bottom w:val="nil"/>
              <w:right w:val="single" w:sz="4" w:space="0" w:color="auto"/>
            </w:tcBorders>
            <w:shd w:val="clear" w:color="000000" w:fill="FFFFFF"/>
            <w:vAlign w:val="center"/>
            <w:hideMark/>
          </w:tcPr>
          <w:p w14:paraId="20A59D94"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123</w:t>
            </w:r>
          </w:p>
        </w:tc>
        <w:tc>
          <w:tcPr>
            <w:tcW w:w="1416" w:type="dxa"/>
            <w:tcBorders>
              <w:top w:val="nil"/>
              <w:left w:val="single" w:sz="4" w:space="0" w:color="auto"/>
              <w:bottom w:val="nil"/>
              <w:right w:val="nil"/>
            </w:tcBorders>
            <w:shd w:val="clear" w:color="000000" w:fill="FFFFFF"/>
            <w:vAlign w:val="center"/>
            <w:hideMark/>
          </w:tcPr>
          <w:p w14:paraId="0C9B0691"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5.7</w:t>
            </w:r>
          </w:p>
        </w:tc>
        <w:tc>
          <w:tcPr>
            <w:tcW w:w="1416" w:type="dxa"/>
            <w:tcBorders>
              <w:top w:val="nil"/>
              <w:left w:val="nil"/>
              <w:bottom w:val="nil"/>
              <w:right w:val="nil"/>
            </w:tcBorders>
            <w:shd w:val="clear" w:color="000000" w:fill="FFFFFF"/>
            <w:vAlign w:val="center"/>
            <w:hideMark/>
          </w:tcPr>
          <w:p w14:paraId="3257AD50"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3.6</w:t>
            </w:r>
          </w:p>
        </w:tc>
        <w:tc>
          <w:tcPr>
            <w:tcW w:w="1419" w:type="dxa"/>
            <w:tcBorders>
              <w:top w:val="nil"/>
              <w:left w:val="nil"/>
              <w:bottom w:val="nil"/>
              <w:right w:val="single" w:sz="4" w:space="0" w:color="auto"/>
            </w:tcBorders>
            <w:shd w:val="clear" w:color="000000" w:fill="FFFFFF"/>
            <w:vAlign w:val="center"/>
            <w:hideMark/>
          </w:tcPr>
          <w:p w14:paraId="68A09839"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1.3</w:t>
            </w:r>
          </w:p>
        </w:tc>
      </w:tr>
      <w:tr w:rsidR="00050905" w:rsidRPr="00670996" w14:paraId="572E4806" w14:textId="77777777" w:rsidTr="005A7652">
        <w:trPr>
          <w:trHeight w:val="215"/>
          <w:jc w:val="center"/>
        </w:trPr>
        <w:tc>
          <w:tcPr>
            <w:tcW w:w="1416" w:type="dxa"/>
            <w:tcBorders>
              <w:top w:val="nil"/>
              <w:left w:val="single" w:sz="8" w:space="0" w:color="auto"/>
              <w:bottom w:val="nil"/>
              <w:right w:val="single" w:sz="8" w:space="0" w:color="auto"/>
            </w:tcBorders>
            <w:shd w:val="clear" w:color="000000" w:fill="FFFFFF"/>
            <w:vAlign w:val="center"/>
            <w:hideMark/>
          </w:tcPr>
          <w:p w14:paraId="3F4A7ECC"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2007</w:t>
            </w:r>
          </w:p>
        </w:tc>
        <w:tc>
          <w:tcPr>
            <w:tcW w:w="1623" w:type="dxa"/>
            <w:tcBorders>
              <w:top w:val="nil"/>
              <w:left w:val="nil"/>
              <w:bottom w:val="nil"/>
              <w:right w:val="single" w:sz="4" w:space="0" w:color="auto"/>
            </w:tcBorders>
            <w:shd w:val="clear" w:color="000000" w:fill="FFFFFF"/>
            <w:vAlign w:val="center"/>
            <w:hideMark/>
          </w:tcPr>
          <w:p w14:paraId="27EF231D"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170</w:t>
            </w:r>
          </w:p>
        </w:tc>
        <w:tc>
          <w:tcPr>
            <w:tcW w:w="1416" w:type="dxa"/>
            <w:tcBorders>
              <w:top w:val="nil"/>
              <w:left w:val="single" w:sz="4" w:space="0" w:color="auto"/>
              <w:bottom w:val="nil"/>
              <w:right w:val="nil"/>
            </w:tcBorders>
            <w:shd w:val="clear" w:color="000000" w:fill="FFFFFF"/>
            <w:vAlign w:val="center"/>
            <w:hideMark/>
          </w:tcPr>
          <w:p w14:paraId="1C22E28F"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6.1</w:t>
            </w:r>
          </w:p>
        </w:tc>
        <w:tc>
          <w:tcPr>
            <w:tcW w:w="1416" w:type="dxa"/>
            <w:tcBorders>
              <w:top w:val="nil"/>
              <w:left w:val="nil"/>
              <w:bottom w:val="nil"/>
              <w:right w:val="nil"/>
            </w:tcBorders>
            <w:shd w:val="clear" w:color="000000" w:fill="FFFFFF"/>
            <w:vAlign w:val="center"/>
            <w:hideMark/>
          </w:tcPr>
          <w:p w14:paraId="015A4552"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4.5</w:t>
            </w:r>
          </w:p>
        </w:tc>
        <w:tc>
          <w:tcPr>
            <w:tcW w:w="1419" w:type="dxa"/>
            <w:tcBorders>
              <w:top w:val="nil"/>
              <w:left w:val="nil"/>
              <w:bottom w:val="nil"/>
              <w:right w:val="single" w:sz="4" w:space="0" w:color="auto"/>
            </w:tcBorders>
            <w:shd w:val="clear" w:color="000000" w:fill="FFFFFF"/>
            <w:vAlign w:val="center"/>
            <w:hideMark/>
          </w:tcPr>
          <w:p w14:paraId="7F220532"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1.5</w:t>
            </w:r>
          </w:p>
        </w:tc>
      </w:tr>
      <w:tr w:rsidR="00050905" w:rsidRPr="00670996" w14:paraId="2BA41BCA" w14:textId="77777777" w:rsidTr="005A7652">
        <w:trPr>
          <w:trHeight w:val="215"/>
          <w:jc w:val="center"/>
        </w:trPr>
        <w:tc>
          <w:tcPr>
            <w:tcW w:w="1416" w:type="dxa"/>
            <w:tcBorders>
              <w:top w:val="nil"/>
              <w:left w:val="single" w:sz="8" w:space="0" w:color="auto"/>
              <w:bottom w:val="nil"/>
              <w:right w:val="single" w:sz="8" w:space="0" w:color="auto"/>
            </w:tcBorders>
            <w:shd w:val="clear" w:color="000000" w:fill="FFFFFF"/>
            <w:vAlign w:val="center"/>
            <w:hideMark/>
          </w:tcPr>
          <w:p w14:paraId="258DF31C"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2008</w:t>
            </w:r>
          </w:p>
        </w:tc>
        <w:tc>
          <w:tcPr>
            <w:tcW w:w="1623" w:type="dxa"/>
            <w:tcBorders>
              <w:top w:val="nil"/>
              <w:left w:val="nil"/>
              <w:bottom w:val="nil"/>
              <w:right w:val="single" w:sz="4" w:space="0" w:color="auto"/>
            </w:tcBorders>
            <w:shd w:val="clear" w:color="000000" w:fill="FFFFFF"/>
            <w:vAlign w:val="center"/>
            <w:hideMark/>
          </w:tcPr>
          <w:p w14:paraId="51B44659"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305</w:t>
            </w:r>
          </w:p>
        </w:tc>
        <w:tc>
          <w:tcPr>
            <w:tcW w:w="1416" w:type="dxa"/>
            <w:tcBorders>
              <w:top w:val="nil"/>
              <w:left w:val="single" w:sz="4" w:space="0" w:color="auto"/>
              <w:bottom w:val="nil"/>
              <w:right w:val="nil"/>
            </w:tcBorders>
            <w:shd w:val="clear" w:color="000000" w:fill="FFFFFF"/>
            <w:vAlign w:val="center"/>
            <w:hideMark/>
          </w:tcPr>
          <w:p w14:paraId="0BFBA19F"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5.7</w:t>
            </w:r>
          </w:p>
        </w:tc>
        <w:tc>
          <w:tcPr>
            <w:tcW w:w="1416" w:type="dxa"/>
            <w:tcBorders>
              <w:top w:val="nil"/>
              <w:left w:val="nil"/>
              <w:bottom w:val="nil"/>
              <w:right w:val="nil"/>
            </w:tcBorders>
            <w:shd w:val="clear" w:color="000000" w:fill="FFFFFF"/>
            <w:vAlign w:val="center"/>
            <w:hideMark/>
          </w:tcPr>
          <w:p w14:paraId="4F7409B5"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5.3</w:t>
            </w:r>
          </w:p>
        </w:tc>
        <w:tc>
          <w:tcPr>
            <w:tcW w:w="1419" w:type="dxa"/>
            <w:tcBorders>
              <w:top w:val="nil"/>
              <w:left w:val="nil"/>
              <w:bottom w:val="nil"/>
              <w:right w:val="single" w:sz="4" w:space="0" w:color="auto"/>
            </w:tcBorders>
            <w:shd w:val="clear" w:color="000000" w:fill="FFFFFF"/>
            <w:vAlign w:val="center"/>
            <w:hideMark/>
          </w:tcPr>
          <w:p w14:paraId="31A54064"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1.8</w:t>
            </w:r>
          </w:p>
        </w:tc>
      </w:tr>
      <w:tr w:rsidR="00050905" w:rsidRPr="00670996" w14:paraId="068DD7EC" w14:textId="77777777" w:rsidTr="005A7652">
        <w:trPr>
          <w:trHeight w:val="215"/>
          <w:jc w:val="center"/>
        </w:trPr>
        <w:tc>
          <w:tcPr>
            <w:tcW w:w="1416" w:type="dxa"/>
            <w:tcBorders>
              <w:top w:val="nil"/>
              <w:left w:val="single" w:sz="8" w:space="0" w:color="auto"/>
              <w:bottom w:val="nil"/>
              <w:right w:val="single" w:sz="8" w:space="0" w:color="auto"/>
            </w:tcBorders>
            <w:shd w:val="clear" w:color="000000" w:fill="FFFFFF"/>
            <w:vAlign w:val="center"/>
            <w:hideMark/>
          </w:tcPr>
          <w:p w14:paraId="51CAD798"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2009</w:t>
            </w:r>
          </w:p>
        </w:tc>
        <w:tc>
          <w:tcPr>
            <w:tcW w:w="1623" w:type="dxa"/>
            <w:tcBorders>
              <w:top w:val="nil"/>
              <w:left w:val="nil"/>
              <w:bottom w:val="nil"/>
              <w:right w:val="single" w:sz="4" w:space="0" w:color="auto"/>
            </w:tcBorders>
            <w:shd w:val="clear" w:color="000000" w:fill="FFFFFF"/>
            <w:vAlign w:val="center"/>
            <w:hideMark/>
          </w:tcPr>
          <w:p w14:paraId="6DBDB96F"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364</w:t>
            </w:r>
          </w:p>
        </w:tc>
        <w:tc>
          <w:tcPr>
            <w:tcW w:w="1416" w:type="dxa"/>
            <w:tcBorders>
              <w:top w:val="nil"/>
              <w:left w:val="single" w:sz="4" w:space="0" w:color="auto"/>
              <w:bottom w:val="nil"/>
              <w:right w:val="nil"/>
            </w:tcBorders>
            <w:shd w:val="clear" w:color="000000" w:fill="FFFFFF"/>
            <w:vAlign w:val="center"/>
            <w:hideMark/>
          </w:tcPr>
          <w:p w14:paraId="227FC1A6"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4.5</w:t>
            </w:r>
          </w:p>
        </w:tc>
        <w:tc>
          <w:tcPr>
            <w:tcW w:w="1416" w:type="dxa"/>
            <w:tcBorders>
              <w:top w:val="nil"/>
              <w:left w:val="nil"/>
              <w:bottom w:val="nil"/>
              <w:right w:val="nil"/>
            </w:tcBorders>
            <w:shd w:val="clear" w:color="000000" w:fill="FFFFFF"/>
            <w:vAlign w:val="center"/>
            <w:hideMark/>
          </w:tcPr>
          <w:p w14:paraId="1A34CD8E"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5.0</w:t>
            </w:r>
          </w:p>
        </w:tc>
        <w:tc>
          <w:tcPr>
            <w:tcW w:w="1419" w:type="dxa"/>
            <w:tcBorders>
              <w:top w:val="nil"/>
              <w:left w:val="nil"/>
              <w:bottom w:val="nil"/>
              <w:right w:val="single" w:sz="4" w:space="0" w:color="auto"/>
            </w:tcBorders>
            <w:shd w:val="clear" w:color="000000" w:fill="FFFFFF"/>
            <w:vAlign w:val="center"/>
            <w:hideMark/>
          </w:tcPr>
          <w:p w14:paraId="76BE88AA"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1.7</w:t>
            </w:r>
          </w:p>
        </w:tc>
      </w:tr>
      <w:tr w:rsidR="00050905" w:rsidRPr="00670996" w14:paraId="5F9DA77A" w14:textId="77777777" w:rsidTr="005A7652">
        <w:trPr>
          <w:trHeight w:val="215"/>
          <w:jc w:val="center"/>
        </w:trPr>
        <w:tc>
          <w:tcPr>
            <w:tcW w:w="1416" w:type="dxa"/>
            <w:tcBorders>
              <w:top w:val="nil"/>
              <w:left w:val="single" w:sz="8" w:space="0" w:color="auto"/>
              <w:bottom w:val="nil"/>
              <w:right w:val="single" w:sz="8" w:space="0" w:color="auto"/>
            </w:tcBorders>
            <w:shd w:val="clear" w:color="000000" w:fill="FFFFFF"/>
            <w:vAlign w:val="center"/>
            <w:hideMark/>
          </w:tcPr>
          <w:p w14:paraId="0AA13D72"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2010</w:t>
            </w:r>
          </w:p>
        </w:tc>
        <w:tc>
          <w:tcPr>
            <w:tcW w:w="1623" w:type="dxa"/>
            <w:tcBorders>
              <w:top w:val="nil"/>
              <w:left w:val="nil"/>
              <w:bottom w:val="nil"/>
              <w:right w:val="single" w:sz="4" w:space="0" w:color="auto"/>
            </w:tcBorders>
            <w:shd w:val="clear" w:color="000000" w:fill="FFFFFF"/>
            <w:vAlign w:val="center"/>
            <w:hideMark/>
          </w:tcPr>
          <w:p w14:paraId="66BF078B"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442</w:t>
            </w:r>
          </w:p>
        </w:tc>
        <w:tc>
          <w:tcPr>
            <w:tcW w:w="1416" w:type="dxa"/>
            <w:tcBorders>
              <w:top w:val="nil"/>
              <w:left w:val="single" w:sz="4" w:space="0" w:color="auto"/>
              <w:bottom w:val="nil"/>
              <w:right w:val="nil"/>
            </w:tcBorders>
            <w:shd w:val="clear" w:color="000000" w:fill="FFFFFF"/>
            <w:vAlign w:val="center"/>
            <w:hideMark/>
          </w:tcPr>
          <w:p w14:paraId="49914420"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4.2</w:t>
            </w:r>
          </w:p>
        </w:tc>
        <w:tc>
          <w:tcPr>
            <w:tcW w:w="1416" w:type="dxa"/>
            <w:tcBorders>
              <w:top w:val="nil"/>
              <w:left w:val="nil"/>
              <w:bottom w:val="nil"/>
              <w:right w:val="nil"/>
            </w:tcBorders>
            <w:shd w:val="clear" w:color="000000" w:fill="FFFFFF"/>
            <w:vAlign w:val="center"/>
            <w:hideMark/>
          </w:tcPr>
          <w:p w14:paraId="64EF574A"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5.0</w:t>
            </w:r>
          </w:p>
        </w:tc>
        <w:tc>
          <w:tcPr>
            <w:tcW w:w="1419" w:type="dxa"/>
            <w:tcBorders>
              <w:top w:val="nil"/>
              <w:left w:val="nil"/>
              <w:bottom w:val="nil"/>
              <w:right w:val="single" w:sz="4" w:space="0" w:color="auto"/>
            </w:tcBorders>
            <w:shd w:val="clear" w:color="000000" w:fill="FFFFFF"/>
            <w:vAlign w:val="center"/>
            <w:hideMark/>
          </w:tcPr>
          <w:p w14:paraId="4CF49FA7"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1.6</w:t>
            </w:r>
          </w:p>
        </w:tc>
      </w:tr>
      <w:tr w:rsidR="00050905" w:rsidRPr="00670996" w14:paraId="1CE76821" w14:textId="77777777" w:rsidTr="005A7652">
        <w:trPr>
          <w:trHeight w:val="215"/>
          <w:jc w:val="center"/>
        </w:trPr>
        <w:tc>
          <w:tcPr>
            <w:tcW w:w="1416" w:type="dxa"/>
            <w:tcBorders>
              <w:top w:val="nil"/>
              <w:left w:val="single" w:sz="8" w:space="0" w:color="auto"/>
              <w:bottom w:val="nil"/>
              <w:right w:val="single" w:sz="8" w:space="0" w:color="auto"/>
            </w:tcBorders>
            <w:shd w:val="clear" w:color="000000" w:fill="FFFFFF"/>
            <w:vAlign w:val="center"/>
            <w:hideMark/>
          </w:tcPr>
          <w:p w14:paraId="3E2EDD0B"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2011</w:t>
            </w:r>
          </w:p>
        </w:tc>
        <w:tc>
          <w:tcPr>
            <w:tcW w:w="1623" w:type="dxa"/>
            <w:tcBorders>
              <w:top w:val="nil"/>
              <w:left w:val="nil"/>
              <w:bottom w:val="nil"/>
              <w:right w:val="single" w:sz="4" w:space="0" w:color="auto"/>
            </w:tcBorders>
            <w:shd w:val="clear" w:color="000000" w:fill="FFFFFF"/>
            <w:vAlign w:val="center"/>
            <w:hideMark/>
          </w:tcPr>
          <w:p w14:paraId="26E2D427"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576</w:t>
            </w:r>
          </w:p>
        </w:tc>
        <w:tc>
          <w:tcPr>
            <w:tcW w:w="1416" w:type="dxa"/>
            <w:tcBorders>
              <w:top w:val="nil"/>
              <w:left w:val="single" w:sz="4" w:space="0" w:color="auto"/>
              <w:bottom w:val="nil"/>
              <w:right w:val="nil"/>
            </w:tcBorders>
            <w:shd w:val="clear" w:color="000000" w:fill="FFFFFF"/>
            <w:vAlign w:val="center"/>
            <w:hideMark/>
          </w:tcPr>
          <w:p w14:paraId="66F197E2"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4.2</w:t>
            </w:r>
          </w:p>
        </w:tc>
        <w:tc>
          <w:tcPr>
            <w:tcW w:w="1416" w:type="dxa"/>
            <w:tcBorders>
              <w:top w:val="nil"/>
              <w:left w:val="nil"/>
              <w:bottom w:val="nil"/>
              <w:right w:val="nil"/>
            </w:tcBorders>
            <w:shd w:val="clear" w:color="000000" w:fill="FFFFFF"/>
            <w:vAlign w:val="center"/>
            <w:hideMark/>
          </w:tcPr>
          <w:p w14:paraId="5D5CB063"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3.6</w:t>
            </w:r>
          </w:p>
        </w:tc>
        <w:tc>
          <w:tcPr>
            <w:tcW w:w="1419" w:type="dxa"/>
            <w:tcBorders>
              <w:top w:val="nil"/>
              <w:left w:val="nil"/>
              <w:bottom w:val="nil"/>
              <w:right w:val="single" w:sz="4" w:space="0" w:color="auto"/>
            </w:tcBorders>
            <w:shd w:val="clear" w:color="000000" w:fill="FFFFFF"/>
            <w:vAlign w:val="center"/>
            <w:hideMark/>
          </w:tcPr>
          <w:p w14:paraId="47E7A666"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0.9</w:t>
            </w:r>
          </w:p>
        </w:tc>
      </w:tr>
      <w:tr w:rsidR="00050905" w:rsidRPr="00670996" w14:paraId="6CAA0C47" w14:textId="77777777" w:rsidTr="005A7652">
        <w:trPr>
          <w:trHeight w:val="215"/>
          <w:jc w:val="center"/>
        </w:trPr>
        <w:tc>
          <w:tcPr>
            <w:tcW w:w="1416" w:type="dxa"/>
            <w:tcBorders>
              <w:top w:val="nil"/>
              <w:left w:val="single" w:sz="8" w:space="0" w:color="auto"/>
              <w:bottom w:val="nil"/>
              <w:right w:val="single" w:sz="8" w:space="0" w:color="auto"/>
            </w:tcBorders>
            <w:shd w:val="clear" w:color="000000" w:fill="FFFFFF"/>
            <w:vAlign w:val="center"/>
            <w:hideMark/>
          </w:tcPr>
          <w:p w14:paraId="749281FE"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2012</w:t>
            </w:r>
          </w:p>
        </w:tc>
        <w:tc>
          <w:tcPr>
            <w:tcW w:w="1623" w:type="dxa"/>
            <w:tcBorders>
              <w:top w:val="nil"/>
              <w:left w:val="nil"/>
              <w:bottom w:val="nil"/>
              <w:right w:val="single" w:sz="4" w:space="0" w:color="auto"/>
            </w:tcBorders>
            <w:shd w:val="clear" w:color="000000" w:fill="FFFFFF"/>
            <w:vAlign w:val="center"/>
            <w:hideMark/>
          </w:tcPr>
          <w:p w14:paraId="3391DC78"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540</w:t>
            </w:r>
          </w:p>
        </w:tc>
        <w:tc>
          <w:tcPr>
            <w:tcW w:w="1416" w:type="dxa"/>
            <w:tcBorders>
              <w:top w:val="nil"/>
              <w:left w:val="single" w:sz="4" w:space="0" w:color="auto"/>
              <w:bottom w:val="nil"/>
              <w:right w:val="nil"/>
            </w:tcBorders>
            <w:shd w:val="clear" w:color="000000" w:fill="FFFFFF"/>
            <w:vAlign w:val="center"/>
            <w:hideMark/>
          </w:tcPr>
          <w:p w14:paraId="7DC3B058"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2.4</w:t>
            </w:r>
          </w:p>
        </w:tc>
        <w:tc>
          <w:tcPr>
            <w:tcW w:w="1416" w:type="dxa"/>
            <w:tcBorders>
              <w:top w:val="nil"/>
              <w:left w:val="nil"/>
              <w:bottom w:val="nil"/>
              <w:right w:val="nil"/>
            </w:tcBorders>
            <w:shd w:val="clear" w:color="000000" w:fill="FFFFFF"/>
            <w:vAlign w:val="center"/>
            <w:hideMark/>
          </w:tcPr>
          <w:p w14:paraId="57512E7B"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2.3</w:t>
            </w:r>
          </w:p>
        </w:tc>
        <w:tc>
          <w:tcPr>
            <w:tcW w:w="1419" w:type="dxa"/>
            <w:tcBorders>
              <w:top w:val="nil"/>
              <w:left w:val="nil"/>
              <w:bottom w:val="nil"/>
              <w:right w:val="single" w:sz="4" w:space="0" w:color="auto"/>
            </w:tcBorders>
            <w:shd w:val="clear" w:color="000000" w:fill="FFFFFF"/>
            <w:vAlign w:val="center"/>
            <w:hideMark/>
          </w:tcPr>
          <w:p w14:paraId="6071111A"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0.5</w:t>
            </w:r>
          </w:p>
        </w:tc>
      </w:tr>
      <w:tr w:rsidR="00050905" w:rsidRPr="00670996" w14:paraId="1890C4B3" w14:textId="77777777" w:rsidTr="005A7652">
        <w:trPr>
          <w:trHeight w:val="215"/>
          <w:jc w:val="center"/>
        </w:trPr>
        <w:tc>
          <w:tcPr>
            <w:tcW w:w="1416" w:type="dxa"/>
            <w:tcBorders>
              <w:top w:val="nil"/>
              <w:left w:val="single" w:sz="8" w:space="0" w:color="auto"/>
              <w:bottom w:val="nil"/>
              <w:right w:val="single" w:sz="8" w:space="0" w:color="auto"/>
            </w:tcBorders>
            <w:shd w:val="clear" w:color="000000" w:fill="FFFFFF"/>
            <w:vAlign w:val="center"/>
            <w:hideMark/>
          </w:tcPr>
          <w:p w14:paraId="52A5E6F8"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2013</w:t>
            </w:r>
          </w:p>
        </w:tc>
        <w:tc>
          <w:tcPr>
            <w:tcW w:w="1623" w:type="dxa"/>
            <w:tcBorders>
              <w:top w:val="nil"/>
              <w:left w:val="nil"/>
              <w:bottom w:val="nil"/>
              <w:right w:val="single" w:sz="4" w:space="0" w:color="auto"/>
            </w:tcBorders>
            <w:shd w:val="clear" w:color="000000" w:fill="FFFFFF"/>
            <w:vAlign w:val="center"/>
            <w:hideMark/>
          </w:tcPr>
          <w:p w14:paraId="419A9694"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300</w:t>
            </w:r>
          </w:p>
        </w:tc>
        <w:tc>
          <w:tcPr>
            <w:tcW w:w="1416" w:type="dxa"/>
            <w:tcBorders>
              <w:top w:val="nil"/>
              <w:left w:val="single" w:sz="4" w:space="0" w:color="auto"/>
              <w:bottom w:val="nil"/>
              <w:right w:val="nil"/>
            </w:tcBorders>
            <w:shd w:val="clear" w:color="000000" w:fill="FFFFFF"/>
            <w:vAlign w:val="center"/>
            <w:hideMark/>
          </w:tcPr>
          <w:p w14:paraId="628F877A"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1.2</w:t>
            </w:r>
          </w:p>
        </w:tc>
        <w:tc>
          <w:tcPr>
            <w:tcW w:w="1416" w:type="dxa"/>
            <w:tcBorders>
              <w:top w:val="nil"/>
              <w:left w:val="nil"/>
              <w:bottom w:val="nil"/>
              <w:right w:val="nil"/>
            </w:tcBorders>
            <w:shd w:val="clear" w:color="000000" w:fill="FFFFFF"/>
            <w:vAlign w:val="center"/>
            <w:hideMark/>
          </w:tcPr>
          <w:p w14:paraId="374D39C0"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1.1</w:t>
            </w:r>
          </w:p>
        </w:tc>
        <w:tc>
          <w:tcPr>
            <w:tcW w:w="1419" w:type="dxa"/>
            <w:tcBorders>
              <w:top w:val="nil"/>
              <w:left w:val="nil"/>
              <w:bottom w:val="nil"/>
              <w:right w:val="single" w:sz="4" w:space="0" w:color="auto"/>
            </w:tcBorders>
            <w:shd w:val="clear" w:color="000000" w:fill="FFFFFF"/>
            <w:vAlign w:val="center"/>
            <w:hideMark/>
          </w:tcPr>
          <w:p w14:paraId="28AD39D7"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0.2</w:t>
            </w:r>
          </w:p>
        </w:tc>
      </w:tr>
      <w:tr w:rsidR="00050905" w:rsidRPr="00670996" w14:paraId="7AE6913E" w14:textId="77777777" w:rsidTr="005A7652">
        <w:trPr>
          <w:trHeight w:val="224"/>
          <w:jc w:val="center"/>
        </w:trPr>
        <w:tc>
          <w:tcPr>
            <w:tcW w:w="1416" w:type="dxa"/>
            <w:tcBorders>
              <w:top w:val="nil"/>
              <w:left w:val="single" w:sz="8" w:space="0" w:color="auto"/>
              <w:bottom w:val="single" w:sz="8" w:space="0" w:color="auto"/>
              <w:right w:val="single" w:sz="8" w:space="0" w:color="auto"/>
            </w:tcBorders>
            <w:shd w:val="clear" w:color="000000" w:fill="FFFFFF"/>
            <w:vAlign w:val="center"/>
            <w:hideMark/>
          </w:tcPr>
          <w:p w14:paraId="04D6C778"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2014</w:t>
            </w:r>
          </w:p>
        </w:tc>
        <w:tc>
          <w:tcPr>
            <w:tcW w:w="1623" w:type="dxa"/>
            <w:tcBorders>
              <w:top w:val="nil"/>
              <w:left w:val="nil"/>
              <w:bottom w:val="single" w:sz="8" w:space="0" w:color="auto"/>
              <w:right w:val="single" w:sz="4" w:space="0" w:color="auto"/>
            </w:tcBorders>
            <w:shd w:val="clear" w:color="000000" w:fill="FFFFFF"/>
            <w:vAlign w:val="center"/>
            <w:hideMark/>
          </w:tcPr>
          <w:p w14:paraId="3EAF022A"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400</w:t>
            </w:r>
          </w:p>
        </w:tc>
        <w:tc>
          <w:tcPr>
            <w:tcW w:w="1416" w:type="dxa"/>
            <w:tcBorders>
              <w:top w:val="nil"/>
              <w:left w:val="single" w:sz="4" w:space="0" w:color="auto"/>
              <w:bottom w:val="single" w:sz="4" w:space="0" w:color="auto"/>
            </w:tcBorders>
            <w:shd w:val="clear" w:color="000000" w:fill="FFFFFF"/>
            <w:vAlign w:val="center"/>
            <w:hideMark/>
          </w:tcPr>
          <w:p w14:paraId="5AF2C83E"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1.2</w:t>
            </w:r>
          </w:p>
        </w:tc>
        <w:tc>
          <w:tcPr>
            <w:tcW w:w="1416" w:type="dxa"/>
            <w:tcBorders>
              <w:top w:val="nil"/>
              <w:bottom w:val="single" w:sz="4" w:space="0" w:color="auto"/>
            </w:tcBorders>
            <w:shd w:val="clear" w:color="000000" w:fill="FFFFFF"/>
            <w:vAlign w:val="center"/>
            <w:hideMark/>
          </w:tcPr>
          <w:p w14:paraId="2EF8DB33"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1.3</w:t>
            </w:r>
          </w:p>
        </w:tc>
        <w:tc>
          <w:tcPr>
            <w:tcW w:w="1419" w:type="dxa"/>
            <w:tcBorders>
              <w:top w:val="nil"/>
              <w:bottom w:val="single" w:sz="4" w:space="0" w:color="auto"/>
              <w:right w:val="single" w:sz="4" w:space="0" w:color="auto"/>
            </w:tcBorders>
            <w:shd w:val="clear" w:color="000000" w:fill="FFFFFF"/>
            <w:vAlign w:val="center"/>
            <w:hideMark/>
          </w:tcPr>
          <w:p w14:paraId="1BFE03DA" w14:textId="77777777" w:rsidR="00050905" w:rsidRPr="00670996" w:rsidRDefault="00050905" w:rsidP="005A7652">
            <w:pPr>
              <w:keepNext/>
              <w:spacing w:after="0" w:line="240" w:lineRule="auto"/>
              <w:jc w:val="center"/>
              <w:rPr>
                <w:rFonts w:ascii="Garamond" w:eastAsia="Times New Roman" w:hAnsi="Garamond" w:cs="Times New Roman"/>
                <w:color w:val="000000"/>
              </w:rPr>
            </w:pPr>
            <w:r w:rsidRPr="00670996">
              <w:rPr>
                <w:rFonts w:ascii="Garamond" w:eastAsia="Times New Roman" w:hAnsi="Garamond" w:cs="Times New Roman"/>
                <w:color w:val="000000"/>
              </w:rPr>
              <w:t>0.3</w:t>
            </w:r>
          </w:p>
        </w:tc>
      </w:tr>
    </w:tbl>
    <w:p w14:paraId="7A5EE990" w14:textId="77777777" w:rsidR="00050905" w:rsidRPr="00670996" w:rsidRDefault="00050905" w:rsidP="00050905">
      <w:pPr>
        <w:pStyle w:val="Source"/>
        <w:rPr>
          <w:rFonts w:ascii="Garamond" w:hAnsi="Garamond"/>
        </w:rPr>
      </w:pPr>
      <w:r w:rsidRPr="00670996">
        <w:rPr>
          <w:rFonts w:ascii="Garamond" w:hAnsi="Garamond"/>
        </w:rPr>
        <w:t xml:space="preserve">Source: </w:t>
      </w:r>
      <w:r w:rsidRPr="00670996">
        <w:rPr>
          <w:rFonts w:ascii="Garamond" w:hAnsi="Garamond"/>
          <w:i w:val="0"/>
        </w:rPr>
        <w:t>Author’s calculations based on IFPRI data and own best estimates</w:t>
      </w:r>
      <w:r w:rsidRPr="00670996">
        <w:rPr>
          <w:rFonts w:ascii="Garamond" w:hAnsi="Garamond"/>
        </w:rPr>
        <w:t xml:space="preserve"> </w:t>
      </w:r>
    </w:p>
    <w:p w14:paraId="263324D6" w14:textId="77777777" w:rsidR="00050905" w:rsidRPr="009C7B49" w:rsidRDefault="00050905" w:rsidP="00BE0264">
      <w:pPr>
        <w:pStyle w:val="ListParagraph"/>
        <w:numPr>
          <w:ilvl w:val="3"/>
          <w:numId w:val="11"/>
        </w:numPr>
      </w:pPr>
      <w:r w:rsidRPr="009C7B49">
        <w:rPr>
          <w:b/>
        </w:rPr>
        <w:t>Under the 2003 Maputo Declaration, Ghana committed to allocate at least 10 percent of its national budget to agriculture by 2008.</w:t>
      </w:r>
      <w:r w:rsidRPr="009C7B49">
        <w:t xml:space="preserve"> Ghana is also a signatory to the common agricultural policy of the ECOWAS, which includes similar objectives. While an earlier study by the World Bank indicated that the government had met its Maputo Declaration spending target in 2009, 2010</w:t>
      </w:r>
      <w:r w:rsidR="0029525E" w:rsidRPr="009C7B49">
        <w:t>,</w:t>
      </w:r>
      <w:r w:rsidRPr="009C7B49">
        <w:t xml:space="preserve"> and 2011, </w:t>
      </w:r>
      <w:r w:rsidR="00152B18" w:rsidRPr="009C7B49">
        <w:t xml:space="preserve">lack of clarity on what </w:t>
      </w:r>
      <w:r w:rsidR="00193111" w:rsidRPr="009C7B49">
        <w:t>should</w:t>
      </w:r>
      <w:r w:rsidR="00152B18" w:rsidRPr="009C7B49">
        <w:t xml:space="preserve"> count as expenditure in the sector and the fragmented nature of the budget </w:t>
      </w:r>
      <w:r w:rsidRPr="009C7B49">
        <w:t>cast doubt on this assessment</w:t>
      </w:r>
      <w:r w:rsidR="00152B18" w:rsidRPr="009C7B49">
        <w:t>.</w:t>
      </w:r>
      <w:r w:rsidR="006B3D0C" w:rsidRPr="009C7B49">
        <w:rPr>
          <w:rStyle w:val="FootnoteReference"/>
        </w:rPr>
        <w:t xml:space="preserve"> </w:t>
      </w:r>
      <w:r w:rsidR="006B3D0C" w:rsidRPr="009C7B49">
        <w:rPr>
          <w:rStyle w:val="FootnoteReference"/>
        </w:rPr>
        <w:footnoteReference w:id="147"/>
      </w:r>
      <w:r w:rsidR="006B3D0C" w:rsidRPr="009C7B49">
        <w:t xml:space="preserve"> </w:t>
      </w:r>
      <w:r w:rsidR="00152B18" w:rsidRPr="009C7B49">
        <w:t>For example, in th</w:t>
      </w:r>
      <w:r w:rsidR="006B3D0C" w:rsidRPr="009C7B49">
        <w:t>e World Bank</w:t>
      </w:r>
      <w:r w:rsidR="00152B18" w:rsidRPr="009C7B49">
        <w:t xml:space="preserve"> assessment, public expenditures on feeder roads and debt servicing were counted as part of as the total public agricultural spending, counting these toward the 10 percent target. </w:t>
      </w:r>
      <w:r w:rsidR="000C5F92" w:rsidRPr="009C7B49">
        <w:t>While adding these items may be justified to the extent that they are agriculture-related expenditures, their omission from the preceding years’ expenditures m</w:t>
      </w:r>
      <w:r w:rsidR="003748F9" w:rsidRPr="009C7B49">
        <w:t xml:space="preserve">akes the levels </w:t>
      </w:r>
      <w:r w:rsidR="000C5F92" w:rsidRPr="009C7B49">
        <w:t xml:space="preserve">not comparable over time. </w:t>
      </w:r>
      <w:r w:rsidR="0068706F" w:rsidRPr="009C7B49">
        <w:t>A</w:t>
      </w:r>
      <w:r w:rsidR="00DE63D9" w:rsidRPr="009C7B49">
        <w:t xml:space="preserve">n </w:t>
      </w:r>
      <w:r w:rsidR="00F528DD" w:rsidRPr="009C7B49">
        <w:t xml:space="preserve">additional challenge </w:t>
      </w:r>
      <w:r w:rsidR="00DE63D9" w:rsidRPr="009C7B49">
        <w:t>stems</w:t>
      </w:r>
      <w:r w:rsidR="00F528DD" w:rsidRPr="009C7B49">
        <w:t xml:space="preserve"> from </w:t>
      </w:r>
      <w:r w:rsidR="001B7934" w:rsidRPr="009C7B49">
        <w:t>the weakness in public expenditure recording in Ghana’s</w:t>
      </w:r>
      <w:r w:rsidR="003748F9" w:rsidRPr="009C7B49">
        <w:t xml:space="preserve"> </w:t>
      </w:r>
      <w:r w:rsidR="001B7934" w:rsidRPr="009C7B49">
        <w:t xml:space="preserve">due to its </w:t>
      </w:r>
      <w:r w:rsidR="003748F9" w:rsidRPr="009C7B49">
        <w:t>fragmented nature of the budget</w:t>
      </w:r>
      <w:r w:rsidR="0068706F" w:rsidRPr="009C7B49">
        <w:t>, as discussed in Chapter 1</w:t>
      </w:r>
      <w:r w:rsidR="00F528DD" w:rsidRPr="009C7B49">
        <w:t xml:space="preserve">. </w:t>
      </w:r>
      <w:r w:rsidRPr="009C7B49">
        <w:t xml:space="preserve">For example, </w:t>
      </w:r>
      <w:r w:rsidR="004D11F4" w:rsidRPr="009C7B49">
        <w:t xml:space="preserve">the </w:t>
      </w:r>
      <w:r w:rsidRPr="009C7B49">
        <w:t xml:space="preserve">MoFA’s 2011 agricultural spending estimate was calculated as a share of GH¢ 4.6 billion in total government spending, yet consolidated figures from the CAGD put total government spending at GH¢ 13.7 billion—roughly three times the level reported by </w:t>
      </w:r>
      <w:r w:rsidR="004D11F4" w:rsidRPr="009C7B49">
        <w:t xml:space="preserve">the </w:t>
      </w:r>
      <w:r w:rsidRPr="009C7B49">
        <w:t xml:space="preserve">MoFA. Using the CAGD figures reduces the share of agricultural expenditures (including spending by </w:t>
      </w:r>
      <w:r w:rsidR="002140C0" w:rsidRPr="009C7B49">
        <w:t xml:space="preserve">the </w:t>
      </w:r>
      <w:r w:rsidRPr="009C7B49">
        <w:t>COCOBOD) from an average of 12.5 percent of total government spending to just 4.6 percent over the 2009-2011 period</w:t>
      </w:r>
      <w:r w:rsidR="00CE6D9F" w:rsidRPr="009C7B49">
        <w:t xml:space="preserve">. </w:t>
      </w:r>
      <w:r w:rsidR="00BB5A2F" w:rsidRPr="009C7B49">
        <w:t>In fact, s</w:t>
      </w:r>
      <w:r w:rsidR="000D1B99" w:rsidRPr="009C7B49">
        <w:t>ome of the recent studies have indicated that Ghana may never have achieved the 10 percent expenditure target, and classification issues might be the underlying factor.</w:t>
      </w:r>
      <w:r w:rsidR="000D1B99" w:rsidRPr="009C7B49">
        <w:rPr>
          <w:rStyle w:val="FootnoteReference"/>
        </w:rPr>
        <w:footnoteReference w:id="148"/>
      </w:r>
      <w:r w:rsidR="000D1B99" w:rsidRPr="009C7B49">
        <w:t xml:space="preserve"> </w:t>
      </w:r>
      <w:r w:rsidR="00BB5A2F" w:rsidRPr="009C7B49">
        <w:t>Furthermore</w:t>
      </w:r>
      <w:r w:rsidR="00D97D34" w:rsidRPr="009C7B49">
        <w:t xml:space="preserve">, </w:t>
      </w:r>
      <w:r w:rsidRPr="009C7B49">
        <w:t xml:space="preserve">Ghana’s agricultural spending was well below that of most regional comparators </w:t>
      </w:r>
      <w:r w:rsidR="00C85A05" w:rsidRPr="009C7B49">
        <w:t xml:space="preserve">in 2014 </w:t>
      </w:r>
      <w:r w:rsidRPr="009C7B49">
        <w:t>(</w:t>
      </w:r>
      <w:r w:rsidR="00576821" w:rsidRPr="009C7B49">
        <w:fldChar w:fldCharType="begin"/>
      </w:r>
      <w:r w:rsidR="00576821" w:rsidRPr="009C7B49">
        <w:instrText xml:space="preserve"> REF _Ref474244738 \h </w:instrText>
      </w:r>
      <w:r w:rsidR="00F54395" w:rsidRPr="009C7B49">
        <w:instrText xml:space="preserve"> \* MERGEFORMAT </w:instrText>
      </w:r>
      <w:r w:rsidR="00576821" w:rsidRPr="009C7B49">
        <w:fldChar w:fldCharType="separate"/>
      </w:r>
      <w:r w:rsidR="007B1CE6" w:rsidRPr="009C7B49">
        <w:t xml:space="preserve">Figure </w:t>
      </w:r>
      <w:r w:rsidR="007B1CE6" w:rsidRPr="009C7B49">
        <w:rPr>
          <w:noProof/>
        </w:rPr>
        <w:t>5</w:t>
      </w:r>
      <w:r w:rsidR="007B1CE6" w:rsidRPr="009C7B49">
        <w:t>.</w:t>
      </w:r>
      <w:r w:rsidR="007B1CE6" w:rsidRPr="009C7B49">
        <w:rPr>
          <w:noProof/>
        </w:rPr>
        <w:t>6</w:t>
      </w:r>
      <w:r w:rsidR="00576821" w:rsidRPr="009C7B49">
        <w:fldChar w:fldCharType="end"/>
      </w:r>
      <w:r w:rsidRPr="009C7B49">
        <w:t xml:space="preserve">). </w:t>
      </w:r>
    </w:p>
    <w:tbl>
      <w:tblPr>
        <w:tblStyle w:val="TableGrid"/>
        <w:tblpPr w:leftFromText="180" w:rightFromText="180" w:vertAnchor="text" w:horzAnchor="margin"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67"/>
      </w:tblGrid>
      <w:tr w:rsidR="00050905" w:rsidRPr="00322815" w14:paraId="1CAE7DD3" w14:textId="77777777" w:rsidTr="005A7652">
        <w:trPr>
          <w:trHeight w:val="3084"/>
        </w:trPr>
        <w:tc>
          <w:tcPr>
            <w:tcW w:w="8967" w:type="dxa"/>
          </w:tcPr>
          <w:p w14:paraId="1318F266" w14:textId="77777777" w:rsidR="00050905" w:rsidRPr="00322815" w:rsidRDefault="00657AA2" w:rsidP="00CC6F65">
            <w:pPr>
              <w:pStyle w:val="Caption"/>
              <w:rPr>
                <w:lang w:val="en-US"/>
              </w:rPr>
            </w:pPr>
            <w:bookmarkStart w:id="235" w:name="_Ref474244738"/>
            <w:r>
              <w:lastRenderedPageBreak/>
              <w:t>Figure</w:t>
            </w:r>
            <w:r w:rsidR="00CC6F65">
              <w:t xml:space="preserve"> </w:t>
            </w:r>
            <w:r w:rsidR="005C0067">
              <w:fldChar w:fldCharType="begin"/>
            </w:r>
            <w:r w:rsidR="005C0067">
              <w:instrText xml:space="preserve"> STYLEREF 1 \s </w:instrText>
            </w:r>
            <w:r w:rsidR="005C0067">
              <w:fldChar w:fldCharType="separate"/>
            </w:r>
            <w:r w:rsidR="007B1CE6">
              <w:rPr>
                <w:noProof/>
              </w:rPr>
              <w:t>5</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6</w:t>
            </w:r>
            <w:r w:rsidR="005C0067">
              <w:fldChar w:fldCharType="end"/>
            </w:r>
            <w:bookmarkEnd w:id="235"/>
            <w:r w:rsidR="00CC6F65" w:rsidRPr="00322815">
              <w:rPr>
                <w:lang w:val="en-US"/>
              </w:rPr>
              <w:t>:</w:t>
            </w:r>
            <w:r w:rsidR="003D5DA2">
              <w:rPr>
                <w:lang w:val="en-US"/>
              </w:rPr>
              <w:t xml:space="preserve"> </w:t>
            </w:r>
            <w:r w:rsidR="00050905" w:rsidRPr="00322815">
              <w:rPr>
                <w:lang w:val="en-US"/>
              </w:rPr>
              <w:t>Agriculture Spending in Sub-Saharan Africa</w:t>
            </w:r>
          </w:p>
          <w:p w14:paraId="3F17DF90" w14:textId="77777777" w:rsidR="00050905" w:rsidRPr="00322815" w:rsidRDefault="00050905" w:rsidP="00724BAB">
            <w:pPr>
              <w:pStyle w:val="Caption"/>
              <w:numPr>
                <w:ilvl w:val="4"/>
                <w:numId w:val="12"/>
              </w:numPr>
              <w:rPr>
                <w:lang w:val="en-US"/>
              </w:rPr>
            </w:pPr>
            <w:r w:rsidRPr="00322815">
              <w:rPr>
                <w:lang w:val="en-US"/>
              </w:rPr>
              <w:t>as a Share of Total Public Spending, 2014</w:t>
            </w:r>
          </w:p>
          <w:p w14:paraId="11E86D1C" w14:textId="77777777" w:rsidR="00050905" w:rsidRPr="00322815" w:rsidRDefault="002847F0" w:rsidP="005A7652">
            <w:pPr>
              <w:keepNext/>
              <w:keepLines/>
              <w:jc w:val="center"/>
              <w:rPr>
                <w:rFonts w:asciiTheme="minorHAnsi" w:hAnsiTheme="minorHAnsi"/>
              </w:rPr>
            </w:pPr>
            <w:r>
              <w:rPr>
                <w:rFonts w:asciiTheme="minorHAnsi" w:hAnsiTheme="minorHAnsi"/>
                <w:noProof/>
              </w:rPr>
              <w:drawing>
                <wp:inline distT="0" distB="0" distL="0" distR="0" wp14:anchorId="61184744" wp14:editId="7B72DCBB">
                  <wp:extent cx="5725160" cy="2305224"/>
                  <wp:effectExtent l="0" t="0" r="8890" b="0"/>
                  <wp:docPr id="212922" name="Picture 21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5246" cy="2309285"/>
                          </a:xfrm>
                          <a:prstGeom prst="rect">
                            <a:avLst/>
                          </a:prstGeom>
                          <a:noFill/>
                        </pic:spPr>
                      </pic:pic>
                    </a:graphicData>
                  </a:graphic>
                </wp:inline>
              </w:drawing>
            </w:r>
          </w:p>
        </w:tc>
      </w:tr>
      <w:tr w:rsidR="00050905" w:rsidRPr="00D96DC6" w14:paraId="2D29FE6A" w14:textId="77777777" w:rsidTr="005A7652">
        <w:trPr>
          <w:trHeight w:val="239"/>
        </w:trPr>
        <w:tc>
          <w:tcPr>
            <w:tcW w:w="8967" w:type="dxa"/>
            <w:vAlign w:val="center"/>
          </w:tcPr>
          <w:p w14:paraId="6D1DD966" w14:textId="77777777" w:rsidR="00050905" w:rsidRPr="00F7343D" w:rsidRDefault="00050905" w:rsidP="005A7652">
            <w:pPr>
              <w:pStyle w:val="Source"/>
              <w:keepNext/>
              <w:keepLines/>
              <w:spacing w:after="240"/>
              <w:contextualSpacing w:val="0"/>
              <w:rPr>
                <w:rFonts w:ascii="Garamond" w:hAnsi="Garamond"/>
                <w:szCs w:val="20"/>
              </w:rPr>
            </w:pPr>
            <w:r w:rsidRPr="00F7343D">
              <w:rPr>
                <w:rFonts w:ascii="Garamond" w:hAnsi="Garamond"/>
                <w:szCs w:val="20"/>
              </w:rPr>
              <w:t xml:space="preserve">Source: </w:t>
            </w:r>
            <w:r w:rsidRPr="00F7343D">
              <w:rPr>
                <w:rFonts w:ascii="Garamond" w:hAnsi="Garamond"/>
                <w:i w:val="0"/>
                <w:szCs w:val="20"/>
              </w:rPr>
              <w:t>World Bank (2016c) based on data from IFPRI (2015)</w:t>
            </w:r>
          </w:p>
        </w:tc>
      </w:tr>
    </w:tbl>
    <w:p w14:paraId="3F11F2C3" w14:textId="77777777" w:rsidR="00050905" w:rsidRPr="007F0935" w:rsidRDefault="00050905" w:rsidP="00724BAB">
      <w:pPr>
        <w:pStyle w:val="ListParagraph"/>
        <w:numPr>
          <w:ilvl w:val="3"/>
          <w:numId w:val="11"/>
        </w:numPr>
        <w:ind w:left="0"/>
      </w:pPr>
      <w:r w:rsidRPr="00352D3A">
        <w:rPr>
          <w:b/>
        </w:rPr>
        <w:t xml:space="preserve">A large share of agricultural spending finances </w:t>
      </w:r>
      <w:r w:rsidR="005F2F0D">
        <w:rPr>
          <w:b/>
        </w:rPr>
        <w:t xml:space="preserve">the </w:t>
      </w:r>
      <w:r w:rsidRPr="00352D3A">
        <w:rPr>
          <w:b/>
        </w:rPr>
        <w:t>MoFA’s</w:t>
      </w:r>
      <w:r w:rsidRPr="007F0935">
        <w:rPr>
          <w:b/>
        </w:rPr>
        <w:t xml:space="preserve"> </w:t>
      </w:r>
      <w:r w:rsidRPr="00D96DC6">
        <w:rPr>
          <w:b/>
        </w:rPr>
        <w:t>routine operating expenses.</w:t>
      </w:r>
      <w:r w:rsidRPr="00D96DC6">
        <w:t xml:space="preserve"> Salaries and other forms of recurrent spending account for two-thirds of </w:t>
      </w:r>
      <w:r w:rsidR="005F2F0D">
        <w:t xml:space="preserve">the </w:t>
      </w:r>
      <w:r w:rsidRPr="00D96DC6">
        <w:t>MoFA’s total budget, leaving a very modest envelope for investment.</w:t>
      </w:r>
      <w:r w:rsidRPr="004A50A0">
        <w:rPr>
          <w:rStyle w:val="FootnoteReference"/>
        </w:rPr>
        <w:footnoteReference w:id="149"/>
      </w:r>
      <w:r w:rsidRPr="00352D3A">
        <w:t xml:space="preserve"> Since 2011</w:t>
      </w:r>
      <w:r w:rsidR="005F2F0D">
        <w:t>,</w:t>
      </w:r>
      <w:r w:rsidRPr="00352D3A">
        <w:t xml:space="preserve"> </w:t>
      </w:r>
      <w:r w:rsidR="005F2F0D">
        <w:t xml:space="preserve">the </w:t>
      </w:r>
      <w:r w:rsidRPr="007F0935">
        <w:t>MoFA</w:t>
      </w:r>
      <w:r w:rsidRPr="00D96DC6">
        <w:t xml:space="preserve">’s expenditures have risen sharply in nominal terms, even as overall spending on the agricultural sector has declined. International donors </w:t>
      </w:r>
      <w:r>
        <w:t>account</w:t>
      </w:r>
      <w:r w:rsidRPr="00352D3A">
        <w:t xml:space="preserve"> for much of the increase in MoFA </w:t>
      </w:r>
      <w:r w:rsidRPr="007F0935">
        <w:t>spending</w:t>
      </w:r>
      <w:r w:rsidRPr="00D96DC6">
        <w:t xml:space="preserve">. Donor contributions to </w:t>
      </w:r>
      <w:r w:rsidR="005F2F0D">
        <w:t xml:space="preserve">the </w:t>
      </w:r>
      <w:r w:rsidRPr="00D96DC6">
        <w:t xml:space="preserve">MoFA rose from GH¢ 98.5 million in 2013 to GH¢ 160.1 million in 2014, while domestic public spending on </w:t>
      </w:r>
      <w:r w:rsidR="005F2F0D">
        <w:t xml:space="preserve">the </w:t>
      </w:r>
      <w:r w:rsidRPr="00D96DC6">
        <w:t xml:space="preserve">MoFA fell from GH¢ 108.2 million to GH¢ 73.0 million. As a result, donor financing expanded from 17 percent of </w:t>
      </w:r>
      <w:r w:rsidR="00C02934">
        <w:t xml:space="preserve">the </w:t>
      </w:r>
      <w:r w:rsidRPr="00D96DC6">
        <w:t>MoFA’s budget in 2006 to over 50 percent in 2014.</w:t>
      </w:r>
      <w:r w:rsidRPr="004A50A0">
        <w:rPr>
          <w:rStyle w:val="FootnoteReference"/>
        </w:rPr>
        <w:footnoteReference w:id="150"/>
      </w:r>
      <w:r w:rsidRPr="00352D3A">
        <w:t xml:space="preserve">  </w:t>
      </w:r>
    </w:p>
    <w:p w14:paraId="2E9AFCE8" w14:textId="77777777" w:rsidR="00050905" w:rsidRPr="00D96DC6" w:rsidRDefault="00050905" w:rsidP="00724BAB">
      <w:pPr>
        <w:pStyle w:val="ListParagraph"/>
        <w:numPr>
          <w:ilvl w:val="3"/>
          <w:numId w:val="11"/>
        </w:numPr>
        <w:ind w:left="0"/>
      </w:pPr>
      <w:r w:rsidRPr="00D96DC6">
        <w:rPr>
          <w:b/>
        </w:rPr>
        <w:t xml:space="preserve">Donor financing plays an increasingly important role in </w:t>
      </w:r>
      <w:r w:rsidR="00C02934">
        <w:rPr>
          <w:b/>
        </w:rPr>
        <w:t xml:space="preserve">the </w:t>
      </w:r>
      <w:r w:rsidRPr="00D96DC6">
        <w:rPr>
          <w:b/>
        </w:rPr>
        <w:t>MoFA’s investment budget</w:t>
      </w:r>
      <w:r w:rsidRPr="00D96DC6">
        <w:t xml:space="preserve">. Donor funding rose from 40 percent of </w:t>
      </w:r>
      <w:r w:rsidR="00C02934">
        <w:t xml:space="preserve">the </w:t>
      </w:r>
      <w:r w:rsidRPr="00D96DC6">
        <w:t>MoFA’s total investment expenditures in 2006 to 61 percent in 2011 (</w:t>
      </w:r>
      <w:r w:rsidR="003D5DA2">
        <w:fldChar w:fldCharType="begin"/>
      </w:r>
      <w:r w:rsidR="003D5DA2">
        <w:instrText xml:space="preserve"> REF _Ref472431265 \h </w:instrText>
      </w:r>
      <w:r w:rsidR="003D5DA2">
        <w:fldChar w:fldCharType="separate"/>
      </w:r>
      <w:r w:rsidR="007B1CE6">
        <w:t xml:space="preserve">Table </w:t>
      </w:r>
      <w:r w:rsidR="007B1CE6">
        <w:rPr>
          <w:noProof/>
        </w:rPr>
        <w:t>5</w:t>
      </w:r>
      <w:r w:rsidR="007B1CE6">
        <w:t>.</w:t>
      </w:r>
      <w:r w:rsidR="007B1CE6">
        <w:rPr>
          <w:noProof/>
        </w:rPr>
        <w:t>3</w:t>
      </w:r>
      <w:r w:rsidR="003D5DA2">
        <w:fldChar w:fldCharType="end"/>
      </w:r>
      <w:r w:rsidRPr="00352D3A">
        <w:t xml:space="preserve">). While more recent figures are not yet available, this share </w:t>
      </w:r>
      <w:r w:rsidRPr="007F0935">
        <w:t xml:space="preserve">likely exceeded 80 percent by 2014. Donor financing accounts for a smaller </w:t>
      </w:r>
      <w:r w:rsidRPr="00D96DC6">
        <w:t xml:space="preserve">percentage of </w:t>
      </w:r>
      <w:r w:rsidR="00C02934">
        <w:t xml:space="preserve">the </w:t>
      </w:r>
      <w:r w:rsidRPr="00D96DC6">
        <w:t>MoFA’s recurrent expenditures, but this has also grown over time.</w:t>
      </w:r>
    </w:p>
    <w:p w14:paraId="0AE51080" w14:textId="77777777" w:rsidR="00050905" w:rsidRPr="00352D3A" w:rsidRDefault="00050905" w:rsidP="00724BAB">
      <w:pPr>
        <w:pStyle w:val="ListParagraph"/>
        <w:numPr>
          <w:ilvl w:val="3"/>
          <w:numId w:val="11"/>
        </w:numPr>
        <w:ind w:left="0"/>
      </w:pPr>
      <w:r w:rsidRPr="00D96DC6">
        <w:rPr>
          <w:b/>
        </w:rPr>
        <w:t xml:space="preserve">Agricultural spending is poorly targeted. </w:t>
      </w:r>
      <w:r w:rsidRPr="00D96DC6">
        <w:t>Major initiatives such as the Agricultural Mechanization Program, the Block Farming Program, the National Food Buffer Stock Company</w:t>
      </w:r>
      <w:r w:rsidR="002B5C70">
        <w:t>,</w:t>
      </w:r>
      <w:r w:rsidRPr="00D96DC6">
        <w:t xml:space="preserve"> and the Fertilizer Subsidy Program have produced mixed results. Moreover, these programs tend to crowd out investment in proven strategies for promoting sustainable long-term productivity growth, such as encouraging the use of improved seeds and fertilizers and expanding irrigation networks. Investment in irrigation development is especially low at about 3 percent of agricultural spending. The Ghana Irrigation Development Authority receives no investment budget from the government, which provides financing for salaries only.</w:t>
      </w:r>
      <w:r w:rsidRPr="004A50A0">
        <w:rPr>
          <w:rStyle w:val="FootnoteReference"/>
        </w:rPr>
        <w:footnoteReference w:id="151"/>
      </w:r>
    </w:p>
    <w:p w14:paraId="10B6A52B" w14:textId="77777777" w:rsidR="00050905" w:rsidRPr="00322815" w:rsidRDefault="00A11A87" w:rsidP="00A11A87">
      <w:pPr>
        <w:pStyle w:val="Caption"/>
      </w:pPr>
      <w:bookmarkStart w:id="236" w:name="_Ref472431265"/>
      <w:bookmarkStart w:id="237" w:name="_Toc478837661"/>
      <w:r>
        <w:lastRenderedPageBreak/>
        <w:t xml:space="preserve">Table </w:t>
      </w:r>
      <w:r w:rsidR="00500291">
        <w:fldChar w:fldCharType="begin"/>
      </w:r>
      <w:r w:rsidR="00500291">
        <w:instrText xml:space="preserve"> STYLEREF 1 \s </w:instrText>
      </w:r>
      <w:r w:rsidR="00500291">
        <w:fldChar w:fldCharType="separate"/>
      </w:r>
      <w:r w:rsidR="007B1CE6">
        <w:rPr>
          <w:noProof/>
        </w:rPr>
        <w:t>5</w:t>
      </w:r>
      <w:r w:rsidR="00500291">
        <w:fldChar w:fldCharType="end"/>
      </w:r>
      <w:r w:rsidR="00500291">
        <w:t>.</w:t>
      </w:r>
      <w:r w:rsidR="00500291">
        <w:fldChar w:fldCharType="begin"/>
      </w:r>
      <w:r w:rsidR="00500291">
        <w:instrText xml:space="preserve"> SEQ Table \* ARABIC \s 1 </w:instrText>
      </w:r>
      <w:r w:rsidR="00500291">
        <w:fldChar w:fldCharType="separate"/>
      </w:r>
      <w:r w:rsidR="007B1CE6">
        <w:rPr>
          <w:noProof/>
        </w:rPr>
        <w:t>3</w:t>
      </w:r>
      <w:r w:rsidR="00500291">
        <w:fldChar w:fldCharType="end"/>
      </w:r>
      <w:bookmarkEnd w:id="236"/>
      <w:r w:rsidR="00CC6F65" w:rsidRPr="00322815">
        <w:t>:</w:t>
      </w:r>
      <w:r w:rsidR="00630B71">
        <w:t xml:space="preserve"> </w:t>
      </w:r>
      <w:r w:rsidR="00050905" w:rsidRPr="00322815">
        <w:t>Ministry of Food and Agriculture,</w:t>
      </w:r>
      <w:bookmarkEnd w:id="237"/>
    </w:p>
    <w:p w14:paraId="49EB0B9B" w14:textId="77777777" w:rsidR="00050905" w:rsidRPr="00322815" w:rsidRDefault="00050905" w:rsidP="00724BAB">
      <w:pPr>
        <w:pStyle w:val="Caption"/>
        <w:numPr>
          <w:ilvl w:val="4"/>
          <w:numId w:val="12"/>
        </w:numPr>
      </w:pPr>
      <w:r w:rsidRPr="00322815">
        <w:t>Financing Composition and Expenditure Breakdown, 2006</w:t>
      </w:r>
      <w:r>
        <w:t>-2011</w:t>
      </w:r>
    </w:p>
    <w:tbl>
      <w:tblPr>
        <w:tblStyle w:val="TableGrid"/>
        <w:tblW w:w="0" w:type="auto"/>
        <w:tblLayout w:type="fixed"/>
        <w:tblLook w:val="04A0" w:firstRow="1" w:lastRow="0" w:firstColumn="1" w:lastColumn="0" w:noHBand="0" w:noVBand="1"/>
      </w:tblPr>
      <w:tblGrid>
        <w:gridCol w:w="810"/>
        <w:gridCol w:w="990"/>
        <w:gridCol w:w="1080"/>
        <w:gridCol w:w="990"/>
        <w:gridCol w:w="1170"/>
        <w:gridCol w:w="990"/>
        <w:gridCol w:w="720"/>
        <w:gridCol w:w="900"/>
        <w:gridCol w:w="1170"/>
      </w:tblGrid>
      <w:tr w:rsidR="00050905" w:rsidRPr="009A44ED" w14:paraId="286C1674" w14:textId="77777777" w:rsidTr="003766D3">
        <w:trPr>
          <w:trHeight w:val="300"/>
        </w:trPr>
        <w:tc>
          <w:tcPr>
            <w:tcW w:w="810" w:type="dxa"/>
            <w:tcBorders>
              <w:top w:val="single" w:sz="4" w:space="0" w:color="auto"/>
              <w:left w:val="single" w:sz="4" w:space="0" w:color="auto"/>
              <w:bottom w:val="nil"/>
              <w:right w:val="single" w:sz="4" w:space="0" w:color="auto"/>
            </w:tcBorders>
            <w:shd w:val="clear" w:color="auto" w:fill="DBDBDB" w:themeFill="accent3" w:themeFillTint="66"/>
            <w:noWrap/>
            <w:vAlign w:val="center"/>
            <w:hideMark/>
          </w:tcPr>
          <w:p w14:paraId="592920DC" w14:textId="77777777" w:rsidR="00050905" w:rsidRPr="00DC36BF" w:rsidRDefault="00050905" w:rsidP="005A7652">
            <w:pPr>
              <w:keepNext/>
              <w:keepLines/>
              <w:contextualSpacing/>
              <w:jc w:val="center"/>
              <w:rPr>
                <w:rFonts w:ascii="Garamond" w:hAnsi="Garamond" w:cs="Times New Roman"/>
                <w:sz w:val="20"/>
                <w:szCs w:val="20"/>
              </w:rPr>
            </w:pPr>
          </w:p>
        </w:tc>
        <w:tc>
          <w:tcPr>
            <w:tcW w:w="990" w:type="dxa"/>
            <w:tcBorders>
              <w:top w:val="single" w:sz="4" w:space="0" w:color="auto"/>
              <w:left w:val="single" w:sz="4" w:space="0" w:color="auto"/>
              <w:bottom w:val="nil"/>
              <w:right w:val="nil"/>
            </w:tcBorders>
            <w:shd w:val="clear" w:color="auto" w:fill="DBDBDB" w:themeFill="accent3" w:themeFillTint="66"/>
            <w:noWrap/>
            <w:vAlign w:val="center"/>
            <w:hideMark/>
          </w:tcPr>
          <w:p w14:paraId="19DE72D0" w14:textId="77777777" w:rsidR="00050905" w:rsidRPr="00DC36BF" w:rsidRDefault="00050905" w:rsidP="009A44ED">
            <w:pPr>
              <w:keepNext/>
              <w:keepLines/>
              <w:contextualSpacing/>
              <w:jc w:val="center"/>
              <w:rPr>
                <w:rFonts w:ascii="Garamond" w:hAnsi="Garamond" w:cs="Times New Roman"/>
                <w:sz w:val="20"/>
                <w:szCs w:val="20"/>
              </w:rPr>
            </w:pPr>
            <w:r w:rsidRPr="00DC36BF">
              <w:rPr>
                <w:rFonts w:ascii="Garamond" w:hAnsi="Garamond" w:cs="Times New Roman"/>
                <w:sz w:val="20"/>
                <w:szCs w:val="20"/>
              </w:rPr>
              <w:t>Gov</w:t>
            </w:r>
            <w:r w:rsidR="009A44ED" w:rsidRPr="00DC36BF">
              <w:rPr>
                <w:rFonts w:ascii="Garamond" w:hAnsi="Garamond" w:cs="Times New Roman"/>
                <w:sz w:val="20"/>
                <w:szCs w:val="20"/>
              </w:rPr>
              <w:t>.</w:t>
            </w:r>
            <w:r w:rsidRPr="00DC36BF">
              <w:rPr>
                <w:rFonts w:ascii="Garamond" w:hAnsi="Garamond" w:cs="Times New Roman"/>
                <w:sz w:val="20"/>
                <w:szCs w:val="20"/>
              </w:rPr>
              <w:t xml:space="preserve"> Spending </w:t>
            </w:r>
          </w:p>
        </w:tc>
        <w:tc>
          <w:tcPr>
            <w:tcW w:w="1080" w:type="dxa"/>
            <w:tcBorders>
              <w:top w:val="single" w:sz="4" w:space="0" w:color="auto"/>
              <w:left w:val="nil"/>
              <w:bottom w:val="nil"/>
              <w:right w:val="nil"/>
            </w:tcBorders>
            <w:shd w:val="clear" w:color="auto" w:fill="DBDBDB" w:themeFill="accent3" w:themeFillTint="66"/>
            <w:noWrap/>
            <w:vAlign w:val="center"/>
            <w:hideMark/>
          </w:tcPr>
          <w:p w14:paraId="05E755B4" w14:textId="77777777" w:rsidR="00050905" w:rsidRPr="00DC36BF" w:rsidRDefault="00050905" w:rsidP="005A7652">
            <w:pPr>
              <w:keepNext/>
              <w:keepLines/>
              <w:contextualSpacing/>
              <w:jc w:val="center"/>
              <w:rPr>
                <w:rFonts w:ascii="Garamond" w:hAnsi="Garamond" w:cs="Times New Roman"/>
                <w:sz w:val="20"/>
                <w:szCs w:val="20"/>
              </w:rPr>
            </w:pPr>
            <w:r w:rsidRPr="00DC36BF">
              <w:rPr>
                <w:rFonts w:ascii="Garamond" w:hAnsi="Garamond" w:cs="Times New Roman"/>
                <w:sz w:val="20"/>
                <w:szCs w:val="20"/>
              </w:rPr>
              <w:t>Donor Spending</w:t>
            </w:r>
          </w:p>
        </w:tc>
        <w:tc>
          <w:tcPr>
            <w:tcW w:w="990" w:type="dxa"/>
            <w:tcBorders>
              <w:top w:val="single" w:sz="4" w:space="0" w:color="auto"/>
              <w:left w:val="nil"/>
              <w:bottom w:val="nil"/>
              <w:right w:val="nil"/>
            </w:tcBorders>
            <w:shd w:val="clear" w:color="auto" w:fill="DBDBDB" w:themeFill="accent3" w:themeFillTint="66"/>
            <w:noWrap/>
            <w:vAlign w:val="center"/>
            <w:hideMark/>
          </w:tcPr>
          <w:p w14:paraId="16CFA074" w14:textId="77777777" w:rsidR="00050905" w:rsidRPr="00DC36BF" w:rsidRDefault="00050905" w:rsidP="005A7652">
            <w:pPr>
              <w:keepNext/>
              <w:keepLines/>
              <w:contextualSpacing/>
              <w:jc w:val="center"/>
              <w:rPr>
                <w:rFonts w:ascii="Garamond" w:hAnsi="Garamond" w:cs="Times New Roman"/>
                <w:sz w:val="20"/>
                <w:szCs w:val="20"/>
              </w:rPr>
            </w:pPr>
            <w:r w:rsidRPr="00DC36BF">
              <w:rPr>
                <w:rFonts w:ascii="Garamond" w:hAnsi="Garamond" w:cs="Times New Roman"/>
                <w:sz w:val="20"/>
                <w:szCs w:val="20"/>
              </w:rPr>
              <w:t>Total Spending</w:t>
            </w:r>
          </w:p>
        </w:tc>
        <w:tc>
          <w:tcPr>
            <w:tcW w:w="1170" w:type="dxa"/>
            <w:tcBorders>
              <w:top w:val="single" w:sz="4" w:space="0" w:color="auto"/>
              <w:left w:val="nil"/>
              <w:bottom w:val="nil"/>
              <w:right w:val="nil"/>
            </w:tcBorders>
            <w:shd w:val="clear" w:color="auto" w:fill="DBDBDB" w:themeFill="accent3" w:themeFillTint="66"/>
            <w:noWrap/>
            <w:vAlign w:val="center"/>
            <w:hideMark/>
          </w:tcPr>
          <w:p w14:paraId="364B2F40" w14:textId="77777777" w:rsidR="00050905" w:rsidRPr="00DC36BF" w:rsidRDefault="00050905" w:rsidP="005A7652">
            <w:pPr>
              <w:keepNext/>
              <w:keepLines/>
              <w:contextualSpacing/>
              <w:jc w:val="center"/>
              <w:rPr>
                <w:rFonts w:ascii="Garamond" w:hAnsi="Garamond" w:cs="Times New Roman"/>
                <w:sz w:val="20"/>
                <w:szCs w:val="20"/>
              </w:rPr>
            </w:pPr>
            <w:r w:rsidRPr="00DC36BF">
              <w:rPr>
                <w:rFonts w:ascii="Garamond" w:hAnsi="Garamond" w:cs="Times New Roman"/>
                <w:sz w:val="20"/>
                <w:szCs w:val="20"/>
              </w:rPr>
              <w:t>Investment</w:t>
            </w:r>
          </w:p>
        </w:tc>
        <w:tc>
          <w:tcPr>
            <w:tcW w:w="990" w:type="dxa"/>
            <w:tcBorders>
              <w:top w:val="single" w:sz="4" w:space="0" w:color="auto"/>
              <w:left w:val="nil"/>
              <w:bottom w:val="nil"/>
              <w:right w:val="single" w:sz="4" w:space="0" w:color="auto"/>
            </w:tcBorders>
            <w:shd w:val="clear" w:color="auto" w:fill="DBDBDB" w:themeFill="accent3" w:themeFillTint="66"/>
            <w:noWrap/>
            <w:vAlign w:val="center"/>
            <w:hideMark/>
          </w:tcPr>
          <w:p w14:paraId="7D606B0F" w14:textId="77777777" w:rsidR="00050905" w:rsidRPr="00DC36BF" w:rsidRDefault="00050905" w:rsidP="005A7652">
            <w:pPr>
              <w:keepNext/>
              <w:keepLines/>
              <w:contextualSpacing/>
              <w:jc w:val="center"/>
              <w:rPr>
                <w:rFonts w:ascii="Garamond" w:hAnsi="Garamond" w:cs="Times New Roman"/>
                <w:sz w:val="20"/>
                <w:szCs w:val="20"/>
              </w:rPr>
            </w:pPr>
            <w:r w:rsidRPr="00DC36BF">
              <w:rPr>
                <w:rFonts w:ascii="Garamond" w:hAnsi="Garamond" w:cs="Times New Roman"/>
                <w:sz w:val="20"/>
                <w:szCs w:val="20"/>
              </w:rPr>
              <w:t>Current Spending</w:t>
            </w:r>
          </w:p>
        </w:tc>
        <w:tc>
          <w:tcPr>
            <w:tcW w:w="2790" w:type="dxa"/>
            <w:gridSpan w:val="3"/>
            <w:tcBorders>
              <w:top w:val="single" w:sz="4" w:space="0" w:color="auto"/>
              <w:left w:val="single" w:sz="4" w:space="0" w:color="auto"/>
              <w:bottom w:val="nil"/>
              <w:right w:val="single" w:sz="4" w:space="0" w:color="auto"/>
            </w:tcBorders>
            <w:shd w:val="clear" w:color="auto" w:fill="DBDBDB" w:themeFill="accent3" w:themeFillTint="66"/>
            <w:noWrap/>
            <w:vAlign w:val="center"/>
            <w:hideMark/>
          </w:tcPr>
          <w:p w14:paraId="76F82338" w14:textId="77777777" w:rsidR="00050905" w:rsidRPr="00DC36BF" w:rsidRDefault="00050905" w:rsidP="005A7652">
            <w:pPr>
              <w:keepNext/>
              <w:keepLines/>
              <w:contextualSpacing/>
              <w:jc w:val="center"/>
              <w:rPr>
                <w:rFonts w:ascii="Garamond" w:hAnsi="Garamond" w:cs="Times New Roman"/>
                <w:sz w:val="20"/>
                <w:szCs w:val="20"/>
              </w:rPr>
            </w:pPr>
            <w:r w:rsidRPr="00DC36BF">
              <w:rPr>
                <w:rFonts w:ascii="Garamond" w:hAnsi="Garamond" w:cs="Times New Roman"/>
                <w:sz w:val="20"/>
                <w:szCs w:val="20"/>
              </w:rPr>
              <w:t>Donors Contributions</w:t>
            </w:r>
          </w:p>
        </w:tc>
      </w:tr>
      <w:tr w:rsidR="00050905" w:rsidRPr="009A44ED" w14:paraId="37BF3B1B" w14:textId="77777777" w:rsidTr="003766D3">
        <w:trPr>
          <w:trHeight w:val="300"/>
        </w:trPr>
        <w:tc>
          <w:tcPr>
            <w:tcW w:w="810" w:type="dxa"/>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14:paraId="55A62466" w14:textId="77777777" w:rsidR="00050905" w:rsidRPr="00DC36BF" w:rsidRDefault="00050905" w:rsidP="005A7652">
            <w:pPr>
              <w:keepNext/>
              <w:keepLines/>
              <w:contextualSpacing/>
              <w:jc w:val="center"/>
              <w:rPr>
                <w:rFonts w:ascii="Garamond" w:hAnsi="Garamond" w:cs="Times New Roman"/>
                <w:sz w:val="20"/>
                <w:szCs w:val="20"/>
              </w:rPr>
            </w:pPr>
          </w:p>
        </w:tc>
        <w:tc>
          <w:tcPr>
            <w:tcW w:w="5220" w:type="dxa"/>
            <w:gridSpan w:val="5"/>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14:paraId="61CF4919" w14:textId="77777777" w:rsidR="00050905" w:rsidRPr="00DC36BF" w:rsidRDefault="00050905" w:rsidP="005A7652">
            <w:pPr>
              <w:keepNext/>
              <w:keepLines/>
              <w:contextualSpacing/>
              <w:jc w:val="center"/>
              <w:rPr>
                <w:rFonts w:ascii="Garamond" w:hAnsi="Garamond" w:cs="Times New Roman"/>
                <w:sz w:val="20"/>
                <w:szCs w:val="20"/>
              </w:rPr>
            </w:pPr>
            <w:r w:rsidRPr="00DC36BF">
              <w:rPr>
                <w:rFonts w:ascii="Garamond" w:hAnsi="Garamond" w:cs="Times New Roman"/>
                <w:sz w:val="20"/>
                <w:szCs w:val="20"/>
              </w:rPr>
              <w:t>(millions of 2001 GH</w:t>
            </w:r>
            <w:r w:rsidRPr="00DC36BF">
              <w:rPr>
                <w:rFonts w:ascii="Garamond" w:hAnsi="Garamond" w:cstheme="minorHAnsi"/>
                <w:sz w:val="20"/>
                <w:szCs w:val="20"/>
              </w:rPr>
              <w:t>¢</w:t>
            </w:r>
            <w:r w:rsidRPr="00DC36BF">
              <w:rPr>
                <w:rFonts w:ascii="Garamond" w:hAnsi="Garamond" w:cs="Times New Roman"/>
                <w:sz w:val="20"/>
                <w:szCs w:val="20"/>
              </w:rPr>
              <w:t>)</w:t>
            </w:r>
          </w:p>
        </w:tc>
        <w:tc>
          <w:tcPr>
            <w:tcW w:w="2790" w:type="dxa"/>
            <w:gridSpan w:val="3"/>
            <w:tcBorders>
              <w:top w:val="nil"/>
              <w:left w:val="single" w:sz="4" w:space="0" w:color="auto"/>
              <w:bottom w:val="single" w:sz="4" w:space="0" w:color="auto"/>
              <w:right w:val="single" w:sz="4" w:space="0" w:color="auto"/>
            </w:tcBorders>
            <w:shd w:val="clear" w:color="auto" w:fill="DBDBDB" w:themeFill="accent3" w:themeFillTint="66"/>
            <w:noWrap/>
            <w:vAlign w:val="center"/>
            <w:hideMark/>
          </w:tcPr>
          <w:p w14:paraId="6834416F" w14:textId="77777777" w:rsidR="00050905" w:rsidRPr="00DC36BF" w:rsidRDefault="00050905" w:rsidP="005A7652">
            <w:pPr>
              <w:keepNext/>
              <w:keepLines/>
              <w:contextualSpacing/>
              <w:jc w:val="center"/>
              <w:rPr>
                <w:rFonts w:ascii="Garamond" w:hAnsi="Garamond" w:cs="Times New Roman"/>
                <w:sz w:val="20"/>
                <w:szCs w:val="20"/>
              </w:rPr>
            </w:pPr>
            <w:r w:rsidRPr="00DC36BF">
              <w:rPr>
                <w:rFonts w:ascii="Garamond" w:hAnsi="Garamond" w:cs="Times New Roman"/>
                <w:sz w:val="20"/>
                <w:szCs w:val="20"/>
              </w:rPr>
              <w:t>(%)</w:t>
            </w:r>
          </w:p>
        </w:tc>
      </w:tr>
      <w:tr w:rsidR="00F26DD2" w:rsidRPr="009A44ED" w14:paraId="26BF0D35" w14:textId="77777777" w:rsidTr="003766D3">
        <w:trPr>
          <w:trHeight w:val="300"/>
        </w:trPr>
        <w:tc>
          <w:tcPr>
            <w:tcW w:w="6030" w:type="dxa"/>
            <w:gridSpan w:val="6"/>
            <w:tcBorders>
              <w:top w:val="single" w:sz="4" w:space="0" w:color="auto"/>
            </w:tcBorders>
            <w:noWrap/>
            <w:vAlign w:val="center"/>
          </w:tcPr>
          <w:p w14:paraId="3E4B5758" w14:textId="77777777" w:rsidR="00F26DD2" w:rsidRPr="009A44ED" w:rsidRDefault="00F26DD2" w:rsidP="005A7652">
            <w:pPr>
              <w:keepNext/>
              <w:keepLines/>
              <w:contextualSpacing/>
              <w:jc w:val="right"/>
              <w:rPr>
                <w:rFonts w:ascii="Garamond" w:hAnsi="Garamond" w:cs="Times New Roman"/>
                <w:color w:val="FF0000"/>
                <w:sz w:val="20"/>
                <w:szCs w:val="20"/>
              </w:rPr>
            </w:pPr>
          </w:p>
        </w:tc>
        <w:tc>
          <w:tcPr>
            <w:tcW w:w="720" w:type="dxa"/>
            <w:tcBorders>
              <w:top w:val="single" w:sz="4" w:space="0" w:color="auto"/>
            </w:tcBorders>
            <w:noWrap/>
            <w:vAlign w:val="center"/>
          </w:tcPr>
          <w:p w14:paraId="6B62B152" w14:textId="77777777" w:rsidR="00F26DD2" w:rsidRPr="009A44ED" w:rsidRDefault="00F26DD2" w:rsidP="009A44ED">
            <w:pPr>
              <w:keepNext/>
              <w:keepLines/>
              <w:contextualSpacing/>
              <w:rPr>
                <w:rFonts w:ascii="Garamond" w:hAnsi="Garamond" w:cs="Times New Roman"/>
                <w:sz w:val="18"/>
                <w:szCs w:val="18"/>
              </w:rPr>
            </w:pPr>
            <w:r w:rsidRPr="009A44ED">
              <w:rPr>
                <w:rFonts w:ascii="Garamond" w:hAnsi="Garamond" w:cs="Times New Roman"/>
                <w:sz w:val="18"/>
                <w:szCs w:val="18"/>
              </w:rPr>
              <w:t>Total</w:t>
            </w:r>
          </w:p>
        </w:tc>
        <w:tc>
          <w:tcPr>
            <w:tcW w:w="900" w:type="dxa"/>
            <w:tcBorders>
              <w:top w:val="single" w:sz="4" w:space="0" w:color="auto"/>
            </w:tcBorders>
            <w:noWrap/>
            <w:vAlign w:val="center"/>
          </w:tcPr>
          <w:p w14:paraId="44397546" w14:textId="77777777" w:rsidR="00F26DD2" w:rsidRPr="009A44ED" w:rsidRDefault="00A038FF" w:rsidP="009A44ED">
            <w:pPr>
              <w:keepNext/>
              <w:keepLines/>
              <w:contextualSpacing/>
              <w:rPr>
                <w:rFonts w:ascii="Garamond" w:hAnsi="Garamond" w:cs="Times New Roman"/>
                <w:sz w:val="18"/>
                <w:szCs w:val="18"/>
              </w:rPr>
            </w:pPr>
            <w:r>
              <w:rPr>
                <w:rFonts w:ascii="Garamond" w:hAnsi="Garamond" w:cs="Times New Roman"/>
                <w:sz w:val="18"/>
                <w:szCs w:val="18"/>
              </w:rPr>
              <w:t>Capital Spending</w:t>
            </w:r>
          </w:p>
        </w:tc>
        <w:tc>
          <w:tcPr>
            <w:tcW w:w="1170" w:type="dxa"/>
            <w:tcBorders>
              <w:top w:val="single" w:sz="4" w:space="0" w:color="auto"/>
            </w:tcBorders>
            <w:noWrap/>
            <w:vAlign w:val="center"/>
          </w:tcPr>
          <w:p w14:paraId="6B54DA37" w14:textId="77777777" w:rsidR="00F26DD2" w:rsidRDefault="00F26DD2" w:rsidP="009A44ED">
            <w:pPr>
              <w:keepNext/>
              <w:keepLines/>
              <w:contextualSpacing/>
              <w:rPr>
                <w:rFonts w:ascii="Garamond" w:hAnsi="Garamond" w:cs="Times New Roman"/>
                <w:color w:val="FF0000"/>
                <w:sz w:val="18"/>
                <w:szCs w:val="18"/>
              </w:rPr>
            </w:pPr>
            <w:r w:rsidRPr="009A44ED">
              <w:rPr>
                <w:rFonts w:ascii="Garamond" w:hAnsi="Garamond" w:cs="Times New Roman"/>
                <w:color w:val="FF0000"/>
                <w:sz w:val="18"/>
                <w:szCs w:val="18"/>
              </w:rPr>
              <w:t>Operational</w:t>
            </w:r>
          </w:p>
          <w:p w14:paraId="31445D61" w14:textId="77777777" w:rsidR="00AC144E" w:rsidRPr="009A44ED" w:rsidRDefault="00AC144E" w:rsidP="009A44ED">
            <w:pPr>
              <w:keepNext/>
              <w:keepLines/>
              <w:contextualSpacing/>
              <w:rPr>
                <w:rFonts w:ascii="Garamond" w:hAnsi="Garamond" w:cs="Times New Roman"/>
                <w:color w:val="FF0000"/>
                <w:sz w:val="18"/>
                <w:szCs w:val="18"/>
              </w:rPr>
            </w:pPr>
            <w:r>
              <w:rPr>
                <w:rFonts w:ascii="Garamond" w:hAnsi="Garamond" w:cs="Times New Roman"/>
                <w:color w:val="FF0000"/>
                <w:sz w:val="18"/>
                <w:szCs w:val="18"/>
              </w:rPr>
              <w:t>Spending</w:t>
            </w:r>
          </w:p>
        </w:tc>
      </w:tr>
      <w:tr w:rsidR="00050905" w:rsidRPr="009A44ED" w14:paraId="2664AB32" w14:textId="77777777" w:rsidTr="00AC144E">
        <w:trPr>
          <w:trHeight w:val="300"/>
        </w:trPr>
        <w:tc>
          <w:tcPr>
            <w:tcW w:w="810" w:type="dxa"/>
            <w:tcBorders>
              <w:top w:val="nil"/>
            </w:tcBorders>
            <w:noWrap/>
            <w:vAlign w:val="center"/>
            <w:hideMark/>
          </w:tcPr>
          <w:p w14:paraId="0A6A8239" w14:textId="77777777" w:rsidR="00050905" w:rsidRPr="009A44ED" w:rsidRDefault="00050905" w:rsidP="005A7652">
            <w:pPr>
              <w:keepNext/>
              <w:keepLines/>
              <w:contextualSpacing/>
              <w:jc w:val="center"/>
              <w:rPr>
                <w:rFonts w:ascii="Garamond" w:hAnsi="Garamond" w:cs="Times New Roman"/>
                <w:sz w:val="20"/>
                <w:szCs w:val="20"/>
              </w:rPr>
            </w:pPr>
            <w:r w:rsidRPr="009A44ED">
              <w:rPr>
                <w:rFonts w:ascii="Garamond" w:hAnsi="Garamond" w:cs="Times New Roman"/>
                <w:sz w:val="20"/>
                <w:szCs w:val="20"/>
              </w:rPr>
              <w:t>2005</w:t>
            </w:r>
          </w:p>
        </w:tc>
        <w:tc>
          <w:tcPr>
            <w:tcW w:w="990" w:type="dxa"/>
            <w:tcBorders>
              <w:top w:val="nil"/>
            </w:tcBorders>
            <w:noWrap/>
            <w:vAlign w:val="center"/>
            <w:hideMark/>
          </w:tcPr>
          <w:p w14:paraId="331281A0"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101</w:t>
            </w:r>
          </w:p>
        </w:tc>
        <w:tc>
          <w:tcPr>
            <w:tcW w:w="1080" w:type="dxa"/>
            <w:tcBorders>
              <w:top w:val="nil"/>
            </w:tcBorders>
            <w:noWrap/>
            <w:vAlign w:val="center"/>
            <w:hideMark/>
          </w:tcPr>
          <w:p w14:paraId="6803A473"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37.3</w:t>
            </w:r>
          </w:p>
        </w:tc>
        <w:tc>
          <w:tcPr>
            <w:tcW w:w="990" w:type="dxa"/>
            <w:tcBorders>
              <w:top w:val="nil"/>
            </w:tcBorders>
            <w:noWrap/>
            <w:vAlign w:val="center"/>
            <w:hideMark/>
          </w:tcPr>
          <w:p w14:paraId="6EC8BAFF"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138.3</w:t>
            </w:r>
          </w:p>
        </w:tc>
        <w:tc>
          <w:tcPr>
            <w:tcW w:w="1170" w:type="dxa"/>
            <w:tcBorders>
              <w:top w:val="nil"/>
            </w:tcBorders>
            <w:noWrap/>
            <w:vAlign w:val="center"/>
            <w:hideMark/>
          </w:tcPr>
          <w:p w14:paraId="25BAC612" w14:textId="77777777" w:rsidR="00050905" w:rsidRPr="009A44ED" w:rsidRDefault="00050905" w:rsidP="005A7652">
            <w:pPr>
              <w:keepNext/>
              <w:keepLines/>
              <w:contextualSpacing/>
              <w:jc w:val="right"/>
              <w:rPr>
                <w:rFonts w:ascii="Garamond" w:hAnsi="Garamond" w:cs="Times New Roman"/>
                <w:color w:val="FF0000"/>
                <w:sz w:val="20"/>
                <w:szCs w:val="20"/>
              </w:rPr>
            </w:pPr>
            <w:r w:rsidRPr="009A44ED">
              <w:rPr>
                <w:rFonts w:ascii="Garamond" w:hAnsi="Garamond" w:cs="Times New Roman"/>
                <w:color w:val="FF0000"/>
                <w:sz w:val="20"/>
                <w:szCs w:val="20"/>
              </w:rPr>
              <w:t>46.1</w:t>
            </w:r>
          </w:p>
        </w:tc>
        <w:tc>
          <w:tcPr>
            <w:tcW w:w="990" w:type="dxa"/>
            <w:tcBorders>
              <w:top w:val="nil"/>
            </w:tcBorders>
            <w:noWrap/>
            <w:vAlign w:val="center"/>
            <w:hideMark/>
          </w:tcPr>
          <w:p w14:paraId="094D56B7" w14:textId="77777777" w:rsidR="00050905" w:rsidRPr="009A44ED" w:rsidRDefault="00050905" w:rsidP="005A7652">
            <w:pPr>
              <w:keepNext/>
              <w:keepLines/>
              <w:contextualSpacing/>
              <w:jc w:val="right"/>
              <w:rPr>
                <w:rFonts w:ascii="Garamond" w:hAnsi="Garamond" w:cs="Times New Roman"/>
                <w:color w:val="FF0000"/>
                <w:sz w:val="20"/>
                <w:szCs w:val="20"/>
              </w:rPr>
            </w:pPr>
            <w:r w:rsidRPr="009A44ED">
              <w:rPr>
                <w:rFonts w:ascii="Garamond" w:hAnsi="Garamond" w:cs="Times New Roman"/>
                <w:color w:val="FF0000"/>
                <w:sz w:val="20"/>
                <w:szCs w:val="20"/>
              </w:rPr>
              <w:t>92.2</w:t>
            </w:r>
          </w:p>
        </w:tc>
        <w:tc>
          <w:tcPr>
            <w:tcW w:w="720" w:type="dxa"/>
            <w:tcBorders>
              <w:top w:val="nil"/>
            </w:tcBorders>
            <w:noWrap/>
            <w:vAlign w:val="center"/>
            <w:hideMark/>
          </w:tcPr>
          <w:p w14:paraId="77046A77"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27</w:t>
            </w:r>
          </w:p>
        </w:tc>
        <w:tc>
          <w:tcPr>
            <w:tcW w:w="900" w:type="dxa"/>
            <w:tcBorders>
              <w:top w:val="nil"/>
            </w:tcBorders>
            <w:noWrap/>
            <w:vAlign w:val="center"/>
            <w:hideMark/>
          </w:tcPr>
          <w:p w14:paraId="7F755C13"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49.7</w:t>
            </w:r>
          </w:p>
        </w:tc>
        <w:tc>
          <w:tcPr>
            <w:tcW w:w="1170" w:type="dxa"/>
            <w:tcBorders>
              <w:top w:val="nil"/>
            </w:tcBorders>
            <w:noWrap/>
            <w:vAlign w:val="center"/>
            <w:hideMark/>
          </w:tcPr>
          <w:p w14:paraId="545A470D" w14:textId="77777777" w:rsidR="00050905" w:rsidRPr="009A44ED" w:rsidRDefault="00050905" w:rsidP="005A7652">
            <w:pPr>
              <w:keepNext/>
              <w:keepLines/>
              <w:contextualSpacing/>
              <w:jc w:val="right"/>
              <w:rPr>
                <w:rFonts w:ascii="Garamond" w:hAnsi="Garamond" w:cs="Times New Roman"/>
                <w:color w:val="FF0000"/>
                <w:sz w:val="20"/>
                <w:szCs w:val="20"/>
              </w:rPr>
            </w:pPr>
            <w:r w:rsidRPr="009A44ED">
              <w:rPr>
                <w:rFonts w:ascii="Garamond" w:hAnsi="Garamond" w:cs="Times New Roman"/>
                <w:color w:val="FF0000"/>
                <w:sz w:val="20"/>
                <w:szCs w:val="20"/>
              </w:rPr>
              <w:t>15.7</w:t>
            </w:r>
          </w:p>
        </w:tc>
      </w:tr>
      <w:tr w:rsidR="00050905" w:rsidRPr="009A44ED" w14:paraId="77365852" w14:textId="77777777" w:rsidTr="00AC144E">
        <w:trPr>
          <w:trHeight w:val="300"/>
        </w:trPr>
        <w:tc>
          <w:tcPr>
            <w:tcW w:w="810" w:type="dxa"/>
            <w:noWrap/>
            <w:vAlign w:val="center"/>
            <w:hideMark/>
          </w:tcPr>
          <w:p w14:paraId="7F085F19" w14:textId="77777777" w:rsidR="00050905" w:rsidRPr="009A44ED" w:rsidRDefault="00050905" w:rsidP="005A7652">
            <w:pPr>
              <w:keepNext/>
              <w:keepLines/>
              <w:contextualSpacing/>
              <w:jc w:val="center"/>
              <w:rPr>
                <w:rFonts w:ascii="Garamond" w:hAnsi="Garamond" w:cs="Times New Roman"/>
                <w:sz w:val="20"/>
                <w:szCs w:val="20"/>
              </w:rPr>
            </w:pPr>
            <w:r w:rsidRPr="009A44ED">
              <w:rPr>
                <w:rFonts w:ascii="Garamond" w:hAnsi="Garamond" w:cs="Times New Roman"/>
                <w:sz w:val="20"/>
                <w:szCs w:val="20"/>
              </w:rPr>
              <w:t>2006</w:t>
            </w:r>
          </w:p>
        </w:tc>
        <w:tc>
          <w:tcPr>
            <w:tcW w:w="990" w:type="dxa"/>
            <w:noWrap/>
            <w:vAlign w:val="center"/>
            <w:hideMark/>
          </w:tcPr>
          <w:p w14:paraId="7F353C49"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134.5</w:t>
            </w:r>
          </w:p>
        </w:tc>
        <w:tc>
          <w:tcPr>
            <w:tcW w:w="1080" w:type="dxa"/>
            <w:noWrap/>
            <w:vAlign w:val="center"/>
            <w:hideMark/>
          </w:tcPr>
          <w:p w14:paraId="3856C69D"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27.4</w:t>
            </w:r>
          </w:p>
        </w:tc>
        <w:tc>
          <w:tcPr>
            <w:tcW w:w="990" w:type="dxa"/>
            <w:noWrap/>
            <w:vAlign w:val="center"/>
            <w:hideMark/>
          </w:tcPr>
          <w:p w14:paraId="740E45E1"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161.9</w:t>
            </w:r>
          </w:p>
        </w:tc>
        <w:tc>
          <w:tcPr>
            <w:tcW w:w="1170" w:type="dxa"/>
            <w:noWrap/>
            <w:vAlign w:val="center"/>
            <w:hideMark/>
          </w:tcPr>
          <w:p w14:paraId="629BC890" w14:textId="77777777" w:rsidR="00050905" w:rsidRPr="009A44ED" w:rsidRDefault="00050905" w:rsidP="005A7652">
            <w:pPr>
              <w:keepNext/>
              <w:keepLines/>
              <w:contextualSpacing/>
              <w:jc w:val="right"/>
              <w:rPr>
                <w:rFonts w:ascii="Garamond" w:hAnsi="Garamond" w:cs="Times New Roman"/>
                <w:color w:val="FF0000"/>
                <w:sz w:val="20"/>
                <w:szCs w:val="20"/>
              </w:rPr>
            </w:pPr>
            <w:r w:rsidRPr="009A44ED">
              <w:rPr>
                <w:rFonts w:ascii="Garamond" w:hAnsi="Garamond" w:cs="Times New Roman"/>
                <w:color w:val="FF0000"/>
                <w:sz w:val="20"/>
                <w:szCs w:val="20"/>
              </w:rPr>
              <w:t>54.0</w:t>
            </w:r>
          </w:p>
        </w:tc>
        <w:tc>
          <w:tcPr>
            <w:tcW w:w="990" w:type="dxa"/>
            <w:noWrap/>
            <w:vAlign w:val="center"/>
            <w:hideMark/>
          </w:tcPr>
          <w:p w14:paraId="0D6A3806" w14:textId="77777777" w:rsidR="00050905" w:rsidRPr="009A44ED" w:rsidRDefault="00050905" w:rsidP="005A7652">
            <w:pPr>
              <w:keepNext/>
              <w:keepLines/>
              <w:contextualSpacing/>
              <w:jc w:val="right"/>
              <w:rPr>
                <w:rFonts w:ascii="Garamond" w:hAnsi="Garamond" w:cs="Times New Roman"/>
                <w:color w:val="FF0000"/>
                <w:sz w:val="20"/>
                <w:szCs w:val="20"/>
              </w:rPr>
            </w:pPr>
            <w:r w:rsidRPr="009A44ED">
              <w:rPr>
                <w:rFonts w:ascii="Garamond" w:hAnsi="Garamond" w:cs="Times New Roman"/>
                <w:color w:val="FF0000"/>
                <w:sz w:val="20"/>
                <w:szCs w:val="20"/>
              </w:rPr>
              <w:t>107.9</w:t>
            </w:r>
          </w:p>
        </w:tc>
        <w:tc>
          <w:tcPr>
            <w:tcW w:w="720" w:type="dxa"/>
            <w:noWrap/>
            <w:vAlign w:val="center"/>
            <w:hideMark/>
          </w:tcPr>
          <w:p w14:paraId="3EF3ED63"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16.9</w:t>
            </w:r>
          </w:p>
        </w:tc>
        <w:tc>
          <w:tcPr>
            <w:tcW w:w="900" w:type="dxa"/>
            <w:noWrap/>
            <w:vAlign w:val="center"/>
            <w:hideMark/>
          </w:tcPr>
          <w:p w14:paraId="2EE6B313"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40.4</w:t>
            </w:r>
          </w:p>
        </w:tc>
        <w:tc>
          <w:tcPr>
            <w:tcW w:w="1170" w:type="dxa"/>
            <w:noWrap/>
            <w:vAlign w:val="center"/>
            <w:hideMark/>
          </w:tcPr>
          <w:p w14:paraId="6370BE03" w14:textId="77777777" w:rsidR="00050905" w:rsidRPr="009A44ED" w:rsidRDefault="00050905" w:rsidP="005A7652">
            <w:pPr>
              <w:keepNext/>
              <w:keepLines/>
              <w:contextualSpacing/>
              <w:jc w:val="right"/>
              <w:rPr>
                <w:rFonts w:ascii="Garamond" w:hAnsi="Garamond" w:cs="Times New Roman"/>
                <w:color w:val="FF0000"/>
                <w:sz w:val="20"/>
                <w:szCs w:val="20"/>
              </w:rPr>
            </w:pPr>
            <w:r w:rsidRPr="009A44ED">
              <w:rPr>
                <w:rFonts w:ascii="Garamond" w:hAnsi="Garamond" w:cs="Times New Roman"/>
                <w:color w:val="FF0000"/>
                <w:sz w:val="20"/>
                <w:szCs w:val="20"/>
              </w:rPr>
              <w:t>5.2</w:t>
            </w:r>
          </w:p>
        </w:tc>
      </w:tr>
      <w:tr w:rsidR="00050905" w:rsidRPr="009A44ED" w14:paraId="342DB97E" w14:textId="77777777" w:rsidTr="00AC144E">
        <w:trPr>
          <w:trHeight w:val="300"/>
        </w:trPr>
        <w:tc>
          <w:tcPr>
            <w:tcW w:w="810" w:type="dxa"/>
            <w:noWrap/>
            <w:vAlign w:val="center"/>
            <w:hideMark/>
          </w:tcPr>
          <w:p w14:paraId="7AE73CD1" w14:textId="77777777" w:rsidR="00050905" w:rsidRPr="009A44ED" w:rsidRDefault="00050905" w:rsidP="005A7652">
            <w:pPr>
              <w:keepNext/>
              <w:keepLines/>
              <w:contextualSpacing/>
              <w:jc w:val="center"/>
              <w:rPr>
                <w:rFonts w:ascii="Garamond" w:hAnsi="Garamond" w:cs="Times New Roman"/>
                <w:sz w:val="20"/>
                <w:szCs w:val="20"/>
              </w:rPr>
            </w:pPr>
            <w:r w:rsidRPr="009A44ED">
              <w:rPr>
                <w:rFonts w:ascii="Garamond" w:hAnsi="Garamond" w:cs="Times New Roman"/>
                <w:sz w:val="20"/>
                <w:szCs w:val="20"/>
              </w:rPr>
              <w:t>2007</w:t>
            </w:r>
          </w:p>
        </w:tc>
        <w:tc>
          <w:tcPr>
            <w:tcW w:w="990" w:type="dxa"/>
            <w:noWrap/>
            <w:vAlign w:val="center"/>
            <w:hideMark/>
          </w:tcPr>
          <w:p w14:paraId="14152806"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163.7</w:t>
            </w:r>
          </w:p>
        </w:tc>
        <w:tc>
          <w:tcPr>
            <w:tcW w:w="1080" w:type="dxa"/>
            <w:noWrap/>
            <w:vAlign w:val="center"/>
            <w:hideMark/>
          </w:tcPr>
          <w:p w14:paraId="0AAD18AB"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44</w:t>
            </w:r>
          </w:p>
        </w:tc>
        <w:tc>
          <w:tcPr>
            <w:tcW w:w="990" w:type="dxa"/>
            <w:noWrap/>
            <w:vAlign w:val="center"/>
            <w:hideMark/>
          </w:tcPr>
          <w:p w14:paraId="2D980B39"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207.7</w:t>
            </w:r>
          </w:p>
        </w:tc>
        <w:tc>
          <w:tcPr>
            <w:tcW w:w="1170" w:type="dxa"/>
            <w:noWrap/>
            <w:vAlign w:val="center"/>
            <w:hideMark/>
          </w:tcPr>
          <w:p w14:paraId="3CF35EE7" w14:textId="77777777" w:rsidR="00050905" w:rsidRPr="009A44ED" w:rsidRDefault="00050905" w:rsidP="005A7652">
            <w:pPr>
              <w:keepNext/>
              <w:keepLines/>
              <w:contextualSpacing/>
              <w:jc w:val="right"/>
              <w:rPr>
                <w:rFonts w:ascii="Garamond" w:hAnsi="Garamond" w:cs="Times New Roman"/>
                <w:color w:val="FF0000"/>
                <w:sz w:val="20"/>
                <w:szCs w:val="20"/>
              </w:rPr>
            </w:pPr>
            <w:r w:rsidRPr="009A44ED">
              <w:rPr>
                <w:rFonts w:ascii="Garamond" w:hAnsi="Garamond" w:cs="Times New Roman"/>
                <w:color w:val="FF0000"/>
                <w:sz w:val="20"/>
                <w:szCs w:val="20"/>
              </w:rPr>
              <w:t>69.2</w:t>
            </w:r>
          </w:p>
        </w:tc>
        <w:tc>
          <w:tcPr>
            <w:tcW w:w="990" w:type="dxa"/>
            <w:noWrap/>
            <w:vAlign w:val="center"/>
            <w:hideMark/>
          </w:tcPr>
          <w:p w14:paraId="5F8C8B8C" w14:textId="77777777" w:rsidR="00050905" w:rsidRPr="009A44ED" w:rsidRDefault="00050905" w:rsidP="005A7652">
            <w:pPr>
              <w:keepNext/>
              <w:keepLines/>
              <w:contextualSpacing/>
              <w:jc w:val="right"/>
              <w:rPr>
                <w:rFonts w:ascii="Garamond" w:hAnsi="Garamond" w:cs="Times New Roman"/>
                <w:color w:val="FF0000"/>
                <w:sz w:val="20"/>
                <w:szCs w:val="20"/>
              </w:rPr>
            </w:pPr>
            <w:r w:rsidRPr="009A44ED">
              <w:rPr>
                <w:rFonts w:ascii="Garamond" w:hAnsi="Garamond" w:cs="Times New Roman"/>
                <w:color w:val="FF0000"/>
                <w:sz w:val="20"/>
                <w:szCs w:val="20"/>
              </w:rPr>
              <w:t>138.5</w:t>
            </w:r>
          </w:p>
        </w:tc>
        <w:tc>
          <w:tcPr>
            <w:tcW w:w="720" w:type="dxa"/>
            <w:noWrap/>
            <w:vAlign w:val="center"/>
            <w:hideMark/>
          </w:tcPr>
          <w:p w14:paraId="2DD26C93"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21.1</w:t>
            </w:r>
          </w:p>
        </w:tc>
        <w:tc>
          <w:tcPr>
            <w:tcW w:w="900" w:type="dxa"/>
            <w:noWrap/>
            <w:vAlign w:val="center"/>
            <w:hideMark/>
          </w:tcPr>
          <w:p w14:paraId="7C9C20C2"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45.7</w:t>
            </w:r>
          </w:p>
        </w:tc>
        <w:tc>
          <w:tcPr>
            <w:tcW w:w="1170" w:type="dxa"/>
            <w:noWrap/>
            <w:vAlign w:val="center"/>
            <w:hideMark/>
          </w:tcPr>
          <w:p w14:paraId="0CA1BF1F" w14:textId="77777777" w:rsidR="00050905" w:rsidRPr="009A44ED" w:rsidRDefault="00050905" w:rsidP="005A7652">
            <w:pPr>
              <w:keepNext/>
              <w:keepLines/>
              <w:contextualSpacing/>
              <w:jc w:val="right"/>
              <w:rPr>
                <w:rFonts w:ascii="Garamond" w:hAnsi="Garamond" w:cs="Times New Roman"/>
                <w:color w:val="FF0000"/>
                <w:sz w:val="20"/>
                <w:szCs w:val="20"/>
              </w:rPr>
            </w:pPr>
            <w:r w:rsidRPr="009A44ED">
              <w:rPr>
                <w:rFonts w:ascii="Garamond" w:hAnsi="Garamond" w:cs="Times New Roman"/>
                <w:color w:val="FF0000"/>
                <w:sz w:val="20"/>
                <w:szCs w:val="20"/>
              </w:rPr>
              <w:t>8.8</w:t>
            </w:r>
          </w:p>
        </w:tc>
      </w:tr>
      <w:tr w:rsidR="00050905" w:rsidRPr="009A44ED" w14:paraId="27CD442C" w14:textId="77777777" w:rsidTr="00AC144E">
        <w:trPr>
          <w:trHeight w:val="300"/>
        </w:trPr>
        <w:tc>
          <w:tcPr>
            <w:tcW w:w="810" w:type="dxa"/>
            <w:noWrap/>
            <w:vAlign w:val="center"/>
            <w:hideMark/>
          </w:tcPr>
          <w:p w14:paraId="5931D736" w14:textId="77777777" w:rsidR="00050905" w:rsidRPr="009A44ED" w:rsidRDefault="00050905" w:rsidP="005A7652">
            <w:pPr>
              <w:keepNext/>
              <w:keepLines/>
              <w:contextualSpacing/>
              <w:jc w:val="center"/>
              <w:rPr>
                <w:rFonts w:ascii="Garamond" w:hAnsi="Garamond" w:cs="Times New Roman"/>
                <w:sz w:val="20"/>
                <w:szCs w:val="20"/>
              </w:rPr>
            </w:pPr>
            <w:r w:rsidRPr="009A44ED">
              <w:rPr>
                <w:rFonts w:ascii="Garamond" w:hAnsi="Garamond" w:cs="Times New Roman"/>
                <w:sz w:val="20"/>
                <w:szCs w:val="20"/>
              </w:rPr>
              <w:t>2008</w:t>
            </w:r>
          </w:p>
        </w:tc>
        <w:tc>
          <w:tcPr>
            <w:tcW w:w="990" w:type="dxa"/>
            <w:noWrap/>
            <w:vAlign w:val="center"/>
            <w:hideMark/>
          </w:tcPr>
          <w:p w14:paraId="681A148C"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186.5</w:t>
            </w:r>
          </w:p>
        </w:tc>
        <w:tc>
          <w:tcPr>
            <w:tcW w:w="1080" w:type="dxa"/>
            <w:noWrap/>
            <w:vAlign w:val="center"/>
            <w:hideMark/>
          </w:tcPr>
          <w:p w14:paraId="4B932835"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78.5</w:t>
            </w:r>
          </w:p>
        </w:tc>
        <w:tc>
          <w:tcPr>
            <w:tcW w:w="990" w:type="dxa"/>
            <w:noWrap/>
            <w:vAlign w:val="center"/>
            <w:hideMark/>
          </w:tcPr>
          <w:p w14:paraId="677A61ED"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265</w:t>
            </w:r>
          </w:p>
        </w:tc>
        <w:tc>
          <w:tcPr>
            <w:tcW w:w="1170" w:type="dxa"/>
            <w:noWrap/>
            <w:vAlign w:val="center"/>
            <w:hideMark/>
          </w:tcPr>
          <w:p w14:paraId="5D0BB7C8" w14:textId="77777777" w:rsidR="00050905" w:rsidRPr="009A44ED" w:rsidRDefault="00050905" w:rsidP="005A7652">
            <w:pPr>
              <w:keepNext/>
              <w:keepLines/>
              <w:contextualSpacing/>
              <w:jc w:val="right"/>
              <w:rPr>
                <w:rFonts w:ascii="Garamond" w:hAnsi="Garamond" w:cs="Times New Roman"/>
                <w:color w:val="FF0000"/>
                <w:sz w:val="20"/>
                <w:szCs w:val="20"/>
              </w:rPr>
            </w:pPr>
            <w:r w:rsidRPr="009A44ED">
              <w:rPr>
                <w:rFonts w:ascii="Garamond" w:hAnsi="Garamond" w:cs="Times New Roman"/>
                <w:color w:val="FF0000"/>
                <w:sz w:val="20"/>
                <w:szCs w:val="20"/>
              </w:rPr>
              <w:t>88.3</w:t>
            </w:r>
          </w:p>
        </w:tc>
        <w:tc>
          <w:tcPr>
            <w:tcW w:w="990" w:type="dxa"/>
            <w:noWrap/>
            <w:vAlign w:val="center"/>
            <w:hideMark/>
          </w:tcPr>
          <w:p w14:paraId="25966912" w14:textId="77777777" w:rsidR="00050905" w:rsidRPr="009A44ED" w:rsidRDefault="00050905" w:rsidP="005A7652">
            <w:pPr>
              <w:keepNext/>
              <w:keepLines/>
              <w:contextualSpacing/>
              <w:jc w:val="right"/>
              <w:rPr>
                <w:rFonts w:ascii="Garamond" w:hAnsi="Garamond" w:cs="Times New Roman"/>
                <w:color w:val="FF0000"/>
                <w:sz w:val="20"/>
                <w:szCs w:val="20"/>
              </w:rPr>
            </w:pPr>
            <w:r w:rsidRPr="009A44ED">
              <w:rPr>
                <w:rFonts w:ascii="Garamond" w:hAnsi="Garamond" w:cs="Times New Roman"/>
                <w:color w:val="FF0000"/>
                <w:sz w:val="20"/>
                <w:szCs w:val="20"/>
              </w:rPr>
              <w:t>176.7</w:t>
            </w:r>
          </w:p>
        </w:tc>
        <w:tc>
          <w:tcPr>
            <w:tcW w:w="720" w:type="dxa"/>
            <w:noWrap/>
            <w:vAlign w:val="center"/>
            <w:hideMark/>
          </w:tcPr>
          <w:p w14:paraId="1649A338"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29.6</w:t>
            </w:r>
          </w:p>
        </w:tc>
        <w:tc>
          <w:tcPr>
            <w:tcW w:w="900" w:type="dxa"/>
            <w:noWrap/>
            <w:vAlign w:val="center"/>
            <w:hideMark/>
          </w:tcPr>
          <w:p w14:paraId="2207605B"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39.8</w:t>
            </w:r>
          </w:p>
        </w:tc>
        <w:tc>
          <w:tcPr>
            <w:tcW w:w="1170" w:type="dxa"/>
            <w:noWrap/>
            <w:vAlign w:val="center"/>
            <w:hideMark/>
          </w:tcPr>
          <w:p w14:paraId="100841B4" w14:textId="77777777" w:rsidR="00050905" w:rsidRPr="009A44ED" w:rsidRDefault="00050905" w:rsidP="005A7652">
            <w:pPr>
              <w:keepNext/>
              <w:keepLines/>
              <w:contextualSpacing/>
              <w:jc w:val="right"/>
              <w:rPr>
                <w:rFonts w:ascii="Garamond" w:hAnsi="Garamond" w:cs="Times New Roman"/>
                <w:color w:val="FF0000"/>
                <w:sz w:val="20"/>
                <w:szCs w:val="20"/>
              </w:rPr>
            </w:pPr>
            <w:r w:rsidRPr="009A44ED">
              <w:rPr>
                <w:rFonts w:ascii="Garamond" w:hAnsi="Garamond" w:cs="Times New Roman"/>
                <w:color w:val="FF0000"/>
                <w:sz w:val="20"/>
                <w:szCs w:val="20"/>
              </w:rPr>
              <w:t>24.5</w:t>
            </w:r>
          </w:p>
        </w:tc>
      </w:tr>
      <w:tr w:rsidR="00050905" w:rsidRPr="009A44ED" w14:paraId="7785E46C" w14:textId="77777777" w:rsidTr="00AC144E">
        <w:trPr>
          <w:trHeight w:val="300"/>
        </w:trPr>
        <w:tc>
          <w:tcPr>
            <w:tcW w:w="810" w:type="dxa"/>
            <w:noWrap/>
            <w:vAlign w:val="center"/>
            <w:hideMark/>
          </w:tcPr>
          <w:p w14:paraId="08BD2527" w14:textId="77777777" w:rsidR="00050905" w:rsidRPr="009A44ED" w:rsidRDefault="00050905" w:rsidP="005A7652">
            <w:pPr>
              <w:keepNext/>
              <w:keepLines/>
              <w:contextualSpacing/>
              <w:jc w:val="center"/>
              <w:rPr>
                <w:rFonts w:ascii="Garamond" w:hAnsi="Garamond" w:cs="Times New Roman"/>
                <w:sz w:val="20"/>
                <w:szCs w:val="20"/>
              </w:rPr>
            </w:pPr>
            <w:r w:rsidRPr="009A44ED">
              <w:rPr>
                <w:rFonts w:ascii="Garamond" w:hAnsi="Garamond" w:cs="Times New Roman"/>
                <w:sz w:val="20"/>
                <w:szCs w:val="20"/>
              </w:rPr>
              <w:t>2009</w:t>
            </w:r>
          </w:p>
        </w:tc>
        <w:tc>
          <w:tcPr>
            <w:tcW w:w="990" w:type="dxa"/>
            <w:noWrap/>
            <w:vAlign w:val="center"/>
            <w:hideMark/>
          </w:tcPr>
          <w:p w14:paraId="5B47027D"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156.1</w:t>
            </w:r>
          </w:p>
        </w:tc>
        <w:tc>
          <w:tcPr>
            <w:tcW w:w="1080" w:type="dxa"/>
            <w:noWrap/>
            <w:vAlign w:val="center"/>
            <w:hideMark/>
          </w:tcPr>
          <w:p w14:paraId="4E374D86"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97.9</w:t>
            </w:r>
          </w:p>
        </w:tc>
        <w:tc>
          <w:tcPr>
            <w:tcW w:w="990" w:type="dxa"/>
            <w:noWrap/>
            <w:vAlign w:val="center"/>
            <w:hideMark/>
          </w:tcPr>
          <w:p w14:paraId="3AA5FEE6"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254</w:t>
            </w:r>
          </w:p>
        </w:tc>
        <w:tc>
          <w:tcPr>
            <w:tcW w:w="1170" w:type="dxa"/>
            <w:noWrap/>
            <w:vAlign w:val="center"/>
            <w:hideMark/>
          </w:tcPr>
          <w:p w14:paraId="0D3082A4" w14:textId="77777777" w:rsidR="00050905" w:rsidRPr="009A44ED" w:rsidRDefault="00050905" w:rsidP="005A7652">
            <w:pPr>
              <w:keepNext/>
              <w:keepLines/>
              <w:contextualSpacing/>
              <w:jc w:val="right"/>
              <w:rPr>
                <w:rFonts w:ascii="Garamond" w:hAnsi="Garamond" w:cs="Times New Roman"/>
                <w:color w:val="FF0000"/>
                <w:sz w:val="20"/>
                <w:szCs w:val="20"/>
              </w:rPr>
            </w:pPr>
            <w:r w:rsidRPr="009A44ED">
              <w:rPr>
                <w:rFonts w:ascii="Garamond" w:hAnsi="Garamond" w:cs="Times New Roman"/>
                <w:color w:val="FF0000"/>
                <w:sz w:val="20"/>
                <w:szCs w:val="20"/>
              </w:rPr>
              <w:t>84.7</w:t>
            </w:r>
          </w:p>
        </w:tc>
        <w:tc>
          <w:tcPr>
            <w:tcW w:w="990" w:type="dxa"/>
            <w:noWrap/>
            <w:vAlign w:val="center"/>
            <w:hideMark/>
          </w:tcPr>
          <w:p w14:paraId="19109330" w14:textId="77777777" w:rsidR="00050905" w:rsidRPr="009A44ED" w:rsidRDefault="00050905" w:rsidP="005A7652">
            <w:pPr>
              <w:keepNext/>
              <w:keepLines/>
              <w:contextualSpacing/>
              <w:jc w:val="right"/>
              <w:rPr>
                <w:rFonts w:ascii="Garamond" w:hAnsi="Garamond" w:cs="Times New Roman"/>
                <w:color w:val="FF0000"/>
                <w:sz w:val="20"/>
                <w:szCs w:val="20"/>
              </w:rPr>
            </w:pPr>
            <w:r w:rsidRPr="009A44ED">
              <w:rPr>
                <w:rFonts w:ascii="Garamond" w:hAnsi="Garamond" w:cs="Times New Roman"/>
                <w:color w:val="FF0000"/>
                <w:sz w:val="20"/>
                <w:szCs w:val="20"/>
              </w:rPr>
              <w:t>169.3</w:t>
            </w:r>
          </w:p>
        </w:tc>
        <w:tc>
          <w:tcPr>
            <w:tcW w:w="720" w:type="dxa"/>
            <w:noWrap/>
            <w:vAlign w:val="center"/>
            <w:hideMark/>
          </w:tcPr>
          <w:p w14:paraId="2BEB6876"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38.5</w:t>
            </w:r>
          </w:p>
        </w:tc>
        <w:tc>
          <w:tcPr>
            <w:tcW w:w="900" w:type="dxa"/>
            <w:noWrap/>
            <w:vAlign w:val="center"/>
            <w:hideMark/>
          </w:tcPr>
          <w:p w14:paraId="01135069"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64.7</w:t>
            </w:r>
          </w:p>
        </w:tc>
        <w:tc>
          <w:tcPr>
            <w:tcW w:w="1170" w:type="dxa"/>
            <w:noWrap/>
            <w:vAlign w:val="center"/>
            <w:hideMark/>
          </w:tcPr>
          <w:p w14:paraId="5D0081F1" w14:textId="77777777" w:rsidR="00050905" w:rsidRPr="009A44ED" w:rsidRDefault="00050905" w:rsidP="005A7652">
            <w:pPr>
              <w:keepNext/>
              <w:keepLines/>
              <w:contextualSpacing/>
              <w:jc w:val="right"/>
              <w:rPr>
                <w:rFonts w:ascii="Garamond" w:hAnsi="Garamond" w:cs="Times New Roman"/>
                <w:color w:val="FF0000"/>
                <w:sz w:val="20"/>
                <w:szCs w:val="20"/>
              </w:rPr>
            </w:pPr>
            <w:r w:rsidRPr="009A44ED">
              <w:rPr>
                <w:rFonts w:ascii="Garamond" w:hAnsi="Garamond" w:cs="Times New Roman"/>
                <w:color w:val="FF0000"/>
                <w:sz w:val="20"/>
                <w:szCs w:val="20"/>
              </w:rPr>
              <w:t>25.4</w:t>
            </w:r>
          </w:p>
        </w:tc>
      </w:tr>
      <w:tr w:rsidR="00050905" w:rsidRPr="009A44ED" w14:paraId="4E28D5B4" w14:textId="77777777" w:rsidTr="00AC144E">
        <w:trPr>
          <w:trHeight w:val="300"/>
        </w:trPr>
        <w:tc>
          <w:tcPr>
            <w:tcW w:w="810" w:type="dxa"/>
            <w:noWrap/>
            <w:vAlign w:val="center"/>
            <w:hideMark/>
          </w:tcPr>
          <w:p w14:paraId="669901C9" w14:textId="77777777" w:rsidR="00050905" w:rsidRPr="009A44ED" w:rsidRDefault="00050905" w:rsidP="005A7652">
            <w:pPr>
              <w:keepNext/>
              <w:keepLines/>
              <w:contextualSpacing/>
              <w:jc w:val="center"/>
              <w:rPr>
                <w:rFonts w:ascii="Garamond" w:hAnsi="Garamond" w:cs="Times New Roman"/>
                <w:sz w:val="20"/>
                <w:szCs w:val="20"/>
              </w:rPr>
            </w:pPr>
            <w:r w:rsidRPr="009A44ED">
              <w:rPr>
                <w:rFonts w:ascii="Garamond" w:hAnsi="Garamond" w:cs="Times New Roman"/>
                <w:sz w:val="20"/>
                <w:szCs w:val="20"/>
              </w:rPr>
              <w:t>2010</w:t>
            </w:r>
          </w:p>
        </w:tc>
        <w:tc>
          <w:tcPr>
            <w:tcW w:w="990" w:type="dxa"/>
            <w:noWrap/>
            <w:vAlign w:val="center"/>
            <w:hideMark/>
          </w:tcPr>
          <w:p w14:paraId="16E67448"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169.1</w:t>
            </w:r>
          </w:p>
        </w:tc>
        <w:tc>
          <w:tcPr>
            <w:tcW w:w="1080" w:type="dxa"/>
            <w:noWrap/>
            <w:vAlign w:val="center"/>
            <w:hideMark/>
          </w:tcPr>
          <w:p w14:paraId="2207B617"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98.9</w:t>
            </w:r>
          </w:p>
        </w:tc>
        <w:tc>
          <w:tcPr>
            <w:tcW w:w="990" w:type="dxa"/>
            <w:noWrap/>
            <w:vAlign w:val="center"/>
            <w:hideMark/>
          </w:tcPr>
          <w:p w14:paraId="1CE15238"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268</w:t>
            </w:r>
          </w:p>
        </w:tc>
        <w:tc>
          <w:tcPr>
            <w:tcW w:w="1170" w:type="dxa"/>
            <w:noWrap/>
            <w:vAlign w:val="center"/>
            <w:hideMark/>
          </w:tcPr>
          <w:p w14:paraId="0B1BFB39" w14:textId="77777777" w:rsidR="00050905" w:rsidRPr="009A44ED" w:rsidRDefault="00050905" w:rsidP="005A7652">
            <w:pPr>
              <w:keepNext/>
              <w:keepLines/>
              <w:contextualSpacing/>
              <w:jc w:val="right"/>
              <w:rPr>
                <w:rFonts w:ascii="Garamond" w:hAnsi="Garamond" w:cs="Times New Roman"/>
                <w:color w:val="FF0000"/>
                <w:sz w:val="20"/>
                <w:szCs w:val="20"/>
              </w:rPr>
            </w:pPr>
            <w:r w:rsidRPr="009A44ED">
              <w:rPr>
                <w:rFonts w:ascii="Garamond" w:hAnsi="Garamond" w:cs="Times New Roman"/>
                <w:color w:val="FF0000"/>
                <w:sz w:val="20"/>
                <w:szCs w:val="20"/>
              </w:rPr>
              <w:t>89.3</w:t>
            </w:r>
          </w:p>
        </w:tc>
        <w:tc>
          <w:tcPr>
            <w:tcW w:w="990" w:type="dxa"/>
            <w:noWrap/>
            <w:vAlign w:val="center"/>
            <w:hideMark/>
          </w:tcPr>
          <w:p w14:paraId="4B817B1E" w14:textId="77777777" w:rsidR="00050905" w:rsidRPr="009A44ED" w:rsidRDefault="00050905" w:rsidP="005A7652">
            <w:pPr>
              <w:keepNext/>
              <w:keepLines/>
              <w:contextualSpacing/>
              <w:jc w:val="right"/>
              <w:rPr>
                <w:rFonts w:ascii="Garamond" w:hAnsi="Garamond" w:cs="Times New Roman"/>
                <w:color w:val="FF0000"/>
                <w:sz w:val="20"/>
                <w:szCs w:val="20"/>
              </w:rPr>
            </w:pPr>
            <w:r w:rsidRPr="009A44ED">
              <w:rPr>
                <w:rFonts w:ascii="Garamond" w:hAnsi="Garamond" w:cs="Times New Roman"/>
                <w:color w:val="FF0000"/>
                <w:sz w:val="20"/>
                <w:szCs w:val="20"/>
              </w:rPr>
              <w:t>178.7</w:t>
            </w:r>
          </w:p>
        </w:tc>
        <w:tc>
          <w:tcPr>
            <w:tcW w:w="720" w:type="dxa"/>
            <w:noWrap/>
            <w:vAlign w:val="center"/>
            <w:hideMark/>
          </w:tcPr>
          <w:p w14:paraId="415D1DB1"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36.9</w:t>
            </w:r>
          </w:p>
        </w:tc>
        <w:tc>
          <w:tcPr>
            <w:tcW w:w="900" w:type="dxa"/>
            <w:noWrap/>
            <w:vAlign w:val="center"/>
            <w:hideMark/>
          </w:tcPr>
          <w:p w14:paraId="2C48E971"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57.6</w:t>
            </w:r>
          </w:p>
        </w:tc>
        <w:tc>
          <w:tcPr>
            <w:tcW w:w="1170" w:type="dxa"/>
            <w:noWrap/>
            <w:vAlign w:val="center"/>
            <w:hideMark/>
          </w:tcPr>
          <w:p w14:paraId="04305B3D" w14:textId="77777777" w:rsidR="00050905" w:rsidRPr="009A44ED" w:rsidRDefault="00050905" w:rsidP="005A7652">
            <w:pPr>
              <w:keepNext/>
              <w:keepLines/>
              <w:contextualSpacing/>
              <w:jc w:val="right"/>
              <w:rPr>
                <w:rFonts w:ascii="Garamond" w:hAnsi="Garamond" w:cs="Times New Roman"/>
                <w:color w:val="FF0000"/>
                <w:sz w:val="20"/>
                <w:szCs w:val="20"/>
              </w:rPr>
            </w:pPr>
            <w:r w:rsidRPr="009A44ED">
              <w:rPr>
                <w:rFonts w:ascii="Garamond" w:hAnsi="Garamond" w:cs="Times New Roman"/>
                <w:color w:val="FF0000"/>
                <w:sz w:val="20"/>
                <w:szCs w:val="20"/>
              </w:rPr>
              <w:t>26.6</w:t>
            </w:r>
          </w:p>
        </w:tc>
      </w:tr>
      <w:tr w:rsidR="00050905" w:rsidRPr="009A44ED" w14:paraId="1C165983" w14:textId="77777777" w:rsidTr="00AC144E">
        <w:trPr>
          <w:trHeight w:val="300"/>
        </w:trPr>
        <w:tc>
          <w:tcPr>
            <w:tcW w:w="810" w:type="dxa"/>
            <w:noWrap/>
            <w:vAlign w:val="center"/>
            <w:hideMark/>
          </w:tcPr>
          <w:p w14:paraId="0F9B2A1E" w14:textId="77777777" w:rsidR="00050905" w:rsidRPr="009A44ED" w:rsidRDefault="00050905" w:rsidP="005A7652">
            <w:pPr>
              <w:keepNext/>
              <w:keepLines/>
              <w:contextualSpacing/>
              <w:jc w:val="center"/>
              <w:rPr>
                <w:rFonts w:ascii="Garamond" w:hAnsi="Garamond" w:cs="Times New Roman"/>
                <w:sz w:val="20"/>
                <w:szCs w:val="20"/>
              </w:rPr>
            </w:pPr>
            <w:r w:rsidRPr="009A44ED">
              <w:rPr>
                <w:rFonts w:ascii="Garamond" w:hAnsi="Garamond" w:cs="Times New Roman"/>
                <w:sz w:val="20"/>
                <w:szCs w:val="20"/>
              </w:rPr>
              <w:t>2011</w:t>
            </w:r>
          </w:p>
        </w:tc>
        <w:tc>
          <w:tcPr>
            <w:tcW w:w="990" w:type="dxa"/>
            <w:noWrap/>
            <w:vAlign w:val="center"/>
            <w:hideMark/>
          </w:tcPr>
          <w:p w14:paraId="4EAB7E90"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190.3</w:t>
            </w:r>
          </w:p>
        </w:tc>
        <w:tc>
          <w:tcPr>
            <w:tcW w:w="1080" w:type="dxa"/>
            <w:noWrap/>
            <w:vAlign w:val="center"/>
            <w:hideMark/>
          </w:tcPr>
          <w:p w14:paraId="242346F6"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112.4</w:t>
            </w:r>
          </w:p>
        </w:tc>
        <w:tc>
          <w:tcPr>
            <w:tcW w:w="990" w:type="dxa"/>
            <w:noWrap/>
            <w:vAlign w:val="center"/>
            <w:hideMark/>
          </w:tcPr>
          <w:p w14:paraId="78660D60"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302.7</w:t>
            </w:r>
          </w:p>
        </w:tc>
        <w:tc>
          <w:tcPr>
            <w:tcW w:w="1170" w:type="dxa"/>
            <w:noWrap/>
            <w:vAlign w:val="center"/>
            <w:hideMark/>
          </w:tcPr>
          <w:p w14:paraId="7E1C1D0C" w14:textId="77777777" w:rsidR="00050905" w:rsidRPr="009A44ED" w:rsidRDefault="00050905" w:rsidP="005A7652">
            <w:pPr>
              <w:keepNext/>
              <w:keepLines/>
              <w:contextualSpacing/>
              <w:jc w:val="right"/>
              <w:rPr>
                <w:rFonts w:ascii="Garamond" w:hAnsi="Garamond" w:cs="Times New Roman"/>
                <w:color w:val="FF0000"/>
                <w:sz w:val="20"/>
                <w:szCs w:val="20"/>
              </w:rPr>
            </w:pPr>
            <w:r w:rsidRPr="009A44ED">
              <w:rPr>
                <w:rFonts w:ascii="Garamond" w:hAnsi="Garamond" w:cs="Times New Roman"/>
                <w:color w:val="FF0000"/>
                <w:sz w:val="20"/>
                <w:szCs w:val="20"/>
              </w:rPr>
              <w:t>100.9</w:t>
            </w:r>
          </w:p>
        </w:tc>
        <w:tc>
          <w:tcPr>
            <w:tcW w:w="990" w:type="dxa"/>
            <w:noWrap/>
            <w:vAlign w:val="center"/>
            <w:hideMark/>
          </w:tcPr>
          <w:p w14:paraId="17935B42" w14:textId="77777777" w:rsidR="00050905" w:rsidRPr="009A44ED" w:rsidRDefault="00050905" w:rsidP="005A7652">
            <w:pPr>
              <w:keepNext/>
              <w:keepLines/>
              <w:contextualSpacing/>
              <w:jc w:val="right"/>
              <w:rPr>
                <w:rFonts w:ascii="Garamond" w:hAnsi="Garamond" w:cs="Times New Roman"/>
                <w:color w:val="FF0000"/>
                <w:sz w:val="20"/>
                <w:szCs w:val="20"/>
              </w:rPr>
            </w:pPr>
            <w:r w:rsidRPr="009A44ED">
              <w:rPr>
                <w:rFonts w:ascii="Garamond" w:hAnsi="Garamond" w:cs="Times New Roman"/>
                <w:color w:val="FF0000"/>
                <w:sz w:val="20"/>
                <w:szCs w:val="20"/>
              </w:rPr>
              <w:t>201.8</w:t>
            </w:r>
          </w:p>
        </w:tc>
        <w:tc>
          <w:tcPr>
            <w:tcW w:w="720" w:type="dxa"/>
            <w:noWrap/>
            <w:vAlign w:val="center"/>
            <w:hideMark/>
          </w:tcPr>
          <w:p w14:paraId="0B20BD3C"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37.3</w:t>
            </w:r>
          </w:p>
        </w:tc>
        <w:tc>
          <w:tcPr>
            <w:tcW w:w="900" w:type="dxa"/>
            <w:noWrap/>
            <w:vAlign w:val="center"/>
            <w:hideMark/>
          </w:tcPr>
          <w:p w14:paraId="02085A80" w14:textId="77777777" w:rsidR="00050905" w:rsidRPr="009A44ED" w:rsidRDefault="00050905" w:rsidP="005A7652">
            <w:pPr>
              <w:keepNext/>
              <w:keepLines/>
              <w:contextualSpacing/>
              <w:jc w:val="right"/>
              <w:rPr>
                <w:rFonts w:ascii="Garamond" w:hAnsi="Garamond" w:cs="Times New Roman"/>
                <w:sz w:val="20"/>
                <w:szCs w:val="20"/>
              </w:rPr>
            </w:pPr>
            <w:r w:rsidRPr="009A44ED">
              <w:rPr>
                <w:rFonts w:ascii="Garamond" w:hAnsi="Garamond" w:cs="Times New Roman"/>
                <w:sz w:val="20"/>
                <w:szCs w:val="20"/>
              </w:rPr>
              <w:t>61.2</w:t>
            </w:r>
          </w:p>
        </w:tc>
        <w:tc>
          <w:tcPr>
            <w:tcW w:w="1170" w:type="dxa"/>
            <w:noWrap/>
            <w:vAlign w:val="center"/>
            <w:hideMark/>
          </w:tcPr>
          <w:p w14:paraId="1584A0B7" w14:textId="77777777" w:rsidR="00050905" w:rsidRPr="009A44ED" w:rsidRDefault="00050905" w:rsidP="005A7652">
            <w:pPr>
              <w:keepNext/>
              <w:keepLines/>
              <w:contextualSpacing/>
              <w:jc w:val="right"/>
              <w:rPr>
                <w:rFonts w:ascii="Garamond" w:hAnsi="Garamond" w:cs="Times New Roman"/>
                <w:color w:val="FF0000"/>
                <w:sz w:val="20"/>
                <w:szCs w:val="20"/>
              </w:rPr>
            </w:pPr>
            <w:r w:rsidRPr="009A44ED">
              <w:rPr>
                <w:rFonts w:ascii="Garamond" w:hAnsi="Garamond" w:cs="Times New Roman"/>
                <w:color w:val="FF0000"/>
                <w:sz w:val="20"/>
                <w:szCs w:val="20"/>
              </w:rPr>
              <w:t>25.4</w:t>
            </w:r>
          </w:p>
        </w:tc>
      </w:tr>
    </w:tbl>
    <w:p w14:paraId="2074B695" w14:textId="77777777" w:rsidR="00050905" w:rsidRPr="00A038FF" w:rsidRDefault="00050905" w:rsidP="00050905">
      <w:pPr>
        <w:pStyle w:val="Source"/>
        <w:keepNext/>
        <w:keepLines/>
        <w:spacing w:after="0"/>
        <w:contextualSpacing w:val="0"/>
        <w:rPr>
          <w:rFonts w:ascii="Garamond" w:hAnsi="Garamond"/>
          <w:i w:val="0"/>
        </w:rPr>
      </w:pPr>
      <w:r w:rsidRPr="00A038FF">
        <w:rPr>
          <w:rFonts w:ascii="Garamond" w:hAnsi="Garamond"/>
        </w:rPr>
        <w:t xml:space="preserve">Note: </w:t>
      </w:r>
      <w:r w:rsidRPr="00A038FF">
        <w:rPr>
          <w:rFonts w:ascii="Garamond" w:hAnsi="Garamond"/>
          <w:i w:val="0"/>
        </w:rPr>
        <w:t>Investment is assumed to represent one-third of total spending</w:t>
      </w:r>
    </w:p>
    <w:p w14:paraId="388D2A40" w14:textId="77777777" w:rsidR="00050905" w:rsidRPr="00A038FF" w:rsidRDefault="00050905" w:rsidP="00050905">
      <w:pPr>
        <w:pStyle w:val="Source"/>
        <w:keepNext/>
        <w:keepLines/>
        <w:spacing w:after="240"/>
        <w:contextualSpacing w:val="0"/>
        <w:rPr>
          <w:rFonts w:ascii="Garamond" w:hAnsi="Garamond"/>
        </w:rPr>
      </w:pPr>
      <w:r w:rsidRPr="00A038FF">
        <w:rPr>
          <w:rFonts w:ascii="Garamond" w:hAnsi="Garamond"/>
        </w:rPr>
        <w:t>Source:</w:t>
      </w:r>
      <w:r w:rsidRPr="00A038FF">
        <w:rPr>
          <w:rFonts w:ascii="Garamond" w:hAnsi="Garamond"/>
          <w:i w:val="0"/>
        </w:rPr>
        <w:t xml:space="preserve"> Data in </w:t>
      </w:r>
      <w:r w:rsidRPr="00A038FF">
        <w:rPr>
          <w:rFonts w:ascii="Garamond" w:hAnsi="Garamond"/>
          <w:i w:val="0"/>
          <w:color w:val="FF0000"/>
        </w:rPr>
        <w:t xml:space="preserve">red </w:t>
      </w:r>
      <w:r w:rsidRPr="00A038FF">
        <w:rPr>
          <w:rFonts w:ascii="Garamond" w:hAnsi="Garamond"/>
          <w:i w:val="0"/>
        </w:rPr>
        <w:t>are authors’ calculations, other data are from Kolavalli (2015</w:t>
      </w:r>
      <w:r w:rsidRPr="00A038FF">
        <w:rPr>
          <w:rFonts w:ascii="Garamond" w:hAnsi="Garamond"/>
        </w:rPr>
        <w:t>)</w:t>
      </w:r>
    </w:p>
    <w:p w14:paraId="1A9AB4F7" w14:textId="77777777" w:rsidR="00050905" w:rsidRPr="00352D3A" w:rsidRDefault="00523DF7" w:rsidP="00724BAB">
      <w:pPr>
        <w:pStyle w:val="ListParagraph"/>
        <w:numPr>
          <w:ilvl w:val="3"/>
          <w:numId w:val="11"/>
        </w:numPr>
        <w:ind w:left="0"/>
      </w:pPr>
      <w:r w:rsidRPr="00523DF7">
        <w:rPr>
          <w:b/>
        </w:rPr>
        <w:t>In a context of chronic agricultural underinvestment, enhancing the efficiency of sectoral spending could generate substantial gains in productivity, employment, and rural poverty reduction without compromising the government’s ongoing fiscal consolidation.</w:t>
      </w:r>
      <w:r w:rsidRPr="00523DF7">
        <w:rPr>
          <w:rStyle w:val="FootnoteReference"/>
          <w:b/>
        </w:rPr>
        <w:footnoteReference w:id="152"/>
      </w:r>
      <w:r w:rsidR="00050905" w:rsidRPr="00523DF7">
        <w:t>From 2008 to 2014</w:t>
      </w:r>
      <w:r w:rsidR="005E1F74" w:rsidRPr="00523DF7">
        <w:t>,</w:t>
      </w:r>
      <w:r w:rsidR="00050905" w:rsidRPr="00523DF7">
        <w:t xml:space="preserve"> real public spending on agriculture was negatively correlated with agricultural output growth (-0.39), suggesting an inefficient allocation of expenditures. Public sp</w:t>
      </w:r>
      <w:r w:rsidR="00050905" w:rsidRPr="000062E1">
        <w:t>ending on the livestock, fisheries</w:t>
      </w:r>
      <w:r w:rsidR="005E1F74">
        <w:t>,</w:t>
      </w:r>
      <w:r w:rsidR="00050905" w:rsidRPr="000062E1">
        <w:t xml:space="preserve"> and forestry subsectors is far higher than their respective shares in agricultural output. Spending on cocoa exceeds its share in agricultural output by a factor of three</w:t>
      </w:r>
      <w:r w:rsidR="005E1F74">
        <w:t>;</w:t>
      </w:r>
      <w:r w:rsidR="00050905" w:rsidRPr="000062E1">
        <w:t xml:space="preserve"> however</w:t>
      </w:r>
      <w:r w:rsidR="005E1F74">
        <w:t>,</w:t>
      </w:r>
      <w:r w:rsidR="00050905" w:rsidRPr="000062E1">
        <w:t xml:space="preserve"> a recent study by the International Food Policy Research Institute (IFPRI)</w:t>
      </w:r>
      <w:r w:rsidR="00050905" w:rsidRPr="004A50A0">
        <w:rPr>
          <w:rStyle w:val="FootnoteReference"/>
        </w:rPr>
        <w:footnoteReference w:id="153"/>
      </w:r>
      <w:r w:rsidR="00050905" w:rsidRPr="00352D3A">
        <w:t xml:space="preserve"> concluded that the r</w:t>
      </w:r>
      <w:r w:rsidR="00050905" w:rsidRPr="000062E1">
        <w:t xml:space="preserve">ate of return to public spending in the non-cocoa sector is significantly higher than in the cocoa sector. </w:t>
      </w:r>
    </w:p>
    <w:p w14:paraId="3C1D27CB" w14:textId="77777777" w:rsidR="00050905" w:rsidRPr="00352D3A" w:rsidRDefault="00050905" w:rsidP="00724BAB">
      <w:pPr>
        <w:pStyle w:val="ListParagraph"/>
        <w:numPr>
          <w:ilvl w:val="3"/>
          <w:numId w:val="11"/>
        </w:numPr>
        <w:ind w:left="0"/>
      </w:pPr>
      <w:r w:rsidRPr="000062E1">
        <w:rPr>
          <w:b/>
        </w:rPr>
        <w:t>The international experience reveals how better expenditure targeting can drive agricultural growth.</w:t>
      </w:r>
      <w:r w:rsidRPr="000062E1">
        <w:t xml:space="preserve"> Between the 1980s and 2000s, investment in agricultural research and development and the expansion of irrigation networks generated significant productivity growth and sustained increases in rural incomes throughout much of the developing world. In India, the government played a key role in creating a vibrant maize industry by deregulating seed imports, developing improved seed varieties, attracting private investment</w:t>
      </w:r>
      <w:r w:rsidR="0012156C">
        <w:t>,</w:t>
      </w:r>
      <w:r w:rsidRPr="000062E1">
        <w:t xml:space="preserve"> and tightening linkages with consumer markets.</w:t>
      </w:r>
      <w:r w:rsidRPr="004A50A0">
        <w:rPr>
          <w:rStyle w:val="FootnoteReference"/>
        </w:rPr>
        <w:footnoteReference w:id="154"/>
      </w:r>
      <w:r w:rsidRPr="00352D3A">
        <w:t xml:space="preserve"> In Kenya, </w:t>
      </w:r>
      <w:r w:rsidR="003B2099" w:rsidRPr="003B2099">
        <w:t>the robust growth of the horticultural subsector</w:t>
      </w:r>
      <w:r w:rsidR="003B2099">
        <w:t xml:space="preserve"> was spurred by </w:t>
      </w:r>
      <w:r w:rsidRPr="00352D3A">
        <w:t>the government’s efforts to liberalize the foreign</w:t>
      </w:r>
      <w:r w:rsidRPr="007F0935">
        <w:t>-</w:t>
      </w:r>
      <w:r w:rsidRPr="000062E1">
        <w:t>exchange market, facilitate seed and fertilizer imports, eliminate constraints on the airfreight market, streamline customs processes and phytosanitary certification procedures, enforce intellectual property rights, and promote collaborative trade and investment strategies between the public and private sectors</w:t>
      </w:r>
      <w:r w:rsidR="003B2099">
        <w:t>.</w:t>
      </w:r>
      <w:r w:rsidRPr="004A50A0">
        <w:rPr>
          <w:rStyle w:val="FootnoteReference"/>
        </w:rPr>
        <w:footnoteReference w:id="155"/>
      </w:r>
      <w:r w:rsidRPr="00352D3A">
        <w:t xml:space="preserve"> </w:t>
      </w:r>
    </w:p>
    <w:p w14:paraId="458C7C33" w14:textId="77777777" w:rsidR="00050905" w:rsidRPr="000062E1" w:rsidRDefault="00050905" w:rsidP="00724BAB">
      <w:pPr>
        <w:pStyle w:val="ListParagraph"/>
        <w:numPr>
          <w:ilvl w:val="3"/>
          <w:numId w:val="11"/>
        </w:numPr>
        <w:ind w:left="0"/>
      </w:pPr>
      <w:r w:rsidRPr="004A50A0">
        <w:rPr>
          <w:b/>
        </w:rPr>
        <w:t xml:space="preserve">Tight expenditure oversight and regular data collection are necessary to measure the effectiveness of public spending, but </w:t>
      </w:r>
      <w:r w:rsidR="0012156C">
        <w:rPr>
          <w:b/>
        </w:rPr>
        <w:t xml:space="preserve">the </w:t>
      </w:r>
      <w:r w:rsidRPr="004A50A0">
        <w:rPr>
          <w:b/>
        </w:rPr>
        <w:t>MoFA suffers from critical deficiencies in both areas.</w:t>
      </w:r>
      <w:r w:rsidRPr="00352D3A">
        <w:t xml:space="preserve"> The available data are not sufficient to enable a reliable analysis of the</w:t>
      </w:r>
      <w:r w:rsidRPr="007F0935">
        <w:t xml:space="preserve"> returns to different types of expenditures</w:t>
      </w:r>
      <w:r w:rsidRPr="000062E1">
        <w:t xml:space="preserve">, and no information on agricultural investment by region is currently available. Ideally, </w:t>
      </w:r>
      <w:r w:rsidR="008520B6">
        <w:lastRenderedPageBreak/>
        <w:t xml:space="preserve">the </w:t>
      </w:r>
      <w:r w:rsidRPr="000062E1">
        <w:t>MoFA should produce spatially disaggregated time-series data showing spending on agricultural subsectors, functions</w:t>
      </w:r>
      <w:r w:rsidR="008520B6">
        <w:t>,</w:t>
      </w:r>
      <w:r w:rsidRPr="000062E1">
        <w:t xml:space="preserve"> and activities in each region. Increasing investment in systematic data collection should be a priority objective of a government-wide effort to enhance information management and improve public expenditure targeting. </w:t>
      </w:r>
      <w:r w:rsidR="008520B6">
        <w:t xml:space="preserve">The </w:t>
      </w:r>
      <w:r w:rsidRPr="000062E1">
        <w:t>MoFA is currently seeking assistance from Ghana’s development partners to strengthen its data-collection capacity.</w:t>
      </w:r>
    </w:p>
    <w:p w14:paraId="3985881F" w14:textId="77777777" w:rsidR="00050905" w:rsidRPr="00E45355" w:rsidRDefault="00050905" w:rsidP="00894F2B">
      <w:pPr>
        <w:pStyle w:val="Heading2"/>
      </w:pPr>
      <w:bookmarkStart w:id="238" w:name="_Toc479624911"/>
      <w:r w:rsidRPr="00E45355">
        <w:t>Achieving The Sector’s Growth Potential</w:t>
      </w:r>
      <w:bookmarkEnd w:id="238"/>
      <w:r w:rsidRPr="00E45355">
        <w:t xml:space="preserve">  </w:t>
      </w:r>
    </w:p>
    <w:p w14:paraId="52C3CDB3" w14:textId="77777777" w:rsidR="00050905" w:rsidRPr="000062E1" w:rsidRDefault="00050905" w:rsidP="00724BAB">
      <w:pPr>
        <w:pStyle w:val="ListParagraph"/>
        <w:numPr>
          <w:ilvl w:val="3"/>
          <w:numId w:val="11"/>
        </w:numPr>
        <w:ind w:left="0"/>
      </w:pPr>
      <w:r w:rsidRPr="004A50A0">
        <w:rPr>
          <w:b/>
        </w:rPr>
        <w:t>While Ghana has the potential to be a net food exporter, low productivity in the food-crop and livestock subsectors has undermined its food security.</w:t>
      </w:r>
      <w:r w:rsidRPr="00352D3A">
        <w:t xml:space="preserve"> Food products</w:t>
      </w:r>
      <w:r w:rsidRPr="007F0935">
        <w:t xml:space="preserve"> have</w:t>
      </w:r>
      <w:r w:rsidRPr="000062E1">
        <w:t xml:space="preserve"> accounted for about 19 percent of total imports over the last three years, with staple grains alone representing 5 percent. A combination of population and income growth is steadily increasing demand for food, especially for more expensive foodstuffs such as meat, dairy products</w:t>
      </w:r>
      <w:r w:rsidR="003C382B">
        <w:t>,</w:t>
      </w:r>
      <w:r w:rsidRPr="000062E1">
        <w:t xml:space="preserve"> and vegetables. Rapid urbanization and associated shifts in consumer preferences are also boosting demand for processed foods, much of which is currently satisfied by imports. Food demand in urban areas is projected to increase fourfold over the next 20 years.</w:t>
      </w:r>
    </w:p>
    <w:p w14:paraId="3CB72DF6" w14:textId="77777777" w:rsidR="00050905" w:rsidRPr="000062E1" w:rsidRDefault="00050905" w:rsidP="00724BAB">
      <w:pPr>
        <w:pStyle w:val="ListParagraph"/>
        <w:numPr>
          <w:ilvl w:val="3"/>
          <w:numId w:val="11"/>
        </w:numPr>
        <w:ind w:left="0"/>
      </w:pPr>
      <w:r w:rsidRPr="004A50A0">
        <w:rPr>
          <w:b/>
        </w:rPr>
        <w:t>For decades</w:t>
      </w:r>
      <w:r w:rsidR="0073664E">
        <w:rPr>
          <w:b/>
        </w:rPr>
        <w:t>,</w:t>
      </w:r>
      <w:r w:rsidRPr="004A50A0">
        <w:rPr>
          <w:b/>
        </w:rPr>
        <w:t xml:space="preserve"> Ghana’s agricultural growth has been driven by the expansion of cultivated area</w:t>
      </w:r>
      <w:r w:rsidR="0073664E">
        <w:rPr>
          <w:b/>
        </w:rPr>
        <w:t>s</w:t>
      </w:r>
      <w:r w:rsidRPr="004A50A0">
        <w:rPr>
          <w:b/>
        </w:rPr>
        <w:t xml:space="preserve"> rather than by increased productivity.</w:t>
      </w:r>
      <w:r w:rsidRPr="00352D3A">
        <w:t xml:space="preserve"> Ghana lags many other West African countries in terms of </w:t>
      </w:r>
      <w:r w:rsidRPr="007F0935">
        <w:t>per</w:t>
      </w:r>
      <w:r w:rsidR="00D71518">
        <w:t xml:space="preserve"> </w:t>
      </w:r>
      <w:r w:rsidRPr="007F0935">
        <w:t xml:space="preserve">hectare </w:t>
      </w:r>
      <w:r w:rsidRPr="000062E1">
        <w:t>yields for most crops.</w:t>
      </w:r>
      <w:r w:rsidRPr="004A50A0">
        <w:rPr>
          <w:rStyle w:val="FootnoteReference"/>
        </w:rPr>
        <w:footnoteReference w:id="156"/>
      </w:r>
      <w:r w:rsidRPr="00352D3A">
        <w:t xml:space="preserve"> Actual yields remain </w:t>
      </w:r>
      <w:r w:rsidRPr="007F0935">
        <w:t>far below their potential, and per-hectare productivity has</w:t>
      </w:r>
      <w:r w:rsidRPr="000062E1">
        <w:t xml:space="preserve"> been largely stagnant over time (</w:t>
      </w:r>
      <w:r w:rsidR="003D5DA2">
        <w:fldChar w:fldCharType="begin"/>
      </w:r>
      <w:r w:rsidR="003D5DA2">
        <w:instrText xml:space="preserve"> REF _Ref472431275 \h </w:instrText>
      </w:r>
      <w:r w:rsidR="003D5DA2">
        <w:fldChar w:fldCharType="separate"/>
      </w:r>
      <w:r w:rsidR="007B1CE6">
        <w:t xml:space="preserve">Table </w:t>
      </w:r>
      <w:r w:rsidR="007B1CE6">
        <w:rPr>
          <w:noProof/>
        </w:rPr>
        <w:t>5</w:t>
      </w:r>
      <w:r w:rsidR="007B1CE6">
        <w:t>.</w:t>
      </w:r>
      <w:r w:rsidR="007B1CE6">
        <w:rPr>
          <w:noProof/>
        </w:rPr>
        <w:t>4</w:t>
      </w:r>
      <w:r w:rsidR="003D5DA2">
        <w:fldChar w:fldCharType="end"/>
      </w:r>
      <w:r w:rsidRPr="00352D3A">
        <w:t xml:space="preserve">). Production surveys carried out by </w:t>
      </w:r>
      <w:r w:rsidR="0073664E">
        <w:t xml:space="preserve">the International Food </w:t>
      </w:r>
      <w:r w:rsidR="00D56042">
        <w:t xml:space="preserve">Policy </w:t>
      </w:r>
      <w:r w:rsidR="0073664E">
        <w:t xml:space="preserve">Research Institute </w:t>
      </w:r>
      <w:r w:rsidRPr="00352D3A">
        <w:t xml:space="preserve">and the US Agency for International Development have found even lower yields than the </w:t>
      </w:r>
      <w:r w:rsidRPr="000062E1">
        <w:t xml:space="preserve">official MoFA figures, suggesting that </w:t>
      </w:r>
      <w:r w:rsidR="0073664E">
        <w:t xml:space="preserve">the </w:t>
      </w:r>
      <w:r w:rsidRPr="000062E1">
        <w:t xml:space="preserve">MoFA may be significantly underestimating yield gaps. </w:t>
      </w:r>
    </w:p>
    <w:p w14:paraId="5A6AF95A" w14:textId="77777777" w:rsidR="00050905" w:rsidRPr="000062E1" w:rsidRDefault="00050905" w:rsidP="00724BAB">
      <w:pPr>
        <w:pStyle w:val="ListParagraph"/>
        <w:numPr>
          <w:ilvl w:val="3"/>
          <w:numId w:val="11"/>
        </w:numPr>
        <w:ind w:left="0"/>
      </w:pPr>
      <w:r w:rsidRPr="004A50A0">
        <w:rPr>
          <w:b/>
        </w:rPr>
        <w:t>Despite the economic importance of cocoa, and the large share of agricultural spending devoted to it, Ghana’s average cocoa yield per hectare is among the lowest in the world.</w:t>
      </w:r>
      <w:r w:rsidRPr="00352D3A">
        <w:t xml:space="preserve"> The cocoa yield gap is estimated at more than </w:t>
      </w:r>
      <w:r w:rsidRPr="007F0935">
        <w:t>100 percent</w:t>
      </w:r>
      <w:r w:rsidRPr="000062E1">
        <w:t>, meaning that the existing area of cultivated land could produce twice as much cocoa as it does currently. Productivity growth is constrained by the slow adoption of new technologies and limited access to inputs, especially improved seed and fertilizer. In addition to the same productivity issues that affect other crops, cocoa output is also inhibited by the unnecessarily distortive intervention of the public sector.</w:t>
      </w:r>
    </w:p>
    <w:p w14:paraId="54ECDA5F" w14:textId="77777777" w:rsidR="00050905" w:rsidRPr="00322815" w:rsidRDefault="000B59F0" w:rsidP="000B59F0">
      <w:pPr>
        <w:pStyle w:val="Caption"/>
      </w:pPr>
      <w:bookmarkStart w:id="239" w:name="_Ref472431275"/>
      <w:bookmarkStart w:id="240" w:name="_Toc478837662"/>
      <w:r>
        <w:lastRenderedPageBreak/>
        <w:t xml:space="preserve">Table </w:t>
      </w:r>
      <w:r w:rsidR="00500291">
        <w:fldChar w:fldCharType="begin"/>
      </w:r>
      <w:r w:rsidR="00500291">
        <w:instrText xml:space="preserve"> STYLEREF 1 \s </w:instrText>
      </w:r>
      <w:r w:rsidR="00500291">
        <w:fldChar w:fldCharType="separate"/>
      </w:r>
      <w:r w:rsidR="007B1CE6">
        <w:rPr>
          <w:noProof/>
        </w:rPr>
        <w:t>5</w:t>
      </w:r>
      <w:r w:rsidR="00500291">
        <w:fldChar w:fldCharType="end"/>
      </w:r>
      <w:r w:rsidR="00500291">
        <w:t>.</w:t>
      </w:r>
      <w:r w:rsidR="00500291">
        <w:fldChar w:fldCharType="begin"/>
      </w:r>
      <w:r w:rsidR="00500291">
        <w:instrText xml:space="preserve"> SEQ Table \* ARABIC \s 1 </w:instrText>
      </w:r>
      <w:r w:rsidR="00500291">
        <w:fldChar w:fldCharType="separate"/>
      </w:r>
      <w:r w:rsidR="007B1CE6">
        <w:rPr>
          <w:noProof/>
        </w:rPr>
        <w:t>4</w:t>
      </w:r>
      <w:r w:rsidR="00500291">
        <w:fldChar w:fldCharType="end"/>
      </w:r>
      <w:bookmarkEnd w:id="239"/>
      <w:r w:rsidR="00050905" w:rsidRPr="00322815">
        <w:t>: Actual and Potential Crop Yields in Ghana (mt/ha)</w:t>
      </w:r>
      <w:bookmarkEnd w:id="240"/>
    </w:p>
    <w:tbl>
      <w:tblPr>
        <w:tblStyle w:val="TableGrid"/>
        <w:tblW w:w="0" w:type="auto"/>
        <w:jc w:val="center"/>
        <w:tblLook w:val="04A0" w:firstRow="1" w:lastRow="0" w:firstColumn="1" w:lastColumn="0" w:noHBand="0" w:noVBand="1"/>
      </w:tblPr>
      <w:tblGrid>
        <w:gridCol w:w="1435"/>
        <w:gridCol w:w="1053"/>
        <w:gridCol w:w="663"/>
        <w:gridCol w:w="663"/>
        <w:gridCol w:w="663"/>
        <w:gridCol w:w="663"/>
        <w:gridCol w:w="663"/>
        <w:gridCol w:w="663"/>
        <w:gridCol w:w="663"/>
        <w:gridCol w:w="1440"/>
      </w:tblGrid>
      <w:tr w:rsidR="00050905" w:rsidRPr="00B45D1C" w14:paraId="769F7D32" w14:textId="77777777" w:rsidTr="00DC36BF">
        <w:trPr>
          <w:trHeight w:val="600"/>
          <w:jc w:val="center"/>
        </w:trPr>
        <w:tc>
          <w:tcPr>
            <w:tcW w:w="1435" w:type="dxa"/>
            <w:shd w:val="clear" w:color="auto" w:fill="DBDBDB" w:themeFill="accent3" w:themeFillTint="66"/>
            <w:noWrap/>
            <w:vAlign w:val="center"/>
            <w:hideMark/>
          </w:tcPr>
          <w:p w14:paraId="1D823ED6" w14:textId="77777777" w:rsidR="00050905" w:rsidRPr="00DC36BF" w:rsidRDefault="00050905" w:rsidP="005A7652">
            <w:pPr>
              <w:keepNext/>
              <w:keepLines/>
              <w:contextualSpacing/>
              <w:jc w:val="center"/>
              <w:rPr>
                <w:rFonts w:ascii="Garamond" w:hAnsi="Garamond" w:cs="Times New Roman"/>
                <w:b/>
                <w:bCs/>
              </w:rPr>
            </w:pPr>
            <w:r w:rsidRPr="00DC36BF">
              <w:rPr>
                <w:rFonts w:ascii="Garamond" w:hAnsi="Garamond" w:cs="Times New Roman"/>
                <w:b/>
                <w:bCs/>
              </w:rPr>
              <w:t>Commodity</w:t>
            </w:r>
          </w:p>
        </w:tc>
        <w:tc>
          <w:tcPr>
            <w:tcW w:w="822" w:type="dxa"/>
            <w:shd w:val="clear" w:color="auto" w:fill="DBDBDB" w:themeFill="accent3" w:themeFillTint="66"/>
            <w:noWrap/>
            <w:vAlign w:val="center"/>
            <w:hideMark/>
          </w:tcPr>
          <w:p w14:paraId="28B166CB" w14:textId="77777777" w:rsidR="00050905" w:rsidRPr="00DC36BF" w:rsidRDefault="00050905" w:rsidP="005A7652">
            <w:pPr>
              <w:keepNext/>
              <w:keepLines/>
              <w:contextualSpacing/>
              <w:jc w:val="center"/>
              <w:rPr>
                <w:rFonts w:ascii="Garamond" w:hAnsi="Garamond" w:cs="Times New Roman"/>
                <w:b/>
                <w:bCs/>
              </w:rPr>
            </w:pPr>
            <w:r w:rsidRPr="00DC36BF">
              <w:rPr>
                <w:rFonts w:ascii="Garamond" w:hAnsi="Garamond" w:cs="Times New Roman"/>
                <w:b/>
                <w:bCs/>
              </w:rPr>
              <w:t>Potential</w:t>
            </w:r>
          </w:p>
        </w:tc>
        <w:tc>
          <w:tcPr>
            <w:tcW w:w="663" w:type="dxa"/>
            <w:tcBorders>
              <w:top w:val="single" w:sz="4" w:space="0" w:color="auto"/>
              <w:bottom w:val="single" w:sz="4" w:space="0" w:color="auto"/>
              <w:right w:val="nil"/>
            </w:tcBorders>
            <w:shd w:val="clear" w:color="auto" w:fill="DBDBDB" w:themeFill="accent3" w:themeFillTint="66"/>
            <w:noWrap/>
            <w:vAlign w:val="center"/>
            <w:hideMark/>
          </w:tcPr>
          <w:p w14:paraId="38C1456D" w14:textId="77777777" w:rsidR="00050905" w:rsidRPr="00DC36BF" w:rsidRDefault="00050905" w:rsidP="005A7652">
            <w:pPr>
              <w:keepNext/>
              <w:keepLines/>
              <w:contextualSpacing/>
              <w:jc w:val="center"/>
              <w:rPr>
                <w:rFonts w:ascii="Garamond" w:hAnsi="Garamond" w:cs="Times New Roman"/>
                <w:b/>
                <w:bCs/>
              </w:rPr>
            </w:pPr>
            <w:r w:rsidRPr="00DC36BF">
              <w:rPr>
                <w:rFonts w:ascii="Garamond" w:hAnsi="Garamond" w:cs="Times New Roman"/>
                <w:b/>
                <w:bCs/>
              </w:rPr>
              <w:t>2008</w:t>
            </w:r>
          </w:p>
        </w:tc>
        <w:tc>
          <w:tcPr>
            <w:tcW w:w="663" w:type="dxa"/>
            <w:tcBorders>
              <w:top w:val="single" w:sz="4" w:space="0" w:color="auto"/>
              <w:left w:val="nil"/>
              <w:bottom w:val="single" w:sz="4" w:space="0" w:color="auto"/>
              <w:right w:val="nil"/>
            </w:tcBorders>
            <w:shd w:val="clear" w:color="auto" w:fill="DBDBDB" w:themeFill="accent3" w:themeFillTint="66"/>
            <w:noWrap/>
            <w:vAlign w:val="center"/>
            <w:hideMark/>
          </w:tcPr>
          <w:p w14:paraId="69912B9B" w14:textId="77777777" w:rsidR="00050905" w:rsidRPr="00DC36BF" w:rsidRDefault="00050905" w:rsidP="005A7652">
            <w:pPr>
              <w:keepNext/>
              <w:keepLines/>
              <w:contextualSpacing/>
              <w:jc w:val="center"/>
              <w:rPr>
                <w:rFonts w:ascii="Garamond" w:hAnsi="Garamond" w:cs="Times New Roman"/>
                <w:b/>
                <w:bCs/>
              </w:rPr>
            </w:pPr>
            <w:r w:rsidRPr="00DC36BF">
              <w:rPr>
                <w:rFonts w:ascii="Garamond" w:hAnsi="Garamond" w:cs="Times New Roman"/>
                <w:b/>
                <w:bCs/>
              </w:rPr>
              <w:t>2009</w:t>
            </w:r>
          </w:p>
        </w:tc>
        <w:tc>
          <w:tcPr>
            <w:tcW w:w="663" w:type="dxa"/>
            <w:tcBorders>
              <w:top w:val="single" w:sz="4" w:space="0" w:color="auto"/>
              <w:left w:val="nil"/>
              <w:bottom w:val="single" w:sz="4" w:space="0" w:color="auto"/>
              <w:right w:val="nil"/>
            </w:tcBorders>
            <w:shd w:val="clear" w:color="auto" w:fill="DBDBDB" w:themeFill="accent3" w:themeFillTint="66"/>
            <w:noWrap/>
            <w:vAlign w:val="center"/>
            <w:hideMark/>
          </w:tcPr>
          <w:p w14:paraId="0142BE51" w14:textId="77777777" w:rsidR="00050905" w:rsidRPr="00DC36BF" w:rsidRDefault="00050905" w:rsidP="005A7652">
            <w:pPr>
              <w:keepNext/>
              <w:keepLines/>
              <w:contextualSpacing/>
              <w:jc w:val="center"/>
              <w:rPr>
                <w:rFonts w:ascii="Garamond" w:hAnsi="Garamond" w:cs="Times New Roman"/>
                <w:b/>
                <w:bCs/>
              </w:rPr>
            </w:pPr>
            <w:r w:rsidRPr="00DC36BF">
              <w:rPr>
                <w:rFonts w:ascii="Garamond" w:hAnsi="Garamond" w:cs="Times New Roman"/>
                <w:b/>
                <w:bCs/>
              </w:rPr>
              <w:t>2010</w:t>
            </w:r>
          </w:p>
        </w:tc>
        <w:tc>
          <w:tcPr>
            <w:tcW w:w="663" w:type="dxa"/>
            <w:tcBorders>
              <w:top w:val="single" w:sz="4" w:space="0" w:color="auto"/>
              <w:left w:val="nil"/>
              <w:bottom w:val="single" w:sz="4" w:space="0" w:color="auto"/>
              <w:right w:val="nil"/>
            </w:tcBorders>
            <w:shd w:val="clear" w:color="auto" w:fill="DBDBDB" w:themeFill="accent3" w:themeFillTint="66"/>
            <w:noWrap/>
            <w:vAlign w:val="center"/>
            <w:hideMark/>
          </w:tcPr>
          <w:p w14:paraId="788BD734" w14:textId="77777777" w:rsidR="00050905" w:rsidRPr="00DC36BF" w:rsidRDefault="00050905" w:rsidP="005A7652">
            <w:pPr>
              <w:keepNext/>
              <w:keepLines/>
              <w:contextualSpacing/>
              <w:jc w:val="center"/>
              <w:rPr>
                <w:rFonts w:ascii="Garamond" w:hAnsi="Garamond" w:cs="Times New Roman"/>
                <w:b/>
                <w:bCs/>
              </w:rPr>
            </w:pPr>
            <w:r w:rsidRPr="00DC36BF">
              <w:rPr>
                <w:rFonts w:ascii="Garamond" w:hAnsi="Garamond" w:cs="Times New Roman"/>
                <w:b/>
                <w:bCs/>
              </w:rPr>
              <w:t>2011</w:t>
            </w:r>
          </w:p>
        </w:tc>
        <w:tc>
          <w:tcPr>
            <w:tcW w:w="663" w:type="dxa"/>
            <w:tcBorders>
              <w:top w:val="single" w:sz="4" w:space="0" w:color="auto"/>
              <w:left w:val="nil"/>
              <w:bottom w:val="single" w:sz="4" w:space="0" w:color="auto"/>
              <w:right w:val="nil"/>
            </w:tcBorders>
            <w:shd w:val="clear" w:color="auto" w:fill="DBDBDB" w:themeFill="accent3" w:themeFillTint="66"/>
            <w:noWrap/>
            <w:vAlign w:val="center"/>
            <w:hideMark/>
          </w:tcPr>
          <w:p w14:paraId="27CBE56C" w14:textId="77777777" w:rsidR="00050905" w:rsidRPr="00DC36BF" w:rsidRDefault="00050905" w:rsidP="005A7652">
            <w:pPr>
              <w:keepNext/>
              <w:keepLines/>
              <w:contextualSpacing/>
              <w:jc w:val="center"/>
              <w:rPr>
                <w:rFonts w:ascii="Garamond" w:hAnsi="Garamond" w:cs="Times New Roman"/>
                <w:b/>
                <w:bCs/>
              </w:rPr>
            </w:pPr>
            <w:r w:rsidRPr="00DC36BF">
              <w:rPr>
                <w:rFonts w:ascii="Garamond" w:hAnsi="Garamond" w:cs="Times New Roman"/>
                <w:b/>
                <w:bCs/>
              </w:rPr>
              <w:t>2012</w:t>
            </w:r>
          </w:p>
        </w:tc>
        <w:tc>
          <w:tcPr>
            <w:tcW w:w="663" w:type="dxa"/>
            <w:tcBorders>
              <w:top w:val="single" w:sz="4" w:space="0" w:color="auto"/>
              <w:left w:val="nil"/>
              <w:bottom w:val="single" w:sz="4" w:space="0" w:color="auto"/>
              <w:right w:val="nil"/>
            </w:tcBorders>
            <w:shd w:val="clear" w:color="auto" w:fill="DBDBDB" w:themeFill="accent3" w:themeFillTint="66"/>
            <w:noWrap/>
            <w:vAlign w:val="center"/>
            <w:hideMark/>
          </w:tcPr>
          <w:p w14:paraId="542D2518" w14:textId="77777777" w:rsidR="00050905" w:rsidRPr="00DC36BF" w:rsidRDefault="00050905" w:rsidP="005A7652">
            <w:pPr>
              <w:keepNext/>
              <w:keepLines/>
              <w:contextualSpacing/>
              <w:jc w:val="center"/>
              <w:rPr>
                <w:rFonts w:ascii="Garamond" w:hAnsi="Garamond" w:cs="Times New Roman"/>
                <w:b/>
                <w:bCs/>
              </w:rPr>
            </w:pPr>
            <w:r w:rsidRPr="00DC36BF">
              <w:rPr>
                <w:rFonts w:ascii="Garamond" w:hAnsi="Garamond" w:cs="Times New Roman"/>
                <w:b/>
                <w:bCs/>
              </w:rPr>
              <w:t>2013</w:t>
            </w:r>
          </w:p>
        </w:tc>
        <w:tc>
          <w:tcPr>
            <w:tcW w:w="663" w:type="dxa"/>
            <w:tcBorders>
              <w:top w:val="single" w:sz="4" w:space="0" w:color="auto"/>
              <w:left w:val="nil"/>
              <w:bottom w:val="single" w:sz="4" w:space="0" w:color="auto"/>
            </w:tcBorders>
            <w:shd w:val="clear" w:color="auto" w:fill="DBDBDB" w:themeFill="accent3" w:themeFillTint="66"/>
            <w:noWrap/>
            <w:vAlign w:val="center"/>
            <w:hideMark/>
          </w:tcPr>
          <w:p w14:paraId="62F4E0C9" w14:textId="77777777" w:rsidR="00050905" w:rsidRPr="00DC36BF" w:rsidRDefault="00050905" w:rsidP="005A7652">
            <w:pPr>
              <w:keepNext/>
              <w:keepLines/>
              <w:contextualSpacing/>
              <w:jc w:val="center"/>
              <w:rPr>
                <w:rFonts w:ascii="Garamond" w:hAnsi="Garamond" w:cs="Times New Roman"/>
                <w:b/>
                <w:bCs/>
              </w:rPr>
            </w:pPr>
            <w:r w:rsidRPr="00DC36BF">
              <w:rPr>
                <w:rFonts w:ascii="Garamond" w:hAnsi="Garamond" w:cs="Times New Roman"/>
                <w:b/>
                <w:bCs/>
              </w:rPr>
              <w:t>2014</w:t>
            </w:r>
          </w:p>
        </w:tc>
        <w:tc>
          <w:tcPr>
            <w:tcW w:w="1440" w:type="dxa"/>
            <w:shd w:val="clear" w:color="auto" w:fill="DBDBDB" w:themeFill="accent3" w:themeFillTint="66"/>
            <w:vAlign w:val="center"/>
            <w:hideMark/>
          </w:tcPr>
          <w:p w14:paraId="67605B67" w14:textId="77777777" w:rsidR="00050905" w:rsidRPr="00DC36BF" w:rsidRDefault="00050905" w:rsidP="005A7652">
            <w:pPr>
              <w:keepNext/>
              <w:keepLines/>
              <w:contextualSpacing/>
              <w:jc w:val="center"/>
              <w:rPr>
                <w:rFonts w:ascii="Garamond" w:hAnsi="Garamond" w:cs="Times New Roman"/>
                <w:b/>
                <w:bCs/>
              </w:rPr>
            </w:pPr>
            <w:r w:rsidRPr="00DC36BF">
              <w:rPr>
                <w:rFonts w:ascii="Garamond" w:hAnsi="Garamond" w:cs="Times New Roman"/>
                <w:b/>
                <w:bCs/>
              </w:rPr>
              <w:t>Actual as % of Potential</w:t>
            </w:r>
          </w:p>
        </w:tc>
      </w:tr>
      <w:tr w:rsidR="00050905" w:rsidRPr="00B45D1C" w14:paraId="26FC00C8" w14:textId="77777777" w:rsidTr="005A7652">
        <w:trPr>
          <w:trHeight w:val="300"/>
          <w:jc w:val="center"/>
        </w:trPr>
        <w:tc>
          <w:tcPr>
            <w:tcW w:w="1435" w:type="dxa"/>
            <w:noWrap/>
            <w:hideMark/>
          </w:tcPr>
          <w:p w14:paraId="5F92CDE4" w14:textId="77777777" w:rsidR="00050905" w:rsidRPr="00B45D1C" w:rsidRDefault="00050905" w:rsidP="005A7652">
            <w:pPr>
              <w:keepNext/>
              <w:keepLines/>
              <w:contextualSpacing/>
              <w:rPr>
                <w:rFonts w:ascii="Garamond" w:hAnsi="Garamond" w:cs="Times New Roman"/>
              </w:rPr>
            </w:pPr>
            <w:r w:rsidRPr="00B45D1C">
              <w:rPr>
                <w:rFonts w:ascii="Garamond" w:hAnsi="Garamond" w:cs="Times New Roman"/>
              </w:rPr>
              <w:t>Maize</w:t>
            </w:r>
          </w:p>
        </w:tc>
        <w:tc>
          <w:tcPr>
            <w:tcW w:w="822" w:type="dxa"/>
            <w:noWrap/>
            <w:hideMark/>
          </w:tcPr>
          <w:p w14:paraId="1DF17EDE" w14:textId="77777777" w:rsidR="00050905" w:rsidRPr="00B45D1C" w:rsidRDefault="00050905" w:rsidP="005A7652">
            <w:pPr>
              <w:keepNext/>
              <w:keepLines/>
              <w:contextualSpacing/>
              <w:jc w:val="center"/>
              <w:rPr>
                <w:rFonts w:ascii="Garamond" w:hAnsi="Garamond" w:cs="Times New Roman"/>
              </w:rPr>
            </w:pPr>
            <w:r w:rsidRPr="00B45D1C">
              <w:rPr>
                <w:rFonts w:ascii="Garamond" w:hAnsi="Garamond" w:cs="Times New Roman"/>
              </w:rPr>
              <w:t>5.0</w:t>
            </w:r>
          </w:p>
        </w:tc>
        <w:tc>
          <w:tcPr>
            <w:tcW w:w="663" w:type="dxa"/>
            <w:tcBorders>
              <w:top w:val="single" w:sz="4" w:space="0" w:color="auto"/>
              <w:bottom w:val="single" w:sz="4" w:space="0" w:color="auto"/>
              <w:right w:val="nil"/>
            </w:tcBorders>
            <w:noWrap/>
            <w:hideMark/>
          </w:tcPr>
          <w:p w14:paraId="549CD8B9"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1.7</w:t>
            </w:r>
          </w:p>
        </w:tc>
        <w:tc>
          <w:tcPr>
            <w:tcW w:w="663" w:type="dxa"/>
            <w:tcBorders>
              <w:top w:val="single" w:sz="4" w:space="0" w:color="auto"/>
              <w:left w:val="nil"/>
              <w:bottom w:val="single" w:sz="4" w:space="0" w:color="auto"/>
              <w:right w:val="nil"/>
            </w:tcBorders>
            <w:noWrap/>
            <w:hideMark/>
          </w:tcPr>
          <w:p w14:paraId="20331563"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1.7</w:t>
            </w:r>
          </w:p>
        </w:tc>
        <w:tc>
          <w:tcPr>
            <w:tcW w:w="663" w:type="dxa"/>
            <w:tcBorders>
              <w:top w:val="single" w:sz="4" w:space="0" w:color="auto"/>
              <w:left w:val="nil"/>
              <w:bottom w:val="single" w:sz="4" w:space="0" w:color="auto"/>
              <w:right w:val="nil"/>
            </w:tcBorders>
            <w:noWrap/>
            <w:hideMark/>
          </w:tcPr>
          <w:p w14:paraId="62C84B2F"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1.9</w:t>
            </w:r>
          </w:p>
        </w:tc>
        <w:tc>
          <w:tcPr>
            <w:tcW w:w="663" w:type="dxa"/>
            <w:tcBorders>
              <w:top w:val="single" w:sz="4" w:space="0" w:color="auto"/>
              <w:left w:val="nil"/>
              <w:bottom w:val="single" w:sz="4" w:space="0" w:color="auto"/>
              <w:right w:val="nil"/>
            </w:tcBorders>
            <w:noWrap/>
            <w:hideMark/>
          </w:tcPr>
          <w:p w14:paraId="38F92A35"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1.7</w:t>
            </w:r>
          </w:p>
        </w:tc>
        <w:tc>
          <w:tcPr>
            <w:tcW w:w="663" w:type="dxa"/>
            <w:tcBorders>
              <w:top w:val="single" w:sz="4" w:space="0" w:color="auto"/>
              <w:left w:val="nil"/>
              <w:bottom w:val="single" w:sz="4" w:space="0" w:color="auto"/>
              <w:right w:val="nil"/>
            </w:tcBorders>
            <w:noWrap/>
            <w:hideMark/>
          </w:tcPr>
          <w:p w14:paraId="49D50ED1"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1.4</w:t>
            </w:r>
          </w:p>
        </w:tc>
        <w:tc>
          <w:tcPr>
            <w:tcW w:w="663" w:type="dxa"/>
            <w:tcBorders>
              <w:top w:val="single" w:sz="4" w:space="0" w:color="auto"/>
              <w:left w:val="nil"/>
              <w:bottom w:val="single" w:sz="4" w:space="0" w:color="auto"/>
              <w:right w:val="nil"/>
            </w:tcBorders>
            <w:noWrap/>
            <w:hideMark/>
          </w:tcPr>
          <w:p w14:paraId="0DA6406B"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1.7</w:t>
            </w:r>
          </w:p>
        </w:tc>
        <w:tc>
          <w:tcPr>
            <w:tcW w:w="663" w:type="dxa"/>
            <w:tcBorders>
              <w:top w:val="single" w:sz="4" w:space="0" w:color="auto"/>
              <w:left w:val="nil"/>
              <w:bottom w:val="single" w:sz="4" w:space="0" w:color="auto"/>
            </w:tcBorders>
            <w:noWrap/>
            <w:hideMark/>
          </w:tcPr>
          <w:p w14:paraId="3E021034"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1.7</w:t>
            </w:r>
          </w:p>
        </w:tc>
        <w:tc>
          <w:tcPr>
            <w:tcW w:w="1440" w:type="dxa"/>
            <w:noWrap/>
            <w:hideMark/>
          </w:tcPr>
          <w:p w14:paraId="703471BB" w14:textId="77777777" w:rsidR="00050905" w:rsidRPr="00B45D1C" w:rsidRDefault="00050905" w:rsidP="005A7652">
            <w:pPr>
              <w:keepNext/>
              <w:keepLines/>
              <w:contextualSpacing/>
              <w:jc w:val="center"/>
              <w:rPr>
                <w:rFonts w:ascii="Garamond" w:hAnsi="Garamond" w:cs="Times New Roman"/>
              </w:rPr>
            </w:pPr>
            <w:r w:rsidRPr="00B45D1C">
              <w:rPr>
                <w:rFonts w:ascii="Garamond" w:hAnsi="Garamond" w:cs="Times New Roman"/>
              </w:rPr>
              <w:t>35.0</w:t>
            </w:r>
          </w:p>
        </w:tc>
      </w:tr>
      <w:tr w:rsidR="00050905" w:rsidRPr="00B45D1C" w14:paraId="0FE34C9F" w14:textId="77777777" w:rsidTr="005A7652">
        <w:trPr>
          <w:trHeight w:val="300"/>
          <w:jc w:val="center"/>
        </w:trPr>
        <w:tc>
          <w:tcPr>
            <w:tcW w:w="1435" w:type="dxa"/>
            <w:noWrap/>
            <w:hideMark/>
          </w:tcPr>
          <w:p w14:paraId="2CB6B739" w14:textId="77777777" w:rsidR="00050905" w:rsidRPr="00B45D1C" w:rsidRDefault="00050905" w:rsidP="005A7652">
            <w:pPr>
              <w:keepNext/>
              <w:keepLines/>
              <w:contextualSpacing/>
              <w:rPr>
                <w:rFonts w:ascii="Garamond" w:hAnsi="Garamond" w:cs="Times New Roman"/>
              </w:rPr>
            </w:pPr>
            <w:r w:rsidRPr="00B45D1C">
              <w:rPr>
                <w:rFonts w:ascii="Garamond" w:hAnsi="Garamond" w:cs="Times New Roman"/>
              </w:rPr>
              <w:t>Rice (paddy)</w:t>
            </w:r>
          </w:p>
        </w:tc>
        <w:tc>
          <w:tcPr>
            <w:tcW w:w="822" w:type="dxa"/>
            <w:noWrap/>
            <w:hideMark/>
          </w:tcPr>
          <w:p w14:paraId="789FD2E1" w14:textId="77777777" w:rsidR="00050905" w:rsidRPr="00B45D1C" w:rsidRDefault="00050905" w:rsidP="005A7652">
            <w:pPr>
              <w:keepNext/>
              <w:keepLines/>
              <w:contextualSpacing/>
              <w:jc w:val="center"/>
              <w:rPr>
                <w:rFonts w:ascii="Garamond" w:hAnsi="Garamond" w:cs="Times New Roman"/>
              </w:rPr>
            </w:pPr>
            <w:r w:rsidRPr="00B45D1C">
              <w:rPr>
                <w:rFonts w:ascii="Garamond" w:hAnsi="Garamond" w:cs="Times New Roman"/>
              </w:rPr>
              <w:t>6.0</w:t>
            </w:r>
          </w:p>
        </w:tc>
        <w:tc>
          <w:tcPr>
            <w:tcW w:w="663" w:type="dxa"/>
            <w:tcBorders>
              <w:top w:val="single" w:sz="4" w:space="0" w:color="auto"/>
              <w:bottom w:val="single" w:sz="4" w:space="0" w:color="auto"/>
              <w:right w:val="nil"/>
            </w:tcBorders>
            <w:noWrap/>
            <w:hideMark/>
          </w:tcPr>
          <w:p w14:paraId="266A0564"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2.3</w:t>
            </w:r>
          </w:p>
        </w:tc>
        <w:tc>
          <w:tcPr>
            <w:tcW w:w="663" w:type="dxa"/>
            <w:tcBorders>
              <w:top w:val="single" w:sz="4" w:space="0" w:color="auto"/>
              <w:left w:val="nil"/>
              <w:bottom w:val="single" w:sz="4" w:space="0" w:color="auto"/>
              <w:right w:val="nil"/>
            </w:tcBorders>
            <w:noWrap/>
            <w:hideMark/>
          </w:tcPr>
          <w:p w14:paraId="4C5D8659"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2.4</w:t>
            </w:r>
          </w:p>
        </w:tc>
        <w:tc>
          <w:tcPr>
            <w:tcW w:w="663" w:type="dxa"/>
            <w:tcBorders>
              <w:top w:val="single" w:sz="4" w:space="0" w:color="auto"/>
              <w:left w:val="nil"/>
              <w:bottom w:val="single" w:sz="4" w:space="0" w:color="auto"/>
              <w:right w:val="nil"/>
            </w:tcBorders>
            <w:noWrap/>
            <w:hideMark/>
          </w:tcPr>
          <w:p w14:paraId="3AF7E6F0"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2.7</w:t>
            </w:r>
          </w:p>
        </w:tc>
        <w:tc>
          <w:tcPr>
            <w:tcW w:w="663" w:type="dxa"/>
            <w:tcBorders>
              <w:top w:val="single" w:sz="4" w:space="0" w:color="auto"/>
              <w:left w:val="nil"/>
              <w:bottom w:val="single" w:sz="4" w:space="0" w:color="auto"/>
              <w:right w:val="nil"/>
            </w:tcBorders>
            <w:noWrap/>
            <w:hideMark/>
          </w:tcPr>
          <w:p w14:paraId="53636086"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2.4</w:t>
            </w:r>
          </w:p>
        </w:tc>
        <w:tc>
          <w:tcPr>
            <w:tcW w:w="663" w:type="dxa"/>
            <w:tcBorders>
              <w:top w:val="single" w:sz="4" w:space="0" w:color="auto"/>
              <w:left w:val="nil"/>
              <w:bottom w:val="single" w:sz="4" w:space="0" w:color="auto"/>
              <w:right w:val="nil"/>
            </w:tcBorders>
            <w:noWrap/>
            <w:hideMark/>
          </w:tcPr>
          <w:p w14:paraId="267ADEA1"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2.5</w:t>
            </w:r>
          </w:p>
        </w:tc>
        <w:tc>
          <w:tcPr>
            <w:tcW w:w="663" w:type="dxa"/>
            <w:tcBorders>
              <w:top w:val="single" w:sz="4" w:space="0" w:color="auto"/>
              <w:left w:val="nil"/>
              <w:bottom w:val="single" w:sz="4" w:space="0" w:color="auto"/>
              <w:right w:val="nil"/>
            </w:tcBorders>
            <w:noWrap/>
            <w:hideMark/>
          </w:tcPr>
          <w:p w14:paraId="52BB9A2F"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2.6</w:t>
            </w:r>
          </w:p>
        </w:tc>
        <w:tc>
          <w:tcPr>
            <w:tcW w:w="663" w:type="dxa"/>
            <w:tcBorders>
              <w:top w:val="single" w:sz="4" w:space="0" w:color="auto"/>
              <w:left w:val="nil"/>
              <w:bottom w:val="single" w:sz="4" w:space="0" w:color="auto"/>
            </w:tcBorders>
            <w:noWrap/>
            <w:hideMark/>
          </w:tcPr>
          <w:p w14:paraId="0216D2CC"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2.7</w:t>
            </w:r>
          </w:p>
        </w:tc>
        <w:tc>
          <w:tcPr>
            <w:tcW w:w="1440" w:type="dxa"/>
            <w:noWrap/>
            <w:hideMark/>
          </w:tcPr>
          <w:p w14:paraId="40A187CB" w14:textId="77777777" w:rsidR="00050905" w:rsidRPr="00B45D1C" w:rsidRDefault="00050905" w:rsidP="005A7652">
            <w:pPr>
              <w:keepNext/>
              <w:keepLines/>
              <w:contextualSpacing/>
              <w:jc w:val="center"/>
              <w:rPr>
                <w:rFonts w:ascii="Garamond" w:hAnsi="Garamond" w:cs="Times New Roman"/>
              </w:rPr>
            </w:pPr>
            <w:r w:rsidRPr="00B45D1C">
              <w:rPr>
                <w:rFonts w:ascii="Garamond" w:hAnsi="Garamond" w:cs="Times New Roman"/>
              </w:rPr>
              <w:t>45.0</w:t>
            </w:r>
          </w:p>
        </w:tc>
      </w:tr>
      <w:tr w:rsidR="00050905" w:rsidRPr="00B45D1C" w14:paraId="0A47E22E" w14:textId="77777777" w:rsidTr="005A7652">
        <w:trPr>
          <w:trHeight w:val="300"/>
          <w:jc w:val="center"/>
        </w:trPr>
        <w:tc>
          <w:tcPr>
            <w:tcW w:w="1435" w:type="dxa"/>
            <w:noWrap/>
            <w:hideMark/>
          </w:tcPr>
          <w:p w14:paraId="1DFF1A06" w14:textId="77777777" w:rsidR="00050905" w:rsidRPr="00B45D1C" w:rsidRDefault="00050905" w:rsidP="005A7652">
            <w:pPr>
              <w:keepNext/>
              <w:keepLines/>
              <w:contextualSpacing/>
              <w:rPr>
                <w:rFonts w:ascii="Garamond" w:hAnsi="Garamond" w:cs="Times New Roman"/>
              </w:rPr>
            </w:pPr>
            <w:r w:rsidRPr="00B45D1C">
              <w:rPr>
                <w:rFonts w:ascii="Garamond" w:hAnsi="Garamond" w:cs="Times New Roman"/>
              </w:rPr>
              <w:t>Cassava</w:t>
            </w:r>
          </w:p>
        </w:tc>
        <w:tc>
          <w:tcPr>
            <w:tcW w:w="822" w:type="dxa"/>
            <w:noWrap/>
            <w:hideMark/>
          </w:tcPr>
          <w:p w14:paraId="5E961CBD" w14:textId="77777777" w:rsidR="00050905" w:rsidRPr="00B45D1C" w:rsidRDefault="00050905" w:rsidP="005A7652">
            <w:pPr>
              <w:keepNext/>
              <w:keepLines/>
              <w:contextualSpacing/>
              <w:jc w:val="center"/>
              <w:rPr>
                <w:rFonts w:ascii="Garamond" w:hAnsi="Garamond" w:cs="Times New Roman"/>
              </w:rPr>
            </w:pPr>
            <w:r w:rsidRPr="00B45D1C">
              <w:rPr>
                <w:rFonts w:ascii="Garamond" w:hAnsi="Garamond" w:cs="Times New Roman"/>
              </w:rPr>
              <w:t>48.7</w:t>
            </w:r>
          </w:p>
        </w:tc>
        <w:tc>
          <w:tcPr>
            <w:tcW w:w="663" w:type="dxa"/>
            <w:tcBorders>
              <w:top w:val="single" w:sz="4" w:space="0" w:color="auto"/>
              <w:bottom w:val="single" w:sz="4" w:space="0" w:color="auto"/>
              <w:right w:val="nil"/>
            </w:tcBorders>
            <w:noWrap/>
            <w:hideMark/>
          </w:tcPr>
          <w:p w14:paraId="3FD96038"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13.5</w:t>
            </w:r>
          </w:p>
        </w:tc>
        <w:tc>
          <w:tcPr>
            <w:tcW w:w="663" w:type="dxa"/>
            <w:tcBorders>
              <w:top w:val="single" w:sz="4" w:space="0" w:color="auto"/>
              <w:left w:val="nil"/>
              <w:bottom w:val="single" w:sz="4" w:space="0" w:color="auto"/>
              <w:right w:val="nil"/>
            </w:tcBorders>
            <w:noWrap/>
            <w:hideMark/>
          </w:tcPr>
          <w:p w14:paraId="114D0ADB"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13.8</w:t>
            </w:r>
          </w:p>
        </w:tc>
        <w:tc>
          <w:tcPr>
            <w:tcW w:w="663" w:type="dxa"/>
            <w:tcBorders>
              <w:top w:val="single" w:sz="4" w:space="0" w:color="auto"/>
              <w:left w:val="nil"/>
              <w:bottom w:val="single" w:sz="4" w:space="0" w:color="auto"/>
              <w:right w:val="nil"/>
            </w:tcBorders>
            <w:noWrap/>
            <w:hideMark/>
          </w:tcPr>
          <w:p w14:paraId="53A6241C"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15.4</w:t>
            </w:r>
          </w:p>
        </w:tc>
        <w:tc>
          <w:tcPr>
            <w:tcW w:w="663" w:type="dxa"/>
            <w:tcBorders>
              <w:top w:val="single" w:sz="4" w:space="0" w:color="auto"/>
              <w:left w:val="nil"/>
              <w:bottom w:val="single" w:sz="4" w:space="0" w:color="auto"/>
              <w:right w:val="nil"/>
            </w:tcBorders>
            <w:noWrap/>
            <w:hideMark/>
          </w:tcPr>
          <w:p w14:paraId="27C43AFD"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15.8</w:t>
            </w:r>
          </w:p>
        </w:tc>
        <w:tc>
          <w:tcPr>
            <w:tcW w:w="663" w:type="dxa"/>
            <w:tcBorders>
              <w:top w:val="single" w:sz="4" w:space="0" w:color="auto"/>
              <w:left w:val="nil"/>
              <w:bottom w:val="single" w:sz="4" w:space="0" w:color="auto"/>
              <w:right w:val="nil"/>
            </w:tcBorders>
            <w:noWrap/>
            <w:hideMark/>
          </w:tcPr>
          <w:p w14:paraId="2E17B635"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16.7</w:t>
            </w:r>
          </w:p>
        </w:tc>
        <w:tc>
          <w:tcPr>
            <w:tcW w:w="663" w:type="dxa"/>
            <w:tcBorders>
              <w:top w:val="single" w:sz="4" w:space="0" w:color="auto"/>
              <w:left w:val="nil"/>
              <w:bottom w:val="single" w:sz="4" w:space="0" w:color="auto"/>
              <w:right w:val="nil"/>
            </w:tcBorders>
            <w:noWrap/>
            <w:hideMark/>
          </w:tcPr>
          <w:p w14:paraId="5EB5CEDE"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18.3</w:t>
            </w:r>
          </w:p>
        </w:tc>
        <w:tc>
          <w:tcPr>
            <w:tcW w:w="663" w:type="dxa"/>
            <w:tcBorders>
              <w:top w:val="single" w:sz="4" w:space="0" w:color="auto"/>
              <w:left w:val="nil"/>
              <w:bottom w:val="single" w:sz="4" w:space="0" w:color="auto"/>
            </w:tcBorders>
            <w:noWrap/>
            <w:hideMark/>
          </w:tcPr>
          <w:p w14:paraId="7FCDFCA7"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18.6</w:t>
            </w:r>
          </w:p>
        </w:tc>
        <w:tc>
          <w:tcPr>
            <w:tcW w:w="1440" w:type="dxa"/>
            <w:noWrap/>
            <w:hideMark/>
          </w:tcPr>
          <w:p w14:paraId="1C6282FD" w14:textId="77777777" w:rsidR="00050905" w:rsidRPr="00B45D1C" w:rsidRDefault="00050905" w:rsidP="005A7652">
            <w:pPr>
              <w:keepNext/>
              <w:keepLines/>
              <w:contextualSpacing/>
              <w:jc w:val="center"/>
              <w:rPr>
                <w:rFonts w:ascii="Garamond" w:hAnsi="Garamond" w:cs="Times New Roman"/>
              </w:rPr>
            </w:pPr>
            <w:r w:rsidRPr="00B45D1C">
              <w:rPr>
                <w:rFonts w:ascii="Garamond" w:hAnsi="Garamond" w:cs="Times New Roman"/>
              </w:rPr>
              <w:t>38.0</w:t>
            </w:r>
          </w:p>
        </w:tc>
      </w:tr>
      <w:tr w:rsidR="00050905" w:rsidRPr="00B45D1C" w14:paraId="48A73ABD" w14:textId="77777777" w:rsidTr="005A7652">
        <w:trPr>
          <w:trHeight w:val="300"/>
          <w:jc w:val="center"/>
        </w:trPr>
        <w:tc>
          <w:tcPr>
            <w:tcW w:w="1435" w:type="dxa"/>
            <w:noWrap/>
            <w:hideMark/>
          </w:tcPr>
          <w:p w14:paraId="02BCB005" w14:textId="77777777" w:rsidR="00050905" w:rsidRPr="00B45D1C" w:rsidRDefault="00050905" w:rsidP="005A7652">
            <w:pPr>
              <w:keepNext/>
              <w:keepLines/>
              <w:contextualSpacing/>
              <w:rPr>
                <w:rFonts w:ascii="Garamond" w:hAnsi="Garamond" w:cs="Times New Roman"/>
              </w:rPr>
            </w:pPr>
            <w:r w:rsidRPr="00B45D1C">
              <w:rPr>
                <w:rFonts w:ascii="Garamond" w:hAnsi="Garamond" w:cs="Times New Roman"/>
              </w:rPr>
              <w:t>Yam</w:t>
            </w:r>
          </w:p>
        </w:tc>
        <w:tc>
          <w:tcPr>
            <w:tcW w:w="822" w:type="dxa"/>
            <w:noWrap/>
            <w:hideMark/>
          </w:tcPr>
          <w:p w14:paraId="1BB950DD" w14:textId="77777777" w:rsidR="00050905" w:rsidRPr="00B45D1C" w:rsidRDefault="00050905" w:rsidP="005A7652">
            <w:pPr>
              <w:keepNext/>
              <w:keepLines/>
              <w:contextualSpacing/>
              <w:jc w:val="center"/>
              <w:rPr>
                <w:rFonts w:ascii="Garamond" w:hAnsi="Garamond" w:cs="Times New Roman"/>
              </w:rPr>
            </w:pPr>
            <w:r w:rsidRPr="00B45D1C">
              <w:rPr>
                <w:rFonts w:ascii="Garamond" w:hAnsi="Garamond" w:cs="Times New Roman"/>
              </w:rPr>
              <w:t>49.0</w:t>
            </w:r>
          </w:p>
        </w:tc>
        <w:tc>
          <w:tcPr>
            <w:tcW w:w="663" w:type="dxa"/>
            <w:tcBorders>
              <w:top w:val="single" w:sz="4" w:space="0" w:color="auto"/>
              <w:bottom w:val="single" w:sz="4" w:space="0" w:color="auto"/>
              <w:right w:val="nil"/>
            </w:tcBorders>
            <w:noWrap/>
            <w:hideMark/>
          </w:tcPr>
          <w:p w14:paraId="2F5FE5BC"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14.2</w:t>
            </w:r>
          </w:p>
        </w:tc>
        <w:tc>
          <w:tcPr>
            <w:tcW w:w="663" w:type="dxa"/>
            <w:tcBorders>
              <w:top w:val="single" w:sz="4" w:space="0" w:color="auto"/>
              <w:left w:val="nil"/>
              <w:bottom w:val="single" w:sz="4" w:space="0" w:color="auto"/>
              <w:right w:val="nil"/>
            </w:tcBorders>
            <w:noWrap/>
            <w:hideMark/>
          </w:tcPr>
          <w:p w14:paraId="0CFD37AA"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15.3</w:t>
            </w:r>
          </w:p>
        </w:tc>
        <w:tc>
          <w:tcPr>
            <w:tcW w:w="663" w:type="dxa"/>
            <w:tcBorders>
              <w:top w:val="single" w:sz="4" w:space="0" w:color="auto"/>
              <w:left w:val="nil"/>
              <w:bottom w:val="single" w:sz="4" w:space="0" w:color="auto"/>
              <w:right w:val="nil"/>
            </w:tcBorders>
            <w:noWrap/>
            <w:hideMark/>
          </w:tcPr>
          <w:p w14:paraId="694D2A7B"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15.5</w:t>
            </w:r>
          </w:p>
        </w:tc>
        <w:tc>
          <w:tcPr>
            <w:tcW w:w="663" w:type="dxa"/>
            <w:tcBorders>
              <w:top w:val="single" w:sz="4" w:space="0" w:color="auto"/>
              <w:left w:val="nil"/>
              <w:bottom w:val="single" w:sz="4" w:space="0" w:color="auto"/>
              <w:right w:val="nil"/>
            </w:tcBorders>
            <w:noWrap/>
            <w:hideMark/>
          </w:tcPr>
          <w:p w14:paraId="50639397"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14.5</w:t>
            </w:r>
          </w:p>
        </w:tc>
        <w:tc>
          <w:tcPr>
            <w:tcW w:w="663" w:type="dxa"/>
            <w:tcBorders>
              <w:top w:val="single" w:sz="4" w:space="0" w:color="auto"/>
              <w:left w:val="nil"/>
              <w:bottom w:val="single" w:sz="4" w:space="0" w:color="auto"/>
              <w:right w:val="nil"/>
            </w:tcBorders>
            <w:noWrap/>
            <w:hideMark/>
          </w:tcPr>
          <w:p w14:paraId="1721D8B5"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15.6</w:t>
            </w:r>
          </w:p>
        </w:tc>
        <w:tc>
          <w:tcPr>
            <w:tcW w:w="663" w:type="dxa"/>
            <w:tcBorders>
              <w:top w:val="single" w:sz="4" w:space="0" w:color="auto"/>
              <w:left w:val="nil"/>
              <w:bottom w:val="single" w:sz="4" w:space="0" w:color="auto"/>
              <w:right w:val="nil"/>
            </w:tcBorders>
            <w:noWrap/>
            <w:hideMark/>
          </w:tcPr>
          <w:p w14:paraId="08834ADC"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16.8</w:t>
            </w:r>
          </w:p>
        </w:tc>
        <w:tc>
          <w:tcPr>
            <w:tcW w:w="663" w:type="dxa"/>
            <w:tcBorders>
              <w:top w:val="single" w:sz="4" w:space="0" w:color="auto"/>
              <w:left w:val="nil"/>
              <w:bottom w:val="single" w:sz="4" w:space="0" w:color="auto"/>
            </w:tcBorders>
            <w:noWrap/>
            <w:hideMark/>
          </w:tcPr>
          <w:p w14:paraId="2FDB88C1"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16.6</w:t>
            </w:r>
          </w:p>
        </w:tc>
        <w:tc>
          <w:tcPr>
            <w:tcW w:w="1440" w:type="dxa"/>
            <w:noWrap/>
            <w:hideMark/>
          </w:tcPr>
          <w:p w14:paraId="141A1BBF" w14:textId="77777777" w:rsidR="00050905" w:rsidRPr="00B45D1C" w:rsidRDefault="00050905" w:rsidP="005A7652">
            <w:pPr>
              <w:keepNext/>
              <w:keepLines/>
              <w:contextualSpacing/>
              <w:jc w:val="center"/>
              <w:rPr>
                <w:rFonts w:ascii="Garamond" w:hAnsi="Garamond" w:cs="Times New Roman"/>
              </w:rPr>
            </w:pPr>
            <w:r w:rsidRPr="00B45D1C">
              <w:rPr>
                <w:rFonts w:ascii="Garamond" w:hAnsi="Garamond" w:cs="Times New Roman"/>
              </w:rPr>
              <w:t>34.0</w:t>
            </w:r>
          </w:p>
        </w:tc>
      </w:tr>
      <w:tr w:rsidR="00050905" w:rsidRPr="00B45D1C" w14:paraId="7E0AC4B2" w14:textId="77777777" w:rsidTr="005A7652">
        <w:trPr>
          <w:trHeight w:val="300"/>
          <w:jc w:val="center"/>
        </w:trPr>
        <w:tc>
          <w:tcPr>
            <w:tcW w:w="1435" w:type="dxa"/>
            <w:noWrap/>
            <w:hideMark/>
          </w:tcPr>
          <w:p w14:paraId="52854205" w14:textId="77777777" w:rsidR="00050905" w:rsidRPr="00B45D1C" w:rsidRDefault="00050905" w:rsidP="005A7652">
            <w:pPr>
              <w:keepNext/>
              <w:keepLines/>
              <w:contextualSpacing/>
              <w:rPr>
                <w:rFonts w:ascii="Garamond" w:hAnsi="Garamond" w:cs="Times New Roman"/>
              </w:rPr>
            </w:pPr>
            <w:r w:rsidRPr="00B45D1C">
              <w:rPr>
                <w:rFonts w:ascii="Garamond" w:hAnsi="Garamond" w:cs="Times New Roman"/>
              </w:rPr>
              <w:t>Sorghum</w:t>
            </w:r>
          </w:p>
        </w:tc>
        <w:tc>
          <w:tcPr>
            <w:tcW w:w="822" w:type="dxa"/>
            <w:noWrap/>
            <w:hideMark/>
          </w:tcPr>
          <w:p w14:paraId="5D42A018" w14:textId="77777777" w:rsidR="00050905" w:rsidRPr="00B45D1C" w:rsidRDefault="00050905" w:rsidP="005A7652">
            <w:pPr>
              <w:keepNext/>
              <w:keepLines/>
              <w:contextualSpacing/>
              <w:jc w:val="center"/>
              <w:rPr>
                <w:rFonts w:ascii="Garamond" w:hAnsi="Garamond" w:cs="Times New Roman"/>
              </w:rPr>
            </w:pPr>
            <w:r w:rsidRPr="00B45D1C">
              <w:rPr>
                <w:rFonts w:ascii="Garamond" w:hAnsi="Garamond" w:cs="Times New Roman"/>
              </w:rPr>
              <w:t>2.0</w:t>
            </w:r>
          </w:p>
        </w:tc>
        <w:tc>
          <w:tcPr>
            <w:tcW w:w="663" w:type="dxa"/>
            <w:tcBorders>
              <w:top w:val="single" w:sz="4" w:space="0" w:color="auto"/>
              <w:bottom w:val="single" w:sz="4" w:space="0" w:color="auto"/>
              <w:right w:val="nil"/>
            </w:tcBorders>
            <w:noWrap/>
            <w:hideMark/>
          </w:tcPr>
          <w:p w14:paraId="6004903C"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1.2</w:t>
            </w:r>
          </w:p>
        </w:tc>
        <w:tc>
          <w:tcPr>
            <w:tcW w:w="663" w:type="dxa"/>
            <w:tcBorders>
              <w:top w:val="single" w:sz="4" w:space="0" w:color="auto"/>
              <w:left w:val="nil"/>
              <w:bottom w:val="single" w:sz="4" w:space="0" w:color="auto"/>
              <w:right w:val="nil"/>
            </w:tcBorders>
            <w:noWrap/>
            <w:hideMark/>
          </w:tcPr>
          <w:p w14:paraId="2A1E2DA2"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1.3</w:t>
            </w:r>
          </w:p>
        </w:tc>
        <w:tc>
          <w:tcPr>
            <w:tcW w:w="663" w:type="dxa"/>
            <w:tcBorders>
              <w:top w:val="single" w:sz="4" w:space="0" w:color="auto"/>
              <w:left w:val="nil"/>
              <w:bottom w:val="single" w:sz="4" w:space="0" w:color="auto"/>
              <w:right w:val="nil"/>
            </w:tcBorders>
            <w:noWrap/>
            <w:hideMark/>
          </w:tcPr>
          <w:p w14:paraId="62C95F8A"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13.0</w:t>
            </w:r>
          </w:p>
        </w:tc>
        <w:tc>
          <w:tcPr>
            <w:tcW w:w="663" w:type="dxa"/>
            <w:tcBorders>
              <w:top w:val="single" w:sz="4" w:space="0" w:color="auto"/>
              <w:left w:val="nil"/>
              <w:bottom w:val="single" w:sz="4" w:space="0" w:color="auto"/>
              <w:right w:val="nil"/>
            </w:tcBorders>
            <w:noWrap/>
            <w:hideMark/>
          </w:tcPr>
          <w:p w14:paraId="62631A1B"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1.2</w:t>
            </w:r>
          </w:p>
        </w:tc>
        <w:tc>
          <w:tcPr>
            <w:tcW w:w="663" w:type="dxa"/>
            <w:tcBorders>
              <w:top w:val="single" w:sz="4" w:space="0" w:color="auto"/>
              <w:left w:val="nil"/>
              <w:bottom w:val="single" w:sz="4" w:space="0" w:color="auto"/>
              <w:right w:val="nil"/>
            </w:tcBorders>
            <w:noWrap/>
            <w:hideMark/>
          </w:tcPr>
          <w:p w14:paraId="0EED6A02"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1.2</w:t>
            </w:r>
          </w:p>
        </w:tc>
        <w:tc>
          <w:tcPr>
            <w:tcW w:w="663" w:type="dxa"/>
            <w:tcBorders>
              <w:top w:val="single" w:sz="4" w:space="0" w:color="auto"/>
              <w:left w:val="nil"/>
              <w:bottom w:val="single" w:sz="4" w:space="0" w:color="auto"/>
              <w:right w:val="nil"/>
            </w:tcBorders>
            <w:noWrap/>
            <w:hideMark/>
          </w:tcPr>
          <w:p w14:paraId="45088D4B"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1.1</w:t>
            </w:r>
          </w:p>
        </w:tc>
        <w:tc>
          <w:tcPr>
            <w:tcW w:w="663" w:type="dxa"/>
            <w:tcBorders>
              <w:top w:val="single" w:sz="4" w:space="0" w:color="auto"/>
              <w:left w:val="nil"/>
              <w:bottom w:val="single" w:sz="4" w:space="0" w:color="auto"/>
            </w:tcBorders>
            <w:noWrap/>
            <w:hideMark/>
          </w:tcPr>
          <w:p w14:paraId="7421436B"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1.1</w:t>
            </w:r>
          </w:p>
        </w:tc>
        <w:tc>
          <w:tcPr>
            <w:tcW w:w="1440" w:type="dxa"/>
            <w:noWrap/>
            <w:hideMark/>
          </w:tcPr>
          <w:p w14:paraId="3B246385" w14:textId="77777777" w:rsidR="00050905" w:rsidRPr="00B45D1C" w:rsidRDefault="00050905" w:rsidP="005A7652">
            <w:pPr>
              <w:keepNext/>
              <w:keepLines/>
              <w:contextualSpacing/>
              <w:jc w:val="center"/>
              <w:rPr>
                <w:rFonts w:ascii="Garamond" w:hAnsi="Garamond" w:cs="Times New Roman"/>
              </w:rPr>
            </w:pPr>
            <w:r w:rsidRPr="00B45D1C">
              <w:rPr>
                <w:rFonts w:ascii="Garamond" w:hAnsi="Garamond" w:cs="Times New Roman"/>
              </w:rPr>
              <w:t>57.0</w:t>
            </w:r>
          </w:p>
        </w:tc>
      </w:tr>
      <w:tr w:rsidR="00050905" w:rsidRPr="00B45D1C" w14:paraId="00035FE2" w14:textId="77777777" w:rsidTr="005A7652">
        <w:trPr>
          <w:trHeight w:val="300"/>
          <w:jc w:val="center"/>
        </w:trPr>
        <w:tc>
          <w:tcPr>
            <w:tcW w:w="1435" w:type="dxa"/>
            <w:noWrap/>
            <w:hideMark/>
          </w:tcPr>
          <w:p w14:paraId="7E28E9A1" w14:textId="77777777" w:rsidR="00050905" w:rsidRPr="00B45D1C" w:rsidRDefault="00050905" w:rsidP="005A7652">
            <w:pPr>
              <w:keepNext/>
              <w:keepLines/>
              <w:contextualSpacing/>
              <w:rPr>
                <w:rFonts w:ascii="Garamond" w:hAnsi="Garamond" w:cs="Times New Roman"/>
              </w:rPr>
            </w:pPr>
            <w:r w:rsidRPr="00B45D1C">
              <w:rPr>
                <w:rFonts w:ascii="Garamond" w:hAnsi="Garamond" w:cs="Times New Roman"/>
              </w:rPr>
              <w:t>Cowpea</w:t>
            </w:r>
          </w:p>
        </w:tc>
        <w:tc>
          <w:tcPr>
            <w:tcW w:w="822" w:type="dxa"/>
            <w:noWrap/>
            <w:hideMark/>
          </w:tcPr>
          <w:p w14:paraId="0297C731" w14:textId="77777777" w:rsidR="00050905" w:rsidRPr="00B45D1C" w:rsidRDefault="00050905" w:rsidP="005A7652">
            <w:pPr>
              <w:keepNext/>
              <w:keepLines/>
              <w:contextualSpacing/>
              <w:jc w:val="center"/>
              <w:rPr>
                <w:rFonts w:ascii="Garamond" w:hAnsi="Garamond" w:cs="Times New Roman"/>
              </w:rPr>
            </w:pPr>
            <w:r w:rsidRPr="00B45D1C">
              <w:rPr>
                <w:rFonts w:ascii="Garamond" w:hAnsi="Garamond" w:cs="Times New Roman"/>
              </w:rPr>
              <w:t>3.0</w:t>
            </w:r>
          </w:p>
        </w:tc>
        <w:tc>
          <w:tcPr>
            <w:tcW w:w="663" w:type="dxa"/>
            <w:tcBorders>
              <w:top w:val="single" w:sz="4" w:space="0" w:color="auto"/>
              <w:bottom w:val="single" w:sz="4" w:space="0" w:color="auto"/>
              <w:right w:val="nil"/>
            </w:tcBorders>
            <w:noWrap/>
            <w:hideMark/>
          </w:tcPr>
          <w:p w14:paraId="13C16677"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1.2</w:t>
            </w:r>
          </w:p>
        </w:tc>
        <w:tc>
          <w:tcPr>
            <w:tcW w:w="663" w:type="dxa"/>
            <w:tcBorders>
              <w:top w:val="single" w:sz="4" w:space="0" w:color="auto"/>
              <w:left w:val="nil"/>
              <w:bottom w:val="single" w:sz="4" w:space="0" w:color="auto"/>
              <w:right w:val="nil"/>
            </w:tcBorders>
            <w:noWrap/>
            <w:hideMark/>
          </w:tcPr>
          <w:p w14:paraId="7D849788"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1.7</w:t>
            </w:r>
          </w:p>
        </w:tc>
        <w:tc>
          <w:tcPr>
            <w:tcW w:w="663" w:type="dxa"/>
            <w:tcBorders>
              <w:top w:val="single" w:sz="4" w:space="0" w:color="auto"/>
              <w:left w:val="nil"/>
              <w:bottom w:val="single" w:sz="4" w:space="0" w:color="auto"/>
              <w:right w:val="nil"/>
            </w:tcBorders>
            <w:noWrap/>
            <w:hideMark/>
          </w:tcPr>
          <w:p w14:paraId="62B62501"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1.8</w:t>
            </w:r>
          </w:p>
        </w:tc>
        <w:tc>
          <w:tcPr>
            <w:tcW w:w="663" w:type="dxa"/>
            <w:tcBorders>
              <w:top w:val="single" w:sz="4" w:space="0" w:color="auto"/>
              <w:left w:val="nil"/>
              <w:bottom w:val="single" w:sz="4" w:space="0" w:color="auto"/>
              <w:right w:val="nil"/>
            </w:tcBorders>
            <w:noWrap/>
            <w:hideMark/>
          </w:tcPr>
          <w:p w14:paraId="00B68716"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1.6</w:t>
            </w:r>
          </w:p>
        </w:tc>
        <w:tc>
          <w:tcPr>
            <w:tcW w:w="663" w:type="dxa"/>
            <w:tcBorders>
              <w:top w:val="single" w:sz="4" w:space="0" w:color="auto"/>
              <w:left w:val="nil"/>
              <w:bottom w:val="single" w:sz="4" w:space="0" w:color="auto"/>
              <w:right w:val="nil"/>
            </w:tcBorders>
            <w:noWrap/>
            <w:hideMark/>
          </w:tcPr>
          <w:p w14:paraId="756903CC"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1.8</w:t>
            </w:r>
          </w:p>
        </w:tc>
        <w:tc>
          <w:tcPr>
            <w:tcW w:w="663" w:type="dxa"/>
            <w:tcBorders>
              <w:top w:val="single" w:sz="4" w:space="0" w:color="auto"/>
              <w:left w:val="nil"/>
              <w:bottom w:val="single" w:sz="4" w:space="0" w:color="auto"/>
              <w:right w:val="nil"/>
            </w:tcBorders>
            <w:noWrap/>
            <w:hideMark/>
          </w:tcPr>
          <w:p w14:paraId="58C39AC7"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1.2</w:t>
            </w:r>
          </w:p>
        </w:tc>
        <w:tc>
          <w:tcPr>
            <w:tcW w:w="663" w:type="dxa"/>
            <w:tcBorders>
              <w:top w:val="single" w:sz="4" w:space="0" w:color="auto"/>
              <w:left w:val="nil"/>
              <w:bottom w:val="single" w:sz="4" w:space="0" w:color="auto"/>
            </w:tcBorders>
            <w:noWrap/>
            <w:hideMark/>
          </w:tcPr>
          <w:p w14:paraId="63159870" w14:textId="77777777" w:rsidR="00050905" w:rsidRPr="00B45D1C" w:rsidRDefault="00050905" w:rsidP="005A7652">
            <w:pPr>
              <w:keepNext/>
              <w:keepLines/>
              <w:contextualSpacing/>
              <w:jc w:val="right"/>
              <w:rPr>
                <w:rFonts w:ascii="Garamond" w:hAnsi="Garamond" w:cs="Times New Roman"/>
              </w:rPr>
            </w:pPr>
            <w:r w:rsidRPr="00B45D1C">
              <w:rPr>
                <w:rFonts w:ascii="Garamond" w:hAnsi="Garamond" w:cs="Times New Roman"/>
              </w:rPr>
              <w:t>1.2</w:t>
            </w:r>
          </w:p>
        </w:tc>
        <w:tc>
          <w:tcPr>
            <w:tcW w:w="1440" w:type="dxa"/>
            <w:noWrap/>
            <w:hideMark/>
          </w:tcPr>
          <w:p w14:paraId="4E85D9DA" w14:textId="77777777" w:rsidR="00050905" w:rsidRPr="00B45D1C" w:rsidRDefault="00050905" w:rsidP="005A7652">
            <w:pPr>
              <w:keepNext/>
              <w:keepLines/>
              <w:contextualSpacing/>
              <w:jc w:val="center"/>
              <w:rPr>
                <w:rFonts w:ascii="Garamond" w:hAnsi="Garamond" w:cs="Times New Roman"/>
              </w:rPr>
            </w:pPr>
            <w:r w:rsidRPr="00B45D1C">
              <w:rPr>
                <w:rFonts w:ascii="Garamond" w:hAnsi="Garamond" w:cs="Times New Roman"/>
              </w:rPr>
              <w:t>41.0</w:t>
            </w:r>
          </w:p>
        </w:tc>
      </w:tr>
    </w:tbl>
    <w:p w14:paraId="1C8212DB" w14:textId="77777777" w:rsidR="00050905" w:rsidRPr="00AC2BFE" w:rsidRDefault="00050905" w:rsidP="00050905">
      <w:pPr>
        <w:pStyle w:val="Source"/>
        <w:keepNext/>
        <w:keepLines/>
        <w:spacing w:after="240"/>
        <w:contextualSpacing w:val="0"/>
        <w:rPr>
          <w:rFonts w:ascii="Garamond" w:hAnsi="Garamond"/>
          <w:i w:val="0"/>
        </w:rPr>
      </w:pPr>
      <w:r w:rsidRPr="00AC2BFE">
        <w:rPr>
          <w:rFonts w:ascii="Garamond" w:hAnsi="Garamond"/>
        </w:rPr>
        <w:t xml:space="preserve">Source: </w:t>
      </w:r>
      <w:r w:rsidRPr="00AC2BFE">
        <w:rPr>
          <w:rFonts w:ascii="Garamond" w:hAnsi="Garamond"/>
          <w:i w:val="0"/>
        </w:rPr>
        <w:t>SRID (2010, 2011); MoFA (2011, 2012, 2014)</w:t>
      </w:r>
    </w:p>
    <w:p w14:paraId="451A266A" w14:textId="77777777" w:rsidR="00050905" w:rsidRPr="000062E1" w:rsidRDefault="00957517" w:rsidP="00724BAB">
      <w:pPr>
        <w:pStyle w:val="ListParagraph"/>
        <w:numPr>
          <w:ilvl w:val="3"/>
          <w:numId w:val="11"/>
        </w:numPr>
        <w:ind w:left="0"/>
      </w:pPr>
      <w:r>
        <w:rPr>
          <w:b/>
        </w:rPr>
        <w:t>B</w:t>
      </w:r>
      <w:r w:rsidR="00050905" w:rsidRPr="004A50A0">
        <w:rPr>
          <w:b/>
        </w:rPr>
        <w:t xml:space="preserve">etter expenditure targeting could enable policymakers to address key bottlenecks to agricultural productivity and competitiveness. </w:t>
      </w:r>
      <w:r w:rsidR="00050905" w:rsidRPr="00352D3A">
        <w:t xml:space="preserve">These include: (i) inadequate research and extension services; (ii) financial constraints, especially among smallholder farmers; (iii) obstacles to </w:t>
      </w:r>
      <w:r w:rsidR="00050905" w:rsidRPr="007F0935">
        <w:t>accessing domestic and international markets; (iv) limited irrigation development, particularly in Ghana’s semi-arid northern regions; and (v) insecure land tenure. Shifting financial and administrative resources to these five priori</w:t>
      </w:r>
      <w:r w:rsidR="00050905" w:rsidRPr="000062E1">
        <w:t xml:space="preserve">ty areas could greatly enhance the efficiency of agricultural spending. </w:t>
      </w:r>
    </w:p>
    <w:p w14:paraId="1740836B" w14:textId="77777777" w:rsidR="00050905" w:rsidRPr="000062E1" w:rsidRDefault="00050905" w:rsidP="00724BAB">
      <w:pPr>
        <w:pStyle w:val="ListParagraph"/>
        <w:numPr>
          <w:ilvl w:val="3"/>
          <w:numId w:val="11"/>
        </w:numPr>
        <w:ind w:left="0"/>
      </w:pPr>
      <w:r w:rsidRPr="000062E1">
        <w:rPr>
          <w:b/>
        </w:rPr>
        <w:t>Ghana’s public agricultural research and extension system suffers from serious weaknesses.</w:t>
      </w:r>
      <w:r w:rsidRPr="000062E1">
        <w:t xml:space="preserve"> Recent analytical work has confirmed that in Sub-Saharan Africa, investment in the development and dissemination of new technologies is the primary driver of agricultural productivity growth, exerting a greater influence than all other drivers combined (</w:t>
      </w:r>
      <w:r w:rsidR="003D5DA2">
        <w:fldChar w:fldCharType="begin"/>
      </w:r>
      <w:r w:rsidR="003D5DA2">
        <w:instrText xml:space="preserve"> REF _Ref472431284 \h </w:instrText>
      </w:r>
      <w:r w:rsidR="003D5DA2">
        <w:fldChar w:fldCharType="separate"/>
      </w:r>
      <w:r w:rsidR="007B1CE6">
        <w:t xml:space="preserve">Table </w:t>
      </w:r>
      <w:r w:rsidR="007B1CE6">
        <w:rPr>
          <w:noProof/>
        </w:rPr>
        <w:t>5</w:t>
      </w:r>
      <w:r w:rsidR="007B1CE6">
        <w:t>.</w:t>
      </w:r>
      <w:r w:rsidR="007B1CE6">
        <w:rPr>
          <w:noProof/>
        </w:rPr>
        <w:t>5</w:t>
      </w:r>
      <w:r w:rsidR="003D5DA2">
        <w:fldChar w:fldCharType="end"/>
      </w:r>
      <w:r w:rsidRPr="00352D3A">
        <w:t>). T</w:t>
      </w:r>
      <w:r w:rsidRPr="007F0935">
        <w:t>he Council for Scientific an</w:t>
      </w:r>
      <w:r w:rsidRPr="000062E1">
        <w:t xml:space="preserve">d </w:t>
      </w:r>
      <w:r w:rsidR="00837BFD">
        <w:t>Industrial</w:t>
      </w:r>
      <w:r w:rsidRPr="000062E1">
        <w:t xml:space="preserve"> Research (CSIR) is the country’s leading public agricultural research and development agency.</w:t>
      </w:r>
      <w:r w:rsidRPr="004A50A0">
        <w:rPr>
          <w:rStyle w:val="FootnoteReference"/>
        </w:rPr>
        <w:footnoteReference w:id="157"/>
      </w:r>
      <w:r w:rsidRPr="00352D3A">
        <w:t xml:space="preserve"> CSIR operates ten food and agriculture </w:t>
      </w:r>
      <w:r w:rsidRPr="007F0935">
        <w:t>research institutes</w:t>
      </w:r>
      <w:r w:rsidRPr="000062E1">
        <w:t>, and it employed a total of 379 full-time equivalent researchers</w:t>
      </w:r>
      <w:r w:rsidR="00D71518" w:rsidRPr="00D71518">
        <w:t xml:space="preserve"> </w:t>
      </w:r>
      <w:r w:rsidR="00D71518" w:rsidRPr="000062E1">
        <w:t>in 2011</w:t>
      </w:r>
      <w:r w:rsidRPr="000062E1">
        <w:t xml:space="preserve">. The Cocoa Research Institute of Ghana, a subsidiary of </w:t>
      </w:r>
      <w:r w:rsidR="00D71518">
        <w:t xml:space="preserve">the </w:t>
      </w:r>
      <w:r w:rsidRPr="000062E1">
        <w:t>COCOBOD, employs an additional 51 full-time equivalent researchers</w:t>
      </w:r>
      <w:r w:rsidR="00D71518">
        <w:t xml:space="preserve"> and</w:t>
      </w:r>
      <w:r w:rsidRPr="000062E1">
        <w:t xml:space="preserve"> stud</w:t>
      </w:r>
      <w:r w:rsidR="00D71518">
        <w:t>ies</w:t>
      </w:r>
      <w:r w:rsidRPr="000062E1">
        <w:t xml:space="preserve"> cocoa and other tree crops</w:t>
      </w:r>
      <w:r w:rsidR="00D71518">
        <w:t>,</w:t>
      </w:r>
      <w:r w:rsidRPr="000062E1">
        <w:t xml:space="preserve"> such as kola and cashew. Ghanaian universities and technical schools also conduct limited agricultural research and development.</w:t>
      </w:r>
    </w:p>
    <w:p w14:paraId="20FE6602" w14:textId="77777777" w:rsidR="00050905" w:rsidRPr="00322815" w:rsidRDefault="00135A13" w:rsidP="00135A13">
      <w:pPr>
        <w:pStyle w:val="Caption"/>
      </w:pPr>
      <w:bookmarkStart w:id="241" w:name="_Ref472431284"/>
      <w:bookmarkStart w:id="242" w:name="_Toc478837663"/>
      <w:r>
        <w:t xml:space="preserve">Table </w:t>
      </w:r>
      <w:r w:rsidR="00500291">
        <w:fldChar w:fldCharType="begin"/>
      </w:r>
      <w:r w:rsidR="00500291">
        <w:instrText xml:space="preserve"> STYLEREF 1 \s </w:instrText>
      </w:r>
      <w:r w:rsidR="00500291">
        <w:fldChar w:fldCharType="separate"/>
      </w:r>
      <w:r w:rsidR="007B1CE6">
        <w:rPr>
          <w:noProof/>
        </w:rPr>
        <w:t>5</w:t>
      </w:r>
      <w:r w:rsidR="00500291">
        <w:fldChar w:fldCharType="end"/>
      </w:r>
      <w:r w:rsidR="00500291">
        <w:t>.</w:t>
      </w:r>
      <w:r w:rsidR="00500291">
        <w:fldChar w:fldCharType="begin"/>
      </w:r>
      <w:r w:rsidR="00500291">
        <w:instrText xml:space="preserve"> SEQ Table \* ARABIC \s 1 </w:instrText>
      </w:r>
      <w:r w:rsidR="00500291">
        <w:fldChar w:fldCharType="separate"/>
      </w:r>
      <w:r w:rsidR="007B1CE6">
        <w:rPr>
          <w:noProof/>
        </w:rPr>
        <w:t>5</w:t>
      </w:r>
      <w:r w:rsidR="00500291">
        <w:fldChar w:fldCharType="end"/>
      </w:r>
      <w:bookmarkEnd w:id="241"/>
      <w:r w:rsidR="00050905" w:rsidRPr="00322815">
        <w:t>: Drivers of Agricultural Productivity Growth in Sub-Saharan Africa</w:t>
      </w:r>
      <w:bookmarkEnd w:id="242"/>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630"/>
        <w:gridCol w:w="1710"/>
      </w:tblGrid>
      <w:tr w:rsidR="00050905" w:rsidRPr="00CE4E24" w14:paraId="3FD766D4" w14:textId="77777777" w:rsidTr="0049020D">
        <w:trPr>
          <w:trHeight w:val="600"/>
        </w:trPr>
        <w:tc>
          <w:tcPr>
            <w:tcW w:w="6930" w:type="dxa"/>
            <w:tcBorders>
              <w:top w:val="single" w:sz="4" w:space="0" w:color="auto"/>
              <w:bottom w:val="single" w:sz="4" w:space="0" w:color="auto"/>
            </w:tcBorders>
            <w:shd w:val="clear" w:color="auto" w:fill="DBDBDB" w:themeFill="accent3" w:themeFillTint="66"/>
            <w:noWrap/>
            <w:vAlign w:val="center"/>
            <w:hideMark/>
          </w:tcPr>
          <w:p w14:paraId="5A9C0ECD" w14:textId="77777777" w:rsidR="00050905" w:rsidRPr="0049020D" w:rsidRDefault="00050905" w:rsidP="005A7652">
            <w:pPr>
              <w:contextualSpacing/>
              <w:rPr>
                <w:rFonts w:ascii="Garamond" w:hAnsi="Garamond" w:cs="Times New Roman"/>
                <w:b/>
                <w:bCs/>
              </w:rPr>
            </w:pPr>
            <w:r w:rsidRPr="0049020D">
              <w:rPr>
                <w:rFonts w:ascii="Garamond" w:hAnsi="Garamond" w:cs="Times New Roman"/>
                <w:b/>
                <w:bCs/>
              </w:rPr>
              <w:t>Driver</w:t>
            </w:r>
          </w:p>
        </w:tc>
        <w:tc>
          <w:tcPr>
            <w:tcW w:w="2340" w:type="dxa"/>
            <w:gridSpan w:val="2"/>
            <w:tcBorders>
              <w:top w:val="single" w:sz="4" w:space="0" w:color="auto"/>
              <w:bottom w:val="single" w:sz="4" w:space="0" w:color="auto"/>
            </w:tcBorders>
            <w:shd w:val="clear" w:color="auto" w:fill="DBDBDB" w:themeFill="accent3" w:themeFillTint="66"/>
            <w:vAlign w:val="center"/>
            <w:hideMark/>
          </w:tcPr>
          <w:p w14:paraId="2FF0B187" w14:textId="77777777" w:rsidR="00050905" w:rsidRPr="0049020D" w:rsidRDefault="00050905" w:rsidP="005A7652">
            <w:pPr>
              <w:contextualSpacing/>
              <w:jc w:val="center"/>
              <w:rPr>
                <w:rFonts w:ascii="Garamond" w:hAnsi="Garamond" w:cs="Times New Roman"/>
                <w:b/>
                <w:bCs/>
              </w:rPr>
            </w:pPr>
            <w:r w:rsidRPr="0049020D">
              <w:rPr>
                <w:rFonts w:ascii="Garamond" w:hAnsi="Garamond" w:cs="Times New Roman"/>
                <w:b/>
                <w:bCs/>
              </w:rPr>
              <w:t>Contribution to cumulative TFP growth (%)</w:t>
            </w:r>
          </w:p>
        </w:tc>
      </w:tr>
      <w:tr w:rsidR="00050905" w:rsidRPr="00CE4E24" w14:paraId="78CD6265" w14:textId="77777777" w:rsidTr="00B97992">
        <w:trPr>
          <w:trHeight w:val="300"/>
        </w:trPr>
        <w:tc>
          <w:tcPr>
            <w:tcW w:w="7560" w:type="dxa"/>
            <w:gridSpan w:val="2"/>
            <w:tcBorders>
              <w:top w:val="single" w:sz="4" w:space="0" w:color="auto"/>
              <w:bottom w:val="single" w:sz="4" w:space="0" w:color="auto"/>
            </w:tcBorders>
            <w:noWrap/>
            <w:hideMark/>
          </w:tcPr>
          <w:p w14:paraId="4590A43D" w14:textId="77777777" w:rsidR="00050905" w:rsidRPr="00CE4E24" w:rsidRDefault="00050905" w:rsidP="005A7652">
            <w:pPr>
              <w:contextualSpacing/>
              <w:rPr>
                <w:rFonts w:ascii="Garamond" w:hAnsi="Garamond" w:cs="Times New Roman"/>
              </w:rPr>
            </w:pPr>
            <w:r w:rsidRPr="00CE4E24">
              <w:rPr>
                <w:rFonts w:ascii="Garamond" w:hAnsi="Garamond" w:cs="Times New Roman"/>
              </w:rPr>
              <w:t>Agricultural research and development</w:t>
            </w:r>
          </w:p>
        </w:tc>
        <w:tc>
          <w:tcPr>
            <w:tcW w:w="1710" w:type="dxa"/>
            <w:tcBorders>
              <w:top w:val="single" w:sz="4" w:space="0" w:color="auto"/>
              <w:bottom w:val="single" w:sz="4" w:space="0" w:color="auto"/>
            </w:tcBorders>
            <w:noWrap/>
            <w:hideMark/>
          </w:tcPr>
          <w:p w14:paraId="58F98E1A" w14:textId="77777777" w:rsidR="00050905" w:rsidRPr="00CE4E24" w:rsidRDefault="00050905" w:rsidP="005A7652">
            <w:pPr>
              <w:contextualSpacing/>
              <w:rPr>
                <w:rFonts w:ascii="Garamond" w:hAnsi="Garamond" w:cs="Times New Roman"/>
              </w:rPr>
            </w:pPr>
            <w:r w:rsidRPr="00CE4E24">
              <w:rPr>
                <w:rFonts w:ascii="Garamond" w:hAnsi="Garamond" w:cs="Times New Roman"/>
              </w:rPr>
              <w:t xml:space="preserve">          51     </w:t>
            </w:r>
          </w:p>
        </w:tc>
      </w:tr>
      <w:tr w:rsidR="00050905" w:rsidRPr="00CE4E24" w14:paraId="1529A175" w14:textId="77777777" w:rsidTr="00B97992">
        <w:trPr>
          <w:trHeight w:val="300"/>
        </w:trPr>
        <w:tc>
          <w:tcPr>
            <w:tcW w:w="7560" w:type="dxa"/>
            <w:gridSpan w:val="2"/>
            <w:tcBorders>
              <w:top w:val="single" w:sz="4" w:space="0" w:color="auto"/>
              <w:bottom w:val="single" w:sz="4" w:space="0" w:color="auto"/>
            </w:tcBorders>
            <w:noWrap/>
            <w:hideMark/>
          </w:tcPr>
          <w:p w14:paraId="7A44AC8E" w14:textId="77777777" w:rsidR="00050905" w:rsidRPr="00CE4E24" w:rsidRDefault="00050905" w:rsidP="005A7652">
            <w:pPr>
              <w:contextualSpacing/>
              <w:rPr>
                <w:rFonts w:ascii="Garamond" w:hAnsi="Garamond" w:cs="Times New Roman"/>
              </w:rPr>
            </w:pPr>
            <w:r w:rsidRPr="00CE4E24">
              <w:rPr>
                <w:rFonts w:ascii="Garamond" w:hAnsi="Garamond" w:cs="Times New Roman"/>
              </w:rPr>
              <w:t xml:space="preserve">Improvement in agriculture’s terms of trade with market and trade policy reform </w:t>
            </w:r>
          </w:p>
        </w:tc>
        <w:tc>
          <w:tcPr>
            <w:tcW w:w="1710" w:type="dxa"/>
            <w:tcBorders>
              <w:top w:val="single" w:sz="4" w:space="0" w:color="auto"/>
              <w:bottom w:val="single" w:sz="4" w:space="0" w:color="auto"/>
            </w:tcBorders>
            <w:noWrap/>
            <w:hideMark/>
          </w:tcPr>
          <w:p w14:paraId="379CCB22" w14:textId="77777777" w:rsidR="00050905" w:rsidRPr="00CE4E24" w:rsidRDefault="00050905" w:rsidP="005A7652">
            <w:pPr>
              <w:contextualSpacing/>
              <w:rPr>
                <w:rFonts w:ascii="Garamond" w:hAnsi="Garamond" w:cs="Times New Roman"/>
              </w:rPr>
            </w:pPr>
            <w:r w:rsidRPr="00CE4E24">
              <w:rPr>
                <w:rFonts w:ascii="Garamond" w:hAnsi="Garamond" w:cs="Times New Roman"/>
              </w:rPr>
              <w:t xml:space="preserve">          20</w:t>
            </w:r>
          </w:p>
        </w:tc>
      </w:tr>
      <w:tr w:rsidR="00050905" w:rsidRPr="00CE4E24" w14:paraId="75352F0C" w14:textId="77777777" w:rsidTr="00B97992">
        <w:trPr>
          <w:trHeight w:val="300"/>
        </w:trPr>
        <w:tc>
          <w:tcPr>
            <w:tcW w:w="7560" w:type="dxa"/>
            <w:gridSpan w:val="2"/>
            <w:tcBorders>
              <w:top w:val="single" w:sz="4" w:space="0" w:color="auto"/>
              <w:bottom w:val="single" w:sz="4" w:space="0" w:color="auto"/>
            </w:tcBorders>
            <w:noWrap/>
            <w:hideMark/>
          </w:tcPr>
          <w:p w14:paraId="7923D1A1" w14:textId="77777777" w:rsidR="00050905" w:rsidRPr="00CE4E24" w:rsidRDefault="00050905" w:rsidP="005A7652">
            <w:pPr>
              <w:contextualSpacing/>
              <w:rPr>
                <w:rFonts w:ascii="Garamond" w:hAnsi="Garamond" w:cs="Times New Roman"/>
              </w:rPr>
            </w:pPr>
            <w:r w:rsidRPr="00CE4E24">
              <w:rPr>
                <w:rFonts w:ascii="Garamond" w:hAnsi="Garamond" w:cs="Times New Roman"/>
              </w:rPr>
              <w:t>Reduction in Conflict</w:t>
            </w:r>
          </w:p>
        </w:tc>
        <w:tc>
          <w:tcPr>
            <w:tcW w:w="1710" w:type="dxa"/>
            <w:tcBorders>
              <w:top w:val="single" w:sz="4" w:space="0" w:color="auto"/>
              <w:bottom w:val="single" w:sz="4" w:space="0" w:color="auto"/>
            </w:tcBorders>
            <w:noWrap/>
            <w:hideMark/>
          </w:tcPr>
          <w:p w14:paraId="6E2DFC4E" w14:textId="77777777" w:rsidR="00050905" w:rsidRPr="00CE4E24" w:rsidRDefault="00050905" w:rsidP="005A7652">
            <w:pPr>
              <w:contextualSpacing/>
              <w:rPr>
                <w:rFonts w:ascii="Garamond" w:hAnsi="Garamond" w:cs="Times New Roman"/>
              </w:rPr>
            </w:pPr>
            <w:r w:rsidRPr="00CE4E24">
              <w:rPr>
                <w:rFonts w:ascii="Garamond" w:hAnsi="Garamond" w:cs="Times New Roman"/>
              </w:rPr>
              <w:t xml:space="preserve">          18</w:t>
            </w:r>
          </w:p>
        </w:tc>
      </w:tr>
      <w:tr w:rsidR="00050905" w:rsidRPr="00CE4E24" w14:paraId="31E21F8F" w14:textId="77777777" w:rsidTr="00B97992">
        <w:trPr>
          <w:trHeight w:val="300"/>
        </w:trPr>
        <w:tc>
          <w:tcPr>
            <w:tcW w:w="7560" w:type="dxa"/>
            <w:gridSpan w:val="2"/>
            <w:tcBorders>
              <w:top w:val="single" w:sz="4" w:space="0" w:color="auto"/>
              <w:bottom w:val="single" w:sz="4" w:space="0" w:color="auto"/>
            </w:tcBorders>
            <w:noWrap/>
            <w:hideMark/>
          </w:tcPr>
          <w:p w14:paraId="145AE329" w14:textId="77777777" w:rsidR="00050905" w:rsidRPr="00CE4E24" w:rsidRDefault="00050905" w:rsidP="005A7652">
            <w:pPr>
              <w:contextualSpacing/>
              <w:rPr>
                <w:rFonts w:ascii="Garamond" w:hAnsi="Garamond" w:cs="Times New Roman"/>
              </w:rPr>
            </w:pPr>
            <w:r w:rsidRPr="00CE4E24">
              <w:rPr>
                <w:rFonts w:ascii="Garamond" w:hAnsi="Garamond" w:cs="Times New Roman"/>
              </w:rPr>
              <w:t>Increase in farmer education</w:t>
            </w:r>
          </w:p>
        </w:tc>
        <w:tc>
          <w:tcPr>
            <w:tcW w:w="1710" w:type="dxa"/>
            <w:tcBorders>
              <w:top w:val="single" w:sz="4" w:space="0" w:color="auto"/>
              <w:bottom w:val="single" w:sz="4" w:space="0" w:color="auto"/>
            </w:tcBorders>
            <w:noWrap/>
            <w:hideMark/>
          </w:tcPr>
          <w:p w14:paraId="7DC962D9" w14:textId="77777777" w:rsidR="00050905" w:rsidRPr="00CE4E24" w:rsidRDefault="00050905" w:rsidP="005A7652">
            <w:pPr>
              <w:contextualSpacing/>
              <w:rPr>
                <w:rFonts w:ascii="Garamond" w:hAnsi="Garamond" w:cs="Times New Roman"/>
              </w:rPr>
            </w:pPr>
            <w:r w:rsidRPr="00CE4E24">
              <w:rPr>
                <w:rFonts w:ascii="Garamond" w:hAnsi="Garamond" w:cs="Times New Roman"/>
              </w:rPr>
              <w:t xml:space="preserve">           8</w:t>
            </w:r>
          </w:p>
        </w:tc>
      </w:tr>
      <w:tr w:rsidR="00050905" w:rsidRPr="00C45C29" w14:paraId="6BE4E3F9" w14:textId="77777777" w:rsidTr="00B97992">
        <w:trPr>
          <w:trHeight w:val="300"/>
        </w:trPr>
        <w:tc>
          <w:tcPr>
            <w:tcW w:w="7560" w:type="dxa"/>
            <w:gridSpan w:val="2"/>
            <w:tcBorders>
              <w:top w:val="single" w:sz="4" w:space="0" w:color="auto"/>
              <w:bottom w:val="single" w:sz="4" w:space="0" w:color="auto"/>
            </w:tcBorders>
            <w:noWrap/>
            <w:hideMark/>
          </w:tcPr>
          <w:p w14:paraId="4AE18D30" w14:textId="77777777" w:rsidR="00050905" w:rsidRPr="00B97992" w:rsidRDefault="00050905" w:rsidP="005A7652">
            <w:pPr>
              <w:contextualSpacing/>
              <w:rPr>
                <w:rFonts w:ascii="Garamond" w:hAnsi="Garamond" w:cs="Times New Roman"/>
              </w:rPr>
            </w:pPr>
            <w:r w:rsidRPr="00B97992">
              <w:rPr>
                <w:rFonts w:ascii="Garamond" w:hAnsi="Garamond" w:cs="Times New Roman"/>
              </w:rPr>
              <w:t xml:space="preserve">HIV/AIDS therapy to infected adult population </w:t>
            </w:r>
          </w:p>
        </w:tc>
        <w:tc>
          <w:tcPr>
            <w:tcW w:w="1710" w:type="dxa"/>
            <w:tcBorders>
              <w:top w:val="single" w:sz="4" w:space="0" w:color="auto"/>
              <w:bottom w:val="single" w:sz="4" w:space="0" w:color="auto"/>
            </w:tcBorders>
            <w:noWrap/>
            <w:hideMark/>
          </w:tcPr>
          <w:p w14:paraId="49F234EA" w14:textId="77777777" w:rsidR="00050905" w:rsidRPr="00C45C29" w:rsidRDefault="00050905" w:rsidP="005A7652">
            <w:pPr>
              <w:contextualSpacing/>
              <w:rPr>
                <w:rFonts w:ascii="Garamond" w:hAnsi="Garamond" w:cs="Times New Roman"/>
              </w:rPr>
            </w:pPr>
            <w:r w:rsidRPr="00C45C29">
              <w:rPr>
                <w:rFonts w:ascii="Garamond" w:hAnsi="Garamond" w:cs="Times New Roman"/>
                <w:i/>
              </w:rPr>
              <w:t xml:space="preserve">           </w:t>
            </w:r>
            <w:r w:rsidRPr="00C45C29">
              <w:rPr>
                <w:rFonts w:ascii="Garamond" w:hAnsi="Garamond" w:cs="Times New Roman"/>
              </w:rPr>
              <w:t>2</w:t>
            </w:r>
          </w:p>
        </w:tc>
      </w:tr>
    </w:tbl>
    <w:p w14:paraId="470AC809" w14:textId="77777777" w:rsidR="00050905" w:rsidRPr="00C45C29" w:rsidRDefault="00050905" w:rsidP="00050905">
      <w:pPr>
        <w:pStyle w:val="Source"/>
        <w:rPr>
          <w:rFonts w:ascii="Garamond" w:hAnsi="Garamond"/>
          <w:i w:val="0"/>
        </w:rPr>
      </w:pPr>
      <w:r w:rsidRPr="00C45C29">
        <w:rPr>
          <w:rFonts w:ascii="Garamond" w:hAnsi="Garamond"/>
        </w:rPr>
        <w:t>Source:</w:t>
      </w:r>
      <w:r w:rsidRPr="00C45C29">
        <w:rPr>
          <w:rFonts w:ascii="Garamond" w:hAnsi="Garamond"/>
          <w:i w:val="0"/>
        </w:rPr>
        <w:t xml:space="preserve"> Africa’s Pulse 2016</w:t>
      </w:r>
    </w:p>
    <w:p w14:paraId="03A8CF6C" w14:textId="77777777" w:rsidR="00050905" w:rsidRPr="0003665B" w:rsidRDefault="00050905" w:rsidP="00724BAB">
      <w:pPr>
        <w:pStyle w:val="ListParagraph"/>
        <w:numPr>
          <w:ilvl w:val="3"/>
          <w:numId w:val="11"/>
        </w:numPr>
        <w:ind w:left="0"/>
      </w:pPr>
      <w:r w:rsidRPr="004A50A0">
        <w:rPr>
          <w:b/>
        </w:rPr>
        <w:t>Agricultural research tends to be highly fragmented among many small, externally financed projects with limited coordination and minimal private sector involvement.</w:t>
      </w:r>
      <w:r w:rsidRPr="00352D3A">
        <w:t xml:space="preserve"> There is little contact</w:t>
      </w:r>
      <w:r w:rsidRPr="007F0935">
        <w:t xml:space="preserve"> between r</w:t>
      </w:r>
      <w:r w:rsidRPr="0003665B">
        <w:t>esearchers and extension agents, and technological-adoption studies are rare.</w:t>
      </w:r>
      <w:r w:rsidRPr="004A50A0">
        <w:rPr>
          <w:rStyle w:val="FootnoteReference"/>
        </w:rPr>
        <w:footnoteReference w:id="158"/>
      </w:r>
      <w:r w:rsidRPr="00352D3A">
        <w:t xml:space="preserve"> </w:t>
      </w:r>
      <w:r w:rsidRPr="00352D3A">
        <w:lastRenderedPageBreak/>
        <w:t xml:space="preserve">Research spending </w:t>
      </w:r>
      <w:r w:rsidR="00D71518">
        <w:t>accounts</w:t>
      </w:r>
      <w:r w:rsidR="00D71518" w:rsidRPr="00352D3A">
        <w:t xml:space="preserve"> </w:t>
      </w:r>
      <w:r w:rsidRPr="00352D3A">
        <w:t xml:space="preserve">for </w:t>
      </w:r>
      <w:r w:rsidRPr="007F0935">
        <w:t xml:space="preserve">about 0.7 percent of agricultural </w:t>
      </w:r>
      <w:r w:rsidRPr="0003665B">
        <w:t>output (excluding cocoa</w:t>
      </w:r>
      <w:r w:rsidRPr="004A50A0">
        <w:rPr>
          <w:rStyle w:val="FootnoteReference"/>
        </w:rPr>
        <w:footnoteReference w:id="159"/>
      </w:r>
      <w:r w:rsidRPr="00352D3A">
        <w:t>), above the</w:t>
      </w:r>
      <w:r w:rsidRPr="0003665B">
        <w:t xml:space="preserve"> </w:t>
      </w:r>
      <w:r w:rsidR="00E25E19">
        <w:t>SSA</w:t>
      </w:r>
      <w:r w:rsidRPr="0003665B">
        <w:t xml:space="preserve"> average of 0.5 percent, but below the rates of regional leaders</w:t>
      </w:r>
      <w:r w:rsidR="00D71518">
        <w:t>,</w:t>
      </w:r>
      <w:r w:rsidRPr="0003665B">
        <w:t xml:space="preserve"> such as Kenya (1.4 percent) and South Africa (2 percent), as well as the African Union target of 1 percent. Moreover, many research projects are not geared towards solving the most urgent constraints faced by farmers. In addition, human-resource constraints are serious and growing. Nearly 40 percent of agricultural researchers in Ghana are over 50 years old, and only about one-third hold doctoral degrees. Salaries consume 80 percent of the research budget, leaving few resources for investment in physical infrastructure, equipment, staff development</w:t>
      </w:r>
      <w:r w:rsidR="00D71518">
        <w:t>,</w:t>
      </w:r>
      <w:r w:rsidRPr="0003665B">
        <w:t xml:space="preserve"> and information systems. It is estimated that less than 4 percent of the CSIR budget is available to finance new operations. As a result, researchers are almost totally dependent on donor funding, which is unpredictable and allocated according to donor objectives that are not necessary consistent with those of the government or with the interests of farmers.</w:t>
      </w:r>
    </w:p>
    <w:p w14:paraId="7E2A2704" w14:textId="77777777" w:rsidR="00050905" w:rsidRPr="0003665B" w:rsidRDefault="00050905" w:rsidP="00724BAB">
      <w:pPr>
        <w:pStyle w:val="ListParagraph"/>
        <w:numPr>
          <w:ilvl w:val="3"/>
          <w:numId w:val="11"/>
        </w:numPr>
        <w:ind w:left="0"/>
      </w:pPr>
      <w:r w:rsidRPr="004A50A0">
        <w:rPr>
          <w:b/>
        </w:rPr>
        <w:t>Filling existing and anticipated staffing gaps at CSIR’s institutes will require the creation of detailed human-resource development plans, including training schedules and career tracks.</w:t>
      </w:r>
      <w:r w:rsidRPr="004A50A0">
        <w:rPr>
          <w:rStyle w:val="A11"/>
          <w:rFonts w:cs="Times New Roman"/>
          <w:b/>
          <w:szCs w:val="24"/>
        </w:rPr>
        <w:t xml:space="preserve"> </w:t>
      </w:r>
      <w:r w:rsidRPr="00D56F91">
        <w:t>CSIR should prioritize doctoral-level training and mentoring programs for junior scientists.</w:t>
      </w:r>
      <w:r w:rsidRPr="007B4C29">
        <w:t xml:space="preserve"> </w:t>
      </w:r>
      <w:r w:rsidRPr="00352D3A">
        <w:t>In addition, CSIR’s management will need to create a more conducive work environment by developing o</w:t>
      </w:r>
      <w:r w:rsidRPr="0003665B">
        <w:t>pportunities for scientific achievement and career advancement. For example, promotion should be based on scientific merit rather than seniority. Meanwhile, raising the retirement age to 65 would slow the impending loss of senior researchers in the short-to-medium term.</w:t>
      </w:r>
    </w:p>
    <w:p w14:paraId="3227BAEA" w14:textId="77777777" w:rsidR="00050905" w:rsidRPr="004A50A0" w:rsidRDefault="00050905" w:rsidP="00724BAB">
      <w:pPr>
        <w:numPr>
          <w:ilvl w:val="3"/>
          <w:numId w:val="11"/>
        </w:numPr>
        <w:spacing w:after="240" w:line="240" w:lineRule="auto"/>
        <w:ind w:left="0"/>
        <w:jc w:val="both"/>
        <w:rPr>
          <w:rFonts w:ascii="Garamond" w:hAnsi="Garamond" w:cs="Times New Roman"/>
          <w:sz w:val="24"/>
          <w:szCs w:val="24"/>
        </w:rPr>
      </w:pPr>
      <w:r w:rsidRPr="004A50A0">
        <w:rPr>
          <w:rFonts w:ascii="Garamond" w:hAnsi="Garamond" w:cs="Times New Roman"/>
          <w:b/>
          <w:sz w:val="24"/>
          <w:szCs w:val="24"/>
        </w:rPr>
        <w:t>There is almost no private sector participation in agricultural research in Ghana.</w:t>
      </w:r>
      <w:r w:rsidRPr="004A50A0">
        <w:rPr>
          <w:rFonts w:ascii="Garamond" w:hAnsi="Garamond" w:cs="Times New Roman"/>
          <w:sz w:val="24"/>
          <w:szCs w:val="24"/>
        </w:rPr>
        <w:t xml:space="preserve"> Private firms import hybrid seeds, fertilizers, pesticides</w:t>
      </w:r>
      <w:r w:rsidR="00521904">
        <w:rPr>
          <w:rFonts w:ascii="Garamond" w:hAnsi="Garamond" w:cs="Times New Roman"/>
          <w:sz w:val="24"/>
          <w:szCs w:val="24"/>
        </w:rPr>
        <w:t>,</w:t>
      </w:r>
      <w:r w:rsidRPr="004A50A0">
        <w:rPr>
          <w:rFonts w:ascii="Garamond" w:hAnsi="Garamond" w:cs="Times New Roman"/>
          <w:sz w:val="24"/>
          <w:szCs w:val="24"/>
        </w:rPr>
        <w:t xml:space="preserve"> and new livestock breeds, but Ghana lacks the strong biosafety and regulatory framework necessary to take full advantage of biotechnology and transgenics. Conducting timely evaluations of emerging genetic traits would enable them to be rapidly approved and inserted into existing commercial crop varieties. Currently, private firms that import sophisticated productive technologies tend to focus on export-oriented cash crops, such as oil palm, while technological uptake among smallholder</w:t>
      </w:r>
      <w:r w:rsidR="000C4CD3">
        <w:rPr>
          <w:rFonts w:ascii="Garamond" w:hAnsi="Garamond" w:cs="Times New Roman"/>
          <w:sz w:val="24"/>
          <w:szCs w:val="24"/>
        </w:rPr>
        <w:t>s</w:t>
      </w:r>
      <w:r w:rsidRPr="004A50A0">
        <w:rPr>
          <w:rFonts w:ascii="Garamond" w:hAnsi="Garamond" w:cs="Times New Roman"/>
          <w:sz w:val="24"/>
          <w:szCs w:val="24"/>
        </w:rPr>
        <w:t xml:space="preserve"> who produce cereals, tubers</w:t>
      </w:r>
      <w:r w:rsidR="00742B03">
        <w:rPr>
          <w:rFonts w:ascii="Garamond" w:hAnsi="Garamond" w:cs="Times New Roman"/>
          <w:sz w:val="24"/>
          <w:szCs w:val="24"/>
        </w:rPr>
        <w:t>,</w:t>
      </w:r>
      <w:r w:rsidRPr="004A50A0">
        <w:rPr>
          <w:rFonts w:ascii="Garamond" w:hAnsi="Garamond" w:cs="Times New Roman"/>
          <w:sz w:val="24"/>
          <w:szCs w:val="24"/>
        </w:rPr>
        <w:t xml:space="preserve"> and other food crops remains limited. Adopting more stringent labelling rules would help to improve quality control along the seed supply chain, and authorities should facilitate joint ventures between multinationals and local seed companies.</w:t>
      </w:r>
    </w:p>
    <w:p w14:paraId="393A8397" w14:textId="77777777" w:rsidR="00050905" w:rsidRPr="0003665B" w:rsidRDefault="00050905" w:rsidP="00724BAB">
      <w:pPr>
        <w:pStyle w:val="ListParagraph"/>
        <w:numPr>
          <w:ilvl w:val="3"/>
          <w:numId w:val="11"/>
        </w:numPr>
        <w:ind w:left="0"/>
      </w:pPr>
      <w:r w:rsidRPr="004A50A0">
        <w:rPr>
          <w:b/>
        </w:rPr>
        <w:t>Promoting technology transfer is often the most cost-effective way to boost agricultural productivity, yet Ghana has made little progress in encouraging the adoption of improved technologies.</w:t>
      </w:r>
      <w:r w:rsidRPr="00352D3A">
        <w:t xml:space="preserve"> </w:t>
      </w:r>
      <w:r>
        <w:t>Many</w:t>
      </w:r>
      <w:r w:rsidRPr="00352D3A">
        <w:t xml:space="preserve"> agricultural </w:t>
      </w:r>
      <w:r>
        <w:t>innovations</w:t>
      </w:r>
      <w:r w:rsidRPr="00352D3A">
        <w:t xml:space="preserve"> remain underutilized despite their </w:t>
      </w:r>
      <w:r w:rsidRPr="0003665B">
        <w:t>proven productivity benefits, such as the improved cassava varieties developed with support from the World Bank-financed West Africa Agricultural Productivity Project. Overcoming this apparent “last mile” problem by encouraging farmers to adopt existing technologies will require more effective extension services. However, these services are inherently expensive, and expanding public agricultural extension may be infeasible in the context of the ongoing fiscal consolidation. The government should therefore explore innovative strategies for encouraging private sector engagement in agricultural extension and forge new PPPs in the agricultural sector.</w:t>
      </w:r>
    </w:p>
    <w:p w14:paraId="14D716DE" w14:textId="77777777" w:rsidR="00050905" w:rsidRPr="0003665B" w:rsidRDefault="00050905" w:rsidP="00724BAB">
      <w:pPr>
        <w:pStyle w:val="ListParagraph"/>
        <w:numPr>
          <w:ilvl w:val="3"/>
          <w:numId w:val="11"/>
        </w:numPr>
        <w:ind w:left="0"/>
      </w:pPr>
      <w:r w:rsidRPr="004A50A0">
        <w:rPr>
          <w:b/>
        </w:rPr>
        <w:t>To expand access to private extension services, the government should develop a new framework for collaborating with agricultural input companies, distributors and dealers, transport and logistics providers, food processors and retailers, and telecom operators.</w:t>
      </w:r>
      <w:r w:rsidRPr="00352D3A">
        <w:t xml:space="preserve"> </w:t>
      </w:r>
      <w:r w:rsidRPr="0003665B">
        <w:lastRenderedPageBreak/>
        <w:t>Whereas public extension services are typically focused on the supply side, private services are usually driven by the quality and scale demands of agro-processors, wholesalers</w:t>
      </w:r>
      <w:r w:rsidR="0036386E">
        <w:t>,</w:t>
      </w:r>
      <w:r w:rsidRPr="0003665B">
        <w:t xml:space="preserve"> and exporters. Under a fully private extension system</w:t>
      </w:r>
      <w:r w:rsidR="0036386E">
        <w:t>,</w:t>
      </w:r>
      <w:r w:rsidRPr="0003665B">
        <w:t xml:space="preserve"> the costs of extension services are financed by the efficiency improvements they generate. As farmers adopt new technologies, marginal yields increase, output quality improves, economies of scale develop</w:t>
      </w:r>
      <w:r w:rsidR="00915821">
        <w:t>,</w:t>
      </w:r>
      <w:r w:rsidRPr="0003665B">
        <w:t xml:space="preserve"> and new opportunities for value-addition arise. If these efforts are successful, improved farmer productivity and the elaboration of agricultural value chains will more than offset the cost of providing extension services.</w:t>
      </w:r>
    </w:p>
    <w:p w14:paraId="1A95026A" w14:textId="77777777" w:rsidR="00050905" w:rsidRPr="0003665B" w:rsidRDefault="00050905" w:rsidP="00724BAB">
      <w:pPr>
        <w:pStyle w:val="ListParagraph"/>
        <w:numPr>
          <w:ilvl w:val="3"/>
          <w:numId w:val="11"/>
        </w:numPr>
        <w:ind w:left="0"/>
      </w:pPr>
      <w:r w:rsidRPr="004A50A0">
        <w:rPr>
          <w:b/>
        </w:rPr>
        <w:t>While they offer significant advantages, private extension services are not always a perfect substitute for public services, even within a single geographic area.</w:t>
      </w:r>
      <w:r w:rsidRPr="00352D3A">
        <w:t xml:space="preserve"> In certain</w:t>
      </w:r>
      <w:r w:rsidRPr="007F0935">
        <w:t xml:space="preserve"> cases,</w:t>
      </w:r>
      <w:r w:rsidRPr="0003665B">
        <w:t xml:space="preserve"> PPPs may provide a superior alternative to wholly public or private systems.</w:t>
      </w:r>
      <w:r w:rsidRPr="004A50A0">
        <w:rPr>
          <w:rStyle w:val="FootnoteReference"/>
        </w:rPr>
        <w:footnoteReference w:id="160"/>
      </w:r>
      <w:r w:rsidRPr="00352D3A">
        <w:t xml:space="preserve"> Under one common PPP framework the government provides vouchers to farmers, who </w:t>
      </w:r>
      <w:r w:rsidRPr="0003665B">
        <w:t>then redeem them for private training services. Subsidizing outgrower schemes in which nucleus farms transfer knowledge to smallholders is another promising option, one that is currently being pursued as part of the World Bank-financed Ghana Commercial Agriculture Project (GCAP).</w:t>
      </w:r>
    </w:p>
    <w:p w14:paraId="618A6616" w14:textId="77777777" w:rsidR="00050905" w:rsidRPr="00352D3A" w:rsidRDefault="00050905" w:rsidP="00724BAB">
      <w:pPr>
        <w:pStyle w:val="ListParagraph"/>
        <w:numPr>
          <w:ilvl w:val="3"/>
          <w:numId w:val="11"/>
        </w:numPr>
        <w:ind w:left="0"/>
      </w:pPr>
      <w:r w:rsidRPr="0003665B">
        <w:rPr>
          <w:b/>
        </w:rPr>
        <w:t>Beyond marginal productivity, strengthening the resiliency of agricultural production should be a top policy priority.</w:t>
      </w:r>
      <w:r w:rsidRPr="0003665B">
        <w:t xml:space="preserve"> This includes mitigating the impact of short-term weather-related fluctuations on agricultural output and coping with the complex long-term effects of climate change. A recently completed World Bank risk assessment</w:t>
      </w:r>
      <w:r w:rsidRPr="00352D3A">
        <w:t xml:space="preserve"> concluded that farming</w:t>
      </w:r>
      <w:r w:rsidRPr="007F0935">
        <w:t xml:space="preserve"> households in </w:t>
      </w:r>
      <w:r w:rsidRPr="0003665B">
        <w:t>Ghana’s northern regions are most susceptible to production and price shocks, including those caused by seasonal droughts and flooding as well as persistent increases in temperature, and that climate change is intensifying all of these risks.</w:t>
      </w:r>
      <w:r w:rsidRPr="00D51DE9">
        <w:rPr>
          <w:rStyle w:val="FootnoteReference"/>
        </w:rPr>
        <w:footnoteReference w:id="161"/>
      </w:r>
      <w:r w:rsidRPr="00352D3A">
        <w:t xml:space="preserve"> </w:t>
      </w:r>
    </w:p>
    <w:p w14:paraId="157B4212" w14:textId="77777777" w:rsidR="00050905" w:rsidRPr="0003665B" w:rsidRDefault="00050905" w:rsidP="00724BAB">
      <w:pPr>
        <w:pStyle w:val="ListParagraph"/>
        <w:numPr>
          <w:ilvl w:val="3"/>
          <w:numId w:val="11"/>
        </w:numPr>
        <w:ind w:left="0"/>
      </w:pPr>
      <w:r w:rsidRPr="004A50A0">
        <w:rPr>
          <w:b/>
        </w:rPr>
        <w:t>Promoting the adoption of drought-tolerant and fast-maturing crop varieties and improving water-management systems will enable farmers to better adapt their production methods to an increasingly unpredictable climate.</w:t>
      </w:r>
      <w:r w:rsidRPr="00352D3A">
        <w:t xml:space="preserve"> The World Bank-supported Sustainable Land and Water Management Project and the West Africa Region</w:t>
      </w:r>
      <w:r w:rsidRPr="0003665B">
        <w:t>al Fisheries Program both focus on promoting the sustainable management of land, water</w:t>
      </w:r>
      <w:r w:rsidR="008677B1">
        <w:t>,</w:t>
      </w:r>
      <w:r w:rsidRPr="0003665B">
        <w:t xml:space="preserve"> and other natural resources through accelerated technology transfer. In addition, </w:t>
      </w:r>
      <w:r w:rsidR="008677B1">
        <w:t xml:space="preserve">the </w:t>
      </w:r>
      <w:r w:rsidRPr="0003665B">
        <w:t>GCAP is promoting improved rain</w:t>
      </w:r>
      <w:r w:rsidR="000C4CD3">
        <w:t>-</w:t>
      </w:r>
      <w:r w:rsidRPr="0003665B">
        <w:t>fed rice cultivation in the Savannah Accelerated Development Authority (SADA) zone</w:t>
      </w:r>
      <w:r w:rsidRPr="00352D3A">
        <w:rPr>
          <w:vertAlign w:val="superscript"/>
        </w:rPr>
        <w:footnoteReference w:id="162"/>
      </w:r>
      <w:r w:rsidRPr="00352D3A">
        <w:t xml:space="preserve"> by providing matching </w:t>
      </w:r>
      <w:r w:rsidRPr="007F0935">
        <w:t xml:space="preserve">investment </w:t>
      </w:r>
      <w:r w:rsidRPr="0003665B">
        <w:t>grants to rice producers.</w:t>
      </w:r>
    </w:p>
    <w:p w14:paraId="34A26B7B" w14:textId="77777777" w:rsidR="00050905" w:rsidRPr="0003665B" w:rsidRDefault="00050905" w:rsidP="00724BAB">
      <w:pPr>
        <w:pStyle w:val="ListParagraph"/>
        <w:numPr>
          <w:ilvl w:val="3"/>
          <w:numId w:val="11"/>
        </w:numPr>
        <w:ind w:left="0"/>
      </w:pPr>
      <w:r w:rsidRPr="004A50A0">
        <w:rPr>
          <w:b/>
        </w:rPr>
        <w:t>In addition to technology transfer, infrastructure investment is crucial to agricultural resilience and long-term productivity growth.</w:t>
      </w:r>
      <w:r w:rsidRPr="00352D3A">
        <w:t xml:space="preserve"> Improved transportation and storage infrastructure can help reduce post-harvest losses and mitigate </w:t>
      </w:r>
      <w:r w:rsidRPr="0003665B">
        <w:t xml:space="preserve">price volatility, and more efficient and extensive irrigation systems will be vital to increase crop yields and reduce vulnerability to weather-related shocks. However, irrigation investment currently represents just 3 percent of total public spending on agriculture. Expanding irrigation access will require not only rehabilitating and modernizing public irrigation and drainage systems, but also reforming the institutions that oversee them. With support from </w:t>
      </w:r>
      <w:r w:rsidR="008677B1">
        <w:t xml:space="preserve">the </w:t>
      </w:r>
      <w:r w:rsidRPr="0003665B">
        <w:t>GCAP</w:t>
      </w:r>
      <w:r w:rsidR="008677B1">
        <w:t>,</w:t>
      </w:r>
      <w:r w:rsidRPr="0003665B">
        <w:t xml:space="preserve"> the government has begun a reform program targeting the Ghana Irrigation </w:t>
      </w:r>
      <w:r w:rsidRPr="0003665B">
        <w:lastRenderedPageBreak/>
        <w:t>Development Authority and the Irrigation Company of the Upper Region, accompanied by investments in the rehabilitation of existing irrigation infrastructure. Once the rehabilitation process is complete, management responsibilities will be handed over to private firms and/or local user associations depending on the size of each scheme. Irrigation development is especially crucial in the SADA zone, which has enormous potential for agricultural production that can only be exploited once adequate water resources are made available.</w:t>
      </w:r>
    </w:p>
    <w:p w14:paraId="56021756" w14:textId="77777777" w:rsidR="00050905" w:rsidRPr="0003665B" w:rsidRDefault="00050905" w:rsidP="00724BAB">
      <w:pPr>
        <w:pStyle w:val="ListParagraph"/>
        <w:numPr>
          <w:ilvl w:val="3"/>
          <w:numId w:val="11"/>
        </w:numPr>
        <w:ind w:left="0"/>
      </w:pPr>
      <w:r w:rsidRPr="0003665B">
        <w:rPr>
          <w:b/>
        </w:rPr>
        <w:t>Ghana’s largely traditional land-tenure system is not conducive to agricultural investment</w:t>
      </w:r>
      <w:r w:rsidRPr="0003665B">
        <w:t>. Formal land registration processes remain highly inefficient, and landowners often lack enforceable titles, especially in rural areas. The World Bank is supporting a series of land administration projects designed to strengthen ownership rights by creating an up-to-date inventory of land resources and introducing a modern land-registration framework. Greater tenure security will facilitate access to land, promote investment</w:t>
      </w:r>
      <w:r w:rsidR="008677B1">
        <w:t>,</w:t>
      </w:r>
      <w:r w:rsidRPr="0003665B">
        <w:t xml:space="preserve"> and reduce the frequency of land-related conflicts. Following the development of a model land-lease agreement, </w:t>
      </w:r>
      <w:r w:rsidR="008677B1">
        <w:t xml:space="preserve">the </w:t>
      </w:r>
      <w:r w:rsidRPr="0003665B">
        <w:t>GCAP is supporting the establishment of a Lands Commission database in which landowners can register land available for lease to investors.</w:t>
      </w:r>
    </w:p>
    <w:p w14:paraId="29462D4A" w14:textId="77777777" w:rsidR="00050905" w:rsidRPr="0003665B" w:rsidRDefault="00050905" w:rsidP="00724BAB">
      <w:pPr>
        <w:pStyle w:val="ListParagraph"/>
        <w:numPr>
          <w:ilvl w:val="3"/>
          <w:numId w:val="11"/>
        </w:numPr>
        <w:ind w:left="0"/>
      </w:pPr>
      <w:r w:rsidRPr="0003665B">
        <w:rPr>
          <w:b/>
        </w:rPr>
        <w:t>Linking farmers to markets is essential to agricultural development and rural poverty reduction.</w:t>
      </w:r>
      <w:r w:rsidRPr="0003665B">
        <w:t xml:space="preserve"> Integrating smallholder farmers into value chains boosts income levels, encourages technology transfer, supports diversification</w:t>
      </w:r>
      <w:r w:rsidR="008677B1">
        <w:t>,</w:t>
      </w:r>
      <w:r w:rsidRPr="0003665B">
        <w:t xml:space="preserve"> and facilitates agribusiness investments. GCAP attempts to leverage the benefits of integration by supporting the commercialization of smallholder farming through PPP arrangements with large agricultural investors. The project is also designed to improve smallholder productivity and tighten market linkages via the nucleus farmer-outgrower model, while building the government’s investment-promotion capacity, strengthening land tenure, promoting sustainable land-access arrangements, supporting private investors through matching grants, expanding and rehabilitating irrigation networks, and promoting institutional reform in the irrigation subsector. </w:t>
      </w:r>
    </w:p>
    <w:p w14:paraId="04442AB5" w14:textId="77777777" w:rsidR="00050905" w:rsidRPr="00E45355" w:rsidRDefault="00050905" w:rsidP="00894F2B">
      <w:pPr>
        <w:pStyle w:val="Heading2"/>
      </w:pPr>
      <w:bookmarkStart w:id="243" w:name="_Toc479624912"/>
      <w:r w:rsidRPr="00E45355">
        <w:t>Cocoa Production and The Ghana Cocoa Board</w:t>
      </w:r>
      <w:bookmarkEnd w:id="243"/>
    </w:p>
    <w:p w14:paraId="4627056B" w14:textId="77777777" w:rsidR="00050905" w:rsidRPr="00322815" w:rsidRDefault="00050905" w:rsidP="00724BAB">
      <w:pPr>
        <w:pStyle w:val="ListParagraph"/>
        <w:numPr>
          <w:ilvl w:val="3"/>
          <w:numId w:val="11"/>
        </w:numPr>
        <w:ind w:left="0"/>
      </w:pPr>
      <w:r w:rsidRPr="00322815">
        <w:rPr>
          <w:b/>
        </w:rPr>
        <w:t xml:space="preserve">Cocoa is Ghana’s most important agricultural export, yet the cocoa subsector operates far below its potential. </w:t>
      </w:r>
      <w:r w:rsidRPr="00322815">
        <w:t>Ghana is the world’s second-largest cocoa producer and is responsible for over one-fifth of global cocoa output. The cocoa subsector accounts for about 12 percent of total agricultural value addition, 7 percent of GDP and 20-25 percent of export earnings. Cocoa is a key source of foreign exchange and the country’s largest non-resource export. However, after peaking at 1 million tons in 2011-12, cocoa production seems to have plateaued at an average of around 800,000 tons per year.</w:t>
      </w:r>
    </w:p>
    <w:p w14:paraId="6207C564" w14:textId="77777777" w:rsidR="00050905" w:rsidRPr="00322815" w:rsidRDefault="00050905" w:rsidP="00724BAB">
      <w:pPr>
        <w:pStyle w:val="ListParagraph"/>
        <w:numPr>
          <w:ilvl w:val="3"/>
          <w:numId w:val="11"/>
        </w:numPr>
        <w:ind w:left="0"/>
      </w:pPr>
      <w:r w:rsidRPr="00322815">
        <w:rPr>
          <w:b/>
        </w:rPr>
        <w:t xml:space="preserve">Unlike other crops, the cocoa subsector operates under a controlled marketing system. </w:t>
      </w:r>
      <w:r w:rsidR="00432891" w:rsidRPr="00825B48">
        <w:t>The</w:t>
      </w:r>
      <w:r w:rsidR="00432891">
        <w:rPr>
          <w:b/>
        </w:rPr>
        <w:t xml:space="preserve"> </w:t>
      </w:r>
      <w:r w:rsidRPr="00322815">
        <w:t xml:space="preserve">COCOBOD manages the subsector under the authority of the </w:t>
      </w:r>
      <w:r w:rsidR="009863EC">
        <w:t>MoF</w:t>
      </w:r>
      <w:r w:rsidRPr="00322815">
        <w:t>. It controls the marketing of cocoa exports and, via its subsidiaries, it manages the input supply, conducts research, provides extension services, promotes pest and disease control, and invests in some forms of infrastructure. As a result, the cocoa value chain is unusually complicated and subject to heavy government intervention (</w:t>
      </w:r>
      <w:r w:rsidR="003D5DA2">
        <w:fldChar w:fldCharType="begin"/>
      </w:r>
      <w:r w:rsidR="003D5DA2">
        <w:instrText xml:space="preserve"> REF _Ref472431302 \h </w:instrText>
      </w:r>
      <w:r w:rsidR="003D5DA2">
        <w:fldChar w:fldCharType="separate"/>
      </w:r>
      <w:r w:rsidR="007B1CE6">
        <w:t xml:space="preserve">Figure </w:t>
      </w:r>
      <w:r w:rsidR="007B1CE6">
        <w:rPr>
          <w:noProof/>
        </w:rPr>
        <w:t>5</w:t>
      </w:r>
      <w:r w:rsidR="007B1CE6">
        <w:t>.</w:t>
      </w:r>
      <w:r w:rsidR="007B1CE6">
        <w:rPr>
          <w:noProof/>
        </w:rPr>
        <w:t>7</w:t>
      </w:r>
      <w:r w:rsidR="003D5DA2">
        <w:fldChar w:fldCharType="end"/>
      </w:r>
      <w:r w:rsidRPr="00322815">
        <w:t xml:space="preserve">). </w:t>
      </w:r>
      <w:r w:rsidR="0053472A">
        <w:t xml:space="preserve">The </w:t>
      </w:r>
      <w:r w:rsidRPr="00322815">
        <w:t xml:space="preserve">COCOBOD purchases cocoa through licensed buying companies, which sell primarily to the Cocoa Marketing Company, another COCOBOD subsidiary. The subsector’s current structure results from the partial privatization of a state-owned monopoly, and although the reforms that produced the current system were a positive step, the subsector’s continued dominance by </w:t>
      </w:r>
      <w:r w:rsidR="0053472A">
        <w:t xml:space="preserve">the </w:t>
      </w:r>
      <w:r w:rsidRPr="00322815">
        <w:t xml:space="preserve">COCOBOD represents a major obstacle to its growth and development. </w:t>
      </w:r>
    </w:p>
    <w:p w14:paraId="5F2C8044" w14:textId="77777777" w:rsidR="00050905" w:rsidRPr="00322815" w:rsidRDefault="005C0067" w:rsidP="005C0067">
      <w:pPr>
        <w:pStyle w:val="Caption"/>
      </w:pPr>
      <w:bookmarkStart w:id="244" w:name="_Ref472431302"/>
      <w:r>
        <w:lastRenderedPageBreak/>
        <w:t xml:space="preserve">Figure </w:t>
      </w:r>
      <w:r>
        <w:fldChar w:fldCharType="begin"/>
      </w:r>
      <w:r>
        <w:instrText xml:space="preserve"> STYLEREF 1 \s </w:instrText>
      </w:r>
      <w:r>
        <w:fldChar w:fldCharType="separate"/>
      </w:r>
      <w:r w:rsidR="007B1CE6">
        <w:rPr>
          <w:noProof/>
        </w:rPr>
        <w:t>5</w:t>
      </w:r>
      <w:r>
        <w:fldChar w:fldCharType="end"/>
      </w:r>
      <w:r>
        <w:t>.</w:t>
      </w:r>
      <w:r>
        <w:fldChar w:fldCharType="begin"/>
      </w:r>
      <w:r>
        <w:instrText xml:space="preserve"> SEQ Figure \* ARABIC \s 1 </w:instrText>
      </w:r>
      <w:r>
        <w:fldChar w:fldCharType="separate"/>
      </w:r>
      <w:r w:rsidR="007B1CE6">
        <w:rPr>
          <w:noProof/>
        </w:rPr>
        <w:t>7</w:t>
      </w:r>
      <w:r>
        <w:fldChar w:fldCharType="end"/>
      </w:r>
      <w:bookmarkEnd w:id="244"/>
      <w:r w:rsidR="00050905" w:rsidRPr="00322815">
        <w:t>: The Cocoa Value Chain in Ghana</w:t>
      </w:r>
    </w:p>
    <w:p w14:paraId="4941A2F8" w14:textId="77777777" w:rsidR="00050905" w:rsidRPr="00322815" w:rsidRDefault="00050905" w:rsidP="00724BAB">
      <w:pPr>
        <w:pStyle w:val="Caption"/>
        <w:numPr>
          <w:ilvl w:val="4"/>
          <w:numId w:val="12"/>
        </w:numPr>
      </w:pPr>
      <w:r w:rsidRPr="00322815">
        <w:rPr>
          <w:noProof/>
          <w:bdr w:val="single" w:sz="4" w:space="0" w:color="auto"/>
          <w:lang w:val="en-US" w:eastAsia="en-US"/>
        </w:rPr>
        <w:drawing>
          <wp:inline distT="0" distB="0" distL="0" distR="0" wp14:anchorId="008AFAC2" wp14:editId="6EC28BA9">
            <wp:extent cx="5269434" cy="3119437"/>
            <wp:effectExtent l="0" t="0" r="762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5.jpg"/>
                    <pic:cNvPicPr/>
                  </pic:nvPicPr>
                  <pic:blipFill>
                    <a:blip r:embed="rId116">
                      <a:extLst>
                        <a:ext uri="{28A0092B-C50C-407E-A947-70E740481C1C}">
                          <a14:useLocalDpi xmlns:a14="http://schemas.microsoft.com/office/drawing/2010/main" val="0"/>
                        </a:ext>
                      </a:extLst>
                    </a:blip>
                    <a:stretch>
                      <a:fillRect/>
                    </a:stretch>
                  </pic:blipFill>
                  <pic:spPr>
                    <a:xfrm>
                      <a:off x="0" y="0"/>
                      <a:ext cx="5294559" cy="3134311"/>
                    </a:xfrm>
                    <a:prstGeom prst="rect">
                      <a:avLst/>
                    </a:prstGeom>
                  </pic:spPr>
                </pic:pic>
              </a:graphicData>
            </a:graphic>
          </wp:inline>
        </w:drawing>
      </w:r>
    </w:p>
    <w:p w14:paraId="7615DE01" w14:textId="77777777" w:rsidR="00050905" w:rsidRPr="00593CB5" w:rsidRDefault="00050905" w:rsidP="00050905">
      <w:pPr>
        <w:pStyle w:val="Source"/>
        <w:rPr>
          <w:rFonts w:ascii="Garamond" w:hAnsi="Garamond"/>
        </w:rPr>
      </w:pPr>
      <w:r w:rsidRPr="00593CB5">
        <w:rPr>
          <w:rFonts w:ascii="Garamond" w:hAnsi="Garamond"/>
        </w:rPr>
        <w:t xml:space="preserve">Source: </w:t>
      </w:r>
      <w:r w:rsidRPr="00593CB5">
        <w:rPr>
          <w:rFonts w:ascii="Garamond" w:hAnsi="Garamond"/>
          <w:i w:val="0"/>
        </w:rPr>
        <w:t>World Bank Staff</w:t>
      </w:r>
      <w:r w:rsidRPr="00593CB5">
        <w:rPr>
          <w:rFonts w:ascii="Garamond" w:hAnsi="Garamond"/>
        </w:rPr>
        <w:t xml:space="preserve"> </w:t>
      </w:r>
    </w:p>
    <w:p w14:paraId="3FF2CB5E" w14:textId="77777777" w:rsidR="00050905" w:rsidRPr="00352D3A" w:rsidRDefault="0053472A" w:rsidP="00724BAB">
      <w:pPr>
        <w:pStyle w:val="ListParagraph"/>
        <w:numPr>
          <w:ilvl w:val="3"/>
          <w:numId w:val="11"/>
        </w:numPr>
        <w:ind w:left="0"/>
      </w:pPr>
      <w:r>
        <w:rPr>
          <w:b/>
        </w:rPr>
        <w:t xml:space="preserve">The </w:t>
      </w:r>
      <w:r w:rsidR="00050905" w:rsidRPr="00352D3A">
        <w:rPr>
          <w:b/>
        </w:rPr>
        <w:t>COCOBOD’s price-</w:t>
      </w:r>
      <w:r w:rsidR="00050905" w:rsidRPr="007F0935">
        <w:rPr>
          <w:b/>
        </w:rPr>
        <w:t>setting mech</w:t>
      </w:r>
      <w:r w:rsidR="00050905" w:rsidRPr="008F5353">
        <w:rPr>
          <w:b/>
        </w:rPr>
        <w:t>anism distorts economic incentives</w:t>
      </w:r>
      <w:r w:rsidR="00050905" w:rsidRPr="008F5353">
        <w:t xml:space="preserve">. </w:t>
      </w:r>
      <w:r>
        <w:t>The board</w:t>
      </w:r>
      <w:r w:rsidRPr="008F5353">
        <w:t xml:space="preserve"> </w:t>
      </w:r>
      <w:r w:rsidR="00050905" w:rsidRPr="008F5353">
        <w:t>sets yearly producer prices in advance of the harvest season, and the Cocoa Marketing Company sells about 70 percent of the country’s cocoa exports through forward contracts. The producer price is based on a cost-plus principle, which reflects the expected export price, the operating costs of</w:t>
      </w:r>
      <w:r w:rsidR="00C02F3C">
        <w:t xml:space="preserve"> the</w:t>
      </w:r>
      <w:r w:rsidR="00050905" w:rsidRPr="008F5353">
        <w:t xml:space="preserve"> COCOBOD and its subsidiaries, explicit taxes, and farmers’ production costs. Through this system</w:t>
      </w:r>
      <w:r w:rsidR="00C02F3C">
        <w:t>, the</w:t>
      </w:r>
      <w:r w:rsidR="00050905" w:rsidRPr="008F5353">
        <w:t xml:space="preserve"> COCOBOD ostensibly pays producers at least 70 percent of the so-called “net free-on-board (FOB) price,” which COCOBOD defines as the FOB price minus allowances for “industry costs” and “direct marketing costs.”</w:t>
      </w:r>
      <w:r w:rsidR="00050905" w:rsidRPr="004A50A0">
        <w:rPr>
          <w:rStyle w:val="FootnoteReference"/>
        </w:rPr>
        <w:footnoteReference w:id="163"/>
      </w:r>
      <w:r w:rsidR="00050905" w:rsidRPr="00352D3A">
        <w:t xml:space="preserve"> Industry costs have been rising over time and are now estimated at close to 15 percent of </w:t>
      </w:r>
      <w:r w:rsidR="00050905" w:rsidRPr="007F0935">
        <w:t xml:space="preserve">the </w:t>
      </w:r>
      <w:r w:rsidR="00050905" w:rsidRPr="008F5353">
        <w:t>FOB price. Input supply programs and social programs targeting cocoa farmers make up the bulk of industry costs. Direct marketing costs include transportation, storage</w:t>
      </w:r>
      <w:r w:rsidR="00C02F3C">
        <w:t>,</w:t>
      </w:r>
      <w:r w:rsidR="00050905" w:rsidRPr="008F5353">
        <w:t xml:space="preserve"> and quality control. As a result, the producer price is often very different from the real FOB price (</w:t>
      </w:r>
      <w:r w:rsidR="003D5DA2">
        <w:fldChar w:fldCharType="begin"/>
      </w:r>
      <w:r w:rsidR="003D5DA2">
        <w:instrText xml:space="preserve"> REF _Ref472431312 \h </w:instrText>
      </w:r>
      <w:r w:rsidR="003D5DA2">
        <w:fldChar w:fldCharType="separate"/>
      </w:r>
      <w:r w:rsidR="007B1CE6">
        <w:t xml:space="preserve">Figure </w:t>
      </w:r>
      <w:r w:rsidR="007B1CE6">
        <w:rPr>
          <w:noProof/>
        </w:rPr>
        <w:t>5</w:t>
      </w:r>
      <w:r w:rsidR="007B1CE6">
        <w:t>.</w:t>
      </w:r>
      <w:r w:rsidR="007B1CE6">
        <w:rPr>
          <w:noProof/>
        </w:rPr>
        <w:t>8</w:t>
      </w:r>
      <w:r w:rsidR="003D5DA2">
        <w:fldChar w:fldCharType="end"/>
      </w:r>
      <w:r w:rsidR="00050905" w:rsidRPr="00352D3A">
        <w:t xml:space="preserve">), and </w:t>
      </w:r>
      <w:r w:rsidR="00050905">
        <w:t xml:space="preserve">despite the upward trend observed in recent years, </w:t>
      </w:r>
      <w:r w:rsidR="00050905" w:rsidRPr="00352D3A">
        <w:t>the producer</w:t>
      </w:r>
      <w:r w:rsidR="00050905">
        <w:t>s’</w:t>
      </w:r>
      <w:r w:rsidR="00050905" w:rsidRPr="00352D3A">
        <w:t xml:space="preserve"> share in the real FOB price is typically far </w:t>
      </w:r>
      <w:r w:rsidR="00050905" w:rsidRPr="007F0935">
        <w:t>below 70 percent</w:t>
      </w:r>
      <w:r w:rsidR="00050905" w:rsidRPr="008F5353">
        <w:t xml:space="preserve"> (</w:t>
      </w:r>
      <w:r w:rsidR="003D5DA2">
        <w:fldChar w:fldCharType="begin"/>
      </w:r>
      <w:r w:rsidR="003D5DA2">
        <w:instrText xml:space="preserve"> REF _Ref465161289 \h </w:instrText>
      </w:r>
      <w:r w:rsidR="003D5DA2">
        <w:fldChar w:fldCharType="separate"/>
      </w:r>
      <w:r w:rsidR="007B1CE6">
        <w:t>Figure</w:t>
      </w:r>
      <w:r w:rsidR="007B1CE6" w:rsidRPr="00322815">
        <w:t xml:space="preserve"> </w:t>
      </w:r>
      <w:r w:rsidR="007B1CE6">
        <w:rPr>
          <w:noProof/>
        </w:rPr>
        <w:t>5</w:t>
      </w:r>
      <w:r w:rsidR="007B1CE6">
        <w:t>.</w:t>
      </w:r>
      <w:r w:rsidR="007B1CE6">
        <w:rPr>
          <w:noProof/>
        </w:rPr>
        <w:t>9</w:t>
      </w:r>
      <w:r w:rsidR="003D5DA2">
        <w:fldChar w:fldCharType="end"/>
      </w:r>
      <w:r w:rsidR="00050905" w:rsidRPr="00352D3A">
        <w:t>).</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9"/>
        <w:gridCol w:w="4501"/>
      </w:tblGrid>
      <w:tr w:rsidR="00050905" w:rsidRPr="00322815" w14:paraId="11BA8261" w14:textId="77777777" w:rsidTr="005A7652">
        <w:tc>
          <w:tcPr>
            <w:tcW w:w="4806" w:type="dxa"/>
          </w:tcPr>
          <w:p w14:paraId="6070AA7D" w14:textId="77777777" w:rsidR="00050905" w:rsidRPr="00322815" w:rsidRDefault="00657AA2" w:rsidP="00CC6F65">
            <w:pPr>
              <w:pStyle w:val="Caption"/>
              <w:rPr>
                <w:lang w:val="en-US"/>
              </w:rPr>
            </w:pPr>
            <w:bookmarkStart w:id="245" w:name="_Ref472431312"/>
            <w:bookmarkStart w:id="246" w:name="_Toc479624955"/>
            <w:r>
              <w:lastRenderedPageBreak/>
              <w:t>Figure</w:t>
            </w:r>
            <w:r w:rsidR="00CC6F65">
              <w:t xml:space="preserve"> </w:t>
            </w:r>
            <w:r w:rsidR="005C0067">
              <w:fldChar w:fldCharType="begin"/>
            </w:r>
            <w:r w:rsidR="005C0067">
              <w:instrText xml:space="preserve"> STYLEREF 1 \s </w:instrText>
            </w:r>
            <w:r w:rsidR="005C0067">
              <w:fldChar w:fldCharType="separate"/>
            </w:r>
            <w:r w:rsidR="007B1CE6">
              <w:rPr>
                <w:noProof/>
              </w:rPr>
              <w:t>5</w:t>
            </w:r>
            <w:r w:rsidR="005C0067">
              <w:fldChar w:fldCharType="end"/>
            </w:r>
            <w:r w:rsidR="005C0067">
              <w:t>.</w:t>
            </w:r>
            <w:r w:rsidR="005C0067">
              <w:fldChar w:fldCharType="begin"/>
            </w:r>
            <w:r w:rsidR="005C0067">
              <w:instrText xml:space="preserve"> SEQ Figure \* ARABIC \s 1 </w:instrText>
            </w:r>
            <w:r w:rsidR="005C0067">
              <w:fldChar w:fldCharType="separate"/>
            </w:r>
            <w:r w:rsidR="007B1CE6">
              <w:rPr>
                <w:noProof/>
              </w:rPr>
              <w:t>8</w:t>
            </w:r>
            <w:r w:rsidR="005C0067">
              <w:fldChar w:fldCharType="end"/>
            </w:r>
            <w:bookmarkEnd w:id="245"/>
            <w:r w:rsidR="00050905" w:rsidRPr="00322815">
              <w:rPr>
                <w:lang w:val="en-US"/>
              </w:rPr>
              <w:t>: Cocoa Prices</w:t>
            </w:r>
            <w:bookmarkEnd w:id="246"/>
          </w:p>
        </w:tc>
        <w:tc>
          <w:tcPr>
            <w:tcW w:w="4464" w:type="dxa"/>
          </w:tcPr>
          <w:p w14:paraId="5D497957" w14:textId="77777777" w:rsidR="00050905" w:rsidRPr="00322815" w:rsidRDefault="00657AA2" w:rsidP="00724BAB">
            <w:pPr>
              <w:pStyle w:val="Caption"/>
              <w:numPr>
                <w:ilvl w:val="4"/>
                <w:numId w:val="12"/>
              </w:numPr>
              <w:spacing w:after="0"/>
              <w:rPr>
                <w:lang w:val="en-US"/>
              </w:rPr>
            </w:pPr>
            <w:bookmarkStart w:id="247" w:name="_Ref465161289"/>
            <w:bookmarkStart w:id="248" w:name="_Toc479624956"/>
            <w:r>
              <w:rPr>
                <w:lang w:val="en-US"/>
              </w:rPr>
              <w:t>Figure</w:t>
            </w:r>
            <w:r w:rsidR="00050905" w:rsidRPr="00322815">
              <w:rPr>
                <w:lang w:val="en-US"/>
              </w:rPr>
              <w:t xml:space="preserve"> </w:t>
            </w:r>
            <w:r w:rsidR="005C0067">
              <w:fldChar w:fldCharType="begin"/>
            </w:r>
            <w:r w:rsidR="005C0067">
              <w:rPr>
                <w:lang w:val="en-US"/>
              </w:rPr>
              <w:instrText xml:space="preserve"> STYLEREF 1 \s </w:instrText>
            </w:r>
            <w:r w:rsidR="005C0067">
              <w:fldChar w:fldCharType="separate"/>
            </w:r>
            <w:r w:rsidR="007B1CE6">
              <w:rPr>
                <w:noProof/>
                <w:lang w:val="en-US"/>
              </w:rPr>
              <w:t>5</w:t>
            </w:r>
            <w:r w:rsidR="005C0067">
              <w:fldChar w:fldCharType="end"/>
            </w:r>
            <w:r w:rsidR="005C0067">
              <w:rPr>
                <w:lang w:val="en-US"/>
              </w:rPr>
              <w:t>.</w:t>
            </w:r>
            <w:r w:rsidR="005C0067">
              <w:fldChar w:fldCharType="begin"/>
            </w:r>
            <w:r w:rsidR="005C0067">
              <w:rPr>
                <w:lang w:val="en-US"/>
              </w:rPr>
              <w:instrText xml:space="preserve"> SEQ Figure \* ARABIC \s 1 </w:instrText>
            </w:r>
            <w:r w:rsidR="005C0067">
              <w:fldChar w:fldCharType="separate"/>
            </w:r>
            <w:r w:rsidR="007B1CE6">
              <w:rPr>
                <w:noProof/>
                <w:lang w:val="en-US"/>
              </w:rPr>
              <w:t>9</w:t>
            </w:r>
            <w:r w:rsidR="005C0067">
              <w:fldChar w:fldCharType="end"/>
            </w:r>
            <w:bookmarkEnd w:id="247"/>
            <w:r w:rsidR="00050905" w:rsidRPr="00322815">
              <w:rPr>
                <w:lang w:val="en-US"/>
              </w:rPr>
              <w:t xml:space="preserve"> : Producer Prices</w:t>
            </w:r>
            <w:bookmarkEnd w:id="248"/>
          </w:p>
          <w:p w14:paraId="66C0E914" w14:textId="77777777" w:rsidR="00050905" w:rsidRPr="00322815" w:rsidRDefault="00050905" w:rsidP="00724BAB">
            <w:pPr>
              <w:pStyle w:val="Caption"/>
              <w:numPr>
                <w:ilvl w:val="4"/>
                <w:numId w:val="12"/>
              </w:numPr>
              <w:rPr>
                <w:lang w:val="en-US"/>
              </w:rPr>
            </w:pPr>
            <w:r w:rsidRPr="00322815">
              <w:rPr>
                <w:lang w:val="en-US"/>
              </w:rPr>
              <w:t>as a Share of FOB Prices</w:t>
            </w:r>
          </w:p>
        </w:tc>
      </w:tr>
      <w:tr w:rsidR="00050905" w:rsidRPr="00322815" w14:paraId="5195A5AF" w14:textId="77777777" w:rsidTr="005A7652">
        <w:tc>
          <w:tcPr>
            <w:tcW w:w="4806" w:type="dxa"/>
          </w:tcPr>
          <w:p w14:paraId="3B287C1C" w14:textId="77777777" w:rsidR="00050905" w:rsidRPr="00322815" w:rsidRDefault="00050905" w:rsidP="005A7652">
            <w:pPr>
              <w:keepNext/>
              <w:keepLines/>
              <w:rPr>
                <w:rFonts w:asciiTheme="minorHAnsi" w:hAnsiTheme="minorHAnsi" w:cs="Times New Roman"/>
                <w:sz w:val="24"/>
                <w:szCs w:val="24"/>
              </w:rPr>
            </w:pPr>
            <w:r w:rsidRPr="00322815">
              <w:rPr>
                <w:rFonts w:asciiTheme="minorHAnsi" w:hAnsiTheme="minorHAnsi"/>
                <w:noProof/>
              </w:rPr>
              <w:drawing>
                <wp:inline distT="0" distB="0" distL="0" distR="0" wp14:anchorId="3874D286" wp14:editId="74BD34EB">
                  <wp:extent cx="2914650" cy="275272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c>
          <w:tcPr>
            <w:tcW w:w="4464" w:type="dxa"/>
          </w:tcPr>
          <w:p w14:paraId="1B2E12D8" w14:textId="77777777" w:rsidR="00050905" w:rsidRPr="00322815" w:rsidRDefault="00050905" w:rsidP="005A7652">
            <w:pPr>
              <w:keepNext/>
              <w:keepLines/>
              <w:rPr>
                <w:rFonts w:asciiTheme="minorHAnsi" w:hAnsiTheme="minorHAnsi" w:cs="Times New Roman"/>
                <w:sz w:val="24"/>
                <w:szCs w:val="24"/>
              </w:rPr>
            </w:pPr>
            <w:r w:rsidRPr="00322815">
              <w:rPr>
                <w:rFonts w:asciiTheme="minorHAnsi" w:hAnsiTheme="minorHAnsi"/>
                <w:noProof/>
              </w:rPr>
              <w:drawing>
                <wp:inline distT="0" distB="0" distL="0" distR="0" wp14:anchorId="19A41E33" wp14:editId="482743B3">
                  <wp:extent cx="2737339" cy="2631831"/>
                  <wp:effectExtent l="0" t="0" r="635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r>
      <w:tr w:rsidR="00050905" w:rsidRPr="00322815" w14:paraId="6BBD6DAA" w14:textId="77777777" w:rsidTr="005A7652">
        <w:tc>
          <w:tcPr>
            <w:tcW w:w="9270" w:type="dxa"/>
            <w:gridSpan w:val="2"/>
          </w:tcPr>
          <w:p w14:paraId="750213C5" w14:textId="77777777" w:rsidR="00050905" w:rsidRPr="00593CB5" w:rsidRDefault="00050905" w:rsidP="005A7652">
            <w:pPr>
              <w:pStyle w:val="Source"/>
              <w:keepNext/>
              <w:keepLines/>
              <w:spacing w:after="240"/>
              <w:contextualSpacing w:val="0"/>
              <w:rPr>
                <w:rFonts w:ascii="Garamond" w:hAnsi="Garamond"/>
              </w:rPr>
            </w:pPr>
            <w:r w:rsidRPr="00593CB5">
              <w:rPr>
                <w:rFonts w:ascii="Garamond" w:hAnsi="Garamond"/>
              </w:rPr>
              <w:t xml:space="preserve">Source: </w:t>
            </w:r>
            <w:r w:rsidRPr="00593CB5">
              <w:rPr>
                <w:rFonts w:ascii="Garamond" w:hAnsi="Garamond"/>
                <w:i w:val="0"/>
              </w:rPr>
              <w:t>Based on COCOBOD data</w:t>
            </w:r>
            <w:r w:rsidRPr="00593CB5">
              <w:rPr>
                <w:rFonts w:ascii="Garamond" w:hAnsi="Garamond"/>
              </w:rPr>
              <w:t>.</w:t>
            </w:r>
          </w:p>
        </w:tc>
      </w:tr>
    </w:tbl>
    <w:p w14:paraId="5D2511C3" w14:textId="77777777" w:rsidR="00050905" w:rsidRPr="00322815" w:rsidRDefault="00050905" w:rsidP="00724BAB">
      <w:pPr>
        <w:pStyle w:val="ListParagraph"/>
        <w:numPr>
          <w:ilvl w:val="3"/>
          <w:numId w:val="11"/>
        </w:numPr>
        <w:ind w:left="0"/>
      </w:pPr>
      <w:r w:rsidRPr="00322815">
        <w:rPr>
          <w:b/>
        </w:rPr>
        <w:t xml:space="preserve">Its limitations notwithstanding, the COCOBOD system offers </w:t>
      </w:r>
      <w:r>
        <w:rPr>
          <w:b/>
        </w:rPr>
        <w:t>several</w:t>
      </w:r>
      <w:r w:rsidRPr="00322815">
        <w:rPr>
          <w:b/>
        </w:rPr>
        <w:t xml:space="preserve"> important advantages. </w:t>
      </w:r>
      <w:r w:rsidR="00C02F3C" w:rsidRPr="00825B48">
        <w:t>The</w:t>
      </w:r>
      <w:r w:rsidR="00C02F3C">
        <w:rPr>
          <w:b/>
        </w:rPr>
        <w:t xml:space="preserve"> </w:t>
      </w:r>
      <w:r w:rsidRPr="00322815">
        <w:t xml:space="preserve">COCOBOD has managed to increase the share of the export price received by farmers without fully liberalizing the domestic and export markets, and the way in which internal cocoa marketing is organized assures that farmers are paid promptly. </w:t>
      </w:r>
      <w:r w:rsidR="00C02F3C">
        <w:t xml:space="preserve">The </w:t>
      </w:r>
      <w:r w:rsidRPr="00322815">
        <w:t xml:space="preserve">COCOBOD’s quality-control apparatus is also effective, </w:t>
      </w:r>
      <w:r>
        <w:t>which enables</w:t>
      </w:r>
      <w:r w:rsidRPr="00322815">
        <w:t xml:space="preserve"> Ghanaian cocoa </w:t>
      </w:r>
      <w:r>
        <w:t>to command</w:t>
      </w:r>
      <w:r w:rsidRPr="00322815">
        <w:t xml:space="preserve"> a price premium of 3-5 percent on the world market. In addition, the Cocoa Marketing Company’s use of forward contracts mitigates the price and exchange-rate risks faced by buyers, though it does so by effectively transferring these risk</w:t>
      </w:r>
      <w:r>
        <w:t>s</w:t>
      </w:r>
      <w:r w:rsidRPr="00322815">
        <w:t xml:space="preserve"> to farmers. Finally, the Cocoa Research Institute, which is also a COCOBOD subsidiary, is among the country’s most important agricultural research agencies.</w:t>
      </w:r>
    </w:p>
    <w:p w14:paraId="72273B2E" w14:textId="77777777" w:rsidR="00050905" w:rsidRPr="00322815" w:rsidRDefault="00050905" w:rsidP="00724BAB">
      <w:pPr>
        <w:pStyle w:val="ListParagraph"/>
        <w:numPr>
          <w:ilvl w:val="3"/>
          <w:numId w:val="11"/>
        </w:numPr>
        <w:ind w:left="0"/>
      </w:pPr>
      <w:r w:rsidRPr="00322815">
        <w:rPr>
          <w:b/>
        </w:rPr>
        <w:t>The COCOBOD system also ensures that that the state receives a large share of the FOB price for cocoa exports</w:t>
      </w:r>
      <w:r w:rsidRPr="00322815">
        <w:t xml:space="preserve">. Even though the official tax rate on cocoa exports has fallen over time to about 3-4 percent, the government retains a substantial share of the FOB price, which is effectively a form of direct taxation. Cocoa is the only export commodity from which foreign-exchange earnings flow directly into the central bank. Although no official data are available, total direct taxation—defined as the sum of </w:t>
      </w:r>
      <w:r w:rsidR="000F385B">
        <w:t xml:space="preserve">the </w:t>
      </w:r>
      <w:r w:rsidRPr="00322815">
        <w:t>COCOBOD’s costs, industry costs</w:t>
      </w:r>
      <w:r w:rsidR="000F385B">
        <w:t>,</w:t>
      </w:r>
      <w:r w:rsidRPr="00322815">
        <w:t xml:space="preserve"> and explicit taxes—is estimated at 25-30 percent of the FOB price</w:t>
      </w:r>
      <w:r w:rsidR="00431E27">
        <w:t xml:space="preserve">. </w:t>
      </w:r>
      <w:r w:rsidRPr="00322815">
        <w:t xml:space="preserve">The export margin in Ghana is roughly double that of Côte d’Ivoire, the world’s leading cocoa exporter, and many times higher than the margins of most Asian cocoa exporters. In addition, </w:t>
      </w:r>
      <w:r w:rsidR="000F385B">
        <w:t xml:space="preserve">the </w:t>
      </w:r>
      <w:r w:rsidRPr="00322815">
        <w:t>COCOBOD’s marketing and quality-control subsidiaries have little incentive to increase their efficiency, and their shares of the FOB price have increased even as production levels have risen.</w:t>
      </w:r>
    </w:p>
    <w:p w14:paraId="66164FA4" w14:textId="77777777" w:rsidR="00050905" w:rsidRPr="00B751DF" w:rsidRDefault="000F385B" w:rsidP="00724BAB">
      <w:pPr>
        <w:pStyle w:val="ListParagraph"/>
        <w:numPr>
          <w:ilvl w:val="3"/>
          <w:numId w:val="11"/>
        </w:numPr>
        <w:ind w:left="0"/>
      </w:pPr>
      <w:r>
        <w:rPr>
          <w:b/>
        </w:rPr>
        <w:t xml:space="preserve">The </w:t>
      </w:r>
      <w:r w:rsidR="00050905" w:rsidRPr="004A50A0">
        <w:rPr>
          <w:b/>
        </w:rPr>
        <w:t>COCOBOD is the principal supplier of fertilizers, pesticides</w:t>
      </w:r>
      <w:r>
        <w:rPr>
          <w:b/>
        </w:rPr>
        <w:t>,</w:t>
      </w:r>
      <w:r w:rsidR="00050905" w:rsidRPr="004A50A0">
        <w:rPr>
          <w:b/>
        </w:rPr>
        <w:t xml:space="preserve"> and seedlings to the cocoa subsector, and its dominant role in the supply chain is a source of uncertainty and inefficiency. </w:t>
      </w:r>
      <w:r w:rsidR="00050905" w:rsidRPr="00352D3A">
        <w:t xml:space="preserve">Though often referred to as “free inputs,” the cost of the inputs supplied by </w:t>
      </w:r>
      <w:r>
        <w:t xml:space="preserve">the </w:t>
      </w:r>
      <w:r w:rsidR="00050905" w:rsidRPr="00352D3A">
        <w:t>COCOBOD is reflected in the prices farmers receive for their produce. Moreover, input distribution is often erratic and is subject to corruption and capricious p</w:t>
      </w:r>
      <w:r w:rsidR="00050905" w:rsidRPr="00B751DF">
        <w:t xml:space="preserve">olitical interference. While all farmers </w:t>
      </w:r>
      <w:r w:rsidR="00050905" w:rsidRPr="00B751DF">
        <w:lastRenderedPageBreak/>
        <w:t>effectively pay for cocoa inputs, only selected farmers receive them, and in some cases COCOBOD inputs have been illegally exported to neighboring countries.</w:t>
      </w:r>
    </w:p>
    <w:p w14:paraId="00FA3135" w14:textId="77777777" w:rsidR="00050905" w:rsidRPr="00B751DF" w:rsidRDefault="00050905" w:rsidP="00724BAB">
      <w:pPr>
        <w:pStyle w:val="ListParagraph"/>
        <w:numPr>
          <w:ilvl w:val="3"/>
          <w:numId w:val="11"/>
        </w:numPr>
        <w:ind w:left="0"/>
      </w:pPr>
      <w:r w:rsidRPr="00B751DF">
        <w:rPr>
          <w:b/>
        </w:rPr>
        <w:t>Cocoa marketing costs in Ghana are high by international standards.</w:t>
      </w:r>
      <w:r w:rsidRPr="00B751DF">
        <w:t xml:space="preserve"> Total marketing costs are estimated at between 25 and 30 percent of the FOB price. This includes direct marketing costs of about 17 percentage points, plus an estimated 8-10 percentage points to offset </w:t>
      </w:r>
      <w:r w:rsidR="000F385B">
        <w:t xml:space="preserve">the </w:t>
      </w:r>
      <w:r w:rsidRPr="00B751DF">
        <w:t xml:space="preserve">COCOBOD’s costs. </w:t>
      </w:r>
      <w:r w:rsidR="000F385B">
        <w:t xml:space="preserve">The </w:t>
      </w:r>
      <w:r w:rsidRPr="00B751DF">
        <w:t>COCOBOD’s industry-costs estimate varies significantly from year to year, but on average it represents approximately 15 percent of the FOB price. Direct marketing costs are also high due to poor road infrastructure, inefficient port handling, and costs associated with quality control.</w:t>
      </w:r>
    </w:p>
    <w:p w14:paraId="193E5D94" w14:textId="77777777" w:rsidR="00050905" w:rsidRPr="00352D3A" w:rsidRDefault="007D4B2D" w:rsidP="00724BAB">
      <w:pPr>
        <w:pStyle w:val="ListParagraph"/>
        <w:numPr>
          <w:ilvl w:val="3"/>
          <w:numId w:val="11"/>
        </w:numPr>
        <w:ind w:left="0"/>
      </w:pPr>
      <w:r>
        <w:rPr>
          <w:b/>
        </w:rPr>
        <w:t xml:space="preserve">The </w:t>
      </w:r>
      <w:r w:rsidR="00050905" w:rsidRPr="00B751DF">
        <w:rPr>
          <w:b/>
        </w:rPr>
        <w:t>COCOBOD’s pricing mechanism limits competition in the cocoa subsector</w:t>
      </w:r>
      <w:r w:rsidR="00050905" w:rsidRPr="00B751DF">
        <w:t xml:space="preserve">. The fixed price that licensed buying companies pay farmers based on minimum quality standards effectively eliminates the possibility of price competition or product differentiation, and it discourages farmers from investing in quality beyond the minimum standard. Moreover, prices are uniform across the country and do not reflect regional differences in production costs or local environmental and social impacts. Yet even in the absence of meaningful price competition among buyers, farmers have benefited from a marked decrease in the corruption that characterized contract negotiations </w:t>
      </w:r>
      <w:r w:rsidR="00050905">
        <w:t xml:space="preserve">in the past, </w:t>
      </w:r>
      <w:r w:rsidR="00050905" w:rsidRPr="00352D3A">
        <w:t>when the state was the sole buyer.</w:t>
      </w:r>
    </w:p>
    <w:p w14:paraId="703579E3" w14:textId="77777777" w:rsidR="00B92ED9" w:rsidRDefault="00B23376" w:rsidP="00724BAB">
      <w:pPr>
        <w:pStyle w:val="ListParagraph"/>
        <w:numPr>
          <w:ilvl w:val="3"/>
          <w:numId w:val="11"/>
        </w:numPr>
        <w:ind w:left="0"/>
      </w:pPr>
      <w:r>
        <w:rPr>
          <w:b/>
        </w:rPr>
        <w:t xml:space="preserve">The </w:t>
      </w:r>
      <w:r w:rsidR="00050905" w:rsidRPr="00B751DF">
        <w:rPr>
          <w:b/>
        </w:rPr>
        <w:t>COCOBOD has not been fully successful in promoting the development of the cocoa subsector.</w:t>
      </w:r>
      <w:r w:rsidR="00050905" w:rsidRPr="00B751DF">
        <w:t xml:space="preserve"> </w:t>
      </w:r>
      <w:r>
        <w:t>Specifically, the board</w:t>
      </w:r>
      <w:r w:rsidRPr="00B751DF">
        <w:t xml:space="preserve"> </w:t>
      </w:r>
      <w:r w:rsidR="00050905" w:rsidRPr="00B751DF">
        <w:t>has been unable to achieve one of its most important goals, which was to stabilize farm-gate prices at levels that permit farmers to earn an adequate return on their land, labor</w:t>
      </w:r>
      <w:r>
        <w:t>,</w:t>
      </w:r>
      <w:r w:rsidR="00050905" w:rsidRPr="00B751DF">
        <w:t xml:space="preserve"> and capital. Instead, successive governments have prioritized revenue collection, treating the final price received by farmers as a secondary consideration rather than an objective. Going forward, a renewed focus on price stability would help reduce the economic uncertainty faced by cocoa farmers, facilitating long-term planning and boosting productivity.</w:t>
      </w:r>
    </w:p>
    <w:p w14:paraId="0898A766" w14:textId="0463DDCF" w:rsidR="00050905" w:rsidRPr="00B751DF" w:rsidRDefault="00050905" w:rsidP="00B92ED9">
      <w:pPr>
        <w:pStyle w:val="ListParagraph"/>
        <w:numPr>
          <w:ilvl w:val="3"/>
          <w:numId w:val="11"/>
        </w:numPr>
        <w:ind w:left="0"/>
      </w:pPr>
      <w:r w:rsidRPr="00B751DF">
        <w:t xml:space="preserve"> </w:t>
      </w:r>
      <w:r w:rsidR="00B92ED9" w:rsidRPr="00A96E4B">
        <w:rPr>
          <w:b/>
        </w:rPr>
        <w:t>Modernization of the cocoa value chain, reform of COCOBOD’s institutional arrangements including greater transparency, and improvements in the policy framework guiding the cocoa sub-sector, are essential to enhance the efficiency of cocoa production and ensure the long-term competitiveness of cocoa exports.</w:t>
      </w:r>
      <w:r w:rsidR="00B92ED9">
        <w:rPr>
          <w:sz w:val="21"/>
          <w:szCs w:val="21"/>
          <w:lang w:val="en-GB"/>
        </w:rPr>
        <w:t xml:space="preserve"> </w:t>
      </w:r>
      <w:r w:rsidR="00B92ED9" w:rsidRPr="00A96E4B">
        <w:t xml:space="preserve">Some necessary elements can be found back in the Ghana Cocoa Sector Development Strategy II (CSDS II) that was submitted for </w:t>
      </w:r>
      <w:r w:rsidR="00413C93">
        <w:t>p</w:t>
      </w:r>
      <w:r w:rsidR="00B92ED9" w:rsidRPr="00A96E4B">
        <w:t>arliamentary approval in 2017. In particular, CSDS II explicitly recognizes the urgent need for improved management and accounting systems in Cocobod, better logistics and more efficient quality control systems, improved targeting and eventual phasing out of government input supply programs, substantial upscaling of tree improvement programs, and transforming the role of Cocobod from that of a major market player to one of enabler of certification, traceability, and inter-ministerial coordination towards improved landscape management including payments for environmental services.</w:t>
      </w:r>
    </w:p>
    <w:p w14:paraId="635AAE9C" w14:textId="77777777" w:rsidR="00050905" w:rsidRPr="00E45355" w:rsidRDefault="00050905" w:rsidP="00894F2B">
      <w:pPr>
        <w:pStyle w:val="Heading2"/>
      </w:pPr>
      <w:bookmarkStart w:id="249" w:name="_Toc479624913"/>
      <w:r w:rsidRPr="00E45355">
        <w:t>Conclusions and Recommendations</w:t>
      </w:r>
      <w:bookmarkEnd w:id="249"/>
      <w:r w:rsidRPr="00E45355">
        <w:t xml:space="preserve"> </w:t>
      </w:r>
    </w:p>
    <w:p w14:paraId="28E981DC" w14:textId="77777777" w:rsidR="00050905" w:rsidRPr="00B751DF" w:rsidRDefault="00050905" w:rsidP="00724BAB">
      <w:pPr>
        <w:pStyle w:val="ListParagraph"/>
        <w:numPr>
          <w:ilvl w:val="3"/>
          <w:numId w:val="11"/>
        </w:numPr>
        <w:ind w:left="0"/>
      </w:pPr>
      <w:r w:rsidRPr="00EE7BB9">
        <w:rPr>
          <w:b/>
        </w:rPr>
        <w:t xml:space="preserve">While the government is engaged in an important process of fiscal consolidation, and its resource envelope is limited, the current level of public funding to the agricultural sector is inadequate to achieve the government’s development policy goals. </w:t>
      </w:r>
      <w:r w:rsidRPr="00352D3A">
        <w:t>Research has shown that a one percent increase in public spending on agriculture is associated with a 0</w:t>
      </w:r>
      <w:r w:rsidRPr="00B751DF">
        <w:t xml:space="preserve">.15 percent increase in </w:t>
      </w:r>
      <w:r w:rsidRPr="00B751DF">
        <w:lastRenderedPageBreak/>
        <w:t>Ghana’s agricultural labor productivity,</w:t>
      </w:r>
      <w:r w:rsidRPr="00352D3A">
        <w:rPr>
          <w:rStyle w:val="FootnoteReference"/>
        </w:rPr>
        <w:footnoteReference w:id="164"/>
      </w:r>
      <w:r w:rsidRPr="00352D3A">
        <w:t xml:space="preserve"> yet the authorities have</w:t>
      </w:r>
      <w:r w:rsidRPr="00B751DF">
        <w:t xml:space="preserve"> cut agricultural spending as a share of the total budget to one of the lowest levels in Africa. Given agriculture’s pivotal importance to employment, income growth</w:t>
      </w:r>
      <w:r w:rsidR="002A4A88">
        <w:t>,</w:t>
      </w:r>
      <w:r w:rsidRPr="00B751DF">
        <w:t xml:space="preserve"> and poverty reduction, the government must reverse these trends if it is to achieve its sectoral and national development objectives, and th</w:t>
      </w:r>
      <w:r w:rsidRPr="007F0935">
        <w:t xml:space="preserve">e </w:t>
      </w:r>
      <w:r w:rsidRPr="00B751DF">
        <w:t>Medium</w:t>
      </w:r>
      <w:r w:rsidR="002A4A88">
        <w:t>-</w:t>
      </w:r>
      <w:r w:rsidRPr="00B751DF">
        <w:t>Term Expenditure Framework should include a strategy for sustainably increasing public spending on the agricultural sector.</w:t>
      </w:r>
    </w:p>
    <w:p w14:paraId="2127955D" w14:textId="77777777" w:rsidR="00050905" w:rsidRPr="00352D3A" w:rsidRDefault="00050905" w:rsidP="00724BAB">
      <w:pPr>
        <w:pStyle w:val="ListParagraph"/>
        <w:numPr>
          <w:ilvl w:val="3"/>
          <w:numId w:val="11"/>
        </w:numPr>
        <w:ind w:left="0"/>
      </w:pPr>
      <w:r w:rsidRPr="00B751DF">
        <w:rPr>
          <w:b/>
        </w:rPr>
        <w:t xml:space="preserve">Even within a limited resource envelope, better expenditure targeting can generate important efficiency gains. </w:t>
      </w:r>
      <w:r w:rsidRPr="00B751DF">
        <w:t xml:space="preserve">The budgetary dominance of current over capital spending is a major source of inefficiency. Policymakers should reevaluate the size of the current MoFA workforce and strive to shift agriculture spending toward capital investment and away from personnel costs. </w:t>
      </w:r>
      <w:r w:rsidR="002A4A88">
        <w:t>T</w:t>
      </w:r>
      <w:r w:rsidR="002A4A88" w:rsidRPr="00B751DF">
        <w:t xml:space="preserve">he most cost-effective </w:t>
      </w:r>
      <w:r w:rsidR="002A4A88">
        <w:t>i</w:t>
      </w:r>
      <w:r w:rsidRPr="00B751DF">
        <w:t xml:space="preserve">nvestments </w:t>
      </w:r>
      <w:r w:rsidR="002A4A88" w:rsidRPr="00B751DF">
        <w:t xml:space="preserve">are likely to </w:t>
      </w:r>
      <w:r w:rsidR="002A4A88">
        <w:t>be</w:t>
      </w:r>
      <w:r w:rsidR="002A4A88" w:rsidRPr="00B751DF">
        <w:t xml:space="preserve"> </w:t>
      </w:r>
      <w:r w:rsidRPr="00B751DF">
        <w:t>in core infrastructure, especially roads and irrigation networks, as well as technolog</w:t>
      </w:r>
      <w:r w:rsidR="00E360AD">
        <w:t>y</w:t>
      </w:r>
      <w:r w:rsidRPr="00B751DF">
        <w:t xml:space="preserve"> dissemination, education</w:t>
      </w:r>
      <w:r w:rsidR="002A4A88">
        <w:t>,</w:t>
      </w:r>
      <w:r w:rsidRPr="00B751DF">
        <w:t xml:space="preserve"> and skills development.</w:t>
      </w:r>
      <w:r w:rsidRPr="00EE7BB9">
        <w:rPr>
          <w:rStyle w:val="FootnoteReference"/>
        </w:rPr>
        <w:footnoteReference w:id="165"/>
      </w:r>
      <w:r w:rsidRPr="00352D3A">
        <w:t xml:space="preserve"> </w:t>
      </w:r>
    </w:p>
    <w:p w14:paraId="0699CC5B" w14:textId="77777777" w:rsidR="00050905" w:rsidRPr="00B751DF" w:rsidRDefault="00050905" w:rsidP="00724BAB">
      <w:pPr>
        <w:pStyle w:val="ListParagraph"/>
        <w:numPr>
          <w:ilvl w:val="3"/>
          <w:numId w:val="11"/>
        </w:numPr>
        <w:ind w:left="0"/>
      </w:pPr>
      <w:r w:rsidRPr="00B751DF">
        <w:rPr>
          <w:b/>
        </w:rPr>
        <w:t>Combined with increased funding for agricultural research, regulatory reform could facilitate the adoption of new technologies.</w:t>
      </w:r>
      <w:r w:rsidRPr="00EE7BB9">
        <w:rPr>
          <w:rStyle w:val="FootnoteReference"/>
        </w:rPr>
        <w:footnoteReference w:id="166"/>
      </w:r>
      <w:r w:rsidRPr="00352D3A">
        <w:t xml:space="preserve"> Eliminating unnecessary requirements, burdensome </w:t>
      </w:r>
      <w:r w:rsidRPr="00B751DF">
        <w:t>procedures</w:t>
      </w:r>
      <w:r w:rsidR="002A4A88">
        <w:t>,</w:t>
      </w:r>
      <w:r w:rsidRPr="00B751DF">
        <w:t xml:space="preserve"> and other administrative barriers to testing and registering new crop varieties and improved agricultural inputs would foster private investment in agricultural research and promote the commercialization of technological innovations. In addition, clarifying and reinforcing intellectual property rights, strengthening quality assurance in seed markets, and rigorously enforcing seed-labeling rules would further support private investment in agricultural technology and the elaboration of the input value chain.</w:t>
      </w:r>
    </w:p>
    <w:p w14:paraId="5541820B" w14:textId="77777777" w:rsidR="00050905" w:rsidRPr="00B751DF" w:rsidRDefault="00050905" w:rsidP="00724BAB">
      <w:pPr>
        <w:pStyle w:val="ListParagraph"/>
        <w:numPr>
          <w:ilvl w:val="3"/>
          <w:numId w:val="11"/>
        </w:numPr>
        <w:ind w:left="0"/>
      </w:pPr>
      <w:r w:rsidRPr="00EE7BB9">
        <w:rPr>
          <w:b/>
        </w:rPr>
        <w:t xml:space="preserve">A combination of public and private investment in irrigation systems would increase cultivation intensity and bolster the agricultural sector’s resilience to weather-related shocks. </w:t>
      </w:r>
      <w:r w:rsidRPr="00756A69">
        <w:t>Climate change is increasing the unpredictability of rainfall in Ghana.</w:t>
      </w:r>
      <w:r w:rsidRPr="00352D3A">
        <w:t xml:space="preserve"> Limited access to irrigation, low rates of technological uptake</w:t>
      </w:r>
      <w:r w:rsidR="002A4A88">
        <w:t>,</w:t>
      </w:r>
      <w:r w:rsidRPr="00352D3A">
        <w:t xml:space="preserve"> and the lim</w:t>
      </w:r>
      <w:r w:rsidRPr="007F0935">
        <w:t>ited use of modern production methods exacerbate</w:t>
      </w:r>
      <w:r w:rsidRPr="00B751DF">
        <w:t xml:space="preserve"> output volatility and contribute to food insecurity. These trends will only intensify the vulnerability of the agricultural sector unless measures are taken to mitigate these risks, including investment in irrigation, the development and introduction of drought-tolerant and shorter-duration crop varieties—especially staple grains such as maize and rice—and improved water management techniques on rain</w:t>
      </w:r>
      <w:r w:rsidR="0019239F">
        <w:t>-</w:t>
      </w:r>
      <w:r w:rsidRPr="00B751DF">
        <w:t>fed farmland.</w:t>
      </w:r>
    </w:p>
    <w:p w14:paraId="4D26C8AC" w14:textId="77777777" w:rsidR="007A2435" w:rsidRDefault="00050905" w:rsidP="007A2435">
      <w:pPr>
        <w:pStyle w:val="ListParagraph"/>
        <w:numPr>
          <w:ilvl w:val="3"/>
          <w:numId w:val="11"/>
        </w:numPr>
        <w:ind w:left="0"/>
      </w:pPr>
      <w:r w:rsidRPr="00EE7BB9">
        <w:rPr>
          <w:b/>
        </w:rPr>
        <w:t>The government’s overarching agricultural investment strategy should focus on reducing unit production costs and narrowing yield gaps by increasing per-hectare productivity.</w:t>
      </w:r>
      <w:r w:rsidRPr="00352D3A">
        <w:t xml:space="preserve"> In order to leverage a limited investment envelope, the authorities should continue to provide </w:t>
      </w:r>
      <w:r w:rsidRPr="007F0935">
        <w:t>conditional support to private agricultural</w:t>
      </w:r>
      <w:r w:rsidRPr="00B751DF">
        <w:t xml:space="preserve"> investors through methods such as the GCAP matching grants already in use. Similarly, establishing PPPs to provide extension services can help to maximize the productivity impact of public spending. However, the government should avoid efforts to directly organize agricultural production or to subsidize input procurement, especially in cases whe</w:t>
      </w:r>
      <w:r w:rsidR="0019239F">
        <w:t>re</w:t>
      </w:r>
      <w:r w:rsidRPr="00B751DF">
        <w:t xml:space="preserve"> public involvement crowds-out private sector activity.  </w:t>
      </w:r>
    </w:p>
    <w:p w14:paraId="63ED3ECE" w14:textId="77777777" w:rsidR="007A2435" w:rsidRPr="00B751DF" w:rsidRDefault="007A2435" w:rsidP="007A2435">
      <w:pPr>
        <w:pStyle w:val="ListParagraph"/>
        <w:numPr>
          <w:ilvl w:val="3"/>
          <w:numId w:val="11"/>
        </w:numPr>
        <w:ind w:left="0"/>
      </w:pPr>
      <w:r w:rsidRPr="007A2435">
        <w:rPr>
          <w:b/>
        </w:rPr>
        <w:t>When public investment targets a specific value chain, it should complement—rather than supplant—the ongoing development of the private sector.</w:t>
      </w:r>
      <w:r w:rsidRPr="007A2435">
        <w:t xml:space="preserve"> Agricultural investment should be part of a coherent investment strategy with clearly defined and widely supported objectives. The </w:t>
      </w:r>
      <w:r w:rsidRPr="007A2435">
        <w:lastRenderedPageBreak/>
        <w:t>Masara-N’Arziki maize outgrower scheme provides a positive example of how public-private collaboration can be used to foster a holistic ap</w:t>
      </w:r>
      <w:r>
        <w:t>proach to input supply, storage,</w:t>
      </w:r>
      <w:r w:rsidRPr="007A2435">
        <w:t xml:space="preserve"> and processing. However, similar initiatives in the rice subsector have been less successful, which may be due to the fact that rice is primarily grown in government-managed irrigation systems. These systems are slated for privatization, and this process could shift incentives in favor of demand-driven investment and offer new opportunities for public-private collaboration.  </w:t>
      </w:r>
    </w:p>
    <w:p w14:paraId="1F8F5A40" w14:textId="77777777" w:rsidR="00050905" w:rsidRPr="00352D3A" w:rsidRDefault="00050905" w:rsidP="00724BAB">
      <w:pPr>
        <w:pStyle w:val="ListParagraph"/>
        <w:numPr>
          <w:ilvl w:val="3"/>
          <w:numId w:val="11"/>
        </w:numPr>
        <w:ind w:left="0"/>
      </w:pPr>
      <w:r w:rsidRPr="00EE7BB9">
        <w:rPr>
          <w:b/>
        </w:rPr>
        <w:t>Refocusing the regional distribution of agricultural spending on the SADA zone could accelerate gains in output growth, poverty reduction</w:t>
      </w:r>
      <w:r w:rsidR="00B942A3">
        <w:rPr>
          <w:b/>
        </w:rPr>
        <w:t>,</w:t>
      </w:r>
      <w:r w:rsidRPr="00EE7BB9">
        <w:rPr>
          <w:b/>
        </w:rPr>
        <w:t xml:space="preserve"> and rural income generation.</w:t>
      </w:r>
      <w:r w:rsidRPr="00352D3A">
        <w:t xml:space="preserve"> The SADA zone is among the country’s poorest regions, yet it has considerable untapped </w:t>
      </w:r>
      <w:r w:rsidRPr="00B751DF">
        <w:t xml:space="preserve">agricultural potential. Unlocking this potential will require infrastructure investments, especially improvements to the road network, which are beyond the scope of </w:t>
      </w:r>
      <w:r w:rsidR="00B942A3">
        <w:t xml:space="preserve">the </w:t>
      </w:r>
      <w:r w:rsidRPr="00B751DF">
        <w:t>MoFA or Ghana’s other agricultural agencies. The government and its development partners should formulate a comprehensive strategy for promoting agricultural development in the SADA zone that leverages complementarities between investments in different sectors.</w:t>
      </w:r>
    </w:p>
    <w:p w14:paraId="598614ED" w14:textId="77777777" w:rsidR="00050905" w:rsidRPr="00B751DF" w:rsidRDefault="00050905" w:rsidP="00724BAB">
      <w:pPr>
        <w:pStyle w:val="ListParagraph"/>
        <w:numPr>
          <w:ilvl w:val="3"/>
          <w:numId w:val="11"/>
        </w:numPr>
        <w:ind w:left="0"/>
      </w:pPr>
      <w:r w:rsidRPr="00EE7BB9">
        <w:rPr>
          <w:b/>
        </w:rPr>
        <w:t>Land-tenure reform will be crucial to bolster private investment in Ghana’s agricultural sector, and major progress in strengthening land and property rights can be achieved at a modest fiscal cost.</w:t>
      </w:r>
      <w:r w:rsidRPr="00B751DF">
        <w:t xml:space="preserve"> Insecure property rights are a major obstacle to private investment in agriculture, as the difficulty of enforcing land titles discourages both the purchase of large commercial estates and private investment in physical improvements, such as irrigation networks and storage facilities. Moreover, the inability of farmers to borrow against equity is a major credit constraint.</w:t>
      </w:r>
      <w:r w:rsidRPr="00EE7BB9">
        <w:rPr>
          <w:rStyle w:val="FootnoteReference"/>
        </w:rPr>
        <w:footnoteReference w:id="167"/>
      </w:r>
      <w:r w:rsidRPr="00352D3A">
        <w:t xml:space="preserve"> While strengthening property rights is not within the immediate purview of </w:t>
      </w:r>
      <w:r w:rsidR="00B942A3">
        <w:t xml:space="preserve">the </w:t>
      </w:r>
      <w:r w:rsidRPr="00352D3A">
        <w:t>MoFA, the agricultural agencies can serve as important advocates for tenure reform within the public sector.</w:t>
      </w:r>
    </w:p>
    <w:p w14:paraId="07DDB379" w14:textId="77777777" w:rsidR="00050905" w:rsidRPr="00B751DF" w:rsidRDefault="00050905" w:rsidP="00724BAB">
      <w:pPr>
        <w:pStyle w:val="ListParagraph"/>
        <w:numPr>
          <w:ilvl w:val="3"/>
          <w:numId w:val="11"/>
        </w:numPr>
        <w:ind w:left="0"/>
      </w:pPr>
      <w:r w:rsidRPr="00EE7BB9">
        <w:rPr>
          <w:b/>
        </w:rPr>
        <w:t>There is an urgent need to modernize the cocoa value chain in order to boost productivity and hedge against exogenous economic and climate-related shocks.</w:t>
      </w:r>
      <w:r w:rsidRPr="00B751DF">
        <w:t xml:space="preserve"> Phasing-out inefficient public input-supply programs could reduce fiscal costs and create space for greater private sector participation in the cocoa value chain. Moreover, mapping cocoa farms and collecting more extensive farm-level productivity data could enhance the targeting of public sector support and help private investors identify emerging opportunities. Enhanced environmental policies and production standards would boost productivity and support the sustainability of the cocoa industry. </w:t>
      </w:r>
    </w:p>
    <w:p w14:paraId="5F3AE798" w14:textId="77777777" w:rsidR="00050905" w:rsidRPr="00B751DF" w:rsidRDefault="00B942A3" w:rsidP="00724BAB">
      <w:pPr>
        <w:pStyle w:val="ListParagraph"/>
        <w:numPr>
          <w:ilvl w:val="3"/>
          <w:numId w:val="11"/>
        </w:numPr>
        <w:ind w:left="0"/>
      </w:pPr>
      <w:r>
        <w:rPr>
          <w:b/>
        </w:rPr>
        <w:t xml:space="preserve">The </w:t>
      </w:r>
      <w:r w:rsidR="00050905" w:rsidRPr="00EE7BB9">
        <w:rPr>
          <w:b/>
        </w:rPr>
        <w:t>COCOBOD’s impact on the cocoa subsector is mixed, and reforms to its institutional arrangements and policy framework could greatly increase cocoa output</w:t>
      </w:r>
      <w:r w:rsidR="00050905">
        <w:rPr>
          <w:b/>
        </w:rPr>
        <w:t xml:space="preserve"> with a minimal budgetary impact</w:t>
      </w:r>
      <w:r w:rsidR="00050905" w:rsidRPr="00EE7BB9">
        <w:rPr>
          <w:b/>
        </w:rPr>
        <w:t xml:space="preserve">. </w:t>
      </w:r>
      <w:r w:rsidRPr="00825B48">
        <w:t>The</w:t>
      </w:r>
      <w:r>
        <w:rPr>
          <w:b/>
        </w:rPr>
        <w:t xml:space="preserve"> </w:t>
      </w:r>
      <w:r>
        <w:t>board’s</w:t>
      </w:r>
      <w:r w:rsidRPr="00B751DF">
        <w:t xml:space="preserve"> </w:t>
      </w:r>
      <w:r w:rsidR="00050905" w:rsidRPr="00B751DF">
        <w:t xml:space="preserve">accounting and management information systems </w:t>
      </w:r>
      <w:r w:rsidR="00050905">
        <w:t>should</w:t>
      </w:r>
      <w:r w:rsidR="00050905" w:rsidRPr="00B751DF">
        <w:t xml:space="preserve"> be upgraded to identify inefficiencies in its operations and resolve weaknesses in the targeting of its interventions. To support long-term planning and investment at the farm level, </w:t>
      </w:r>
      <w:r>
        <w:t xml:space="preserve">the </w:t>
      </w:r>
      <w:r w:rsidR="00050905" w:rsidRPr="00B751DF">
        <w:t xml:space="preserve">COCOBOD should reorient its forward-sales mechanism to guarantee minimum producer prices. </w:t>
      </w:r>
      <w:r>
        <w:t xml:space="preserve">The </w:t>
      </w:r>
      <w:r w:rsidR="00050905" w:rsidRPr="00B751DF">
        <w:t>COCOBOD should also leverage PPPs to expand the provision of semi-public goods, such as extension services, technology transfer</w:t>
      </w:r>
      <w:r>
        <w:t>,</w:t>
      </w:r>
      <w:r w:rsidR="00050905" w:rsidRPr="00B751DF">
        <w:t xml:space="preserve"> and disease and pest control.</w:t>
      </w:r>
    </w:p>
    <w:p w14:paraId="71D3ACB9" w14:textId="77777777" w:rsidR="00050905" w:rsidRPr="00B751DF" w:rsidRDefault="00050905" w:rsidP="00724BAB">
      <w:pPr>
        <w:pStyle w:val="ListParagraph"/>
        <w:numPr>
          <w:ilvl w:val="3"/>
          <w:numId w:val="11"/>
        </w:numPr>
        <w:ind w:left="0"/>
      </w:pPr>
      <w:r w:rsidRPr="00EE7BB9">
        <w:rPr>
          <w:b/>
        </w:rPr>
        <w:t xml:space="preserve">Greater transparency in the management of the cocoa subsector, combined with further market liberalization, will be crucial to enhance the efficiency of cocoa production and ensure the long-term competitiveness of cocoa exports. </w:t>
      </w:r>
      <w:r w:rsidR="00B942A3" w:rsidRPr="00825B48">
        <w:t>The</w:t>
      </w:r>
      <w:r w:rsidR="00B942A3">
        <w:rPr>
          <w:b/>
        </w:rPr>
        <w:t xml:space="preserve"> </w:t>
      </w:r>
      <w:r w:rsidRPr="00B751DF">
        <w:t xml:space="preserve">COCOBOD should be required to publish detailed information on how its price margin is calculated. Over time, </w:t>
      </w:r>
      <w:r w:rsidR="00B942A3">
        <w:t>the board</w:t>
      </w:r>
      <w:r w:rsidR="00B942A3" w:rsidRPr="00B751DF">
        <w:t xml:space="preserve"> </w:t>
      </w:r>
      <w:r w:rsidRPr="00B751DF">
        <w:t xml:space="preserve">should scale back its </w:t>
      </w:r>
      <w:r w:rsidRPr="00B751DF">
        <w:lastRenderedPageBreak/>
        <w:t xml:space="preserve">involvement in both the input and output sides of the supply chain. On the output side, </w:t>
      </w:r>
      <w:r w:rsidR="00B942A3">
        <w:t xml:space="preserve">the </w:t>
      </w:r>
      <w:r w:rsidRPr="00B751DF">
        <w:t>COCOBOD should focus on regulating a competitive purchasing process and ensuring that no single buyer exerts excessive market power. On the input side, it should cease to provide inputs directly and instead concentrate on establishing a stable and hospitable environment for private input providers.</w:t>
      </w:r>
      <w:r w:rsidR="00B942A3">
        <w:t xml:space="preserve"> The</w:t>
      </w:r>
      <w:r w:rsidRPr="00B751DF">
        <w:t xml:space="preserve"> </w:t>
      </w:r>
      <w:r w:rsidR="00B942A3">
        <w:t>board</w:t>
      </w:r>
      <w:r w:rsidR="00B942A3" w:rsidRPr="00B751DF">
        <w:t xml:space="preserve"> </w:t>
      </w:r>
      <w:r w:rsidRPr="00B751DF">
        <w:t xml:space="preserve">should periodically estimate marketing costs for cocoa, including domestic transportation, quality control and other costs, and recommend measures to lower them. Finally, </w:t>
      </w:r>
      <w:r w:rsidR="00B942A3">
        <w:t xml:space="preserve">the </w:t>
      </w:r>
      <w:r w:rsidRPr="00B751DF">
        <w:t xml:space="preserve">COCOBOD should coordinate the numerous programs and projects being implemented under </w:t>
      </w:r>
      <w:r w:rsidRPr="004834D7">
        <w:t>Ghana</w:t>
      </w:r>
      <w:r>
        <w:t>’s</w:t>
      </w:r>
      <w:r w:rsidRPr="004834D7">
        <w:t xml:space="preserve"> </w:t>
      </w:r>
      <w:r w:rsidRPr="00B751DF">
        <w:t xml:space="preserve">recently finalized </w:t>
      </w:r>
      <w:r>
        <w:t xml:space="preserve">Second </w:t>
      </w:r>
      <w:r w:rsidRPr="00B751DF">
        <w:t xml:space="preserve">Cocoa Sector Development Strategy. </w:t>
      </w:r>
    </w:p>
    <w:p w14:paraId="609634BC" w14:textId="77777777" w:rsidR="00050905" w:rsidRPr="00322815" w:rsidRDefault="00050905" w:rsidP="00050905">
      <w:pPr>
        <w:spacing w:after="160" w:line="259" w:lineRule="auto"/>
        <w:rPr>
          <w:rFonts w:asciiTheme="minorHAnsi" w:hAnsiTheme="minorHAnsi" w:cs="Times New Roman"/>
          <w:sz w:val="24"/>
          <w:szCs w:val="24"/>
        </w:rPr>
      </w:pPr>
      <w:r w:rsidRPr="00322815">
        <w:rPr>
          <w:rFonts w:asciiTheme="minorHAnsi" w:hAnsiTheme="minorHAnsi" w:cs="Times New Roman"/>
          <w:sz w:val="24"/>
          <w:szCs w:val="24"/>
        </w:rPr>
        <w:br w:type="page"/>
      </w:r>
    </w:p>
    <w:p w14:paraId="7D71F020" w14:textId="77777777" w:rsidR="00050905" w:rsidRPr="00E45355" w:rsidRDefault="006F648F" w:rsidP="00894F2B">
      <w:pPr>
        <w:pStyle w:val="Heading2"/>
      </w:pPr>
      <w:bookmarkStart w:id="250" w:name="_Toc479624914"/>
      <w:r>
        <w:lastRenderedPageBreak/>
        <w:t>References</w:t>
      </w:r>
      <w:bookmarkEnd w:id="250"/>
    </w:p>
    <w:p w14:paraId="1716080B" w14:textId="77777777" w:rsidR="00050905" w:rsidRPr="007A1E33" w:rsidRDefault="00050905" w:rsidP="00050905">
      <w:pPr>
        <w:rPr>
          <w:rFonts w:ascii="Garamond" w:hAnsi="Garamond" w:cs="Times New Roman"/>
        </w:rPr>
      </w:pPr>
      <w:r w:rsidRPr="007A1E33">
        <w:rPr>
          <w:rFonts w:ascii="Garamond" w:hAnsi="Garamond" w:cs="Times New Roman"/>
        </w:rPr>
        <w:t>Akroyd and Smith (2007). “Review of Public Spending in Agriculture.” Oxford Policy Management</w:t>
      </w:r>
    </w:p>
    <w:p w14:paraId="433F50C2" w14:textId="77777777" w:rsidR="00050905" w:rsidRPr="007A1E33" w:rsidRDefault="00050905" w:rsidP="00050905">
      <w:pPr>
        <w:rPr>
          <w:rFonts w:ascii="Garamond" w:hAnsi="Garamond" w:cs="Times New Roman"/>
        </w:rPr>
      </w:pPr>
      <w:r w:rsidRPr="007A1E33">
        <w:rPr>
          <w:rFonts w:ascii="Garamond" w:hAnsi="Garamond" w:cs="Times New Roman"/>
        </w:rPr>
        <w:t xml:space="preserve">Apergisa et al. (2011). “Dutch Disease Effect of Oil Rents on Agriculture Value Added in Middle East and North African Countries.” </w:t>
      </w:r>
    </w:p>
    <w:p w14:paraId="6F09F63E" w14:textId="77777777" w:rsidR="00050905" w:rsidRPr="007A1E33" w:rsidRDefault="00050905" w:rsidP="00050905">
      <w:pPr>
        <w:rPr>
          <w:rFonts w:ascii="Garamond" w:hAnsi="Garamond" w:cs="Times New Roman"/>
        </w:rPr>
      </w:pPr>
      <w:r w:rsidRPr="007A1E33">
        <w:rPr>
          <w:rFonts w:ascii="Garamond" w:hAnsi="Garamond" w:cs="Times New Roman"/>
        </w:rPr>
        <w:t>Asare and Essegbey (2016). “Funding of Agricultural Research and Development in Ghana: The Case of Council for Scientific and Industrial Research (CSIR)” Technology and Investment, 7, 40-50.</w:t>
      </w:r>
    </w:p>
    <w:p w14:paraId="6C38AB92" w14:textId="77777777" w:rsidR="00050905" w:rsidRPr="007A1E33" w:rsidRDefault="00050905" w:rsidP="00050905">
      <w:pPr>
        <w:rPr>
          <w:rFonts w:ascii="Garamond" w:hAnsi="Garamond" w:cs="Times New Roman"/>
        </w:rPr>
      </w:pPr>
      <w:r w:rsidRPr="007A1E33">
        <w:rPr>
          <w:rFonts w:ascii="Garamond" w:hAnsi="Garamond" w:cs="Times New Roman"/>
        </w:rPr>
        <w:t>Beintema et al. (2014). “Agricultural R&amp;D indicators factsheet – Ghana” Agricultural science and technology indicators. IFPRI.</w:t>
      </w:r>
    </w:p>
    <w:p w14:paraId="551AF467" w14:textId="77777777" w:rsidR="00050905" w:rsidRPr="007A1E33" w:rsidRDefault="00050905" w:rsidP="00050905">
      <w:pPr>
        <w:rPr>
          <w:rFonts w:ascii="Garamond" w:hAnsi="Garamond" w:cs="Times New Roman"/>
        </w:rPr>
      </w:pPr>
      <w:r w:rsidRPr="007A1E33">
        <w:rPr>
          <w:rFonts w:ascii="Garamond" w:hAnsi="Garamond" w:cs="Times New Roman"/>
        </w:rPr>
        <w:t>Benin et al. (2009). “Public Expenditures and Agricultural Productivity Growth in Ghana.” International Food Policy Research Institute.</w:t>
      </w:r>
    </w:p>
    <w:p w14:paraId="061EF0B5" w14:textId="77777777" w:rsidR="00050905" w:rsidRPr="007A1E33" w:rsidRDefault="00050905" w:rsidP="00050905">
      <w:pPr>
        <w:rPr>
          <w:rFonts w:ascii="Garamond" w:hAnsi="Garamond" w:cs="Times New Roman"/>
        </w:rPr>
      </w:pPr>
      <w:r w:rsidRPr="007A1E33">
        <w:rPr>
          <w:rFonts w:ascii="Garamond" w:hAnsi="Garamond" w:cs="Times New Roman"/>
        </w:rPr>
        <w:t>Benin (2014). “Identifying Agricultural Expenditures within the Public Financial Accounts and Coding System in Ghana.” IFPRI Discussion Paper 1365. Washington DC.</w:t>
      </w:r>
    </w:p>
    <w:p w14:paraId="6C0508B2" w14:textId="77777777" w:rsidR="00050905" w:rsidRPr="007A1E33" w:rsidRDefault="00050905" w:rsidP="00050905">
      <w:pPr>
        <w:rPr>
          <w:rFonts w:ascii="Garamond" w:hAnsi="Garamond" w:cs="Times New Roman"/>
        </w:rPr>
      </w:pPr>
      <w:r w:rsidRPr="007A1E33">
        <w:rPr>
          <w:rFonts w:ascii="Garamond" w:hAnsi="Garamond" w:cs="Times New Roman"/>
        </w:rPr>
        <w:t>Benin (2016). “Returns to agricultural public spending in Ghana – cocoa versus noncocoa subsector”, Discussion Paper 01503, IFPRI.</w:t>
      </w:r>
    </w:p>
    <w:p w14:paraId="182B96AB" w14:textId="77777777" w:rsidR="00050905" w:rsidRPr="007A1E33" w:rsidRDefault="00050905" w:rsidP="00050905">
      <w:pPr>
        <w:rPr>
          <w:rFonts w:ascii="Garamond" w:hAnsi="Garamond" w:cs="Times New Roman"/>
        </w:rPr>
      </w:pPr>
      <w:r w:rsidRPr="007A1E33">
        <w:rPr>
          <w:rFonts w:ascii="Garamond" w:hAnsi="Garamond" w:cs="Times New Roman"/>
        </w:rPr>
        <w:t>Choudhary et al. (2015). “Ghana – agricultural sector risk assessment.” World Bank Report No. 94228.</w:t>
      </w:r>
    </w:p>
    <w:p w14:paraId="5B3FD74A" w14:textId="77777777" w:rsidR="00050905" w:rsidRPr="007A1E33" w:rsidRDefault="00050905" w:rsidP="00050905">
      <w:pPr>
        <w:rPr>
          <w:rFonts w:ascii="Garamond" w:hAnsi="Garamond" w:cs="Times New Roman"/>
        </w:rPr>
      </w:pPr>
      <w:r w:rsidRPr="007A1E33">
        <w:rPr>
          <w:rFonts w:ascii="Garamond" w:hAnsi="Garamond" w:cs="Times New Roman"/>
        </w:rPr>
        <w:t>Christiaensen et al. (2013). “Africa’s Growth, Poverty and Inequality Nexus: Fostering Shared Prosperity.” Washington, DC: The World Bank</w:t>
      </w:r>
    </w:p>
    <w:p w14:paraId="3B33226D" w14:textId="77777777" w:rsidR="00050905" w:rsidRPr="007A1E33" w:rsidRDefault="00050905" w:rsidP="00050905">
      <w:pPr>
        <w:rPr>
          <w:rFonts w:ascii="Garamond" w:hAnsi="Garamond" w:cs="Times New Roman"/>
        </w:rPr>
      </w:pPr>
      <w:r w:rsidRPr="007A1E33">
        <w:rPr>
          <w:rFonts w:ascii="Garamond" w:hAnsi="Garamond" w:cs="Times New Roman"/>
        </w:rPr>
        <w:t>Christiaensen and Kaminski (2015). “Structural Change, Economic Growth and Poverty Reduction, Micro Evidence from Uganda.” Washington, DC: The World Bank.</w:t>
      </w:r>
    </w:p>
    <w:p w14:paraId="33BC82B2" w14:textId="77777777" w:rsidR="00050905" w:rsidRPr="007A1E33" w:rsidRDefault="00050905" w:rsidP="00050905">
      <w:pPr>
        <w:rPr>
          <w:rFonts w:ascii="Garamond" w:hAnsi="Garamond" w:cs="Times New Roman"/>
        </w:rPr>
      </w:pPr>
      <w:r w:rsidRPr="007A1E33">
        <w:rPr>
          <w:rFonts w:ascii="Garamond" w:hAnsi="Garamond" w:cs="Times New Roman"/>
        </w:rPr>
        <w:t>Institute of Statistical, Social and Economic Research (2015). “Public Policy and Enterprise Development in Ghana” Policy Brief No. 2, University of Ghana, August.</w:t>
      </w:r>
    </w:p>
    <w:p w14:paraId="61EEAAFF" w14:textId="77777777" w:rsidR="00050905" w:rsidRPr="007A1E33" w:rsidRDefault="00050905" w:rsidP="00050905">
      <w:pPr>
        <w:rPr>
          <w:rFonts w:ascii="Garamond" w:hAnsi="Garamond" w:cs="Times New Roman"/>
        </w:rPr>
      </w:pPr>
      <w:r w:rsidRPr="007A1E33">
        <w:rPr>
          <w:rFonts w:ascii="Garamond" w:hAnsi="Garamond" w:cs="Times New Roman"/>
        </w:rPr>
        <w:t>Kolavalli et al. (2015). “After the Ten Percent: Moving Agriculture in Ghana” Policy Note #7, Ghana Strategy Support Program</w:t>
      </w:r>
    </w:p>
    <w:p w14:paraId="1C22EBA7" w14:textId="77777777" w:rsidR="00050905" w:rsidRPr="007A1E33" w:rsidRDefault="00050905" w:rsidP="00050905">
      <w:pPr>
        <w:rPr>
          <w:rFonts w:ascii="Garamond" w:hAnsi="Garamond" w:cs="Times New Roman"/>
        </w:rPr>
      </w:pPr>
      <w:r w:rsidRPr="007A1E33">
        <w:rPr>
          <w:rFonts w:ascii="Garamond" w:hAnsi="Garamond" w:cs="Times New Roman"/>
        </w:rPr>
        <w:t>Naik (2006). “Closing the yield gap: maize in India.” In “Technology, adaptation and exports: how some countries got it right” Vandana Chandra (ed.) World Bank.</w:t>
      </w:r>
    </w:p>
    <w:p w14:paraId="02B7388B" w14:textId="77777777" w:rsidR="00050905" w:rsidRPr="007A1E33" w:rsidRDefault="00050905" w:rsidP="00050905">
      <w:pPr>
        <w:rPr>
          <w:rFonts w:ascii="Garamond" w:hAnsi="Garamond" w:cs="Times New Roman"/>
        </w:rPr>
      </w:pPr>
      <w:r w:rsidRPr="007A1E33">
        <w:rPr>
          <w:rFonts w:ascii="Garamond" w:hAnsi="Garamond" w:cs="Times New Roman"/>
        </w:rPr>
        <w:t>Rasiah (2006). “Explaining Malaysia’s export expansion in palm oil and related products” In “Technology, adaptation and exports: how some countries got it right” Vandana Chandra (ed.) World Bank.</w:t>
      </w:r>
    </w:p>
    <w:p w14:paraId="4A00DBED" w14:textId="77777777" w:rsidR="00050905" w:rsidRPr="007A1E33" w:rsidRDefault="00050905" w:rsidP="00050905">
      <w:pPr>
        <w:rPr>
          <w:rFonts w:ascii="Garamond" w:hAnsi="Garamond" w:cs="Times New Roman"/>
        </w:rPr>
      </w:pPr>
      <w:r w:rsidRPr="007A1E33">
        <w:rPr>
          <w:rFonts w:ascii="Garamond" w:hAnsi="Garamond" w:cs="Times New Roman"/>
        </w:rPr>
        <w:t>Seek (2013). “Repackaging Agricultural Research for Greater Impact on Agricultural Growth in Africa” Journal of Food Security, 1, 30-41.</w:t>
      </w:r>
    </w:p>
    <w:p w14:paraId="1E01EC1E" w14:textId="77777777" w:rsidR="00050905" w:rsidRPr="007A1E33" w:rsidRDefault="00050905" w:rsidP="00050905">
      <w:pPr>
        <w:rPr>
          <w:rFonts w:ascii="Garamond" w:hAnsi="Garamond" w:cs="Times New Roman"/>
        </w:rPr>
      </w:pPr>
      <w:r w:rsidRPr="007A1E33">
        <w:rPr>
          <w:rFonts w:ascii="Garamond" w:hAnsi="Garamond" w:cs="Times New Roman"/>
        </w:rPr>
        <w:t>SSRID (2014). “Agriculture in Ghana – Facts and Figures.” Accra: Government of Ghana</w:t>
      </w:r>
    </w:p>
    <w:p w14:paraId="4ACBFD49" w14:textId="77777777" w:rsidR="00050905" w:rsidRPr="007A1E33" w:rsidRDefault="00050905" w:rsidP="00050905">
      <w:pPr>
        <w:rPr>
          <w:rFonts w:ascii="Garamond" w:hAnsi="Garamond" w:cs="Times New Roman"/>
        </w:rPr>
      </w:pPr>
      <w:r w:rsidRPr="007A1E33">
        <w:rPr>
          <w:rFonts w:ascii="Garamond" w:hAnsi="Garamond" w:cs="Times New Roman"/>
        </w:rPr>
        <w:t xml:space="preserve">Vostroknutova et al. (2010). “Dealing with Dutch Disease” </w:t>
      </w:r>
    </w:p>
    <w:p w14:paraId="0EC0B0D0" w14:textId="77777777" w:rsidR="00050905" w:rsidRPr="007A1E33" w:rsidRDefault="00050905" w:rsidP="00050905">
      <w:pPr>
        <w:rPr>
          <w:rFonts w:ascii="Garamond" w:hAnsi="Garamond" w:cs="Times New Roman"/>
        </w:rPr>
      </w:pPr>
      <w:r w:rsidRPr="007A1E33">
        <w:rPr>
          <w:rFonts w:ascii="Garamond" w:hAnsi="Garamond" w:cs="Times New Roman"/>
        </w:rPr>
        <w:t>Whitaker and Kolavalli (2006). “Floriculture in Kenya”. In “Technology, adaptation and exports: how some countries got it right” Vandana Chandra (ed.) World Bank.</w:t>
      </w:r>
    </w:p>
    <w:p w14:paraId="114BE67E" w14:textId="77777777" w:rsidR="00050905" w:rsidRPr="007A1E33" w:rsidRDefault="00050905" w:rsidP="00050905">
      <w:pPr>
        <w:rPr>
          <w:rFonts w:ascii="Garamond" w:hAnsi="Garamond" w:cs="Times New Roman"/>
        </w:rPr>
      </w:pPr>
      <w:r w:rsidRPr="007A1E33">
        <w:rPr>
          <w:rFonts w:ascii="Garamond" w:hAnsi="Garamond" w:cs="Times New Roman"/>
        </w:rPr>
        <w:t>World Bank (2009). “Economy-Wide Impact of Oil Discovery in Ghana.” Africa Region World Bank Report No. 47321.</w:t>
      </w:r>
    </w:p>
    <w:p w14:paraId="27D63BD4" w14:textId="77777777" w:rsidR="00050905" w:rsidRPr="007A1E33" w:rsidRDefault="00050905" w:rsidP="00050905">
      <w:pPr>
        <w:rPr>
          <w:rFonts w:ascii="Garamond" w:hAnsi="Garamond" w:cs="Times New Roman"/>
        </w:rPr>
      </w:pPr>
      <w:r w:rsidRPr="007A1E33">
        <w:rPr>
          <w:rFonts w:ascii="Garamond" w:hAnsi="Garamond" w:cs="Times New Roman"/>
        </w:rPr>
        <w:lastRenderedPageBreak/>
        <w:t>World Bank (2013). “Final Report: Basic Agricultur</w:t>
      </w:r>
      <w:r w:rsidR="003748F9">
        <w:rPr>
          <w:rFonts w:ascii="Garamond" w:hAnsi="Garamond" w:cs="Times New Roman"/>
        </w:rPr>
        <w:t>al</w:t>
      </w:r>
      <w:r w:rsidRPr="007A1E33">
        <w:rPr>
          <w:rFonts w:ascii="Garamond" w:hAnsi="Garamond" w:cs="Times New Roman"/>
        </w:rPr>
        <w:t xml:space="preserve"> Public Expenditure </w:t>
      </w:r>
      <w:r w:rsidR="003748F9">
        <w:rPr>
          <w:rFonts w:ascii="Garamond" w:hAnsi="Garamond" w:cs="Times New Roman"/>
        </w:rPr>
        <w:t xml:space="preserve">Diagnostic </w:t>
      </w:r>
      <w:r w:rsidRPr="007A1E33">
        <w:rPr>
          <w:rFonts w:ascii="Garamond" w:hAnsi="Garamond" w:cs="Times New Roman"/>
        </w:rPr>
        <w:t>Review – Ghana’s Ministry of Food and Agriculture.” Washington, DC: The World Bank</w:t>
      </w:r>
    </w:p>
    <w:p w14:paraId="60C1F580" w14:textId="77777777" w:rsidR="00050905" w:rsidRPr="007A1E33" w:rsidRDefault="00050905" w:rsidP="00050905">
      <w:pPr>
        <w:rPr>
          <w:rFonts w:ascii="Garamond" w:hAnsi="Garamond" w:cs="Times New Roman"/>
        </w:rPr>
      </w:pPr>
      <w:r w:rsidRPr="007A1E33">
        <w:rPr>
          <w:rFonts w:ascii="Garamond" w:hAnsi="Garamond" w:cs="Times New Roman"/>
        </w:rPr>
        <w:t>World Bank (2016a) “Expanding Job Opportunities in Ghana.” Washington DC: The World Bank</w:t>
      </w:r>
    </w:p>
    <w:p w14:paraId="0BF42644" w14:textId="77777777" w:rsidR="00050905" w:rsidRPr="007A1E33" w:rsidRDefault="00050905" w:rsidP="00050905">
      <w:pPr>
        <w:rPr>
          <w:rFonts w:ascii="Garamond" w:hAnsi="Garamond" w:cs="Times New Roman"/>
        </w:rPr>
      </w:pPr>
      <w:r w:rsidRPr="007A1E33">
        <w:rPr>
          <w:rFonts w:ascii="Garamond" w:hAnsi="Garamond" w:cs="Times New Roman"/>
        </w:rPr>
        <w:t>World Bank (2016b) “Ghana Economic Update” June. Washington DC: The World Bank</w:t>
      </w:r>
    </w:p>
    <w:p w14:paraId="306CAE5C" w14:textId="77777777" w:rsidR="00050905" w:rsidRPr="007A1E33" w:rsidRDefault="00050905" w:rsidP="00050905">
      <w:pPr>
        <w:rPr>
          <w:rFonts w:ascii="Garamond" w:hAnsi="Garamond" w:cs="Times New Roman"/>
        </w:rPr>
      </w:pPr>
      <w:r w:rsidRPr="007A1E33">
        <w:rPr>
          <w:rFonts w:ascii="Garamond" w:hAnsi="Garamond" w:cs="Times New Roman"/>
        </w:rPr>
        <w:t xml:space="preserve">World Bank (2016c) </w:t>
      </w:r>
      <w:r w:rsidRPr="007A1E33">
        <w:rPr>
          <w:rFonts w:ascii="Garamond" w:hAnsi="Garamond" w:cs="Times New Roman"/>
          <w:i/>
        </w:rPr>
        <w:t>Africa’s Pulse</w:t>
      </w:r>
      <w:r w:rsidRPr="007A1E33">
        <w:rPr>
          <w:rFonts w:ascii="Garamond" w:hAnsi="Garamond" w:cs="Times New Roman"/>
        </w:rPr>
        <w:t>. Washington DC: The World Bank</w:t>
      </w:r>
    </w:p>
    <w:p w14:paraId="5469C6FA" w14:textId="77777777" w:rsidR="00050905" w:rsidRPr="007A1E33" w:rsidRDefault="00050905" w:rsidP="00050905">
      <w:pPr>
        <w:rPr>
          <w:rFonts w:ascii="Garamond" w:hAnsi="Garamond" w:cs="Times New Roman"/>
        </w:rPr>
      </w:pPr>
      <w:r w:rsidRPr="007A1E33">
        <w:rPr>
          <w:rFonts w:ascii="Garamond" w:hAnsi="Garamond" w:cs="Times New Roman"/>
        </w:rPr>
        <w:t>Younger (2015). “Is there fiscal space for CAADP in Ghana?”, Policy Note #8, IFPRI.</w:t>
      </w:r>
    </w:p>
    <w:p w14:paraId="79035090" w14:textId="77777777" w:rsidR="00050905" w:rsidRPr="007A1E33" w:rsidRDefault="00050905" w:rsidP="00050905">
      <w:pPr>
        <w:rPr>
          <w:rFonts w:ascii="Garamond" w:hAnsi="Garamond" w:cs="Times New Roman"/>
        </w:rPr>
      </w:pPr>
      <w:r w:rsidRPr="007A1E33">
        <w:rPr>
          <w:rFonts w:ascii="Garamond" w:hAnsi="Garamond" w:cs="Times New Roman"/>
        </w:rPr>
        <w:t>Zhou and Baby (2015). “Knowledge driven development – private extension and global lessons.” Elsevier Academic Press.</w:t>
      </w:r>
    </w:p>
    <w:p w14:paraId="0F36AC29" w14:textId="77777777" w:rsidR="005215B2" w:rsidRPr="007B1F20" w:rsidRDefault="005215B2" w:rsidP="00CC7892">
      <w:pPr>
        <w:pStyle w:val="ListParagraph"/>
        <w:numPr>
          <w:ilvl w:val="0"/>
          <w:numId w:val="0"/>
        </w:numPr>
      </w:pPr>
    </w:p>
    <w:sectPr w:rsidR="005215B2" w:rsidRPr="007B1F20" w:rsidSect="00A23AAF">
      <w:headerReference w:type="default" r:id="rId119"/>
      <w:footerReference w:type="default" r:id="rId1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597910" w14:textId="77777777" w:rsidR="00E74DE6" w:rsidRDefault="00E74DE6" w:rsidP="00286F1F">
      <w:pPr>
        <w:spacing w:after="0" w:line="240" w:lineRule="auto"/>
      </w:pPr>
      <w:r>
        <w:separator/>
      </w:r>
    </w:p>
    <w:p w14:paraId="40864476" w14:textId="77777777" w:rsidR="00E74DE6" w:rsidRDefault="00E74DE6"/>
  </w:endnote>
  <w:endnote w:type="continuationSeparator" w:id="0">
    <w:p w14:paraId="03B575EE" w14:textId="77777777" w:rsidR="00E74DE6" w:rsidRDefault="00E74DE6" w:rsidP="00286F1F">
      <w:pPr>
        <w:spacing w:after="0" w:line="240" w:lineRule="auto"/>
      </w:pPr>
      <w:r>
        <w:continuationSeparator/>
      </w:r>
    </w:p>
    <w:p w14:paraId="6379D5A5" w14:textId="77777777" w:rsidR="00E74DE6" w:rsidRDefault="00E74D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venir LT Std 45 Book">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GaramondPro-Regular">
    <w:panose1 w:val="00000000000000000000"/>
    <w:charset w:val="00"/>
    <w:family w:val="roman"/>
    <w:notTrueType/>
    <w:pitch w:val="default"/>
    <w:sig w:usb0="00000003" w:usb1="00000000" w:usb2="00000000" w:usb3="00000000" w:csb0="00000001" w:csb1="00000000"/>
  </w:font>
  <w:font w:name="SegoeUI">
    <w:altName w:val="Calibri"/>
    <w:panose1 w:val="00000000000000000000"/>
    <w:charset w:val="00"/>
    <w:family w:val="swiss"/>
    <w:notTrueType/>
    <w:pitch w:val="default"/>
    <w:sig w:usb0="00000003" w:usb1="00000000" w:usb2="00000000" w:usb3="00000000" w:csb0="00000001" w:csb1="00000000"/>
  </w:font>
  <w:font w:name="Unit-Medium">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rPr>
      <w:id w:val="-475150535"/>
      <w:docPartObj>
        <w:docPartGallery w:val="Page Numbers (Bottom of Page)"/>
        <w:docPartUnique/>
      </w:docPartObj>
    </w:sdtPr>
    <w:sdtEndPr>
      <w:rPr>
        <w:noProof/>
      </w:rPr>
    </w:sdtEndPr>
    <w:sdtContent>
      <w:p w14:paraId="19DD0A0A" w14:textId="25E27149" w:rsidR="00A75A08" w:rsidRPr="00AD44DF" w:rsidRDefault="00A75A08" w:rsidP="00E566F7">
        <w:pPr>
          <w:pStyle w:val="Footer"/>
          <w:jc w:val="center"/>
          <w:rPr>
            <w:rFonts w:ascii="Garamond" w:hAnsi="Garamond"/>
          </w:rPr>
        </w:pPr>
        <w:r w:rsidRPr="00414D2C">
          <w:rPr>
            <w:rFonts w:ascii="Garamond" w:hAnsi="Garamond"/>
          </w:rPr>
          <w:fldChar w:fldCharType="begin"/>
        </w:r>
        <w:r w:rsidRPr="00414D2C">
          <w:rPr>
            <w:rFonts w:ascii="Garamond" w:hAnsi="Garamond"/>
          </w:rPr>
          <w:instrText xml:space="preserve"> PAGE   \* MERGEFORMAT </w:instrText>
        </w:r>
        <w:r w:rsidRPr="00414D2C">
          <w:rPr>
            <w:rFonts w:ascii="Garamond" w:hAnsi="Garamond"/>
          </w:rPr>
          <w:fldChar w:fldCharType="separate"/>
        </w:r>
        <w:r w:rsidR="00721DE7">
          <w:rPr>
            <w:rFonts w:ascii="Garamond" w:hAnsi="Garamond"/>
            <w:noProof/>
          </w:rPr>
          <w:t>80</w:t>
        </w:r>
        <w:r w:rsidRPr="00414D2C">
          <w:rPr>
            <w:rFonts w:ascii="Garamond" w:hAnsi="Garamond"/>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9686318"/>
      <w:docPartObj>
        <w:docPartGallery w:val="Page Numbers (Bottom of Page)"/>
        <w:docPartUnique/>
      </w:docPartObj>
    </w:sdtPr>
    <w:sdtEndPr>
      <w:rPr>
        <w:noProof/>
      </w:rPr>
    </w:sdtEndPr>
    <w:sdtContent>
      <w:p w14:paraId="766868D5" w14:textId="727BCE31" w:rsidR="00A75A08" w:rsidRDefault="00A75A08" w:rsidP="00A23AAF">
        <w:pPr>
          <w:pStyle w:val="Footer"/>
          <w:jc w:val="center"/>
        </w:pPr>
        <w:r w:rsidRPr="00A23AAF">
          <w:rPr>
            <w:rFonts w:ascii="Garamond" w:hAnsi="Garamond"/>
          </w:rPr>
          <w:fldChar w:fldCharType="begin"/>
        </w:r>
        <w:r w:rsidRPr="00A23AAF">
          <w:rPr>
            <w:rFonts w:ascii="Garamond" w:hAnsi="Garamond"/>
          </w:rPr>
          <w:instrText xml:space="preserve"> PAGE   \* MERGEFORMAT </w:instrText>
        </w:r>
        <w:r w:rsidRPr="00A23AAF">
          <w:rPr>
            <w:rFonts w:ascii="Garamond" w:hAnsi="Garamond"/>
          </w:rPr>
          <w:fldChar w:fldCharType="separate"/>
        </w:r>
        <w:r w:rsidR="00721DE7">
          <w:rPr>
            <w:rFonts w:ascii="Garamond" w:hAnsi="Garamond"/>
            <w:noProof/>
          </w:rPr>
          <w:t>81</w:t>
        </w:r>
        <w:r w:rsidRPr="00A23AAF">
          <w:rPr>
            <w:rFonts w:ascii="Garamond" w:hAnsi="Garamond"/>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rPr>
      <w:id w:val="124438243"/>
      <w:docPartObj>
        <w:docPartGallery w:val="Page Numbers (Bottom of Page)"/>
        <w:docPartUnique/>
      </w:docPartObj>
    </w:sdtPr>
    <w:sdtEndPr>
      <w:rPr>
        <w:noProof/>
      </w:rPr>
    </w:sdtEndPr>
    <w:sdtContent>
      <w:p w14:paraId="3D311783" w14:textId="47A82ABC" w:rsidR="00A75A08" w:rsidRPr="002C627C" w:rsidRDefault="00A75A08" w:rsidP="00CC7892">
        <w:pPr>
          <w:tabs>
            <w:tab w:val="left" w:pos="3757"/>
            <w:tab w:val="center" w:pos="4680"/>
          </w:tabs>
          <w:spacing w:after="0" w:line="240" w:lineRule="auto"/>
          <w:jc w:val="center"/>
          <w:rPr>
            <w:rFonts w:ascii="Garamond" w:hAnsi="Garamond"/>
          </w:rPr>
        </w:pPr>
        <w:r w:rsidRPr="00CC7892">
          <w:rPr>
            <w:rFonts w:ascii="Garamond" w:hAnsi="Garamond"/>
          </w:rPr>
          <w:fldChar w:fldCharType="begin"/>
        </w:r>
        <w:r w:rsidRPr="00CC7892">
          <w:rPr>
            <w:rFonts w:ascii="Garamond" w:hAnsi="Garamond"/>
          </w:rPr>
          <w:instrText xml:space="preserve"> PAGE   \* MERGEFORMAT </w:instrText>
        </w:r>
        <w:r w:rsidRPr="00CC7892">
          <w:rPr>
            <w:rFonts w:ascii="Garamond" w:hAnsi="Garamond"/>
          </w:rPr>
          <w:fldChar w:fldCharType="separate"/>
        </w:r>
        <w:r w:rsidR="00721DE7">
          <w:rPr>
            <w:rFonts w:ascii="Garamond" w:hAnsi="Garamond"/>
            <w:noProof/>
          </w:rPr>
          <w:t>151</w:t>
        </w:r>
        <w:r w:rsidRPr="00CC7892">
          <w:rPr>
            <w:rFonts w:ascii="Garamond" w:hAnsi="Garamond"/>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41999" w14:textId="77777777" w:rsidR="00E74DE6" w:rsidRDefault="00E74DE6" w:rsidP="002C627C">
      <w:pPr>
        <w:spacing w:after="0" w:line="240" w:lineRule="auto"/>
      </w:pPr>
      <w:r>
        <w:separator/>
      </w:r>
    </w:p>
  </w:footnote>
  <w:footnote w:type="continuationSeparator" w:id="0">
    <w:p w14:paraId="26C421BB" w14:textId="77777777" w:rsidR="00E74DE6" w:rsidRDefault="00E74DE6" w:rsidP="00286F1F">
      <w:pPr>
        <w:spacing w:after="0" w:line="240" w:lineRule="auto"/>
      </w:pPr>
      <w:r>
        <w:continuationSeparator/>
      </w:r>
    </w:p>
  </w:footnote>
  <w:footnote w:id="1">
    <w:p w14:paraId="6554EAE1"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The Ghana Economic Management Strengthening Technical Assistance Project was launched in November 2016.</w:t>
      </w:r>
    </w:p>
  </w:footnote>
  <w:footnote w:id="2">
    <w:p w14:paraId="05C3A8B6"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Public investment in the most efficient countries typically generates twice as much value for money as public investment in the least efficient countries. See: IMF, 2015a. </w:t>
      </w:r>
    </w:p>
  </w:footnote>
  <w:footnote w:id="3">
    <w:p w14:paraId="3E2C01F8"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IMF-World Bank, 2016. </w:t>
      </w:r>
    </w:p>
  </w:footnote>
  <w:footnote w:id="4">
    <w:p w14:paraId="3954553F"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BOOST is the product of a World Bank</w:t>
      </w:r>
      <w:r>
        <w:rPr>
          <w:rFonts w:ascii="Garamond" w:hAnsi="Garamond"/>
          <w:sz w:val="20"/>
          <w:szCs w:val="20"/>
        </w:rPr>
        <w:t>-led</w:t>
      </w:r>
      <w:r w:rsidRPr="00AD44DF">
        <w:rPr>
          <w:rFonts w:ascii="Garamond" w:hAnsi="Garamond"/>
          <w:sz w:val="20"/>
          <w:szCs w:val="20"/>
        </w:rPr>
        <w:t xml:space="preserve"> collaboration. It is designed to be integrated with GIFMIS. See: </w:t>
      </w:r>
      <w:hyperlink r:id="rId1" w:history="1">
        <w:r w:rsidRPr="00AD44DF">
          <w:rPr>
            <w:rStyle w:val="Hyperlink"/>
            <w:rFonts w:ascii="Garamond" w:hAnsi="Garamond"/>
            <w:sz w:val="20"/>
            <w:szCs w:val="20"/>
          </w:rPr>
          <w:t>http://wbi.worldbank.org/boost/</w:t>
        </w:r>
      </w:hyperlink>
      <w:r w:rsidRPr="00AD44DF">
        <w:rPr>
          <w:rFonts w:ascii="Garamond" w:hAnsi="Garamond"/>
          <w:sz w:val="20"/>
          <w:szCs w:val="20"/>
        </w:rPr>
        <w:t xml:space="preserve"> </w:t>
      </w:r>
    </w:p>
  </w:footnote>
  <w:footnote w:id="5">
    <w:p w14:paraId="735716AB" w14:textId="77777777" w:rsidR="00A75A08" w:rsidRPr="00956684" w:rsidRDefault="00A75A08" w:rsidP="00956684">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w:t>
      </w:r>
      <w:r w:rsidRPr="00956684">
        <w:rPr>
          <w:rFonts w:ascii="Garamond" w:hAnsi="Garamond"/>
          <w:sz w:val="20"/>
          <w:szCs w:val="20"/>
        </w:rPr>
        <w:t xml:space="preserve">This freeze does not apply to the education and health sectors, which </w:t>
      </w:r>
      <w:r>
        <w:rPr>
          <w:rFonts w:ascii="Garamond" w:hAnsi="Garamond"/>
          <w:sz w:val="20"/>
          <w:szCs w:val="20"/>
        </w:rPr>
        <w:t>have been identified as</w:t>
      </w:r>
      <w:r w:rsidRPr="00956684">
        <w:rPr>
          <w:rFonts w:ascii="Garamond" w:hAnsi="Garamond"/>
          <w:sz w:val="20"/>
          <w:szCs w:val="20"/>
        </w:rPr>
        <w:t xml:space="preserve"> priority areas for inclusive development. The combined workforce of these two sectors increased </w:t>
      </w:r>
      <w:r w:rsidRPr="008A0FDA">
        <w:rPr>
          <w:rFonts w:ascii="Garamond" w:hAnsi="Garamond"/>
          <w:sz w:val="20"/>
          <w:szCs w:val="20"/>
        </w:rPr>
        <w:t>by approximately 8,000 in 2016 alone</w:t>
      </w:r>
      <w:r w:rsidRPr="00956684">
        <w:rPr>
          <w:rFonts w:ascii="Garamond" w:hAnsi="Garamond"/>
          <w:sz w:val="20"/>
          <w:szCs w:val="20"/>
        </w:rPr>
        <w:t>.</w:t>
      </w:r>
    </w:p>
  </w:footnote>
  <w:footnote w:id="6">
    <w:p w14:paraId="6F0D9495" w14:textId="77777777" w:rsidR="00A75A08" w:rsidRPr="00E46953" w:rsidRDefault="00A75A08">
      <w:pPr>
        <w:pStyle w:val="FootnoteText"/>
        <w:jc w:val="both"/>
        <w:rPr>
          <w:rFonts w:ascii="Garamond" w:hAnsi="Garamond"/>
          <w:sz w:val="20"/>
          <w:szCs w:val="20"/>
        </w:rPr>
      </w:pPr>
      <w:r w:rsidRPr="00E46953">
        <w:rPr>
          <w:rStyle w:val="FootnoteReference"/>
          <w:rFonts w:ascii="Garamond" w:hAnsi="Garamond"/>
          <w:sz w:val="20"/>
          <w:szCs w:val="20"/>
        </w:rPr>
        <w:footnoteRef/>
      </w:r>
      <w:r w:rsidRPr="00E46953">
        <w:rPr>
          <w:rFonts w:ascii="Garamond" w:hAnsi="Garamond"/>
          <w:sz w:val="20"/>
          <w:szCs w:val="20"/>
        </w:rPr>
        <w:t xml:space="preserve"> World Bank, 2016a.</w:t>
      </w:r>
    </w:p>
  </w:footnote>
  <w:footnote w:id="7">
    <w:p w14:paraId="7709F8B5" w14:textId="77777777" w:rsidR="00A75A08" w:rsidRPr="00AD44DF" w:rsidRDefault="00A75A08">
      <w:pPr>
        <w:pStyle w:val="FootnoteText"/>
        <w:jc w:val="both"/>
        <w:rPr>
          <w:rFonts w:ascii="Garamond" w:hAnsi="Garamond"/>
          <w:sz w:val="20"/>
          <w:szCs w:val="20"/>
        </w:rPr>
      </w:pPr>
      <w:r w:rsidRPr="00E46953">
        <w:rPr>
          <w:rStyle w:val="FootnoteReference"/>
          <w:rFonts w:ascii="Garamond" w:hAnsi="Garamond"/>
          <w:sz w:val="20"/>
          <w:szCs w:val="20"/>
        </w:rPr>
        <w:footnoteRef/>
      </w:r>
      <w:r w:rsidRPr="00E46953">
        <w:rPr>
          <w:rFonts w:ascii="Garamond" w:hAnsi="Garamond"/>
          <w:sz w:val="20"/>
          <w:szCs w:val="20"/>
        </w:rPr>
        <w:t xml:space="preserve"> These rates are based on the international poverty and extreme poverty lines of US$1.9 and US$1.2 in income per capita per day, respectively. </w:t>
      </w:r>
    </w:p>
  </w:footnote>
  <w:footnote w:id="8">
    <w:p w14:paraId="54973D33" w14:textId="77777777" w:rsidR="00A75A08" w:rsidRPr="001640AF" w:rsidRDefault="00A75A08" w:rsidP="00EA1260">
      <w:pPr>
        <w:pStyle w:val="FootnoteText"/>
        <w:jc w:val="both"/>
        <w:rPr>
          <w:rFonts w:ascii="Garamond" w:hAnsi="Garamond"/>
          <w:sz w:val="20"/>
          <w:szCs w:val="20"/>
        </w:rPr>
      </w:pPr>
      <w:r w:rsidRPr="001640AF">
        <w:rPr>
          <w:rStyle w:val="FootnoteReference"/>
          <w:rFonts w:ascii="Garamond" w:hAnsi="Garamond"/>
          <w:sz w:val="20"/>
          <w:szCs w:val="20"/>
        </w:rPr>
        <w:footnoteRef/>
      </w:r>
      <w:r w:rsidRPr="001640AF">
        <w:rPr>
          <w:rFonts w:ascii="Garamond" w:hAnsi="Garamond"/>
          <w:sz w:val="20"/>
          <w:szCs w:val="20"/>
        </w:rPr>
        <w:t xml:space="preserve"> </w:t>
      </w:r>
      <w:r>
        <w:rPr>
          <w:rFonts w:ascii="Garamond" w:hAnsi="Garamond"/>
          <w:sz w:val="20"/>
          <w:szCs w:val="20"/>
        </w:rPr>
        <w:t xml:space="preserve"> </w:t>
      </w:r>
      <w:r w:rsidRPr="001640AF">
        <w:rPr>
          <w:rFonts w:ascii="Garamond" w:hAnsi="Garamond"/>
          <w:sz w:val="20"/>
          <w:szCs w:val="20"/>
        </w:rPr>
        <w:t xml:space="preserve">See: World Bank (2011). </w:t>
      </w:r>
    </w:p>
  </w:footnote>
  <w:footnote w:id="9">
    <w:p w14:paraId="4913BAB3" w14:textId="77777777" w:rsidR="00A75A08" w:rsidRPr="00821FE1" w:rsidRDefault="00A75A08" w:rsidP="00E16DA9">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w:t>
      </w:r>
      <w:r w:rsidRPr="00821FE1">
        <w:rPr>
          <w:rFonts w:ascii="Garamond" w:hAnsi="Garamond"/>
          <w:sz w:val="20"/>
          <w:szCs w:val="20"/>
        </w:rPr>
        <w:t>World Bank, 2016b.</w:t>
      </w:r>
    </w:p>
  </w:footnote>
  <w:footnote w:id="10">
    <w:p w14:paraId="14EE3175" w14:textId="77777777" w:rsidR="00A75A08" w:rsidRPr="00821FE1" w:rsidRDefault="00A75A08">
      <w:pPr>
        <w:pStyle w:val="FootnoteText"/>
        <w:jc w:val="both"/>
        <w:rPr>
          <w:rFonts w:ascii="Garamond" w:hAnsi="Garamond"/>
          <w:sz w:val="20"/>
          <w:szCs w:val="20"/>
        </w:rPr>
      </w:pPr>
      <w:r w:rsidRPr="00821FE1">
        <w:rPr>
          <w:rStyle w:val="FootnoteReference"/>
          <w:rFonts w:ascii="Garamond" w:hAnsi="Garamond"/>
          <w:sz w:val="20"/>
          <w:szCs w:val="20"/>
        </w:rPr>
        <w:footnoteRef/>
      </w:r>
      <w:r w:rsidRPr="00821FE1">
        <w:rPr>
          <w:rFonts w:ascii="Garamond" w:hAnsi="Garamond"/>
          <w:sz w:val="20"/>
          <w:szCs w:val="20"/>
        </w:rPr>
        <w:t xml:space="preserve"> World Bank-IMF, 2016. </w:t>
      </w:r>
    </w:p>
  </w:footnote>
  <w:footnote w:id="11">
    <w:p w14:paraId="10EC1379" w14:textId="77777777" w:rsidR="00A75A08" w:rsidRPr="00AD44DF" w:rsidRDefault="00A75A08">
      <w:pPr>
        <w:spacing w:after="0" w:line="240" w:lineRule="auto"/>
        <w:jc w:val="both"/>
        <w:rPr>
          <w:rFonts w:ascii="Garamond" w:hAnsi="Garamond"/>
          <w:sz w:val="20"/>
          <w:szCs w:val="20"/>
        </w:rPr>
      </w:pPr>
      <w:r w:rsidRPr="00821FE1">
        <w:rPr>
          <w:rStyle w:val="FootnoteReference"/>
          <w:rFonts w:ascii="Garamond" w:hAnsi="Garamond"/>
          <w:sz w:val="20"/>
          <w:szCs w:val="20"/>
        </w:rPr>
        <w:footnoteRef/>
      </w:r>
      <w:r w:rsidRPr="00821FE1">
        <w:rPr>
          <w:rFonts w:ascii="Garamond" w:hAnsi="Garamond"/>
          <w:sz w:val="20"/>
          <w:szCs w:val="20"/>
        </w:rPr>
        <w:t xml:space="preserve"> Baldacci, Gupta and Mati (2011) also find that political risk variables are key to financial markets’ perception of country risk. In addition, higher public investment rates are associated with lower spreads if a given country’s fiscal position remains sustainable and its fiscal deficit does not worsen. Sovereign spreads are determined by a wide range of factors, such as global risk aversion, macroeconomic fundamentals, credit ratings, financial volatility indicators, political developments, terns-of-trade shocks, political developments</w:t>
      </w:r>
      <w:r>
        <w:rPr>
          <w:rFonts w:ascii="Garamond" w:hAnsi="Garamond"/>
          <w:sz w:val="20"/>
          <w:szCs w:val="20"/>
        </w:rPr>
        <w:t>,</w:t>
      </w:r>
      <w:r w:rsidRPr="00821FE1">
        <w:rPr>
          <w:rFonts w:ascii="Garamond" w:hAnsi="Garamond"/>
          <w:sz w:val="20"/>
          <w:szCs w:val="20"/>
        </w:rPr>
        <w:t xml:space="preserve"> and institutional factors. See: Hilscher and Nosbusch (2015), IMF (2010), Faria </w:t>
      </w:r>
      <w:r w:rsidRPr="00821FE1">
        <w:rPr>
          <w:rFonts w:ascii="Garamond" w:hAnsi="Garamond"/>
          <w:i/>
          <w:sz w:val="20"/>
          <w:szCs w:val="20"/>
        </w:rPr>
        <w:t>et al</w:t>
      </w:r>
      <w:r w:rsidRPr="00821FE1">
        <w:rPr>
          <w:rFonts w:ascii="Garamond" w:hAnsi="Garamond"/>
          <w:sz w:val="20"/>
          <w:szCs w:val="20"/>
        </w:rPr>
        <w:t xml:space="preserve">. (2006), and Ferrucci (2003). </w:t>
      </w:r>
    </w:p>
  </w:footnote>
  <w:footnote w:id="12">
    <w:p w14:paraId="4BB3C4C0" w14:textId="77777777" w:rsidR="00A75A08" w:rsidRPr="00AD44DF" w:rsidRDefault="00A75A08">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This legislation is currently being discussed by </w:t>
      </w:r>
      <w:r>
        <w:rPr>
          <w:rFonts w:ascii="Garamond" w:hAnsi="Garamond"/>
          <w:sz w:val="20"/>
          <w:szCs w:val="20"/>
        </w:rPr>
        <w:t xml:space="preserve">Ghana’s </w:t>
      </w:r>
      <w:r w:rsidRPr="00AD44DF">
        <w:rPr>
          <w:rFonts w:ascii="Garamond" w:hAnsi="Garamond"/>
          <w:sz w:val="20"/>
          <w:szCs w:val="20"/>
        </w:rPr>
        <w:t xml:space="preserve">Parliament. </w:t>
      </w:r>
    </w:p>
  </w:footnote>
  <w:footnote w:id="13">
    <w:p w14:paraId="4A8FD1A4" w14:textId="77777777" w:rsidR="00A75A08" w:rsidRPr="00AD44DF" w:rsidRDefault="00A75A08" w:rsidP="00AA1C08">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In August 2016, the World Bank’s Board of Directors approved a US$15 million Ghana Economic Management Strengthening Technical Assistance Project designed to support Ghana’s institutional capacity for domestic revenue mobilization, public investment management, debt management, and SOE governance.  </w:t>
      </w:r>
    </w:p>
  </w:footnote>
  <w:footnote w:id="14">
    <w:p w14:paraId="0A6A5CE5" w14:textId="77777777" w:rsidR="00A75A08" w:rsidRPr="00AD44DF" w:rsidRDefault="00A75A08" w:rsidP="00AA1C08">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The government established a sinking-fund account in May 2015, as deposits into the Ghana Stabilization Fund exceeded the current cap of US$250 million.</w:t>
      </w:r>
    </w:p>
  </w:footnote>
  <w:footnote w:id="15">
    <w:p w14:paraId="2D7A6847" w14:textId="77777777" w:rsidR="00A75A08" w:rsidRPr="00AD44DF" w:rsidRDefault="00A75A08">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Herrera and Aykut, 2015. </w:t>
      </w:r>
    </w:p>
  </w:footnote>
  <w:footnote w:id="16">
    <w:p w14:paraId="4BFF3047" w14:textId="77777777" w:rsidR="00A75A08" w:rsidRPr="00AD44DF" w:rsidRDefault="00A75A08">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IMF, 2015a.</w:t>
      </w:r>
    </w:p>
  </w:footnote>
  <w:footnote w:id="17">
    <w:p w14:paraId="17EBEE62" w14:textId="77777777" w:rsidR="00A75A08" w:rsidRPr="00AD44DF" w:rsidRDefault="00A75A08">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World Bank, 2012; DFID, 2014; IMF, 2016a.</w:t>
      </w:r>
    </w:p>
  </w:footnote>
  <w:footnote w:id="18">
    <w:p w14:paraId="5124F03B" w14:textId="77777777" w:rsidR="00A75A08" w:rsidRPr="00AD44DF" w:rsidRDefault="00A75A08">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The establishment of the public investment management policy was a prior action under the World Bank’s Macroeconomic Stability for Competitiveness Development Policy Financing operation approved in June 2015</w:t>
      </w:r>
      <w:r>
        <w:rPr>
          <w:rFonts w:ascii="Garamond" w:hAnsi="Garamond"/>
          <w:sz w:val="20"/>
          <w:szCs w:val="20"/>
        </w:rPr>
        <w:t>.</w:t>
      </w:r>
    </w:p>
  </w:footnote>
  <w:footnote w:id="19">
    <w:p w14:paraId="1120DDFB" w14:textId="77777777" w:rsidR="00A75A08" w:rsidRPr="00AD44DF" w:rsidRDefault="00A75A08">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World Bank-IMF, 2016. </w:t>
      </w:r>
    </w:p>
  </w:footnote>
  <w:footnote w:id="20">
    <w:p w14:paraId="34F091CB" w14:textId="77777777" w:rsidR="00A75A08" w:rsidRPr="00AD44DF" w:rsidRDefault="00A75A08">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Fay, Toman, Benitez and Csordas, 2010; World Bank, 2014.</w:t>
      </w:r>
    </w:p>
  </w:footnote>
  <w:footnote w:id="21">
    <w:p w14:paraId="0C15E7A6" w14:textId="77777777" w:rsidR="00A75A08" w:rsidRPr="00AD44DF" w:rsidRDefault="00A75A08">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These include the District Assemblies Common Fund, the Ghana Education Trust Fund, the National Health Insurance Fund, the Road Fund, the Petroleum Funds, and oil revenue earmarked for the Ghana National Petroleum Corporation.</w:t>
      </w:r>
    </w:p>
  </w:footnote>
  <w:footnote w:id="22">
    <w:p w14:paraId="3F64890C" w14:textId="77777777" w:rsidR="00A75A08" w:rsidRPr="00AD44DF" w:rsidRDefault="00A75A08" w:rsidP="000D76D2">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These tax increases included the introduction of a special petroleum tax of 17.5 percent as a part of an effort to rationalize the </w:t>
      </w:r>
      <w:r>
        <w:rPr>
          <w:rFonts w:ascii="Garamond" w:hAnsi="Garamond"/>
          <w:sz w:val="20"/>
          <w:szCs w:val="20"/>
        </w:rPr>
        <w:t>VAT</w:t>
      </w:r>
      <w:r w:rsidRPr="00AD44DF">
        <w:rPr>
          <w:rFonts w:ascii="Garamond" w:hAnsi="Garamond"/>
          <w:sz w:val="20"/>
          <w:szCs w:val="20"/>
        </w:rPr>
        <w:t xml:space="preserve"> regime, and a change in the petroleum pricing structure. The special levy of 1-2 percent on certain imports was extended through 2017, as was the 5 percent profit tax on banks, insurance companies, other financial service providers, communications firms</w:t>
      </w:r>
      <w:r>
        <w:rPr>
          <w:rFonts w:ascii="Garamond" w:hAnsi="Garamond"/>
          <w:sz w:val="20"/>
          <w:szCs w:val="20"/>
        </w:rPr>
        <w:t>,</w:t>
      </w:r>
      <w:r w:rsidRPr="00AD44DF">
        <w:rPr>
          <w:rFonts w:ascii="Garamond" w:hAnsi="Garamond"/>
          <w:sz w:val="20"/>
          <w:szCs w:val="20"/>
        </w:rPr>
        <w:t xml:space="preserve"> and breweries. The </w:t>
      </w:r>
      <w:r>
        <w:rPr>
          <w:rFonts w:ascii="Garamond" w:hAnsi="Garamond"/>
          <w:sz w:val="20"/>
          <w:szCs w:val="20"/>
        </w:rPr>
        <w:t>VAT</w:t>
      </w:r>
      <w:r w:rsidRPr="00AD44DF">
        <w:rPr>
          <w:rFonts w:ascii="Garamond" w:hAnsi="Garamond"/>
          <w:sz w:val="20"/>
          <w:szCs w:val="20"/>
        </w:rPr>
        <w:t xml:space="preserve"> was also extended to fee-based financial services. The withholding tax on directors’ fees was increased from 10 to 20 percent, and the withholding tax on goods and services rose from 5 to 7.5 percent. The tax on vehicle income was increased by 50 percent. A 5 percent flat tax on real estate was approved by Parliament in 2014 but was not implemented due to challenges that have now largely been addressed. </w:t>
      </w:r>
    </w:p>
  </w:footnote>
  <w:footnote w:id="23">
    <w:p w14:paraId="0EEA5E9D" w14:textId="77777777" w:rsidR="00A75A08" w:rsidRPr="0026772B" w:rsidRDefault="00A75A08" w:rsidP="00FB4B72">
      <w:pPr>
        <w:pStyle w:val="FootnoteText"/>
        <w:jc w:val="both"/>
        <w:rPr>
          <w:rFonts w:ascii="Garamond" w:hAnsi="Garamond"/>
          <w:sz w:val="20"/>
          <w:szCs w:val="20"/>
          <w:lang w:val="de-DE"/>
        </w:rPr>
      </w:pPr>
      <w:r w:rsidRPr="00AD44DF">
        <w:rPr>
          <w:rStyle w:val="FootnoteReference"/>
          <w:rFonts w:ascii="Garamond" w:hAnsi="Garamond"/>
          <w:sz w:val="20"/>
          <w:szCs w:val="20"/>
        </w:rPr>
        <w:footnoteRef/>
      </w:r>
      <w:r w:rsidRPr="0026772B">
        <w:rPr>
          <w:rFonts w:ascii="Garamond" w:hAnsi="Garamond"/>
          <w:sz w:val="20"/>
          <w:szCs w:val="20"/>
          <w:lang w:val="de-DE"/>
        </w:rPr>
        <w:t xml:space="preserve"> IMF, 2015b.</w:t>
      </w:r>
    </w:p>
  </w:footnote>
  <w:footnote w:id="24">
    <w:p w14:paraId="503C6AED" w14:textId="77777777" w:rsidR="00A75A08" w:rsidRPr="0026772B" w:rsidRDefault="00A75A08" w:rsidP="00030525">
      <w:pPr>
        <w:pStyle w:val="FootnoteText"/>
        <w:jc w:val="both"/>
        <w:rPr>
          <w:rFonts w:ascii="Garamond" w:hAnsi="Garamond"/>
          <w:sz w:val="20"/>
          <w:szCs w:val="20"/>
          <w:lang w:val="de-DE"/>
        </w:rPr>
      </w:pPr>
      <w:r w:rsidRPr="00AD44DF">
        <w:rPr>
          <w:rStyle w:val="FootnoteReference"/>
          <w:rFonts w:ascii="Garamond" w:hAnsi="Garamond"/>
          <w:sz w:val="20"/>
          <w:szCs w:val="20"/>
        </w:rPr>
        <w:footnoteRef/>
      </w:r>
      <w:r w:rsidRPr="0026772B">
        <w:rPr>
          <w:rFonts w:ascii="Garamond" w:hAnsi="Garamond"/>
          <w:sz w:val="20"/>
          <w:szCs w:val="20"/>
          <w:lang w:val="de-DE"/>
        </w:rPr>
        <w:t xml:space="preserve"> IMF, 2015b.</w:t>
      </w:r>
    </w:p>
  </w:footnote>
  <w:footnote w:id="25">
    <w:p w14:paraId="38DEE149" w14:textId="77777777" w:rsidR="00A75A08" w:rsidRPr="0026772B" w:rsidRDefault="00A75A08">
      <w:pPr>
        <w:pStyle w:val="FootnoteText"/>
        <w:jc w:val="both"/>
        <w:rPr>
          <w:rFonts w:ascii="Garamond" w:hAnsi="Garamond"/>
          <w:sz w:val="20"/>
          <w:szCs w:val="20"/>
          <w:lang w:val="de-DE"/>
        </w:rPr>
      </w:pPr>
      <w:r w:rsidRPr="00AD44DF">
        <w:rPr>
          <w:rStyle w:val="FootnoteReference"/>
          <w:rFonts w:ascii="Garamond" w:hAnsi="Garamond"/>
          <w:sz w:val="20"/>
          <w:szCs w:val="20"/>
        </w:rPr>
        <w:footnoteRef/>
      </w:r>
      <w:r w:rsidRPr="0026772B">
        <w:rPr>
          <w:rFonts w:ascii="Garamond" w:hAnsi="Garamond"/>
          <w:sz w:val="20"/>
          <w:szCs w:val="20"/>
          <w:lang w:val="de-DE"/>
        </w:rPr>
        <w:t xml:space="preserve"> IMF, 2011.</w:t>
      </w:r>
    </w:p>
  </w:footnote>
  <w:footnote w:id="26">
    <w:p w14:paraId="59758988" w14:textId="77777777" w:rsidR="00A75A08" w:rsidRPr="00AD44DF" w:rsidRDefault="00A75A08">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World Bank-IMF, 2016.</w:t>
      </w:r>
    </w:p>
  </w:footnote>
  <w:footnote w:id="27">
    <w:p w14:paraId="0D2A0259" w14:textId="77777777" w:rsidR="00A75A08" w:rsidRPr="00AD44DF" w:rsidRDefault="00A75A08">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World Bank, 2016c.</w:t>
      </w:r>
    </w:p>
  </w:footnote>
  <w:footnote w:id="28">
    <w:p w14:paraId="1FA8BEF1" w14:textId="77777777" w:rsidR="00A75A08" w:rsidRPr="00AD44DF" w:rsidRDefault="00A75A08">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Aykut, Pradelli and Stanley, 2015.</w:t>
      </w:r>
    </w:p>
  </w:footnote>
  <w:footnote w:id="29">
    <w:p w14:paraId="27B1D647" w14:textId="77777777" w:rsidR="00A75A08" w:rsidRPr="00AD44DF" w:rsidRDefault="00A75A08">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World Bank-IMF, 2016.</w:t>
      </w:r>
    </w:p>
  </w:footnote>
  <w:footnote w:id="30">
    <w:p w14:paraId="6C763A81" w14:textId="77777777" w:rsidR="00A75A08" w:rsidRPr="00AD44DF" w:rsidRDefault="00A75A08">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Excluding funds that accrue to the Ghana National Petroleum Corporation and the Ghana Infrastructure Investment Fund.</w:t>
      </w:r>
    </w:p>
  </w:footnote>
  <w:footnote w:id="31">
    <w:p w14:paraId="0EAF6977" w14:textId="77777777" w:rsidR="00A75A08" w:rsidRPr="00AD44DF" w:rsidRDefault="00A75A08">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OECD, 2012.</w:t>
      </w:r>
    </w:p>
  </w:footnote>
  <w:footnote w:id="32">
    <w:p w14:paraId="7A6DC4C8" w14:textId="77777777" w:rsidR="00A75A08" w:rsidRPr="00AD44DF" w:rsidRDefault="00A75A08">
      <w:pPr>
        <w:pStyle w:val="FootnoteText"/>
        <w:jc w:val="both"/>
        <w:rPr>
          <w:rFonts w:ascii="Garamond" w:hAnsi="Garamond"/>
          <w:sz w:val="20"/>
          <w:szCs w:val="20"/>
        </w:rPr>
      </w:pPr>
      <w:r w:rsidRPr="00E11370">
        <w:rPr>
          <w:rStyle w:val="FootnoteReference"/>
          <w:rFonts w:ascii="Garamond" w:hAnsi="Garamond"/>
          <w:sz w:val="20"/>
          <w:szCs w:val="20"/>
        </w:rPr>
        <w:footnoteRef/>
      </w:r>
      <w:r w:rsidRPr="00E11370">
        <w:rPr>
          <w:rFonts w:ascii="Garamond" w:hAnsi="Garamond"/>
          <w:sz w:val="20"/>
          <w:szCs w:val="20"/>
        </w:rPr>
        <w:t xml:space="preserve"> In April 2015, the World Bank’s Board of Directors approved a US$45 million project designed to improve Ghana’s budget management and strengthen credibility of the national budget; to support the design, development, implementation and coverage of the Government’s public financial management (PFM) systems and control; and to enhance external audit capacity and legislative oversight over budget management.</w:t>
      </w:r>
      <w:r>
        <w:rPr>
          <w:rFonts w:ascii="Garamond" w:hAnsi="Garamond"/>
          <w:sz w:val="20"/>
          <w:szCs w:val="20"/>
        </w:rPr>
        <w:t xml:space="preserve">  </w:t>
      </w:r>
    </w:p>
  </w:footnote>
  <w:footnote w:id="33">
    <w:p w14:paraId="60232297" w14:textId="77777777" w:rsidR="00A75A08" w:rsidRPr="00AD44DF" w:rsidRDefault="00A75A08">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IMF, 2016b.</w:t>
      </w:r>
    </w:p>
  </w:footnote>
  <w:footnote w:id="34">
    <w:p w14:paraId="3EF2F776"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The analysis presented in this chapter is based on James and Oppong (2016).</w:t>
      </w:r>
    </w:p>
  </w:footnote>
  <w:footnote w:id="35">
    <w:p w14:paraId="0A0C4655" w14:textId="77777777" w:rsidR="00A75A08" w:rsidRPr="00A964CF" w:rsidRDefault="00A75A08" w:rsidP="00D15C7D">
      <w:pPr>
        <w:pStyle w:val="FootnoteText"/>
        <w:rPr>
          <w:rFonts w:ascii="Garamond" w:hAnsi="Garamond"/>
        </w:rPr>
      </w:pPr>
      <w:r w:rsidRPr="00A964CF">
        <w:rPr>
          <w:rStyle w:val="FootnoteReference"/>
          <w:rFonts w:ascii="Garamond" w:hAnsi="Garamond"/>
        </w:rPr>
        <w:footnoteRef/>
      </w:r>
      <w:r w:rsidRPr="00A964CF">
        <w:rPr>
          <w:rFonts w:ascii="Garamond" w:hAnsi="Garamond"/>
        </w:rPr>
        <w:t xml:space="preserve"> </w:t>
      </w:r>
      <w:r>
        <w:rPr>
          <w:rFonts w:ascii="Garamond" w:hAnsi="Garamond"/>
        </w:rPr>
        <w:t>Exemptions result in revenue foregone which is a kind of ‘expenditure’ but as a result of the tax system. Hence, the revenue foregone is a ‘t</w:t>
      </w:r>
      <w:r w:rsidRPr="00A964CF">
        <w:rPr>
          <w:rFonts w:ascii="Garamond" w:hAnsi="Garamond"/>
        </w:rPr>
        <w:t xml:space="preserve">ax </w:t>
      </w:r>
      <w:r>
        <w:rPr>
          <w:rFonts w:ascii="Garamond" w:hAnsi="Garamond"/>
        </w:rPr>
        <w:t>e</w:t>
      </w:r>
      <w:r w:rsidRPr="00A964CF">
        <w:rPr>
          <w:rFonts w:ascii="Garamond" w:hAnsi="Garamond"/>
        </w:rPr>
        <w:t>xpenditure</w:t>
      </w:r>
      <w:r>
        <w:rPr>
          <w:rFonts w:ascii="Garamond" w:hAnsi="Garamond"/>
        </w:rPr>
        <w:t>’. The instruments used as well as the foregone revenue are both referred to here as ‘tax expenditures’</w:t>
      </w:r>
      <w:r w:rsidRPr="00A964CF">
        <w:rPr>
          <w:rFonts w:ascii="Garamond" w:hAnsi="Garamond"/>
        </w:rPr>
        <w:t xml:space="preserve"> </w:t>
      </w:r>
      <w:r>
        <w:rPr>
          <w:rFonts w:ascii="Garamond" w:hAnsi="Garamond"/>
        </w:rPr>
        <w:t>interchangeably.</w:t>
      </w:r>
    </w:p>
  </w:footnote>
  <w:footnote w:id="36">
    <w:p w14:paraId="13F2E3E7" w14:textId="77777777" w:rsidR="00A75A08" w:rsidRPr="00AD44DF"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Zee, Stotsky and Ley, 2001.</w:t>
      </w:r>
    </w:p>
  </w:footnote>
  <w:footnote w:id="37">
    <w:p w14:paraId="681DD128" w14:textId="77777777" w:rsidR="00A75A08" w:rsidRPr="00AD44DF"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These are Argentina, Australia, Brazil, Burundi, Canada, Chile, Colombia, Costa Rica, Denmark, Dominica, El Salvador, Finland, France, Gabon, Germany, Ghana, Grenada, Guatemala, India, Jamaica, Kenya, Indonesia, Italy, Japan, Kazakhstan, Kenya, Malaysia, Mexico, Morocco, Netherlands, New Zealand, Norway, Peru, Papua New Guinea, Philippines, Portugal, Russia, Rwanda, Senegal, Serbia, Slovakia, South Africa, South Korea, Spain, St. Kitts, St. Lucia, Sweden, Tanzania, Trinidad and Tobago, Tunisia, Turkey, Uganda, the United Kingdom, the United States and Zambia. Malaysia’s tax expenditures are not made public, and only initial estimates for Cambodia’s tax expenditures are available. See: Burton and Sadiq (2013).</w:t>
      </w:r>
    </w:p>
  </w:footnote>
  <w:footnote w:id="38">
    <w:p w14:paraId="5AEDED3B" w14:textId="77777777" w:rsidR="00A75A08" w:rsidRPr="00AD44DF"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Customs data include exemptions as recorded by the “trade net” system. Separate files were provided for each exemption category, with some gaps in the data for earlier years. The data include line-by-line details on imports and importers, including harmonized system codes and product descriptions, cost, insurance</w:t>
      </w:r>
      <w:r>
        <w:rPr>
          <w:rFonts w:ascii="Garamond" w:hAnsi="Garamond"/>
          <w:sz w:val="20"/>
          <w:szCs w:val="20"/>
        </w:rPr>
        <w:t>,</w:t>
      </w:r>
      <w:r w:rsidRPr="00AD44DF">
        <w:rPr>
          <w:rFonts w:ascii="Garamond" w:hAnsi="Garamond"/>
          <w:sz w:val="20"/>
          <w:szCs w:val="20"/>
        </w:rPr>
        <w:t xml:space="preserve"> and freight values, and both collected and exempted taxes.</w:t>
      </w:r>
    </w:p>
  </w:footnote>
  <w:footnote w:id="39">
    <w:p w14:paraId="74B2DA61" w14:textId="77777777" w:rsidR="00A75A08" w:rsidRPr="00AD44DF"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Some taxpayers may have been excluded from the analysis. For example, the available information on tax expenditure estimates for free-zone developers may be incomplete, as tax expenditure data based on tax returns are not collected electronically.</w:t>
      </w:r>
    </w:p>
  </w:footnote>
  <w:footnote w:id="40">
    <w:p w14:paraId="0C70B54D" w14:textId="77777777" w:rsidR="00A75A08" w:rsidRPr="00AD44DF"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Due to differences in methodology and possible data errors, the estimates in this analysis differ from those produced by the only other attempt to estimate tax expenditures in Ghana (see Annex </w:t>
      </w:r>
      <w:r>
        <w:rPr>
          <w:rFonts w:ascii="Garamond" w:hAnsi="Garamond"/>
          <w:sz w:val="20"/>
          <w:szCs w:val="20"/>
        </w:rPr>
        <w:t>2.2</w:t>
      </w:r>
      <w:r w:rsidRPr="00AD44DF">
        <w:rPr>
          <w:rFonts w:ascii="Garamond" w:hAnsi="Garamond"/>
          <w:sz w:val="20"/>
          <w:szCs w:val="20"/>
        </w:rPr>
        <w:t>).</w:t>
      </w:r>
    </w:p>
  </w:footnote>
  <w:footnote w:id="41">
    <w:p w14:paraId="5AE7FA67" w14:textId="77777777" w:rsidR="00A75A08" w:rsidRPr="00AD44DF"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In OECD countries, inputs related to cultural activities, healthcare</w:t>
      </w:r>
      <w:r>
        <w:rPr>
          <w:rFonts w:ascii="Garamond" w:hAnsi="Garamond"/>
          <w:sz w:val="20"/>
          <w:szCs w:val="20"/>
        </w:rPr>
        <w:t>,</w:t>
      </w:r>
      <w:r w:rsidRPr="00AD44DF">
        <w:rPr>
          <w:rFonts w:ascii="Garamond" w:hAnsi="Garamond"/>
          <w:sz w:val="20"/>
          <w:szCs w:val="20"/>
        </w:rPr>
        <w:t xml:space="preserve"> and charitable contributions most often benefit from exemptions. In Africa, VAT exemptions more often apply to the agriculture, education, transportation</w:t>
      </w:r>
      <w:r>
        <w:rPr>
          <w:rFonts w:ascii="Garamond" w:hAnsi="Garamond"/>
          <w:sz w:val="20"/>
          <w:szCs w:val="20"/>
        </w:rPr>
        <w:t>,</w:t>
      </w:r>
      <w:r w:rsidRPr="00AD44DF">
        <w:rPr>
          <w:rFonts w:ascii="Garamond" w:hAnsi="Garamond"/>
          <w:sz w:val="20"/>
          <w:szCs w:val="20"/>
        </w:rPr>
        <w:t xml:space="preserve"> and mining sectors. However, the health sector is treated similarly in Africa and the OECD.</w:t>
      </w:r>
    </w:p>
  </w:footnote>
  <w:footnote w:id="42">
    <w:p w14:paraId="20C346BB" w14:textId="77777777" w:rsidR="00A75A08" w:rsidRDefault="00A75A08"/>
    <w:p w14:paraId="107E1A70" w14:textId="77777777" w:rsidR="00A75A08" w:rsidRPr="00AD44DF" w:rsidRDefault="00A75A08" w:rsidP="00D15C7D">
      <w:pPr>
        <w:pStyle w:val="FootnoteText"/>
        <w:jc w:val="both"/>
        <w:rPr>
          <w:rFonts w:ascii="Garamond" w:hAnsi="Garamond"/>
          <w:sz w:val="20"/>
          <w:szCs w:val="20"/>
        </w:rPr>
      </w:pPr>
    </w:p>
  </w:footnote>
  <w:footnote w:id="43">
    <w:p w14:paraId="50C8E612" w14:textId="77777777" w:rsidR="00A75A08" w:rsidRPr="00AD44DF"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Alilio </w:t>
      </w:r>
      <w:r w:rsidRPr="00A05F41">
        <w:rPr>
          <w:rFonts w:ascii="Garamond" w:hAnsi="Garamond"/>
          <w:i/>
          <w:sz w:val="20"/>
          <w:szCs w:val="20"/>
        </w:rPr>
        <w:t>et al</w:t>
      </w:r>
      <w:r w:rsidRPr="00AD44DF">
        <w:rPr>
          <w:rFonts w:ascii="Garamond" w:hAnsi="Garamond"/>
          <w:sz w:val="20"/>
          <w:szCs w:val="20"/>
        </w:rPr>
        <w:t>., 2007.</w:t>
      </w:r>
    </w:p>
  </w:footnote>
  <w:footnote w:id="44">
    <w:p w14:paraId="462F20E6" w14:textId="77777777" w:rsidR="00A75A08" w:rsidRPr="00AD44DF"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Simon</w:t>
      </w:r>
      <w:r>
        <w:rPr>
          <w:rFonts w:ascii="Garamond" w:hAnsi="Garamond"/>
          <w:sz w:val="20"/>
          <w:szCs w:val="20"/>
        </w:rPr>
        <w:t xml:space="preserve"> </w:t>
      </w:r>
      <w:r w:rsidRPr="00A05F41">
        <w:rPr>
          <w:rFonts w:ascii="Garamond" w:hAnsi="Garamond"/>
          <w:i/>
          <w:sz w:val="20"/>
          <w:szCs w:val="20"/>
        </w:rPr>
        <w:t>et al</w:t>
      </w:r>
      <w:r>
        <w:rPr>
          <w:rFonts w:ascii="Garamond" w:hAnsi="Garamond"/>
          <w:sz w:val="20"/>
          <w:szCs w:val="20"/>
        </w:rPr>
        <w:t>.</w:t>
      </w:r>
      <w:r w:rsidRPr="00AD44DF">
        <w:rPr>
          <w:rFonts w:ascii="Garamond" w:hAnsi="Garamond"/>
          <w:sz w:val="20"/>
          <w:szCs w:val="20"/>
        </w:rPr>
        <w:t>, 2002.</w:t>
      </w:r>
    </w:p>
  </w:footnote>
  <w:footnote w:id="45">
    <w:p w14:paraId="190DE1A9" w14:textId="77777777" w:rsidR="00A75A08" w:rsidRPr="00AD44DF"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Africa Fighting Malaria, 2007. </w:t>
      </w:r>
    </w:p>
  </w:footnote>
  <w:footnote w:id="46">
    <w:p w14:paraId="4496DC86" w14:textId="77777777" w:rsidR="00A75A08" w:rsidRPr="00AD44DF"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w:t>
      </w:r>
      <w:r w:rsidRPr="00A05F41">
        <w:rPr>
          <w:rFonts w:ascii="Garamond" w:hAnsi="Garamond"/>
          <w:i/>
          <w:sz w:val="20"/>
          <w:szCs w:val="20"/>
        </w:rPr>
        <w:t>Ibid</w:t>
      </w:r>
      <w:r w:rsidRPr="00AD44DF">
        <w:rPr>
          <w:rFonts w:ascii="Garamond" w:hAnsi="Garamond"/>
          <w:sz w:val="20"/>
          <w:szCs w:val="20"/>
        </w:rPr>
        <w:t>.</w:t>
      </w:r>
    </w:p>
  </w:footnote>
  <w:footnote w:id="47">
    <w:p w14:paraId="6A96C922" w14:textId="77777777" w:rsidR="00A75A08" w:rsidRPr="00AD44DF"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“Special permits” refer to exemptions that are not included in the customs law and must be individually approved by Parliament. These are divided into two categories, “pending” and “approved.”</w:t>
      </w:r>
    </w:p>
  </w:footnote>
  <w:footnote w:id="48">
    <w:p w14:paraId="35AF0FFE" w14:textId="77777777" w:rsidR="00A75A08" w:rsidRPr="00AD44DF"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The 2012 data had significant gaps in most categories, and exemptions were estimated based on observed ratios from 2011 and 2013. This makes it difficult to compare 2012 exemptions with those of other years.  </w:t>
      </w:r>
    </w:p>
  </w:footnote>
  <w:footnote w:id="49">
    <w:p w14:paraId="180559AB" w14:textId="77777777" w:rsidR="00A75A08" w:rsidRPr="00AD44DF"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Per the classification system used by Ghana’s customs service, exemptions for the first eight months of 2015 reached GH¢ 1.35 billion, compared to a full-year total of GH¢ 1.2 billion in 2014 and GH¢ 1.46 billion in 2013.</w:t>
      </w:r>
    </w:p>
  </w:footnote>
  <w:footnote w:id="50">
    <w:p w14:paraId="204DB929" w14:textId="77777777" w:rsidR="00A75A08" w:rsidRPr="0026772B"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26772B">
        <w:rPr>
          <w:rFonts w:ascii="Garamond" w:hAnsi="Garamond"/>
          <w:sz w:val="20"/>
          <w:szCs w:val="20"/>
        </w:rPr>
        <w:t xml:space="preserve"> Madani and Mas-Guix, 2011. </w:t>
      </w:r>
    </w:p>
  </w:footnote>
  <w:footnote w:id="51">
    <w:p w14:paraId="60C50AAC" w14:textId="77777777" w:rsidR="00A75A08" w:rsidRPr="00AD44DF"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Africa Tax Spotlight, 2012; IMF, 2015</w:t>
      </w:r>
      <w:r>
        <w:rPr>
          <w:rFonts w:ascii="Garamond" w:hAnsi="Garamond"/>
          <w:sz w:val="20"/>
          <w:szCs w:val="20"/>
        </w:rPr>
        <w:t>.</w:t>
      </w:r>
    </w:p>
  </w:footnote>
  <w:footnote w:id="52">
    <w:p w14:paraId="02374BD8" w14:textId="77777777" w:rsidR="00A75A08" w:rsidRPr="00AD44DF" w:rsidRDefault="00A75A08" w:rsidP="00D15C7D">
      <w:pPr>
        <w:autoSpaceDE w:val="0"/>
        <w:autoSpaceDN w:val="0"/>
        <w:adjustRightInd w:val="0"/>
        <w:spacing w:after="0" w:line="240" w:lineRule="auto"/>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James, 2007.</w:t>
      </w:r>
    </w:p>
  </w:footnote>
  <w:footnote w:id="53">
    <w:p w14:paraId="1E654B67" w14:textId="77777777" w:rsidR="00A75A08" w:rsidRPr="00AD44DF"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World Bank Group, 2014.</w:t>
      </w:r>
    </w:p>
  </w:footnote>
  <w:footnote w:id="54">
    <w:p w14:paraId="2F0A6F29" w14:textId="77777777" w:rsidR="00A75A08" w:rsidRPr="00D53EB5" w:rsidRDefault="00A75A08">
      <w:pPr>
        <w:pStyle w:val="FootnoteText"/>
        <w:rPr>
          <w:rFonts w:ascii="Garamond" w:hAnsi="Garamond"/>
          <w:sz w:val="20"/>
          <w:szCs w:val="20"/>
        </w:rPr>
      </w:pPr>
      <w:r>
        <w:rPr>
          <w:rStyle w:val="FootnoteReference"/>
        </w:rPr>
        <w:footnoteRef/>
      </w:r>
      <w:r>
        <w:t xml:space="preserve"> </w:t>
      </w:r>
      <w:r>
        <w:rPr>
          <w:rFonts w:ascii="Garamond" w:hAnsi="Garamond"/>
          <w:sz w:val="20"/>
          <w:szCs w:val="20"/>
        </w:rPr>
        <w:t>E</w:t>
      </w:r>
      <w:r w:rsidRPr="00D53EB5">
        <w:rPr>
          <w:rFonts w:ascii="Garamond" w:hAnsi="Garamond"/>
          <w:sz w:val="20"/>
          <w:szCs w:val="20"/>
        </w:rPr>
        <w:t>nterprises within the free zone enclave</w:t>
      </w:r>
      <w:r>
        <w:rPr>
          <w:rFonts w:ascii="Garamond" w:hAnsi="Garamond"/>
          <w:sz w:val="20"/>
          <w:szCs w:val="20"/>
        </w:rPr>
        <w:t>.</w:t>
      </w:r>
    </w:p>
  </w:footnote>
  <w:footnote w:id="55">
    <w:p w14:paraId="3E573FFA" w14:textId="77777777" w:rsidR="00A75A08" w:rsidRPr="00AD44DF"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IMF, 2015.</w:t>
      </w:r>
    </w:p>
  </w:footnote>
  <w:footnote w:id="56">
    <w:p w14:paraId="343E299F" w14:textId="77777777" w:rsidR="00A75A08" w:rsidRPr="00AD44DF"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w:t>
      </w:r>
      <w:r w:rsidRPr="00A05F41">
        <w:rPr>
          <w:rFonts w:ascii="Garamond" w:hAnsi="Garamond"/>
          <w:i/>
          <w:sz w:val="20"/>
          <w:szCs w:val="20"/>
        </w:rPr>
        <w:t>Ibid</w:t>
      </w:r>
      <w:r w:rsidRPr="00AD44DF">
        <w:rPr>
          <w:rFonts w:ascii="Garamond" w:hAnsi="Garamond"/>
          <w:sz w:val="20"/>
          <w:szCs w:val="20"/>
        </w:rPr>
        <w:t>.</w:t>
      </w:r>
    </w:p>
  </w:footnote>
  <w:footnote w:id="57">
    <w:p w14:paraId="4FCF7D65" w14:textId="77777777" w:rsidR="00A75A08" w:rsidRPr="00AD44DF" w:rsidRDefault="00A75A08" w:rsidP="00D15C7D">
      <w:pPr>
        <w:spacing w:after="0" w:line="240" w:lineRule="auto"/>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w:t>
      </w:r>
      <w:r w:rsidRPr="00A05F41">
        <w:rPr>
          <w:rFonts w:ascii="Garamond" w:hAnsi="Garamond"/>
          <w:i/>
          <w:sz w:val="20"/>
          <w:szCs w:val="20"/>
        </w:rPr>
        <w:t>Ibid</w:t>
      </w:r>
      <w:r w:rsidRPr="00AD44DF">
        <w:rPr>
          <w:rFonts w:ascii="Garamond" w:hAnsi="Garamond"/>
          <w:sz w:val="20"/>
          <w:szCs w:val="20"/>
        </w:rPr>
        <w:t>.</w:t>
      </w:r>
    </w:p>
  </w:footnote>
  <w:footnote w:id="58">
    <w:p w14:paraId="660A7437" w14:textId="77777777" w:rsidR="00A75A08" w:rsidRPr="00AD44DF" w:rsidRDefault="00A75A08" w:rsidP="00D15C7D">
      <w:pPr>
        <w:spacing w:after="0" w:line="240" w:lineRule="auto"/>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USAID/RCSA, 2004.</w:t>
      </w:r>
    </w:p>
  </w:footnote>
  <w:footnote w:id="59">
    <w:p w14:paraId="3A194ABB" w14:textId="77777777" w:rsidR="00A75A08" w:rsidRPr="00AD44DF"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Between 1987 and 2007 the number of countries that had established at least one special economic zone rose by 182 percent, while the total number of such zones increased by almost 1,900 percent, from 176 to 3,500. China’s free zones are estimated to have boosted FDI and economic growth by an average of 7 and 12 percent per year on average, respectively. However, similar effects have not been replicated in Africa.</w:t>
      </w:r>
    </w:p>
  </w:footnote>
  <w:footnote w:id="60">
    <w:p w14:paraId="7754BF39" w14:textId="77777777" w:rsidR="00A75A08" w:rsidRPr="0026772B" w:rsidRDefault="00A75A08" w:rsidP="00D15C7D">
      <w:pPr>
        <w:spacing w:after="0" w:line="240" w:lineRule="auto"/>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IMF, 2015.</w:t>
      </w:r>
    </w:p>
  </w:footnote>
  <w:footnote w:id="61">
    <w:p w14:paraId="0938DF01" w14:textId="77777777" w:rsidR="00A75A08" w:rsidRPr="0026772B"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26772B">
        <w:rPr>
          <w:rFonts w:ascii="Garamond" w:hAnsi="Garamond"/>
          <w:sz w:val="20"/>
          <w:szCs w:val="20"/>
        </w:rPr>
        <w:t xml:space="preserve"> ActionAid, 2015.</w:t>
      </w:r>
    </w:p>
  </w:footnote>
  <w:footnote w:id="62">
    <w:p w14:paraId="65CFCF0D" w14:textId="77777777" w:rsidR="00A75A08" w:rsidRPr="0026772B"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26772B">
        <w:rPr>
          <w:rFonts w:ascii="Garamond" w:hAnsi="Garamond"/>
          <w:sz w:val="20"/>
          <w:szCs w:val="20"/>
        </w:rPr>
        <w:t xml:space="preserve"> Zeng D.Z., 2015. </w:t>
      </w:r>
    </w:p>
  </w:footnote>
  <w:footnote w:id="63">
    <w:p w14:paraId="70470D92" w14:textId="77777777" w:rsidR="00A75A08" w:rsidRPr="0026772B"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26772B">
        <w:rPr>
          <w:rFonts w:ascii="Garamond" w:hAnsi="Garamond"/>
          <w:sz w:val="20"/>
          <w:szCs w:val="20"/>
        </w:rPr>
        <w:t xml:space="preserve"> </w:t>
      </w:r>
      <w:r w:rsidRPr="0026772B">
        <w:rPr>
          <w:rFonts w:ascii="Garamond" w:hAnsi="Garamond"/>
          <w:i/>
          <w:sz w:val="20"/>
          <w:szCs w:val="20"/>
        </w:rPr>
        <w:t>Ibid</w:t>
      </w:r>
      <w:r w:rsidRPr="0026772B">
        <w:rPr>
          <w:rFonts w:ascii="Garamond" w:hAnsi="Garamond"/>
          <w:sz w:val="20"/>
          <w:szCs w:val="20"/>
        </w:rPr>
        <w:t>.</w:t>
      </w:r>
    </w:p>
  </w:footnote>
  <w:footnote w:id="64">
    <w:p w14:paraId="70E090CC" w14:textId="77777777" w:rsidR="00A75A08" w:rsidRPr="0026772B"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26772B">
        <w:rPr>
          <w:rFonts w:ascii="Garamond" w:hAnsi="Garamond"/>
          <w:sz w:val="20"/>
          <w:szCs w:val="20"/>
        </w:rPr>
        <w:t xml:space="preserve"> IMF, 2015.</w:t>
      </w:r>
    </w:p>
  </w:footnote>
  <w:footnote w:id="65">
    <w:p w14:paraId="721FDE90" w14:textId="77777777" w:rsidR="00A75A08" w:rsidRPr="0026772B"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26772B">
        <w:rPr>
          <w:rFonts w:ascii="Garamond" w:hAnsi="Garamond"/>
          <w:sz w:val="20"/>
          <w:szCs w:val="20"/>
        </w:rPr>
        <w:t xml:space="preserve"> USAID/RCSA, 2004.</w:t>
      </w:r>
    </w:p>
  </w:footnote>
  <w:footnote w:id="66">
    <w:p w14:paraId="4BAA2F46" w14:textId="77777777" w:rsidR="00A75A08" w:rsidRPr="0026772B"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26772B">
        <w:rPr>
          <w:rFonts w:ascii="Garamond" w:hAnsi="Garamond"/>
          <w:sz w:val="20"/>
          <w:szCs w:val="20"/>
        </w:rPr>
        <w:t xml:space="preserve"> Minh, 2003.</w:t>
      </w:r>
    </w:p>
  </w:footnote>
  <w:footnote w:id="67">
    <w:p w14:paraId="5AE47F19" w14:textId="77777777" w:rsidR="00A75A08" w:rsidRPr="0026772B"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26772B">
        <w:rPr>
          <w:rFonts w:ascii="Garamond" w:hAnsi="Garamond"/>
          <w:sz w:val="20"/>
          <w:szCs w:val="20"/>
        </w:rPr>
        <w:t xml:space="preserve"> </w:t>
      </w:r>
      <w:r w:rsidRPr="0026772B">
        <w:rPr>
          <w:rFonts w:ascii="Garamond" w:hAnsi="Garamond"/>
          <w:i/>
          <w:sz w:val="20"/>
          <w:szCs w:val="20"/>
        </w:rPr>
        <w:t>Ibid</w:t>
      </w:r>
      <w:r w:rsidRPr="0026772B">
        <w:rPr>
          <w:rFonts w:ascii="Garamond" w:hAnsi="Garamond"/>
          <w:sz w:val="20"/>
          <w:szCs w:val="20"/>
        </w:rPr>
        <w:t>.</w:t>
      </w:r>
    </w:p>
  </w:footnote>
  <w:footnote w:id="68">
    <w:p w14:paraId="0AECC6CA" w14:textId="77777777" w:rsidR="00A75A08" w:rsidRPr="0026772B"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26772B">
        <w:rPr>
          <w:rFonts w:ascii="Garamond" w:hAnsi="Garamond"/>
          <w:sz w:val="20"/>
          <w:szCs w:val="20"/>
        </w:rPr>
        <w:t xml:space="preserve"> USAID/RCSA, 2004.</w:t>
      </w:r>
    </w:p>
  </w:footnote>
  <w:footnote w:id="69">
    <w:p w14:paraId="3892EBA8" w14:textId="77777777" w:rsidR="00A75A08" w:rsidRPr="0026772B"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26772B">
        <w:rPr>
          <w:rFonts w:ascii="Garamond" w:hAnsi="Garamond"/>
          <w:sz w:val="20"/>
          <w:szCs w:val="20"/>
        </w:rPr>
        <w:t xml:space="preserve"> </w:t>
      </w:r>
      <w:r w:rsidRPr="0026772B">
        <w:rPr>
          <w:rFonts w:ascii="Garamond" w:hAnsi="Garamond"/>
          <w:i/>
          <w:sz w:val="20"/>
          <w:szCs w:val="20"/>
        </w:rPr>
        <w:t>Ibid</w:t>
      </w:r>
      <w:r w:rsidRPr="0026772B">
        <w:rPr>
          <w:rFonts w:ascii="Garamond" w:hAnsi="Garamond"/>
          <w:sz w:val="20"/>
          <w:szCs w:val="20"/>
        </w:rPr>
        <w:t>.</w:t>
      </w:r>
    </w:p>
  </w:footnote>
  <w:footnote w:id="70">
    <w:p w14:paraId="77674F50" w14:textId="77777777" w:rsidR="00A75A08" w:rsidRPr="0026772B" w:rsidRDefault="00A75A08" w:rsidP="00D15C7D">
      <w:pPr>
        <w:autoSpaceDE w:val="0"/>
        <w:autoSpaceDN w:val="0"/>
        <w:adjustRightInd w:val="0"/>
        <w:spacing w:after="0" w:line="240" w:lineRule="auto"/>
        <w:jc w:val="both"/>
        <w:rPr>
          <w:rFonts w:ascii="Garamond" w:hAnsi="Garamond"/>
          <w:sz w:val="20"/>
          <w:szCs w:val="20"/>
        </w:rPr>
      </w:pPr>
      <w:r w:rsidRPr="00AD44DF">
        <w:rPr>
          <w:rStyle w:val="FootnoteReference"/>
          <w:rFonts w:ascii="Garamond" w:hAnsi="Garamond"/>
          <w:sz w:val="20"/>
          <w:szCs w:val="20"/>
        </w:rPr>
        <w:footnoteRef/>
      </w:r>
      <w:r w:rsidRPr="0026772B">
        <w:rPr>
          <w:rFonts w:ascii="Garamond" w:hAnsi="Garamond"/>
          <w:sz w:val="20"/>
          <w:szCs w:val="20"/>
        </w:rPr>
        <w:t xml:space="preserve"> </w:t>
      </w:r>
      <w:r w:rsidRPr="0026772B">
        <w:rPr>
          <w:rFonts w:ascii="Garamond" w:hAnsi="Garamond" w:cs="SegoeUI"/>
          <w:sz w:val="20"/>
          <w:szCs w:val="20"/>
        </w:rPr>
        <w:t xml:space="preserve">James, 2014. </w:t>
      </w:r>
    </w:p>
  </w:footnote>
  <w:footnote w:id="71">
    <w:p w14:paraId="515AB49C" w14:textId="77777777" w:rsidR="00A75A08" w:rsidRPr="00AD44DF"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Van Parys and James, 2010.</w:t>
      </w:r>
    </w:p>
  </w:footnote>
  <w:footnote w:id="72">
    <w:p w14:paraId="1FCFAAF4" w14:textId="77777777" w:rsidR="00A75A08" w:rsidRPr="00AD44DF" w:rsidRDefault="00A75A08" w:rsidP="00D15C7D">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OECD, 2013. </w:t>
      </w:r>
    </w:p>
  </w:footnote>
  <w:footnote w:id="73">
    <w:p w14:paraId="7CDE03CA"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Ghana Stock Exchange. “Profile of listed companies”. Accessed at </w:t>
      </w:r>
      <w:hyperlink r:id="rId2" w:history="1">
        <w:r w:rsidRPr="00AD44DF">
          <w:rPr>
            <w:rStyle w:val="Hyperlink"/>
            <w:rFonts w:ascii="Garamond" w:hAnsi="Garamond"/>
            <w:sz w:val="20"/>
            <w:szCs w:val="20"/>
          </w:rPr>
          <w:t>http://www.gse.com.gh/index1.php?linkid=46</w:t>
        </w:r>
      </w:hyperlink>
      <w:r w:rsidRPr="00AD44DF">
        <w:rPr>
          <w:rFonts w:ascii="Garamond" w:hAnsi="Garamond"/>
          <w:sz w:val="20"/>
          <w:szCs w:val="20"/>
        </w:rPr>
        <w:t xml:space="preserve"> </w:t>
      </w:r>
    </w:p>
  </w:footnote>
  <w:footnote w:id="74">
    <w:p w14:paraId="6C446294"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Tullow Oil plc. “2011 full year results” (14 March 2012). Accessed at </w:t>
      </w:r>
      <w:hyperlink r:id="rId3" w:history="1">
        <w:r w:rsidRPr="00AD44DF">
          <w:rPr>
            <w:rStyle w:val="Hyperlink"/>
            <w:rFonts w:ascii="Garamond" w:hAnsi="Garamond"/>
            <w:sz w:val="20"/>
            <w:szCs w:val="20"/>
          </w:rPr>
          <w:t>http://www.tullowoil.com/Media/docs/default-source/3_investors/2011-tullow-full-year-results-report.pdf?sfvrsn=2</w:t>
        </w:r>
      </w:hyperlink>
      <w:r w:rsidRPr="00AD44DF">
        <w:rPr>
          <w:rFonts w:ascii="Garamond" w:hAnsi="Garamond"/>
          <w:sz w:val="20"/>
          <w:szCs w:val="20"/>
        </w:rPr>
        <w:t xml:space="preserve"> </w:t>
      </w:r>
    </w:p>
  </w:footnote>
  <w:footnote w:id="75">
    <w:p w14:paraId="1686ADE5" w14:textId="77777777" w:rsidR="00A75A08" w:rsidRPr="00AD44DF" w:rsidRDefault="00A75A08" w:rsidP="00AD44DF">
      <w:pPr>
        <w:pStyle w:val="NoSpacing"/>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Unless otherwise stated, “the wage bill” refers to public sector wages, salaries</w:t>
      </w:r>
      <w:r>
        <w:rPr>
          <w:rFonts w:ascii="Garamond" w:hAnsi="Garamond"/>
          <w:sz w:val="20"/>
          <w:szCs w:val="20"/>
        </w:rPr>
        <w:t>,</w:t>
      </w:r>
      <w:r w:rsidRPr="00AD44DF">
        <w:rPr>
          <w:rFonts w:ascii="Garamond" w:hAnsi="Garamond"/>
          <w:sz w:val="20"/>
          <w:szCs w:val="20"/>
        </w:rPr>
        <w:t xml:space="preserve"> and allowances, including deferred wage payments recorded in the budget. In this context</w:t>
      </w:r>
      <w:r>
        <w:rPr>
          <w:rFonts w:ascii="Garamond" w:hAnsi="Garamond"/>
          <w:sz w:val="20"/>
          <w:szCs w:val="20"/>
        </w:rPr>
        <w:t>,</w:t>
      </w:r>
      <w:r w:rsidRPr="00AD44DF">
        <w:rPr>
          <w:rFonts w:ascii="Garamond" w:hAnsi="Garamond"/>
          <w:sz w:val="20"/>
          <w:szCs w:val="20"/>
        </w:rPr>
        <w:t xml:space="preserve"> the public sector includes the central government as defined in the 1992 Constitution, and the public sector workforce comprises workers in all branches of the public administration, including noncommercial public enterprises. As a result, the wage data used in this analysis are slightly more comprehensive than those included in the budget. </w:t>
      </w:r>
    </w:p>
  </w:footnote>
  <w:footnote w:id="76">
    <w:p w14:paraId="47C9F3D9"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Ghana Statistical Service (GSS). 2006 and 2013. ‘Ghana Living Standards Survey’. The 2005/06 GLSS sampled 39,001 respondents between the ages of 15 and 65, and the 2012/13 GLSS sampled 19,974.</w:t>
      </w:r>
    </w:p>
  </w:footnote>
  <w:footnote w:id="77">
    <w:p w14:paraId="299C9484"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Joint Review of Public Expenditure and Financial Management, October 2011.</w:t>
      </w:r>
    </w:p>
  </w:footnote>
  <w:footnote w:id="78">
    <w:p w14:paraId="76FA46C5"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IMF, 2015: p.5.</w:t>
      </w:r>
    </w:p>
  </w:footnote>
  <w:footnote w:id="79">
    <w:p w14:paraId="7A79E3F5"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Republic of Ghana, 2009.</w:t>
      </w:r>
    </w:p>
  </w:footnote>
  <w:footnote w:id="80">
    <w:p w14:paraId="312B1987"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Armstrong and Brown, 2001; Armstrong and Murlis, 2005; Armstrong, 2009.</w:t>
      </w:r>
    </w:p>
  </w:footnote>
  <w:footnote w:id="81">
    <w:p w14:paraId="5D7F1CB1" w14:textId="77777777" w:rsidR="00A75A08" w:rsidRPr="00AD44DF" w:rsidRDefault="00A75A08" w:rsidP="00AD44DF">
      <w:pPr>
        <w:pStyle w:val="NoSpacing"/>
        <w:jc w:val="both"/>
        <w:rPr>
          <w:rFonts w:ascii="Garamond" w:hAnsi="Garamond"/>
          <w:sz w:val="20"/>
          <w:szCs w:val="20"/>
        </w:rPr>
      </w:pPr>
      <w:r w:rsidRPr="00AD44DF">
        <w:rPr>
          <w:rStyle w:val="FootnoteReference"/>
          <w:rFonts w:ascii="Garamond" w:hAnsi="Garamond" w:cs="Times New Roman"/>
          <w:sz w:val="20"/>
          <w:szCs w:val="20"/>
        </w:rPr>
        <w:footnoteRef/>
      </w:r>
      <w:r w:rsidRPr="00AD44DF">
        <w:rPr>
          <w:rFonts w:ascii="Garamond" w:hAnsi="Garamond"/>
          <w:sz w:val="20"/>
          <w:szCs w:val="20"/>
        </w:rPr>
        <w:t xml:space="preserve"> </w:t>
      </w:r>
      <w:r w:rsidRPr="00AD44DF">
        <w:rPr>
          <w:rFonts w:ascii="Garamond" w:hAnsi="Garamond"/>
          <w:i/>
          <w:sz w:val="20"/>
          <w:szCs w:val="20"/>
        </w:rPr>
        <w:t>Modern Ghana</w:t>
      </w:r>
      <w:r w:rsidRPr="00AD44DF">
        <w:rPr>
          <w:rFonts w:ascii="Garamond" w:hAnsi="Garamond"/>
          <w:sz w:val="20"/>
          <w:szCs w:val="20"/>
        </w:rPr>
        <w:t xml:space="preserve">, 2007. </w:t>
      </w:r>
    </w:p>
  </w:footnote>
  <w:footnote w:id="82">
    <w:p w14:paraId="707CAB88"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Republic of Ghana, 2009.</w:t>
      </w:r>
    </w:p>
  </w:footnote>
  <w:footnote w:id="83">
    <w:p w14:paraId="79CD7C8F" w14:textId="77777777" w:rsidR="00A75A08" w:rsidRPr="00AD44DF" w:rsidRDefault="00A75A08" w:rsidP="00AD44DF">
      <w:pPr>
        <w:pStyle w:val="NoSpacing"/>
        <w:jc w:val="both"/>
        <w:rPr>
          <w:rFonts w:ascii="Garamond" w:hAnsi="Garamond"/>
          <w:sz w:val="20"/>
          <w:szCs w:val="20"/>
        </w:rPr>
      </w:pPr>
      <w:r w:rsidRPr="00AD44DF">
        <w:rPr>
          <w:rStyle w:val="FootnoteReference"/>
          <w:rFonts w:ascii="Garamond" w:hAnsi="Garamond" w:cs="Times New Roman"/>
          <w:sz w:val="20"/>
          <w:szCs w:val="20"/>
        </w:rPr>
        <w:footnoteRef/>
      </w:r>
      <w:r w:rsidRPr="00AD44DF">
        <w:rPr>
          <w:rFonts w:ascii="Garamond" w:hAnsi="Garamond"/>
          <w:sz w:val="20"/>
          <w:szCs w:val="20"/>
        </w:rPr>
        <w:t xml:space="preserve"> </w:t>
      </w:r>
      <w:r w:rsidRPr="00AD44DF">
        <w:rPr>
          <w:rFonts w:ascii="Garamond" w:hAnsi="Garamond"/>
          <w:i/>
          <w:sz w:val="20"/>
          <w:szCs w:val="20"/>
        </w:rPr>
        <w:t>Trading Economics</w:t>
      </w:r>
      <w:r w:rsidRPr="00AD44DF">
        <w:rPr>
          <w:rFonts w:ascii="Garamond" w:hAnsi="Garamond"/>
          <w:sz w:val="20"/>
          <w:szCs w:val="20"/>
        </w:rPr>
        <w:t>, 2016; Bloomberg, 2014; GhanaWeb, 2016a.</w:t>
      </w:r>
    </w:p>
  </w:footnote>
  <w:footnote w:id="84">
    <w:p w14:paraId="5B307967"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The earlier system was known as the Ghana Universal Salary Structure, or GUSS.</w:t>
      </w:r>
    </w:p>
  </w:footnote>
  <w:footnote w:id="85">
    <w:p w14:paraId="6DAE3D35"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This information is based on interviews with officials at the Ghana Education Service.</w:t>
      </w:r>
    </w:p>
  </w:footnote>
  <w:footnote w:id="86">
    <w:p w14:paraId="506EFD75"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These include the Civil Service, the Judicial Service, the Audit Service, the Education Service, the Prisons Service, the Parliamentary Service, the Health Service, the Statistical Service, the National Fire Service, the Customs, Excise and Preventive Service, the Internal Revenue Service, the Immigration Service, the Legal Service and the Local Government Service.</w:t>
      </w:r>
    </w:p>
  </w:footnote>
  <w:footnote w:id="87">
    <w:p w14:paraId="4CFE5E39"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Republic of Ghana, 1992 and 2009. </w:t>
      </w:r>
    </w:p>
  </w:footnote>
  <w:footnote w:id="88">
    <w:p w14:paraId="5571A00D"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cs="Times New Roman"/>
          <w:sz w:val="20"/>
          <w:szCs w:val="20"/>
        </w:rPr>
        <w:footnoteRef/>
      </w:r>
      <w:r w:rsidRPr="00AD44DF">
        <w:rPr>
          <w:rFonts w:ascii="Garamond" w:hAnsi="Garamond"/>
          <w:sz w:val="20"/>
          <w:szCs w:val="20"/>
        </w:rPr>
        <w:t xml:space="preserve"> Ghana Broadcasting Corporation, 2016.</w:t>
      </w:r>
    </w:p>
  </w:footnote>
  <w:footnote w:id="89">
    <w:p w14:paraId="0315E96B" w14:textId="77777777" w:rsidR="00A75A08" w:rsidRPr="00AD44DF" w:rsidRDefault="00A75A08" w:rsidP="00AD44DF">
      <w:pPr>
        <w:pStyle w:val="NoSpacing"/>
        <w:jc w:val="both"/>
        <w:rPr>
          <w:rFonts w:ascii="Garamond" w:hAnsi="Garamond"/>
          <w:sz w:val="20"/>
          <w:szCs w:val="20"/>
        </w:rPr>
      </w:pPr>
      <w:r w:rsidRPr="00AD44DF">
        <w:rPr>
          <w:rStyle w:val="FootnoteReference"/>
          <w:rFonts w:ascii="Garamond" w:hAnsi="Garamond" w:cs="Times New Roman"/>
          <w:sz w:val="20"/>
          <w:szCs w:val="20"/>
        </w:rPr>
        <w:footnoteRef/>
      </w:r>
      <w:r w:rsidRPr="00AD44DF">
        <w:rPr>
          <w:rFonts w:ascii="Garamond" w:hAnsi="Garamond"/>
          <w:sz w:val="20"/>
          <w:szCs w:val="20"/>
        </w:rPr>
        <w:t xml:space="preserve"> Though it is financed from the Consolidated Fund, the Audit Service has appealled its inclusion in the SSSS to the courts, arguing that the system would compromise the independence of the Auditor General as established in the 1992 Constitution. </w:t>
      </w:r>
    </w:p>
  </w:footnote>
  <w:footnote w:id="90">
    <w:p w14:paraId="7AA8676A"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Ghana Revenue Authority Act, Act 791 of 2009</w:t>
      </w:r>
    </w:p>
  </w:footnote>
  <w:footnote w:id="91">
    <w:p w14:paraId="29943A88" w14:textId="77777777" w:rsidR="00A75A08" w:rsidRPr="00AD44DF" w:rsidRDefault="00A75A08" w:rsidP="00AD44DF">
      <w:pPr>
        <w:pStyle w:val="NoSpacing"/>
        <w:jc w:val="both"/>
        <w:rPr>
          <w:rFonts w:ascii="Garamond" w:hAnsi="Garamond"/>
          <w:sz w:val="20"/>
          <w:szCs w:val="20"/>
        </w:rPr>
      </w:pPr>
      <w:r w:rsidRPr="00AD44DF">
        <w:rPr>
          <w:rStyle w:val="FootnoteReference"/>
          <w:rFonts w:ascii="Garamond" w:hAnsi="Garamond" w:cs="Times New Roman"/>
          <w:sz w:val="20"/>
          <w:szCs w:val="20"/>
        </w:rPr>
        <w:footnoteRef/>
      </w:r>
      <w:r w:rsidRPr="00AD44DF">
        <w:rPr>
          <w:rFonts w:ascii="Garamond" w:hAnsi="Garamond"/>
          <w:sz w:val="20"/>
          <w:szCs w:val="20"/>
        </w:rPr>
        <w:t xml:space="preserve"> However, the State Enterprises Commission, which oversees public corporations, has adopted the SSSS.</w:t>
      </w:r>
    </w:p>
  </w:footnote>
  <w:footnote w:id="92">
    <w:p w14:paraId="369648E6"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Article 71 office</w:t>
      </w:r>
      <w:r>
        <w:rPr>
          <w:rFonts w:ascii="Garamond" w:hAnsi="Garamond"/>
          <w:sz w:val="20"/>
          <w:szCs w:val="20"/>
        </w:rPr>
        <w:t>-</w:t>
      </w:r>
      <w:r w:rsidRPr="00AD44DF">
        <w:rPr>
          <w:rFonts w:ascii="Garamond" w:hAnsi="Garamond"/>
          <w:sz w:val="20"/>
          <w:szCs w:val="20"/>
        </w:rPr>
        <w:t>holders include the President, the Vice President, the Chairman and Members of the Council of State; Ministers and their Deputies; the Speaker and Deputy Speakers of Parliament, Members of Parliament; the Chief Justice and other Justices of the Superior Court of Judicature; the Chairman and Deputy Chairmen of the Electoral Commission; the Auditor General; Commissioner for Human Rights and Administrative Justice and his deputies; District Assemblies Common Fund Administrator; the Chairman, Vice-Chairman and the other members of the National Council for Tertiary Education, Public Services Commission, National Media Commission, Lands Commission and National Commission for Civic Education.</w:t>
      </w:r>
    </w:p>
  </w:footnote>
  <w:footnote w:id="93">
    <w:p w14:paraId="3E77830F" w14:textId="77777777" w:rsidR="00A75A08" w:rsidRPr="00AD44DF" w:rsidRDefault="00A75A08" w:rsidP="00D16D13">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Formi and Novta, 2014.</w:t>
      </w:r>
    </w:p>
  </w:footnote>
  <w:footnote w:id="94">
    <w:p w14:paraId="3318CA12"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w:t>
      </w:r>
      <w:r w:rsidRPr="00AD44DF">
        <w:rPr>
          <w:rFonts w:ascii="Garamond" w:hAnsi="Garamond"/>
          <w:i/>
          <w:sz w:val="20"/>
          <w:szCs w:val="20"/>
        </w:rPr>
        <w:t>Ibid</w:t>
      </w:r>
      <w:r w:rsidRPr="00AD44DF">
        <w:rPr>
          <w:rFonts w:ascii="Garamond" w:hAnsi="Garamond"/>
          <w:sz w:val="20"/>
          <w:szCs w:val="20"/>
        </w:rPr>
        <w:t>.</w:t>
      </w:r>
    </w:p>
  </w:footnote>
  <w:footnote w:id="95">
    <w:p w14:paraId="590CECBA"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Guelfi, 2015.</w:t>
      </w:r>
    </w:p>
  </w:footnote>
  <w:footnote w:id="96">
    <w:p w14:paraId="5FE293C1"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Republic of Ghana/United Nations Development Programme, 2015.</w:t>
      </w:r>
    </w:p>
  </w:footnote>
  <w:footnote w:id="97">
    <w:p w14:paraId="124B3A71"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cs="Times New Roman"/>
          <w:sz w:val="20"/>
          <w:szCs w:val="20"/>
        </w:rPr>
        <w:footnoteRef/>
      </w:r>
      <w:r w:rsidRPr="00AD44DF">
        <w:rPr>
          <w:rFonts w:ascii="Garamond" w:hAnsi="Garamond"/>
          <w:sz w:val="20"/>
          <w:szCs w:val="20"/>
        </w:rPr>
        <w:t xml:space="preserve"> IMF, 2016. </w:t>
      </w:r>
    </w:p>
  </w:footnote>
  <w:footnote w:id="98">
    <w:p w14:paraId="6B0DC708" w14:textId="67468C90"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cs="Times New Roman"/>
          <w:sz w:val="20"/>
          <w:szCs w:val="20"/>
        </w:rPr>
        <w:footnoteRef/>
      </w:r>
      <w:r w:rsidRPr="00AD44DF">
        <w:rPr>
          <w:rFonts w:ascii="Garamond" w:hAnsi="Garamond"/>
          <w:sz w:val="20"/>
          <w:szCs w:val="20"/>
        </w:rPr>
        <w:t xml:space="preserve"> These figures come from the Report of the Auditor-General on the Public Accounts of Ghana for December 2012, which was under discussion by the Public Accounts Committee of Parliament in 2016.</w:t>
      </w:r>
    </w:p>
  </w:footnote>
  <w:footnote w:id="99">
    <w:p w14:paraId="0A9970C6" w14:textId="77777777" w:rsidR="00A75A08" w:rsidRPr="00AD44DF" w:rsidRDefault="00A75A08" w:rsidP="00AD44DF">
      <w:pPr>
        <w:pStyle w:val="NoSpacing"/>
        <w:jc w:val="both"/>
        <w:rPr>
          <w:rFonts w:ascii="Garamond" w:hAnsi="Garamond"/>
          <w:sz w:val="20"/>
          <w:szCs w:val="20"/>
        </w:rPr>
      </w:pPr>
      <w:r w:rsidRPr="00AD44DF">
        <w:rPr>
          <w:rStyle w:val="FootnoteReference"/>
          <w:rFonts w:ascii="Garamond" w:hAnsi="Garamond" w:cs="Times New Roman"/>
          <w:sz w:val="20"/>
          <w:szCs w:val="20"/>
        </w:rPr>
        <w:footnoteRef/>
      </w:r>
      <w:r w:rsidRPr="00AD44DF">
        <w:rPr>
          <w:rFonts w:ascii="Garamond" w:hAnsi="Garamond"/>
          <w:sz w:val="20"/>
          <w:szCs w:val="20"/>
        </w:rPr>
        <w:t xml:space="preserve"> Myjoyonline, 2016.</w:t>
      </w:r>
    </w:p>
  </w:footnote>
  <w:footnote w:id="100">
    <w:p w14:paraId="3B8820F0"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In Ghana, the term “subvented” refers to organizations that are publicly financed but not part of the central government, such as national universities. </w:t>
      </w:r>
    </w:p>
  </w:footnote>
  <w:footnote w:id="101">
    <w:p w14:paraId="70647C30" w14:textId="77777777" w:rsidR="00A75A08" w:rsidRPr="00AD44DF" w:rsidRDefault="00A75A08" w:rsidP="00AD44DF">
      <w:pPr>
        <w:pStyle w:val="NoSpacing"/>
        <w:jc w:val="both"/>
        <w:rPr>
          <w:rFonts w:ascii="Garamond" w:hAnsi="Garamond"/>
          <w:sz w:val="20"/>
          <w:szCs w:val="20"/>
        </w:rPr>
      </w:pPr>
      <w:r w:rsidRPr="00AD44DF">
        <w:rPr>
          <w:rStyle w:val="FootnoteReference"/>
          <w:rFonts w:ascii="Garamond" w:hAnsi="Garamond" w:cs="Times New Roman"/>
          <w:sz w:val="20"/>
          <w:szCs w:val="20"/>
        </w:rPr>
        <w:footnoteRef/>
      </w:r>
      <w:r w:rsidRPr="00AD44DF">
        <w:rPr>
          <w:rFonts w:ascii="Garamond" w:hAnsi="Garamond"/>
          <w:sz w:val="20"/>
          <w:szCs w:val="20"/>
        </w:rPr>
        <w:t xml:space="preserve"> As of September 2015</w:t>
      </w:r>
      <w:r>
        <w:rPr>
          <w:rFonts w:ascii="Garamond" w:hAnsi="Garamond"/>
          <w:sz w:val="20"/>
          <w:szCs w:val="20"/>
        </w:rPr>
        <w:t>,</w:t>
      </w:r>
      <w:r w:rsidRPr="00AD44DF">
        <w:rPr>
          <w:rFonts w:ascii="Garamond" w:hAnsi="Garamond"/>
          <w:sz w:val="20"/>
          <w:szCs w:val="20"/>
        </w:rPr>
        <w:t xml:space="preserve"> these agencies had a total staff of 176,575, 40 percent of which were National Service Personnel, while 22 percent were employed by the country’s eight public universities, all of whom will be migrated to the automated payroll system. The remaining one-third are employees of subvented agencies that will have their internal payroll mechanisms streng</w:t>
      </w:r>
      <w:r>
        <w:rPr>
          <w:rFonts w:ascii="Garamond" w:hAnsi="Garamond"/>
          <w:sz w:val="20"/>
          <w:szCs w:val="20"/>
        </w:rPr>
        <w:t>t</w:t>
      </w:r>
      <w:r w:rsidRPr="00AD44DF">
        <w:rPr>
          <w:rFonts w:ascii="Garamond" w:hAnsi="Garamond"/>
          <w:sz w:val="20"/>
          <w:szCs w:val="20"/>
        </w:rPr>
        <w:t>hened, and will not be migrated to the automated payroll system.</w:t>
      </w:r>
    </w:p>
  </w:footnote>
  <w:footnote w:id="102">
    <w:p w14:paraId="59FD37F2" w14:textId="77777777" w:rsidR="00A75A08" w:rsidRPr="00AD44DF" w:rsidRDefault="00A75A08" w:rsidP="00AD44DF">
      <w:pPr>
        <w:pStyle w:val="NoSpacing"/>
        <w:jc w:val="both"/>
        <w:rPr>
          <w:rFonts w:ascii="Garamond" w:hAnsi="Garamond"/>
          <w:sz w:val="20"/>
          <w:szCs w:val="20"/>
        </w:rPr>
      </w:pPr>
      <w:r w:rsidRPr="00AD44DF">
        <w:rPr>
          <w:rStyle w:val="FootnoteReference"/>
          <w:rFonts w:ascii="Garamond" w:hAnsi="Garamond" w:cs="Times New Roman"/>
          <w:sz w:val="20"/>
          <w:szCs w:val="20"/>
        </w:rPr>
        <w:footnoteRef/>
      </w:r>
      <w:r w:rsidRPr="00AD44DF">
        <w:rPr>
          <w:rFonts w:ascii="Garamond" w:hAnsi="Garamond"/>
          <w:sz w:val="20"/>
          <w:szCs w:val="20"/>
        </w:rPr>
        <w:t xml:space="preserve"> The Cont</w:t>
      </w:r>
      <w:r>
        <w:rPr>
          <w:rFonts w:ascii="Garamond" w:hAnsi="Garamond"/>
          <w:sz w:val="20"/>
          <w:szCs w:val="20"/>
        </w:rPr>
        <w:t>r</w:t>
      </w:r>
      <w:r w:rsidRPr="00AD44DF">
        <w:rPr>
          <w:rFonts w:ascii="Garamond" w:hAnsi="Garamond"/>
          <w:sz w:val="20"/>
          <w:szCs w:val="20"/>
        </w:rPr>
        <w:t>oller and Accountant General’s Department merged the Integrated Personnel and Payroll Database into the Ghana Integrated Financial Management Information System in June 2014, and it is now being aligned with the Human Resource Management Information System. However, the functionality of the Integrated Personnel and Payroll Dat</w:t>
      </w:r>
      <w:r>
        <w:rPr>
          <w:rFonts w:ascii="Garamond" w:hAnsi="Garamond"/>
          <w:sz w:val="20"/>
          <w:szCs w:val="20"/>
        </w:rPr>
        <w:t>abase is limited by slow proces</w:t>
      </w:r>
      <w:r w:rsidRPr="00AD44DF">
        <w:rPr>
          <w:rFonts w:ascii="Garamond" w:hAnsi="Garamond"/>
          <w:sz w:val="20"/>
          <w:szCs w:val="20"/>
        </w:rPr>
        <w:t xml:space="preserve">sing speeds and a lack of storage capacity. </w:t>
      </w:r>
    </w:p>
  </w:footnote>
  <w:footnote w:id="103">
    <w:p w14:paraId="62581827" w14:textId="77777777" w:rsidR="00A75A08" w:rsidRPr="00AD44DF" w:rsidRDefault="00A75A08" w:rsidP="00AD44DF">
      <w:pPr>
        <w:pStyle w:val="NoSpacing"/>
        <w:jc w:val="both"/>
        <w:rPr>
          <w:rFonts w:ascii="Garamond" w:hAnsi="Garamond"/>
          <w:sz w:val="20"/>
          <w:szCs w:val="20"/>
        </w:rPr>
      </w:pPr>
      <w:r w:rsidRPr="00AD44DF">
        <w:rPr>
          <w:rStyle w:val="FootnoteReference"/>
          <w:rFonts w:ascii="Garamond" w:hAnsi="Garamond" w:cs="Times New Roman"/>
          <w:sz w:val="20"/>
          <w:szCs w:val="20"/>
        </w:rPr>
        <w:footnoteRef/>
      </w:r>
      <w:r w:rsidRPr="00AD44DF">
        <w:rPr>
          <w:rFonts w:ascii="Garamond" w:hAnsi="Garamond"/>
          <w:sz w:val="20"/>
          <w:szCs w:val="20"/>
        </w:rPr>
        <w:t xml:space="preserve"> The E-zwich is a biometric smartcard system that was intended to come online at end-May 2016. The </w:t>
      </w:r>
      <w:r w:rsidRPr="00E545F7">
        <w:rPr>
          <w:rFonts w:ascii="Garamond" w:hAnsi="Garamond"/>
          <w:sz w:val="20"/>
          <w:szCs w:val="20"/>
        </w:rPr>
        <w:t>Controller</w:t>
      </w:r>
      <w:r w:rsidRPr="00AD44DF">
        <w:rPr>
          <w:rFonts w:ascii="Garamond" w:hAnsi="Garamond"/>
          <w:sz w:val="20"/>
          <w:szCs w:val="20"/>
        </w:rPr>
        <w:t xml:space="preserve"> and Accountant General’s Department issued a letter in April stating that all salaried workers were required to register for E-zwich cards or their salaries would be suspended. However, the </w:t>
      </w:r>
      <w:r w:rsidRPr="00E545F7">
        <w:rPr>
          <w:rFonts w:ascii="Garamond" w:hAnsi="Garamond"/>
          <w:sz w:val="20"/>
          <w:szCs w:val="20"/>
        </w:rPr>
        <w:t>implementation</w:t>
      </w:r>
      <w:r w:rsidRPr="00AD44DF">
        <w:rPr>
          <w:rFonts w:ascii="Garamond" w:hAnsi="Garamond"/>
          <w:sz w:val="20"/>
          <w:szCs w:val="20"/>
        </w:rPr>
        <w:t xml:space="preserve"> of the E-zwich platform was suspended amid concerns by public employee unions regarding its readiness for nationwide rollout. See: GhanaWeb, 2016b. </w:t>
      </w:r>
    </w:p>
  </w:footnote>
  <w:footnote w:id="104">
    <w:p w14:paraId="68A376D1" w14:textId="77777777" w:rsidR="00A75A08" w:rsidRPr="00AD44DF" w:rsidRDefault="00A75A08" w:rsidP="00AD44DF">
      <w:pPr>
        <w:pStyle w:val="NoSpacing"/>
        <w:jc w:val="both"/>
        <w:rPr>
          <w:rFonts w:ascii="Garamond" w:hAnsi="Garamond"/>
          <w:sz w:val="20"/>
          <w:szCs w:val="20"/>
        </w:rPr>
      </w:pPr>
      <w:r w:rsidRPr="00AD44DF">
        <w:rPr>
          <w:rStyle w:val="FootnoteReference"/>
          <w:rFonts w:ascii="Garamond" w:hAnsi="Garamond" w:cs="Times New Roman"/>
          <w:sz w:val="20"/>
          <w:szCs w:val="20"/>
        </w:rPr>
        <w:footnoteRef/>
      </w:r>
      <w:r w:rsidRPr="00AD44DF">
        <w:rPr>
          <w:rFonts w:ascii="Garamond" w:hAnsi="Garamond"/>
          <w:sz w:val="20"/>
          <w:szCs w:val="20"/>
        </w:rPr>
        <w:t xml:space="preserve"> The government expects to complete the implementation of the Human Resource Management Information System by December 2016, after which </w:t>
      </w:r>
      <w:r>
        <w:rPr>
          <w:rFonts w:ascii="Garamond" w:hAnsi="Garamond"/>
          <w:sz w:val="20"/>
          <w:szCs w:val="20"/>
        </w:rPr>
        <w:t>an</w:t>
      </w:r>
      <w:r w:rsidRPr="00AD44DF">
        <w:rPr>
          <w:rFonts w:ascii="Garamond" w:hAnsi="Garamond"/>
          <w:sz w:val="20"/>
          <w:szCs w:val="20"/>
        </w:rPr>
        <w:t xml:space="preserve"> independent evaluation will assess whether the proper security controls are in place and the guidelines are being followed. </w:t>
      </w:r>
    </w:p>
  </w:footnote>
  <w:footnote w:id="105">
    <w:p w14:paraId="62122A48"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Government of Ghana, 2016.</w:t>
      </w:r>
    </w:p>
  </w:footnote>
  <w:footnote w:id="106">
    <w:p w14:paraId="6DECFDBF" w14:textId="77777777" w:rsidR="00A75A08" w:rsidRPr="00AD44DF" w:rsidRDefault="00A75A08" w:rsidP="00AD44DF">
      <w:pPr>
        <w:pStyle w:val="NoSpacing"/>
        <w:jc w:val="both"/>
        <w:rPr>
          <w:rFonts w:ascii="Garamond" w:hAnsi="Garamond"/>
          <w:sz w:val="20"/>
          <w:szCs w:val="20"/>
        </w:rPr>
      </w:pPr>
      <w:r w:rsidRPr="00AD44DF">
        <w:rPr>
          <w:rStyle w:val="FootnoteReference"/>
          <w:rFonts w:ascii="Garamond" w:hAnsi="Garamond" w:cs="Times New Roman"/>
          <w:sz w:val="20"/>
          <w:szCs w:val="20"/>
        </w:rPr>
        <w:footnoteRef/>
      </w:r>
      <w:r w:rsidRPr="00AD44DF">
        <w:rPr>
          <w:rFonts w:ascii="Garamond" w:hAnsi="Garamond"/>
          <w:sz w:val="20"/>
          <w:szCs w:val="20"/>
        </w:rPr>
        <w:t xml:space="preserve"> National Development Planning Commission, 2016; IMF, 2016. Under the 3-year program, the government may recruit new health and education staff only if it is able to generate sufficient a revenue increase to cover their salaries.</w:t>
      </w:r>
      <w:r w:rsidRPr="00AD44DF" w:rsidDel="006D080C">
        <w:rPr>
          <w:rFonts w:ascii="Garamond" w:hAnsi="Garamond"/>
          <w:sz w:val="20"/>
          <w:szCs w:val="20"/>
        </w:rPr>
        <w:t xml:space="preserve"> </w:t>
      </w:r>
    </w:p>
  </w:footnote>
  <w:footnote w:id="107">
    <w:p w14:paraId="37CF7050"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These include the Office of the President, the Ministry of Finance, the Ministry of Employment and Labour Relations, the Public Services Commission, the FWSC, the Public Sector Reform Secretariat, the Office of the Head of the Civil Service, the Controller and Accountant General’s Department, the National Labour Commission, the Ghana Statistical Service, the Management Development Productivity Institute, the Compensation Committee, the Technical Committee, the Public Services Joint Standing Negotiating Committee, the National Tripartite Committee, the Presidential Committee on Emolument for Article 71 Office Holders, and Parliament.</w:t>
      </w:r>
    </w:p>
  </w:footnote>
  <w:footnote w:id="108">
    <w:p w14:paraId="2C148481"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cs="Times New Roman"/>
          <w:sz w:val="20"/>
          <w:szCs w:val="20"/>
        </w:rPr>
        <w:footnoteRef/>
      </w:r>
      <w:r w:rsidRPr="00AD44DF">
        <w:rPr>
          <w:rFonts w:ascii="Garamond" w:hAnsi="Garamond"/>
          <w:sz w:val="20"/>
          <w:szCs w:val="20"/>
        </w:rPr>
        <w:t xml:space="preserve"> The Economic Planning functions of the Ministry of Finance have since been shifted to the National Development Planning Commission by executive fiat.</w:t>
      </w:r>
    </w:p>
  </w:footnote>
  <w:footnote w:id="109">
    <w:p w14:paraId="2A2C21BB" w14:textId="77777777" w:rsidR="00A75A08" w:rsidRPr="00AD44DF" w:rsidRDefault="00A75A08" w:rsidP="00AD44DF">
      <w:pPr>
        <w:pStyle w:val="FootnoteText"/>
        <w:jc w:val="both"/>
        <w:rPr>
          <w:rFonts w:ascii="Garamond" w:hAnsi="Garamond"/>
          <w:sz w:val="20"/>
          <w:szCs w:val="20"/>
          <w:lang w:val="fr-CH"/>
        </w:rPr>
      </w:pPr>
      <w:r w:rsidRPr="00AD44DF">
        <w:rPr>
          <w:rStyle w:val="FootnoteReference"/>
          <w:rFonts w:ascii="Garamond" w:hAnsi="Garamond"/>
          <w:sz w:val="20"/>
          <w:szCs w:val="20"/>
        </w:rPr>
        <w:footnoteRef/>
      </w:r>
      <w:r w:rsidRPr="00AD44DF">
        <w:rPr>
          <w:rFonts w:ascii="Garamond" w:hAnsi="Garamond"/>
          <w:sz w:val="20"/>
          <w:szCs w:val="20"/>
          <w:lang w:val="fr-CH"/>
        </w:rPr>
        <w:t xml:space="preserve"> Booth </w:t>
      </w:r>
      <w:r w:rsidRPr="00AD44DF">
        <w:rPr>
          <w:rFonts w:ascii="Garamond" w:hAnsi="Garamond"/>
          <w:i/>
          <w:sz w:val="20"/>
          <w:szCs w:val="20"/>
          <w:lang w:val="fr-CH"/>
        </w:rPr>
        <w:t>et al</w:t>
      </w:r>
      <w:r w:rsidRPr="00AD44DF">
        <w:rPr>
          <w:rFonts w:ascii="Garamond" w:hAnsi="Garamond"/>
          <w:sz w:val="20"/>
          <w:szCs w:val="20"/>
          <w:lang w:val="fr-CH"/>
        </w:rPr>
        <w:t xml:space="preserve">., 2005. </w:t>
      </w:r>
    </w:p>
  </w:footnote>
  <w:footnote w:id="110">
    <w:p w14:paraId="7A16C6BE" w14:textId="77777777" w:rsidR="00A75A08" w:rsidRPr="00AD44DF" w:rsidRDefault="00A75A08" w:rsidP="00AD44DF">
      <w:pPr>
        <w:pStyle w:val="FootnoteText"/>
        <w:jc w:val="both"/>
        <w:rPr>
          <w:rFonts w:ascii="Garamond" w:hAnsi="Garamond"/>
          <w:sz w:val="20"/>
          <w:szCs w:val="20"/>
          <w:lang w:val="fr-CH"/>
        </w:rPr>
      </w:pPr>
      <w:r w:rsidRPr="00AD44DF">
        <w:rPr>
          <w:rStyle w:val="FootnoteReference"/>
          <w:rFonts w:ascii="Garamond" w:hAnsi="Garamond"/>
          <w:sz w:val="20"/>
          <w:szCs w:val="20"/>
        </w:rPr>
        <w:footnoteRef/>
      </w:r>
      <w:r w:rsidRPr="00AD44DF">
        <w:rPr>
          <w:rFonts w:ascii="Garamond" w:hAnsi="Garamond"/>
          <w:sz w:val="20"/>
          <w:szCs w:val="20"/>
          <w:lang w:val="fr-CH"/>
        </w:rPr>
        <w:t xml:space="preserve"> Lenhardt </w:t>
      </w:r>
      <w:r w:rsidRPr="00AD44DF">
        <w:rPr>
          <w:rFonts w:ascii="Garamond" w:hAnsi="Garamond"/>
          <w:i/>
          <w:sz w:val="20"/>
          <w:szCs w:val="20"/>
          <w:lang w:val="fr-CH"/>
        </w:rPr>
        <w:t>et al.</w:t>
      </w:r>
      <w:r w:rsidRPr="00AD44DF">
        <w:rPr>
          <w:rFonts w:ascii="Garamond" w:hAnsi="Garamond"/>
          <w:sz w:val="20"/>
          <w:szCs w:val="20"/>
          <w:lang w:val="fr-CH"/>
        </w:rPr>
        <w:t xml:space="preserve">, 2015. </w:t>
      </w:r>
    </w:p>
  </w:footnote>
  <w:footnote w:id="111">
    <w:p w14:paraId="56D34F9F"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Nooruddin and Vreeland, 2010. </w:t>
      </w:r>
    </w:p>
  </w:footnote>
  <w:footnote w:id="112">
    <w:p w14:paraId="03A2767C"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Rodrik, 2000. </w:t>
      </w:r>
    </w:p>
  </w:footnote>
  <w:footnote w:id="113">
    <w:p w14:paraId="0AA81FDC"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Mahdavi, 2004.</w:t>
      </w:r>
    </w:p>
  </w:footnote>
  <w:footnote w:id="114">
    <w:p w14:paraId="6EDADFDC" w14:textId="77777777" w:rsidR="00A75A08" w:rsidRPr="007925A8" w:rsidRDefault="00A75A08">
      <w:pPr>
        <w:pStyle w:val="FootnoteText"/>
        <w:rPr>
          <w:rFonts w:ascii="Garamond" w:hAnsi="Garamond"/>
          <w:sz w:val="20"/>
          <w:szCs w:val="20"/>
        </w:rPr>
      </w:pPr>
      <w:r w:rsidRPr="007925A8">
        <w:rPr>
          <w:rStyle w:val="FootnoteReference"/>
          <w:rFonts w:ascii="Garamond" w:hAnsi="Garamond"/>
          <w:sz w:val="20"/>
          <w:szCs w:val="20"/>
        </w:rPr>
        <w:footnoteRef/>
      </w:r>
      <w:r w:rsidRPr="007925A8">
        <w:rPr>
          <w:rFonts w:ascii="Garamond" w:hAnsi="Garamond"/>
          <w:sz w:val="20"/>
          <w:szCs w:val="20"/>
        </w:rPr>
        <w:t xml:space="preserve"> IMF</w:t>
      </w:r>
      <w:r>
        <w:rPr>
          <w:rFonts w:ascii="Garamond" w:hAnsi="Garamond"/>
          <w:sz w:val="20"/>
          <w:szCs w:val="20"/>
        </w:rPr>
        <w:t>,</w:t>
      </w:r>
      <w:r w:rsidRPr="007925A8">
        <w:rPr>
          <w:rFonts w:ascii="Garamond" w:hAnsi="Garamond"/>
          <w:sz w:val="20"/>
          <w:szCs w:val="20"/>
        </w:rPr>
        <w:t xml:space="preserve"> 2015</w:t>
      </w:r>
      <w:r>
        <w:rPr>
          <w:rFonts w:ascii="Garamond" w:hAnsi="Garamond"/>
          <w:sz w:val="20"/>
          <w:szCs w:val="20"/>
        </w:rPr>
        <w:t>.</w:t>
      </w:r>
    </w:p>
  </w:footnote>
  <w:footnote w:id="115">
    <w:p w14:paraId="5DCAE9D0" w14:textId="77777777" w:rsidR="00A75A08" w:rsidRPr="00AD44DF" w:rsidRDefault="00A75A08" w:rsidP="00AD44DF">
      <w:pPr>
        <w:pStyle w:val="FootnoteText"/>
        <w:jc w:val="both"/>
        <w:rPr>
          <w:rFonts w:ascii="Garamond" w:hAnsi="Garamond"/>
          <w:sz w:val="20"/>
          <w:szCs w:val="20"/>
          <w:lang w:val="en-GB"/>
        </w:rPr>
      </w:pPr>
      <w:r w:rsidRPr="00517A71">
        <w:rPr>
          <w:rStyle w:val="FootnoteReference"/>
          <w:rFonts w:ascii="Garamond" w:hAnsi="Garamond" w:cs="Times New Roman"/>
          <w:sz w:val="20"/>
          <w:szCs w:val="20"/>
        </w:rPr>
        <w:footnoteRef/>
      </w:r>
      <w:r w:rsidRPr="00517A71">
        <w:rPr>
          <w:rFonts w:ascii="Garamond" w:hAnsi="Garamond"/>
          <w:sz w:val="20"/>
          <w:szCs w:val="20"/>
        </w:rPr>
        <w:t xml:space="preserve"> Barma and Orac, 2014. </w:t>
      </w:r>
    </w:p>
  </w:footnote>
  <w:footnote w:id="116">
    <w:p w14:paraId="4C78CA2C"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The Education for All-Fast Track Initiative, now known as the Global Partnership for Education, established a recommended benchmark for domestic spending on education at 20 percent.</w:t>
      </w:r>
    </w:p>
  </w:footnote>
  <w:footnote w:id="117">
    <w:p w14:paraId="50F0CC41"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vertAlign w:val="superscript"/>
        </w:rPr>
        <w:t xml:space="preserve"> </w:t>
      </w:r>
      <w:r w:rsidRPr="00AD44DF">
        <w:rPr>
          <w:rFonts w:ascii="Garamond" w:hAnsi="Garamond"/>
          <w:sz w:val="20"/>
          <w:szCs w:val="20"/>
        </w:rPr>
        <w:t>M</w:t>
      </w:r>
      <w:r>
        <w:rPr>
          <w:rFonts w:ascii="Garamond" w:hAnsi="Garamond"/>
          <w:sz w:val="20"/>
          <w:szCs w:val="20"/>
        </w:rPr>
        <w:t>o</w:t>
      </w:r>
      <w:r w:rsidRPr="00AD44DF">
        <w:rPr>
          <w:rFonts w:ascii="Garamond" w:hAnsi="Garamond"/>
          <w:sz w:val="20"/>
          <w:szCs w:val="20"/>
        </w:rPr>
        <w:t xml:space="preserve">F, 2015. </w:t>
      </w:r>
    </w:p>
  </w:footnote>
  <w:footnote w:id="118">
    <w:p w14:paraId="40D8C463"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The gross enrollment rate reflects the share of students enrolled regardless of age, while and the net enrollment rate reflects enrollment by students of the appropriate age.</w:t>
      </w:r>
    </w:p>
  </w:footnote>
  <w:footnote w:id="119">
    <w:p w14:paraId="56F2DD95"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Gross enrollment in SHS does not include TVET.</w:t>
      </w:r>
    </w:p>
  </w:footnote>
  <w:footnote w:id="120">
    <w:p w14:paraId="3E2B923E"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MoE, 2016. </w:t>
      </w:r>
    </w:p>
  </w:footnote>
  <w:footnote w:id="121">
    <w:p w14:paraId="28962AB1"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“Deprived districts” are defined as those with little educational infrastructure and a high poverty index. The classification is based on the gross primary enrollment rate, gender-parity indicators, the number of seats and core textbooks per student, the share of schools needing major repairs, test scores for both English and math, primary education spending per student, the primary student-teacher ratio, and the share of qualified primary school teachers. Most deprived districts are located in one of Ghana’s three northern regions. The GPEG closed on August 31, 2016.</w:t>
      </w:r>
    </w:p>
  </w:footnote>
  <w:footnote w:id="122">
    <w:p w14:paraId="23F09DCC"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See: GPEG (2016)</w:t>
      </w:r>
    </w:p>
  </w:footnote>
  <w:footnote w:id="123">
    <w:p w14:paraId="60E25840"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EMIS, 2015. </w:t>
      </w:r>
    </w:p>
  </w:footnote>
  <w:footnote w:id="124">
    <w:p w14:paraId="6660717B"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Education Sector Performance Review, 2016. </w:t>
      </w:r>
    </w:p>
  </w:footnote>
  <w:footnote w:id="125">
    <w:p w14:paraId="1CEE5A8C"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These institutions receive financial support under a World Bank project. </w:t>
      </w:r>
    </w:p>
  </w:footnote>
  <w:footnote w:id="126">
    <w:p w14:paraId="7F145EAF"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MoE, 2016. </w:t>
      </w:r>
    </w:p>
  </w:footnote>
  <w:footnote w:id="127">
    <w:p w14:paraId="4B8157C2"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MoE, 2016. </w:t>
      </w:r>
    </w:p>
  </w:footnote>
  <w:footnote w:id="128">
    <w:p w14:paraId="3C1094CE"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Associates for Change, 2016.</w:t>
      </w:r>
    </w:p>
  </w:footnote>
  <w:footnote w:id="129">
    <w:p w14:paraId="632968D1"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World Bank, 2011b; Center for Democratic Development, 2012; National Inspectorate Board, 2014. </w:t>
      </w:r>
    </w:p>
  </w:footnote>
  <w:footnote w:id="130">
    <w:p w14:paraId="46A70CCA"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This interest payment amounted to over GH¢ 200 million. In its absence, personnel expenditures would have again accounted for more than 90 percent of MoH spending.</w:t>
      </w:r>
    </w:p>
  </w:footnote>
  <w:footnote w:id="131">
    <w:p w14:paraId="11A28CAF"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This figure is based on interviews with key MoH officials.</w:t>
      </w:r>
    </w:p>
  </w:footnote>
  <w:footnote w:id="132">
    <w:p w14:paraId="23FBCD3F"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MoH, 2014.</w:t>
      </w:r>
    </w:p>
  </w:footnote>
  <w:footnote w:id="133">
    <w:p w14:paraId="0DFDC228"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MoH, 2014.</w:t>
      </w:r>
    </w:p>
  </w:footnote>
  <w:footnote w:id="134">
    <w:p w14:paraId="5B0E2AF5"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This is based on anecdotal evidence, as there are no statistics on informal payments. </w:t>
      </w:r>
    </w:p>
  </w:footnote>
  <w:footnote w:id="135">
    <w:p w14:paraId="4992DC35"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IMS Health’s African Insights Ghana, 2015.</w:t>
      </w:r>
    </w:p>
  </w:footnote>
  <w:footnote w:id="136">
    <w:p w14:paraId="2216C9FA"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World Bank, 2016. </w:t>
      </w:r>
    </w:p>
  </w:footnote>
  <w:footnote w:id="137">
    <w:p w14:paraId="5F4F44CD"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NHIA Annual Reports (2001-2013).</w:t>
      </w:r>
    </w:p>
  </w:footnote>
  <w:footnote w:id="138">
    <w:p w14:paraId="7F0F4329"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GNI per capita in 2013</w:t>
      </w:r>
    </w:p>
  </w:footnote>
  <w:footnote w:id="139">
    <w:p w14:paraId="45019F19"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World Bank, 2009; Breisinger, 2008.</w:t>
      </w:r>
    </w:p>
  </w:footnote>
  <w:footnote w:id="140">
    <w:p w14:paraId="6A415806"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Statistics, Research and Information Directorate (SRID), 201</w:t>
      </w:r>
      <w:r>
        <w:rPr>
          <w:rFonts w:ascii="Garamond" w:hAnsi="Garamond"/>
          <w:sz w:val="20"/>
          <w:szCs w:val="20"/>
        </w:rPr>
        <w:t>5</w:t>
      </w:r>
      <w:r w:rsidRPr="00AD44DF">
        <w:rPr>
          <w:rFonts w:ascii="Garamond" w:hAnsi="Garamond"/>
          <w:sz w:val="20"/>
          <w:szCs w:val="20"/>
        </w:rPr>
        <w:t>; Ministry of Food and Agriculture (MoFA), 2015</w:t>
      </w:r>
    </w:p>
  </w:footnote>
  <w:footnote w:id="141">
    <w:p w14:paraId="67DAC521"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World Bank, 2016a.</w:t>
      </w:r>
    </w:p>
  </w:footnote>
  <w:footnote w:id="142">
    <w:p w14:paraId="4EC972DB"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World Bank, 2016b.</w:t>
      </w:r>
    </w:p>
  </w:footnote>
  <w:footnote w:id="143">
    <w:p w14:paraId="21481CAB"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Christiaensen </w:t>
      </w:r>
      <w:r w:rsidRPr="00AD44DF">
        <w:rPr>
          <w:rFonts w:ascii="Garamond" w:hAnsi="Garamond"/>
          <w:i/>
          <w:sz w:val="20"/>
          <w:szCs w:val="20"/>
        </w:rPr>
        <w:t>et al</w:t>
      </w:r>
      <w:r w:rsidRPr="00AD44DF">
        <w:rPr>
          <w:rFonts w:ascii="Garamond" w:hAnsi="Garamond"/>
          <w:sz w:val="20"/>
          <w:szCs w:val="20"/>
        </w:rPr>
        <w:t>., 2013; Christiaensen and Kaminski, 2015.</w:t>
      </w:r>
    </w:p>
  </w:footnote>
  <w:footnote w:id="144">
    <w:p w14:paraId="66808F2E"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This phenomenon is known in the literature as “Dutch disease.” </w:t>
      </w:r>
      <w:r w:rsidRPr="00AD44DF">
        <w:rPr>
          <w:rFonts w:ascii="Garamond" w:hAnsi="Garamond"/>
          <w:sz w:val="20"/>
          <w:szCs w:val="20"/>
          <w:lang w:val="es-ES"/>
        </w:rPr>
        <w:t xml:space="preserve">See, e.g., Apergisa </w:t>
      </w:r>
      <w:r w:rsidRPr="00AD44DF">
        <w:rPr>
          <w:rFonts w:ascii="Garamond" w:hAnsi="Garamond"/>
          <w:i/>
          <w:sz w:val="20"/>
          <w:szCs w:val="20"/>
          <w:lang w:val="es-ES"/>
        </w:rPr>
        <w:t>et al</w:t>
      </w:r>
      <w:r w:rsidRPr="00AD44DF">
        <w:rPr>
          <w:rFonts w:ascii="Garamond" w:hAnsi="Garamond"/>
          <w:sz w:val="20"/>
          <w:szCs w:val="20"/>
          <w:lang w:val="es-ES"/>
        </w:rPr>
        <w:t xml:space="preserve">. (2011) and Vostroknutova </w:t>
      </w:r>
      <w:r w:rsidRPr="00AD44DF">
        <w:rPr>
          <w:rFonts w:ascii="Garamond" w:hAnsi="Garamond"/>
          <w:i/>
          <w:sz w:val="20"/>
          <w:szCs w:val="20"/>
          <w:lang w:val="es-ES"/>
        </w:rPr>
        <w:t>et al</w:t>
      </w:r>
      <w:r w:rsidRPr="00AD44DF">
        <w:rPr>
          <w:rFonts w:ascii="Garamond" w:hAnsi="Garamond"/>
          <w:sz w:val="20"/>
          <w:szCs w:val="20"/>
          <w:lang w:val="es-ES"/>
        </w:rPr>
        <w:t xml:space="preserve">. </w:t>
      </w:r>
      <w:r w:rsidRPr="00AD44DF">
        <w:rPr>
          <w:rFonts w:ascii="Garamond" w:hAnsi="Garamond"/>
          <w:sz w:val="20"/>
          <w:szCs w:val="20"/>
        </w:rPr>
        <w:t>(2010).</w:t>
      </w:r>
    </w:p>
  </w:footnote>
  <w:footnote w:id="145">
    <w:p w14:paraId="6D01C75A"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The agricultural expenditure analysis presented in this chapter is based on data compiled by</w:t>
      </w:r>
      <w:r>
        <w:rPr>
          <w:rFonts w:ascii="Garamond" w:hAnsi="Garamond"/>
          <w:sz w:val="20"/>
          <w:szCs w:val="20"/>
        </w:rPr>
        <w:t xml:space="preserve"> the</w:t>
      </w:r>
      <w:r w:rsidRPr="00AD44DF">
        <w:rPr>
          <w:rFonts w:ascii="Garamond" w:hAnsi="Garamond"/>
          <w:sz w:val="20"/>
          <w:szCs w:val="20"/>
        </w:rPr>
        <w:t xml:space="preserve"> MoFA in collaboration with Ghana’s development partners. See: World Bank (2013); Benin (2014); and Kolavalli </w:t>
      </w:r>
      <w:r w:rsidRPr="00AD44DF">
        <w:rPr>
          <w:rFonts w:ascii="Garamond" w:hAnsi="Garamond"/>
          <w:i/>
          <w:sz w:val="20"/>
          <w:szCs w:val="20"/>
        </w:rPr>
        <w:t>et al</w:t>
      </w:r>
      <w:r w:rsidRPr="00AD44DF">
        <w:rPr>
          <w:rFonts w:ascii="Garamond" w:hAnsi="Garamond"/>
          <w:sz w:val="20"/>
          <w:szCs w:val="20"/>
        </w:rPr>
        <w:t>. (2015).</w:t>
      </w:r>
    </w:p>
  </w:footnote>
  <w:footnote w:id="146">
    <w:p w14:paraId="7849BA42"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See World Bank (2013).</w:t>
      </w:r>
    </w:p>
  </w:footnote>
  <w:footnote w:id="147">
    <w:p w14:paraId="3F7B6BD7" w14:textId="77777777" w:rsidR="00A75A08" w:rsidRPr="00583360" w:rsidRDefault="00A75A08" w:rsidP="006B3D0C">
      <w:pPr>
        <w:pStyle w:val="FootnoteText"/>
        <w:jc w:val="both"/>
        <w:rPr>
          <w:rFonts w:ascii="Garamond" w:hAnsi="Garamond"/>
          <w:sz w:val="20"/>
          <w:szCs w:val="20"/>
          <w:lang w:val="sv-SE"/>
        </w:rPr>
      </w:pPr>
      <w:r w:rsidRPr="00AD44DF">
        <w:rPr>
          <w:rStyle w:val="FootnoteReference"/>
          <w:rFonts w:ascii="Garamond" w:hAnsi="Garamond"/>
          <w:sz w:val="20"/>
          <w:szCs w:val="20"/>
        </w:rPr>
        <w:footnoteRef/>
      </w:r>
      <w:r w:rsidRPr="00583360">
        <w:rPr>
          <w:rFonts w:ascii="Garamond" w:hAnsi="Garamond"/>
          <w:sz w:val="20"/>
          <w:szCs w:val="20"/>
          <w:lang w:val="sv-SE"/>
        </w:rPr>
        <w:t xml:space="preserve"> World Bank, 2013.</w:t>
      </w:r>
    </w:p>
  </w:footnote>
  <w:footnote w:id="148">
    <w:p w14:paraId="7CE4E64D" w14:textId="77777777" w:rsidR="00A75A08" w:rsidRPr="004779CF" w:rsidRDefault="00A75A08" w:rsidP="000D1B99">
      <w:pPr>
        <w:pStyle w:val="FootnoteText"/>
        <w:jc w:val="both"/>
        <w:rPr>
          <w:rFonts w:ascii="Garamond" w:hAnsi="Garamond"/>
          <w:sz w:val="20"/>
          <w:szCs w:val="20"/>
          <w:lang w:val="sv-SE"/>
        </w:rPr>
      </w:pPr>
      <w:r w:rsidRPr="00AD44DF">
        <w:rPr>
          <w:rStyle w:val="FootnoteReference"/>
          <w:rFonts w:ascii="Garamond" w:hAnsi="Garamond"/>
          <w:sz w:val="20"/>
          <w:szCs w:val="20"/>
        </w:rPr>
        <w:footnoteRef/>
      </w:r>
      <w:r w:rsidRPr="004779CF">
        <w:rPr>
          <w:rFonts w:ascii="Garamond" w:hAnsi="Garamond"/>
          <w:sz w:val="20"/>
          <w:szCs w:val="20"/>
          <w:lang w:val="sv-SE"/>
        </w:rPr>
        <w:t xml:space="preserve"> Benin, 2014; Kolavalli </w:t>
      </w:r>
      <w:r w:rsidRPr="004779CF">
        <w:rPr>
          <w:rFonts w:ascii="Garamond" w:hAnsi="Garamond"/>
          <w:i/>
          <w:sz w:val="20"/>
          <w:szCs w:val="20"/>
          <w:lang w:val="sv-SE"/>
        </w:rPr>
        <w:t>et al</w:t>
      </w:r>
      <w:r w:rsidRPr="004779CF">
        <w:rPr>
          <w:rFonts w:ascii="Garamond" w:hAnsi="Garamond"/>
          <w:sz w:val="20"/>
          <w:szCs w:val="20"/>
          <w:lang w:val="sv-SE"/>
        </w:rPr>
        <w:t>., 2015.</w:t>
      </w:r>
    </w:p>
  </w:footnote>
  <w:footnote w:id="149">
    <w:p w14:paraId="746417F3" w14:textId="77777777" w:rsidR="00A75A08" w:rsidRPr="00BA3D0C"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583360">
        <w:rPr>
          <w:rFonts w:ascii="Garamond" w:hAnsi="Garamond"/>
          <w:sz w:val="20"/>
          <w:szCs w:val="20"/>
        </w:rPr>
        <w:t xml:space="preserve"> Akroyd and Smith, 2007.</w:t>
      </w:r>
    </w:p>
  </w:footnote>
  <w:footnote w:id="150">
    <w:p w14:paraId="3EF7A868"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In 20</w:t>
      </w:r>
      <w:r>
        <w:rPr>
          <w:rFonts w:ascii="Garamond" w:hAnsi="Garamond"/>
          <w:sz w:val="20"/>
          <w:szCs w:val="20"/>
        </w:rPr>
        <w:t>0</w:t>
      </w:r>
      <w:r w:rsidRPr="00AD44DF">
        <w:rPr>
          <w:rFonts w:ascii="Garamond" w:hAnsi="Garamond"/>
          <w:sz w:val="20"/>
          <w:szCs w:val="20"/>
        </w:rPr>
        <w:t>6</w:t>
      </w:r>
      <w:r>
        <w:rPr>
          <w:rFonts w:ascii="Garamond" w:hAnsi="Garamond"/>
          <w:sz w:val="20"/>
          <w:szCs w:val="20"/>
        </w:rPr>
        <w:t xml:space="preserve">, the </w:t>
      </w:r>
      <w:r w:rsidRPr="00AD44DF">
        <w:rPr>
          <w:rFonts w:ascii="Garamond" w:hAnsi="Garamond"/>
          <w:sz w:val="20"/>
          <w:szCs w:val="20"/>
        </w:rPr>
        <w:t xml:space="preserve">MoFA was known as the Ministry of Agriculture. </w:t>
      </w:r>
    </w:p>
  </w:footnote>
  <w:footnote w:id="151">
    <w:p w14:paraId="3E04839C"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Ghana currently has less than 20,000 hectares under irrigation, and most irrigation systems are inadequately maintained. Under the World Bank-financed Ghana Commercial Agriculture Project, most irrigation schemes are being rehabilitated, and the institutions that govern the irrigation subsector are being reformed.</w:t>
      </w:r>
    </w:p>
  </w:footnote>
  <w:footnote w:id="152">
    <w:p w14:paraId="4E39CBBE" w14:textId="77777777" w:rsidR="00A75A08" w:rsidRPr="00AD44DF" w:rsidRDefault="00A75A08" w:rsidP="00523DF7">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Younger, 2015.</w:t>
      </w:r>
    </w:p>
  </w:footnote>
  <w:footnote w:id="153">
    <w:p w14:paraId="1A4A0A39"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Benin, 2016.</w:t>
      </w:r>
    </w:p>
  </w:footnote>
  <w:footnote w:id="154">
    <w:p w14:paraId="2576EA26"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Naik, 2006. </w:t>
      </w:r>
    </w:p>
  </w:footnote>
  <w:footnote w:id="155">
    <w:p w14:paraId="5E018B8B"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Whitaker and Kolavalli, 2006.</w:t>
      </w:r>
    </w:p>
  </w:footnote>
  <w:footnote w:id="156">
    <w:p w14:paraId="7C53483B"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FAOSTAT, 2016. </w:t>
      </w:r>
    </w:p>
  </w:footnote>
  <w:footnote w:id="157">
    <w:p w14:paraId="2206FF7D"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w:t>
      </w:r>
      <w:r>
        <w:rPr>
          <w:rFonts w:ascii="Garamond" w:hAnsi="Garamond"/>
          <w:sz w:val="20"/>
          <w:szCs w:val="20"/>
        </w:rPr>
        <w:t xml:space="preserve">The </w:t>
      </w:r>
      <w:r w:rsidRPr="00AD44DF">
        <w:rPr>
          <w:rFonts w:ascii="Garamond" w:hAnsi="Garamond"/>
          <w:sz w:val="20"/>
          <w:szCs w:val="20"/>
        </w:rPr>
        <w:t>CSIR is part of the Ministry of Environment, Science, Technology and Innovation.</w:t>
      </w:r>
    </w:p>
  </w:footnote>
  <w:footnote w:id="158">
    <w:p w14:paraId="01842239"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The latest adoption study on maize dates from 1997, and no similar studies have been done for rice or cassava.</w:t>
      </w:r>
    </w:p>
  </w:footnote>
  <w:footnote w:id="159">
    <w:p w14:paraId="4521A6F2"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Beintema </w:t>
      </w:r>
      <w:r w:rsidRPr="00AD44DF">
        <w:rPr>
          <w:rFonts w:ascii="Garamond" w:hAnsi="Garamond"/>
          <w:i/>
          <w:sz w:val="20"/>
          <w:szCs w:val="20"/>
        </w:rPr>
        <w:t>et al</w:t>
      </w:r>
      <w:r w:rsidRPr="00AD44DF">
        <w:rPr>
          <w:rFonts w:ascii="Garamond" w:hAnsi="Garamond"/>
          <w:sz w:val="20"/>
          <w:szCs w:val="20"/>
        </w:rPr>
        <w:t>., 2014.</w:t>
      </w:r>
    </w:p>
  </w:footnote>
  <w:footnote w:id="160">
    <w:p w14:paraId="370E5B45"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Zhou and Baby, 2015.</w:t>
      </w:r>
    </w:p>
  </w:footnote>
  <w:footnote w:id="161">
    <w:p w14:paraId="3CD044B4"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Choudhary </w:t>
      </w:r>
      <w:r w:rsidRPr="00AD44DF">
        <w:rPr>
          <w:rFonts w:ascii="Garamond" w:hAnsi="Garamond"/>
          <w:i/>
          <w:sz w:val="20"/>
          <w:szCs w:val="20"/>
        </w:rPr>
        <w:t>et al</w:t>
      </w:r>
      <w:r w:rsidRPr="00AD44DF">
        <w:rPr>
          <w:rFonts w:ascii="Garamond" w:hAnsi="Garamond"/>
          <w:sz w:val="20"/>
          <w:szCs w:val="20"/>
        </w:rPr>
        <w:t>., 2015.</w:t>
      </w:r>
    </w:p>
  </w:footnote>
  <w:footnote w:id="162">
    <w:p w14:paraId="1CE870AE"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The SADA zone includes the Northern Region, Upper East Region, Upper West Region and bordering districts of the Brong Ahafo Region and Volta Region. The SADA zone covers about 54 percent of Ghana’s land area but is home to only 5 million people, less than 20 percent of Ghana’s population. Most of the SADA zone is semi-arid. According to a 2015 World Bank Poverty Assessment, the SADA zone has a poverty rate of over 40 percent, roughly double the national average of 21.4 percent.</w:t>
      </w:r>
    </w:p>
  </w:footnote>
  <w:footnote w:id="163">
    <w:p w14:paraId="1C377B09"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The term “FOB price” refers to an export’s final value in the exporting country.</w:t>
      </w:r>
    </w:p>
  </w:footnote>
  <w:footnote w:id="164">
    <w:p w14:paraId="1777C81C"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Benin </w:t>
      </w:r>
      <w:r w:rsidRPr="00AD44DF">
        <w:rPr>
          <w:rFonts w:ascii="Garamond" w:hAnsi="Garamond"/>
          <w:i/>
          <w:sz w:val="20"/>
          <w:szCs w:val="20"/>
        </w:rPr>
        <w:t>et al</w:t>
      </w:r>
      <w:r w:rsidRPr="00AD44DF">
        <w:rPr>
          <w:rFonts w:ascii="Garamond" w:hAnsi="Garamond"/>
          <w:sz w:val="20"/>
          <w:szCs w:val="20"/>
        </w:rPr>
        <w:t>., 2009.</w:t>
      </w:r>
    </w:p>
  </w:footnote>
  <w:footnote w:id="165">
    <w:p w14:paraId="6944AAB8"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World Bank, 2009; Seek, 2013.</w:t>
      </w:r>
    </w:p>
  </w:footnote>
  <w:footnote w:id="166">
    <w:p w14:paraId="0A5638CD"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Asare and Essegbey, 2016.</w:t>
      </w:r>
    </w:p>
  </w:footnote>
  <w:footnote w:id="167">
    <w:p w14:paraId="28CDCFCA" w14:textId="77777777" w:rsidR="00A75A08" w:rsidRPr="00AD44DF" w:rsidRDefault="00A75A08" w:rsidP="00AD44DF">
      <w:pPr>
        <w:pStyle w:val="FootnoteText"/>
        <w:jc w:val="both"/>
        <w:rPr>
          <w:rFonts w:ascii="Garamond" w:hAnsi="Garamond"/>
          <w:sz w:val="20"/>
          <w:szCs w:val="20"/>
        </w:rPr>
      </w:pPr>
      <w:r w:rsidRPr="00AD44DF">
        <w:rPr>
          <w:rStyle w:val="FootnoteReference"/>
          <w:rFonts w:ascii="Garamond" w:hAnsi="Garamond"/>
          <w:sz w:val="20"/>
          <w:szCs w:val="20"/>
        </w:rPr>
        <w:footnoteRef/>
      </w:r>
      <w:r w:rsidRPr="00AD44DF">
        <w:rPr>
          <w:rFonts w:ascii="Garamond" w:hAnsi="Garamond"/>
          <w:sz w:val="20"/>
          <w:szCs w:val="20"/>
        </w:rPr>
        <w:t xml:space="preserve"> Institute of Statistical, Social and Economic Research,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AE836" w14:textId="77777777" w:rsidR="00A75A08" w:rsidRDefault="00A75A08" w:rsidP="00E566F7">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B27B4" w14:textId="77777777" w:rsidR="00A75A08" w:rsidRDefault="00A75A08" w:rsidP="00170C69">
    <w:pPr>
      <w:pStyle w:val="Header"/>
      <w:tabs>
        <w:tab w:val="clear" w:pos="4680"/>
        <w:tab w:val="clear" w:pos="9360"/>
        <w:tab w:val="left" w:pos="525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5B472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CE61CE"/>
    <w:multiLevelType w:val="hybridMultilevel"/>
    <w:tmpl w:val="0C624638"/>
    <w:lvl w:ilvl="0" w:tplc="C3B6BB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4444D"/>
    <w:multiLevelType w:val="multilevel"/>
    <w:tmpl w:val="58144B2C"/>
    <w:lvl w:ilvl="0">
      <w:start w:val="3"/>
      <w:numFmt w:val="decimal"/>
      <w:pStyle w:val="Heading1"/>
      <w:suff w:val="space"/>
      <w:lvlText w:val="Chapter %1"/>
      <w:lvlJc w:val="left"/>
      <w:pPr>
        <w:ind w:left="5940" w:firstLine="0"/>
      </w:pPr>
      <w:rPr>
        <w:rFonts w:hint="default"/>
        <w:b w:val="0"/>
        <w:bCs w:val="0"/>
        <w:i w:val="0"/>
        <w:iCs w:val="0"/>
        <w:caps/>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1170" w:firstLine="0"/>
      </w:pPr>
      <w:rPr>
        <w:rFonts w:hint="default"/>
      </w:rPr>
    </w:lvl>
    <w:lvl w:ilvl="2">
      <w:start w:val="1"/>
      <w:numFmt w:val="none"/>
      <w:pStyle w:val="Heading3"/>
      <w:suff w:val="nothing"/>
      <w:lvlText w:val=""/>
      <w:lvlJc w:val="left"/>
      <w:pPr>
        <w:ind w:left="-1170" w:firstLine="0"/>
      </w:pPr>
      <w:rPr>
        <w:rFonts w:hint="default"/>
      </w:rPr>
    </w:lvl>
    <w:lvl w:ilvl="3">
      <w:start w:val="1"/>
      <w:numFmt w:val="none"/>
      <w:pStyle w:val="Heading4"/>
      <w:suff w:val="nothing"/>
      <w:lvlText w:val=""/>
      <w:lvlJc w:val="left"/>
      <w:pPr>
        <w:ind w:left="-1170" w:firstLine="0"/>
      </w:pPr>
      <w:rPr>
        <w:rFonts w:hint="default"/>
      </w:rPr>
    </w:lvl>
    <w:lvl w:ilvl="4">
      <w:start w:val="1"/>
      <w:numFmt w:val="none"/>
      <w:pStyle w:val="Heading5"/>
      <w:suff w:val="nothing"/>
      <w:lvlText w:val=""/>
      <w:lvlJc w:val="left"/>
      <w:pPr>
        <w:ind w:left="-1170" w:firstLine="0"/>
      </w:pPr>
      <w:rPr>
        <w:rFonts w:hint="default"/>
      </w:rPr>
    </w:lvl>
    <w:lvl w:ilvl="5">
      <w:start w:val="1"/>
      <w:numFmt w:val="none"/>
      <w:pStyle w:val="Heading6"/>
      <w:suff w:val="nothing"/>
      <w:lvlText w:val=""/>
      <w:lvlJc w:val="left"/>
      <w:pPr>
        <w:ind w:left="-1170" w:firstLine="0"/>
      </w:pPr>
      <w:rPr>
        <w:rFonts w:hint="default"/>
      </w:rPr>
    </w:lvl>
    <w:lvl w:ilvl="6">
      <w:start w:val="1"/>
      <w:numFmt w:val="none"/>
      <w:pStyle w:val="Heading7"/>
      <w:suff w:val="nothing"/>
      <w:lvlText w:val=""/>
      <w:lvlJc w:val="left"/>
      <w:pPr>
        <w:ind w:left="-1170" w:firstLine="0"/>
      </w:pPr>
      <w:rPr>
        <w:rFonts w:hint="default"/>
      </w:rPr>
    </w:lvl>
    <w:lvl w:ilvl="7">
      <w:start w:val="1"/>
      <w:numFmt w:val="none"/>
      <w:pStyle w:val="Heading8"/>
      <w:suff w:val="nothing"/>
      <w:lvlText w:val=""/>
      <w:lvlJc w:val="left"/>
      <w:pPr>
        <w:ind w:left="-1170" w:firstLine="0"/>
      </w:pPr>
      <w:rPr>
        <w:rFonts w:hint="default"/>
      </w:rPr>
    </w:lvl>
    <w:lvl w:ilvl="8">
      <w:start w:val="1"/>
      <w:numFmt w:val="none"/>
      <w:pStyle w:val="Heading9"/>
      <w:suff w:val="nothing"/>
      <w:lvlText w:val=""/>
      <w:lvlJc w:val="left"/>
      <w:pPr>
        <w:ind w:left="-1170" w:firstLine="0"/>
      </w:pPr>
      <w:rPr>
        <w:rFonts w:hint="default"/>
      </w:rPr>
    </w:lvl>
  </w:abstractNum>
  <w:abstractNum w:abstractNumId="3" w15:restartNumberingAfterBreak="0">
    <w:nsid w:val="0F420F53"/>
    <w:multiLevelType w:val="multilevel"/>
    <w:tmpl w:val="97E00D20"/>
    <w:lvl w:ilvl="0">
      <w:start w:val="4"/>
      <w:numFmt w:val="decimal"/>
      <w:suff w:val="space"/>
      <w:lvlText w:val="Chapter %1"/>
      <w:lvlJc w:val="left"/>
      <w:pPr>
        <w:ind w:left="0" w:firstLine="0"/>
      </w:pPr>
      <w:rPr>
        <w:b w:val="0"/>
        <w:bCs w:val="0"/>
        <w:i w:val="0"/>
        <w:iCs w:val="0"/>
        <w:caps/>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8EB6D79"/>
    <w:multiLevelType w:val="hybridMultilevel"/>
    <w:tmpl w:val="595A4886"/>
    <w:lvl w:ilvl="0" w:tplc="89D2D22E">
      <w:start w:val="1"/>
      <w:numFmt w:val="decimal"/>
      <w:pStyle w:val="ListParagraph"/>
      <w:lvlText w:val="1.%1"/>
      <w:lvlJc w:val="left"/>
      <w:pPr>
        <w:ind w:left="0" w:firstLine="0"/>
      </w:pPr>
      <w:rPr>
        <w:rFonts w:hint="default"/>
        <w:b/>
        <w:i w:val="0"/>
        <w:color w:val="auto"/>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3B8641F4"/>
    <w:multiLevelType w:val="hybridMultilevel"/>
    <w:tmpl w:val="0AC22038"/>
    <w:lvl w:ilvl="0" w:tplc="23CCD39E">
      <w:start w:val="1"/>
      <w:numFmt w:val="lowerLetter"/>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D03D48"/>
    <w:multiLevelType w:val="hybridMultilevel"/>
    <w:tmpl w:val="2D24425C"/>
    <w:lvl w:ilvl="0" w:tplc="72BAE628">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BC68EC8">
      <w:start w:val="1"/>
      <w:numFmt w:val="decimal"/>
      <w:suff w:val="space"/>
      <w:lvlText w:val="5.%4"/>
      <w:lvlJc w:val="left"/>
      <w:pPr>
        <w:ind w:left="90" w:firstLine="0"/>
      </w:pPr>
      <w:rPr>
        <w:rFonts w:ascii="Garamond" w:hAnsi="Garamond" w:hint="default"/>
        <w:b/>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96684C"/>
    <w:multiLevelType w:val="hybridMultilevel"/>
    <w:tmpl w:val="23E67B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2F16D0"/>
    <w:multiLevelType w:val="multilevel"/>
    <w:tmpl w:val="8D9E8A40"/>
    <w:lvl w:ilvl="0">
      <w:start w:val="1"/>
      <w:numFmt w:val="decimal"/>
      <w:suff w:val="space"/>
      <w:lvlText w:val="Chapter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4BFF4C45"/>
    <w:multiLevelType w:val="hybridMultilevel"/>
    <w:tmpl w:val="0E16A902"/>
    <w:lvl w:ilvl="0" w:tplc="DAF205CE">
      <w:start w:val="1"/>
      <w:numFmt w:val="decimal"/>
      <w:suff w:val="space"/>
      <w:lvlText w:val="3.%1"/>
      <w:lvlJc w:val="left"/>
      <w:pPr>
        <w:ind w:left="0" w:firstLine="0"/>
      </w:pPr>
      <w:rPr>
        <w:rFonts w:ascii="Garamond" w:hAnsi="Garamond"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6F486C"/>
    <w:multiLevelType w:val="hybridMultilevel"/>
    <w:tmpl w:val="7BD65516"/>
    <w:lvl w:ilvl="0" w:tplc="FDEA9B54">
      <w:start w:val="1"/>
      <w:numFmt w:val="decimal"/>
      <w:lvlText w:val="2.%1"/>
      <w:lvlJc w:val="left"/>
      <w:pPr>
        <w:ind w:left="0" w:firstLine="0"/>
      </w:pPr>
      <w:rPr>
        <w:rFonts w:ascii="Garamond" w:hAnsi="Garamond" w:hint="default"/>
        <w:b/>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F063B1"/>
    <w:multiLevelType w:val="hybridMultilevel"/>
    <w:tmpl w:val="7D0A70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A57699"/>
    <w:multiLevelType w:val="hybridMultilevel"/>
    <w:tmpl w:val="FF7E22D4"/>
    <w:lvl w:ilvl="0" w:tplc="FCB441D6">
      <w:start w:val="1"/>
      <w:numFmt w:val="decimal"/>
      <w:lvlText w:val="A.%1"/>
      <w:lvlJc w:val="left"/>
      <w:pPr>
        <w:ind w:left="0" w:firstLine="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3D1C86"/>
    <w:multiLevelType w:val="hybridMultilevel"/>
    <w:tmpl w:val="9580C16E"/>
    <w:lvl w:ilvl="0" w:tplc="3A308DC8">
      <w:start w:val="1"/>
      <w:numFmt w:val="decimal"/>
      <w:suff w:val="space"/>
      <w:lvlText w:val="4.%1"/>
      <w:lvlJc w:val="left"/>
      <w:pPr>
        <w:ind w:left="0" w:firstLine="0"/>
      </w:pPr>
      <w:rPr>
        <w:rFonts w:ascii="Garamond" w:hAnsi="Garamond"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1"/>
  </w:num>
  <w:num w:numId="4">
    <w:abstractNumId w:val="10"/>
  </w:num>
  <w:num w:numId="5">
    <w:abstractNumId w:val="12"/>
  </w:num>
  <w:num w:numId="6">
    <w:abstractNumId w:val="8"/>
  </w:num>
  <w:num w:numId="7">
    <w:abstractNumId w:val="11"/>
  </w:num>
  <w:num w:numId="8">
    <w:abstractNumId w:val="5"/>
  </w:num>
  <w:num w:numId="9">
    <w:abstractNumId w:val="13"/>
  </w:num>
  <w:num w:numId="10">
    <w:abstractNumId w:val="13"/>
    <w:lvlOverride w:ilvl="0">
      <w:startOverride w:val="37"/>
    </w:lvlOverride>
  </w:num>
  <w:num w:numId="11">
    <w:abstractNumId w:val="6"/>
  </w:num>
  <w:num w:numId="12">
    <w:abstractNumId w:val="3"/>
  </w:num>
  <w:num w:numId="13">
    <w:abstractNumId w:val="9"/>
  </w:num>
  <w:num w:numId="14">
    <w:abstractNumId w:val="2"/>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5"/>
  <w:activeWritingStyle w:appName="MSWord" w:lang="pt-BR" w:vendorID="64" w:dllVersion="0" w:nlCheck="1" w:checkStyle="0"/>
  <w:activeWritingStyle w:appName="MSWord" w:lang="en-GB" w:vendorID="64" w:dllVersion="0" w:nlCheck="1" w:checkStyle="1"/>
  <w:activeWritingStyle w:appName="MSWord" w:lang="en-US" w:vendorID="64" w:dllVersion="0" w:nlCheck="1" w:checkStyle="1"/>
  <w:activeWritingStyle w:appName="MSWord" w:lang="fr-CH" w:vendorID="64" w:dllVersion="0" w:nlCheck="1" w:checkStyle="0"/>
  <w:activeWritingStyle w:appName="MSWord" w:lang="de-DE" w:vendorID="64" w:dllVersion="0" w:nlCheck="1" w:checkStyle="1"/>
  <w:activeWritingStyle w:appName="MSWord" w:lang="fr-FR" w:vendorID="64" w:dllVersion="0" w:nlCheck="1" w:checkStyle="0"/>
  <w:activeWritingStyle w:appName="MSWord" w:lang="es-ES" w:vendorID="64" w:dllVersion="0" w:nlCheck="1" w:checkStyle="0"/>
  <w:activeWritingStyle w:appName="MSWord" w:lang="en-US" w:vendorID="64" w:dllVersion="6" w:nlCheck="1" w:checkStyle="0"/>
  <w:activeWritingStyle w:appName="MSWord" w:lang="en-GB" w:vendorID="64" w:dllVersion="6" w:nlCheck="1" w:checkStyle="0"/>
  <w:activeWritingStyle w:appName="MSWord" w:lang="fr-CH" w:vendorID="64" w:dllVersion="6" w:nlCheck="1" w:checkStyle="0"/>
  <w:activeWritingStyle w:appName="MSWord" w:lang="fr-FR" w:vendorID="64" w:dllVersion="6" w:nlCheck="1" w:checkStyle="0"/>
  <w:activeWritingStyle w:appName="MSWord" w:lang="es-ES" w:vendorID="64" w:dllVersion="6" w:nlCheck="1" w:checkStyle="0"/>
  <w:activeWritingStyle w:appName="MSWord" w:lang="pt-BR" w:vendorID="64" w:dllVersion="6" w:nlCheck="1" w:checkStyle="0"/>
  <w:activeWritingStyle w:appName="MSWord" w:lang="de-DE" w:vendorID="64" w:dllVersion="6" w:nlCheck="1" w:checkStyle="1"/>
  <w:activeWritingStyle w:appName="MSWord" w:lang="sv-SE" w:vendorID="64" w:dllVersion="0" w:nlCheck="1" w:checkStyle="0"/>
  <w:activeWritingStyle w:appName="MSWord" w:lang="en-US" w:vendorID="64" w:dllVersion="131078" w:nlCheck="1" w:checkStyle="0"/>
  <w:activeWritingStyle w:appName="MSWord" w:lang="fr-CH" w:vendorID="64" w:dllVersion="131078" w:nlCheck="1" w:checkStyle="0"/>
  <w:activeWritingStyle w:appName="MSWord" w:lang="fr-FR"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668"/>
    <w:rsid w:val="00000679"/>
    <w:rsid w:val="000006B2"/>
    <w:rsid w:val="00000E44"/>
    <w:rsid w:val="00001985"/>
    <w:rsid w:val="0000282A"/>
    <w:rsid w:val="00002B74"/>
    <w:rsid w:val="00002C11"/>
    <w:rsid w:val="000036F8"/>
    <w:rsid w:val="00004310"/>
    <w:rsid w:val="0000437E"/>
    <w:rsid w:val="00004385"/>
    <w:rsid w:val="00004C02"/>
    <w:rsid w:val="000054A1"/>
    <w:rsid w:val="00005692"/>
    <w:rsid w:val="000056D3"/>
    <w:rsid w:val="00005A81"/>
    <w:rsid w:val="00005A9F"/>
    <w:rsid w:val="000068AC"/>
    <w:rsid w:val="00006BA6"/>
    <w:rsid w:val="00006DEA"/>
    <w:rsid w:val="00007071"/>
    <w:rsid w:val="00007A6D"/>
    <w:rsid w:val="0001115C"/>
    <w:rsid w:val="00011D65"/>
    <w:rsid w:val="000121F2"/>
    <w:rsid w:val="00012447"/>
    <w:rsid w:val="000128E0"/>
    <w:rsid w:val="00013321"/>
    <w:rsid w:val="00013AF2"/>
    <w:rsid w:val="00013D0B"/>
    <w:rsid w:val="00014986"/>
    <w:rsid w:val="00014A17"/>
    <w:rsid w:val="00015561"/>
    <w:rsid w:val="00015694"/>
    <w:rsid w:val="0001697D"/>
    <w:rsid w:val="00016D29"/>
    <w:rsid w:val="000171BA"/>
    <w:rsid w:val="00017875"/>
    <w:rsid w:val="000178C6"/>
    <w:rsid w:val="00017CB1"/>
    <w:rsid w:val="000205A5"/>
    <w:rsid w:val="00021586"/>
    <w:rsid w:val="00021A99"/>
    <w:rsid w:val="0002287E"/>
    <w:rsid w:val="00023138"/>
    <w:rsid w:val="00023AF6"/>
    <w:rsid w:val="00024284"/>
    <w:rsid w:val="000246F5"/>
    <w:rsid w:val="00024E8E"/>
    <w:rsid w:val="0002510C"/>
    <w:rsid w:val="00025282"/>
    <w:rsid w:val="00025A9F"/>
    <w:rsid w:val="00025D99"/>
    <w:rsid w:val="00025EC8"/>
    <w:rsid w:val="000265B9"/>
    <w:rsid w:val="00026C53"/>
    <w:rsid w:val="00027D79"/>
    <w:rsid w:val="000302D9"/>
    <w:rsid w:val="00030525"/>
    <w:rsid w:val="000322C5"/>
    <w:rsid w:val="000323CA"/>
    <w:rsid w:val="000327D5"/>
    <w:rsid w:val="00032A81"/>
    <w:rsid w:val="00032C13"/>
    <w:rsid w:val="00033320"/>
    <w:rsid w:val="00033599"/>
    <w:rsid w:val="00033A2B"/>
    <w:rsid w:val="00034242"/>
    <w:rsid w:val="00034BBD"/>
    <w:rsid w:val="000353A8"/>
    <w:rsid w:val="00035853"/>
    <w:rsid w:val="00035B9B"/>
    <w:rsid w:val="00035DF0"/>
    <w:rsid w:val="00035EA2"/>
    <w:rsid w:val="000363CC"/>
    <w:rsid w:val="0003714E"/>
    <w:rsid w:val="000372BC"/>
    <w:rsid w:val="00037DEB"/>
    <w:rsid w:val="0004043A"/>
    <w:rsid w:val="000406A6"/>
    <w:rsid w:val="00040CCF"/>
    <w:rsid w:val="00040F65"/>
    <w:rsid w:val="00041459"/>
    <w:rsid w:val="00041506"/>
    <w:rsid w:val="00041ADB"/>
    <w:rsid w:val="00041C1D"/>
    <w:rsid w:val="0004225D"/>
    <w:rsid w:val="00042640"/>
    <w:rsid w:val="00042B7B"/>
    <w:rsid w:val="00042D8E"/>
    <w:rsid w:val="00044686"/>
    <w:rsid w:val="00044E36"/>
    <w:rsid w:val="00045656"/>
    <w:rsid w:val="00045A18"/>
    <w:rsid w:val="000464CA"/>
    <w:rsid w:val="000469EE"/>
    <w:rsid w:val="00046DA9"/>
    <w:rsid w:val="00047A67"/>
    <w:rsid w:val="00047E77"/>
    <w:rsid w:val="00050905"/>
    <w:rsid w:val="00051321"/>
    <w:rsid w:val="000525C6"/>
    <w:rsid w:val="0005336F"/>
    <w:rsid w:val="00053588"/>
    <w:rsid w:val="00053A96"/>
    <w:rsid w:val="00053CB3"/>
    <w:rsid w:val="00054A80"/>
    <w:rsid w:val="00054F3D"/>
    <w:rsid w:val="0005508A"/>
    <w:rsid w:val="00055214"/>
    <w:rsid w:val="00055688"/>
    <w:rsid w:val="000558E4"/>
    <w:rsid w:val="000560A2"/>
    <w:rsid w:val="00056AF4"/>
    <w:rsid w:val="00056CD2"/>
    <w:rsid w:val="000571F7"/>
    <w:rsid w:val="00057E99"/>
    <w:rsid w:val="00057EF9"/>
    <w:rsid w:val="00060121"/>
    <w:rsid w:val="00060604"/>
    <w:rsid w:val="00060A29"/>
    <w:rsid w:val="00060BD8"/>
    <w:rsid w:val="000613F5"/>
    <w:rsid w:val="00061B59"/>
    <w:rsid w:val="00061D65"/>
    <w:rsid w:val="00061E26"/>
    <w:rsid w:val="00061E33"/>
    <w:rsid w:val="0006207E"/>
    <w:rsid w:val="00062082"/>
    <w:rsid w:val="000628F1"/>
    <w:rsid w:val="00062BCF"/>
    <w:rsid w:val="000634AA"/>
    <w:rsid w:val="00063D63"/>
    <w:rsid w:val="0006481B"/>
    <w:rsid w:val="00064959"/>
    <w:rsid w:val="00064CF6"/>
    <w:rsid w:val="00065E52"/>
    <w:rsid w:val="00066910"/>
    <w:rsid w:val="00067BE1"/>
    <w:rsid w:val="000710CF"/>
    <w:rsid w:val="0007125E"/>
    <w:rsid w:val="0007180E"/>
    <w:rsid w:val="0007209F"/>
    <w:rsid w:val="0007236C"/>
    <w:rsid w:val="00073A69"/>
    <w:rsid w:val="000741EA"/>
    <w:rsid w:val="000751D9"/>
    <w:rsid w:val="000751F0"/>
    <w:rsid w:val="00075917"/>
    <w:rsid w:val="00075C22"/>
    <w:rsid w:val="00076180"/>
    <w:rsid w:val="000767BF"/>
    <w:rsid w:val="000767D1"/>
    <w:rsid w:val="000769E6"/>
    <w:rsid w:val="00076F7E"/>
    <w:rsid w:val="0007781E"/>
    <w:rsid w:val="00077BAA"/>
    <w:rsid w:val="00080662"/>
    <w:rsid w:val="00080B15"/>
    <w:rsid w:val="0008293D"/>
    <w:rsid w:val="00084260"/>
    <w:rsid w:val="00084583"/>
    <w:rsid w:val="000845E7"/>
    <w:rsid w:val="00085A6A"/>
    <w:rsid w:val="00085DD9"/>
    <w:rsid w:val="000862C7"/>
    <w:rsid w:val="0008706D"/>
    <w:rsid w:val="00087111"/>
    <w:rsid w:val="000871C4"/>
    <w:rsid w:val="000878E5"/>
    <w:rsid w:val="00087B71"/>
    <w:rsid w:val="00090523"/>
    <w:rsid w:val="00090ED4"/>
    <w:rsid w:val="0009125A"/>
    <w:rsid w:val="000914E7"/>
    <w:rsid w:val="00091F40"/>
    <w:rsid w:val="00092562"/>
    <w:rsid w:val="00092DA7"/>
    <w:rsid w:val="00092E62"/>
    <w:rsid w:val="000931CF"/>
    <w:rsid w:val="000932C9"/>
    <w:rsid w:val="000932F4"/>
    <w:rsid w:val="00093DD8"/>
    <w:rsid w:val="00093E0F"/>
    <w:rsid w:val="00094B16"/>
    <w:rsid w:val="000950D8"/>
    <w:rsid w:val="00095875"/>
    <w:rsid w:val="00095C88"/>
    <w:rsid w:val="00095DC6"/>
    <w:rsid w:val="00095F4E"/>
    <w:rsid w:val="0009650B"/>
    <w:rsid w:val="000965E3"/>
    <w:rsid w:val="000965E9"/>
    <w:rsid w:val="00096E4C"/>
    <w:rsid w:val="00097C6B"/>
    <w:rsid w:val="00097CD8"/>
    <w:rsid w:val="00097DF2"/>
    <w:rsid w:val="000A01D4"/>
    <w:rsid w:val="000A09C9"/>
    <w:rsid w:val="000A1728"/>
    <w:rsid w:val="000A21C9"/>
    <w:rsid w:val="000A3F47"/>
    <w:rsid w:val="000A4086"/>
    <w:rsid w:val="000A52E1"/>
    <w:rsid w:val="000A53B6"/>
    <w:rsid w:val="000A5AEA"/>
    <w:rsid w:val="000A5B80"/>
    <w:rsid w:val="000A5CB9"/>
    <w:rsid w:val="000A5EBB"/>
    <w:rsid w:val="000A5F81"/>
    <w:rsid w:val="000A6A05"/>
    <w:rsid w:val="000A6A3A"/>
    <w:rsid w:val="000A6DA0"/>
    <w:rsid w:val="000A758F"/>
    <w:rsid w:val="000A79C5"/>
    <w:rsid w:val="000A7BF2"/>
    <w:rsid w:val="000A7D82"/>
    <w:rsid w:val="000B0078"/>
    <w:rsid w:val="000B0843"/>
    <w:rsid w:val="000B092E"/>
    <w:rsid w:val="000B0B80"/>
    <w:rsid w:val="000B1765"/>
    <w:rsid w:val="000B322C"/>
    <w:rsid w:val="000B34A2"/>
    <w:rsid w:val="000B3EF3"/>
    <w:rsid w:val="000B4285"/>
    <w:rsid w:val="000B472E"/>
    <w:rsid w:val="000B53C4"/>
    <w:rsid w:val="000B57A5"/>
    <w:rsid w:val="000B5907"/>
    <w:rsid w:val="000B5941"/>
    <w:rsid w:val="000B59F0"/>
    <w:rsid w:val="000B6649"/>
    <w:rsid w:val="000B6EF8"/>
    <w:rsid w:val="000C061E"/>
    <w:rsid w:val="000C1353"/>
    <w:rsid w:val="000C1374"/>
    <w:rsid w:val="000C154C"/>
    <w:rsid w:val="000C168C"/>
    <w:rsid w:val="000C1772"/>
    <w:rsid w:val="000C216F"/>
    <w:rsid w:val="000C235A"/>
    <w:rsid w:val="000C23AE"/>
    <w:rsid w:val="000C29B6"/>
    <w:rsid w:val="000C2B23"/>
    <w:rsid w:val="000C33B8"/>
    <w:rsid w:val="000C355C"/>
    <w:rsid w:val="000C3CBD"/>
    <w:rsid w:val="000C413B"/>
    <w:rsid w:val="000C4812"/>
    <w:rsid w:val="000C4CD3"/>
    <w:rsid w:val="000C4EB5"/>
    <w:rsid w:val="000C5427"/>
    <w:rsid w:val="000C57CC"/>
    <w:rsid w:val="000C5F92"/>
    <w:rsid w:val="000C6B8A"/>
    <w:rsid w:val="000C6FC8"/>
    <w:rsid w:val="000C758A"/>
    <w:rsid w:val="000C7639"/>
    <w:rsid w:val="000C797F"/>
    <w:rsid w:val="000D0F84"/>
    <w:rsid w:val="000D1B99"/>
    <w:rsid w:val="000D1F2F"/>
    <w:rsid w:val="000D25BE"/>
    <w:rsid w:val="000D2A8B"/>
    <w:rsid w:val="000D2A93"/>
    <w:rsid w:val="000D302B"/>
    <w:rsid w:val="000D3533"/>
    <w:rsid w:val="000D397B"/>
    <w:rsid w:val="000D3C0B"/>
    <w:rsid w:val="000D40B6"/>
    <w:rsid w:val="000D494B"/>
    <w:rsid w:val="000D4D47"/>
    <w:rsid w:val="000D64D5"/>
    <w:rsid w:val="000D6D4E"/>
    <w:rsid w:val="000D74AC"/>
    <w:rsid w:val="000D751F"/>
    <w:rsid w:val="000D76D2"/>
    <w:rsid w:val="000E0617"/>
    <w:rsid w:val="000E080F"/>
    <w:rsid w:val="000E16BF"/>
    <w:rsid w:val="000E1DEA"/>
    <w:rsid w:val="000E203C"/>
    <w:rsid w:val="000E218B"/>
    <w:rsid w:val="000E2264"/>
    <w:rsid w:val="000E2B96"/>
    <w:rsid w:val="000E2DED"/>
    <w:rsid w:val="000E4918"/>
    <w:rsid w:val="000E49F9"/>
    <w:rsid w:val="000E4EF3"/>
    <w:rsid w:val="000E50A8"/>
    <w:rsid w:val="000E581A"/>
    <w:rsid w:val="000E632C"/>
    <w:rsid w:val="000E7654"/>
    <w:rsid w:val="000E7AC9"/>
    <w:rsid w:val="000E7F44"/>
    <w:rsid w:val="000F0F08"/>
    <w:rsid w:val="000F1995"/>
    <w:rsid w:val="000F1B40"/>
    <w:rsid w:val="000F2301"/>
    <w:rsid w:val="000F2CF7"/>
    <w:rsid w:val="000F2E9D"/>
    <w:rsid w:val="000F3732"/>
    <w:rsid w:val="000F37D4"/>
    <w:rsid w:val="000F385B"/>
    <w:rsid w:val="000F3A95"/>
    <w:rsid w:val="000F4EB9"/>
    <w:rsid w:val="000F54F4"/>
    <w:rsid w:val="000F5B00"/>
    <w:rsid w:val="000F5C2B"/>
    <w:rsid w:val="000F5C8E"/>
    <w:rsid w:val="000F5E20"/>
    <w:rsid w:val="000F603C"/>
    <w:rsid w:val="000F6530"/>
    <w:rsid w:val="000F68D0"/>
    <w:rsid w:val="000F7382"/>
    <w:rsid w:val="000F739F"/>
    <w:rsid w:val="000F76A1"/>
    <w:rsid w:val="000F7F39"/>
    <w:rsid w:val="00100374"/>
    <w:rsid w:val="001006DD"/>
    <w:rsid w:val="00100DE6"/>
    <w:rsid w:val="001010BD"/>
    <w:rsid w:val="001018D9"/>
    <w:rsid w:val="00102077"/>
    <w:rsid w:val="00102458"/>
    <w:rsid w:val="00103061"/>
    <w:rsid w:val="001030AB"/>
    <w:rsid w:val="00103419"/>
    <w:rsid w:val="0010446B"/>
    <w:rsid w:val="00105957"/>
    <w:rsid w:val="00105B09"/>
    <w:rsid w:val="00106A99"/>
    <w:rsid w:val="00107B4F"/>
    <w:rsid w:val="00110888"/>
    <w:rsid w:val="001109FD"/>
    <w:rsid w:val="0011116F"/>
    <w:rsid w:val="0011232B"/>
    <w:rsid w:val="001123D3"/>
    <w:rsid w:val="00112526"/>
    <w:rsid w:val="00112E7D"/>
    <w:rsid w:val="00112F58"/>
    <w:rsid w:val="0011348B"/>
    <w:rsid w:val="0011399F"/>
    <w:rsid w:val="00113D98"/>
    <w:rsid w:val="00113EC3"/>
    <w:rsid w:val="001147D9"/>
    <w:rsid w:val="001148EF"/>
    <w:rsid w:val="00114FAA"/>
    <w:rsid w:val="001153CD"/>
    <w:rsid w:val="0011567C"/>
    <w:rsid w:val="00116048"/>
    <w:rsid w:val="0011636B"/>
    <w:rsid w:val="00116B11"/>
    <w:rsid w:val="00116C2A"/>
    <w:rsid w:val="00116FF4"/>
    <w:rsid w:val="001171BE"/>
    <w:rsid w:val="00117D21"/>
    <w:rsid w:val="00117E83"/>
    <w:rsid w:val="001200E6"/>
    <w:rsid w:val="001201DE"/>
    <w:rsid w:val="001207B7"/>
    <w:rsid w:val="00120A86"/>
    <w:rsid w:val="0012109A"/>
    <w:rsid w:val="0012156C"/>
    <w:rsid w:val="001216B0"/>
    <w:rsid w:val="00122955"/>
    <w:rsid w:val="00122CD3"/>
    <w:rsid w:val="00123201"/>
    <w:rsid w:val="00124661"/>
    <w:rsid w:val="00125755"/>
    <w:rsid w:val="00125823"/>
    <w:rsid w:val="00125D44"/>
    <w:rsid w:val="0012685C"/>
    <w:rsid w:val="00126ADA"/>
    <w:rsid w:val="0012705A"/>
    <w:rsid w:val="001275DD"/>
    <w:rsid w:val="0012783C"/>
    <w:rsid w:val="00130333"/>
    <w:rsid w:val="0013119A"/>
    <w:rsid w:val="00132089"/>
    <w:rsid w:val="00132907"/>
    <w:rsid w:val="00132EF2"/>
    <w:rsid w:val="00133302"/>
    <w:rsid w:val="00133B7F"/>
    <w:rsid w:val="00134B0F"/>
    <w:rsid w:val="00134F7E"/>
    <w:rsid w:val="00135040"/>
    <w:rsid w:val="001351C6"/>
    <w:rsid w:val="00135470"/>
    <w:rsid w:val="00135A13"/>
    <w:rsid w:val="001361DC"/>
    <w:rsid w:val="00136C3B"/>
    <w:rsid w:val="00137322"/>
    <w:rsid w:val="00137860"/>
    <w:rsid w:val="00137A36"/>
    <w:rsid w:val="00137ED5"/>
    <w:rsid w:val="001403D1"/>
    <w:rsid w:val="00140756"/>
    <w:rsid w:val="001409DC"/>
    <w:rsid w:val="00140A61"/>
    <w:rsid w:val="001416E1"/>
    <w:rsid w:val="00141BFE"/>
    <w:rsid w:val="001421DD"/>
    <w:rsid w:val="00142A78"/>
    <w:rsid w:val="00143635"/>
    <w:rsid w:val="0014409E"/>
    <w:rsid w:val="0014431C"/>
    <w:rsid w:val="00144BAE"/>
    <w:rsid w:val="001460B6"/>
    <w:rsid w:val="00146388"/>
    <w:rsid w:val="001469E9"/>
    <w:rsid w:val="00146BC0"/>
    <w:rsid w:val="00146FE5"/>
    <w:rsid w:val="001471CE"/>
    <w:rsid w:val="00147B35"/>
    <w:rsid w:val="001501CE"/>
    <w:rsid w:val="001505E6"/>
    <w:rsid w:val="001512C8"/>
    <w:rsid w:val="00151C98"/>
    <w:rsid w:val="001525F8"/>
    <w:rsid w:val="00152B18"/>
    <w:rsid w:val="00152FE6"/>
    <w:rsid w:val="001532F6"/>
    <w:rsid w:val="001539A4"/>
    <w:rsid w:val="00153F70"/>
    <w:rsid w:val="0015517A"/>
    <w:rsid w:val="0015540B"/>
    <w:rsid w:val="001555CF"/>
    <w:rsid w:val="001559DE"/>
    <w:rsid w:val="0015675C"/>
    <w:rsid w:val="00156760"/>
    <w:rsid w:val="00156D13"/>
    <w:rsid w:val="00156D8C"/>
    <w:rsid w:val="00156FA5"/>
    <w:rsid w:val="001572B9"/>
    <w:rsid w:val="00157B6B"/>
    <w:rsid w:val="0016038C"/>
    <w:rsid w:val="00161DD5"/>
    <w:rsid w:val="00161FFD"/>
    <w:rsid w:val="0016259D"/>
    <w:rsid w:val="0016267C"/>
    <w:rsid w:val="00162E54"/>
    <w:rsid w:val="00163039"/>
    <w:rsid w:val="00163C8A"/>
    <w:rsid w:val="0016476B"/>
    <w:rsid w:val="00164DA9"/>
    <w:rsid w:val="00164F60"/>
    <w:rsid w:val="001657AD"/>
    <w:rsid w:val="001661F5"/>
    <w:rsid w:val="001662E4"/>
    <w:rsid w:val="001666B4"/>
    <w:rsid w:val="001666F8"/>
    <w:rsid w:val="00166C26"/>
    <w:rsid w:val="00166E4C"/>
    <w:rsid w:val="00167BD5"/>
    <w:rsid w:val="00167EA4"/>
    <w:rsid w:val="00170306"/>
    <w:rsid w:val="00170406"/>
    <w:rsid w:val="00170C69"/>
    <w:rsid w:val="00171B9C"/>
    <w:rsid w:val="0017249D"/>
    <w:rsid w:val="00172A3F"/>
    <w:rsid w:val="001746FA"/>
    <w:rsid w:val="00176B81"/>
    <w:rsid w:val="00176FDA"/>
    <w:rsid w:val="00177085"/>
    <w:rsid w:val="001775DF"/>
    <w:rsid w:val="00177D40"/>
    <w:rsid w:val="00177D88"/>
    <w:rsid w:val="00177F92"/>
    <w:rsid w:val="00180020"/>
    <w:rsid w:val="001808EA"/>
    <w:rsid w:val="00180ED5"/>
    <w:rsid w:val="00181E23"/>
    <w:rsid w:val="00183765"/>
    <w:rsid w:val="00184202"/>
    <w:rsid w:val="00184429"/>
    <w:rsid w:val="0018464B"/>
    <w:rsid w:val="00184C26"/>
    <w:rsid w:val="001866C0"/>
    <w:rsid w:val="00186F85"/>
    <w:rsid w:val="001874DA"/>
    <w:rsid w:val="00187974"/>
    <w:rsid w:val="00187EA3"/>
    <w:rsid w:val="00190B74"/>
    <w:rsid w:val="00190CB1"/>
    <w:rsid w:val="00190F78"/>
    <w:rsid w:val="0019150F"/>
    <w:rsid w:val="00191FC9"/>
    <w:rsid w:val="0019239F"/>
    <w:rsid w:val="00192FA3"/>
    <w:rsid w:val="00193111"/>
    <w:rsid w:val="00193D13"/>
    <w:rsid w:val="00193FF9"/>
    <w:rsid w:val="001953B2"/>
    <w:rsid w:val="00195422"/>
    <w:rsid w:val="00195572"/>
    <w:rsid w:val="00195863"/>
    <w:rsid w:val="00195944"/>
    <w:rsid w:val="00195E2C"/>
    <w:rsid w:val="00195E48"/>
    <w:rsid w:val="00195F4C"/>
    <w:rsid w:val="001960C6"/>
    <w:rsid w:val="001961B4"/>
    <w:rsid w:val="00196BAA"/>
    <w:rsid w:val="001974F3"/>
    <w:rsid w:val="00197541"/>
    <w:rsid w:val="00197836"/>
    <w:rsid w:val="00197B7A"/>
    <w:rsid w:val="00197BEE"/>
    <w:rsid w:val="001A00C7"/>
    <w:rsid w:val="001A01BA"/>
    <w:rsid w:val="001A0E2C"/>
    <w:rsid w:val="001A1162"/>
    <w:rsid w:val="001A3099"/>
    <w:rsid w:val="001A36C6"/>
    <w:rsid w:val="001A3ED4"/>
    <w:rsid w:val="001A46AC"/>
    <w:rsid w:val="001A477F"/>
    <w:rsid w:val="001A48CC"/>
    <w:rsid w:val="001A4F89"/>
    <w:rsid w:val="001A50E4"/>
    <w:rsid w:val="001A5129"/>
    <w:rsid w:val="001A5B78"/>
    <w:rsid w:val="001A5D38"/>
    <w:rsid w:val="001A5EBC"/>
    <w:rsid w:val="001A6253"/>
    <w:rsid w:val="001A646C"/>
    <w:rsid w:val="001A6605"/>
    <w:rsid w:val="001A716D"/>
    <w:rsid w:val="001A7307"/>
    <w:rsid w:val="001A734D"/>
    <w:rsid w:val="001A7E1D"/>
    <w:rsid w:val="001B001D"/>
    <w:rsid w:val="001B021E"/>
    <w:rsid w:val="001B09D9"/>
    <w:rsid w:val="001B111F"/>
    <w:rsid w:val="001B15A8"/>
    <w:rsid w:val="001B2707"/>
    <w:rsid w:val="001B30AA"/>
    <w:rsid w:val="001B356A"/>
    <w:rsid w:val="001B3B11"/>
    <w:rsid w:val="001B3C3A"/>
    <w:rsid w:val="001B4002"/>
    <w:rsid w:val="001B4FB3"/>
    <w:rsid w:val="001B596A"/>
    <w:rsid w:val="001B6CDE"/>
    <w:rsid w:val="001B710D"/>
    <w:rsid w:val="001B7934"/>
    <w:rsid w:val="001C35A9"/>
    <w:rsid w:val="001C39C8"/>
    <w:rsid w:val="001C3F36"/>
    <w:rsid w:val="001C42FD"/>
    <w:rsid w:val="001C52DF"/>
    <w:rsid w:val="001C52E8"/>
    <w:rsid w:val="001C56B2"/>
    <w:rsid w:val="001C6088"/>
    <w:rsid w:val="001C64BD"/>
    <w:rsid w:val="001C67F0"/>
    <w:rsid w:val="001C7170"/>
    <w:rsid w:val="001C7892"/>
    <w:rsid w:val="001C7F99"/>
    <w:rsid w:val="001D06EE"/>
    <w:rsid w:val="001D0C89"/>
    <w:rsid w:val="001D1380"/>
    <w:rsid w:val="001D1E5D"/>
    <w:rsid w:val="001D2220"/>
    <w:rsid w:val="001D2460"/>
    <w:rsid w:val="001D2487"/>
    <w:rsid w:val="001D2B8A"/>
    <w:rsid w:val="001D2C15"/>
    <w:rsid w:val="001D3193"/>
    <w:rsid w:val="001D364C"/>
    <w:rsid w:val="001D3D49"/>
    <w:rsid w:val="001D460E"/>
    <w:rsid w:val="001D5123"/>
    <w:rsid w:val="001D62C7"/>
    <w:rsid w:val="001D66AA"/>
    <w:rsid w:val="001D73EE"/>
    <w:rsid w:val="001D75AA"/>
    <w:rsid w:val="001D76F6"/>
    <w:rsid w:val="001D78CD"/>
    <w:rsid w:val="001D78E1"/>
    <w:rsid w:val="001D7A50"/>
    <w:rsid w:val="001E013C"/>
    <w:rsid w:val="001E0C58"/>
    <w:rsid w:val="001E0F4E"/>
    <w:rsid w:val="001E199E"/>
    <w:rsid w:val="001E1A44"/>
    <w:rsid w:val="001E30DD"/>
    <w:rsid w:val="001E363A"/>
    <w:rsid w:val="001E3B5D"/>
    <w:rsid w:val="001E3FCF"/>
    <w:rsid w:val="001E47B7"/>
    <w:rsid w:val="001E50BC"/>
    <w:rsid w:val="001E5B6A"/>
    <w:rsid w:val="001E6558"/>
    <w:rsid w:val="001E7091"/>
    <w:rsid w:val="001E71E1"/>
    <w:rsid w:val="001E7407"/>
    <w:rsid w:val="001E7807"/>
    <w:rsid w:val="001E786F"/>
    <w:rsid w:val="001E7DF7"/>
    <w:rsid w:val="001E7E69"/>
    <w:rsid w:val="001F10CD"/>
    <w:rsid w:val="001F1E1A"/>
    <w:rsid w:val="001F21D2"/>
    <w:rsid w:val="001F2D23"/>
    <w:rsid w:val="001F33DA"/>
    <w:rsid w:val="001F3C22"/>
    <w:rsid w:val="001F3E02"/>
    <w:rsid w:val="001F4110"/>
    <w:rsid w:val="001F47C8"/>
    <w:rsid w:val="001F4CC9"/>
    <w:rsid w:val="001F4F92"/>
    <w:rsid w:val="001F5E07"/>
    <w:rsid w:val="001F675F"/>
    <w:rsid w:val="001F6DBD"/>
    <w:rsid w:val="001F71D5"/>
    <w:rsid w:val="00200071"/>
    <w:rsid w:val="0020023F"/>
    <w:rsid w:val="0020153C"/>
    <w:rsid w:val="0020158E"/>
    <w:rsid w:val="00201D54"/>
    <w:rsid w:val="002027C7"/>
    <w:rsid w:val="002030BF"/>
    <w:rsid w:val="00203653"/>
    <w:rsid w:val="00203907"/>
    <w:rsid w:val="00203EED"/>
    <w:rsid w:val="00203F8A"/>
    <w:rsid w:val="0020400F"/>
    <w:rsid w:val="0020519D"/>
    <w:rsid w:val="00205F8C"/>
    <w:rsid w:val="0020607D"/>
    <w:rsid w:val="0020668D"/>
    <w:rsid w:val="00207438"/>
    <w:rsid w:val="002074FB"/>
    <w:rsid w:val="00211F51"/>
    <w:rsid w:val="002125EC"/>
    <w:rsid w:val="00212A11"/>
    <w:rsid w:val="002132A3"/>
    <w:rsid w:val="00213822"/>
    <w:rsid w:val="002138BB"/>
    <w:rsid w:val="00213FA0"/>
    <w:rsid w:val="002140C0"/>
    <w:rsid w:val="00214BBC"/>
    <w:rsid w:val="00214C91"/>
    <w:rsid w:val="00215824"/>
    <w:rsid w:val="00216B81"/>
    <w:rsid w:val="00216B82"/>
    <w:rsid w:val="00217008"/>
    <w:rsid w:val="00217A65"/>
    <w:rsid w:val="00217B19"/>
    <w:rsid w:val="002206C6"/>
    <w:rsid w:val="00220B4F"/>
    <w:rsid w:val="00220DF5"/>
    <w:rsid w:val="0022102E"/>
    <w:rsid w:val="00221763"/>
    <w:rsid w:val="002218E9"/>
    <w:rsid w:val="00221DAB"/>
    <w:rsid w:val="00221ED3"/>
    <w:rsid w:val="00222186"/>
    <w:rsid w:val="0022224B"/>
    <w:rsid w:val="00222570"/>
    <w:rsid w:val="0022258F"/>
    <w:rsid w:val="0022269D"/>
    <w:rsid w:val="0022276B"/>
    <w:rsid w:val="00222CA4"/>
    <w:rsid w:val="00222DFF"/>
    <w:rsid w:val="0022342B"/>
    <w:rsid w:val="0022377C"/>
    <w:rsid w:val="002238FA"/>
    <w:rsid w:val="00225001"/>
    <w:rsid w:val="002253FE"/>
    <w:rsid w:val="00225DE6"/>
    <w:rsid w:val="00225EC1"/>
    <w:rsid w:val="00225F0F"/>
    <w:rsid w:val="0022673E"/>
    <w:rsid w:val="00226B7F"/>
    <w:rsid w:val="0022718F"/>
    <w:rsid w:val="002271F3"/>
    <w:rsid w:val="0023010F"/>
    <w:rsid w:val="002302B7"/>
    <w:rsid w:val="002304B5"/>
    <w:rsid w:val="00230B14"/>
    <w:rsid w:val="00231A78"/>
    <w:rsid w:val="00232017"/>
    <w:rsid w:val="00232039"/>
    <w:rsid w:val="00232EA6"/>
    <w:rsid w:val="002330F5"/>
    <w:rsid w:val="00233B95"/>
    <w:rsid w:val="00233C13"/>
    <w:rsid w:val="002344F5"/>
    <w:rsid w:val="00235626"/>
    <w:rsid w:val="0023628F"/>
    <w:rsid w:val="00237637"/>
    <w:rsid w:val="00237813"/>
    <w:rsid w:val="0023789B"/>
    <w:rsid w:val="00237C9C"/>
    <w:rsid w:val="00237E91"/>
    <w:rsid w:val="00237FB0"/>
    <w:rsid w:val="00240071"/>
    <w:rsid w:val="00240821"/>
    <w:rsid w:val="00240ADB"/>
    <w:rsid w:val="002412A2"/>
    <w:rsid w:val="00241396"/>
    <w:rsid w:val="002418C5"/>
    <w:rsid w:val="00241E60"/>
    <w:rsid w:val="002427F5"/>
    <w:rsid w:val="00242860"/>
    <w:rsid w:val="002432A1"/>
    <w:rsid w:val="00243464"/>
    <w:rsid w:val="00243969"/>
    <w:rsid w:val="00243FBC"/>
    <w:rsid w:val="00244336"/>
    <w:rsid w:val="00245FC9"/>
    <w:rsid w:val="002467D2"/>
    <w:rsid w:val="00246828"/>
    <w:rsid w:val="00247070"/>
    <w:rsid w:val="00247325"/>
    <w:rsid w:val="0024733A"/>
    <w:rsid w:val="002509F6"/>
    <w:rsid w:val="00251292"/>
    <w:rsid w:val="002512D1"/>
    <w:rsid w:val="002513B3"/>
    <w:rsid w:val="002539B0"/>
    <w:rsid w:val="002539C9"/>
    <w:rsid w:val="00253B64"/>
    <w:rsid w:val="00253CC4"/>
    <w:rsid w:val="002540DF"/>
    <w:rsid w:val="00254554"/>
    <w:rsid w:val="00254A0A"/>
    <w:rsid w:val="00254D26"/>
    <w:rsid w:val="00254E45"/>
    <w:rsid w:val="002551F9"/>
    <w:rsid w:val="002552C1"/>
    <w:rsid w:val="002559D6"/>
    <w:rsid w:val="00255F7D"/>
    <w:rsid w:val="00256094"/>
    <w:rsid w:val="00256A90"/>
    <w:rsid w:val="002575FB"/>
    <w:rsid w:val="00257AC3"/>
    <w:rsid w:val="00260D2B"/>
    <w:rsid w:val="00261360"/>
    <w:rsid w:val="00261C8A"/>
    <w:rsid w:val="00261DE6"/>
    <w:rsid w:val="002625F1"/>
    <w:rsid w:val="00262F77"/>
    <w:rsid w:val="002635FF"/>
    <w:rsid w:val="0026405E"/>
    <w:rsid w:val="002642FC"/>
    <w:rsid w:val="00264EE5"/>
    <w:rsid w:val="00265209"/>
    <w:rsid w:val="002661E1"/>
    <w:rsid w:val="00266669"/>
    <w:rsid w:val="002668C9"/>
    <w:rsid w:val="00266FD3"/>
    <w:rsid w:val="00267182"/>
    <w:rsid w:val="002673E4"/>
    <w:rsid w:val="002675DD"/>
    <w:rsid w:val="0026772B"/>
    <w:rsid w:val="00270428"/>
    <w:rsid w:val="002709F7"/>
    <w:rsid w:val="00272B1A"/>
    <w:rsid w:val="00272C79"/>
    <w:rsid w:val="00272CB2"/>
    <w:rsid w:val="0027362B"/>
    <w:rsid w:val="0027386D"/>
    <w:rsid w:val="00274020"/>
    <w:rsid w:val="002741BE"/>
    <w:rsid w:val="0027531E"/>
    <w:rsid w:val="00275C63"/>
    <w:rsid w:val="00275FDB"/>
    <w:rsid w:val="00276C8E"/>
    <w:rsid w:val="00276EF5"/>
    <w:rsid w:val="002774EB"/>
    <w:rsid w:val="002776A6"/>
    <w:rsid w:val="00277995"/>
    <w:rsid w:val="002801FA"/>
    <w:rsid w:val="002811E0"/>
    <w:rsid w:val="00281391"/>
    <w:rsid w:val="0028309A"/>
    <w:rsid w:val="0028341F"/>
    <w:rsid w:val="002834AE"/>
    <w:rsid w:val="002835C6"/>
    <w:rsid w:val="002837CC"/>
    <w:rsid w:val="002843FB"/>
    <w:rsid w:val="002844FD"/>
    <w:rsid w:val="002847F0"/>
    <w:rsid w:val="00284917"/>
    <w:rsid w:val="002850F3"/>
    <w:rsid w:val="00286F1F"/>
    <w:rsid w:val="00287B97"/>
    <w:rsid w:val="00290476"/>
    <w:rsid w:val="00290C24"/>
    <w:rsid w:val="002917E7"/>
    <w:rsid w:val="0029191E"/>
    <w:rsid w:val="00291B84"/>
    <w:rsid w:val="002923FC"/>
    <w:rsid w:val="002924A0"/>
    <w:rsid w:val="0029267F"/>
    <w:rsid w:val="00292BE9"/>
    <w:rsid w:val="00292E62"/>
    <w:rsid w:val="00293738"/>
    <w:rsid w:val="0029376D"/>
    <w:rsid w:val="002938D0"/>
    <w:rsid w:val="00293915"/>
    <w:rsid w:val="0029402A"/>
    <w:rsid w:val="00294C92"/>
    <w:rsid w:val="00294CF1"/>
    <w:rsid w:val="00294EDF"/>
    <w:rsid w:val="0029525E"/>
    <w:rsid w:val="002958BA"/>
    <w:rsid w:val="00295B7E"/>
    <w:rsid w:val="00297070"/>
    <w:rsid w:val="00297CC1"/>
    <w:rsid w:val="00297E4B"/>
    <w:rsid w:val="002A0341"/>
    <w:rsid w:val="002A0371"/>
    <w:rsid w:val="002A0A32"/>
    <w:rsid w:val="002A0AF9"/>
    <w:rsid w:val="002A1482"/>
    <w:rsid w:val="002A2823"/>
    <w:rsid w:val="002A2D25"/>
    <w:rsid w:val="002A2EA5"/>
    <w:rsid w:val="002A2FDC"/>
    <w:rsid w:val="002A3633"/>
    <w:rsid w:val="002A408E"/>
    <w:rsid w:val="002A46F2"/>
    <w:rsid w:val="002A4A88"/>
    <w:rsid w:val="002A4BF8"/>
    <w:rsid w:val="002A4C31"/>
    <w:rsid w:val="002A5CDA"/>
    <w:rsid w:val="002A5F4A"/>
    <w:rsid w:val="002A6686"/>
    <w:rsid w:val="002A6FF1"/>
    <w:rsid w:val="002A7320"/>
    <w:rsid w:val="002A74F4"/>
    <w:rsid w:val="002B03A9"/>
    <w:rsid w:val="002B03FD"/>
    <w:rsid w:val="002B073A"/>
    <w:rsid w:val="002B0B2F"/>
    <w:rsid w:val="002B0FD4"/>
    <w:rsid w:val="002B17A3"/>
    <w:rsid w:val="002B1DC9"/>
    <w:rsid w:val="002B1DE5"/>
    <w:rsid w:val="002B309B"/>
    <w:rsid w:val="002B453E"/>
    <w:rsid w:val="002B4979"/>
    <w:rsid w:val="002B4FB1"/>
    <w:rsid w:val="002B5532"/>
    <w:rsid w:val="002B5663"/>
    <w:rsid w:val="002B571F"/>
    <w:rsid w:val="002B57BC"/>
    <w:rsid w:val="002B58E3"/>
    <w:rsid w:val="002B5C70"/>
    <w:rsid w:val="002B5D0B"/>
    <w:rsid w:val="002B6DA6"/>
    <w:rsid w:val="002B6F16"/>
    <w:rsid w:val="002B7273"/>
    <w:rsid w:val="002B74A4"/>
    <w:rsid w:val="002B763A"/>
    <w:rsid w:val="002C000C"/>
    <w:rsid w:val="002C0011"/>
    <w:rsid w:val="002C03F4"/>
    <w:rsid w:val="002C04C3"/>
    <w:rsid w:val="002C0700"/>
    <w:rsid w:val="002C1145"/>
    <w:rsid w:val="002C11E1"/>
    <w:rsid w:val="002C15C7"/>
    <w:rsid w:val="002C1A2F"/>
    <w:rsid w:val="002C1AAE"/>
    <w:rsid w:val="002C1AE4"/>
    <w:rsid w:val="002C1FEC"/>
    <w:rsid w:val="002C220C"/>
    <w:rsid w:val="002C242B"/>
    <w:rsid w:val="002C2E2B"/>
    <w:rsid w:val="002C36C3"/>
    <w:rsid w:val="002C373B"/>
    <w:rsid w:val="002C3A1C"/>
    <w:rsid w:val="002C3D2B"/>
    <w:rsid w:val="002C4155"/>
    <w:rsid w:val="002C41CC"/>
    <w:rsid w:val="002C4259"/>
    <w:rsid w:val="002C4319"/>
    <w:rsid w:val="002C47A6"/>
    <w:rsid w:val="002C5D6A"/>
    <w:rsid w:val="002C5ED1"/>
    <w:rsid w:val="002C6201"/>
    <w:rsid w:val="002C627C"/>
    <w:rsid w:val="002C63E6"/>
    <w:rsid w:val="002C70DE"/>
    <w:rsid w:val="002C743D"/>
    <w:rsid w:val="002D0F5D"/>
    <w:rsid w:val="002D14BE"/>
    <w:rsid w:val="002D155D"/>
    <w:rsid w:val="002D170D"/>
    <w:rsid w:val="002D26B7"/>
    <w:rsid w:val="002D26BA"/>
    <w:rsid w:val="002D28DC"/>
    <w:rsid w:val="002D29BF"/>
    <w:rsid w:val="002D2BF0"/>
    <w:rsid w:val="002D2C65"/>
    <w:rsid w:val="002D2F08"/>
    <w:rsid w:val="002D3310"/>
    <w:rsid w:val="002D3850"/>
    <w:rsid w:val="002D3FBF"/>
    <w:rsid w:val="002D42DD"/>
    <w:rsid w:val="002D4505"/>
    <w:rsid w:val="002D4665"/>
    <w:rsid w:val="002D4C21"/>
    <w:rsid w:val="002D4E1C"/>
    <w:rsid w:val="002D501A"/>
    <w:rsid w:val="002D5212"/>
    <w:rsid w:val="002D5765"/>
    <w:rsid w:val="002D67CA"/>
    <w:rsid w:val="002D6F70"/>
    <w:rsid w:val="002D74D0"/>
    <w:rsid w:val="002D7560"/>
    <w:rsid w:val="002D7A69"/>
    <w:rsid w:val="002E0015"/>
    <w:rsid w:val="002E00C3"/>
    <w:rsid w:val="002E0163"/>
    <w:rsid w:val="002E066E"/>
    <w:rsid w:val="002E1E4C"/>
    <w:rsid w:val="002E20B9"/>
    <w:rsid w:val="002E2BB9"/>
    <w:rsid w:val="002E2BC8"/>
    <w:rsid w:val="002E32F1"/>
    <w:rsid w:val="002E3752"/>
    <w:rsid w:val="002E4995"/>
    <w:rsid w:val="002E4DB5"/>
    <w:rsid w:val="002E54F1"/>
    <w:rsid w:val="002E558D"/>
    <w:rsid w:val="002E5845"/>
    <w:rsid w:val="002E6194"/>
    <w:rsid w:val="002E6543"/>
    <w:rsid w:val="002E7312"/>
    <w:rsid w:val="002F0440"/>
    <w:rsid w:val="002F046E"/>
    <w:rsid w:val="002F0A58"/>
    <w:rsid w:val="002F1254"/>
    <w:rsid w:val="002F22F0"/>
    <w:rsid w:val="002F2761"/>
    <w:rsid w:val="002F2DAB"/>
    <w:rsid w:val="002F2F55"/>
    <w:rsid w:val="002F4201"/>
    <w:rsid w:val="002F4B85"/>
    <w:rsid w:val="002F760B"/>
    <w:rsid w:val="003001BE"/>
    <w:rsid w:val="003007B4"/>
    <w:rsid w:val="00300940"/>
    <w:rsid w:val="00300FED"/>
    <w:rsid w:val="00301C1A"/>
    <w:rsid w:val="00302774"/>
    <w:rsid w:val="00302858"/>
    <w:rsid w:val="00302E03"/>
    <w:rsid w:val="003036C7"/>
    <w:rsid w:val="00304666"/>
    <w:rsid w:val="003048C1"/>
    <w:rsid w:val="00305249"/>
    <w:rsid w:val="003059EB"/>
    <w:rsid w:val="00305B0C"/>
    <w:rsid w:val="00305EA8"/>
    <w:rsid w:val="003066F9"/>
    <w:rsid w:val="00306974"/>
    <w:rsid w:val="00306CE7"/>
    <w:rsid w:val="00307BD7"/>
    <w:rsid w:val="00307D04"/>
    <w:rsid w:val="003108FE"/>
    <w:rsid w:val="00311187"/>
    <w:rsid w:val="0031332D"/>
    <w:rsid w:val="00313C62"/>
    <w:rsid w:val="00313FFD"/>
    <w:rsid w:val="00315BB0"/>
    <w:rsid w:val="003166EF"/>
    <w:rsid w:val="0031701B"/>
    <w:rsid w:val="003170A0"/>
    <w:rsid w:val="003209C6"/>
    <w:rsid w:val="00321928"/>
    <w:rsid w:val="003221A2"/>
    <w:rsid w:val="00323735"/>
    <w:rsid w:val="003248EF"/>
    <w:rsid w:val="00325226"/>
    <w:rsid w:val="0032527E"/>
    <w:rsid w:val="003252C9"/>
    <w:rsid w:val="003259FF"/>
    <w:rsid w:val="0032642E"/>
    <w:rsid w:val="0032656C"/>
    <w:rsid w:val="0032693A"/>
    <w:rsid w:val="00326DC4"/>
    <w:rsid w:val="003273C2"/>
    <w:rsid w:val="00327764"/>
    <w:rsid w:val="00327A88"/>
    <w:rsid w:val="00327E8C"/>
    <w:rsid w:val="00330079"/>
    <w:rsid w:val="00330094"/>
    <w:rsid w:val="00330C58"/>
    <w:rsid w:val="00331805"/>
    <w:rsid w:val="003318FC"/>
    <w:rsid w:val="003322A4"/>
    <w:rsid w:val="00332D95"/>
    <w:rsid w:val="003331C5"/>
    <w:rsid w:val="003331E4"/>
    <w:rsid w:val="00333404"/>
    <w:rsid w:val="003339AA"/>
    <w:rsid w:val="00334CCB"/>
    <w:rsid w:val="00334E10"/>
    <w:rsid w:val="00335750"/>
    <w:rsid w:val="003361F5"/>
    <w:rsid w:val="003362F9"/>
    <w:rsid w:val="00337057"/>
    <w:rsid w:val="00340CD2"/>
    <w:rsid w:val="0034128F"/>
    <w:rsid w:val="00341417"/>
    <w:rsid w:val="00342A97"/>
    <w:rsid w:val="00342CA3"/>
    <w:rsid w:val="00342F4D"/>
    <w:rsid w:val="00343C69"/>
    <w:rsid w:val="00346024"/>
    <w:rsid w:val="00346358"/>
    <w:rsid w:val="0034747F"/>
    <w:rsid w:val="003476E5"/>
    <w:rsid w:val="003500EB"/>
    <w:rsid w:val="00351468"/>
    <w:rsid w:val="0035147A"/>
    <w:rsid w:val="003527F5"/>
    <w:rsid w:val="00353142"/>
    <w:rsid w:val="003531B5"/>
    <w:rsid w:val="00354098"/>
    <w:rsid w:val="00354188"/>
    <w:rsid w:val="0035429E"/>
    <w:rsid w:val="00354D48"/>
    <w:rsid w:val="00355561"/>
    <w:rsid w:val="00355E24"/>
    <w:rsid w:val="0035638C"/>
    <w:rsid w:val="003563E8"/>
    <w:rsid w:val="003565AF"/>
    <w:rsid w:val="00356947"/>
    <w:rsid w:val="003575CE"/>
    <w:rsid w:val="003576AF"/>
    <w:rsid w:val="003578E6"/>
    <w:rsid w:val="00357FCF"/>
    <w:rsid w:val="003619F5"/>
    <w:rsid w:val="00361E35"/>
    <w:rsid w:val="00362A4C"/>
    <w:rsid w:val="003630FB"/>
    <w:rsid w:val="003637F5"/>
    <w:rsid w:val="0036386E"/>
    <w:rsid w:val="00363BCE"/>
    <w:rsid w:val="00363BCF"/>
    <w:rsid w:val="00363C5C"/>
    <w:rsid w:val="00365086"/>
    <w:rsid w:val="00365203"/>
    <w:rsid w:val="00365368"/>
    <w:rsid w:val="00365441"/>
    <w:rsid w:val="00365990"/>
    <w:rsid w:val="00365E1A"/>
    <w:rsid w:val="0036775F"/>
    <w:rsid w:val="00367936"/>
    <w:rsid w:val="00370B80"/>
    <w:rsid w:val="00370E6F"/>
    <w:rsid w:val="00370FFB"/>
    <w:rsid w:val="00371325"/>
    <w:rsid w:val="003713AA"/>
    <w:rsid w:val="00372BC8"/>
    <w:rsid w:val="00372F16"/>
    <w:rsid w:val="00372FCE"/>
    <w:rsid w:val="00374497"/>
    <w:rsid w:val="003748F9"/>
    <w:rsid w:val="00374A69"/>
    <w:rsid w:val="00374C7C"/>
    <w:rsid w:val="0037505F"/>
    <w:rsid w:val="003752FA"/>
    <w:rsid w:val="003753C1"/>
    <w:rsid w:val="00375428"/>
    <w:rsid w:val="00375766"/>
    <w:rsid w:val="003760DA"/>
    <w:rsid w:val="00376522"/>
    <w:rsid w:val="003766D3"/>
    <w:rsid w:val="003766DA"/>
    <w:rsid w:val="003770A1"/>
    <w:rsid w:val="003801B8"/>
    <w:rsid w:val="0038068D"/>
    <w:rsid w:val="00380C00"/>
    <w:rsid w:val="00380C7E"/>
    <w:rsid w:val="00380EA1"/>
    <w:rsid w:val="00381B1D"/>
    <w:rsid w:val="00383488"/>
    <w:rsid w:val="0038400C"/>
    <w:rsid w:val="00384276"/>
    <w:rsid w:val="00384B27"/>
    <w:rsid w:val="00384C1F"/>
    <w:rsid w:val="0038541C"/>
    <w:rsid w:val="00385423"/>
    <w:rsid w:val="003855C5"/>
    <w:rsid w:val="00386CD2"/>
    <w:rsid w:val="003872BF"/>
    <w:rsid w:val="00387A41"/>
    <w:rsid w:val="00387BF5"/>
    <w:rsid w:val="00387D91"/>
    <w:rsid w:val="0039044C"/>
    <w:rsid w:val="003904CC"/>
    <w:rsid w:val="003907EE"/>
    <w:rsid w:val="00391C12"/>
    <w:rsid w:val="00392DBF"/>
    <w:rsid w:val="00393353"/>
    <w:rsid w:val="00393805"/>
    <w:rsid w:val="00393B3D"/>
    <w:rsid w:val="00393C62"/>
    <w:rsid w:val="0039416D"/>
    <w:rsid w:val="003942D0"/>
    <w:rsid w:val="003944C0"/>
    <w:rsid w:val="003945D3"/>
    <w:rsid w:val="00394919"/>
    <w:rsid w:val="00394C04"/>
    <w:rsid w:val="00395629"/>
    <w:rsid w:val="00396651"/>
    <w:rsid w:val="003969B0"/>
    <w:rsid w:val="00396B26"/>
    <w:rsid w:val="00396E42"/>
    <w:rsid w:val="00397A05"/>
    <w:rsid w:val="003A0860"/>
    <w:rsid w:val="003A08EB"/>
    <w:rsid w:val="003A1150"/>
    <w:rsid w:val="003A1B1B"/>
    <w:rsid w:val="003A205D"/>
    <w:rsid w:val="003A3F75"/>
    <w:rsid w:val="003A4295"/>
    <w:rsid w:val="003A47D3"/>
    <w:rsid w:val="003A4BA9"/>
    <w:rsid w:val="003A4EDF"/>
    <w:rsid w:val="003A528D"/>
    <w:rsid w:val="003A6C3C"/>
    <w:rsid w:val="003A71C4"/>
    <w:rsid w:val="003A7C00"/>
    <w:rsid w:val="003B00BF"/>
    <w:rsid w:val="003B00FC"/>
    <w:rsid w:val="003B0594"/>
    <w:rsid w:val="003B0A60"/>
    <w:rsid w:val="003B0AEF"/>
    <w:rsid w:val="003B0EB7"/>
    <w:rsid w:val="003B2099"/>
    <w:rsid w:val="003B25AB"/>
    <w:rsid w:val="003B268D"/>
    <w:rsid w:val="003B34B8"/>
    <w:rsid w:val="003B425F"/>
    <w:rsid w:val="003B48B6"/>
    <w:rsid w:val="003B5009"/>
    <w:rsid w:val="003B52D8"/>
    <w:rsid w:val="003B5411"/>
    <w:rsid w:val="003B5543"/>
    <w:rsid w:val="003B6643"/>
    <w:rsid w:val="003B66D3"/>
    <w:rsid w:val="003B689D"/>
    <w:rsid w:val="003B6BE5"/>
    <w:rsid w:val="003B6E5A"/>
    <w:rsid w:val="003B6FAB"/>
    <w:rsid w:val="003B7778"/>
    <w:rsid w:val="003B7807"/>
    <w:rsid w:val="003B7F88"/>
    <w:rsid w:val="003C0968"/>
    <w:rsid w:val="003C0F77"/>
    <w:rsid w:val="003C167E"/>
    <w:rsid w:val="003C209D"/>
    <w:rsid w:val="003C23F1"/>
    <w:rsid w:val="003C297A"/>
    <w:rsid w:val="003C2DBC"/>
    <w:rsid w:val="003C2E37"/>
    <w:rsid w:val="003C3097"/>
    <w:rsid w:val="003C382B"/>
    <w:rsid w:val="003C3B2D"/>
    <w:rsid w:val="003C555A"/>
    <w:rsid w:val="003C5CA9"/>
    <w:rsid w:val="003C5DF9"/>
    <w:rsid w:val="003C5F1F"/>
    <w:rsid w:val="003C6D41"/>
    <w:rsid w:val="003C74C6"/>
    <w:rsid w:val="003C77C5"/>
    <w:rsid w:val="003C78F8"/>
    <w:rsid w:val="003C7A84"/>
    <w:rsid w:val="003C7D74"/>
    <w:rsid w:val="003D00CC"/>
    <w:rsid w:val="003D0C63"/>
    <w:rsid w:val="003D0D2E"/>
    <w:rsid w:val="003D0DF0"/>
    <w:rsid w:val="003D153E"/>
    <w:rsid w:val="003D1FFE"/>
    <w:rsid w:val="003D27EB"/>
    <w:rsid w:val="003D3935"/>
    <w:rsid w:val="003D416F"/>
    <w:rsid w:val="003D4C22"/>
    <w:rsid w:val="003D5DA2"/>
    <w:rsid w:val="003D6178"/>
    <w:rsid w:val="003D78F6"/>
    <w:rsid w:val="003D7A30"/>
    <w:rsid w:val="003E04F8"/>
    <w:rsid w:val="003E05EF"/>
    <w:rsid w:val="003E0D6C"/>
    <w:rsid w:val="003E107F"/>
    <w:rsid w:val="003E16A7"/>
    <w:rsid w:val="003E2CA6"/>
    <w:rsid w:val="003E35F1"/>
    <w:rsid w:val="003E3713"/>
    <w:rsid w:val="003E3AC9"/>
    <w:rsid w:val="003E401D"/>
    <w:rsid w:val="003E489B"/>
    <w:rsid w:val="003E4C80"/>
    <w:rsid w:val="003E4F19"/>
    <w:rsid w:val="003E50DB"/>
    <w:rsid w:val="003E52A1"/>
    <w:rsid w:val="003E633A"/>
    <w:rsid w:val="003E6707"/>
    <w:rsid w:val="003E6FB3"/>
    <w:rsid w:val="003E74BD"/>
    <w:rsid w:val="003F0F02"/>
    <w:rsid w:val="003F1098"/>
    <w:rsid w:val="003F29A2"/>
    <w:rsid w:val="003F4CEB"/>
    <w:rsid w:val="003F5FF8"/>
    <w:rsid w:val="003F68C9"/>
    <w:rsid w:val="003F6C47"/>
    <w:rsid w:val="003F6DA5"/>
    <w:rsid w:val="003F6F3A"/>
    <w:rsid w:val="003F701F"/>
    <w:rsid w:val="003F73E2"/>
    <w:rsid w:val="003F74E3"/>
    <w:rsid w:val="003F779F"/>
    <w:rsid w:val="003F7B20"/>
    <w:rsid w:val="00400268"/>
    <w:rsid w:val="0040050B"/>
    <w:rsid w:val="00400612"/>
    <w:rsid w:val="00401078"/>
    <w:rsid w:val="00401DB2"/>
    <w:rsid w:val="00403044"/>
    <w:rsid w:val="00403C92"/>
    <w:rsid w:val="00403CF6"/>
    <w:rsid w:val="004058D5"/>
    <w:rsid w:val="00405DDD"/>
    <w:rsid w:val="00406BAC"/>
    <w:rsid w:val="00406C8F"/>
    <w:rsid w:val="00407085"/>
    <w:rsid w:val="00407452"/>
    <w:rsid w:val="004076FD"/>
    <w:rsid w:val="00407B4D"/>
    <w:rsid w:val="00411840"/>
    <w:rsid w:val="00411B3A"/>
    <w:rsid w:val="004120BB"/>
    <w:rsid w:val="00412C36"/>
    <w:rsid w:val="00412E01"/>
    <w:rsid w:val="00412EAC"/>
    <w:rsid w:val="00413C93"/>
    <w:rsid w:val="00414D2C"/>
    <w:rsid w:val="00415F09"/>
    <w:rsid w:val="004167A0"/>
    <w:rsid w:val="00416A54"/>
    <w:rsid w:val="00416D9B"/>
    <w:rsid w:val="0041721F"/>
    <w:rsid w:val="00417629"/>
    <w:rsid w:val="00417AA3"/>
    <w:rsid w:val="00420804"/>
    <w:rsid w:val="00420CFC"/>
    <w:rsid w:val="0042107E"/>
    <w:rsid w:val="00421C62"/>
    <w:rsid w:val="00421DE5"/>
    <w:rsid w:val="00422119"/>
    <w:rsid w:val="00422747"/>
    <w:rsid w:val="004228FD"/>
    <w:rsid w:val="00423915"/>
    <w:rsid w:val="0042398C"/>
    <w:rsid w:val="00423D54"/>
    <w:rsid w:val="00423FEF"/>
    <w:rsid w:val="004247B6"/>
    <w:rsid w:val="00424BCE"/>
    <w:rsid w:val="00424C3A"/>
    <w:rsid w:val="00424CB5"/>
    <w:rsid w:val="00424D02"/>
    <w:rsid w:val="0042508F"/>
    <w:rsid w:val="004255CF"/>
    <w:rsid w:val="00425BEE"/>
    <w:rsid w:val="0042665B"/>
    <w:rsid w:val="0042690A"/>
    <w:rsid w:val="004269B0"/>
    <w:rsid w:val="0042795F"/>
    <w:rsid w:val="00427D87"/>
    <w:rsid w:val="00430AE5"/>
    <w:rsid w:val="004318EA"/>
    <w:rsid w:val="00431C06"/>
    <w:rsid w:val="00431E27"/>
    <w:rsid w:val="00432891"/>
    <w:rsid w:val="00433204"/>
    <w:rsid w:val="0043330E"/>
    <w:rsid w:val="0043537A"/>
    <w:rsid w:val="004353BA"/>
    <w:rsid w:val="00435AB3"/>
    <w:rsid w:val="0043669A"/>
    <w:rsid w:val="00436E10"/>
    <w:rsid w:val="00436E8B"/>
    <w:rsid w:val="0044009B"/>
    <w:rsid w:val="00440315"/>
    <w:rsid w:val="00441EC2"/>
    <w:rsid w:val="0044233A"/>
    <w:rsid w:val="0044273C"/>
    <w:rsid w:val="00442AD4"/>
    <w:rsid w:val="00442B50"/>
    <w:rsid w:val="00442D63"/>
    <w:rsid w:val="0044300B"/>
    <w:rsid w:val="00443F87"/>
    <w:rsid w:val="0044468E"/>
    <w:rsid w:val="0044492E"/>
    <w:rsid w:val="004462AA"/>
    <w:rsid w:val="004473F5"/>
    <w:rsid w:val="00447641"/>
    <w:rsid w:val="00447ADF"/>
    <w:rsid w:val="004501F0"/>
    <w:rsid w:val="004508A1"/>
    <w:rsid w:val="004510AC"/>
    <w:rsid w:val="00451491"/>
    <w:rsid w:val="00451C8B"/>
    <w:rsid w:val="004523B9"/>
    <w:rsid w:val="004534E8"/>
    <w:rsid w:val="0045360A"/>
    <w:rsid w:val="00453A2D"/>
    <w:rsid w:val="00453CC0"/>
    <w:rsid w:val="00453F35"/>
    <w:rsid w:val="00454E58"/>
    <w:rsid w:val="00455766"/>
    <w:rsid w:val="00456720"/>
    <w:rsid w:val="004573D2"/>
    <w:rsid w:val="00460DD3"/>
    <w:rsid w:val="004610B0"/>
    <w:rsid w:val="0046145D"/>
    <w:rsid w:val="00461548"/>
    <w:rsid w:val="00461623"/>
    <w:rsid w:val="004616A1"/>
    <w:rsid w:val="00461937"/>
    <w:rsid w:val="00461CF9"/>
    <w:rsid w:val="00462E83"/>
    <w:rsid w:val="004630FB"/>
    <w:rsid w:val="00464056"/>
    <w:rsid w:val="004642F2"/>
    <w:rsid w:val="00464F3B"/>
    <w:rsid w:val="00465739"/>
    <w:rsid w:val="00465A6C"/>
    <w:rsid w:val="00466181"/>
    <w:rsid w:val="00466AA3"/>
    <w:rsid w:val="004679E4"/>
    <w:rsid w:val="00467C81"/>
    <w:rsid w:val="00467CF1"/>
    <w:rsid w:val="00467F4F"/>
    <w:rsid w:val="00470070"/>
    <w:rsid w:val="004701CB"/>
    <w:rsid w:val="00470585"/>
    <w:rsid w:val="004711D8"/>
    <w:rsid w:val="00471435"/>
    <w:rsid w:val="0047163E"/>
    <w:rsid w:val="00471F40"/>
    <w:rsid w:val="00472163"/>
    <w:rsid w:val="00472416"/>
    <w:rsid w:val="00472B60"/>
    <w:rsid w:val="004732B4"/>
    <w:rsid w:val="00473AE1"/>
    <w:rsid w:val="00473BC5"/>
    <w:rsid w:val="00473F3A"/>
    <w:rsid w:val="00474D2C"/>
    <w:rsid w:val="00474F9D"/>
    <w:rsid w:val="004752E7"/>
    <w:rsid w:val="00475868"/>
    <w:rsid w:val="00476402"/>
    <w:rsid w:val="0047654A"/>
    <w:rsid w:val="004779CF"/>
    <w:rsid w:val="00480E60"/>
    <w:rsid w:val="0048145F"/>
    <w:rsid w:val="00481625"/>
    <w:rsid w:val="004817AC"/>
    <w:rsid w:val="00481895"/>
    <w:rsid w:val="00481A8B"/>
    <w:rsid w:val="00482060"/>
    <w:rsid w:val="004821D3"/>
    <w:rsid w:val="004821FC"/>
    <w:rsid w:val="00482616"/>
    <w:rsid w:val="00482F8F"/>
    <w:rsid w:val="00483088"/>
    <w:rsid w:val="004834AD"/>
    <w:rsid w:val="00483DC7"/>
    <w:rsid w:val="00483DE6"/>
    <w:rsid w:val="0048415D"/>
    <w:rsid w:val="0048459C"/>
    <w:rsid w:val="004845E8"/>
    <w:rsid w:val="0048484D"/>
    <w:rsid w:val="00484FB9"/>
    <w:rsid w:val="00485191"/>
    <w:rsid w:val="004859D1"/>
    <w:rsid w:val="0048600C"/>
    <w:rsid w:val="004862E7"/>
    <w:rsid w:val="004863CD"/>
    <w:rsid w:val="004874D5"/>
    <w:rsid w:val="00487FDE"/>
    <w:rsid w:val="0049020D"/>
    <w:rsid w:val="00490783"/>
    <w:rsid w:val="00490B31"/>
    <w:rsid w:val="00490F54"/>
    <w:rsid w:val="004925A5"/>
    <w:rsid w:val="00492E35"/>
    <w:rsid w:val="00492EF9"/>
    <w:rsid w:val="0049300C"/>
    <w:rsid w:val="00493667"/>
    <w:rsid w:val="00494094"/>
    <w:rsid w:val="004944AB"/>
    <w:rsid w:val="00494515"/>
    <w:rsid w:val="00494B51"/>
    <w:rsid w:val="00494D13"/>
    <w:rsid w:val="004951BC"/>
    <w:rsid w:val="0049568C"/>
    <w:rsid w:val="00496F85"/>
    <w:rsid w:val="00497625"/>
    <w:rsid w:val="00497919"/>
    <w:rsid w:val="00497A48"/>
    <w:rsid w:val="00497AF9"/>
    <w:rsid w:val="004A070C"/>
    <w:rsid w:val="004A142E"/>
    <w:rsid w:val="004A1830"/>
    <w:rsid w:val="004A18B6"/>
    <w:rsid w:val="004A2449"/>
    <w:rsid w:val="004A2B20"/>
    <w:rsid w:val="004A312D"/>
    <w:rsid w:val="004A3304"/>
    <w:rsid w:val="004A37EF"/>
    <w:rsid w:val="004A437E"/>
    <w:rsid w:val="004A4C38"/>
    <w:rsid w:val="004A4F26"/>
    <w:rsid w:val="004A53FF"/>
    <w:rsid w:val="004A5FA7"/>
    <w:rsid w:val="004A636F"/>
    <w:rsid w:val="004A6A02"/>
    <w:rsid w:val="004A7781"/>
    <w:rsid w:val="004B01A7"/>
    <w:rsid w:val="004B1992"/>
    <w:rsid w:val="004B1AE7"/>
    <w:rsid w:val="004B25BF"/>
    <w:rsid w:val="004B2C26"/>
    <w:rsid w:val="004B2FA6"/>
    <w:rsid w:val="004B3C1A"/>
    <w:rsid w:val="004B4173"/>
    <w:rsid w:val="004B500E"/>
    <w:rsid w:val="004B58C7"/>
    <w:rsid w:val="004B6468"/>
    <w:rsid w:val="004B6816"/>
    <w:rsid w:val="004B6B0D"/>
    <w:rsid w:val="004B6B2A"/>
    <w:rsid w:val="004B70BA"/>
    <w:rsid w:val="004B78C9"/>
    <w:rsid w:val="004B7DB8"/>
    <w:rsid w:val="004C026D"/>
    <w:rsid w:val="004C0379"/>
    <w:rsid w:val="004C0891"/>
    <w:rsid w:val="004C1318"/>
    <w:rsid w:val="004C161F"/>
    <w:rsid w:val="004C1A13"/>
    <w:rsid w:val="004C1BBA"/>
    <w:rsid w:val="004C1F7B"/>
    <w:rsid w:val="004C22A9"/>
    <w:rsid w:val="004C32C2"/>
    <w:rsid w:val="004C33BB"/>
    <w:rsid w:val="004C37FE"/>
    <w:rsid w:val="004C3985"/>
    <w:rsid w:val="004C3AB3"/>
    <w:rsid w:val="004C4862"/>
    <w:rsid w:val="004C4900"/>
    <w:rsid w:val="004C4B35"/>
    <w:rsid w:val="004C5525"/>
    <w:rsid w:val="004C5855"/>
    <w:rsid w:val="004C61EF"/>
    <w:rsid w:val="004C6534"/>
    <w:rsid w:val="004C689C"/>
    <w:rsid w:val="004C737E"/>
    <w:rsid w:val="004C7657"/>
    <w:rsid w:val="004D0776"/>
    <w:rsid w:val="004D0BF6"/>
    <w:rsid w:val="004D0EC4"/>
    <w:rsid w:val="004D0FA2"/>
    <w:rsid w:val="004D11F4"/>
    <w:rsid w:val="004D140D"/>
    <w:rsid w:val="004D188C"/>
    <w:rsid w:val="004D2641"/>
    <w:rsid w:val="004D293C"/>
    <w:rsid w:val="004D2CAF"/>
    <w:rsid w:val="004D3823"/>
    <w:rsid w:val="004D3A6D"/>
    <w:rsid w:val="004D3D24"/>
    <w:rsid w:val="004D40EB"/>
    <w:rsid w:val="004D4BDA"/>
    <w:rsid w:val="004D5AE3"/>
    <w:rsid w:val="004D5FA0"/>
    <w:rsid w:val="004D6106"/>
    <w:rsid w:val="004D694A"/>
    <w:rsid w:val="004D6FE2"/>
    <w:rsid w:val="004D7E73"/>
    <w:rsid w:val="004E02E7"/>
    <w:rsid w:val="004E0852"/>
    <w:rsid w:val="004E1044"/>
    <w:rsid w:val="004E13AD"/>
    <w:rsid w:val="004E1BEA"/>
    <w:rsid w:val="004E29B3"/>
    <w:rsid w:val="004E2DA0"/>
    <w:rsid w:val="004E2DA7"/>
    <w:rsid w:val="004E34F1"/>
    <w:rsid w:val="004E3DBB"/>
    <w:rsid w:val="004E3E4D"/>
    <w:rsid w:val="004E43FD"/>
    <w:rsid w:val="004E509D"/>
    <w:rsid w:val="004E5187"/>
    <w:rsid w:val="004E5351"/>
    <w:rsid w:val="004E5A40"/>
    <w:rsid w:val="004E609F"/>
    <w:rsid w:val="004E7BF5"/>
    <w:rsid w:val="004E7CAD"/>
    <w:rsid w:val="004F0311"/>
    <w:rsid w:val="004F0810"/>
    <w:rsid w:val="004F0A99"/>
    <w:rsid w:val="004F132B"/>
    <w:rsid w:val="004F1C70"/>
    <w:rsid w:val="004F227D"/>
    <w:rsid w:val="004F22C5"/>
    <w:rsid w:val="004F2490"/>
    <w:rsid w:val="004F26E2"/>
    <w:rsid w:val="004F28EC"/>
    <w:rsid w:val="004F2D9A"/>
    <w:rsid w:val="004F3038"/>
    <w:rsid w:val="004F4C68"/>
    <w:rsid w:val="004F546F"/>
    <w:rsid w:val="004F6387"/>
    <w:rsid w:val="004F679E"/>
    <w:rsid w:val="004F7863"/>
    <w:rsid w:val="004F7B69"/>
    <w:rsid w:val="004F7C28"/>
    <w:rsid w:val="00500291"/>
    <w:rsid w:val="00500D88"/>
    <w:rsid w:val="005012C6"/>
    <w:rsid w:val="005013F4"/>
    <w:rsid w:val="00502DF8"/>
    <w:rsid w:val="00503101"/>
    <w:rsid w:val="005033E0"/>
    <w:rsid w:val="005039AB"/>
    <w:rsid w:val="00503DCF"/>
    <w:rsid w:val="00503E5E"/>
    <w:rsid w:val="005042D6"/>
    <w:rsid w:val="005045FA"/>
    <w:rsid w:val="005049F5"/>
    <w:rsid w:val="00504C73"/>
    <w:rsid w:val="0050541E"/>
    <w:rsid w:val="00507713"/>
    <w:rsid w:val="005077D3"/>
    <w:rsid w:val="00507CE2"/>
    <w:rsid w:val="00510093"/>
    <w:rsid w:val="00511885"/>
    <w:rsid w:val="00511E17"/>
    <w:rsid w:val="00512BC7"/>
    <w:rsid w:val="00512F82"/>
    <w:rsid w:val="005141E9"/>
    <w:rsid w:val="00514390"/>
    <w:rsid w:val="00514D69"/>
    <w:rsid w:val="005150C5"/>
    <w:rsid w:val="00516041"/>
    <w:rsid w:val="00516393"/>
    <w:rsid w:val="0051670F"/>
    <w:rsid w:val="005168CC"/>
    <w:rsid w:val="00516A77"/>
    <w:rsid w:val="00516C0E"/>
    <w:rsid w:val="00516D74"/>
    <w:rsid w:val="00517620"/>
    <w:rsid w:val="00517A71"/>
    <w:rsid w:val="00517D69"/>
    <w:rsid w:val="00517DF1"/>
    <w:rsid w:val="00520957"/>
    <w:rsid w:val="00520A1D"/>
    <w:rsid w:val="00520B71"/>
    <w:rsid w:val="00520E17"/>
    <w:rsid w:val="005215B2"/>
    <w:rsid w:val="00521904"/>
    <w:rsid w:val="00521D00"/>
    <w:rsid w:val="00522913"/>
    <w:rsid w:val="00522DEA"/>
    <w:rsid w:val="005230C9"/>
    <w:rsid w:val="005231BA"/>
    <w:rsid w:val="00523779"/>
    <w:rsid w:val="00523DA9"/>
    <w:rsid w:val="00523DF7"/>
    <w:rsid w:val="00523FCD"/>
    <w:rsid w:val="00524193"/>
    <w:rsid w:val="0052464F"/>
    <w:rsid w:val="0052497D"/>
    <w:rsid w:val="00524A20"/>
    <w:rsid w:val="00524EB2"/>
    <w:rsid w:val="005250C6"/>
    <w:rsid w:val="00525CB1"/>
    <w:rsid w:val="0052671F"/>
    <w:rsid w:val="00526731"/>
    <w:rsid w:val="005269F1"/>
    <w:rsid w:val="00526FF9"/>
    <w:rsid w:val="0052710B"/>
    <w:rsid w:val="00527A49"/>
    <w:rsid w:val="00530622"/>
    <w:rsid w:val="005306F1"/>
    <w:rsid w:val="005306F4"/>
    <w:rsid w:val="005312C6"/>
    <w:rsid w:val="00531501"/>
    <w:rsid w:val="00532833"/>
    <w:rsid w:val="00532AD7"/>
    <w:rsid w:val="00532E17"/>
    <w:rsid w:val="005335C7"/>
    <w:rsid w:val="00533E88"/>
    <w:rsid w:val="00533FEE"/>
    <w:rsid w:val="005340F2"/>
    <w:rsid w:val="0053420C"/>
    <w:rsid w:val="0053472A"/>
    <w:rsid w:val="00534D30"/>
    <w:rsid w:val="00534DC8"/>
    <w:rsid w:val="005351B6"/>
    <w:rsid w:val="0053565D"/>
    <w:rsid w:val="00535914"/>
    <w:rsid w:val="00535E45"/>
    <w:rsid w:val="00535F15"/>
    <w:rsid w:val="005360C4"/>
    <w:rsid w:val="005367B3"/>
    <w:rsid w:val="00536974"/>
    <w:rsid w:val="00536FA9"/>
    <w:rsid w:val="005376F9"/>
    <w:rsid w:val="00537E7A"/>
    <w:rsid w:val="00540114"/>
    <w:rsid w:val="00540196"/>
    <w:rsid w:val="00540315"/>
    <w:rsid w:val="00540339"/>
    <w:rsid w:val="00540433"/>
    <w:rsid w:val="00540FDD"/>
    <w:rsid w:val="005418D6"/>
    <w:rsid w:val="00541CD0"/>
    <w:rsid w:val="00541E9B"/>
    <w:rsid w:val="00541F97"/>
    <w:rsid w:val="005424BD"/>
    <w:rsid w:val="00542E8F"/>
    <w:rsid w:val="005439FE"/>
    <w:rsid w:val="00543FA5"/>
    <w:rsid w:val="0054408A"/>
    <w:rsid w:val="005448E3"/>
    <w:rsid w:val="0054586C"/>
    <w:rsid w:val="0054741D"/>
    <w:rsid w:val="00547847"/>
    <w:rsid w:val="00547C9B"/>
    <w:rsid w:val="00550989"/>
    <w:rsid w:val="0055171B"/>
    <w:rsid w:val="005517DD"/>
    <w:rsid w:val="00552155"/>
    <w:rsid w:val="00552278"/>
    <w:rsid w:val="005526D1"/>
    <w:rsid w:val="00552784"/>
    <w:rsid w:val="00552D2B"/>
    <w:rsid w:val="00552D63"/>
    <w:rsid w:val="00553673"/>
    <w:rsid w:val="00553947"/>
    <w:rsid w:val="00553963"/>
    <w:rsid w:val="00553F31"/>
    <w:rsid w:val="00554FB0"/>
    <w:rsid w:val="005551C9"/>
    <w:rsid w:val="0055536C"/>
    <w:rsid w:val="005564BB"/>
    <w:rsid w:val="00556D5D"/>
    <w:rsid w:val="00556EEF"/>
    <w:rsid w:val="0055753C"/>
    <w:rsid w:val="0055773D"/>
    <w:rsid w:val="005577F2"/>
    <w:rsid w:val="00557FD1"/>
    <w:rsid w:val="005601F8"/>
    <w:rsid w:val="005603B3"/>
    <w:rsid w:val="005604B0"/>
    <w:rsid w:val="0056059E"/>
    <w:rsid w:val="005606D0"/>
    <w:rsid w:val="00560CF0"/>
    <w:rsid w:val="00561150"/>
    <w:rsid w:val="0056173C"/>
    <w:rsid w:val="005618BF"/>
    <w:rsid w:val="00561FC0"/>
    <w:rsid w:val="00562415"/>
    <w:rsid w:val="0056259C"/>
    <w:rsid w:val="00562CC5"/>
    <w:rsid w:val="00563225"/>
    <w:rsid w:val="005639BC"/>
    <w:rsid w:val="00563C6B"/>
    <w:rsid w:val="00563D80"/>
    <w:rsid w:val="00563F7E"/>
    <w:rsid w:val="00564194"/>
    <w:rsid w:val="005650EC"/>
    <w:rsid w:val="00565DBA"/>
    <w:rsid w:val="005662EC"/>
    <w:rsid w:val="005676FD"/>
    <w:rsid w:val="00567C4C"/>
    <w:rsid w:val="00567F4B"/>
    <w:rsid w:val="005705EC"/>
    <w:rsid w:val="00570699"/>
    <w:rsid w:val="00570ED8"/>
    <w:rsid w:val="005711CE"/>
    <w:rsid w:val="00571E6E"/>
    <w:rsid w:val="00572401"/>
    <w:rsid w:val="00572490"/>
    <w:rsid w:val="00572834"/>
    <w:rsid w:val="00572FF5"/>
    <w:rsid w:val="005731ED"/>
    <w:rsid w:val="00573CC0"/>
    <w:rsid w:val="0057430B"/>
    <w:rsid w:val="0057473D"/>
    <w:rsid w:val="00574BB0"/>
    <w:rsid w:val="00574CED"/>
    <w:rsid w:val="005757FB"/>
    <w:rsid w:val="0057634F"/>
    <w:rsid w:val="00576821"/>
    <w:rsid w:val="005768FE"/>
    <w:rsid w:val="00577A0B"/>
    <w:rsid w:val="0058077A"/>
    <w:rsid w:val="00582198"/>
    <w:rsid w:val="005823A2"/>
    <w:rsid w:val="00583360"/>
    <w:rsid w:val="00583563"/>
    <w:rsid w:val="00583BB4"/>
    <w:rsid w:val="00583DAE"/>
    <w:rsid w:val="005840D7"/>
    <w:rsid w:val="0058465C"/>
    <w:rsid w:val="005849CC"/>
    <w:rsid w:val="005856D5"/>
    <w:rsid w:val="005862BC"/>
    <w:rsid w:val="0058655C"/>
    <w:rsid w:val="0058686E"/>
    <w:rsid w:val="0058688E"/>
    <w:rsid w:val="00586CEE"/>
    <w:rsid w:val="00586D41"/>
    <w:rsid w:val="00587E59"/>
    <w:rsid w:val="0059034D"/>
    <w:rsid w:val="00590464"/>
    <w:rsid w:val="005907D3"/>
    <w:rsid w:val="00590D47"/>
    <w:rsid w:val="00590FDD"/>
    <w:rsid w:val="00592089"/>
    <w:rsid w:val="00592117"/>
    <w:rsid w:val="00592547"/>
    <w:rsid w:val="00592A96"/>
    <w:rsid w:val="00592D66"/>
    <w:rsid w:val="005931FB"/>
    <w:rsid w:val="00593994"/>
    <w:rsid w:val="00593CB5"/>
    <w:rsid w:val="005947DF"/>
    <w:rsid w:val="0059495F"/>
    <w:rsid w:val="005949A5"/>
    <w:rsid w:val="00595F9C"/>
    <w:rsid w:val="005968C7"/>
    <w:rsid w:val="00596CEB"/>
    <w:rsid w:val="00597120"/>
    <w:rsid w:val="0059722E"/>
    <w:rsid w:val="005A1289"/>
    <w:rsid w:val="005A1652"/>
    <w:rsid w:val="005A1AB1"/>
    <w:rsid w:val="005A2D4B"/>
    <w:rsid w:val="005A2D70"/>
    <w:rsid w:val="005A306A"/>
    <w:rsid w:val="005A32FE"/>
    <w:rsid w:val="005A3594"/>
    <w:rsid w:val="005A35CC"/>
    <w:rsid w:val="005A4B65"/>
    <w:rsid w:val="005A5D73"/>
    <w:rsid w:val="005A5F35"/>
    <w:rsid w:val="005A69EB"/>
    <w:rsid w:val="005A7207"/>
    <w:rsid w:val="005A73C3"/>
    <w:rsid w:val="005A7652"/>
    <w:rsid w:val="005A79E5"/>
    <w:rsid w:val="005B0D21"/>
    <w:rsid w:val="005B1317"/>
    <w:rsid w:val="005B1325"/>
    <w:rsid w:val="005B23CF"/>
    <w:rsid w:val="005B2821"/>
    <w:rsid w:val="005B2D91"/>
    <w:rsid w:val="005B34DD"/>
    <w:rsid w:val="005B36CD"/>
    <w:rsid w:val="005B3BB1"/>
    <w:rsid w:val="005B47D5"/>
    <w:rsid w:val="005B507F"/>
    <w:rsid w:val="005B5AD1"/>
    <w:rsid w:val="005B5EA7"/>
    <w:rsid w:val="005B6461"/>
    <w:rsid w:val="005B79D1"/>
    <w:rsid w:val="005B7FB2"/>
    <w:rsid w:val="005C0067"/>
    <w:rsid w:val="005C0D4F"/>
    <w:rsid w:val="005C0EC3"/>
    <w:rsid w:val="005C1FFF"/>
    <w:rsid w:val="005C266F"/>
    <w:rsid w:val="005C2828"/>
    <w:rsid w:val="005C31D1"/>
    <w:rsid w:val="005C385A"/>
    <w:rsid w:val="005C393C"/>
    <w:rsid w:val="005C3E82"/>
    <w:rsid w:val="005C44D3"/>
    <w:rsid w:val="005C4AC5"/>
    <w:rsid w:val="005C53D7"/>
    <w:rsid w:val="005C65C7"/>
    <w:rsid w:val="005C74AB"/>
    <w:rsid w:val="005C7695"/>
    <w:rsid w:val="005C7BAF"/>
    <w:rsid w:val="005D02F1"/>
    <w:rsid w:val="005D037C"/>
    <w:rsid w:val="005D05D4"/>
    <w:rsid w:val="005D084D"/>
    <w:rsid w:val="005D10D6"/>
    <w:rsid w:val="005D14A7"/>
    <w:rsid w:val="005D14C3"/>
    <w:rsid w:val="005D14FE"/>
    <w:rsid w:val="005D15A2"/>
    <w:rsid w:val="005D174B"/>
    <w:rsid w:val="005D1D31"/>
    <w:rsid w:val="005D247B"/>
    <w:rsid w:val="005D2719"/>
    <w:rsid w:val="005D279A"/>
    <w:rsid w:val="005D3292"/>
    <w:rsid w:val="005D3293"/>
    <w:rsid w:val="005D357E"/>
    <w:rsid w:val="005D409C"/>
    <w:rsid w:val="005D43A0"/>
    <w:rsid w:val="005D476E"/>
    <w:rsid w:val="005D4F68"/>
    <w:rsid w:val="005D51A4"/>
    <w:rsid w:val="005D57DD"/>
    <w:rsid w:val="005D593A"/>
    <w:rsid w:val="005D610C"/>
    <w:rsid w:val="005D717D"/>
    <w:rsid w:val="005D78BC"/>
    <w:rsid w:val="005E060F"/>
    <w:rsid w:val="005E101C"/>
    <w:rsid w:val="005E1F74"/>
    <w:rsid w:val="005E268B"/>
    <w:rsid w:val="005E2AC9"/>
    <w:rsid w:val="005E3465"/>
    <w:rsid w:val="005E3768"/>
    <w:rsid w:val="005E37AC"/>
    <w:rsid w:val="005E3B6E"/>
    <w:rsid w:val="005E4022"/>
    <w:rsid w:val="005E40FF"/>
    <w:rsid w:val="005E4633"/>
    <w:rsid w:val="005E4C0F"/>
    <w:rsid w:val="005E4C1A"/>
    <w:rsid w:val="005E4D29"/>
    <w:rsid w:val="005E5CFC"/>
    <w:rsid w:val="005E6ED3"/>
    <w:rsid w:val="005E6F3D"/>
    <w:rsid w:val="005E70F4"/>
    <w:rsid w:val="005F08CC"/>
    <w:rsid w:val="005F0BA6"/>
    <w:rsid w:val="005F0FA3"/>
    <w:rsid w:val="005F2F0D"/>
    <w:rsid w:val="005F31CD"/>
    <w:rsid w:val="005F3E8C"/>
    <w:rsid w:val="005F408D"/>
    <w:rsid w:val="005F458B"/>
    <w:rsid w:val="005F48B2"/>
    <w:rsid w:val="005F5369"/>
    <w:rsid w:val="005F588B"/>
    <w:rsid w:val="005F61DD"/>
    <w:rsid w:val="005F629A"/>
    <w:rsid w:val="005F63BD"/>
    <w:rsid w:val="005F6556"/>
    <w:rsid w:val="005F67EB"/>
    <w:rsid w:val="005F68D0"/>
    <w:rsid w:val="005F7051"/>
    <w:rsid w:val="005F7DBC"/>
    <w:rsid w:val="006001AF"/>
    <w:rsid w:val="0060052C"/>
    <w:rsid w:val="00600B45"/>
    <w:rsid w:val="00600BB4"/>
    <w:rsid w:val="006010AD"/>
    <w:rsid w:val="006014B3"/>
    <w:rsid w:val="006014E6"/>
    <w:rsid w:val="006023A5"/>
    <w:rsid w:val="00602B45"/>
    <w:rsid w:val="006031D9"/>
    <w:rsid w:val="0060386A"/>
    <w:rsid w:val="00604695"/>
    <w:rsid w:val="00605197"/>
    <w:rsid w:val="00605EB4"/>
    <w:rsid w:val="006065FD"/>
    <w:rsid w:val="00607190"/>
    <w:rsid w:val="00607936"/>
    <w:rsid w:val="00607E09"/>
    <w:rsid w:val="00610016"/>
    <w:rsid w:val="00610046"/>
    <w:rsid w:val="006100AC"/>
    <w:rsid w:val="00610876"/>
    <w:rsid w:val="006111A1"/>
    <w:rsid w:val="0061143A"/>
    <w:rsid w:val="006115C1"/>
    <w:rsid w:val="0061173B"/>
    <w:rsid w:val="00611FEE"/>
    <w:rsid w:val="006120BE"/>
    <w:rsid w:val="00613124"/>
    <w:rsid w:val="0061327C"/>
    <w:rsid w:val="006132FB"/>
    <w:rsid w:val="0061566A"/>
    <w:rsid w:val="00615BD7"/>
    <w:rsid w:val="0062060F"/>
    <w:rsid w:val="006219E7"/>
    <w:rsid w:val="00622C9C"/>
    <w:rsid w:val="006235C0"/>
    <w:rsid w:val="006235DC"/>
    <w:rsid w:val="00623BAE"/>
    <w:rsid w:val="00623CAB"/>
    <w:rsid w:val="00623F1E"/>
    <w:rsid w:val="006254D8"/>
    <w:rsid w:val="00625B9E"/>
    <w:rsid w:val="00625EB0"/>
    <w:rsid w:val="00626368"/>
    <w:rsid w:val="00626887"/>
    <w:rsid w:val="00626B67"/>
    <w:rsid w:val="00627206"/>
    <w:rsid w:val="0062769C"/>
    <w:rsid w:val="00627748"/>
    <w:rsid w:val="00627A0C"/>
    <w:rsid w:val="00627F12"/>
    <w:rsid w:val="00630367"/>
    <w:rsid w:val="00630B71"/>
    <w:rsid w:val="00632E45"/>
    <w:rsid w:val="00633DA0"/>
    <w:rsid w:val="00634455"/>
    <w:rsid w:val="00634793"/>
    <w:rsid w:val="00635514"/>
    <w:rsid w:val="0063675A"/>
    <w:rsid w:val="00636EA9"/>
    <w:rsid w:val="00636FD7"/>
    <w:rsid w:val="006373AA"/>
    <w:rsid w:val="006404FF"/>
    <w:rsid w:val="00640AC2"/>
    <w:rsid w:val="00641107"/>
    <w:rsid w:val="0064155E"/>
    <w:rsid w:val="00641561"/>
    <w:rsid w:val="00641ACB"/>
    <w:rsid w:val="00641FC1"/>
    <w:rsid w:val="006429EE"/>
    <w:rsid w:val="00642A18"/>
    <w:rsid w:val="00642A89"/>
    <w:rsid w:val="00643943"/>
    <w:rsid w:val="00643966"/>
    <w:rsid w:val="00643D3C"/>
    <w:rsid w:val="00645432"/>
    <w:rsid w:val="00645921"/>
    <w:rsid w:val="00645A68"/>
    <w:rsid w:val="00645E4E"/>
    <w:rsid w:val="0064636F"/>
    <w:rsid w:val="0064662C"/>
    <w:rsid w:val="00646DCB"/>
    <w:rsid w:val="00647676"/>
    <w:rsid w:val="00650291"/>
    <w:rsid w:val="00650B57"/>
    <w:rsid w:val="00650BA7"/>
    <w:rsid w:val="00652BE5"/>
    <w:rsid w:val="00652D98"/>
    <w:rsid w:val="00653312"/>
    <w:rsid w:val="0065393B"/>
    <w:rsid w:val="006540DE"/>
    <w:rsid w:val="00654B66"/>
    <w:rsid w:val="00655159"/>
    <w:rsid w:val="00655506"/>
    <w:rsid w:val="00655C8C"/>
    <w:rsid w:val="0065606E"/>
    <w:rsid w:val="006560FD"/>
    <w:rsid w:val="00656A42"/>
    <w:rsid w:val="006575B4"/>
    <w:rsid w:val="00657AA2"/>
    <w:rsid w:val="00657EA6"/>
    <w:rsid w:val="00660B1C"/>
    <w:rsid w:val="006619B5"/>
    <w:rsid w:val="00661C13"/>
    <w:rsid w:val="006624BF"/>
    <w:rsid w:val="00662532"/>
    <w:rsid w:val="00662CF4"/>
    <w:rsid w:val="00662F2A"/>
    <w:rsid w:val="00662F7E"/>
    <w:rsid w:val="0066321A"/>
    <w:rsid w:val="006640BD"/>
    <w:rsid w:val="006640C1"/>
    <w:rsid w:val="0066468F"/>
    <w:rsid w:val="006648EE"/>
    <w:rsid w:val="00664D97"/>
    <w:rsid w:val="00665819"/>
    <w:rsid w:val="0066583B"/>
    <w:rsid w:val="00666038"/>
    <w:rsid w:val="006664F0"/>
    <w:rsid w:val="006666BC"/>
    <w:rsid w:val="00666BC7"/>
    <w:rsid w:val="00666DA7"/>
    <w:rsid w:val="0066763B"/>
    <w:rsid w:val="0067088D"/>
    <w:rsid w:val="00670996"/>
    <w:rsid w:val="00670CEA"/>
    <w:rsid w:val="00672936"/>
    <w:rsid w:val="0067396F"/>
    <w:rsid w:val="00673AC7"/>
    <w:rsid w:val="00673C7A"/>
    <w:rsid w:val="00673E38"/>
    <w:rsid w:val="0067401B"/>
    <w:rsid w:val="0067446B"/>
    <w:rsid w:val="00674E38"/>
    <w:rsid w:val="006757CC"/>
    <w:rsid w:val="0067601D"/>
    <w:rsid w:val="00677191"/>
    <w:rsid w:val="00677496"/>
    <w:rsid w:val="006776E6"/>
    <w:rsid w:val="006777BC"/>
    <w:rsid w:val="00677D71"/>
    <w:rsid w:val="00680155"/>
    <w:rsid w:val="006805EE"/>
    <w:rsid w:val="00681888"/>
    <w:rsid w:val="006827CB"/>
    <w:rsid w:val="00683C5C"/>
    <w:rsid w:val="00683F7B"/>
    <w:rsid w:val="00684235"/>
    <w:rsid w:val="006847C8"/>
    <w:rsid w:val="00684D69"/>
    <w:rsid w:val="00684F01"/>
    <w:rsid w:val="00685777"/>
    <w:rsid w:val="00685EDA"/>
    <w:rsid w:val="0068691D"/>
    <w:rsid w:val="00686993"/>
    <w:rsid w:val="00686C29"/>
    <w:rsid w:val="00686C8E"/>
    <w:rsid w:val="0068706F"/>
    <w:rsid w:val="00687CB1"/>
    <w:rsid w:val="00687CDF"/>
    <w:rsid w:val="006903B4"/>
    <w:rsid w:val="00690E53"/>
    <w:rsid w:val="00690E60"/>
    <w:rsid w:val="00691785"/>
    <w:rsid w:val="00691FC6"/>
    <w:rsid w:val="00692C26"/>
    <w:rsid w:val="00693548"/>
    <w:rsid w:val="00693FFB"/>
    <w:rsid w:val="00694016"/>
    <w:rsid w:val="0069483D"/>
    <w:rsid w:val="00694909"/>
    <w:rsid w:val="00694F23"/>
    <w:rsid w:val="00695215"/>
    <w:rsid w:val="006957D8"/>
    <w:rsid w:val="00696907"/>
    <w:rsid w:val="00696FF9"/>
    <w:rsid w:val="00697859"/>
    <w:rsid w:val="0069785B"/>
    <w:rsid w:val="006A0397"/>
    <w:rsid w:val="006A0870"/>
    <w:rsid w:val="006A1E49"/>
    <w:rsid w:val="006A219A"/>
    <w:rsid w:val="006A4A1A"/>
    <w:rsid w:val="006A5373"/>
    <w:rsid w:val="006A63BD"/>
    <w:rsid w:val="006A7852"/>
    <w:rsid w:val="006A7FFA"/>
    <w:rsid w:val="006B0087"/>
    <w:rsid w:val="006B0576"/>
    <w:rsid w:val="006B0738"/>
    <w:rsid w:val="006B1425"/>
    <w:rsid w:val="006B16DD"/>
    <w:rsid w:val="006B24AB"/>
    <w:rsid w:val="006B2AF7"/>
    <w:rsid w:val="006B305B"/>
    <w:rsid w:val="006B375D"/>
    <w:rsid w:val="006B3D0C"/>
    <w:rsid w:val="006B4566"/>
    <w:rsid w:val="006B471D"/>
    <w:rsid w:val="006B47AB"/>
    <w:rsid w:val="006B4D99"/>
    <w:rsid w:val="006B5806"/>
    <w:rsid w:val="006B5D22"/>
    <w:rsid w:val="006B5D78"/>
    <w:rsid w:val="006B657F"/>
    <w:rsid w:val="006B6897"/>
    <w:rsid w:val="006B6E09"/>
    <w:rsid w:val="006B7292"/>
    <w:rsid w:val="006B7ACD"/>
    <w:rsid w:val="006B7BA1"/>
    <w:rsid w:val="006B7DD8"/>
    <w:rsid w:val="006C140E"/>
    <w:rsid w:val="006C1A02"/>
    <w:rsid w:val="006C2040"/>
    <w:rsid w:val="006C2078"/>
    <w:rsid w:val="006C2B75"/>
    <w:rsid w:val="006C2C23"/>
    <w:rsid w:val="006C357F"/>
    <w:rsid w:val="006C467D"/>
    <w:rsid w:val="006C5698"/>
    <w:rsid w:val="006C5F4E"/>
    <w:rsid w:val="006C61F2"/>
    <w:rsid w:val="006C62C1"/>
    <w:rsid w:val="006C6E37"/>
    <w:rsid w:val="006C72BE"/>
    <w:rsid w:val="006C7457"/>
    <w:rsid w:val="006C775A"/>
    <w:rsid w:val="006C7853"/>
    <w:rsid w:val="006C7F00"/>
    <w:rsid w:val="006D012D"/>
    <w:rsid w:val="006D06A4"/>
    <w:rsid w:val="006D07AD"/>
    <w:rsid w:val="006D144D"/>
    <w:rsid w:val="006D1622"/>
    <w:rsid w:val="006D195C"/>
    <w:rsid w:val="006D1C6C"/>
    <w:rsid w:val="006D287A"/>
    <w:rsid w:val="006D3E97"/>
    <w:rsid w:val="006D41CE"/>
    <w:rsid w:val="006D5EDA"/>
    <w:rsid w:val="006D6385"/>
    <w:rsid w:val="006D679A"/>
    <w:rsid w:val="006D7727"/>
    <w:rsid w:val="006E0741"/>
    <w:rsid w:val="006E0C41"/>
    <w:rsid w:val="006E1800"/>
    <w:rsid w:val="006E1DFE"/>
    <w:rsid w:val="006E354C"/>
    <w:rsid w:val="006E38A0"/>
    <w:rsid w:val="006E463A"/>
    <w:rsid w:val="006E57BF"/>
    <w:rsid w:val="006E59A3"/>
    <w:rsid w:val="006E640B"/>
    <w:rsid w:val="006E73D0"/>
    <w:rsid w:val="006E749C"/>
    <w:rsid w:val="006E751E"/>
    <w:rsid w:val="006E7958"/>
    <w:rsid w:val="006F01B9"/>
    <w:rsid w:val="006F0C19"/>
    <w:rsid w:val="006F1818"/>
    <w:rsid w:val="006F1C12"/>
    <w:rsid w:val="006F1D77"/>
    <w:rsid w:val="006F2004"/>
    <w:rsid w:val="006F2087"/>
    <w:rsid w:val="006F21BB"/>
    <w:rsid w:val="006F27DB"/>
    <w:rsid w:val="006F342E"/>
    <w:rsid w:val="006F3929"/>
    <w:rsid w:val="006F401F"/>
    <w:rsid w:val="006F40F9"/>
    <w:rsid w:val="006F43B6"/>
    <w:rsid w:val="006F4BFC"/>
    <w:rsid w:val="006F6191"/>
    <w:rsid w:val="006F648F"/>
    <w:rsid w:val="006F6713"/>
    <w:rsid w:val="006F6720"/>
    <w:rsid w:val="006F7884"/>
    <w:rsid w:val="006F7921"/>
    <w:rsid w:val="006F7A6D"/>
    <w:rsid w:val="007019FB"/>
    <w:rsid w:val="00702162"/>
    <w:rsid w:val="007021B2"/>
    <w:rsid w:val="007024FC"/>
    <w:rsid w:val="00702CAE"/>
    <w:rsid w:val="00703B73"/>
    <w:rsid w:val="007042FE"/>
    <w:rsid w:val="00704C66"/>
    <w:rsid w:val="007067FD"/>
    <w:rsid w:val="00706BAF"/>
    <w:rsid w:val="00706D48"/>
    <w:rsid w:val="00706EE1"/>
    <w:rsid w:val="007070FD"/>
    <w:rsid w:val="007071A2"/>
    <w:rsid w:val="0070755D"/>
    <w:rsid w:val="007076DB"/>
    <w:rsid w:val="00707E38"/>
    <w:rsid w:val="00707FD7"/>
    <w:rsid w:val="00710D79"/>
    <w:rsid w:val="00710DEE"/>
    <w:rsid w:val="00711A1E"/>
    <w:rsid w:val="0071210E"/>
    <w:rsid w:val="0071222E"/>
    <w:rsid w:val="0071339D"/>
    <w:rsid w:val="00714307"/>
    <w:rsid w:val="0071478D"/>
    <w:rsid w:val="0071576D"/>
    <w:rsid w:val="00715B17"/>
    <w:rsid w:val="00715DBF"/>
    <w:rsid w:val="00716137"/>
    <w:rsid w:val="00716CC6"/>
    <w:rsid w:val="00716F5A"/>
    <w:rsid w:val="00716F86"/>
    <w:rsid w:val="00717508"/>
    <w:rsid w:val="007177C6"/>
    <w:rsid w:val="00720A8C"/>
    <w:rsid w:val="00720B47"/>
    <w:rsid w:val="00720C03"/>
    <w:rsid w:val="007212FD"/>
    <w:rsid w:val="00721D72"/>
    <w:rsid w:val="00721DE7"/>
    <w:rsid w:val="00722009"/>
    <w:rsid w:val="00722C6D"/>
    <w:rsid w:val="0072335D"/>
    <w:rsid w:val="00723812"/>
    <w:rsid w:val="00723C23"/>
    <w:rsid w:val="00723EDE"/>
    <w:rsid w:val="00724639"/>
    <w:rsid w:val="007247BB"/>
    <w:rsid w:val="00724BAB"/>
    <w:rsid w:val="0072508C"/>
    <w:rsid w:val="0072512C"/>
    <w:rsid w:val="00725610"/>
    <w:rsid w:val="00725935"/>
    <w:rsid w:val="007259EE"/>
    <w:rsid w:val="007269FE"/>
    <w:rsid w:val="00727AF3"/>
    <w:rsid w:val="00730878"/>
    <w:rsid w:val="00730F58"/>
    <w:rsid w:val="007311C2"/>
    <w:rsid w:val="00731384"/>
    <w:rsid w:val="00731E27"/>
    <w:rsid w:val="007331CF"/>
    <w:rsid w:val="00733CA5"/>
    <w:rsid w:val="00734035"/>
    <w:rsid w:val="0073436F"/>
    <w:rsid w:val="00734A0B"/>
    <w:rsid w:val="00735009"/>
    <w:rsid w:val="00736079"/>
    <w:rsid w:val="007363B3"/>
    <w:rsid w:val="0073664E"/>
    <w:rsid w:val="00736712"/>
    <w:rsid w:val="00736C43"/>
    <w:rsid w:val="00736C83"/>
    <w:rsid w:val="007376AB"/>
    <w:rsid w:val="00737729"/>
    <w:rsid w:val="00740668"/>
    <w:rsid w:val="0074108F"/>
    <w:rsid w:val="007415B0"/>
    <w:rsid w:val="007422ED"/>
    <w:rsid w:val="0074259C"/>
    <w:rsid w:val="00742AEE"/>
    <w:rsid w:val="00742B03"/>
    <w:rsid w:val="00743661"/>
    <w:rsid w:val="00744036"/>
    <w:rsid w:val="00744D02"/>
    <w:rsid w:val="00745079"/>
    <w:rsid w:val="00745216"/>
    <w:rsid w:val="00745C13"/>
    <w:rsid w:val="00746521"/>
    <w:rsid w:val="0074668D"/>
    <w:rsid w:val="007473A8"/>
    <w:rsid w:val="0075037A"/>
    <w:rsid w:val="00750549"/>
    <w:rsid w:val="00750A78"/>
    <w:rsid w:val="007522E4"/>
    <w:rsid w:val="00752396"/>
    <w:rsid w:val="0075287D"/>
    <w:rsid w:val="00752948"/>
    <w:rsid w:val="0075305E"/>
    <w:rsid w:val="0075325A"/>
    <w:rsid w:val="0075346C"/>
    <w:rsid w:val="00753DD1"/>
    <w:rsid w:val="0075420F"/>
    <w:rsid w:val="007547D7"/>
    <w:rsid w:val="0075551E"/>
    <w:rsid w:val="00755936"/>
    <w:rsid w:val="00756187"/>
    <w:rsid w:val="00756A69"/>
    <w:rsid w:val="0075739E"/>
    <w:rsid w:val="00757A7D"/>
    <w:rsid w:val="00757B2A"/>
    <w:rsid w:val="0076023F"/>
    <w:rsid w:val="00760388"/>
    <w:rsid w:val="007603EC"/>
    <w:rsid w:val="007604CB"/>
    <w:rsid w:val="00760973"/>
    <w:rsid w:val="00760B8B"/>
    <w:rsid w:val="007620FB"/>
    <w:rsid w:val="00762619"/>
    <w:rsid w:val="007627BD"/>
    <w:rsid w:val="0076293C"/>
    <w:rsid w:val="007633A0"/>
    <w:rsid w:val="007634FC"/>
    <w:rsid w:val="00763BBE"/>
    <w:rsid w:val="00763C6B"/>
    <w:rsid w:val="00764127"/>
    <w:rsid w:val="0076435F"/>
    <w:rsid w:val="0076464D"/>
    <w:rsid w:val="007646F9"/>
    <w:rsid w:val="00764CF0"/>
    <w:rsid w:val="0076624B"/>
    <w:rsid w:val="007666AE"/>
    <w:rsid w:val="007678D2"/>
    <w:rsid w:val="007678EC"/>
    <w:rsid w:val="007701E6"/>
    <w:rsid w:val="00770B5C"/>
    <w:rsid w:val="00770E30"/>
    <w:rsid w:val="00772496"/>
    <w:rsid w:val="00772BEF"/>
    <w:rsid w:val="00772DB1"/>
    <w:rsid w:val="0077388A"/>
    <w:rsid w:val="00773CF8"/>
    <w:rsid w:val="00773CF9"/>
    <w:rsid w:val="00774236"/>
    <w:rsid w:val="00774C7E"/>
    <w:rsid w:val="0077509B"/>
    <w:rsid w:val="007754FB"/>
    <w:rsid w:val="007758D0"/>
    <w:rsid w:val="007763CD"/>
    <w:rsid w:val="00776615"/>
    <w:rsid w:val="00776A85"/>
    <w:rsid w:val="00776FC8"/>
    <w:rsid w:val="00777A1E"/>
    <w:rsid w:val="00777BFB"/>
    <w:rsid w:val="00780051"/>
    <w:rsid w:val="0078031F"/>
    <w:rsid w:val="00780381"/>
    <w:rsid w:val="00780398"/>
    <w:rsid w:val="007815FB"/>
    <w:rsid w:val="00781BAD"/>
    <w:rsid w:val="00781F03"/>
    <w:rsid w:val="00782298"/>
    <w:rsid w:val="00782AE4"/>
    <w:rsid w:val="00782C86"/>
    <w:rsid w:val="00783205"/>
    <w:rsid w:val="007844A5"/>
    <w:rsid w:val="007849DA"/>
    <w:rsid w:val="007863C2"/>
    <w:rsid w:val="00786833"/>
    <w:rsid w:val="007872A9"/>
    <w:rsid w:val="007879DC"/>
    <w:rsid w:val="007925A8"/>
    <w:rsid w:val="00792E80"/>
    <w:rsid w:val="0079325B"/>
    <w:rsid w:val="007933AB"/>
    <w:rsid w:val="00793708"/>
    <w:rsid w:val="00793EFB"/>
    <w:rsid w:val="0079419E"/>
    <w:rsid w:val="007947C9"/>
    <w:rsid w:val="00794F98"/>
    <w:rsid w:val="00796195"/>
    <w:rsid w:val="0079752A"/>
    <w:rsid w:val="0079766A"/>
    <w:rsid w:val="007A06F9"/>
    <w:rsid w:val="007A0AF1"/>
    <w:rsid w:val="007A0C35"/>
    <w:rsid w:val="007A0D60"/>
    <w:rsid w:val="007A0E12"/>
    <w:rsid w:val="007A17EC"/>
    <w:rsid w:val="007A1E33"/>
    <w:rsid w:val="007A2400"/>
    <w:rsid w:val="007A2435"/>
    <w:rsid w:val="007A26E6"/>
    <w:rsid w:val="007A2D52"/>
    <w:rsid w:val="007A2F23"/>
    <w:rsid w:val="007A3204"/>
    <w:rsid w:val="007A49A4"/>
    <w:rsid w:val="007A5F04"/>
    <w:rsid w:val="007A6C3E"/>
    <w:rsid w:val="007A781E"/>
    <w:rsid w:val="007B01F1"/>
    <w:rsid w:val="007B02B5"/>
    <w:rsid w:val="007B06DB"/>
    <w:rsid w:val="007B06F4"/>
    <w:rsid w:val="007B0A1B"/>
    <w:rsid w:val="007B0BBA"/>
    <w:rsid w:val="007B11DA"/>
    <w:rsid w:val="007B1CE6"/>
    <w:rsid w:val="007B1E6B"/>
    <w:rsid w:val="007B1E7E"/>
    <w:rsid w:val="007B1F20"/>
    <w:rsid w:val="007B23ED"/>
    <w:rsid w:val="007B2846"/>
    <w:rsid w:val="007B3028"/>
    <w:rsid w:val="007B3939"/>
    <w:rsid w:val="007B3E49"/>
    <w:rsid w:val="007B4A9A"/>
    <w:rsid w:val="007B4C29"/>
    <w:rsid w:val="007B5078"/>
    <w:rsid w:val="007B513B"/>
    <w:rsid w:val="007B5B71"/>
    <w:rsid w:val="007B6223"/>
    <w:rsid w:val="007B6C7F"/>
    <w:rsid w:val="007B7B22"/>
    <w:rsid w:val="007B7CCA"/>
    <w:rsid w:val="007B7EE3"/>
    <w:rsid w:val="007B7FE3"/>
    <w:rsid w:val="007C00CF"/>
    <w:rsid w:val="007C062C"/>
    <w:rsid w:val="007C0CB2"/>
    <w:rsid w:val="007C0FE1"/>
    <w:rsid w:val="007C1899"/>
    <w:rsid w:val="007C2787"/>
    <w:rsid w:val="007C2B56"/>
    <w:rsid w:val="007C3286"/>
    <w:rsid w:val="007C34F5"/>
    <w:rsid w:val="007C381A"/>
    <w:rsid w:val="007C3C8A"/>
    <w:rsid w:val="007C4C90"/>
    <w:rsid w:val="007C59A3"/>
    <w:rsid w:val="007C5AC3"/>
    <w:rsid w:val="007C6029"/>
    <w:rsid w:val="007C6545"/>
    <w:rsid w:val="007C6DD3"/>
    <w:rsid w:val="007D02F4"/>
    <w:rsid w:val="007D081C"/>
    <w:rsid w:val="007D1051"/>
    <w:rsid w:val="007D2314"/>
    <w:rsid w:val="007D234E"/>
    <w:rsid w:val="007D26DF"/>
    <w:rsid w:val="007D2A8F"/>
    <w:rsid w:val="007D41C4"/>
    <w:rsid w:val="007D47B2"/>
    <w:rsid w:val="007D4AAA"/>
    <w:rsid w:val="007D4B2D"/>
    <w:rsid w:val="007D4BB4"/>
    <w:rsid w:val="007D510F"/>
    <w:rsid w:val="007D5B84"/>
    <w:rsid w:val="007D5CF7"/>
    <w:rsid w:val="007D6605"/>
    <w:rsid w:val="007D71D1"/>
    <w:rsid w:val="007D7BED"/>
    <w:rsid w:val="007E1173"/>
    <w:rsid w:val="007E117F"/>
    <w:rsid w:val="007E187C"/>
    <w:rsid w:val="007E1CEA"/>
    <w:rsid w:val="007E1F7D"/>
    <w:rsid w:val="007E3824"/>
    <w:rsid w:val="007E4A57"/>
    <w:rsid w:val="007E4B39"/>
    <w:rsid w:val="007E4DFB"/>
    <w:rsid w:val="007E539A"/>
    <w:rsid w:val="007E630B"/>
    <w:rsid w:val="007E698A"/>
    <w:rsid w:val="007E69DC"/>
    <w:rsid w:val="007E7956"/>
    <w:rsid w:val="007F0303"/>
    <w:rsid w:val="007F0486"/>
    <w:rsid w:val="007F0B6C"/>
    <w:rsid w:val="007F1BE5"/>
    <w:rsid w:val="007F1F6A"/>
    <w:rsid w:val="007F21EC"/>
    <w:rsid w:val="007F2282"/>
    <w:rsid w:val="007F229E"/>
    <w:rsid w:val="007F3461"/>
    <w:rsid w:val="007F3A3B"/>
    <w:rsid w:val="007F3ACC"/>
    <w:rsid w:val="007F403A"/>
    <w:rsid w:val="007F40F0"/>
    <w:rsid w:val="007F4311"/>
    <w:rsid w:val="007F433E"/>
    <w:rsid w:val="007F4398"/>
    <w:rsid w:val="007F485C"/>
    <w:rsid w:val="007F4E2F"/>
    <w:rsid w:val="007F52AC"/>
    <w:rsid w:val="007F53C8"/>
    <w:rsid w:val="007F5F7F"/>
    <w:rsid w:val="007F660B"/>
    <w:rsid w:val="007F6672"/>
    <w:rsid w:val="00800242"/>
    <w:rsid w:val="00800511"/>
    <w:rsid w:val="00800EF6"/>
    <w:rsid w:val="00801378"/>
    <w:rsid w:val="008015B8"/>
    <w:rsid w:val="00801C5A"/>
    <w:rsid w:val="00801C89"/>
    <w:rsid w:val="00802D6C"/>
    <w:rsid w:val="00802DAF"/>
    <w:rsid w:val="008030B4"/>
    <w:rsid w:val="00804251"/>
    <w:rsid w:val="00804D8D"/>
    <w:rsid w:val="00804E52"/>
    <w:rsid w:val="00804EB7"/>
    <w:rsid w:val="008053B5"/>
    <w:rsid w:val="008059A8"/>
    <w:rsid w:val="008062EB"/>
    <w:rsid w:val="00806706"/>
    <w:rsid w:val="00806760"/>
    <w:rsid w:val="00807287"/>
    <w:rsid w:val="0080737B"/>
    <w:rsid w:val="008106AA"/>
    <w:rsid w:val="00810DA2"/>
    <w:rsid w:val="00811013"/>
    <w:rsid w:val="00812159"/>
    <w:rsid w:val="00812B7F"/>
    <w:rsid w:val="008132BC"/>
    <w:rsid w:val="008133A7"/>
    <w:rsid w:val="00814667"/>
    <w:rsid w:val="008146D8"/>
    <w:rsid w:val="00814A07"/>
    <w:rsid w:val="00814E5E"/>
    <w:rsid w:val="00815A48"/>
    <w:rsid w:val="008216E8"/>
    <w:rsid w:val="00821FE1"/>
    <w:rsid w:val="008226E3"/>
    <w:rsid w:val="0082306C"/>
    <w:rsid w:val="008233B0"/>
    <w:rsid w:val="008234C1"/>
    <w:rsid w:val="0082377C"/>
    <w:rsid w:val="00823BEC"/>
    <w:rsid w:val="00824715"/>
    <w:rsid w:val="008258AF"/>
    <w:rsid w:val="008259F1"/>
    <w:rsid w:val="00825B48"/>
    <w:rsid w:val="008260A0"/>
    <w:rsid w:val="008272B5"/>
    <w:rsid w:val="0082755F"/>
    <w:rsid w:val="0083006B"/>
    <w:rsid w:val="0083015E"/>
    <w:rsid w:val="0083022E"/>
    <w:rsid w:val="00830522"/>
    <w:rsid w:val="00830526"/>
    <w:rsid w:val="00830A27"/>
    <w:rsid w:val="00830FDF"/>
    <w:rsid w:val="0083170E"/>
    <w:rsid w:val="00831F23"/>
    <w:rsid w:val="00832040"/>
    <w:rsid w:val="0083244A"/>
    <w:rsid w:val="008326E4"/>
    <w:rsid w:val="00832DB6"/>
    <w:rsid w:val="008333AA"/>
    <w:rsid w:val="00833523"/>
    <w:rsid w:val="00833836"/>
    <w:rsid w:val="00833A70"/>
    <w:rsid w:val="00833BC1"/>
    <w:rsid w:val="00833C66"/>
    <w:rsid w:val="0083430D"/>
    <w:rsid w:val="00834EAC"/>
    <w:rsid w:val="00835335"/>
    <w:rsid w:val="0083560C"/>
    <w:rsid w:val="008356A1"/>
    <w:rsid w:val="00836826"/>
    <w:rsid w:val="00837311"/>
    <w:rsid w:val="0083748B"/>
    <w:rsid w:val="00837642"/>
    <w:rsid w:val="008379CA"/>
    <w:rsid w:val="00837AF9"/>
    <w:rsid w:val="00837BFD"/>
    <w:rsid w:val="00837FC3"/>
    <w:rsid w:val="0084074F"/>
    <w:rsid w:val="00840B84"/>
    <w:rsid w:val="00840BE5"/>
    <w:rsid w:val="008413D5"/>
    <w:rsid w:val="00841669"/>
    <w:rsid w:val="0084186A"/>
    <w:rsid w:val="00841B71"/>
    <w:rsid w:val="00841C49"/>
    <w:rsid w:val="00841FFD"/>
    <w:rsid w:val="008422E7"/>
    <w:rsid w:val="008430C0"/>
    <w:rsid w:val="008432E6"/>
    <w:rsid w:val="0084346D"/>
    <w:rsid w:val="008434EA"/>
    <w:rsid w:val="00844610"/>
    <w:rsid w:val="00845A7F"/>
    <w:rsid w:val="0084621F"/>
    <w:rsid w:val="00846CC9"/>
    <w:rsid w:val="00847289"/>
    <w:rsid w:val="008473D9"/>
    <w:rsid w:val="008475D9"/>
    <w:rsid w:val="008478D5"/>
    <w:rsid w:val="00847CBE"/>
    <w:rsid w:val="0085013A"/>
    <w:rsid w:val="00850225"/>
    <w:rsid w:val="008503E2"/>
    <w:rsid w:val="008518E9"/>
    <w:rsid w:val="00851A8C"/>
    <w:rsid w:val="00851AC6"/>
    <w:rsid w:val="00851C1D"/>
    <w:rsid w:val="008520B6"/>
    <w:rsid w:val="00852C27"/>
    <w:rsid w:val="008534D7"/>
    <w:rsid w:val="00854614"/>
    <w:rsid w:val="00854673"/>
    <w:rsid w:val="00854694"/>
    <w:rsid w:val="008554FD"/>
    <w:rsid w:val="008557DB"/>
    <w:rsid w:val="00855A18"/>
    <w:rsid w:val="00855C0A"/>
    <w:rsid w:val="00856177"/>
    <w:rsid w:val="008563FF"/>
    <w:rsid w:val="008575EB"/>
    <w:rsid w:val="00857A6D"/>
    <w:rsid w:val="00857F04"/>
    <w:rsid w:val="008613FB"/>
    <w:rsid w:val="008614E5"/>
    <w:rsid w:val="0086163E"/>
    <w:rsid w:val="0086285B"/>
    <w:rsid w:val="00862D05"/>
    <w:rsid w:val="00863199"/>
    <w:rsid w:val="00865AC2"/>
    <w:rsid w:val="00865AEF"/>
    <w:rsid w:val="00865B9E"/>
    <w:rsid w:val="00866D84"/>
    <w:rsid w:val="008672C7"/>
    <w:rsid w:val="008677B1"/>
    <w:rsid w:val="0086797E"/>
    <w:rsid w:val="00867FD4"/>
    <w:rsid w:val="00870810"/>
    <w:rsid w:val="00871C0D"/>
    <w:rsid w:val="00872138"/>
    <w:rsid w:val="00872BAE"/>
    <w:rsid w:val="00873158"/>
    <w:rsid w:val="008732F5"/>
    <w:rsid w:val="00873F17"/>
    <w:rsid w:val="008742CA"/>
    <w:rsid w:val="008743BB"/>
    <w:rsid w:val="00875E3F"/>
    <w:rsid w:val="008763C1"/>
    <w:rsid w:val="00876742"/>
    <w:rsid w:val="0087685B"/>
    <w:rsid w:val="00876DD8"/>
    <w:rsid w:val="00876F51"/>
    <w:rsid w:val="00876FBF"/>
    <w:rsid w:val="00877201"/>
    <w:rsid w:val="00880D2C"/>
    <w:rsid w:val="0088114B"/>
    <w:rsid w:val="008823D6"/>
    <w:rsid w:val="00883B83"/>
    <w:rsid w:val="00883C54"/>
    <w:rsid w:val="00884554"/>
    <w:rsid w:val="00884D71"/>
    <w:rsid w:val="00885357"/>
    <w:rsid w:val="00885393"/>
    <w:rsid w:val="00885B6A"/>
    <w:rsid w:val="0088617A"/>
    <w:rsid w:val="008861B8"/>
    <w:rsid w:val="008868E7"/>
    <w:rsid w:val="0089024D"/>
    <w:rsid w:val="00890BFC"/>
    <w:rsid w:val="00890C2C"/>
    <w:rsid w:val="00890E4D"/>
    <w:rsid w:val="0089142E"/>
    <w:rsid w:val="00891760"/>
    <w:rsid w:val="0089189A"/>
    <w:rsid w:val="00892EFC"/>
    <w:rsid w:val="00892F67"/>
    <w:rsid w:val="0089332E"/>
    <w:rsid w:val="00893CD3"/>
    <w:rsid w:val="00894057"/>
    <w:rsid w:val="00894212"/>
    <w:rsid w:val="00894F2B"/>
    <w:rsid w:val="00894F95"/>
    <w:rsid w:val="00895693"/>
    <w:rsid w:val="00895D1B"/>
    <w:rsid w:val="00896118"/>
    <w:rsid w:val="00896B4B"/>
    <w:rsid w:val="00896C62"/>
    <w:rsid w:val="00896D76"/>
    <w:rsid w:val="00897146"/>
    <w:rsid w:val="00897386"/>
    <w:rsid w:val="00897585"/>
    <w:rsid w:val="008978B2"/>
    <w:rsid w:val="008A054D"/>
    <w:rsid w:val="008A0DA5"/>
    <w:rsid w:val="008A0E76"/>
    <w:rsid w:val="008A0FDA"/>
    <w:rsid w:val="008A1BB6"/>
    <w:rsid w:val="008A1CAD"/>
    <w:rsid w:val="008A2D47"/>
    <w:rsid w:val="008A3004"/>
    <w:rsid w:val="008A31D6"/>
    <w:rsid w:val="008A39AC"/>
    <w:rsid w:val="008A4281"/>
    <w:rsid w:val="008A428E"/>
    <w:rsid w:val="008A470D"/>
    <w:rsid w:val="008A4D1C"/>
    <w:rsid w:val="008A4E44"/>
    <w:rsid w:val="008A4F6E"/>
    <w:rsid w:val="008A51E1"/>
    <w:rsid w:val="008A5D39"/>
    <w:rsid w:val="008A607C"/>
    <w:rsid w:val="008A61BC"/>
    <w:rsid w:val="008A6DFF"/>
    <w:rsid w:val="008A7018"/>
    <w:rsid w:val="008A703F"/>
    <w:rsid w:val="008A768B"/>
    <w:rsid w:val="008A7D84"/>
    <w:rsid w:val="008B0B77"/>
    <w:rsid w:val="008B0E66"/>
    <w:rsid w:val="008B1666"/>
    <w:rsid w:val="008B20D4"/>
    <w:rsid w:val="008B26B7"/>
    <w:rsid w:val="008B27EA"/>
    <w:rsid w:val="008B281B"/>
    <w:rsid w:val="008B32A5"/>
    <w:rsid w:val="008B3A6D"/>
    <w:rsid w:val="008B4098"/>
    <w:rsid w:val="008B4B5B"/>
    <w:rsid w:val="008B53D8"/>
    <w:rsid w:val="008B61AF"/>
    <w:rsid w:val="008B6918"/>
    <w:rsid w:val="008B7358"/>
    <w:rsid w:val="008B757A"/>
    <w:rsid w:val="008B7717"/>
    <w:rsid w:val="008B7817"/>
    <w:rsid w:val="008B7A66"/>
    <w:rsid w:val="008B7CF3"/>
    <w:rsid w:val="008C037E"/>
    <w:rsid w:val="008C0ABA"/>
    <w:rsid w:val="008C0DCD"/>
    <w:rsid w:val="008C138F"/>
    <w:rsid w:val="008C159A"/>
    <w:rsid w:val="008C2E83"/>
    <w:rsid w:val="008C434D"/>
    <w:rsid w:val="008C4B93"/>
    <w:rsid w:val="008C4E5B"/>
    <w:rsid w:val="008C6AB6"/>
    <w:rsid w:val="008C6CF6"/>
    <w:rsid w:val="008C71C1"/>
    <w:rsid w:val="008C7495"/>
    <w:rsid w:val="008C77CC"/>
    <w:rsid w:val="008D0983"/>
    <w:rsid w:val="008D0C2F"/>
    <w:rsid w:val="008D0DA2"/>
    <w:rsid w:val="008D0EE7"/>
    <w:rsid w:val="008D1783"/>
    <w:rsid w:val="008D2392"/>
    <w:rsid w:val="008D2623"/>
    <w:rsid w:val="008D2695"/>
    <w:rsid w:val="008D28F9"/>
    <w:rsid w:val="008D2E09"/>
    <w:rsid w:val="008D392F"/>
    <w:rsid w:val="008D3E40"/>
    <w:rsid w:val="008D48B0"/>
    <w:rsid w:val="008D516C"/>
    <w:rsid w:val="008D5408"/>
    <w:rsid w:val="008D559E"/>
    <w:rsid w:val="008D5602"/>
    <w:rsid w:val="008D5CBA"/>
    <w:rsid w:val="008D61F6"/>
    <w:rsid w:val="008D6FA1"/>
    <w:rsid w:val="008D7561"/>
    <w:rsid w:val="008E133B"/>
    <w:rsid w:val="008E13CF"/>
    <w:rsid w:val="008E1FB1"/>
    <w:rsid w:val="008E212C"/>
    <w:rsid w:val="008E2599"/>
    <w:rsid w:val="008E2898"/>
    <w:rsid w:val="008E326E"/>
    <w:rsid w:val="008E38C5"/>
    <w:rsid w:val="008E43BB"/>
    <w:rsid w:val="008E48C7"/>
    <w:rsid w:val="008E4C8E"/>
    <w:rsid w:val="008E57D6"/>
    <w:rsid w:val="008E5A6C"/>
    <w:rsid w:val="008E5AAF"/>
    <w:rsid w:val="008E69A8"/>
    <w:rsid w:val="008E77C0"/>
    <w:rsid w:val="008E7826"/>
    <w:rsid w:val="008F002B"/>
    <w:rsid w:val="008F0963"/>
    <w:rsid w:val="008F0B02"/>
    <w:rsid w:val="008F20D3"/>
    <w:rsid w:val="008F3489"/>
    <w:rsid w:val="008F388C"/>
    <w:rsid w:val="008F38C2"/>
    <w:rsid w:val="008F3BF6"/>
    <w:rsid w:val="008F3F91"/>
    <w:rsid w:val="008F410E"/>
    <w:rsid w:val="008F43D1"/>
    <w:rsid w:val="008F480F"/>
    <w:rsid w:val="008F48B5"/>
    <w:rsid w:val="008F4C9F"/>
    <w:rsid w:val="008F4D12"/>
    <w:rsid w:val="008F5B03"/>
    <w:rsid w:val="008F612C"/>
    <w:rsid w:val="008F6937"/>
    <w:rsid w:val="008F69C8"/>
    <w:rsid w:val="008F7049"/>
    <w:rsid w:val="008F7DEE"/>
    <w:rsid w:val="00901FBB"/>
    <w:rsid w:val="009023A4"/>
    <w:rsid w:val="009024EC"/>
    <w:rsid w:val="00902866"/>
    <w:rsid w:val="00902B02"/>
    <w:rsid w:val="00902C49"/>
    <w:rsid w:val="00902D3F"/>
    <w:rsid w:val="00903722"/>
    <w:rsid w:val="00903D19"/>
    <w:rsid w:val="0090497E"/>
    <w:rsid w:val="00904E45"/>
    <w:rsid w:val="0090609A"/>
    <w:rsid w:val="0090679F"/>
    <w:rsid w:val="00907135"/>
    <w:rsid w:val="00907F9B"/>
    <w:rsid w:val="00910409"/>
    <w:rsid w:val="00910540"/>
    <w:rsid w:val="00910789"/>
    <w:rsid w:val="00910DD4"/>
    <w:rsid w:val="00910F96"/>
    <w:rsid w:val="0091162A"/>
    <w:rsid w:val="009118A3"/>
    <w:rsid w:val="00911A90"/>
    <w:rsid w:val="00911CB4"/>
    <w:rsid w:val="00912187"/>
    <w:rsid w:val="00912373"/>
    <w:rsid w:val="009126BE"/>
    <w:rsid w:val="009137DB"/>
    <w:rsid w:val="00913C59"/>
    <w:rsid w:val="00914A79"/>
    <w:rsid w:val="009152A8"/>
    <w:rsid w:val="00915508"/>
    <w:rsid w:val="009155BC"/>
    <w:rsid w:val="00915821"/>
    <w:rsid w:val="00915AB0"/>
    <w:rsid w:val="009160E0"/>
    <w:rsid w:val="00916A1A"/>
    <w:rsid w:val="00916B07"/>
    <w:rsid w:val="00917169"/>
    <w:rsid w:val="0091754E"/>
    <w:rsid w:val="0091774A"/>
    <w:rsid w:val="00917B7F"/>
    <w:rsid w:val="0092111B"/>
    <w:rsid w:val="00921285"/>
    <w:rsid w:val="009216B5"/>
    <w:rsid w:val="009216C6"/>
    <w:rsid w:val="00924102"/>
    <w:rsid w:val="0092513D"/>
    <w:rsid w:val="00925E21"/>
    <w:rsid w:val="0092629B"/>
    <w:rsid w:val="00926F56"/>
    <w:rsid w:val="009279D1"/>
    <w:rsid w:val="009303D3"/>
    <w:rsid w:val="0093066C"/>
    <w:rsid w:val="00930AB5"/>
    <w:rsid w:val="00931403"/>
    <w:rsid w:val="009319F1"/>
    <w:rsid w:val="00932064"/>
    <w:rsid w:val="009325C2"/>
    <w:rsid w:val="00932A6A"/>
    <w:rsid w:val="009332DC"/>
    <w:rsid w:val="009349E2"/>
    <w:rsid w:val="00934F75"/>
    <w:rsid w:val="009352B7"/>
    <w:rsid w:val="00936287"/>
    <w:rsid w:val="00936CBA"/>
    <w:rsid w:val="00936F88"/>
    <w:rsid w:val="009401BF"/>
    <w:rsid w:val="0094046B"/>
    <w:rsid w:val="009407FB"/>
    <w:rsid w:val="00940C5C"/>
    <w:rsid w:val="00940FAA"/>
    <w:rsid w:val="009414A3"/>
    <w:rsid w:val="00942349"/>
    <w:rsid w:val="00942D75"/>
    <w:rsid w:val="0094381C"/>
    <w:rsid w:val="009439EA"/>
    <w:rsid w:val="00943F6E"/>
    <w:rsid w:val="00944510"/>
    <w:rsid w:val="00944E73"/>
    <w:rsid w:val="00944EAF"/>
    <w:rsid w:val="00945657"/>
    <w:rsid w:val="00945A9B"/>
    <w:rsid w:val="00946015"/>
    <w:rsid w:val="00946106"/>
    <w:rsid w:val="00946152"/>
    <w:rsid w:val="00947A65"/>
    <w:rsid w:val="00950214"/>
    <w:rsid w:val="00950301"/>
    <w:rsid w:val="009505DF"/>
    <w:rsid w:val="00950B9E"/>
    <w:rsid w:val="00951B49"/>
    <w:rsid w:val="00951B60"/>
    <w:rsid w:val="00953BD7"/>
    <w:rsid w:val="00953FBE"/>
    <w:rsid w:val="009540A6"/>
    <w:rsid w:val="00954457"/>
    <w:rsid w:val="0095459E"/>
    <w:rsid w:val="009546B0"/>
    <w:rsid w:val="00954D10"/>
    <w:rsid w:val="00955094"/>
    <w:rsid w:val="009557DE"/>
    <w:rsid w:val="0095595D"/>
    <w:rsid w:val="00956684"/>
    <w:rsid w:val="00956B21"/>
    <w:rsid w:val="009574A2"/>
    <w:rsid w:val="00957517"/>
    <w:rsid w:val="00957E1B"/>
    <w:rsid w:val="0096021D"/>
    <w:rsid w:val="009612E6"/>
    <w:rsid w:val="00961337"/>
    <w:rsid w:val="009614FD"/>
    <w:rsid w:val="00962221"/>
    <w:rsid w:val="009637E9"/>
    <w:rsid w:val="009639FF"/>
    <w:rsid w:val="00963C53"/>
    <w:rsid w:val="00964D2C"/>
    <w:rsid w:val="0096528D"/>
    <w:rsid w:val="0096549A"/>
    <w:rsid w:val="009654B9"/>
    <w:rsid w:val="0096559E"/>
    <w:rsid w:val="00965B67"/>
    <w:rsid w:val="00966C57"/>
    <w:rsid w:val="00966C82"/>
    <w:rsid w:val="00966FF7"/>
    <w:rsid w:val="00967047"/>
    <w:rsid w:val="009677DE"/>
    <w:rsid w:val="00967840"/>
    <w:rsid w:val="0096784D"/>
    <w:rsid w:val="00967F49"/>
    <w:rsid w:val="00967FA0"/>
    <w:rsid w:val="00970535"/>
    <w:rsid w:val="00971814"/>
    <w:rsid w:val="00972658"/>
    <w:rsid w:val="00973256"/>
    <w:rsid w:val="00973CEF"/>
    <w:rsid w:val="00973E2A"/>
    <w:rsid w:val="00973F2F"/>
    <w:rsid w:val="00974C96"/>
    <w:rsid w:val="00974E0D"/>
    <w:rsid w:val="00974E57"/>
    <w:rsid w:val="00975936"/>
    <w:rsid w:val="00975A20"/>
    <w:rsid w:val="00975BF4"/>
    <w:rsid w:val="00976059"/>
    <w:rsid w:val="009763E1"/>
    <w:rsid w:val="009766ED"/>
    <w:rsid w:val="00976CD5"/>
    <w:rsid w:val="0097781F"/>
    <w:rsid w:val="00980770"/>
    <w:rsid w:val="00980C61"/>
    <w:rsid w:val="00981589"/>
    <w:rsid w:val="00981633"/>
    <w:rsid w:val="009816D0"/>
    <w:rsid w:val="00981E61"/>
    <w:rsid w:val="00983E02"/>
    <w:rsid w:val="009848C1"/>
    <w:rsid w:val="00984C2A"/>
    <w:rsid w:val="00985CF7"/>
    <w:rsid w:val="00985E2D"/>
    <w:rsid w:val="00985ECB"/>
    <w:rsid w:val="009863BD"/>
    <w:rsid w:val="009863EC"/>
    <w:rsid w:val="0098650C"/>
    <w:rsid w:val="00986CE1"/>
    <w:rsid w:val="00986DE4"/>
    <w:rsid w:val="00987619"/>
    <w:rsid w:val="00987765"/>
    <w:rsid w:val="0099044E"/>
    <w:rsid w:val="00990618"/>
    <w:rsid w:val="00990D27"/>
    <w:rsid w:val="00991481"/>
    <w:rsid w:val="00991904"/>
    <w:rsid w:val="00992D62"/>
    <w:rsid w:val="00994F1A"/>
    <w:rsid w:val="00995437"/>
    <w:rsid w:val="00995E5C"/>
    <w:rsid w:val="0099695D"/>
    <w:rsid w:val="00996AF8"/>
    <w:rsid w:val="00996B8F"/>
    <w:rsid w:val="00996D14"/>
    <w:rsid w:val="009A097A"/>
    <w:rsid w:val="009A0C5C"/>
    <w:rsid w:val="009A12DE"/>
    <w:rsid w:val="009A130C"/>
    <w:rsid w:val="009A196B"/>
    <w:rsid w:val="009A1F09"/>
    <w:rsid w:val="009A2658"/>
    <w:rsid w:val="009A2A67"/>
    <w:rsid w:val="009A39CC"/>
    <w:rsid w:val="009A3A0D"/>
    <w:rsid w:val="009A42F9"/>
    <w:rsid w:val="009A44ED"/>
    <w:rsid w:val="009A51C9"/>
    <w:rsid w:val="009A5713"/>
    <w:rsid w:val="009A5CE0"/>
    <w:rsid w:val="009A629A"/>
    <w:rsid w:val="009A6566"/>
    <w:rsid w:val="009A6AE9"/>
    <w:rsid w:val="009A7824"/>
    <w:rsid w:val="009A7A9C"/>
    <w:rsid w:val="009B05AA"/>
    <w:rsid w:val="009B112B"/>
    <w:rsid w:val="009B17DD"/>
    <w:rsid w:val="009B18C4"/>
    <w:rsid w:val="009B1B93"/>
    <w:rsid w:val="009B2073"/>
    <w:rsid w:val="009B2195"/>
    <w:rsid w:val="009B21F1"/>
    <w:rsid w:val="009B28C5"/>
    <w:rsid w:val="009B29B9"/>
    <w:rsid w:val="009B2C8B"/>
    <w:rsid w:val="009B3210"/>
    <w:rsid w:val="009B35C5"/>
    <w:rsid w:val="009B35F6"/>
    <w:rsid w:val="009B37A6"/>
    <w:rsid w:val="009B51CC"/>
    <w:rsid w:val="009B5235"/>
    <w:rsid w:val="009B5891"/>
    <w:rsid w:val="009B5F5F"/>
    <w:rsid w:val="009B693D"/>
    <w:rsid w:val="009B6BDF"/>
    <w:rsid w:val="009B6E5E"/>
    <w:rsid w:val="009B75A7"/>
    <w:rsid w:val="009B787A"/>
    <w:rsid w:val="009C01BF"/>
    <w:rsid w:val="009C18F0"/>
    <w:rsid w:val="009C1CA8"/>
    <w:rsid w:val="009C1E8D"/>
    <w:rsid w:val="009C2C0B"/>
    <w:rsid w:val="009C2CD0"/>
    <w:rsid w:val="009C3471"/>
    <w:rsid w:val="009C3BDD"/>
    <w:rsid w:val="009C3F8A"/>
    <w:rsid w:val="009C5376"/>
    <w:rsid w:val="009C5555"/>
    <w:rsid w:val="009C55B7"/>
    <w:rsid w:val="009C561C"/>
    <w:rsid w:val="009C6966"/>
    <w:rsid w:val="009C6FEE"/>
    <w:rsid w:val="009C7B49"/>
    <w:rsid w:val="009D0127"/>
    <w:rsid w:val="009D021A"/>
    <w:rsid w:val="009D064C"/>
    <w:rsid w:val="009D0790"/>
    <w:rsid w:val="009D07AB"/>
    <w:rsid w:val="009D0B3F"/>
    <w:rsid w:val="009D0EDC"/>
    <w:rsid w:val="009D10D9"/>
    <w:rsid w:val="009D18E8"/>
    <w:rsid w:val="009D1AF8"/>
    <w:rsid w:val="009D1C71"/>
    <w:rsid w:val="009D22C0"/>
    <w:rsid w:val="009D23DB"/>
    <w:rsid w:val="009D25D1"/>
    <w:rsid w:val="009D2A55"/>
    <w:rsid w:val="009D2D83"/>
    <w:rsid w:val="009D3322"/>
    <w:rsid w:val="009D47AE"/>
    <w:rsid w:val="009D4B74"/>
    <w:rsid w:val="009D4BD4"/>
    <w:rsid w:val="009D4FD2"/>
    <w:rsid w:val="009D50BB"/>
    <w:rsid w:val="009D53D3"/>
    <w:rsid w:val="009D5C92"/>
    <w:rsid w:val="009D6593"/>
    <w:rsid w:val="009D65D8"/>
    <w:rsid w:val="009D732C"/>
    <w:rsid w:val="009D736F"/>
    <w:rsid w:val="009D7434"/>
    <w:rsid w:val="009D7481"/>
    <w:rsid w:val="009D7DAD"/>
    <w:rsid w:val="009E0089"/>
    <w:rsid w:val="009E0398"/>
    <w:rsid w:val="009E102B"/>
    <w:rsid w:val="009E1B47"/>
    <w:rsid w:val="009E1B70"/>
    <w:rsid w:val="009E302A"/>
    <w:rsid w:val="009E32C9"/>
    <w:rsid w:val="009E40A7"/>
    <w:rsid w:val="009E4678"/>
    <w:rsid w:val="009E4A25"/>
    <w:rsid w:val="009E5AFC"/>
    <w:rsid w:val="009E706E"/>
    <w:rsid w:val="009E7BC9"/>
    <w:rsid w:val="009F0751"/>
    <w:rsid w:val="009F095F"/>
    <w:rsid w:val="009F0AC4"/>
    <w:rsid w:val="009F0DD1"/>
    <w:rsid w:val="009F1053"/>
    <w:rsid w:val="009F169D"/>
    <w:rsid w:val="009F1AF8"/>
    <w:rsid w:val="009F1BED"/>
    <w:rsid w:val="009F20C0"/>
    <w:rsid w:val="009F34F4"/>
    <w:rsid w:val="009F3561"/>
    <w:rsid w:val="009F38EB"/>
    <w:rsid w:val="009F392D"/>
    <w:rsid w:val="009F3F63"/>
    <w:rsid w:val="009F4551"/>
    <w:rsid w:val="009F472D"/>
    <w:rsid w:val="009F4922"/>
    <w:rsid w:val="009F5097"/>
    <w:rsid w:val="009F5165"/>
    <w:rsid w:val="009F5EB3"/>
    <w:rsid w:val="009F63BD"/>
    <w:rsid w:val="009F74B0"/>
    <w:rsid w:val="009F74EA"/>
    <w:rsid w:val="009F7A80"/>
    <w:rsid w:val="00A00779"/>
    <w:rsid w:val="00A00D55"/>
    <w:rsid w:val="00A012FE"/>
    <w:rsid w:val="00A015A0"/>
    <w:rsid w:val="00A01D7A"/>
    <w:rsid w:val="00A02407"/>
    <w:rsid w:val="00A025D2"/>
    <w:rsid w:val="00A02937"/>
    <w:rsid w:val="00A02B93"/>
    <w:rsid w:val="00A0304C"/>
    <w:rsid w:val="00A038FF"/>
    <w:rsid w:val="00A03F24"/>
    <w:rsid w:val="00A0442D"/>
    <w:rsid w:val="00A04A9F"/>
    <w:rsid w:val="00A05F41"/>
    <w:rsid w:val="00A0617B"/>
    <w:rsid w:val="00A06DB1"/>
    <w:rsid w:val="00A070BB"/>
    <w:rsid w:val="00A07146"/>
    <w:rsid w:val="00A078C7"/>
    <w:rsid w:val="00A078F3"/>
    <w:rsid w:val="00A1015F"/>
    <w:rsid w:val="00A10834"/>
    <w:rsid w:val="00A10BC6"/>
    <w:rsid w:val="00A10D2B"/>
    <w:rsid w:val="00A11A87"/>
    <w:rsid w:val="00A11F0B"/>
    <w:rsid w:val="00A11FFC"/>
    <w:rsid w:val="00A12250"/>
    <w:rsid w:val="00A12379"/>
    <w:rsid w:val="00A1308E"/>
    <w:rsid w:val="00A13860"/>
    <w:rsid w:val="00A14CD0"/>
    <w:rsid w:val="00A157F3"/>
    <w:rsid w:val="00A15D37"/>
    <w:rsid w:val="00A16D23"/>
    <w:rsid w:val="00A1766F"/>
    <w:rsid w:val="00A177AF"/>
    <w:rsid w:val="00A1793C"/>
    <w:rsid w:val="00A205C5"/>
    <w:rsid w:val="00A20A2F"/>
    <w:rsid w:val="00A214B2"/>
    <w:rsid w:val="00A2179F"/>
    <w:rsid w:val="00A21DD4"/>
    <w:rsid w:val="00A220F3"/>
    <w:rsid w:val="00A23173"/>
    <w:rsid w:val="00A23289"/>
    <w:rsid w:val="00A234A3"/>
    <w:rsid w:val="00A23AAF"/>
    <w:rsid w:val="00A23D57"/>
    <w:rsid w:val="00A23F57"/>
    <w:rsid w:val="00A243AE"/>
    <w:rsid w:val="00A24AEF"/>
    <w:rsid w:val="00A24B48"/>
    <w:rsid w:val="00A256AA"/>
    <w:rsid w:val="00A257F2"/>
    <w:rsid w:val="00A257F6"/>
    <w:rsid w:val="00A25868"/>
    <w:rsid w:val="00A2678D"/>
    <w:rsid w:val="00A27B56"/>
    <w:rsid w:val="00A3000E"/>
    <w:rsid w:val="00A307FC"/>
    <w:rsid w:val="00A316CF"/>
    <w:rsid w:val="00A31711"/>
    <w:rsid w:val="00A31A92"/>
    <w:rsid w:val="00A32F70"/>
    <w:rsid w:val="00A330E5"/>
    <w:rsid w:val="00A33C30"/>
    <w:rsid w:val="00A33DDC"/>
    <w:rsid w:val="00A34602"/>
    <w:rsid w:val="00A34BB7"/>
    <w:rsid w:val="00A34F5B"/>
    <w:rsid w:val="00A3518E"/>
    <w:rsid w:val="00A35420"/>
    <w:rsid w:val="00A3545A"/>
    <w:rsid w:val="00A35B0A"/>
    <w:rsid w:val="00A35BC0"/>
    <w:rsid w:val="00A35CA8"/>
    <w:rsid w:val="00A362CE"/>
    <w:rsid w:val="00A3712F"/>
    <w:rsid w:val="00A37177"/>
    <w:rsid w:val="00A373D4"/>
    <w:rsid w:val="00A37919"/>
    <w:rsid w:val="00A37ABB"/>
    <w:rsid w:val="00A37BBC"/>
    <w:rsid w:val="00A37F70"/>
    <w:rsid w:val="00A401E0"/>
    <w:rsid w:val="00A411A3"/>
    <w:rsid w:val="00A41311"/>
    <w:rsid w:val="00A4180B"/>
    <w:rsid w:val="00A4237B"/>
    <w:rsid w:val="00A4258F"/>
    <w:rsid w:val="00A427DC"/>
    <w:rsid w:val="00A42C84"/>
    <w:rsid w:val="00A42CD2"/>
    <w:rsid w:val="00A43611"/>
    <w:rsid w:val="00A437A9"/>
    <w:rsid w:val="00A43F0B"/>
    <w:rsid w:val="00A44A5D"/>
    <w:rsid w:val="00A44B21"/>
    <w:rsid w:val="00A44CD5"/>
    <w:rsid w:val="00A44EAB"/>
    <w:rsid w:val="00A45A76"/>
    <w:rsid w:val="00A460C1"/>
    <w:rsid w:val="00A4775D"/>
    <w:rsid w:val="00A479F2"/>
    <w:rsid w:val="00A47B91"/>
    <w:rsid w:val="00A47E51"/>
    <w:rsid w:val="00A50D6D"/>
    <w:rsid w:val="00A51507"/>
    <w:rsid w:val="00A51B13"/>
    <w:rsid w:val="00A51E79"/>
    <w:rsid w:val="00A52255"/>
    <w:rsid w:val="00A52433"/>
    <w:rsid w:val="00A52885"/>
    <w:rsid w:val="00A533B2"/>
    <w:rsid w:val="00A53B83"/>
    <w:rsid w:val="00A54DFE"/>
    <w:rsid w:val="00A562FF"/>
    <w:rsid w:val="00A565B3"/>
    <w:rsid w:val="00A57134"/>
    <w:rsid w:val="00A57720"/>
    <w:rsid w:val="00A602E1"/>
    <w:rsid w:val="00A6051C"/>
    <w:rsid w:val="00A61C89"/>
    <w:rsid w:val="00A61F45"/>
    <w:rsid w:val="00A61F5E"/>
    <w:rsid w:val="00A6267A"/>
    <w:rsid w:val="00A6290A"/>
    <w:rsid w:val="00A6300C"/>
    <w:rsid w:val="00A63354"/>
    <w:rsid w:val="00A6398C"/>
    <w:rsid w:val="00A64000"/>
    <w:rsid w:val="00A6496D"/>
    <w:rsid w:val="00A64B01"/>
    <w:rsid w:val="00A64CE9"/>
    <w:rsid w:val="00A64CF9"/>
    <w:rsid w:val="00A6514C"/>
    <w:rsid w:val="00A65191"/>
    <w:rsid w:val="00A6525C"/>
    <w:rsid w:val="00A65783"/>
    <w:rsid w:val="00A66048"/>
    <w:rsid w:val="00A66399"/>
    <w:rsid w:val="00A66F26"/>
    <w:rsid w:val="00A67CD6"/>
    <w:rsid w:val="00A67E1B"/>
    <w:rsid w:val="00A7070E"/>
    <w:rsid w:val="00A709E0"/>
    <w:rsid w:val="00A713A7"/>
    <w:rsid w:val="00A71919"/>
    <w:rsid w:val="00A731EC"/>
    <w:rsid w:val="00A73452"/>
    <w:rsid w:val="00A73ADC"/>
    <w:rsid w:val="00A73DDC"/>
    <w:rsid w:val="00A745AE"/>
    <w:rsid w:val="00A74C4B"/>
    <w:rsid w:val="00A74FC3"/>
    <w:rsid w:val="00A75772"/>
    <w:rsid w:val="00A75A08"/>
    <w:rsid w:val="00A75DA6"/>
    <w:rsid w:val="00A75EC9"/>
    <w:rsid w:val="00A76AF7"/>
    <w:rsid w:val="00A80690"/>
    <w:rsid w:val="00A80D41"/>
    <w:rsid w:val="00A81134"/>
    <w:rsid w:val="00A813A9"/>
    <w:rsid w:val="00A82B88"/>
    <w:rsid w:val="00A8384D"/>
    <w:rsid w:val="00A840C1"/>
    <w:rsid w:val="00A84186"/>
    <w:rsid w:val="00A846FB"/>
    <w:rsid w:val="00A84863"/>
    <w:rsid w:val="00A86555"/>
    <w:rsid w:val="00A866E5"/>
    <w:rsid w:val="00A86AB5"/>
    <w:rsid w:val="00A870B7"/>
    <w:rsid w:val="00A87317"/>
    <w:rsid w:val="00A87442"/>
    <w:rsid w:val="00A87677"/>
    <w:rsid w:val="00A8798E"/>
    <w:rsid w:val="00A91E8C"/>
    <w:rsid w:val="00A920F4"/>
    <w:rsid w:val="00A921A2"/>
    <w:rsid w:val="00A93F07"/>
    <w:rsid w:val="00A94278"/>
    <w:rsid w:val="00A951C5"/>
    <w:rsid w:val="00A9691B"/>
    <w:rsid w:val="00A96A5D"/>
    <w:rsid w:val="00A972AA"/>
    <w:rsid w:val="00A9767A"/>
    <w:rsid w:val="00A97BD8"/>
    <w:rsid w:val="00A97ECF"/>
    <w:rsid w:val="00AA024D"/>
    <w:rsid w:val="00AA079E"/>
    <w:rsid w:val="00AA1750"/>
    <w:rsid w:val="00AA1937"/>
    <w:rsid w:val="00AA1B5F"/>
    <w:rsid w:val="00AA1C08"/>
    <w:rsid w:val="00AA1EEC"/>
    <w:rsid w:val="00AA27D2"/>
    <w:rsid w:val="00AA2F3F"/>
    <w:rsid w:val="00AA3692"/>
    <w:rsid w:val="00AA39D1"/>
    <w:rsid w:val="00AA4048"/>
    <w:rsid w:val="00AA42CA"/>
    <w:rsid w:val="00AA470C"/>
    <w:rsid w:val="00AA48AA"/>
    <w:rsid w:val="00AA4975"/>
    <w:rsid w:val="00AA4C58"/>
    <w:rsid w:val="00AA5815"/>
    <w:rsid w:val="00AA585D"/>
    <w:rsid w:val="00AA66B7"/>
    <w:rsid w:val="00AA687B"/>
    <w:rsid w:val="00AA6AAF"/>
    <w:rsid w:val="00AA6F21"/>
    <w:rsid w:val="00AA72CF"/>
    <w:rsid w:val="00AA7947"/>
    <w:rsid w:val="00AA79EE"/>
    <w:rsid w:val="00AB0D91"/>
    <w:rsid w:val="00AB14A6"/>
    <w:rsid w:val="00AB24E4"/>
    <w:rsid w:val="00AB271D"/>
    <w:rsid w:val="00AB2AF0"/>
    <w:rsid w:val="00AB2C83"/>
    <w:rsid w:val="00AB31B0"/>
    <w:rsid w:val="00AB34DC"/>
    <w:rsid w:val="00AB3D19"/>
    <w:rsid w:val="00AB3D9D"/>
    <w:rsid w:val="00AB44D5"/>
    <w:rsid w:val="00AB4E6E"/>
    <w:rsid w:val="00AB516B"/>
    <w:rsid w:val="00AB5B8F"/>
    <w:rsid w:val="00AB6D54"/>
    <w:rsid w:val="00AB7C39"/>
    <w:rsid w:val="00AB7FF6"/>
    <w:rsid w:val="00AC00C1"/>
    <w:rsid w:val="00AC0956"/>
    <w:rsid w:val="00AC0B29"/>
    <w:rsid w:val="00AC144E"/>
    <w:rsid w:val="00AC16FB"/>
    <w:rsid w:val="00AC215E"/>
    <w:rsid w:val="00AC21C0"/>
    <w:rsid w:val="00AC2684"/>
    <w:rsid w:val="00AC2BFE"/>
    <w:rsid w:val="00AC35D5"/>
    <w:rsid w:val="00AC3710"/>
    <w:rsid w:val="00AC3909"/>
    <w:rsid w:val="00AC4663"/>
    <w:rsid w:val="00AC4B10"/>
    <w:rsid w:val="00AC4F10"/>
    <w:rsid w:val="00AC5101"/>
    <w:rsid w:val="00AC7960"/>
    <w:rsid w:val="00AC7EDF"/>
    <w:rsid w:val="00AD0045"/>
    <w:rsid w:val="00AD0397"/>
    <w:rsid w:val="00AD0648"/>
    <w:rsid w:val="00AD0946"/>
    <w:rsid w:val="00AD09EF"/>
    <w:rsid w:val="00AD0A3A"/>
    <w:rsid w:val="00AD0AAC"/>
    <w:rsid w:val="00AD0D91"/>
    <w:rsid w:val="00AD0F9F"/>
    <w:rsid w:val="00AD179E"/>
    <w:rsid w:val="00AD1D25"/>
    <w:rsid w:val="00AD2101"/>
    <w:rsid w:val="00AD2601"/>
    <w:rsid w:val="00AD32DC"/>
    <w:rsid w:val="00AD35A1"/>
    <w:rsid w:val="00AD35C0"/>
    <w:rsid w:val="00AD44DF"/>
    <w:rsid w:val="00AD462B"/>
    <w:rsid w:val="00AD4ECD"/>
    <w:rsid w:val="00AD5552"/>
    <w:rsid w:val="00AD56F5"/>
    <w:rsid w:val="00AD5C0E"/>
    <w:rsid w:val="00AD5E3F"/>
    <w:rsid w:val="00AD66D6"/>
    <w:rsid w:val="00AD79F9"/>
    <w:rsid w:val="00AE014A"/>
    <w:rsid w:val="00AE03C6"/>
    <w:rsid w:val="00AE08F3"/>
    <w:rsid w:val="00AE11E9"/>
    <w:rsid w:val="00AE15E8"/>
    <w:rsid w:val="00AE1A3B"/>
    <w:rsid w:val="00AE2A69"/>
    <w:rsid w:val="00AE2A75"/>
    <w:rsid w:val="00AE312A"/>
    <w:rsid w:val="00AE37DC"/>
    <w:rsid w:val="00AE41DE"/>
    <w:rsid w:val="00AE449D"/>
    <w:rsid w:val="00AE4ACF"/>
    <w:rsid w:val="00AE5FF6"/>
    <w:rsid w:val="00AE6183"/>
    <w:rsid w:val="00AE6D38"/>
    <w:rsid w:val="00AE7002"/>
    <w:rsid w:val="00AE7005"/>
    <w:rsid w:val="00AE7318"/>
    <w:rsid w:val="00AE7BF9"/>
    <w:rsid w:val="00AE7C9A"/>
    <w:rsid w:val="00AE7D54"/>
    <w:rsid w:val="00AE7DF9"/>
    <w:rsid w:val="00AF11AB"/>
    <w:rsid w:val="00AF23CF"/>
    <w:rsid w:val="00AF2A09"/>
    <w:rsid w:val="00AF356C"/>
    <w:rsid w:val="00AF43FA"/>
    <w:rsid w:val="00AF5183"/>
    <w:rsid w:val="00AF57B8"/>
    <w:rsid w:val="00AF581F"/>
    <w:rsid w:val="00AF591E"/>
    <w:rsid w:val="00AF657B"/>
    <w:rsid w:val="00AF6827"/>
    <w:rsid w:val="00AF68B4"/>
    <w:rsid w:val="00AF6983"/>
    <w:rsid w:val="00AF6CC7"/>
    <w:rsid w:val="00B0035D"/>
    <w:rsid w:val="00B006D8"/>
    <w:rsid w:val="00B010F2"/>
    <w:rsid w:val="00B01C09"/>
    <w:rsid w:val="00B0200B"/>
    <w:rsid w:val="00B03667"/>
    <w:rsid w:val="00B040AC"/>
    <w:rsid w:val="00B0548A"/>
    <w:rsid w:val="00B054AA"/>
    <w:rsid w:val="00B05E4C"/>
    <w:rsid w:val="00B061CA"/>
    <w:rsid w:val="00B06EB3"/>
    <w:rsid w:val="00B06F8B"/>
    <w:rsid w:val="00B1044F"/>
    <w:rsid w:val="00B10BBE"/>
    <w:rsid w:val="00B11804"/>
    <w:rsid w:val="00B11DB8"/>
    <w:rsid w:val="00B123D9"/>
    <w:rsid w:val="00B132A1"/>
    <w:rsid w:val="00B14A27"/>
    <w:rsid w:val="00B14BE4"/>
    <w:rsid w:val="00B15C63"/>
    <w:rsid w:val="00B15D6A"/>
    <w:rsid w:val="00B16C68"/>
    <w:rsid w:val="00B17B1B"/>
    <w:rsid w:val="00B17ECA"/>
    <w:rsid w:val="00B20984"/>
    <w:rsid w:val="00B215CC"/>
    <w:rsid w:val="00B22500"/>
    <w:rsid w:val="00B2269F"/>
    <w:rsid w:val="00B23376"/>
    <w:rsid w:val="00B234D9"/>
    <w:rsid w:val="00B23F4B"/>
    <w:rsid w:val="00B23F5D"/>
    <w:rsid w:val="00B23F5F"/>
    <w:rsid w:val="00B24111"/>
    <w:rsid w:val="00B2424E"/>
    <w:rsid w:val="00B24E89"/>
    <w:rsid w:val="00B24F4A"/>
    <w:rsid w:val="00B254EA"/>
    <w:rsid w:val="00B26525"/>
    <w:rsid w:val="00B2685A"/>
    <w:rsid w:val="00B27025"/>
    <w:rsid w:val="00B272CE"/>
    <w:rsid w:val="00B2794A"/>
    <w:rsid w:val="00B27A2D"/>
    <w:rsid w:val="00B27B38"/>
    <w:rsid w:val="00B27FB1"/>
    <w:rsid w:val="00B31538"/>
    <w:rsid w:val="00B32269"/>
    <w:rsid w:val="00B33280"/>
    <w:rsid w:val="00B33493"/>
    <w:rsid w:val="00B339D0"/>
    <w:rsid w:val="00B33A8D"/>
    <w:rsid w:val="00B356E7"/>
    <w:rsid w:val="00B35DD9"/>
    <w:rsid w:val="00B36389"/>
    <w:rsid w:val="00B40260"/>
    <w:rsid w:val="00B40D1F"/>
    <w:rsid w:val="00B41218"/>
    <w:rsid w:val="00B4155D"/>
    <w:rsid w:val="00B415B8"/>
    <w:rsid w:val="00B4169C"/>
    <w:rsid w:val="00B41F36"/>
    <w:rsid w:val="00B42796"/>
    <w:rsid w:val="00B42970"/>
    <w:rsid w:val="00B43163"/>
    <w:rsid w:val="00B44206"/>
    <w:rsid w:val="00B44B06"/>
    <w:rsid w:val="00B45D1C"/>
    <w:rsid w:val="00B462A1"/>
    <w:rsid w:val="00B463A9"/>
    <w:rsid w:val="00B46699"/>
    <w:rsid w:val="00B47195"/>
    <w:rsid w:val="00B47F44"/>
    <w:rsid w:val="00B50245"/>
    <w:rsid w:val="00B50362"/>
    <w:rsid w:val="00B506CB"/>
    <w:rsid w:val="00B51045"/>
    <w:rsid w:val="00B53C9B"/>
    <w:rsid w:val="00B54F09"/>
    <w:rsid w:val="00B55094"/>
    <w:rsid w:val="00B55244"/>
    <w:rsid w:val="00B5573F"/>
    <w:rsid w:val="00B55995"/>
    <w:rsid w:val="00B567EF"/>
    <w:rsid w:val="00B57685"/>
    <w:rsid w:val="00B5775F"/>
    <w:rsid w:val="00B612DB"/>
    <w:rsid w:val="00B61447"/>
    <w:rsid w:val="00B61544"/>
    <w:rsid w:val="00B6181B"/>
    <w:rsid w:val="00B618D7"/>
    <w:rsid w:val="00B61CAD"/>
    <w:rsid w:val="00B621BA"/>
    <w:rsid w:val="00B63280"/>
    <w:rsid w:val="00B63517"/>
    <w:rsid w:val="00B637D3"/>
    <w:rsid w:val="00B63A66"/>
    <w:rsid w:val="00B64196"/>
    <w:rsid w:val="00B64EE1"/>
    <w:rsid w:val="00B65270"/>
    <w:rsid w:val="00B6546C"/>
    <w:rsid w:val="00B65883"/>
    <w:rsid w:val="00B660E4"/>
    <w:rsid w:val="00B66B3E"/>
    <w:rsid w:val="00B670D3"/>
    <w:rsid w:val="00B702B1"/>
    <w:rsid w:val="00B705C3"/>
    <w:rsid w:val="00B70790"/>
    <w:rsid w:val="00B70891"/>
    <w:rsid w:val="00B71074"/>
    <w:rsid w:val="00B72156"/>
    <w:rsid w:val="00B7292E"/>
    <w:rsid w:val="00B73529"/>
    <w:rsid w:val="00B73AD1"/>
    <w:rsid w:val="00B742A2"/>
    <w:rsid w:val="00B7445F"/>
    <w:rsid w:val="00B748D9"/>
    <w:rsid w:val="00B75756"/>
    <w:rsid w:val="00B76292"/>
    <w:rsid w:val="00B76C30"/>
    <w:rsid w:val="00B771A4"/>
    <w:rsid w:val="00B7729E"/>
    <w:rsid w:val="00B77456"/>
    <w:rsid w:val="00B80416"/>
    <w:rsid w:val="00B81178"/>
    <w:rsid w:val="00B81D54"/>
    <w:rsid w:val="00B82A1E"/>
    <w:rsid w:val="00B8360B"/>
    <w:rsid w:val="00B83DD8"/>
    <w:rsid w:val="00B84292"/>
    <w:rsid w:val="00B84488"/>
    <w:rsid w:val="00B85292"/>
    <w:rsid w:val="00B86348"/>
    <w:rsid w:val="00B86F15"/>
    <w:rsid w:val="00B872FB"/>
    <w:rsid w:val="00B8734F"/>
    <w:rsid w:val="00B878E1"/>
    <w:rsid w:val="00B90011"/>
    <w:rsid w:val="00B90E7E"/>
    <w:rsid w:val="00B91C78"/>
    <w:rsid w:val="00B9275D"/>
    <w:rsid w:val="00B92ED9"/>
    <w:rsid w:val="00B93869"/>
    <w:rsid w:val="00B93CE3"/>
    <w:rsid w:val="00B942A3"/>
    <w:rsid w:val="00B94E2F"/>
    <w:rsid w:val="00B94F0A"/>
    <w:rsid w:val="00B954B1"/>
    <w:rsid w:val="00B95D3D"/>
    <w:rsid w:val="00B96908"/>
    <w:rsid w:val="00B96F30"/>
    <w:rsid w:val="00B97295"/>
    <w:rsid w:val="00B97992"/>
    <w:rsid w:val="00BA0FD1"/>
    <w:rsid w:val="00BA253C"/>
    <w:rsid w:val="00BA2C54"/>
    <w:rsid w:val="00BA311E"/>
    <w:rsid w:val="00BA34F9"/>
    <w:rsid w:val="00BA3D0C"/>
    <w:rsid w:val="00BA44C9"/>
    <w:rsid w:val="00BA4F24"/>
    <w:rsid w:val="00BA51B2"/>
    <w:rsid w:val="00BA52E1"/>
    <w:rsid w:val="00BA5DEE"/>
    <w:rsid w:val="00BA61E8"/>
    <w:rsid w:val="00BA641D"/>
    <w:rsid w:val="00BA659A"/>
    <w:rsid w:val="00BA665E"/>
    <w:rsid w:val="00BA6895"/>
    <w:rsid w:val="00BA785A"/>
    <w:rsid w:val="00BA7C27"/>
    <w:rsid w:val="00BA7CF9"/>
    <w:rsid w:val="00BA7D8C"/>
    <w:rsid w:val="00BA7FEE"/>
    <w:rsid w:val="00BB0F81"/>
    <w:rsid w:val="00BB1D61"/>
    <w:rsid w:val="00BB291A"/>
    <w:rsid w:val="00BB2FB8"/>
    <w:rsid w:val="00BB33FA"/>
    <w:rsid w:val="00BB48FF"/>
    <w:rsid w:val="00BB4D4A"/>
    <w:rsid w:val="00BB53E4"/>
    <w:rsid w:val="00BB5A2F"/>
    <w:rsid w:val="00BB662C"/>
    <w:rsid w:val="00BB6C0A"/>
    <w:rsid w:val="00BB73B8"/>
    <w:rsid w:val="00BB7F10"/>
    <w:rsid w:val="00BC0305"/>
    <w:rsid w:val="00BC04F1"/>
    <w:rsid w:val="00BC0643"/>
    <w:rsid w:val="00BC0879"/>
    <w:rsid w:val="00BC164F"/>
    <w:rsid w:val="00BC1B81"/>
    <w:rsid w:val="00BC259B"/>
    <w:rsid w:val="00BC2B2C"/>
    <w:rsid w:val="00BC2B71"/>
    <w:rsid w:val="00BC3183"/>
    <w:rsid w:val="00BC40FF"/>
    <w:rsid w:val="00BC433A"/>
    <w:rsid w:val="00BC4401"/>
    <w:rsid w:val="00BC442A"/>
    <w:rsid w:val="00BC44B1"/>
    <w:rsid w:val="00BC45AA"/>
    <w:rsid w:val="00BC474D"/>
    <w:rsid w:val="00BC4B7C"/>
    <w:rsid w:val="00BC4D46"/>
    <w:rsid w:val="00BC51EF"/>
    <w:rsid w:val="00BC55B4"/>
    <w:rsid w:val="00BC5872"/>
    <w:rsid w:val="00BC6224"/>
    <w:rsid w:val="00BC634D"/>
    <w:rsid w:val="00BC6DCB"/>
    <w:rsid w:val="00BC6F1A"/>
    <w:rsid w:val="00BC7CFD"/>
    <w:rsid w:val="00BD030C"/>
    <w:rsid w:val="00BD09C0"/>
    <w:rsid w:val="00BD0A60"/>
    <w:rsid w:val="00BD0BF1"/>
    <w:rsid w:val="00BD28D1"/>
    <w:rsid w:val="00BD2C47"/>
    <w:rsid w:val="00BD4313"/>
    <w:rsid w:val="00BD43C7"/>
    <w:rsid w:val="00BD47E8"/>
    <w:rsid w:val="00BD4873"/>
    <w:rsid w:val="00BD505F"/>
    <w:rsid w:val="00BD561A"/>
    <w:rsid w:val="00BD59BB"/>
    <w:rsid w:val="00BD6244"/>
    <w:rsid w:val="00BD6C1B"/>
    <w:rsid w:val="00BD7130"/>
    <w:rsid w:val="00BD7A03"/>
    <w:rsid w:val="00BD7BCC"/>
    <w:rsid w:val="00BD7EAA"/>
    <w:rsid w:val="00BE0264"/>
    <w:rsid w:val="00BE028E"/>
    <w:rsid w:val="00BE06AC"/>
    <w:rsid w:val="00BE136B"/>
    <w:rsid w:val="00BE2B39"/>
    <w:rsid w:val="00BE3CF7"/>
    <w:rsid w:val="00BE4B67"/>
    <w:rsid w:val="00BE4C39"/>
    <w:rsid w:val="00BE4E40"/>
    <w:rsid w:val="00BE5080"/>
    <w:rsid w:val="00BE5DA9"/>
    <w:rsid w:val="00BE61B5"/>
    <w:rsid w:val="00BE6468"/>
    <w:rsid w:val="00BE70A3"/>
    <w:rsid w:val="00BE7802"/>
    <w:rsid w:val="00BE7899"/>
    <w:rsid w:val="00BE7D74"/>
    <w:rsid w:val="00BF0250"/>
    <w:rsid w:val="00BF0259"/>
    <w:rsid w:val="00BF0572"/>
    <w:rsid w:val="00BF0637"/>
    <w:rsid w:val="00BF25D3"/>
    <w:rsid w:val="00BF30CB"/>
    <w:rsid w:val="00BF31B3"/>
    <w:rsid w:val="00BF360D"/>
    <w:rsid w:val="00BF3615"/>
    <w:rsid w:val="00BF3CC3"/>
    <w:rsid w:val="00BF41B6"/>
    <w:rsid w:val="00BF4E16"/>
    <w:rsid w:val="00BF4E26"/>
    <w:rsid w:val="00BF58C2"/>
    <w:rsid w:val="00BF5AE3"/>
    <w:rsid w:val="00BF6123"/>
    <w:rsid w:val="00BF6FC5"/>
    <w:rsid w:val="00BF7460"/>
    <w:rsid w:val="00BF7585"/>
    <w:rsid w:val="00C00DDF"/>
    <w:rsid w:val="00C01ADA"/>
    <w:rsid w:val="00C0212E"/>
    <w:rsid w:val="00C02934"/>
    <w:rsid w:val="00C02D7C"/>
    <w:rsid w:val="00C02F3C"/>
    <w:rsid w:val="00C0301E"/>
    <w:rsid w:val="00C03F68"/>
    <w:rsid w:val="00C0411E"/>
    <w:rsid w:val="00C05551"/>
    <w:rsid w:val="00C06406"/>
    <w:rsid w:val="00C10058"/>
    <w:rsid w:val="00C103D6"/>
    <w:rsid w:val="00C1072C"/>
    <w:rsid w:val="00C11101"/>
    <w:rsid w:val="00C11140"/>
    <w:rsid w:val="00C111C2"/>
    <w:rsid w:val="00C11370"/>
    <w:rsid w:val="00C11831"/>
    <w:rsid w:val="00C11AA5"/>
    <w:rsid w:val="00C11BE8"/>
    <w:rsid w:val="00C11F51"/>
    <w:rsid w:val="00C11FC6"/>
    <w:rsid w:val="00C125F8"/>
    <w:rsid w:val="00C12EDC"/>
    <w:rsid w:val="00C1512B"/>
    <w:rsid w:val="00C152C1"/>
    <w:rsid w:val="00C159B4"/>
    <w:rsid w:val="00C15B99"/>
    <w:rsid w:val="00C15E2B"/>
    <w:rsid w:val="00C16369"/>
    <w:rsid w:val="00C17CAD"/>
    <w:rsid w:val="00C17FE6"/>
    <w:rsid w:val="00C207FF"/>
    <w:rsid w:val="00C20825"/>
    <w:rsid w:val="00C20B05"/>
    <w:rsid w:val="00C20B23"/>
    <w:rsid w:val="00C20DC6"/>
    <w:rsid w:val="00C2160B"/>
    <w:rsid w:val="00C220B6"/>
    <w:rsid w:val="00C226FE"/>
    <w:rsid w:val="00C229E2"/>
    <w:rsid w:val="00C22B1D"/>
    <w:rsid w:val="00C22E04"/>
    <w:rsid w:val="00C22FAD"/>
    <w:rsid w:val="00C23267"/>
    <w:rsid w:val="00C23527"/>
    <w:rsid w:val="00C23E68"/>
    <w:rsid w:val="00C23F9D"/>
    <w:rsid w:val="00C2464F"/>
    <w:rsid w:val="00C24997"/>
    <w:rsid w:val="00C24E2D"/>
    <w:rsid w:val="00C24F52"/>
    <w:rsid w:val="00C250EF"/>
    <w:rsid w:val="00C2532C"/>
    <w:rsid w:val="00C25A17"/>
    <w:rsid w:val="00C25F02"/>
    <w:rsid w:val="00C25F5A"/>
    <w:rsid w:val="00C26C45"/>
    <w:rsid w:val="00C27129"/>
    <w:rsid w:val="00C30121"/>
    <w:rsid w:val="00C304B6"/>
    <w:rsid w:val="00C30C1B"/>
    <w:rsid w:val="00C314C5"/>
    <w:rsid w:val="00C32C5B"/>
    <w:rsid w:val="00C33618"/>
    <w:rsid w:val="00C33851"/>
    <w:rsid w:val="00C33B7E"/>
    <w:rsid w:val="00C352A6"/>
    <w:rsid w:val="00C35575"/>
    <w:rsid w:val="00C35C3C"/>
    <w:rsid w:val="00C35FB5"/>
    <w:rsid w:val="00C36006"/>
    <w:rsid w:val="00C362B6"/>
    <w:rsid w:val="00C362E3"/>
    <w:rsid w:val="00C365A6"/>
    <w:rsid w:val="00C36B69"/>
    <w:rsid w:val="00C36F7F"/>
    <w:rsid w:val="00C372C8"/>
    <w:rsid w:val="00C37752"/>
    <w:rsid w:val="00C377C0"/>
    <w:rsid w:val="00C4001C"/>
    <w:rsid w:val="00C401BF"/>
    <w:rsid w:val="00C403A8"/>
    <w:rsid w:val="00C4052B"/>
    <w:rsid w:val="00C40577"/>
    <w:rsid w:val="00C40D29"/>
    <w:rsid w:val="00C41186"/>
    <w:rsid w:val="00C41520"/>
    <w:rsid w:val="00C41CF0"/>
    <w:rsid w:val="00C43A0D"/>
    <w:rsid w:val="00C43F3B"/>
    <w:rsid w:val="00C45980"/>
    <w:rsid w:val="00C45C29"/>
    <w:rsid w:val="00C4609F"/>
    <w:rsid w:val="00C46251"/>
    <w:rsid w:val="00C46470"/>
    <w:rsid w:val="00C46AD2"/>
    <w:rsid w:val="00C46D61"/>
    <w:rsid w:val="00C479DC"/>
    <w:rsid w:val="00C47A30"/>
    <w:rsid w:val="00C50659"/>
    <w:rsid w:val="00C515AE"/>
    <w:rsid w:val="00C522B4"/>
    <w:rsid w:val="00C52756"/>
    <w:rsid w:val="00C5321A"/>
    <w:rsid w:val="00C538E7"/>
    <w:rsid w:val="00C544E7"/>
    <w:rsid w:val="00C54704"/>
    <w:rsid w:val="00C54D07"/>
    <w:rsid w:val="00C54EDC"/>
    <w:rsid w:val="00C54F46"/>
    <w:rsid w:val="00C55518"/>
    <w:rsid w:val="00C55A16"/>
    <w:rsid w:val="00C55FB5"/>
    <w:rsid w:val="00C56017"/>
    <w:rsid w:val="00C56804"/>
    <w:rsid w:val="00C56F14"/>
    <w:rsid w:val="00C56F4A"/>
    <w:rsid w:val="00C570A9"/>
    <w:rsid w:val="00C5742F"/>
    <w:rsid w:val="00C60B22"/>
    <w:rsid w:val="00C61D09"/>
    <w:rsid w:val="00C62D06"/>
    <w:rsid w:val="00C642C6"/>
    <w:rsid w:val="00C64719"/>
    <w:rsid w:val="00C65028"/>
    <w:rsid w:val="00C655E4"/>
    <w:rsid w:val="00C65C0F"/>
    <w:rsid w:val="00C65C8B"/>
    <w:rsid w:val="00C65DE8"/>
    <w:rsid w:val="00C66669"/>
    <w:rsid w:val="00C66FC8"/>
    <w:rsid w:val="00C6728B"/>
    <w:rsid w:val="00C67379"/>
    <w:rsid w:val="00C678C4"/>
    <w:rsid w:val="00C70BB1"/>
    <w:rsid w:val="00C714B6"/>
    <w:rsid w:val="00C715B8"/>
    <w:rsid w:val="00C718F0"/>
    <w:rsid w:val="00C72100"/>
    <w:rsid w:val="00C72412"/>
    <w:rsid w:val="00C724B2"/>
    <w:rsid w:val="00C72643"/>
    <w:rsid w:val="00C732A4"/>
    <w:rsid w:val="00C732F7"/>
    <w:rsid w:val="00C7363B"/>
    <w:rsid w:val="00C74368"/>
    <w:rsid w:val="00C74E65"/>
    <w:rsid w:val="00C754E0"/>
    <w:rsid w:val="00C76419"/>
    <w:rsid w:val="00C76493"/>
    <w:rsid w:val="00C76D27"/>
    <w:rsid w:val="00C77837"/>
    <w:rsid w:val="00C77B99"/>
    <w:rsid w:val="00C77FA3"/>
    <w:rsid w:val="00C80246"/>
    <w:rsid w:val="00C80B9D"/>
    <w:rsid w:val="00C80ECE"/>
    <w:rsid w:val="00C8170B"/>
    <w:rsid w:val="00C829B6"/>
    <w:rsid w:val="00C833AF"/>
    <w:rsid w:val="00C833ED"/>
    <w:rsid w:val="00C8389C"/>
    <w:rsid w:val="00C83EF6"/>
    <w:rsid w:val="00C8418B"/>
    <w:rsid w:val="00C84A65"/>
    <w:rsid w:val="00C855FD"/>
    <w:rsid w:val="00C85A05"/>
    <w:rsid w:val="00C85E65"/>
    <w:rsid w:val="00C86095"/>
    <w:rsid w:val="00C861B5"/>
    <w:rsid w:val="00C86423"/>
    <w:rsid w:val="00C8647B"/>
    <w:rsid w:val="00C86C2E"/>
    <w:rsid w:val="00C87120"/>
    <w:rsid w:val="00C87728"/>
    <w:rsid w:val="00C87E7C"/>
    <w:rsid w:val="00C87F1E"/>
    <w:rsid w:val="00C90275"/>
    <w:rsid w:val="00C907B1"/>
    <w:rsid w:val="00C90878"/>
    <w:rsid w:val="00C90BE8"/>
    <w:rsid w:val="00C9182C"/>
    <w:rsid w:val="00C91DB8"/>
    <w:rsid w:val="00C91DD8"/>
    <w:rsid w:val="00C92307"/>
    <w:rsid w:val="00C92311"/>
    <w:rsid w:val="00C926A2"/>
    <w:rsid w:val="00C92C87"/>
    <w:rsid w:val="00C93F00"/>
    <w:rsid w:val="00C94932"/>
    <w:rsid w:val="00C94ACF"/>
    <w:rsid w:val="00C94D74"/>
    <w:rsid w:val="00C9562C"/>
    <w:rsid w:val="00C9599D"/>
    <w:rsid w:val="00C95CD9"/>
    <w:rsid w:val="00C96173"/>
    <w:rsid w:val="00C96B28"/>
    <w:rsid w:val="00C96E08"/>
    <w:rsid w:val="00CA009C"/>
    <w:rsid w:val="00CA1DAB"/>
    <w:rsid w:val="00CA1FD3"/>
    <w:rsid w:val="00CA244C"/>
    <w:rsid w:val="00CA251C"/>
    <w:rsid w:val="00CA2C3C"/>
    <w:rsid w:val="00CA3380"/>
    <w:rsid w:val="00CA353D"/>
    <w:rsid w:val="00CA3A98"/>
    <w:rsid w:val="00CA3FDC"/>
    <w:rsid w:val="00CA47B0"/>
    <w:rsid w:val="00CA5036"/>
    <w:rsid w:val="00CA5638"/>
    <w:rsid w:val="00CA66D0"/>
    <w:rsid w:val="00CA6EAB"/>
    <w:rsid w:val="00CA6ECB"/>
    <w:rsid w:val="00CB02D1"/>
    <w:rsid w:val="00CB0D17"/>
    <w:rsid w:val="00CB0E25"/>
    <w:rsid w:val="00CB0F2C"/>
    <w:rsid w:val="00CB1278"/>
    <w:rsid w:val="00CB18A4"/>
    <w:rsid w:val="00CB199E"/>
    <w:rsid w:val="00CB3702"/>
    <w:rsid w:val="00CB43B7"/>
    <w:rsid w:val="00CB4AF0"/>
    <w:rsid w:val="00CB4E32"/>
    <w:rsid w:val="00CB53A9"/>
    <w:rsid w:val="00CB6C17"/>
    <w:rsid w:val="00CB6E50"/>
    <w:rsid w:val="00CB74DC"/>
    <w:rsid w:val="00CB78A2"/>
    <w:rsid w:val="00CC0BA6"/>
    <w:rsid w:val="00CC0EC7"/>
    <w:rsid w:val="00CC1F0E"/>
    <w:rsid w:val="00CC2831"/>
    <w:rsid w:val="00CC3CB5"/>
    <w:rsid w:val="00CC46D2"/>
    <w:rsid w:val="00CC4CD1"/>
    <w:rsid w:val="00CC5734"/>
    <w:rsid w:val="00CC5E53"/>
    <w:rsid w:val="00CC6F65"/>
    <w:rsid w:val="00CC716A"/>
    <w:rsid w:val="00CC7892"/>
    <w:rsid w:val="00CC78E0"/>
    <w:rsid w:val="00CD01FC"/>
    <w:rsid w:val="00CD0EBE"/>
    <w:rsid w:val="00CD0ECA"/>
    <w:rsid w:val="00CD1021"/>
    <w:rsid w:val="00CD128E"/>
    <w:rsid w:val="00CD1B95"/>
    <w:rsid w:val="00CD1B98"/>
    <w:rsid w:val="00CD23A3"/>
    <w:rsid w:val="00CD270C"/>
    <w:rsid w:val="00CD29FA"/>
    <w:rsid w:val="00CD315D"/>
    <w:rsid w:val="00CD3A28"/>
    <w:rsid w:val="00CD3AE1"/>
    <w:rsid w:val="00CD4233"/>
    <w:rsid w:val="00CD5953"/>
    <w:rsid w:val="00CD65B4"/>
    <w:rsid w:val="00CD65DB"/>
    <w:rsid w:val="00CD6CA7"/>
    <w:rsid w:val="00CD71CB"/>
    <w:rsid w:val="00CD772E"/>
    <w:rsid w:val="00CD77F3"/>
    <w:rsid w:val="00CE0761"/>
    <w:rsid w:val="00CE084A"/>
    <w:rsid w:val="00CE0933"/>
    <w:rsid w:val="00CE0D0B"/>
    <w:rsid w:val="00CE1046"/>
    <w:rsid w:val="00CE10EF"/>
    <w:rsid w:val="00CE1783"/>
    <w:rsid w:val="00CE1820"/>
    <w:rsid w:val="00CE1941"/>
    <w:rsid w:val="00CE2C2F"/>
    <w:rsid w:val="00CE3393"/>
    <w:rsid w:val="00CE3F55"/>
    <w:rsid w:val="00CE4370"/>
    <w:rsid w:val="00CE4A47"/>
    <w:rsid w:val="00CE4A8B"/>
    <w:rsid w:val="00CE4E24"/>
    <w:rsid w:val="00CE5130"/>
    <w:rsid w:val="00CE572B"/>
    <w:rsid w:val="00CE58CB"/>
    <w:rsid w:val="00CE6079"/>
    <w:rsid w:val="00CE6C6C"/>
    <w:rsid w:val="00CE6D9F"/>
    <w:rsid w:val="00CF101E"/>
    <w:rsid w:val="00CF1475"/>
    <w:rsid w:val="00CF176C"/>
    <w:rsid w:val="00CF1A51"/>
    <w:rsid w:val="00CF2BEC"/>
    <w:rsid w:val="00CF355B"/>
    <w:rsid w:val="00CF3D57"/>
    <w:rsid w:val="00CF427F"/>
    <w:rsid w:val="00CF468A"/>
    <w:rsid w:val="00CF477D"/>
    <w:rsid w:val="00CF5D12"/>
    <w:rsid w:val="00CF63EC"/>
    <w:rsid w:val="00CF641C"/>
    <w:rsid w:val="00CF689F"/>
    <w:rsid w:val="00CF6BD8"/>
    <w:rsid w:val="00CF6BF6"/>
    <w:rsid w:val="00CF6EA8"/>
    <w:rsid w:val="00D012D9"/>
    <w:rsid w:val="00D0142E"/>
    <w:rsid w:val="00D01A45"/>
    <w:rsid w:val="00D02FC4"/>
    <w:rsid w:val="00D03B32"/>
    <w:rsid w:val="00D03C6B"/>
    <w:rsid w:val="00D045A5"/>
    <w:rsid w:val="00D074B0"/>
    <w:rsid w:val="00D07A1A"/>
    <w:rsid w:val="00D103C2"/>
    <w:rsid w:val="00D10525"/>
    <w:rsid w:val="00D105FA"/>
    <w:rsid w:val="00D10986"/>
    <w:rsid w:val="00D10E3B"/>
    <w:rsid w:val="00D110AA"/>
    <w:rsid w:val="00D11D51"/>
    <w:rsid w:val="00D122D0"/>
    <w:rsid w:val="00D126B9"/>
    <w:rsid w:val="00D13405"/>
    <w:rsid w:val="00D13846"/>
    <w:rsid w:val="00D15C7D"/>
    <w:rsid w:val="00D1622D"/>
    <w:rsid w:val="00D16D13"/>
    <w:rsid w:val="00D16E30"/>
    <w:rsid w:val="00D1719D"/>
    <w:rsid w:val="00D1748F"/>
    <w:rsid w:val="00D17F95"/>
    <w:rsid w:val="00D20414"/>
    <w:rsid w:val="00D20909"/>
    <w:rsid w:val="00D21D56"/>
    <w:rsid w:val="00D21FCF"/>
    <w:rsid w:val="00D22257"/>
    <w:rsid w:val="00D2267A"/>
    <w:rsid w:val="00D232B2"/>
    <w:rsid w:val="00D245BB"/>
    <w:rsid w:val="00D24E54"/>
    <w:rsid w:val="00D25524"/>
    <w:rsid w:val="00D25F56"/>
    <w:rsid w:val="00D26653"/>
    <w:rsid w:val="00D26F0B"/>
    <w:rsid w:val="00D270F7"/>
    <w:rsid w:val="00D27292"/>
    <w:rsid w:val="00D305B1"/>
    <w:rsid w:val="00D30F22"/>
    <w:rsid w:val="00D311ED"/>
    <w:rsid w:val="00D31BC9"/>
    <w:rsid w:val="00D31D1E"/>
    <w:rsid w:val="00D32AFC"/>
    <w:rsid w:val="00D32B4A"/>
    <w:rsid w:val="00D3392C"/>
    <w:rsid w:val="00D34CD0"/>
    <w:rsid w:val="00D3701F"/>
    <w:rsid w:val="00D37403"/>
    <w:rsid w:val="00D3767F"/>
    <w:rsid w:val="00D37761"/>
    <w:rsid w:val="00D40077"/>
    <w:rsid w:val="00D40154"/>
    <w:rsid w:val="00D408E8"/>
    <w:rsid w:val="00D416B8"/>
    <w:rsid w:val="00D41B42"/>
    <w:rsid w:val="00D4224A"/>
    <w:rsid w:val="00D42C6D"/>
    <w:rsid w:val="00D42E46"/>
    <w:rsid w:val="00D4305B"/>
    <w:rsid w:val="00D43EB0"/>
    <w:rsid w:val="00D441FE"/>
    <w:rsid w:val="00D444E0"/>
    <w:rsid w:val="00D450FB"/>
    <w:rsid w:val="00D46409"/>
    <w:rsid w:val="00D46978"/>
    <w:rsid w:val="00D474F9"/>
    <w:rsid w:val="00D47AF7"/>
    <w:rsid w:val="00D50161"/>
    <w:rsid w:val="00D5019A"/>
    <w:rsid w:val="00D50694"/>
    <w:rsid w:val="00D50725"/>
    <w:rsid w:val="00D513E6"/>
    <w:rsid w:val="00D5211E"/>
    <w:rsid w:val="00D52EBC"/>
    <w:rsid w:val="00D53441"/>
    <w:rsid w:val="00D5387E"/>
    <w:rsid w:val="00D53EB5"/>
    <w:rsid w:val="00D5427E"/>
    <w:rsid w:val="00D54452"/>
    <w:rsid w:val="00D54460"/>
    <w:rsid w:val="00D549F7"/>
    <w:rsid w:val="00D54F35"/>
    <w:rsid w:val="00D552FF"/>
    <w:rsid w:val="00D55CAE"/>
    <w:rsid w:val="00D55DD1"/>
    <w:rsid w:val="00D56042"/>
    <w:rsid w:val="00D562F8"/>
    <w:rsid w:val="00D56BE7"/>
    <w:rsid w:val="00D56F91"/>
    <w:rsid w:val="00D57589"/>
    <w:rsid w:val="00D57AA1"/>
    <w:rsid w:val="00D57E08"/>
    <w:rsid w:val="00D601EE"/>
    <w:rsid w:val="00D6026A"/>
    <w:rsid w:val="00D604EC"/>
    <w:rsid w:val="00D606C9"/>
    <w:rsid w:val="00D60B13"/>
    <w:rsid w:val="00D615D0"/>
    <w:rsid w:val="00D620FA"/>
    <w:rsid w:val="00D621A4"/>
    <w:rsid w:val="00D623E2"/>
    <w:rsid w:val="00D62551"/>
    <w:rsid w:val="00D62B7B"/>
    <w:rsid w:val="00D63603"/>
    <w:rsid w:val="00D63DC0"/>
    <w:rsid w:val="00D63F68"/>
    <w:rsid w:val="00D6490A"/>
    <w:rsid w:val="00D650A3"/>
    <w:rsid w:val="00D654F4"/>
    <w:rsid w:val="00D66331"/>
    <w:rsid w:val="00D6774E"/>
    <w:rsid w:val="00D67CDD"/>
    <w:rsid w:val="00D67F34"/>
    <w:rsid w:val="00D702B6"/>
    <w:rsid w:val="00D7135F"/>
    <w:rsid w:val="00D71518"/>
    <w:rsid w:val="00D715CC"/>
    <w:rsid w:val="00D71A2A"/>
    <w:rsid w:val="00D72DED"/>
    <w:rsid w:val="00D72F14"/>
    <w:rsid w:val="00D73537"/>
    <w:rsid w:val="00D74818"/>
    <w:rsid w:val="00D7499F"/>
    <w:rsid w:val="00D75CD2"/>
    <w:rsid w:val="00D75E09"/>
    <w:rsid w:val="00D75ECF"/>
    <w:rsid w:val="00D762EA"/>
    <w:rsid w:val="00D76F89"/>
    <w:rsid w:val="00D77584"/>
    <w:rsid w:val="00D77679"/>
    <w:rsid w:val="00D776EE"/>
    <w:rsid w:val="00D77C97"/>
    <w:rsid w:val="00D77E3F"/>
    <w:rsid w:val="00D8096C"/>
    <w:rsid w:val="00D80E2B"/>
    <w:rsid w:val="00D81133"/>
    <w:rsid w:val="00D81136"/>
    <w:rsid w:val="00D8125C"/>
    <w:rsid w:val="00D81395"/>
    <w:rsid w:val="00D82656"/>
    <w:rsid w:val="00D8289D"/>
    <w:rsid w:val="00D83254"/>
    <w:rsid w:val="00D83703"/>
    <w:rsid w:val="00D84A05"/>
    <w:rsid w:val="00D84A18"/>
    <w:rsid w:val="00D86479"/>
    <w:rsid w:val="00D8657A"/>
    <w:rsid w:val="00D86DF2"/>
    <w:rsid w:val="00D870B1"/>
    <w:rsid w:val="00D874BB"/>
    <w:rsid w:val="00D87729"/>
    <w:rsid w:val="00D878F7"/>
    <w:rsid w:val="00D90000"/>
    <w:rsid w:val="00D9017E"/>
    <w:rsid w:val="00D91852"/>
    <w:rsid w:val="00D91B12"/>
    <w:rsid w:val="00D9264F"/>
    <w:rsid w:val="00D92BFF"/>
    <w:rsid w:val="00D92CD1"/>
    <w:rsid w:val="00D932EC"/>
    <w:rsid w:val="00D94287"/>
    <w:rsid w:val="00D944BD"/>
    <w:rsid w:val="00D9466F"/>
    <w:rsid w:val="00D94942"/>
    <w:rsid w:val="00D94C93"/>
    <w:rsid w:val="00D95441"/>
    <w:rsid w:val="00D95C4A"/>
    <w:rsid w:val="00D95DCB"/>
    <w:rsid w:val="00D96ECA"/>
    <w:rsid w:val="00D97B87"/>
    <w:rsid w:val="00D97CEE"/>
    <w:rsid w:val="00D97D34"/>
    <w:rsid w:val="00DA0362"/>
    <w:rsid w:val="00DA05CB"/>
    <w:rsid w:val="00DA07C2"/>
    <w:rsid w:val="00DA0DF5"/>
    <w:rsid w:val="00DA0E36"/>
    <w:rsid w:val="00DA0FBB"/>
    <w:rsid w:val="00DA1C0C"/>
    <w:rsid w:val="00DA2D33"/>
    <w:rsid w:val="00DA3025"/>
    <w:rsid w:val="00DA3D9F"/>
    <w:rsid w:val="00DA448E"/>
    <w:rsid w:val="00DA4A23"/>
    <w:rsid w:val="00DA4B7B"/>
    <w:rsid w:val="00DA4FBD"/>
    <w:rsid w:val="00DA5227"/>
    <w:rsid w:val="00DA550F"/>
    <w:rsid w:val="00DA7D8D"/>
    <w:rsid w:val="00DA7E9D"/>
    <w:rsid w:val="00DB0228"/>
    <w:rsid w:val="00DB033C"/>
    <w:rsid w:val="00DB0604"/>
    <w:rsid w:val="00DB0E40"/>
    <w:rsid w:val="00DB1189"/>
    <w:rsid w:val="00DB2526"/>
    <w:rsid w:val="00DB2C49"/>
    <w:rsid w:val="00DB2CBF"/>
    <w:rsid w:val="00DB3200"/>
    <w:rsid w:val="00DB36A9"/>
    <w:rsid w:val="00DB3C3B"/>
    <w:rsid w:val="00DB4512"/>
    <w:rsid w:val="00DB4E74"/>
    <w:rsid w:val="00DB5270"/>
    <w:rsid w:val="00DB5412"/>
    <w:rsid w:val="00DB57F4"/>
    <w:rsid w:val="00DB60C0"/>
    <w:rsid w:val="00DB6873"/>
    <w:rsid w:val="00DB6E50"/>
    <w:rsid w:val="00DB6F73"/>
    <w:rsid w:val="00DB75B6"/>
    <w:rsid w:val="00DB7A3F"/>
    <w:rsid w:val="00DB7BBF"/>
    <w:rsid w:val="00DB7F87"/>
    <w:rsid w:val="00DC054B"/>
    <w:rsid w:val="00DC0ABF"/>
    <w:rsid w:val="00DC0F40"/>
    <w:rsid w:val="00DC0FF2"/>
    <w:rsid w:val="00DC12FD"/>
    <w:rsid w:val="00DC178B"/>
    <w:rsid w:val="00DC18D2"/>
    <w:rsid w:val="00DC21BE"/>
    <w:rsid w:val="00DC224D"/>
    <w:rsid w:val="00DC2BC3"/>
    <w:rsid w:val="00DC345F"/>
    <w:rsid w:val="00DC36BF"/>
    <w:rsid w:val="00DC37EC"/>
    <w:rsid w:val="00DC3EA4"/>
    <w:rsid w:val="00DC4075"/>
    <w:rsid w:val="00DC4E3D"/>
    <w:rsid w:val="00DC5E1A"/>
    <w:rsid w:val="00DC629F"/>
    <w:rsid w:val="00DC7039"/>
    <w:rsid w:val="00DD0044"/>
    <w:rsid w:val="00DD040E"/>
    <w:rsid w:val="00DD0F32"/>
    <w:rsid w:val="00DD102E"/>
    <w:rsid w:val="00DD11C0"/>
    <w:rsid w:val="00DD1D1B"/>
    <w:rsid w:val="00DD1F25"/>
    <w:rsid w:val="00DD21BD"/>
    <w:rsid w:val="00DD2365"/>
    <w:rsid w:val="00DD2A5E"/>
    <w:rsid w:val="00DD30CB"/>
    <w:rsid w:val="00DD3EB9"/>
    <w:rsid w:val="00DD4128"/>
    <w:rsid w:val="00DD534C"/>
    <w:rsid w:val="00DD5381"/>
    <w:rsid w:val="00DD5B24"/>
    <w:rsid w:val="00DD638B"/>
    <w:rsid w:val="00DD6490"/>
    <w:rsid w:val="00DD67D3"/>
    <w:rsid w:val="00DD6AA7"/>
    <w:rsid w:val="00DD6F7E"/>
    <w:rsid w:val="00DD76F8"/>
    <w:rsid w:val="00DD7BF4"/>
    <w:rsid w:val="00DD7C54"/>
    <w:rsid w:val="00DD7DF4"/>
    <w:rsid w:val="00DD7E02"/>
    <w:rsid w:val="00DE0109"/>
    <w:rsid w:val="00DE036C"/>
    <w:rsid w:val="00DE04E1"/>
    <w:rsid w:val="00DE0FD9"/>
    <w:rsid w:val="00DE104E"/>
    <w:rsid w:val="00DE1C91"/>
    <w:rsid w:val="00DE25F9"/>
    <w:rsid w:val="00DE36D6"/>
    <w:rsid w:val="00DE381B"/>
    <w:rsid w:val="00DE4160"/>
    <w:rsid w:val="00DE4B75"/>
    <w:rsid w:val="00DE4C5E"/>
    <w:rsid w:val="00DE4CAD"/>
    <w:rsid w:val="00DE4E3D"/>
    <w:rsid w:val="00DE526A"/>
    <w:rsid w:val="00DE5793"/>
    <w:rsid w:val="00DE63D9"/>
    <w:rsid w:val="00DE6FDF"/>
    <w:rsid w:val="00DE76A1"/>
    <w:rsid w:val="00DE77ED"/>
    <w:rsid w:val="00DE78A6"/>
    <w:rsid w:val="00DE7C71"/>
    <w:rsid w:val="00DF025D"/>
    <w:rsid w:val="00DF0597"/>
    <w:rsid w:val="00DF0F3D"/>
    <w:rsid w:val="00DF2D0F"/>
    <w:rsid w:val="00DF409A"/>
    <w:rsid w:val="00DF4276"/>
    <w:rsid w:val="00DF433F"/>
    <w:rsid w:val="00DF4C53"/>
    <w:rsid w:val="00DF537F"/>
    <w:rsid w:val="00DF5877"/>
    <w:rsid w:val="00DF5D03"/>
    <w:rsid w:val="00DF5E66"/>
    <w:rsid w:val="00DF5F25"/>
    <w:rsid w:val="00DF5F4B"/>
    <w:rsid w:val="00DF6042"/>
    <w:rsid w:val="00DF62B8"/>
    <w:rsid w:val="00DF62E8"/>
    <w:rsid w:val="00DF6771"/>
    <w:rsid w:val="00DF6E88"/>
    <w:rsid w:val="00DF7711"/>
    <w:rsid w:val="00E0038A"/>
    <w:rsid w:val="00E00FDA"/>
    <w:rsid w:val="00E01FE5"/>
    <w:rsid w:val="00E02716"/>
    <w:rsid w:val="00E02C84"/>
    <w:rsid w:val="00E03522"/>
    <w:rsid w:val="00E03C17"/>
    <w:rsid w:val="00E03C4A"/>
    <w:rsid w:val="00E05A3F"/>
    <w:rsid w:val="00E06B65"/>
    <w:rsid w:val="00E07317"/>
    <w:rsid w:val="00E07712"/>
    <w:rsid w:val="00E1002B"/>
    <w:rsid w:val="00E1014F"/>
    <w:rsid w:val="00E105A7"/>
    <w:rsid w:val="00E10A83"/>
    <w:rsid w:val="00E1107A"/>
    <w:rsid w:val="00E11370"/>
    <w:rsid w:val="00E11619"/>
    <w:rsid w:val="00E124F6"/>
    <w:rsid w:val="00E12627"/>
    <w:rsid w:val="00E1269C"/>
    <w:rsid w:val="00E12CED"/>
    <w:rsid w:val="00E12DA0"/>
    <w:rsid w:val="00E13738"/>
    <w:rsid w:val="00E13EEB"/>
    <w:rsid w:val="00E14C0F"/>
    <w:rsid w:val="00E14C5E"/>
    <w:rsid w:val="00E158A4"/>
    <w:rsid w:val="00E16894"/>
    <w:rsid w:val="00E16DA9"/>
    <w:rsid w:val="00E17508"/>
    <w:rsid w:val="00E17EE6"/>
    <w:rsid w:val="00E20018"/>
    <w:rsid w:val="00E2075A"/>
    <w:rsid w:val="00E20890"/>
    <w:rsid w:val="00E20DE3"/>
    <w:rsid w:val="00E20EC2"/>
    <w:rsid w:val="00E210EF"/>
    <w:rsid w:val="00E21711"/>
    <w:rsid w:val="00E2188E"/>
    <w:rsid w:val="00E21B6A"/>
    <w:rsid w:val="00E22771"/>
    <w:rsid w:val="00E22B55"/>
    <w:rsid w:val="00E23134"/>
    <w:rsid w:val="00E237FF"/>
    <w:rsid w:val="00E2381A"/>
    <w:rsid w:val="00E24F94"/>
    <w:rsid w:val="00E25E01"/>
    <w:rsid w:val="00E25E19"/>
    <w:rsid w:val="00E269DB"/>
    <w:rsid w:val="00E26C6D"/>
    <w:rsid w:val="00E26CFF"/>
    <w:rsid w:val="00E308E7"/>
    <w:rsid w:val="00E30973"/>
    <w:rsid w:val="00E30AAD"/>
    <w:rsid w:val="00E30F71"/>
    <w:rsid w:val="00E312D3"/>
    <w:rsid w:val="00E313EE"/>
    <w:rsid w:val="00E313F9"/>
    <w:rsid w:val="00E31BF4"/>
    <w:rsid w:val="00E31CB1"/>
    <w:rsid w:val="00E321FD"/>
    <w:rsid w:val="00E322B7"/>
    <w:rsid w:val="00E32622"/>
    <w:rsid w:val="00E33AD1"/>
    <w:rsid w:val="00E33FE3"/>
    <w:rsid w:val="00E345F6"/>
    <w:rsid w:val="00E35491"/>
    <w:rsid w:val="00E360AD"/>
    <w:rsid w:val="00E367CC"/>
    <w:rsid w:val="00E36B6A"/>
    <w:rsid w:val="00E37DEB"/>
    <w:rsid w:val="00E40385"/>
    <w:rsid w:val="00E408C5"/>
    <w:rsid w:val="00E40DC6"/>
    <w:rsid w:val="00E40E24"/>
    <w:rsid w:val="00E4118C"/>
    <w:rsid w:val="00E41695"/>
    <w:rsid w:val="00E416B8"/>
    <w:rsid w:val="00E4230B"/>
    <w:rsid w:val="00E436C5"/>
    <w:rsid w:val="00E44A95"/>
    <w:rsid w:val="00E44EFB"/>
    <w:rsid w:val="00E45355"/>
    <w:rsid w:val="00E45A91"/>
    <w:rsid w:val="00E45E4F"/>
    <w:rsid w:val="00E46822"/>
    <w:rsid w:val="00E46953"/>
    <w:rsid w:val="00E46DA2"/>
    <w:rsid w:val="00E46FAA"/>
    <w:rsid w:val="00E473E9"/>
    <w:rsid w:val="00E47E35"/>
    <w:rsid w:val="00E47E66"/>
    <w:rsid w:val="00E5043E"/>
    <w:rsid w:val="00E5064D"/>
    <w:rsid w:val="00E50683"/>
    <w:rsid w:val="00E50D9F"/>
    <w:rsid w:val="00E513B0"/>
    <w:rsid w:val="00E51B4A"/>
    <w:rsid w:val="00E526D9"/>
    <w:rsid w:val="00E528BD"/>
    <w:rsid w:val="00E52E50"/>
    <w:rsid w:val="00E53345"/>
    <w:rsid w:val="00E534CE"/>
    <w:rsid w:val="00E5405C"/>
    <w:rsid w:val="00E545F7"/>
    <w:rsid w:val="00E547C5"/>
    <w:rsid w:val="00E5481D"/>
    <w:rsid w:val="00E5498B"/>
    <w:rsid w:val="00E552BD"/>
    <w:rsid w:val="00E55525"/>
    <w:rsid w:val="00E55FB8"/>
    <w:rsid w:val="00E566F7"/>
    <w:rsid w:val="00E56932"/>
    <w:rsid w:val="00E56F4B"/>
    <w:rsid w:val="00E570D7"/>
    <w:rsid w:val="00E57833"/>
    <w:rsid w:val="00E600B7"/>
    <w:rsid w:val="00E602C9"/>
    <w:rsid w:val="00E612D6"/>
    <w:rsid w:val="00E61300"/>
    <w:rsid w:val="00E61AAD"/>
    <w:rsid w:val="00E61B3C"/>
    <w:rsid w:val="00E62B51"/>
    <w:rsid w:val="00E63A11"/>
    <w:rsid w:val="00E63EAE"/>
    <w:rsid w:val="00E64A9C"/>
    <w:rsid w:val="00E65505"/>
    <w:rsid w:val="00E65827"/>
    <w:rsid w:val="00E6657C"/>
    <w:rsid w:val="00E6672C"/>
    <w:rsid w:val="00E66B93"/>
    <w:rsid w:val="00E66D6D"/>
    <w:rsid w:val="00E67465"/>
    <w:rsid w:val="00E67618"/>
    <w:rsid w:val="00E67E4A"/>
    <w:rsid w:val="00E70911"/>
    <w:rsid w:val="00E71745"/>
    <w:rsid w:val="00E722F1"/>
    <w:rsid w:val="00E724FC"/>
    <w:rsid w:val="00E725A7"/>
    <w:rsid w:val="00E729EC"/>
    <w:rsid w:val="00E72CB5"/>
    <w:rsid w:val="00E73360"/>
    <w:rsid w:val="00E74DE6"/>
    <w:rsid w:val="00E74F10"/>
    <w:rsid w:val="00E74F7F"/>
    <w:rsid w:val="00E76FFD"/>
    <w:rsid w:val="00E7787D"/>
    <w:rsid w:val="00E803E3"/>
    <w:rsid w:val="00E81C87"/>
    <w:rsid w:val="00E81E80"/>
    <w:rsid w:val="00E81FCF"/>
    <w:rsid w:val="00E82125"/>
    <w:rsid w:val="00E82943"/>
    <w:rsid w:val="00E82C38"/>
    <w:rsid w:val="00E83569"/>
    <w:rsid w:val="00E83816"/>
    <w:rsid w:val="00E83F58"/>
    <w:rsid w:val="00E84115"/>
    <w:rsid w:val="00E8418A"/>
    <w:rsid w:val="00E8460C"/>
    <w:rsid w:val="00E84E55"/>
    <w:rsid w:val="00E857F1"/>
    <w:rsid w:val="00E861BA"/>
    <w:rsid w:val="00E8626C"/>
    <w:rsid w:val="00E86C36"/>
    <w:rsid w:val="00E87930"/>
    <w:rsid w:val="00E87B84"/>
    <w:rsid w:val="00E906DA"/>
    <w:rsid w:val="00E92059"/>
    <w:rsid w:val="00E927E9"/>
    <w:rsid w:val="00E92980"/>
    <w:rsid w:val="00E93671"/>
    <w:rsid w:val="00E93910"/>
    <w:rsid w:val="00E93C35"/>
    <w:rsid w:val="00E93D2B"/>
    <w:rsid w:val="00E93F85"/>
    <w:rsid w:val="00E94E8C"/>
    <w:rsid w:val="00E954EC"/>
    <w:rsid w:val="00E955A0"/>
    <w:rsid w:val="00E955B1"/>
    <w:rsid w:val="00E96480"/>
    <w:rsid w:val="00E96F6F"/>
    <w:rsid w:val="00E97198"/>
    <w:rsid w:val="00E97BE3"/>
    <w:rsid w:val="00EA1260"/>
    <w:rsid w:val="00EA1988"/>
    <w:rsid w:val="00EA222E"/>
    <w:rsid w:val="00EA2428"/>
    <w:rsid w:val="00EA31DC"/>
    <w:rsid w:val="00EA41E6"/>
    <w:rsid w:val="00EA4517"/>
    <w:rsid w:val="00EA573C"/>
    <w:rsid w:val="00EA5B37"/>
    <w:rsid w:val="00EA6A57"/>
    <w:rsid w:val="00EA6E63"/>
    <w:rsid w:val="00EA6F18"/>
    <w:rsid w:val="00EA7220"/>
    <w:rsid w:val="00EA7321"/>
    <w:rsid w:val="00EA766B"/>
    <w:rsid w:val="00EA7A83"/>
    <w:rsid w:val="00EA7B6D"/>
    <w:rsid w:val="00EB07A8"/>
    <w:rsid w:val="00EB0F7F"/>
    <w:rsid w:val="00EB127B"/>
    <w:rsid w:val="00EB1A74"/>
    <w:rsid w:val="00EB1F2B"/>
    <w:rsid w:val="00EB257F"/>
    <w:rsid w:val="00EB2D07"/>
    <w:rsid w:val="00EB2FD2"/>
    <w:rsid w:val="00EB3AA2"/>
    <w:rsid w:val="00EB41F8"/>
    <w:rsid w:val="00EB4232"/>
    <w:rsid w:val="00EB43C2"/>
    <w:rsid w:val="00EB51DA"/>
    <w:rsid w:val="00EB59C7"/>
    <w:rsid w:val="00EB63B9"/>
    <w:rsid w:val="00EB6991"/>
    <w:rsid w:val="00EB6C6B"/>
    <w:rsid w:val="00EC06C0"/>
    <w:rsid w:val="00EC0E70"/>
    <w:rsid w:val="00EC1560"/>
    <w:rsid w:val="00EC1EB6"/>
    <w:rsid w:val="00EC231D"/>
    <w:rsid w:val="00EC246A"/>
    <w:rsid w:val="00EC2495"/>
    <w:rsid w:val="00EC317F"/>
    <w:rsid w:val="00EC3B1B"/>
    <w:rsid w:val="00EC3CDE"/>
    <w:rsid w:val="00EC3D07"/>
    <w:rsid w:val="00EC3E11"/>
    <w:rsid w:val="00EC3E8E"/>
    <w:rsid w:val="00EC4A43"/>
    <w:rsid w:val="00EC4C0B"/>
    <w:rsid w:val="00EC4CA6"/>
    <w:rsid w:val="00EC5091"/>
    <w:rsid w:val="00EC56EC"/>
    <w:rsid w:val="00EC5842"/>
    <w:rsid w:val="00EC5B93"/>
    <w:rsid w:val="00EC65EB"/>
    <w:rsid w:val="00EC706E"/>
    <w:rsid w:val="00ED0864"/>
    <w:rsid w:val="00ED17D0"/>
    <w:rsid w:val="00ED2DD0"/>
    <w:rsid w:val="00ED3836"/>
    <w:rsid w:val="00ED42DA"/>
    <w:rsid w:val="00ED508E"/>
    <w:rsid w:val="00ED5372"/>
    <w:rsid w:val="00ED5511"/>
    <w:rsid w:val="00ED55B6"/>
    <w:rsid w:val="00ED6E9C"/>
    <w:rsid w:val="00ED71A5"/>
    <w:rsid w:val="00ED78A7"/>
    <w:rsid w:val="00ED7965"/>
    <w:rsid w:val="00ED7C0B"/>
    <w:rsid w:val="00EE259C"/>
    <w:rsid w:val="00EE2895"/>
    <w:rsid w:val="00EE28EF"/>
    <w:rsid w:val="00EE2B47"/>
    <w:rsid w:val="00EE2BDF"/>
    <w:rsid w:val="00EE360C"/>
    <w:rsid w:val="00EE3BAA"/>
    <w:rsid w:val="00EE3BAC"/>
    <w:rsid w:val="00EE3C8E"/>
    <w:rsid w:val="00EE455E"/>
    <w:rsid w:val="00EE6432"/>
    <w:rsid w:val="00EE6785"/>
    <w:rsid w:val="00EE712B"/>
    <w:rsid w:val="00EE73EB"/>
    <w:rsid w:val="00EE74EB"/>
    <w:rsid w:val="00EE7814"/>
    <w:rsid w:val="00EE7D0E"/>
    <w:rsid w:val="00EE7DD0"/>
    <w:rsid w:val="00EF066B"/>
    <w:rsid w:val="00EF0835"/>
    <w:rsid w:val="00EF11F4"/>
    <w:rsid w:val="00EF1B4F"/>
    <w:rsid w:val="00EF1E19"/>
    <w:rsid w:val="00EF36A0"/>
    <w:rsid w:val="00EF4152"/>
    <w:rsid w:val="00EF4391"/>
    <w:rsid w:val="00EF4B4A"/>
    <w:rsid w:val="00EF4D71"/>
    <w:rsid w:val="00EF5902"/>
    <w:rsid w:val="00EF59ED"/>
    <w:rsid w:val="00EF61D3"/>
    <w:rsid w:val="00EF68D4"/>
    <w:rsid w:val="00EF6978"/>
    <w:rsid w:val="00EF6B25"/>
    <w:rsid w:val="00EF7A9F"/>
    <w:rsid w:val="00EF7D54"/>
    <w:rsid w:val="00EF7EF1"/>
    <w:rsid w:val="00EF7EF8"/>
    <w:rsid w:val="00F0032A"/>
    <w:rsid w:val="00F00C29"/>
    <w:rsid w:val="00F010F2"/>
    <w:rsid w:val="00F015AA"/>
    <w:rsid w:val="00F015EF"/>
    <w:rsid w:val="00F0263E"/>
    <w:rsid w:val="00F03508"/>
    <w:rsid w:val="00F036D9"/>
    <w:rsid w:val="00F03742"/>
    <w:rsid w:val="00F039B6"/>
    <w:rsid w:val="00F03A22"/>
    <w:rsid w:val="00F03DE7"/>
    <w:rsid w:val="00F03FCE"/>
    <w:rsid w:val="00F04849"/>
    <w:rsid w:val="00F04A0E"/>
    <w:rsid w:val="00F04D13"/>
    <w:rsid w:val="00F053C2"/>
    <w:rsid w:val="00F05526"/>
    <w:rsid w:val="00F05626"/>
    <w:rsid w:val="00F058AE"/>
    <w:rsid w:val="00F05B77"/>
    <w:rsid w:val="00F05E2C"/>
    <w:rsid w:val="00F06646"/>
    <w:rsid w:val="00F0677E"/>
    <w:rsid w:val="00F067C5"/>
    <w:rsid w:val="00F07361"/>
    <w:rsid w:val="00F1071A"/>
    <w:rsid w:val="00F10CAC"/>
    <w:rsid w:val="00F10E32"/>
    <w:rsid w:val="00F11044"/>
    <w:rsid w:val="00F11121"/>
    <w:rsid w:val="00F1147B"/>
    <w:rsid w:val="00F116C9"/>
    <w:rsid w:val="00F11904"/>
    <w:rsid w:val="00F1192E"/>
    <w:rsid w:val="00F11F04"/>
    <w:rsid w:val="00F120AD"/>
    <w:rsid w:val="00F12BF9"/>
    <w:rsid w:val="00F132D3"/>
    <w:rsid w:val="00F132E7"/>
    <w:rsid w:val="00F13488"/>
    <w:rsid w:val="00F13539"/>
    <w:rsid w:val="00F136CC"/>
    <w:rsid w:val="00F13D92"/>
    <w:rsid w:val="00F13EEE"/>
    <w:rsid w:val="00F157C3"/>
    <w:rsid w:val="00F15A72"/>
    <w:rsid w:val="00F1606E"/>
    <w:rsid w:val="00F1744E"/>
    <w:rsid w:val="00F17866"/>
    <w:rsid w:val="00F2072A"/>
    <w:rsid w:val="00F21B65"/>
    <w:rsid w:val="00F21E7A"/>
    <w:rsid w:val="00F22066"/>
    <w:rsid w:val="00F22772"/>
    <w:rsid w:val="00F23A6E"/>
    <w:rsid w:val="00F23D69"/>
    <w:rsid w:val="00F249B0"/>
    <w:rsid w:val="00F24CCB"/>
    <w:rsid w:val="00F24E99"/>
    <w:rsid w:val="00F25449"/>
    <w:rsid w:val="00F254B8"/>
    <w:rsid w:val="00F25A7D"/>
    <w:rsid w:val="00F25DDA"/>
    <w:rsid w:val="00F26038"/>
    <w:rsid w:val="00F2638E"/>
    <w:rsid w:val="00F26921"/>
    <w:rsid w:val="00F26DD2"/>
    <w:rsid w:val="00F27C87"/>
    <w:rsid w:val="00F301A7"/>
    <w:rsid w:val="00F306D0"/>
    <w:rsid w:val="00F30865"/>
    <w:rsid w:val="00F30B89"/>
    <w:rsid w:val="00F30C2F"/>
    <w:rsid w:val="00F30D58"/>
    <w:rsid w:val="00F315DC"/>
    <w:rsid w:val="00F333DE"/>
    <w:rsid w:val="00F3417D"/>
    <w:rsid w:val="00F341CE"/>
    <w:rsid w:val="00F35410"/>
    <w:rsid w:val="00F35798"/>
    <w:rsid w:val="00F368C4"/>
    <w:rsid w:val="00F368D0"/>
    <w:rsid w:val="00F371B6"/>
    <w:rsid w:val="00F407DA"/>
    <w:rsid w:val="00F40821"/>
    <w:rsid w:val="00F414A2"/>
    <w:rsid w:val="00F41E55"/>
    <w:rsid w:val="00F4278D"/>
    <w:rsid w:val="00F43E44"/>
    <w:rsid w:val="00F44336"/>
    <w:rsid w:val="00F45522"/>
    <w:rsid w:val="00F45980"/>
    <w:rsid w:val="00F45CE2"/>
    <w:rsid w:val="00F460BB"/>
    <w:rsid w:val="00F462D9"/>
    <w:rsid w:val="00F4655F"/>
    <w:rsid w:val="00F4672A"/>
    <w:rsid w:val="00F46805"/>
    <w:rsid w:val="00F4703C"/>
    <w:rsid w:val="00F473CB"/>
    <w:rsid w:val="00F476F6"/>
    <w:rsid w:val="00F479E9"/>
    <w:rsid w:val="00F47A30"/>
    <w:rsid w:val="00F503A7"/>
    <w:rsid w:val="00F5066F"/>
    <w:rsid w:val="00F50DAA"/>
    <w:rsid w:val="00F516A8"/>
    <w:rsid w:val="00F516FA"/>
    <w:rsid w:val="00F51BCE"/>
    <w:rsid w:val="00F528DD"/>
    <w:rsid w:val="00F530D5"/>
    <w:rsid w:val="00F54395"/>
    <w:rsid w:val="00F54960"/>
    <w:rsid w:val="00F55A6A"/>
    <w:rsid w:val="00F55E9E"/>
    <w:rsid w:val="00F55F18"/>
    <w:rsid w:val="00F5602C"/>
    <w:rsid w:val="00F568D6"/>
    <w:rsid w:val="00F56DB0"/>
    <w:rsid w:val="00F5705E"/>
    <w:rsid w:val="00F57F65"/>
    <w:rsid w:val="00F600B5"/>
    <w:rsid w:val="00F60BCA"/>
    <w:rsid w:val="00F60EE5"/>
    <w:rsid w:val="00F61C4A"/>
    <w:rsid w:val="00F61DB1"/>
    <w:rsid w:val="00F61FBB"/>
    <w:rsid w:val="00F62711"/>
    <w:rsid w:val="00F62C04"/>
    <w:rsid w:val="00F62E7B"/>
    <w:rsid w:val="00F6306D"/>
    <w:rsid w:val="00F6336E"/>
    <w:rsid w:val="00F63B39"/>
    <w:rsid w:val="00F6409E"/>
    <w:rsid w:val="00F640D3"/>
    <w:rsid w:val="00F64765"/>
    <w:rsid w:val="00F649D8"/>
    <w:rsid w:val="00F64F07"/>
    <w:rsid w:val="00F6520C"/>
    <w:rsid w:val="00F652C7"/>
    <w:rsid w:val="00F65805"/>
    <w:rsid w:val="00F66715"/>
    <w:rsid w:val="00F669C4"/>
    <w:rsid w:val="00F66BFA"/>
    <w:rsid w:val="00F67064"/>
    <w:rsid w:val="00F6782A"/>
    <w:rsid w:val="00F7025E"/>
    <w:rsid w:val="00F7056B"/>
    <w:rsid w:val="00F709E6"/>
    <w:rsid w:val="00F71BAA"/>
    <w:rsid w:val="00F71C1A"/>
    <w:rsid w:val="00F71D44"/>
    <w:rsid w:val="00F72191"/>
    <w:rsid w:val="00F7223E"/>
    <w:rsid w:val="00F7263C"/>
    <w:rsid w:val="00F73380"/>
    <w:rsid w:val="00F7343D"/>
    <w:rsid w:val="00F7357A"/>
    <w:rsid w:val="00F73BAE"/>
    <w:rsid w:val="00F7406D"/>
    <w:rsid w:val="00F744BB"/>
    <w:rsid w:val="00F74A74"/>
    <w:rsid w:val="00F74B52"/>
    <w:rsid w:val="00F75458"/>
    <w:rsid w:val="00F75463"/>
    <w:rsid w:val="00F75626"/>
    <w:rsid w:val="00F75BED"/>
    <w:rsid w:val="00F75DF3"/>
    <w:rsid w:val="00F76416"/>
    <w:rsid w:val="00F7676A"/>
    <w:rsid w:val="00F76D32"/>
    <w:rsid w:val="00F77488"/>
    <w:rsid w:val="00F77A73"/>
    <w:rsid w:val="00F77EF2"/>
    <w:rsid w:val="00F77F3D"/>
    <w:rsid w:val="00F80616"/>
    <w:rsid w:val="00F80FE5"/>
    <w:rsid w:val="00F81683"/>
    <w:rsid w:val="00F82108"/>
    <w:rsid w:val="00F82A10"/>
    <w:rsid w:val="00F83058"/>
    <w:rsid w:val="00F83260"/>
    <w:rsid w:val="00F83E16"/>
    <w:rsid w:val="00F83E37"/>
    <w:rsid w:val="00F8465F"/>
    <w:rsid w:val="00F8504A"/>
    <w:rsid w:val="00F8565F"/>
    <w:rsid w:val="00F86042"/>
    <w:rsid w:val="00F86250"/>
    <w:rsid w:val="00F86A5F"/>
    <w:rsid w:val="00F87679"/>
    <w:rsid w:val="00F90322"/>
    <w:rsid w:val="00F906D5"/>
    <w:rsid w:val="00F91A96"/>
    <w:rsid w:val="00F91AB0"/>
    <w:rsid w:val="00F92116"/>
    <w:rsid w:val="00F92C2E"/>
    <w:rsid w:val="00F936EB"/>
    <w:rsid w:val="00F93E15"/>
    <w:rsid w:val="00F9434D"/>
    <w:rsid w:val="00F945D3"/>
    <w:rsid w:val="00F94BB3"/>
    <w:rsid w:val="00F94F84"/>
    <w:rsid w:val="00F96E96"/>
    <w:rsid w:val="00F97208"/>
    <w:rsid w:val="00F9748C"/>
    <w:rsid w:val="00F97788"/>
    <w:rsid w:val="00F97EF5"/>
    <w:rsid w:val="00FA0356"/>
    <w:rsid w:val="00FA1DCE"/>
    <w:rsid w:val="00FA3626"/>
    <w:rsid w:val="00FA3B75"/>
    <w:rsid w:val="00FA5B5C"/>
    <w:rsid w:val="00FA74F0"/>
    <w:rsid w:val="00FA7550"/>
    <w:rsid w:val="00FB021C"/>
    <w:rsid w:val="00FB0559"/>
    <w:rsid w:val="00FB0D2E"/>
    <w:rsid w:val="00FB1298"/>
    <w:rsid w:val="00FB1666"/>
    <w:rsid w:val="00FB23B0"/>
    <w:rsid w:val="00FB2614"/>
    <w:rsid w:val="00FB274C"/>
    <w:rsid w:val="00FB28F4"/>
    <w:rsid w:val="00FB2DC6"/>
    <w:rsid w:val="00FB30BB"/>
    <w:rsid w:val="00FB33A4"/>
    <w:rsid w:val="00FB41DC"/>
    <w:rsid w:val="00FB4B72"/>
    <w:rsid w:val="00FB4D79"/>
    <w:rsid w:val="00FB4E96"/>
    <w:rsid w:val="00FB4EFD"/>
    <w:rsid w:val="00FB5CF5"/>
    <w:rsid w:val="00FB5F6F"/>
    <w:rsid w:val="00FB66E0"/>
    <w:rsid w:val="00FB71E9"/>
    <w:rsid w:val="00FB7499"/>
    <w:rsid w:val="00FC04E6"/>
    <w:rsid w:val="00FC084B"/>
    <w:rsid w:val="00FC133E"/>
    <w:rsid w:val="00FC1C71"/>
    <w:rsid w:val="00FC1E4A"/>
    <w:rsid w:val="00FC2A77"/>
    <w:rsid w:val="00FC36F0"/>
    <w:rsid w:val="00FC3ABC"/>
    <w:rsid w:val="00FC408A"/>
    <w:rsid w:val="00FC4D16"/>
    <w:rsid w:val="00FC6DB0"/>
    <w:rsid w:val="00FC712E"/>
    <w:rsid w:val="00FC7A82"/>
    <w:rsid w:val="00FD0384"/>
    <w:rsid w:val="00FD0A15"/>
    <w:rsid w:val="00FD143A"/>
    <w:rsid w:val="00FD15DB"/>
    <w:rsid w:val="00FD21BA"/>
    <w:rsid w:val="00FD2288"/>
    <w:rsid w:val="00FD3630"/>
    <w:rsid w:val="00FD4313"/>
    <w:rsid w:val="00FD489F"/>
    <w:rsid w:val="00FD4ADE"/>
    <w:rsid w:val="00FD4E72"/>
    <w:rsid w:val="00FD57B7"/>
    <w:rsid w:val="00FD5935"/>
    <w:rsid w:val="00FD60B0"/>
    <w:rsid w:val="00FD6173"/>
    <w:rsid w:val="00FD637D"/>
    <w:rsid w:val="00FD64A3"/>
    <w:rsid w:val="00FD6D43"/>
    <w:rsid w:val="00FD7236"/>
    <w:rsid w:val="00FD7E93"/>
    <w:rsid w:val="00FE0202"/>
    <w:rsid w:val="00FE0B01"/>
    <w:rsid w:val="00FE1E6E"/>
    <w:rsid w:val="00FE2778"/>
    <w:rsid w:val="00FE2A1A"/>
    <w:rsid w:val="00FE39CE"/>
    <w:rsid w:val="00FE3AD8"/>
    <w:rsid w:val="00FE3E31"/>
    <w:rsid w:val="00FE560C"/>
    <w:rsid w:val="00FE5B91"/>
    <w:rsid w:val="00FE5C27"/>
    <w:rsid w:val="00FE5F81"/>
    <w:rsid w:val="00FE60E0"/>
    <w:rsid w:val="00FE61CF"/>
    <w:rsid w:val="00FE6972"/>
    <w:rsid w:val="00FE6A8E"/>
    <w:rsid w:val="00FE6EF9"/>
    <w:rsid w:val="00FE7B87"/>
    <w:rsid w:val="00FF011F"/>
    <w:rsid w:val="00FF0601"/>
    <w:rsid w:val="00FF11EF"/>
    <w:rsid w:val="00FF12A7"/>
    <w:rsid w:val="00FF170B"/>
    <w:rsid w:val="00FF1A0C"/>
    <w:rsid w:val="00FF1BC8"/>
    <w:rsid w:val="00FF26D0"/>
    <w:rsid w:val="00FF2C6E"/>
    <w:rsid w:val="00FF2E06"/>
    <w:rsid w:val="00FF3CDE"/>
    <w:rsid w:val="00FF4C6B"/>
    <w:rsid w:val="00FF4D1A"/>
    <w:rsid w:val="00FF55E2"/>
    <w:rsid w:val="00FF70A7"/>
    <w:rsid w:val="00FF73BE"/>
    <w:rsid w:val="00FF79F1"/>
    <w:rsid w:val="00FF7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5E514"/>
  <w15:chartTrackingRefBased/>
  <w15:docId w15:val="{38C88D21-D914-4097-86A0-1F62C4E5F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F7C38"/>
  </w:style>
  <w:style w:type="paragraph" w:styleId="Heading1">
    <w:name w:val="heading 1"/>
    <w:basedOn w:val="Normal"/>
    <w:next w:val="Normal"/>
    <w:link w:val="Heading1Char"/>
    <w:uiPriority w:val="9"/>
    <w:qFormat/>
    <w:rsid w:val="00B33493"/>
    <w:pPr>
      <w:numPr>
        <w:numId w:val="14"/>
      </w:numPr>
      <w:pBdr>
        <w:bottom w:val="thinThickSmallGap" w:sz="12" w:space="1" w:color="C45911" w:themeColor="accent2" w:themeShade="BF"/>
      </w:pBdr>
      <w:spacing w:before="400" w:line="240" w:lineRule="auto"/>
      <w:ind w:left="0"/>
      <w:jc w:val="center"/>
      <w:outlineLvl w:val="0"/>
    </w:pPr>
    <w:rPr>
      <w:rFonts w:ascii="Garamond" w:hAnsi="Garamond"/>
      <w:caps/>
      <w:color w:val="833C0B" w:themeColor="accent2" w:themeShade="80"/>
      <w:spacing w:val="20"/>
      <w:sz w:val="28"/>
      <w:szCs w:val="28"/>
    </w:rPr>
  </w:style>
  <w:style w:type="paragraph" w:styleId="Heading2">
    <w:name w:val="heading 2"/>
    <w:basedOn w:val="Normal"/>
    <w:next w:val="Normal"/>
    <w:link w:val="Heading2Char"/>
    <w:uiPriority w:val="9"/>
    <w:unhideWhenUsed/>
    <w:qFormat/>
    <w:rsid w:val="00894F2B"/>
    <w:pPr>
      <w:keepNext/>
      <w:numPr>
        <w:ilvl w:val="1"/>
        <w:numId w:val="14"/>
      </w:numPr>
      <w:spacing w:before="360" w:after="240" w:line="240" w:lineRule="auto"/>
      <w:ind w:left="0"/>
      <w:outlineLvl w:val="1"/>
    </w:pPr>
    <w:rPr>
      <w:rFonts w:ascii="Garamond" w:hAnsi="Garamond"/>
      <w:b/>
      <w:caps/>
      <w:color w:val="5B9BD5" w:themeColor="accent1"/>
      <w:spacing w:val="15"/>
      <w:sz w:val="24"/>
      <w:szCs w:val="24"/>
    </w:rPr>
  </w:style>
  <w:style w:type="paragraph" w:styleId="Heading3">
    <w:name w:val="heading 3"/>
    <w:basedOn w:val="Normal"/>
    <w:next w:val="Normal"/>
    <w:link w:val="Heading3Char"/>
    <w:uiPriority w:val="9"/>
    <w:unhideWhenUsed/>
    <w:qFormat/>
    <w:rsid w:val="000E7654"/>
    <w:pPr>
      <w:numPr>
        <w:ilvl w:val="2"/>
        <w:numId w:val="14"/>
      </w:numPr>
      <w:spacing w:before="300" w:line="240" w:lineRule="auto"/>
      <w:ind w:left="0"/>
      <w:outlineLvl w:val="2"/>
    </w:pPr>
    <w:rPr>
      <w:rFonts w:ascii="Garamond" w:hAnsi="Garamond"/>
      <w:smallCaps/>
      <w:color w:val="0070C0"/>
      <w:sz w:val="24"/>
      <w:szCs w:val="24"/>
    </w:rPr>
  </w:style>
  <w:style w:type="paragraph" w:styleId="Heading4">
    <w:name w:val="heading 4"/>
    <w:basedOn w:val="Normal"/>
    <w:next w:val="Normal"/>
    <w:link w:val="Heading4Char"/>
    <w:uiPriority w:val="9"/>
    <w:unhideWhenUsed/>
    <w:qFormat/>
    <w:rsid w:val="008743BB"/>
    <w:pPr>
      <w:numPr>
        <w:ilvl w:val="3"/>
        <w:numId w:val="14"/>
      </w:num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unhideWhenUsed/>
    <w:qFormat/>
    <w:rsid w:val="008743BB"/>
    <w:pPr>
      <w:numPr>
        <w:ilvl w:val="4"/>
        <w:numId w:val="14"/>
      </w:num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8743BB"/>
    <w:pPr>
      <w:numPr>
        <w:ilvl w:val="5"/>
        <w:numId w:val="14"/>
      </w:num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8743BB"/>
    <w:pPr>
      <w:numPr>
        <w:ilvl w:val="6"/>
        <w:numId w:val="14"/>
      </w:num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unhideWhenUsed/>
    <w:qFormat/>
    <w:rsid w:val="008743BB"/>
    <w:pPr>
      <w:numPr>
        <w:ilvl w:val="7"/>
        <w:numId w:val="14"/>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8743BB"/>
    <w:pPr>
      <w:numPr>
        <w:ilvl w:val="8"/>
        <w:numId w:val="14"/>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3493"/>
    <w:rPr>
      <w:rFonts w:ascii="Garamond" w:hAnsi="Garamond"/>
      <w:caps/>
      <w:color w:val="833C0B" w:themeColor="accent2" w:themeShade="80"/>
      <w:spacing w:val="20"/>
      <w:sz w:val="28"/>
      <w:szCs w:val="28"/>
    </w:rPr>
  </w:style>
  <w:style w:type="table" w:styleId="TableGrid">
    <w:name w:val="Table Grid"/>
    <w:basedOn w:val="TableNormal"/>
    <w:uiPriority w:val="59"/>
    <w:rsid w:val="00740668"/>
    <w:pPr>
      <w:spacing w:after="0" w:line="240" w:lineRule="auto"/>
    </w:pPr>
    <w:rPr>
      <w:rFonts w:eastAsiaTheme="minorEastAsi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ferences,ReferencesCxSpLast,numbered para,body bullets,Bullets,Numbered List Paragraph,List Paragraph (numbered (a)),Paragraphe  revu,Liste 1,List Paragraph1,List Bullet Mary,Figures,lp1,List ParaN,WB List Paragraph,Dot pt,No Spacing1"/>
    <w:basedOn w:val="Normal"/>
    <w:link w:val="ListParagraphChar"/>
    <w:uiPriority w:val="34"/>
    <w:qFormat/>
    <w:rsid w:val="00A14CD0"/>
    <w:pPr>
      <w:numPr>
        <w:numId w:val="1"/>
      </w:numPr>
      <w:spacing w:after="240" w:line="240" w:lineRule="auto"/>
      <w:jc w:val="both"/>
    </w:pPr>
    <w:rPr>
      <w:rFonts w:ascii="Garamond" w:hAnsi="Garamond" w:cs="Arial"/>
      <w:sz w:val="24"/>
    </w:rPr>
  </w:style>
  <w:style w:type="character" w:customStyle="1" w:styleId="ListParagraphChar">
    <w:name w:val="List Paragraph Char"/>
    <w:aliases w:val="References Char,ReferencesCxSpLast Char,numbered para Char,body bullets Char,Bullets Char,Numbered List Paragraph Char,List Paragraph (numbered (a)) Char,Paragraphe  revu Char,Liste 1 Char,List Paragraph1 Char,List Bullet Mary Char"/>
    <w:basedOn w:val="DefaultParagraphFont"/>
    <w:link w:val="ListParagraph"/>
    <w:uiPriority w:val="34"/>
    <w:qFormat/>
    <w:locked/>
    <w:rsid w:val="00A14CD0"/>
    <w:rPr>
      <w:rFonts w:ascii="Garamond" w:hAnsi="Garamond" w:cs="Arial"/>
      <w:sz w:val="24"/>
    </w:rPr>
  </w:style>
  <w:style w:type="paragraph" w:styleId="Caption">
    <w:name w:val="caption"/>
    <w:aliases w:val="LVT Table Heading,Table"/>
    <w:basedOn w:val="Normal"/>
    <w:next w:val="Normal"/>
    <w:link w:val="CaptionChar"/>
    <w:uiPriority w:val="35"/>
    <w:unhideWhenUsed/>
    <w:qFormat/>
    <w:rsid w:val="00A411A3"/>
    <w:pPr>
      <w:keepNext/>
      <w:spacing w:after="60" w:line="240" w:lineRule="auto"/>
      <w:jc w:val="center"/>
    </w:pPr>
    <w:rPr>
      <w:rFonts w:eastAsiaTheme="minorEastAsia"/>
      <w:b/>
      <w:smallCaps/>
      <w:color w:val="7A6563"/>
      <w:spacing w:val="10"/>
      <w:lang w:val="pt-BR" w:eastAsia="pt-BR"/>
    </w:rPr>
  </w:style>
  <w:style w:type="paragraph" w:styleId="Header">
    <w:name w:val="header"/>
    <w:basedOn w:val="Normal"/>
    <w:link w:val="HeaderChar"/>
    <w:uiPriority w:val="99"/>
    <w:unhideWhenUsed/>
    <w:rsid w:val="00286F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F1F"/>
  </w:style>
  <w:style w:type="paragraph" w:styleId="Footer">
    <w:name w:val="footer"/>
    <w:basedOn w:val="Normal"/>
    <w:link w:val="FooterChar"/>
    <w:uiPriority w:val="99"/>
    <w:unhideWhenUsed/>
    <w:rsid w:val="00286F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6F1F"/>
  </w:style>
  <w:style w:type="paragraph" w:styleId="FootnoteText">
    <w:name w:val="footnote text"/>
    <w:aliases w:val="fn,ALTS FOOTNOTE,Note de bas de page2,Note de bas de page Car Car Car,Note de bas de page Car Car,Note de bas de page Car Car Car2,Note de bas de page Car Car Car3,Note de bas de page Car Car Car4,single space,Texto,nota,pie,Ref.,Plonk,9"/>
    <w:basedOn w:val="Normal"/>
    <w:link w:val="FootnoteTextChar"/>
    <w:uiPriority w:val="99"/>
    <w:unhideWhenUsed/>
    <w:qFormat/>
    <w:rsid w:val="009B5235"/>
    <w:pPr>
      <w:spacing w:after="0" w:line="240" w:lineRule="auto"/>
    </w:pPr>
    <w:rPr>
      <w:sz w:val="18"/>
      <w:szCs w:val="18"/>
    </w:rPr>
  </w:style>
  <w:style w:type="character" w:customStyle="1" w:styleId="FootnoteTextChar">
    <w:name w:val="Footnote Text Char"/>
    <w:aliases w:val="fn Char,ALTS FOOTNOTE Char,Note de bas de page2 Char,Note de bas de page Car Car Car Char,Note de bas de page Car Car Char,Note de bas de page Car Car Car2 Char,Note de bas de page Car Car Car3 Char,single space Char,Texto Char,9 Char"/>
    <w:basedOn w:val="DefaultParagraphFont"/>
    <w:link w:val="FootnoteText"/>
    <w:uiPriority w:val="99"/>
    <w:rsid w:val="009B5235"/>
    <w:rPr>
      <w:sz w:val="18"/>
      <w:szCs w:val="18"/>
    </w:rPr>
  </w:style>
  <w:style w:type="character" w:styleId="FootnoteReference">
    <w:name w:val="footnote reference"/>
    <w:aliases w:val="ftref,Footnote symbol,Footnote reference number,Times 10 Point,Exposant 3 Point,EN Footnote Reference,note TESI,Footnote Reference Number,E FNZ,-E Fußnotenzeichen,Footnote#,Footnote,Ref,de nota al pie,SUPERS,Char,Char1,E.,16 Point,fr"/>
    <w:basedOn w:val="DefaultParagraphFont"/>
    <w:link w:val="CarattereCarattereCharCharCharCharCharCharZchn"/>
    <w:uiPriority w:val="99"/>
    <w:unhideWhenUsed/>
    <w:qFormat/>
    <w:rsid w:val="000767D1"/>
    <w:rPr>
      <w:vertAlign w:val="superscript"/>
    </w:rPr>
  </w:style>
  <w:style w:type="paragraph" w:styleId="BalloonText">
    <w:name w:val="Balloon Text"/>
    <w:basedOn w:val="Normal"/>
    <w:link w:val="BalloonTextChar"/>
    <w:uiPriority w:val="99"/>
    <w:semiHidden/>
    <w:unhideWhenUsed/>
    <w:rsid w:val="008743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3BB"/>
    <w:rPr>
      <w:rFonts w:ascii="Segoe UI" w:hAnsi="Segoe UI" w:cs="Segoe UI"/>
      <w:sz w:val="18"/>
      <w:szCs w:val="18"/>
    </w:rPr>
  </w:style>
  <w:style w:type="character" w:customStyle="1" w:styleId="Heading2Char">
    <w:name w:val="Heading 2 Char"/>
    <w:basedOn w:val="DefaultParagraphFont"/>
    <w:link w:val="Heading2"/>
    <w:uiPriority w:val="9"/>
    <w:rsid w:val="00894F2B"/>
    <w:rPr>
      <w:rFonts w:ascii="Garamond" w:hAnsi="Garamond"/>
      <w:b/>
      <w:caps/>
      <w:color w:val="5B9BD5" w:themeColor="accent1"/>
      <w:spacing w:val="15"/>
      <w:sz w:val="24"/>
      <w:szCs w:val="24"/>
    </w:rPr>
  </w:style>
  <w:style w:type="character" w:customStyle="1" w:styleId="Heading3Char">
    <w:name w:val="Heading 3 Char"/>
    <w:basedOn w:val="DefaultParagraphFont"/>
    <w:link w:val="Heading3"/>
    <w:uiPriority w:val="9"/>
    <w:rsid w:val="000E7654"/>
    <w:rPr>
      <w:rFonts w:ascii="Garamond" w:hAnsi="Garamond"/>
      <w:smallCaps/>
      <w:color w:val="0070C0"/>
      <w:sz w:val="24"/>
      <w:szCs w:val="24"/>
    </w:rPr>
  </w:style>
  <w:style w:type="character" w:customStyle="1" w:styleId="Heading4Char">
    <w:name w:val="Heading 4 Char"/>
    <w:basedOn w:val="DefaultParagraphFont"/>
    <w:link w:val="Heading4"/>
    <w:uiPriority w:val="9"/>
    <w:rsid w:val="008743BB"/>
    <w:rPr>
      <w:caps/>
      <w:color w:val="823B0B" w:themeColor="accent2" w:themeShade="7F"/>
      <w:spacing w:val="10"/>
    </w:rPr>
  </w:style>
  <w:style w:type="character" w:customStyle="1" w:styleId="Heading5Char">
    <w:name w:val="Heading 5 Char"/>
    <w:basedOn w:val="DefaultParagraphFont"/>
    <w:link w:val="Heading5"/>
    <w:uiPriority w:val="9"/>
    <w:rsid w:val="008743BB"/>
    <w:rPr>
      <w:caps/>
      <w:color w:val="823B0B" w:themeColor="accent2" w:themeShade="7F"/>
      <w:spacing w:val="10"/>
    </w:rPr>
  </w:style>
  <w:style w:type="character" w:customStyle="1" w:styleId="Heading6Char">
    <w:name w:val="Heading 6 Char"/>
    <w:basedOn w:val="DefaultParagraphFont"/>
    <w:link w:val="Heading6"/>
    <w:uiPriority w:val="9"/>
    <w:semiHidden/>
    <w:rsid w:val="008743BB"/>
    <w:rPr>
      <w:caps/>
      <w:color w:val="C45911" w:themeColor="accent2" w:themeShade="BF"/>
      <w:spacing w:val="10"/>
    </w:rPr>
  </w:style>
  <w:style w:type="character" w:customStyle="1" w:styleId="Heading7Char">
    <w:name w:val="Heading 7 Char"/>
    <w:basedOn w:val="DefaultParagraphFont"/>
    <w:link w:val="Heading7"/>
    <w:uiPriority w:val="9"/>
    <w:semiHidden/>
    <w:rsid w:val="008743BB"/>
    <w:rPr>
      <w:i/>
      <w:iCs/>
      <w:caps/>
      <w:color w:val="C45911" w:themeColor="accent2" w:themeShade="BF"/>
      <w:spacing w:val="10"/>
    </w:rPr>
  </w:style>
  <w:style w:type="character" w:customStyle="1" w:styleId="Heading8Char">
    <w:name w:val="Heading 8 Char"/>
    <w:basedOn w:val="DefaultParagraphFont"/>
    <w:link w:val="Heading8"/>
    <w:uiPriority w:val="9"/>
    <w:rsid w:val="008743BB"/>
    <w:rPr>
      <w:caps/>
      <w:spacing w:val="10"/>
      <w:sz w:val="20"/>
      <w:szCs w:val="20"/>
    </w:rPr>
  </w:style>
  <w:style w:type="character" w:customStyle="1" w:styleId="Heading9Char">
    <w:name w:val="Heading 9 Char"/>
    <w:basedOn w:val="DefaultParagraphFont"/>
    <w:link w:val="Heading9"/>
    <w:uiPriority w:val="9"/>
    <w:semiHidden/>
    <w:rsid w:val="008743BB"/>
    <w:rPr>
      <w:i/>
      <w:iCs/>
      <w:caps/>
      <w:spacing w:val="10"/>
      <w:sz w:val="20"/>
      <w:szCs w:val="20"/>
    </w:rPr>
  </w:style>
  <w:style w:type="paragraph" w:styleId="Title">
    <w:name w:val="Title"/>
    <w:basedOn w:val="Normal"/>
    <w:next w:val="Normal"/>
    <w:link w:val="TitleChar"/>
    <w:uiPriority w:val="10"/>
    <w:qFormat/>
    <w:rsid w:val="008743BB"/>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8743BB"/>
    <w:rPr>
      <w:caps/>
      <w:color w:val="833C0B" w:themeColor="accent2" w:themeShade="80"/>
      <w:spacing w:val="50"/>
      <w:sz w:val="44"/>
      <w:szCs w:val="44"/>
    </w:rPr>
  </w:style>
  <w:style w:type="paragraph" w:styleId="Subtitle">
    <w:name w:val="Subtitle"/>
    <w:basedOn w:val="Normal"/>
    <w:next w:val="Normal"/>
    <w:link w:val="SubtitleChar"/>
    <w:uiPriority w:val="11"/>
    <w:qFormat/>
    <w:rsid w:val="008743BB"/>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8743BB"/>
    <w:rPr>
      <w:caps/>
      <w:spacing w:val="20"/>
      <w:sz w:val="18"/>
      <w:szCs w:val="18"/>
    </w:rPr>
  </w:style>
  <w:style w:type="character" w:styleId="Strong">
    <w:name w:val="Strong"/>
    <w:uiPriority w:val="22"/>
    <w:qFormat/>
    <w:rsid w:val="008743BB"/>
    <w:rPr>
      <w:b/>
      <w:bCs/>
      <w:color w:val="C45911" w:themeColor="accent2" w:themeShade="BF"/>
      <w:spacing w:val="5"/>
    </w:rPr>
  </w:style>
  <w:style w:type="character" w:styleId="Emphasis">
    <w:name w:val="Emphasis"/>
    <w:uiPriority w:val="20"/>
    <w:qFormat/>
    <w:rsid w:val="008743BB"/>
    <w:rPr>
      <w:caps/>
      <w:spacing w:val="5"/>
      <w:sz w:val="20"/>
      <w:szCs w:val="20"/>
    </w:rPr>
  </w:style>
  <w:style w:type="paragraph" w:styleId="NoSpacing">
    <w:name w:val="No Spacing"/>
    <w:aliases w:val="Body"/>
    <w:basedOn w:val="Normal"/>
    <w:link w:val="NoSpacingChar"/>
    <w:uiPriority w:val="1"/>
    <w:qFormat/>
    <w:rsid w:val="008743BB"/>
    <w:pPr>
      <w:spacing w:after="0" w:line="240" w:lineRule="auto"/>
    </w:pPr>
  </w:style>
  <w:style w:type="character" w:customStyle="1" w:styleId="NoSpacingChar">
    <w:name w:val="No Spacing Char"/>
    <w:aliases w:val="Body Char"/>
    <w:basedOn w:val="DefaultParagraphFont"/>
    <w:link w:val="NoSpacing"/>
    <w:uiPriority w:val="1"/>
    <w:rsid w:val="008743BB"/>
  </w:style>
  <w:style w:type="paragraph" w:styleId="Quote">
    <w:name w:val="Quote"/>
    <w:basedOn w:val="Normal"/>
    <w:next w:val="Normal"/>
    <w:link w:val="QuoteChar"/>
    <w:uiPriority w:val="29"/>
    <w:qFormat/>
    <w:rsid w:val="008743BB"/>
    <w:rPr>
      <w:i/>
      <w:iCs/>
    </w:rPr>
  </w:style>
  <w:style w:type="character" w:customStyle="1" w:styleId="QuoteChar">
    <w:name w:val="Quote Char"/>
    <w:basedOn w:val="DefaultParagraphFont"/>
    <w:link w:val="Quote"/>
    <w:uiPriority w:val="29"/>
    <w:rsid w:val="008743BB"/>
    <w:rPr>
      <w:i/>
      <w:iCs/>
    </w:rPr>
  </w:style>
  <w:style w:type="paragraph" w:styleId="IntenseQuote">
    <w:name w:val="Intense Quote"/>
    <w:basedOn w:val="Normal"/>
    <w:next w:val="Normal"/>
    <w:link w:val="IntenseQuoteChar"/>
    <w:uiPriority w:val="30"/>
    <w:qFormat/>
    <w:rsid w:val="008743BB"/>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8743BB"/>
    <w:rPr>
      <w:caps/>
      <w:color w:val="823B0B" w:themeColor="accent2" w:themeShade="7F"/>
      <w:spacing w:val="5"/>
      <w:sz w:val="20"/>
      <w:szCs w:val="20"/>
    </w:rPr>
  </w:style>
  <w:style w:type="character" w:styleId="SubtleEmphasis">
    <w:name w:val="Subtle Emphasis"/>
    <w:uiPriority w:val="19"/>
    <w:qFormat/>
    <w:rsid w:val="008743BB"/>
    <w:rPr>
      <w:i/>
      <w:iCs/>
    </w:rPr>
  </w:style>
  <w:style w:type="character" w:styleId="IntenseEmphasis">
    <w:name w:val="Intense Emphasis"/>
    <w:uiPriority w:val="21"/>
    <w:qFormat/>
    <w:rsid w:val="008743BB"/>
    <w:rPr>
      <w:i/>
      <w:iCs/>
      <w:caps/>
      <w:spacing w:val="10"/>
      <w:sz w:val="20"/>
      <w:szCs w:val="20"/>
    </w:rPr>
  </w:style>
  <w:style w:type="character" w:styleId="SubtleReference">
    <w:name w:val="Subtle Reference"/>
    <w:basedOn w:val="DefaultParagraphFont"/>
    <w:uiPriority w:val="31"/>
    <w:qFormat/>
    <w:rsid w:val="008743BB"/>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8743BB"/>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8743BB"/>
    <w:rPr>
      <w:caps/>
      <w:color w:val="823B0B" w:themeColor="accent2" w:themeShade="7F"/>
      <w:spacing w:val="5"/>
      <w:u w:color="823B0B" w:themeColor="accent2" w:themeShade="7F"/>
    </w:rPr>
  </w:style>
  <w:style w:type="paragraph" w:styleId="TOCHeading">
    <w:name w:val="TOC Heading"/>
    <w:basedOn w:val="Heading1"/>
    <w:next w:val="Normal"/>
    <w:uiPriority w:val="39"/>
    <w:unhideWhenUsed/>
    <w:qFormat/>
    <w:rsid w:val="008743BB"/>
    <w:pPr>
      <w:outlineLvl w:val="9"/>
    </w:pPr>
    <w:rPr>
      <w:lang w:bidi="en-US"/>
    </w:rPr>
  </w:style>
  <w:style w:type="character" w:styleId="CommentReference">
    <w:name w:val="annotation reference"/>
    <w:basedOn w:val="DefaultParagraphFont"/>
    <w:uiPriority w:val="99"/>
    <w:semiHidden/>
    <w:unhideWhenUsed/>
    <w:rsid w:val="007019FB"/>
    <w:rPr>
      <w:sz w:val="16"/>
      <w:szCs w:val="16"/>
    </w:rPr>
  </w:style>
  <w:style w:type="paragraph" w:styleId="CommentText">
    <w:name w:val="annotation text"/>
    <w:basedOn w:val="Normal"/>
    <w:link w:val="CommentTextChar"/>
    <w:uiPriority w:val="99"/>
    <w:unhideWhenUsed/>
    <w:rsid w:val="007019FB"/>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7019FB"/>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7019FB"/>
    <w:rPr>
      <w:b/>
      <w:bCs/>
    </w:rPr>
  </w:style>
  <w:style w:type="character" w:customStyle="1" w:styleId="CommentSubjectChar">
    <w:name w:val="Comment Subject Char"/>
    <w:basedOn w:val="CommentTextChar"/>
    <w:link w:val="CommentSubject"/>
    <w:uiPriority w:val="99"/>
    <w:semiHidden/>
    <w:rsid w:val="007019FB"/>
    <w:rPr>
      <w:rFonts w:asciiTheme="minorHAnsi" w:eastAsiaTheme="minorHAnsi" w:hAnsiTheme="minorHAnsi" w:cstheme="minorBidi"/>
      <w:b/>
      <w:bCs/>
      <w:sz w:val="20"/>
      <w:szCs w:val="20"/>
    </w:rPr>
  </w:style>
  <w:style w:type="character" w:styleId="Hyperlink">
    <w:name w:val="Hyperlink"/>
    <w:basedOn w:val="DefaultParagraphFont"/>
    <w:uiPriority w:val="99"/>
    <w:unhideWhenUsed/>
    <w:rsid w:val="007019FB"/>
    <w:rPr>
      <w:color w:val="0563C1" w:themeColor="hyperlink"/>
      <w:u w:val="single"/>
    </w:rPr>
  </w:style>
  <w:style w:type="table" w:styleId="GridTable6Colorful">
    <w:name w:val="Grid Table 6 Colorful"/>
    <w:basedOn w:val="TableNormal"/>
    <w:uiPriority w:val="51"/>
    <w:rsid w:val="007019FB"/>
    <w:pPr>
      <w:spacing w:after="0" w:line="240" w:lineRule="auto"/>
    </w:pPr>
    <w:rPr>
      <w:rFonts w:asciiTheme="minorHAnsi" w:eastAsiaTheme="minorHAnsi" w:hAnsiTheme="minorHAnsi" w:cstheme="minorBid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1">
    <w:name w:val="Grid Table 6 Colorful1"/>
    <w:basedOn w:val="TableNormal"/>
    <w:next w:val="GridTable6Colorful"/>
    <w:uiPriority w:val="51"/>
    <w:rsid w:val="007019FB"/>
    <w:pPr>
      <w:spacing w:after="0" w:line="240" w:lineRule="auto"/>
    </w:pPr>
    <w:rPr>
      <w:rFonts w:asciiTheme="minorHAnsi" w:eastAsiaTheme="minorHAnsi" w:hAnsiTheme="minorHAnsi" w:cstheme="minorBid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NormalWeb">
    <w:name w:val="Normal (Web)"/>
    <w:basedOn w:val="Normal"/>
    <w:uiPriority w:val="99"/>
    <w:unhideWhenUsed/>
    <w:rsid w:val="009D4FD2"/>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customStyle="1" w:styleId="A11">
    <w:name w:val="A11"/>
    <w:uiPriority w:val="99"/>
    <w:rsid w:val="001C6088"/>
    <w:rPr>
      <w:rFonts w:cs="Avenir LT Std 45 Book"/>
      <w:color w:val="000000"/>
      <w:sz w:val="20"/>
      <w:szCs w:val="20"/>
    </w:rPr>
  </w:style>
  <w:style w:type="character" w:styleId="FollowedHyperlink">
    <w:name w:val="FollowedHyperlink"/>
    <w:basedOn w:val="DefaultParagraphFont"/>
    <w:uiPriority w:val="99"/>
    <w:semiHidden/>
    <w:unhideWhenUsed/>
    <w:rsid w:val="00C2160B"/>
    <w:rPr>
      <w:color w:val="954F72" w:themeColor="followedHyperlink"/>
      <w:u w:val="single"/>
    </w:rPr>
  </w:style>
  <w:style w:type="character" w:customStyle="1" w:styleId="FootnoteTextChar1">
    <w:name w:val="Footnote Text Char1"/>
    <w:aliases w:val="fn Char1,ALTS FOOTNOTE Char1,Note de bas de page2 Char1,Note de bas de page Car Car Car Char1,Note de bas de page Car Car Char1,Note de bas de page Car Car Car2 Char1,Note de bas de page Car Car Car3 Char1,single space Char1,pie Char"/>
    <w:basedOn w:val="DefaultParagraphFont"/>
    <w:uiPriority w:val="99"/>
    <w:semiHidden/>
    <w:rsid w:val="00C2160B"/>
    <w:rPr>
      <w:sz w:val="20"/>
      <w:szCs w:val="20"/>
    </w:rPr>
  </w:style>
  <w:style w:type="paragraph" w:styleId="Revision">
    <w:name w:val="Revision"/>
    <w:hidden/>
    <w:uiPriority w:val="99"/>
    <w:semiHidden/>
    <w:rsid w:val="005E4C0F"/>
    <w:pPr>
      <w:spacing w:after="0" w:line="240" w:lineRule="auto"/>
    </w:pPr>
  </w:style>
  <w:style w:type="paragraph" w:customStyle="1" w:styleId="Default">
    <w:name w:val="Default"/>
    <w:rsid w:val="00103419"/>
    <w:pPr>
      <w:autoSpaceDE w:val="0"/>
      <w:autoSpaceDN w:val="0"/>
      <w:adjustRightInd w:val="0"/>
      <w:spacing w:after="0" w:line="240" w:lineRule="auto"/>
    </w:pPr>
    <w:rPr>
      <w:rFonts w:ascii="Calibri" w:hAnsi="Calibri" w:cs="Calibri"/>
      <w:color w:val="000000"/>
      <w:sz w:val="24"/>
      <w:szCs w:val="24"/>
    </w:rPr>
  </w:style>
  <w:style w:type="paragraph" w:styleId="TOC1">
    <w:name w:val="toc 1"/>
    <w:basedOn w:val="Normal"/>
    <w:next w:val="Normal"/>
    <w:autoRedefine/>
    <w:uiPriority w:val="39"/>
    <w:unhideWhenUsed/>
    <w:rsid w:val="009024EC"/>
    <w:pPr>
      <w:spacing w:after="100"/>
    </w:pPr>
  </w:style>
  <w:style w:type="paragraph" w:styleId="TOC2">
    <w:name w:val="toc 2"/>
    <w:basedOn w:val="Normal"/>
    <w:next w:val="Normal"/>
    <w:autoRedefine/>
    <w:uiPriority w:val="39"/>
    <w:unhideWhenUsed/>
    <w:rsid w:val="009024EC"/>
    <w:pPr>
      <w:spacing w:after="100"/>
      <w:ind w:left="220"/>
    </w:pPr>
  </w:style>
  <w:style w:type="paragraph" w:styleId="TOC3">
    <w:name w:val="toc 3"/>
    <w:basedOn w:val="Normal"/>
    <w:next w:val="Normal"/>
    <w:autoRedefine/>
    <w:uiPriority w:val="39"/>
    <w:unhideWhenUsed/>
    <w:rsid w:val="009024EC"/>
    <w:pPr>
      <w:spacing w:after="100"/>
      <w:ind w:left="440"/>
    </w:pPr>
  </w:style>
  <w:style w:type="paragraph" w:styleId="TableofFigures">
    <w:name w:val="table of figures"/>
    <w:basedOn w:val="Normal"/>
    <w:next w:val="Normal"/>
    <w:uiPriority w:val="99"/>
    <w:unhideWhenUsed/>
    <w:rsid w:val="002C36C3"/>
    <w:pPr>
      <w:spacing w:after="0"/>
    </w:pPr>
  </w:style>
  <w:style w:type="character" w:customStyle="1" w:styleId="apple-converted-space">
    <w:name w:val="apple-converted-space"/>
    <w:basedOn w:val="DefaultParagraphFont"/>
    <w:rsid w:val="00393C62"/>
  </w:style>
  <w:style w:type="character" w:customStyle="1" w:styleId="hvr">
    <w:name w:val="hvr"/>
    <w:basedOn w:val="DefaultParagraphFont"/>
    <w:rsid w:val="001F21D2"/>
  </w:style>
  <w:style w:type="table" w:customStyle="1" w:styleId="TableGrid0">
    <w:name w:val="TableGrid"/>
    <w:rsid w:val="001F21D2"/>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FootnoteReference"/>
    <w:uiPriority w:val="99"/>
    <w:rsid w:val="001F21D2"/>
    <w:pPr>
      <w:spacing w:after="240" w:line="240" w:lineRule="exact"/>
      <w:jc w:val="both"/>
    </w:pPr>
    <w:rPr>
      <w:vertAlign w:val="superscript"/>
    </w:rPr>
  </w:style>
  <w:style w:type="character" w:styleId="PlaceholderText">
    <w:name w:val="Placeholder Text"/>
    <w:basedOn w:val="DefaultParagraphFont"/>
    <w:uiPriority w:val="99"/>
    <w:semiHidden/>
    <w:rsid w:val="001F21D2"/>
    <w:rPr>
      <w:color w:val="808080"/>
    </w:rPr>
  </w:style>
  <w:style w:type="paragraph" w:customStyle="1" w:styleId="Figure">
    <w:name w:val="Figure"/>
    <w:basedOn w:val="Caption"/>
    <w:qFormat/>
    <w:rsid w:val="001F21D2"/>
    <w:pPr>
      <w:keepLines/>
      <w:outlineLvl w:val="4"/>
    </w:pPr>
    <w:rPr>
      <w:rFonts w:ascii="Garamond" w:eastAsia="Calibri" w:hAnsi="Garamond" w:cs="Times"/>
      <w:smallCaps w:val="0"/>
      <w:color w:val="2E74B5" w:themeColor="accent1" w:themeShade="BF"/>
      <w:spacing w:val="0"/>
      <w:sz w:val="20"/>
      <w:szCs w:val="20"/>
      <w:lang w:val="en-US" w:eastAsia="zh-CN"/>
    </w:rPr>
  </w:style>
  <w:style w:type="character" w:customStyle="1" w:styleId="st1">
    <w:name w:val="st1"/>
    <w:basedOn w:val="DefaultParagraphFont"/>
    <w:rsid w:val="00050905"/>
  </w:style>
  <w:style w:type="paragraph" w:customStyle="1" w:styleId="Box">
    <w:name w:val="Box"/>
    <w:basedOn w:val="Normal"/>
    <w:link w:val="BoxChar"/>
    <w:qFormat/>
    <w:rsid w:val="00050905"/>
    <w:pPr>
      <w:pBdr>
        <w:top w:val="single" w:sz="4" w:space="1" w:color="auto"/>
        <w:left w:val="single" w:sz="4" w:space="4" w:color="auto"/>
        <w:bottom w:val="single" w:sz="4" w:space="1" w:color="auto"/>
        <w:right w:val="single" w:sz="4" w:space="4" w:color="auto"/>
      </w:pBdr>
      <w:shd w:val="clear" w:color="auto" w:fill="E7E6E6" w:themeFill="background2"/>
      <w:spacing w:after="240" w:line="240" w:lineRule="auto"/>
      <w:jc w:val="both"/>
    </w:pPr>
    <w:rPr>
      <w:rFonts w:ascii="Times New Roman" w:hAnsi="Times New Roman" w:cs="Times New Roman"/>
      <w:sz w:val="24"/>
      <w:szCs w:val="24"/>
    </w:rPr>
  </w:style>
  <w:style w:type="paragraph" w:customStyle="1" w:styleId="Source">
    <w:name w:val="Source"/>
    <w:basedOn w:val="Normal"/>
    <w:link w:val="SourceChar"/>
    <w:qFormat/>
    <w:rsid w:val="00050905"/>
    <w:pPr>
      <w:spacing w:after="120" w:line="240" w:lineRule="auto"/>
      <w:contextualSpacing/>
      <w:jc w:val="center"/>
    </w:pPr>
    <w:rPr>
      <w:rFonts w:ascii="Times New Roman" w:hAnsi="Times New Roman" w:cs="Times New Roman"/>
      <w:i/>
      <w:sz w:val="20"/>
      <w:szCs w:val="24"/>
    </w:rPr>
  </w:style>
  <w:style w:type="character" w:customStyle="1" w:styleId="BoxChar">
    <w:name w:val="Box Char"/>
    <w:basedOn w:val="DefaultParagraphFont"/>
    <w:link w:val="Box"/>
    <w:rsid w:val="00050905"/>
    <w:rPr>
      <w:rFonts w:ascii="Times New Roman" w:hAnsi="Times New Roman" w:cs="Times New Roman"/>
      <w:sz w:val="24"/>
      <w:szCs w:val="24"/>
      <w:shd w:val="clear" w:color="auto" w:fill="E7E6E6" w:themeFill="background2"/>
    </w:rPr>
  </w:style>
  <w:style w:type="character" w:customStyle="1" w:styleId="SourceChar">
    <w:name w:val="Source Char"/>
    <w:basedOn w:val="DefaultParagraphFont"/>
    <w:link w:val="Source"/>
    <w:rsid w:val="00050905"/>
    <w:rPr>
      <w:rFonts w:ascii="Times New Roman" w:hAnsi="Times New Roman" w:cs="Times New Roman"/>
      <w:i/>
      <w:sz w:val="20"/>
      <w:szCs w:val="24"/>
    </w:rPr>
  </w:style>
  <w:style w:type="paragraph" w:customStyle="1" w:styleId="Figure2">
    <w:name w:val="Figure2"/>
    <w:basedOn w:val="Caption"/>
    <w:link w:val="Figure2Char"/>
    <w:qFormat/>
    <w:rsid w:val="002D4C21"/>
  </w:style>
  <w:style w:type="character" w:customStyle="1" w:styleId="CaptionChar">
    <w:name w:val="Caption Char"/>
    <w:aliases w:val="LVT Table Heading Char,Table Char"/>
    <w:basedOn w:val="DefaultParagraphFont"/>
    <w:link w:val="Caption"/>
    <w:uiPriority w:val="35"/>
    <w:rsid w:val="002D4C21"/>
    <w:rPr>
      <w:rFonts w:eastAsiaTheme="minorEastAsia"/>
      <w:b/>
      <w:smallCaps/>
      <w:color w:val="7A6563"/>
      <w:spacing w:val="10"/>
      <w:lang w:val="pt-BR" w:eastAsia="pt-BR"/>
    </w:rPr>
  </w:style>
  <w:style w:type="character" w:customStyle="1" w:styleId="Figure2Char">
    <w:name w:val="Figure2 Char"/>
    <w:basedOn w:val="CaptionChar"/>
    <w:link w:val="Figure2"/>
    <w:rsid w:val="002D4C21"/>
    <w:rPr>
      <w:rFonts w:eastAsiaTheme="minorEastAsia"/>
      <w:b/>
      <w:smallCaps/>
      <w:color w:val="7A6563"/>
      <w:spacing w:val="10"/>
      <w:lang w:val="pt-BR" w:eastAsia="pt-BR"/>
    </w:rPr>
  </w:style>
  <w:style w:type="character" w:customStyle="1" w:styleId="storytext1">
    <w:name w:val="story_text_1"/>
    <w:basedOn w:val="DefaultParagraphFont"/>
    <w:rsid w:val="00724BAB"/>
  </w:style>
  <w:style w:type="paragraph" w:styleId="BodyText">
    <w:name w:val="Body Text"/>
    <w:basedOn w:val="Normal"/>
    <w:link w:val="BodyTextChar"/>
    <w:rsid w:val="00724BAB"/>
    <w:pPr>
      <w:spacing w:after="0" w:line="240" w:lineRule="auto"/>
      <w:jc w:val="both"/>
    </w:pPr>
    <w:rPr>
      <w:rFonts w:ascii="Times New Roman" w:eastAsia="Times New Roman" w:hAnsi="Times New Roman" w:cs="Times New Roman"/>
      <w:color w:val="000000"/>
      <w:sz w:val="24"/>
      <w:szCs w:val="20"/>
      <w:lang w:val="pt-BR" w:eastAsia="pt-BR"/>
    </w:rPr>
  </w:style>
  <w:style w:type="character" w:customStyle="1" w:styleId="BodyTextChar">
    <w:name w:val="Body Text Char"/>
    <w:basedOn w:val="DefaultParagraphFont"/>
    <w:link w:val="BodyText"/>
    <w:rsid w:val="00724BAB"/>
    <w:rPr>
      <w:rFonts w:ascii="Times New Roman" w:eastAsia="Times New Roman" w:hAnsi="Times New Roman" w:cs="Times New Roman"/>
      <w:color w:val="000000"/>
      <w:sz w:val="24"/>
      <w:szCs w:val="20"/>
      <w:lang w:val="pt-BR" w:eastAsia="pt-BR"/>
    </w:rPr>
  </w:style>
  <w:style w:type="character" w:styleId="HTMLCite">
    <w:name w:val="HTML Cite"/>
    <w:basedOn w:val="DefaultParagraphFont"/>
    <w:uiPriority w:val="99"/>
    <w:semiHidden/>
    <w:unhideWhenUsed/>
    <w:rsid w:val="00724BAB"/>
    <w:rPr>
      <w:i/>
      <w:iCs/>
    </w:rPr>
  </w:style>
  <w:style w:type="character" w:customStyle="1" w:styleId="tgc">
    <w:name w:val="_tgc"/>
    <w:basedOn w:val="DefaultParagraphFont"/>
    <w:rsid w:val="00724BAB"/>
  </w:style>
  <w:style w:type="paragraph" w:customStyle="1" w:styleId="Sourceconsol">
    <w:name w:val="Sourceconsol"/>
    <w:basedOn w:val="Normal"/>
    <w:qFormat/>
    <w:rsid w:val="008D2695"/>
    <w:pPr>
      <w:spacing w:after="240" w:line="240" w:lineRule="auto"/>
      <w:ind w:left="360"/>
    </w:pPr>
    <w:rPr>
      <w:rFonts w:ascii="Times New Roman" w:eastAsiaTheme="minorHAnsi" w:hAnsi="Times New Roman" w:cs="Times New Roman"/>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3973">
      <w:bodyDiv w:val="1"/>
      <w:marLeft w:val="0"/>
      <w:marRight w:val="0"/>
      <w:marTop w:val="0"/>
      <w:marBottom w:val="0"/>
      <w:divBdr>
        <w:top w:val="none" w:sz="0" w:space="0" w:color="auto"/>
        <w:left w:val="none" w:sz="0" w:space="0" w:color="auto"/>
        <w:bottom w:val="none" w:sz="0" w:space="0" w:color="auto"/>
        <w:right w:val="none" w:sz="0" w:space="0" w:color="auto"/>
      </w:divBdr>
    </w:div>
    <w:div w:id="54554665">
      <w:bodyDiv w:val="1"/>
      <w:marLeft w:val="0"/>
      <w:marRight w:val="0"/>
      <w:marTop w:val="0"/>
      <w:marBottom w:val="0"/>
      <w:divBdr>
        <w:top w:val="none" w:sz="0" w:space="0" w:color="auto"/>
        <w:left w:val="none" w:sz="0" w:space="0" w:color="auto"/>
        <w:bottom w:val="none" w:sz="0" w:space="0" w:color="auto"/>
        <w:right w:val="none" w:sz="0" w:space="0" w:color="auto"/>
      </w:divBdr>
    </w:div>
    <w:div w:id="112213303">
      <w:bodyDiv w:val="1"/>
      <w:marLeft w:val="0"/>
      <w:marRight w:val="0"/>
      <w:marTop w:val="0"/>
      <w:marBottom w:val="0"/>
      <w:divBdr>
        <w:top w:val="none" w:sz="0" w:space="0" w:color="auto"/>
        <w:left w:val="none" w:sz="0" w:space="0" w:color="auto"/>
        <w:bottom w:val="none" w:sz="0" w:space="0" w:color="auto"/>
        <w:right w:val="none" w:sz="0" w:space="0" w:color="auto"/>
      </w:divBdr>
    </w:div>
    <w:div w:id="178275302">
      <w:bodyDiv w:val="1"/>
      <w:marLeft w:val="0"/>
      <w:marRight w:val="0"/>
      <w:marTop w:val="0"/>
      <w:marBottom w:val="0"/>
      <w:divBdr>
        <w:top w:val="none" w:sz="0" w:space="0" w:color="auto"/>
        <w:left w:val="none" w:sz="0" w:space="0" w:color="auto"/>
        <w:bottom w:val="none" w:sz="0" w:space="0" w:color="auto"/>
        <w:right w:val="none" w:sz="0" w:space="0" w:color="auto"/>
      </w:divBdr>
    </w:div>
    <w:div w:id="288631864">
      <w:bodyDiv w:val="1"/>
      <w:marLeft w:val="0"/>
      <w:marRight w:val="0"/>
      <w:marTop w:val="0"/>
      <w:marBottom w:val="0"/>
      <w:divBdr>
        <w:top w:val="none" w:sz="0" w:space="0" w:color="auto"/>
        <w:left w:val="none" w:sz="0" w:space="0" w:color="auto"/>
        <w:bottom w:val="none" w:sz="0" w:space="0" w:color="auto"/>
        <w:right w:val="none" w:sz="0" w:space="0" w:color="auto"/>
      </w:divBdr>
      <w:divsChild>
        <w:div w:id="541014858">
          <w:marLeft w:val="0"/>
          <w:marRight w:val="0"/>
          <w:marTop w:val="0"/>
          <w:marBottom w:val="0"/>
          <w:divBdr>
            <w:top w:val="none" w:sz="0" w:space="0" w:color="auto"/>
            <w:left w:val="none" w:sz="0" w:space="0" w:color="auto"/>
            <w:bottom w:val="none" w:sz="0" w:space="0" w:color="auto"/>
            <w:right w:val="none" w:sz="0" w:space="0" w:color="auto"/>
          </w:divBdr>
          <w:divsChild>
            <w:div w:id="1011488193">
              <w:marLeft w:val="0"/>
              <w:marRight w:val="0"/>
              <w:marTop w:val="0"/>
              <w:marBottom w:val="0"/>
              <w:divBdr>
                <w:top w:val="none" w:sz="0" w:space="0" w:color="auto"/>
                <w:left w:val="none" w:sz="0" w:space="0" w:color="auto"/>
                <w:bottom w:val="none" w:sz="0" w:space="0" w:color="auto"/>
                <w:right w:val="none" w:sz="0" w:space="0" w:color="auto"/>
              </w:divBdr>
              <w:divsChild>
                <w:div w:id="1843933419">
                  <w:marLeft w:val="0"/>
                  <w:marRight w:val="0"/>
                  <w:marTop w:val="0"/>
                  <w:marBottom w:val="0"/>
                  <w:divBdr>
                    <w:top w:val="single" w:sz="6" w:space="0" w:color="DDDDDD"/>
                    <w:left w:val="none" w:sz="0" w:space="0" w:color="auto"/>
                    <w:bottom w:val="none" w:sz="0" w:space="0" w:color="auto"/>
                    <w:right w:val="none" w:sz="0" w:space="0" w:color="auto"/>
                  </w:divBdr>
                  <w:divsChild>
                    <w:div w:id="882864576">
                      <w:marLeft w:val="345"/>
                      <w:marRight w:val="360"/>
                      <w:marTop w:val="375"/>
                      <w:marBottom w:val="330"/>
                      <w:divBdr>
                        <w:top w:val="none" w:sz="0" w:space="0" w:color="auto"/>
                        <w:left w:val="none" w:sz="0" w:space="0" w:color="auto"/>
                        <w:bottom w:val="none" w:sz="0" w:space="0" w:color="auto"/>
                        <w:right w:val="none" w:sz="0" w:space="0" w:color="auto"/>
                      </w:divBdr>
                      <w:divsChild>
                        <w:div w:id="637565391">
                          <w:marLeft w:val="0"/>
                          <w:marRight w:val="0"/>
                          <w:marTop w:val="0"/>
                          <w:marBottom w:val="0"/>
                          <w:divBdr>
                            <w:top w:val="none" w:sz="0" w:space="0" w:color="auto"/>
                            <w:left w:val="none" w:sz="0" w:space="0" w:color="auto"/>
                            <w:bottom w:val="none" w:sz="0" w:space="0" w:color="auto"/>
                            <w:right w:val="none" w:sz="0" w:space="0" w:color="auto"/>
                          </w:divBdr>
                          <w:divsChild>
                            <w:div w:id="118183049">
                              <w:marLeft w:val="0"/>
                              <w:marRight w:val="0"/>
                              <w:marTop w:val="0"/>
                              <w:marBottom w:val="0"/>
                              <w:divBdr>
                                <w:top w:val="none" w:sz="0" w:space="0" w:color="auto"/>
                                <w:left w:val="none" w:sz="0" w:space="0" w:color="auto"/>
                                <w:bottom w:val="none" w:sz="0" w:space="0" w:color="auto"/>
                                <w:right w:val="none" w:sz="0" w:space="0" w:color="auto"/>
                              </w:divBdr>
                              <w:divsChild>
                                <w:div w:id="119249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146701">
      <w:bodyDiv w:val="1"/>
      <w:marLeft w:val="0"/>
      <w:marRight w:val="0"/>
      <w:marTop w:val="0"/>
      <w:marBottom w:val="0"/>
      <w:divBdr>
        <w:top w:val="none" w:sz="0" w:space="0" w:color="auto"/>
        <w:left w:val="none" w:sz="0" w:space="0" w:color="auto"/>
        <w:bottom w:val="none" w:sz="0" w:space="0" w:color="auto"/>
        <w:right w:val="none" w:sz="0" w:space="0" w:color="auto"/>
      </w:divBdr>
    </w:div>
    <w:div w:id="396784093">
      <w:bodyDiv w:val="1"/>
      <w:marLeft w:val="0"/>
      <w:marRight w:val="0"/>
      <w:marTop w:val="0"/>
      <w:marBottom w:val="0"/>
      <w:divBdr>
        <w:top w:val="none" w:sz="0" w:space="0" w:color="auto"/>
        <w:left w:val="none" w:sz="0" w:space="0" w:color="auto"/>
        <w:bottom w:val="none" w:sz="0" w:space="0" w:color="auto"/>
        <w:right w:val="none" w:sz="0" w:space="0" w:color="auto"/>
      </w:divBdr>
    </w:div>
    <w:div w:id="425031697">
      <w:bodyDiv w:val="1"/>
      <w:marLeft w:val="0"/>
      <w:marRight w:val="0"/>
      <w:marTop w:val="0"/>
      <w:marBottom w:val="0"/>
      <w:divBdr>
        <w:top w:val="none" w:sz="0" w:space="0" w:color="auto"/>
        <w:left w:val="none" w:sz="0" w:space="0" w:color="auto"/>
        <w:bottom w:val="none" w:sz="0" w:space="0" w:color="auto"/>
        <w:right w:val="none" w:sz="0" w:space="0" w:color="auto"/>
      </w:divBdr>
    </w:div>
    <w:div w:id="483552670">
      <w:bodyDiv w:val="1"/>
      <w:marLeft w:val="0"/>
      <w:marRight w:val="0"/>
      <w:marTop w:val="0"/>
      <w:marBottom w:val="0"/>
      <w:divBdr>
        <w:top w:val="none" w:sz="0" w:space="0" w:color="auto"/>
        <w:left w:val="none" w:sz="0" w:space="0" w:color="auto"/>
        <w:bottom w:val="none" w:sz="0" w:space="0" w:color="auto"/>
        <w:right w:val="none" w:sz="0" w:space="0" w:color="auto"/>
      </w:divBdr>
    </w:div>
    <w:div w:id="528644493">
      <w:bodyDiv w:val="1"/>
      <w:marLeft w:val="0"/>
      <w:marRight w:val="0"/>
      <w:marTop w:val="0"/>
      <w:marBottom w:val="0"/>
      <w:divBdr>
        <w:top w:val="none" w:sz="0" w:space="0" w:color="auto"/>
        <w:left w:val="none" w:sz="0" w:space="0" w:color="auto"/>
        <w:bottom w:val="none" w:sz="0" w:space="0" w:color="auto"/>
        <w:right w:val="none" w:sz="0" w:space="0" w:color="auto"/>
      </w:divBdr>
      <w:divsChild>
        <w:div w:id="468128980">
          <w:marLeft w:val="0"/>
          <w:marRight w:val="0"/>
          <w:marTop w:val="0"/>
          <w:marBottom w:val="0"/>
          <w:divBdr>
            <w:top w:val="none" w:sz="0" w:space="0" w:color="auto"/>
            <w:left w:val="none" w:sz="0" w:space="0" w:color="auto"/>
            <w:bottom w:val="none" w:sz="0" w:space="0" w:color="auto"/>
            <w:right w:val="none" w:sz="0" w:space="0" w:color="auto"/>
          </w:divBdr>
          <w:divsChild>
            <w:div w:id="1629819874">
              <w:marLeft w:val="0"/>
              <w:marRight w:val="0"/>
              <w:marTop w:val="0"/>
              <w:marBottom w:val="0"/>
              <w:divBdr>
                <w:top w:val="none" w:sz="0" w:space="0" w:color="auto"/>
                <w:left w:val="none" w:sz="0" w:space="0" w:color="auto"/>
                <w:bottom w:val="none" w:sz="0" w:space="0" w:color="auto"/>
                <w:right w:val="none" w:sz="0" w:space="0" w:color="auto"/>
              </w:divBdr>
              <w:divsChild>
                <w:div w:id="505554809">
                  <w:marLeft w:val="0"/>
                  <w:marRight w:val="0"/>
                  <w:marTop w:val="0"/>
                  <w:marBottom w:val="0"/>
                  <w:divBdr>
                    <w:top w:val="single" w:sz="6" w:space="0" w:color="DDDDDD"/>
                    <w:left w:val="none" w:sz="0" w:space="0" w:color="auto"/>
                    <w:bottom w:val="none" w:sz="0" w:space="0" w:color="auto"/>
                    <w:right w:val="none" w:sz="0" w:space="0" w:color="auto"/>
                  </w:divBdr>
                  <w:divsChild>
                    <w:div w:id="1407067870">
                      <w:marLeft w:val="345"/>
                      <w:marRight w:val="360"/>
                      <w:marTop w:val="375"/>
                      <w:marBottom w:val="330"/>
                      <w:divBdr>
                        <w:top w:val="none" w:sz="0" w:space="0" w:color="auto"/>
                        <w:left w:val="none" w:sz="0" w:space="0" w:color="auto"/>
                        <w:bottom w:val="none" w:sz="0" w:space="0" w:color="auto"/>
                        <w:right w:val="none" w:sz="0" w:space="0" w:color="auto"/>
                      </w:divBdr>
                      <w:divsChild>
                        <w:div w:id="1766725365">
                          <w:marLeft w:val="0"/>
                          <w:marRight w:val="0"/>
                          <w:marTop w:val="0"/>
                          <w:marBottom w:val="0"/>
                          <w:divBdr>
                            <w:top w:val="none" w:sz="0" w:space="0" w:color="auto"/>
                            <w:left w:val="none" w:sz="0" w:space="0" w:color="auto"/>
                            <w:bottom w:val="none" w:sz="0" w:space="0" w:color="auto"/>
                            <w:right w:val="none" w:sz="0" w:space="0" w:color="auto"/>
                          </w:divBdr>
                          <w:divsChild>
                            <w:div w:id="2104186635">
                              <w:marLeft w:val="0"/>
                              <w:marRight w:val="0"/>
                              <w:marTop w:val="0"/>
                              <w:marBottom w:val="0"/>
                              <w:divBdr>
                                <w:top w:val="none" w:sz="0" w:space="0" w:color="auto"/>
                                <w:left w:val="none" w:sz="0" w:space="0" w:color="auto"/>
                                <w:bottom w:val="none" w:sz="0" w:space="0" w:color="auto"/>
                                <w:right w:val="none" w:sz="0" w:space="0" w:color="auto"/>
                              </w:divBdr>
                              <w:divsChild>
                                <w:div w:id="50922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408955">
      <w:bodyDiv w:val="1"/>
      <w:marLeft w:val="0"/>
      <w:marRight w:val="0"/>
      <w:marTop w:val="0"/>
      <w:marBottom w:val="0"/>
      <w:divBdr>
        <w:top w:val="none" w:sz="0" w:space="0" w:color="auto"/>
        <w:left w:val="none" w:sz="0" w:space="0" w:color="auto"/>
        <w:bottom w:val="none" w:sz="0" w:space="0" w:color="auto"/>
        <w:right w:val="none" w:sz="0" w:space="0" w:color="auto"/>
      </w:divBdr>
      <w:divsChild>
        <w:div w:id="2001426346">
          <w:marLeft w:val="0"/>
          <w:marRight w:val="0"/>
          <w:marTop w:val="0"/>
          <w:marBottom w:val="200"/>
          <w:divBdr>
            <w:top w:val="none" w:sz="0" w:space="0" w:color="auto"/>
            <w:left w:val="none" w:sz="0" w:space="0" w:color="auto"/>
            <w:bottom w:val="none" w:sz="0" w:space="0" w:color="auto"/>
            <w:right w:val="none" w:sz="0" w:space="0" w:color="auto"/>
          </w:divBdr>
        </w:div>
        <w:div w:id="1193030368">
          <w:marLeft w:val="0"/>
          <w:marRight w:val="0"/>
          <w:marTop w:val="0"/>
          <w:marBottom w:val="200"/>
          <w:divBdr>
            <w:top w:val="none" w:sz="0" w:space="0" w:color="auto"/>
            <w:left w:val="none" w:sz="0" w:space="0" w:color="auto"/>
            <w:bottom w:val="none" w:sz="0" w:space="0" w:color="auto"/>
            <w:right w:val="none" w:sz="0" w:space="0" w:color="auto"/>
          </w:divBdr>
        </w:div>
        <w:div w:id="1354530502">
          <w:marLeft w:val="720"/>
          <w:marRight w:val="0"/>
          <w:marTop w:val="0"/>
          <w:marBottom w:val="200"/>
          <w:divBdr>
            <w:top w:val="none" w:sz="0" w:space="0" w:color="auto"/>
            <w:left w:val="none" w:sz="0" w:space="0" w:color="auto"/>
            <w:bottom w:val="none" w:sz="0" w:space="0" w:color="auto"/>
            <w:right w:val="none" w:sz="0" w:space="0" w:color="auto"/>
          </w:divBdr>
        </w:div>
        <w:div w:id="452139371">
          <w:marLeft w:val="720"/>
          <w:marRight w:val="0"/>
          <w:marTop w:val="0"/>
          <w:marBottom w:val="200"/>
          <w:divBdr>
            <w:top w:val="none" w:sz="0" w:space="0" w:color="auto"/>
            <w:left w:val="none" w:sz="0" w:space="0" w:color="auto"/>
            <w:bottom w:val="none" w:sz="0" w:space="0" w:color="auto"/>
            <w:right w:val="none" w:sz="0" w:space="0" w:color="auto"/>
          </w:divBdr>
        </w:div>
        <w:div w:id="581839094">
          <w:marLeft w:val="720"/>
          <w:marRight w:val="0"/>
          <w:marTop w:val="0"/>
          <w:marBottom w:val="200"/>
          <w:divBdr>
            <w:top w:val="none" w:sz="0" w:space="0" w:color="auto"/>
            <w:left w:val="none" w:sz="0" w:space="0" w:color="auto"/>
            <w:bottom w:val="none" w:sz="0" w:space="0" w:color="auto"/>
            <w:right w:val="none" w:sz="0" w:space="0" w:color="auto"/>
          </w:divBdr>
        </w:div>
        <w:div w:id="1886721948">
          <w:marLeft w:val="720"/>
          <w:marRight w:val="0"/>
          <w:marTop w:val="0"/>
          <w:marBottom w:val="200"/>
          <w:divBdr>
            <w:top w:val="none" w:sz="0" w:space="0" w:color="auto"/>
            <w:left w:val="none" w:sz="0" w:space="0" w:color="auto"/>
            <w:bottom w:val="none" w:sz="0" w:space="0" w:color="auto"/>
            <w:right w:val="none" w:sz="0" w:space="0" w:color="auto"/>
          </w:divBdr>
        </w:div>
        <w:div w:id="1032073397">
          <w:marLeft w:val="720"/>
          <w:marRight w:val="0"/>
          <w:marTop w:val="0"/>
          <w:marBottom w:val="200"/>
          <w:divBdr>
            <w:top w:val="none" w:sz="0" w:space="0" w:color="auto"/>
            <w:left w:val="none" w:sz="0" w:space="0" w:color="auto"/>
            <w:bottom w:val="none" w:sz="0" w:space="0" w:color="auto"/>
            <w:right w:val="none" w:sz="0" w:space="0" w:color="auto"/>
          </w:divBdr>
        </w:div>
      </w:divsChild>
    </w:div>
    <w:div w:id="697969759">
      <w:bodyDiv w:val="1"/>
      <w:marLeft w:val="0"/>
      <w:marRight w:val="0"/>
      <w:marTop w:val="0"/>
      <w:marBottom w:val="0"/>
      <w:divBdr>
        <w:top w:val="none" w:sz="0" w:space="0" w:color="auto"/>
        <w:left w:val="none" w:sz="0" w:space="0" w:color="auto"/>
        <w:bottom w:val="none" w:sz="0" w:space="0" w:color="auto"/>
        <w:right w:val="none" w:sz="0" w:space="0" w:color="auto"/>
      </w:divBdr>
    </w:div>
    <w:div w:id="739714907">
      <w:bodyDiv w:val="1"/>
      <w:marLeft w:val="0"/>
      <w:marRight w:val="0"/>
      <w:marTop w:val="0"/>
      <w:marBottom w:val="0"/>
      <w:divBdr>
        <w:top w:val="none" w:sz="0" w:space="0" w:color="auto"/>
        <w:left w:val="none" w:sz="0" w:space="0" w:color="auto"/>
        <w:bottom w:val="none" w:sz="0" w:space="0" w:color="auto"/>
        <w:right w:val="none" w:sz="0" w:space="0" w:color="auto"/>
      </w:divBdr>
    </w:div>
    <w:div w:id="856162397">
      <w:bodyDiv w:val="1"/>
      <w:marLeft w:val="0"/>
      <w:marRight w:val="0"/>
      <w:marTop w:val="0"/>
      <w:marBottom w:val="0"/>
      <w:divBdr>
        <w:top w:val="none" w:sz="0" w:space="0" w:color="auto"/>
        <w:left w:val="none" w:sz="0" w:space="0" w:color="auto"/>
        <w:bottom w:val="none" w:sz="0" w:space="0" w:color="auto"/>
        <w:right w:val="none" w:sz="0" w:space="0" w:color="auto"/>
      </w:divBdr>
    </w:div>
    <w:div w:id="882715085">
      <w:bodyDiv w:val="1"/>
      <w:marLeft w:val="0"/>
      <w:marRight w:val="0"/>
      <w:marTop w:val="0"/>
      <w:marBottom w:val="0"/>
      <w:divBdr>
        <w:top w:val="none" w:sz="0" w:space="0" w:color="auto"/>
        <w:left w:val="none" w:sz="0" w:space="0" w:color="auto"/>
        <w:bottom w:val="none" w:sz="0" w:space="0" w:color="auto"/>
        <w:right w:val="none" w:sz="0" w:space="0" w:color="auto"/>
      </w:divBdr>
    </w:div>
    <w:div w:id="991256085">
      <w:bodyDiv w:val="1"/>
      <w:marLeft w:val="0"/>
      <w:marRight w:val="0"/>
      <w:marTop w:val="0"/>
      <w:marBottom w:val="0"/>
      <w:divBdr>
        <w:top w:val="none" w:sz="0" w:space="0" w:color="auto"/>
        <w:left w:val="none" w:sz="0" w:space="0" w:color="auto"/>
        <w:bottom w:val="none" w:sz="0" w:space="0" w:color="auto"/>
        <w:right w:val="none" w:sz="0" w:space="0" w:color="auto"/>
      </w:divBdr>
    </w:div>
    <w:div w:id="1189367303">
      <w:bodyDiv w:val="1"/>
      <w:marLeft w:val="0"/>
      <w:marRight w:val="0"/>
      <w:marTop w:val="0"/>
      <w:marBottom w:val="0"/>
      <w:divBdr>
        <w:top w:val="none" w:sz="0" w:space="0" w:color="auto"/>
        <w:left w:val="none" w:sz="0" w:space="0" w:color="auto"/>
        <w:bottom w:val="none" w:sz="0" w:space="0" w:color="auto"/>
        <w:right w:val="none" w:sz="0" w:space="0" w:color="auto"/>
      </w:divBdr>
    </w:div>
    <w:div w:id="1194882821">
      <w:bodyDiv w:val="1"/>
      <w:marLeft w:val="0"/>
      <w:marRight w:val="0"/>
      <w:marTop w:val="0"/>
      <w:marBottom w:val="0"/>
      <w:divBdr>
        <w:top w:val="none" w:sz="0" w:space="0" w:color="auto"/>
        <w:left w:val="none" w:sz="0" w:space="0" w:color="auto"/>
        <w:bottom w:val="none" w:sz="0" w:space="0" w:color="auto"/>
        <w:right w:val="none" w:sz="0" w:space="0" w:color="auto"/>
      </w:divBdr>
    </w:div>
    <w:div w:id="1243175555">
      <w:bodyDiv w:val="1"/>
      <w:marLeft w:val="0"/>
      <w:marRight w:val="0"/>
      <w:marTop w:val="0"/>
      <w:marBottom w:val="0"/>
      <w:divBdr>
        <w:top w:val="none" w:sz="0" w:space="0" w:color="auto"/>
        <w:left w:val="none" w:sz="0" w:space="0" w:color="auto"/>
        <w:bottom w:val="none" w:sz="0" w:space="0" w:color="auto"/>
        <w:right w:val="none" w:sz="0" w:space="0" w:color="auto"/>
      </w:divBdr>
    </w:div>
    <w:div w:id="1263997883">
      <w:bodyDiv w:val="1"/>
      <w:marLeft w:val="0"/>
      <w:marRight w:val="0"/>
      <w:marTop w:val="0"/>
      <w:marBottom w:val="0"/>
      <w:divBdr>
        <w:top w:val="none" w:sz="0" w:space="0" w:color="auto"/>
        <w:left w:val="none" w:sz="0" w:space="0" w:color="auto"/>
        <w:bottom w:val="none" w:sz="0" w:space="0" w:color="auto"/>
        <w:right w:val="none" w:sz="0" w:space="0" w:color="auto"/>
      </w:divBdr>
    </w:div>
    <w:div w:id="1280259872">
      <w:bodyDiv w:val="1"/>
      <w:marLeft w:val="0"/>
      <w:marRight w:val="0"/>
      <w:marTop w:val="0"/>
      <w:marBottom w:val="0"/>
      <w:divBdr>
        <w:top w:val="none" w:sz="0" w:space="0" w:color="auto"/>
        <w:left w:val="none" w:sz="0" w:space="0" w:color="auto"/>
        <w:bottom w:val="none" w:sz="0" w:space="0" w:color="auto"/>
        <w:right w:val="none" w:sz="0" w:space="0" w:color="auto"/>
      </w:divBdr>
    </w:div>
    <w:div w:id="1351495307">
      <w:bodyDiv w:val="1"/>
      <w:marLeft w:val="0"/>
      <w:marRight w:val="0"/>
      <w:marTop w:val="0"/>
      <w:marBottom w:val="0"/>
      <w:divBdr>
        <w:top w:val="none" w:sz="0" w:space="0" w:color="auto"/>
        <w:left w:val="none" w:sz="0" w:space="0" w:color="auto"/>
        <w:bottom w:val="none" w:sz="0" w:space="0" w:color="auto"/>
        <w:right w:val="none" w:sz="0" w:space="0" w:color="auto"/>
      </w:divBdr>
    </w:div>
    <w:div w:id="1400203392">
      <w:bodyDiv w:val="1"/>
      <w:marLeft w:val="0"/>
      <w:marRight w:val="0"/>
      <w:marTop w:val="0"/>
      <w:marBottom w:val="0"/>
      <w:divBdr>
        <w:top w:val="none" w:sz="0" w:space="0" w:color="auto"/>
        <w:left w:val="none" w:sz="0" w:space="0" w:color="auto"/>
        <w:bottom w:val="none" w:sz="0" w:space="0" w:color="auto"/>
        <w:right w:val="none" w:sz="0" w:space="0" w:color="auto"/>
      </w:divBdr>
      <w:divsChild>
        <w:div w:id="2001999625">
          <w:marLeft w:val="0"/>
          <w:marRight w:val="0"/>
          <w:marTop w:val="0"/>
          <w:marBottom w:val="0"/>
          <w:divBdr>
            <w:top w:val="none" w:sz="0" w:space="0" w:color="auto"/>
            <w:left w:val="none" w:sz="0" w:space="0" w:color="auto"/>
            <w:bottom w:val="none" w:sz="0" w:space="0" w:color="auto"/>
            <w:right w:val="none" w:sz="0" w:space="0" w:color="auto"/>
          </w:divBdr>
          <w:divsChild>
            <w:div w:id="823087524">
              <w:marLeft w:val="0"/>
              <w:marRight w:val="0"/>
              <w:marTop w:val="0"/>
              <w:marBottom w:val="0"/>
              <w:divBdr>
                <w:top w:val="none" w:sz="0" w:space="0" w:color="auto"/>
                <w:left w:val="none" w:sz="0" w:space="0" w:color="auto"/>
                <w:bottom w:val="none" w:sz="0" w:space="0" w:color="auto"/>
                <w:right w:val="none" w:sz="0" w:space="0" w:color="auto"/>
              </w:divBdr>
              <w:divsChild>
                <w:div w:id="32002609">
                  <w:marLeft w:val="0"/>
                  <w:marRight w:val="0"/>
                  <w:marTop w:val="0"/>
                  <w:marBottom w:val="0"/>
                  <w:divBdr>
                    <w:top w:val="single" w:sz="6" w:space="0" w:color="DDDDDD"/>
                    <w:left w:val="none" w:sz="0" w:space="0" w:color="auto"/>
                    <w:bottom w:val="none" w:sz="0" w:space="0" w:color="auto"/>
                    <w:right w:val="none" w:sz="0" w:space="0" w:color="auto"/>
                  </w:divBdr>
                  <w:divsChild>
                    <w:div w:id="1114253818">
                      <w:marLeft w:val="345"/>
                      <w:marRight w:val="360"/>
                      <w:marTop w:val="375"/>
                      <w:marBottom w:val="330"/>
                      <w:divBdr>
                        <w:top w:val="none" w:sz="0" w:space="0" w:color="auto"/>
                        <w:left w:val="none" w:sz="0" w:space="0" w:color="auto"/>
                        <w:bottom w:val="none" w:sz="0" w:space="0" w:color="auto"/>
                        <w:right w:val="none" w:sz="0" w:space="0" w:color="auto"/>
                      </w:divBdr>
                      <w:divsChild>
                        <w:div w:id="147789714">
                          <w:marLeft w:val="0"/>
                          <w:marRight w:val="0"/>
                          <w:marTop w:val="0"/>
                          <w:marBottom w:val="0"/>
                          <w:divBdr>
                            <w:top w:val="none" w:sz="0" w:space="0" w:color="auto"/>
                            <w:left w:val="none" w:sz="0" w:space="0" w:color="auto"/>
                            <w:bottom w:val="none" w:sz="0" w:space="0" w:color="auto"/>
                            <w:right w:val="none" w:sz="0" w:space="0" w:color="auto"/>
                          </w:divBdr>
                          <w:divsChild>
                            <w:div w:id="1501893650">
                              <w:marLeft w:val="0"/>
                              <w:marRight w:val="0"/>
                              <w:marTop w:val="0"/>
                              <w:marBottom w:val="0"/>
                              <w:divBdr>
                                <w:top w:val="none" w:sz="0" w:space="0" w:color="auto"/>
                                <w:left w:val="none" w:sz="0" w:space="0" w:color="auto"/>
                                <w:bottom w:val="none" w:sz="0" w:space="0" w:color="auto"/>
                                <w:right w:val="none" w:sz="0" w:space="0" w:color="auto"/>
                              </w:divBdr>
                              <w:divsChild>
                                <w:div w:id="3193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350130">
      <w:bodyDiv w:val="1"/>
      <w:marLeft w:val="0"/>
      <w:marRight w:val="0"/>
      <w:marTop w:val="0"/>
      <w:marBottom w:val="0"/>
      <w:divBdr>
        <w:top w:val="none" w:sz="0" w:space="0" w:color="auto"/>
        <w:left w:val="none" w:sz="0" w:space="0" w:color="auto"/>
        <w:bottom w:val="none" w:sz="0" w:space="0" w:color="auto"/>
        <w:right w:val="none" w:sz="0" w:space="0" w:color="auto"/>
      </w:divBdr>
    </w:div>
    <w:div w:id="1604535416">
      <w:bodyDiv w:val="1"/>
      <w:marLeft w:val="0"/>
      <w:marRight w:val="0"/>
      <w:marTop w:val="0"/>
      <w:marBottom w:val="0"/>
      <w:divBdr>
        <w:top w:val="none" w:sz="0" w:space="0" w:color="auto"/>
        <w:left w:val="none" w:sz="0" w:space="0" w:color="auto"/>
        <w:bottom w:val="none" w:sz="0" w:space="0" w:color="auto"/>
        <w:right w:val="none" w:sz="0" w:space="0" w:color="auto"/>
      </w:divBdr>
    </w:div>
    <w:div w:id="1650015017">
      <w:bodyDiv w:val="1"/>
      <w:marLeft w:val="0"/>
      <w:marRight w:val="0"/>
      <w:marTop w:val="0"/>
      <w:marBottom w:val="0"/>
      <w:divBdr>
        <w:top w:val="none" w:sz="0" w:space="0" w:color="auto"/>
        <w:left w:val="none" w:sz="0" w:space="0" w:color="auto"/>
        <w:bottom w:val="none" w:sz="0" w:space="0" w:color="auto"/>
        <w:right w:val="none" w:sz="0" w:space="0" w:color="auto"/>
      </w:divBdr>
    </w:div>
    <w:div w:id="1661540783">
      <w:bodyDiv w:val="1"/>
      <w:marLeft w:val="0"/>
      <w:marRight w:val="0"/>
      <w:marTop w:val="0"/>
      <w:marBottom w:val="0"/>
      <w:divBdr>
        <w:top w:val="none" w:sz="0" w:space="0" w:color="auto"/>
        <w:left w:val="none" w:sz="0" w:space="0" w:color="auto"/>
        <w:bottom w:val="none" w:sz="0" w:space="0" w:color="auto"/>
        <w:right w:val="none" w:sz="0" w:space="0" w:color="auto"/>
      </w:divBdr>
    </w:div>
    <w:div w:id="1674643105">
      <w:bodyDiv w:val="1"/>
      <w:marLeft w:val="0"/>
      <w:marRight w:val="0"/>
      <w:marTop w:val="0"/>
      <w:marBottom w:val="0"/>
      <w:divBdr>
        <w:top w:val="none" w:sz="0" w:space="0" w:color="auto"/>
        <w:left w:val="none" w:sz="0" w:space="0" w:color="auto"/>
        <w:bottom w:val="none" w:sz="0" w:space="0" w:color="auto"/>
        <w:right w:val="none" w:sz="0" w:space="0" w:color="auto"/>
      </w:divBdr>
    </w:div>
    <w:div w:id="1677925656">
      <w:bodyDiv w:val="1"/>
      <w:marLeft w:val="0"/>
      <w:marRight w:val="0"/>
      <w:marTop w:val="0"/>
      <w:marBottom w:val="0"/>
      <w:divBdr>
        <w:top w:val="none" w:sz="0" w:space="0" w:color="auto"/>
        <w:left w:val="none" w:sz="0" w:space="0" w:color="auto"/>
        <w:bottom w:val="none" w:sz="0" w:space="0" w:color="auto"/>
        <w:right w:val="none" w:sz="0" w:space="0" w:color="auto"/>
      </w:divBdr>
    </w:div>
    <w:div w:id="1681354494">
      <w:bodyDiv w:val="1"/>
      <w:marLeft w:val="0"/>
      <w:marRight w:val="0"/>
      <w:marTop w:val="0"/>
      <w:marBottom w:val="0"/>
      <w:divBdr>
        <w:top w:val="none" w:sz="0" w:space="0" w:color="auto"/>
        <w:left w:val="none" w:sz="0" w:space="0" w:color="auto"/>
        <w:bottom w:val="none" w:sz="0" w:space="0" w:color="auto"/>
        <w:right w:val="none" w:sz="0" w:space="0" w:color="auto"/>
      </w:divBdr>
    </w:div>
    <w:div w:id="1745911369">
      <w:bodyDiv w:val="1"/>
      <w:marLeft w:val="0"/>
      <w:marRight w:val="0"/>
      <w:marTop w:val="0"/>
      <w:marBottom w:val="0"/>
      <w:divBdr>
        <w:top w:val="none" w:sz="0" w:space="0" w:color="auto"/>
        <w:left w:val="none" w:sz="0" w:space="0" w:color="auto"/>
        <w:bottom w:val="none" w:sz="0" w:space="0" w:color="auto"/>
        <w:right w:val="none" w:sz="0" w:space="0" w:color="auto"/>
      </w:divBdr>
    </w:div>
    <w:div w:id="1789426626">
      <w:bodyDiv w:val="1"/>
      <w:marLeft w:val="0"/>
      <w:marRight w:val="0"/>
      <w:marTop w:val="0"/>
      <w:marBottom w:val="0"/>
      <w:divBdr>
        <w:top w:val="none" w:sz="0" w:space="0" w:color="auto"/>
        <w:left w:val="none" w:sz="0" w:space="0" w:color="auto"/>
        <w:bottom w:val="none" w:sz="0" w:space="0" w:color="auto"/>
        <w:right w:val="none" w:sz="0" w:space="0" w:color="auto"/>
      </w:divBdr>
    </w:div>
    <w:div w:id="1940409973">
      <w:bodyDiv w:val="1"/>
      <w:marLeft w:val="0"/>
      <w:marRight w:val="0"/>
      <w:marTop w:val="0"/>
      <w:marBottom w:val="0"/>
      <w:divBdr>
        <w:top w:val="none" w:sz="0" w:space="0" w:color="auto"/>
        <w:left w:val="none" w:sz="0" w:space="0" w:color="auto"/>
        <w:bottom w:val="none" w:sz="0" w:space="0" w:color="auto"/>
        <w:right w:val="none" w:sz="0" w:space="0" w:color="auto"/>
      </w:divBdr>
    </w:div>
    <w:div w:id="1960069235">
      <w:bodyDiv w:val="1"/>
      <w:marLeft w:val="0"/>
      <w:marRight w:val="0"/>
      <w:marTop w:val="0"/>
      <w:marBottom w:val="0"/>
      <w:divBdr>
        <w:top w:val="none" w:sz="0" w:space="0" w:color="auto"/>
        <w:left w:val="none" w:sz="0" w:space="0" w:color="auto"/>
        <w:bottom w:val="none" w:sz="0" w:space="0" w:color="auto"/>
        <w:right w:val="none" w:sz="0" w:space="0" w:color="auto"/>
      </w:divBdr>
    </w:div>
    <w:div w:id="1991324724">
      <w:bodyDiv w:val="1"/>
      <w:marLeft w:val="0"/>
      <w:marRight w:val="0"/>
      <w:marTop w:val="0"/>
      <w:marBottom w:val="0"/>
      <w:divBdr>
        <w:top w:val="none" w:sz="0" w:space="0" w:color="auto"/>
        <w:left w:val="none" w:sz="0" w:space="0" w:color="auto"/>
        <w:bottom w:val="none" w:sz="0" w:space="0" w:color="auto"/>
        <w:right w:val="none" w:sz="0" w:space="0" w:color="auto"/>
      </w:divBdr>
    </w:div>
    <w:div w:id="2025592138">
      <w:bodyDiv w:val="1"/>
      <w:marLeft w:val="0"/>
      <w:marRight w:val="0"/>
      <w:marTop w:val="0"/>
      <w:marBottom w:val="0"/>
      <w:divBdr>
        <w:top w:val="none" w:sz="0" w:space="0" w:color="auto"/>
        <w:left w:val="none" w:sz="0" w:space="0" w:color="auto"/>
        <w:bottom w:val="none" w:sz="0" w:space="0" w:color="auto"/>
        <w:right w:val="none" w:sz="0" w:space="0" w:color="auto"/>
      </w:divBdr>
    </w:div>
    <w:div w:id="2054385763">
      <w:bodyDiv w:val="1"/>
      <w:marLeft w:val="0"/>
      <w:marRight w:val="0"/>
      <w:marTop w:val="0"/>
      <w:marBottom w:val="0"/>
      <w:divBdr>
        <w:top w:val="none" w:sz="0" w:space="0" w:color="auto"/>
        <w:left w:val="none" w:sz="0" w:space="0" w:color="auto"/>
        <w:bottom w:val="none" w:sz="0" w:space="0" w:color="auto"/>
        <w:right w:val="none" w:sz="0" w:space="0" w:color="auto"/>
      </w:divBdr>
    </w:div>
    <w:div w:id="2096441115">
      <w:bodyDiv w:val="1"/>
      <w:marLeft w:val="0"/>
      <w:marRight w:val="0"/>
      <w:marTop w:val="0"/>
      <w:marBottom w:val="0"/>
      <w:divBdr>
        <w:top w:val="none" w:sz="0" w:space="0" w:color="auto"/>
        <w:left w:val="none" w:sz="0" w:space="0" w:color="auto"/>
        <w:bottom w:val="none" w:sz="0" w:space="0" w:color="auto"/>
        <w:right w:val="none" w:sz="0" w:space="0" w:color="auto"/>
      </w:divBdr>
    </w:div>
    <w:div w:id="213005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chart" Target="charts/chart11.xml"/><Relationship Id="rId21" Type="http://schemas.openxmlformats.org/officeDocument/2006/relationships/image" Target="media/image13.png"/><Relationship Id="rId42" Type="http://schemas.openxmlformats.org/officeDocument/2006/relationships/hyperlink" Target="https://www.imf.org/external/np/g20/pdf/101515.pdf" TargetMode="External"/><Relationship Id="rId47" Type="http://schemas.openxmlformats.org/officeDocument/2006/relationships/hyperlink" Target="http://www.taxpolicycenter.org/briefing-book/what-difference-between-zero-rating-and-exemption-good-vat" TargetMode="External"/><Relationship Id="rId63" Type="http://schemas.openxmlformats.org/officeDocument/2006/relationships/hyperlink" Target="http://papers.ssrn.com/sol3/papers.cfm?abstract_id=2401905" TargetMode="External"/><Relationship Id="rId68" Type="http://schemas.openxmlformats.org/officeDocument/2006/relationships/hyperlink" Target="http://documents.worldbank.org/curated/en/2014/09/23069780/mozambique-public-expenditure-review-addressing-challenges-today-seizing-opportunities-tomorrow" TargetMode="External"/><Relationship Id="rId84" Type="http://schemas.openxmlformats.org/officeDocument/2006/relationships/image" Target="media/image33.png"/><Relationship Id="rId89" Type="http://schemas.openxmlformats.org/officeDocument/2006/relationships/image" Target="media/image38.png"/><Relationship Id="rId112" Type="http://schemas.openxmlformats.org/officeDocument/2006/relationships/chart" Target="charts/chart9.xml"/><Relationship Id="rId16" Type="http://schemas.openxmlformats.org/officeDocument/2006/relationships/image" Target="media/image8.png"/><Relationship Id="rId107" Type="http://schemas.openxmlformats.org/officeDocument/2006/relationships/hyperlink" Target="http://elibrary.worldbank.org/doi/abs/10.1596/978-0-8213-9566-0" TargetMode="External"/><Relationship Id="rId11" Type="http://schemas.openxmlformats.org/officeDocument/2006/relationships/image" Target="media/image3.png"/><Relationship Id="rId32" Type="http://schemas.openxmlformats.org/officeDocument/2006/relationships/hyperlink" Target="https://www.imf.org/external/pubs/ft/reo/2015/afr/eng/pdf/sreo1015.pdf" TargetMode="External"/><Relationship Id="rId37" Type="http://schemas.openxmlformats.org/officeDocument/2006/relationships/chart" Target="charts/chart1.xml"/><Relationship Id="rId53" Type="http://schemas.openxmlformats.org/officeDocument/2006/relationships/footer" Target="footer1.xml"/><Relationship Id="rId58" Type="http://schemas.openxmlformats.org/officeDocument/2006/relationships/hyperlink" Target="http://fairwages.gov.gh/component/option,com_jefaq/Itemid,30/view,faq/" TargetMode="External"/><Relationship Id="rId74" Type="http://schemas.openxmlformats.org/officeDocument/2006/relationships/chart" Target="charts/chart4.xml"/><Relationship Id="rId79" Type="http://schemas.openxmlformats.org/officeDocument/2006/relationships/image" Target="media/image28.png"/><Relationship Id="rId102" Type="http://schemas.openxmlformats.org/officeDocument/2006/relationships/image" Target="media/image51.png"/><Relationship Id="rId5" Type="http://schemas.openxmlformats.org/officeDocument/2006/relationships/settings" Target="settings.xml"/><Relationship Id="rId90" Type="http://schemas.openxmlformats.org/officeDocument/2006/relationships/image" Target="media/image39.png"/><Relationship Id="rId95" Type="http://schemas.openxmlformats.org/officeDocument/2006/relationships/image" Target="media/image44.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hyperlink" Target="http://ssrn.com/abstract=2841302" TargetMode="External"/><Relationship Id="rId48" Type="http://schemas.openxmlformats.org/officeDocument/2006/relationships/hyperlink" Target="http://pdf.usaid.gov/pdf_docs/Pnacy929.pdf" TargetMode="External"/><Relationship Id="rId64" Type="http://schemas.openxmlformats.org/officeDocument/2006/relationships/hyperlink" Target="https://www.modernghana.com/news/136058/tuc-boss-hails-pay-reforms.html" TargetMode="External"/><Relationship Id="rId69" Type="http://schemas.openxmlformats.org/officeDocument/2006/relationships/image" Target="media/image24.png"/><Relationship Id="rId113" Type="http://schemas.openxmlformats.org/officeDocument/2006/relationships/chart" Target="charts/chart10.xml"/><Relationship Id="rId118" Type="http://schemas.openxmlformats.org/officeDocument/2006/relationships/chart" Target="charts/chart12.xml"/><Relationship Id="rId80" Type="http://schemas.openxmlformats.org/officeDocument/2006/relationships/image" Target="media/image29.png"/><Relationship Id="rId85" Type="http://schemas.openxmlformats.org/officeDocument/2006/relationships/image" Target="media/image34.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hyperlink" Target="https://www.oecd.org/countries/ghana/ghana.pdf" TargetMode="External"/><Relationship Id="rId38" Type="http://schemas.openxmlformats.org/officeDocument/2006/relationships/hyperlink" Target="http://www.actionaid.org/sites/files/actionaid/the_west_african_giveaway_2.pdf" TargetMode="External"/><Relationship Id="rId59" Type="http://schemas.openxmlformats.org/officeDocument/2006/relationships/hyperlink" Target="http://www.ghanaweb.com/GhanaHomePage/NewsArchive/Cedi-to-dep" TargetMode="External"/><Relationship Id="rId103" Type="http://schemas.openxmlformats.org/officeDocument/2006/relationships/image" Target="media/image52.png"/><Relationship Id="rId108" Type="http://schemas.openxmlformats.org/officeDocument/2006/relationships/image" Target="media/image55.png"/><Relationship Id="rId54" Type="http://schemas.openxmlformats.org/officeDocument/2006/relationships/footer" Target="footer2.xml"/><Relationship Id="rId70" Type="http://schemas.openxmlformats.org/officeDocument/2006/relationships/image" Target="cid:image005.png@01D24198.575AD250" TargetMode="External"/><Relationship Id="rId75" Type="http://schemas.openxmlformats.org/officeDocument/2006/relationships/chart" Target="charts/chart5.xml"/><Relationship Id="rId91" Type="http://schemas.openxmlformats.org/officeDocument/2006/relationships/image" Target="media/image40.png"/><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hyperlink" Target="http://wbi.worldbank.org/boost/" TargetMode="External"/><Relationship Id="rId49" Type="http://schemas.openxmlformats.org/officeDocument/2006/relationships/hyperlink" Target="file:///C:\Users\Sean\AppData\Local\Temp\Available%20from:%20http:\www.worldbank.org\en\country\southafrica\publication\south-africa-economic-update-focus-export-competitiveness" TargetMode="External"/><Relationship Id="rId114" Type="http://schemas.openxmlformats.org/officeDocument/2006/relationships/image" Target="media/image57.png"/><Relationship Id="rId119" Type="http://schemas.openxmlformats.org/officeDocument/2006/relationships/header" Target="header2.xml"/><Relationship Id="rId44" Type="http://schemas.openxmlformats.org/officeDocument/2006/relationships/hyperlink" Target="http://documents.worldbank.org/curated/en/913141468114550935/pdf/WPS5585.pdf" TargetMode="External"/><Relationship Id="rId60" Type="http://schemas.openxmlformats.org/officeDocument/2006/relationships/hyperlink" Target="http://www.ghanaweb.com/GhanaHomePage/NewsArchive/Gov-t-suspend" TargetMode="External"/><Relationship Id="rId65" Type="http://schemas.openxmlformats.org/officeDocument/2006/relationships/hyperlink" Target="http://www.ndpc.gov.gh/news/413/" TargetMode="External"/><Relationship Id="rId81" Type="http://schemas.openxmlformats.org/officeDocument/2006/relationships/image" Target="media/image30.png"/><Relationship Id="rId86" Type="http://schemas.openxmlformats.org/officeDocument/2006/relationships/image" Target="media/image35.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www.fightingmalaria.org/news/800.html" TargetMode="External"/><Relationship Id="rId109" Type="http://schemas.openxmlformats.org/officeDocument/2006/relationships/image" Target="media/image56.png"/><Relationship Id="rId34" Type="http://schemas.openxmlformats.org/officeDocument/2006/relationships/hyperlink" Target="https://openknowledge.worldbank.org/handle/10986/2833" TargetMode="External"/><Relationship Id="rId50" Type="http://schemas.openxmlformats.org/officeDocument/2006/relationships/hyperlink" Target="http://documents.worldbank.org/curated/en/810281468186872492/pdf/WPS7240.pdf" TargetMode="External"/><Relationship Id="rId55" Type="http://schemas.openxmlformats.org/officeDocument/2006/relationships/image" Target="media/image21.png"/><Relationship Id="rId76" Type="http://schemas.openxmlformats.org/officeDocument/2006/relationships/chart" Target="charts/chart6.xml"/><Relationship Id="rId97" Type="http://schemas.openxmlformats.org/officeDocument/2006/relationships/image" Target="media/image46.png"/><Relationship Id="rId104" Type="http://schemas.openxmlformats.org/officeDocument/2006/relationships/image" Target="media/image53.png"/><Relationship Id="rId120"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25.png"/><Relationship Id="rId92"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hyperlink" Target="http://siteresources.worldbank.org/DEC/Resources/PCGD_329-382.pdf" TargetMode="External"/><Relationship Id="rId24" Type="http://schemas.openxmlformats.org/officeDocument/2006/relationships/image" Target="media/image16.png"/><Relationship Id="rId40" Type="http://schemas.openxmlformats.org/officeDocument/2006/relationships/hyperlink" Target="http://www.taxjusticeafrica.net/wp-content/uploads/2015/11/Africa-Tax-Spotlight-9th-edition.pdf" TargetMode="External"/><Relationship Id="rId45" Type="http://schemas.openxmlformats.org/officeDocument/2006/relationships/hyperlink" Target="http://www1.worldbank.org/publicsector/LearningProgram/PracticalIssues/papers/Value%20added%20taxation/Value%20Added%20Taxation.doc" TargetMode="External"/><Relationship Id="rId66" Type="http://schemas.openxmlformats.org/officeDocument/2006/relationships/hyperlink" Target="http://www.mofep.gov.gh/sites/default/files/reports/Ghana_PEFA_2012_Report%20.pdf" TargetMode="External"/><Relationship Id="rId87" Type="http://schemas.openxmlformats.org/officeDocument/2006/relationships/image" Target="media/image36.png"/><Relationship Id="rId110" Type="http://schemas.openxmlformats.org/officeDocument/2006/relationships/chart" Target="charts/chart7.xml"/><Relationship Id="rId115" Type="http://schemas.openxmlformats.org/officeDocument/2006/relationships/image" Target="media/image58.png"/><Relationship Id="rId61" Type="http://schemas.openxmlformats.org/officeDocument/2006/relationships/hyperlink" Target="http://www.m.gbcghana.com/1.8528704" TargetMode="External"/><Relationship Id="rId82" Type="http://schemas.openxmlformats.org/officeDocument/2006/relationships/image" Target="media/image31.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yperlink" Target="https://www.imf.org/external/np/pp/eng/2011/030811.pdf" TargetMode="External"/><Relationship Id="rId35" Type="http://schemas.openxmlformats.org/officeDocument/2006/relationships/hyperlink" Target="http://siteresources.worldbank.org/EXTSDNET/Resources/infrastructure-background-note-G20.pdf" TargetMode="External"/><Relationship Id="rId56" Type="http://schemas.openxmlformats.org/officeDocument/2006/relationships/image" Target="media/image22.png"/><Relationship Id="rId77" Type="http://schemas.openxmlformats.org/officeDocument/2006/relationships/image" Target="media/image26.png"/><Relationship Id="rId100" Type="http://schemas.openxmlformats.org/officeDocument/2006/relationships/image" Target="media/image49.png"/><Relationship Id="rId105"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chart" Target="charts/chart2.xml"/><Relationship Id="rId93" Type="http://schemas.openxmlformats.org/officeDocument/2006/relationships/image" Target="media/image42.png"/><Relationship Id="rId98" Type="http://schemas.openxmlformats.org/officeDocument/2006/relationships/image" Target="media/image47.png"/><Relationship Id="rId121"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hyperlink" Target="https://www.ncbi.nlm.nih.gov/pmc/articles/PMC2567679/" TargetMode="External"/><Relationship Id="rId67" Type="http://schemas.openxmlformats.org/officeDocument/2006/relationships/hyperlink" Target="http://www.tradingeconomics.com/ghana/inflation-cpi" TargetMode="External"/><Relationship Id="rId116" Type="http://schemas.openxmlformats.org/officeDocument/2006/relationships/image" Target="media/image59.jpg"/><Relationship Id="rId20" Type="http://schemas.openxmlformats.org/officeDocument/2006/relationships/image" Target="media/image12.png"/><Relationship Id="rId41" Type="http://schemas.openxmlformats.org/officeDocument/2006/relationships/hyperlink" Target="https://www.ncbi.nlm.nih.gov/books/NBK1707" TargetMode="External"/><Relationship Id="rId62" Type="http://schemas.openxmlformats.org/officeDocument/2006/relationships/hyperlink" Target="http://ssrn.com/abstract=2526572" TargetMode="External"/><Relationship Id="rId83" Type="http://schemas.openxmlformats.org/officeDocument/2006/relationships/image" Target="media/image32.png"/><Relationship Id="rId88" Type="http://schemas.openxmlformats.org/officeDocument/2006/relationships/image" Target="media/image37.png"/><Relationship Id="rId111" Type="http://schemas.openxmlformats.org/officeDocument/2006/relationships/chart" Target="charts/chart8.xml"/><Relationship Id="rId15" Type="http://schemas.openxmlformats.org/officeDocument/2006/relationships/image" Target="media/image7.png"/><Relationship Id="rId36" Type="http://schemas.openxmlformats.org/officeDocument/2006/relationships/hyperlink" Target="http://www.imf.org/external/pubs/ft/scr/2016/cr16321.pdf" TargetMode="External"/><Relationship Id="rId57" Type="http://schemas.openxmlformats.org/officeDocument/2006/relationships/image" Target="media/image23.png"/><Relationship Id="rId106" Type="http://schemas.openxmlformats.org/officeDocument/2006/relationships/hyperlink" Target="https://openknowledge.worldbank.org/handle/10986/16307" TargetMode="External"/><Relationship Id="rId10" Type="http://schemas.openxmlformats.org/officeDocument/2006/relationships/image" Target="media/image2.png"/><Relationship Id="rId31" Type="http://schemas.openxmlformats.org/officeDocument/2006/relationships/hyperlink" Target="http://www.imf.org/external/np/pp/eng/2015/061115.pdf" TargetMode="External"/><Relationship Id="rId52" Type="http://schemas.openxmlformats.org/officeDocument/2006/relationships/header" Target="header1.xml"/><Relationship Id="rId73" Type="http://schemas.openxmlformats.org/officeDocument/2006/relationships/chart" Target="charts/chart3.xml"/><Relationship Id="rId78" Type="http://schemas.openxmlformats.org/officeDocument/2006/relationships/image" Target="media/image27.png"/><Relationship Id="rId94" Type="http://schemas.openxmlformats.org/officeDocument/2006/relationships/image" Target="media/image43.png"/><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tullowoil.com/Media/docs/default-source/3_investors/2011-tullow-full-year-results-report.pdf?sfvrsn=2" TargetMode="External"/><Relationship Id="rId2" Type="http://schemas.openxmlformats.org/officeDocument/2006/relationships/hyperlink" Target="http://www.gse.com.gh/index1.php?linkid=46" TargetMode="External"/><Relationship Id="rId1" Type="http://schemas.openxmlformats.org/officeDocument/2006/relationships/hyperlink" Target="http://wbi.worldbank.org/boos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WB305167\Documents\Tax%20Incentives\Tax%20Expenditures\Tax%20expenditures%20in%20different%20countries%20updates%20-%20September%202015.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WB492604\Box%20Sync\Dilek\PER%20Ghana\Final%202.0%20PER%20document\PER_Graphs_Education.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B492604\Box%20Sync\Dilek\PER%20Ghana\Final%202.0%20PER%20document\PER_Graphs_Education.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B492604\Box%20Sync\Dilek\PER%20Ghana\Final%202.0%20PER%20document\PER_Graphs_Education.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B492604\Box%20Sync\Dilek\PER%20Ghana\Final%202.0%20PER%20document\PER_Graphs_Education.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B492604\Box%20Sync\Dilek\PER%20Ghana\Final%202.0%20PER%20document\PER_Graphs_Education.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WB492604\Box%20Sync\Dilek\PER%20Ghana\Final%20PER%20document\PER_Graphs_Agriculture.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3" Type="http://schemas.openxmlformats.org/officeDocument/2006/relationships/oleObject" Target="file:///C:\Users\wb259915\Documents\WB%20Hans%20Jansen\Ghana\Public%20Exp%20Rev%20Ghana\Trend%20estimation%20ag%20growth.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653476007806706E-2"/>
          <c:y val="3.6163079615048097E-2"/>
          <c:w val="0.90584225048792"/>
          <c:h val="0.62104030329542104"/>
        </c:manualLayout>
      </c:layout>
      <c:barChart>
        <c:barDir val="col"/>
        <c:grouping val="clustered"/>
        <c:varyColors val="0"/>
        <c:ser>
          <c:idx val="0"/>
          <c:order val="0"/>
          <c:tx>
            <c:strRef>
              <c:f>Combined!$C$4</c:f>
              <c:strCache>
                <c:ptCount val="1"/>
                <c:pt idx="0">
                  <c:v>% of GDP</c:v>
                </c:pt>
              </c:strCache>
            </c:strRef>
          </c:tx>
          <c:spPr>
            <a:solidFill>
              <a:srgbClr val="2F8396"/>
            </a:solidFill>
            <a:ln>
              <a:solidFill>
                <a:schemeClr val="accent1"/>
              </a:solidFill>
            </a:ln>
          </c:spPr>
          <c:invertIfNegative val="0"/>
          <c:dPt>
            <c:idx val="10"/>
            <c:invertIfNegative val="0"/>
            <c:bubble3D val="0"/>
            <c:extLst>
              <c:ext xmlns:c16="http://schemas.microsoft.com/office/drawing/2014/chart" uri="{C3380CC4-5D6E-409C-BE32-E72D297353CC}">
                <c16:uniqueId val="{00000000-2A9B-4F8B-877C-6EADF5BFAEEA}"/>
              </c:ext>
            </c:extLst>
          </c:dPt>
          <c:dPt>
            <c:idx val="14"/>
            <c:invertIfNegative val="0"/>
            <c:bubble3D val="0"/>
            <c:spPr>
              <a:pattFill prst="pct75">
                <a:fgClr>
                  <a:srgbClr val="DE6E4B"/>
                </a:fgClr>
                <a:bgClr>
                  <a:schemeClr val="bg1"/>
                </a:bgClr>
              </a:pattFill>
              <a:ln>
                <a:solidFill>
                  <a:srgbClr val="DE6E4B"/>
                </a:solidFill>
              </a:ln>
            </c:spPr>
            <c:extLst>
              <c:ext xmlns:c16="http://schemas.microsoft.com/office/drawing/2014/chart" uri="{C3380CC4-5D6E-409C-BE32-E72D297353CC}">
                <c16:uniqueId val="{00000002-2A9B-4F8B-877C-6EADF5BFAEEA}"/>
              </c:ext>
            </c:extLst>
          </c:dPt>
          <c:cat>
            <c:strRef>
              <c:f>Combined!$B$5:$B$32</c:f>
              <c:strCache>
                <c:ptCount val="28"/>
                <c:pt idx="0">
                  <c:v>Germany</c:v>
                </c:pt>
                <c:pt idx="1">
                  <c:v>Netherlands</c:v>
                </c:pt>
                <c:pt idx="2">
                  <c:v>Argentina</c:v>
                </c:pt>
                <c:pt idx="3">
                  <c:v>Peru</c:v>
                </c:pt>
                <c:pt idx="4">
                  <c:v>Korea</c:v>
                </c:pt>
                <c:pt idx="5">
                  <c:v>Tunisia</c:v>
                </c:pt>
                <c:pt idx="6">
                  <c:v>Brazil</c:v>
                </c:pt>
                <c:pt idx="7">
                  <c:v>Columbia</c:v>
                </c:pt>
                <c:pt idx="8">
                  <c:v>Senegal</c:v>
                </c:pt>
                <c:pt idx="9">
                  <c:v>Morocco</c:v>
                </c:pt>
                <c:pt idx="10">
                  <c:v>Chile</c:v>
                </c:pt>
                <c:pt idx="11">
                  <c:v>South Africa</c:v>
                </c:pt>
                <c:pt idx="12">
                  <c:v>Guinea</c:v>
                </c:pt>
                <c:pt idx="13">
                  <c:v>Gabon</c:v>
                </c:pt>
                <c:pt idx="14">
                  <c:v>Ghana</c:v>
                </c:pt>
                <c:pt idx="15">
                  <c:v>Mexico</c:v>
                </c:pt>
                <c:pt idx="16">
                  <c:v>Domininca</c:v>
                </c:pt>
                <c:pt idx="17">
                  <c:v>Costa Rica</c:v>
                </c:pt>
                <c:pt idx="18">
                  <c:v>Spain</c:v>
                </c:pt>
                <c:pt idx="19">
                  <c:v>Jamiaca</c:v>
                </c:pt>
                <c:pt idx="20">
                  <c:v>India</c:v>
                </c:pt>
                <c:pt idx="21">
                  <c:v>St. Kitts and Neavis</c:v>
                </c:pt>
                <c:pt idx="22">
                  <c:v>USA</c:v>
                </c:pt>
                <c:pt idx="23">
                  <c:v>UK</c:v>
                </c:pt>
                <c:pt idx="24">
                  <c:v>Canada</c:v>
                </c:pt>
                <c:pt idx="25">
                  <c:v>St. Lucia</c:v>
                </c:pt>
                <c:pt idx="26">
                  <c:v>Grenada</c:v>
                </c:pt>
                <c:pt idx="27">
                  <c:v>Guatemala</c:v>
                </c:pt>
              </c:strCache>
            </c:strRef>
          </c:cat>
          <c:val>
            <c:numRef>
              <c:f>Combined!$C$5:$C$32</c:f>
              <c:numCache>
                <c:formatCode>0.0%</c:formatCode>
                <c:ptCount val="28"/>
                <c:pt idx="0">
                  <c:v>6.4000000000000003E-3</c:v>
                </c:pt>
                <c:pt idx="1">
                  <c:v>1.83E-2</c:v>
                </c:pt>
                <c:pt idx="2">
                  <c:v>2.0799999999999999E-2</c:v>
                </c:pt>
                <c:pt idx="3">
                  <c:v>2.2200000000000001E-2</c:v>
                </c:pt>
                <c:pt idx="4">
                  <c:v>2.5499999999999998E-2</c:v>
                </c:pt>
                <c:pt idx="5">
                  <c:v>2.7E-2</c:v>
                </c:pt>
                <c:pt idx="6">
                  <c:v>3.2000000000000001E-2</c:v>
                </c:pt>
                <c:pt idx="7">
                  <c:v>3.5200000000000002E-2</c:v>
                </c:pt>
                <c:pt idx="8">
                  <c:v>3.6999999999999998E-2</c:v>
                </c:pt>
                <c:pt idx="9">
                  <c:v>3.9E-2</c:v>
                </c:pt>
                <c:pt idx="10">
                  <c:v>3.9600000000000003E-2</c:v>
                </c:pt>
                <c:pt idx="11">
                  <c:v>0.04</c:v>
                </c:pt>
                <c:pt idx="12">
                  <c:v>4.3999999999999997E-2</c:v>
                </c:pt>
                <c:pt idx="13">
                  <c:v>5.0999999999999997E-2</c:v>
                </c:pt>
                <c:pt idx="14">
                  <c:v>5.1999999999999998E-2</c:v>
                </c:pt>
                <c:pt idx="15">
                  <c:v>5.3800000000000001E-2</c:v>
                </c:pt>
                <c:pt idx="16">
                  <c:v>5.3999999999999999E-2</c:v>
                </c:pt>
                <c:pt idx="17">
                  <c:v>5.7599999999999998E-2</c:v>
                </c:pt>
                <c:pt idx="18">
                  <c:v>5.7599999999999998E-2</c:v>
                </c:pt>
                <c:pt idx="19">
                  <c:v>5.8999999999999997E-2</c:v>
                </c:pt>
                <c:pt idx="20">
                  <c:v>0.06</c:v>
                </c:pt>
                <c:pt idx="21">
                  <c:v>0.06</c:v>
                </c:pt>
                <c:pt idx="22">
                  <c:v>6.1699999999999998E-2</c:v>
                </c:pt>
                <c:pt idx="23">
                  <c:v>6.4100000000000004E-2</c:v>
                </c:pt>
                <c:pt idx="24">
                  <c:v>7.3999999999999996E-2</c:v>
                </c:pt>
                <c:pt idx="25">
                  <c:v>7.9000000000000001E-2</c:v>
                </c:pt>
                <c:pt idx="26">
                  <c:v>8.1000000000000003E-2</c:v>
                </c:pt>
                <c:pt idx="27">
                  <c:v>8.5999999999999993E-2</c:v>
                </c:pt>
              </c:numCache>
            </c:numRef>
          </c:val>
          <c:extLst>
            <c:ext xmlns:c16="http://schemas.microsoft.com/office/drawing/2014/chart" uri="{C3380CC4-5D6E-409C-BE32-E72D297353CC}">
              <c16:uniqueId val="{00000003-2A9B-4F8B-877C-6EADF5BFAEEA}"/>
            </c:ext>
          </c:extLst>
        </c:ser>
        <c:dLbls>
          <c:showLegendKey val="0"/>
          <c:showVal val="0"/>
          <c:showCatName val="0"/>
          <c:showSerName val="0"/>
          <c:showPercent val="0"/>
          <c:showBubbleSize val="0"/>
        </c:dLbls>
        <c:gapWidth val="50"/>
        <c:axId val="-1463456000"/>
        <c:axId val="-1463055424"/>
      </c:barChart>
      <c:catAx>
        <c:axId val="-1463456000"/>
        <c:scaling>
          <c:orientation val="minMax"/>
        </c:scaling>
        <c:delete val="0"/>
        <c:axPos val="b"/>
        <c:numFmt formatCode="General" sourceLinked="0"/>
        <c:majorTickMark val="none"/>
        <c:minorTickMark val="none"/>
        <c:tickLblPos val="nextTo"/>
        <c:crossAx val="-1463055424"/>
        <c:crosses val="autoZero"/>
        <c:auto val="1"/>
        <c:lblAlgn val="ctr"/>
        <c:lblOffset val="100"/>
        <c:noMultiLvlLbl val="0"/>
      </c:catAx>
      <c:valAx>
        <c:axId val="-1463055424"/>
        <c:scaling>
          <c:orientation val="minMax"/>
        </c:scaling>
        <c:delete val="0"/>
        <c:axPos val="l"/>
        <c:numFmt formatCode="0%" sourceLinked="0"/>
        <c:majorTickMark val="none"/>
        <c:minorTickMark val="none"/>
        <c:tickLblPos val="nextTo"/>
        <c:spPr>
          <a:ln>
            <a:noFill/>
          </a:ln>
        </c:spPr>
        <c:crossAx val="-1463456000"/>
        <c:crosses val="autoZero"/>
        <c:crossBetween val="between"/>
        <c:majorUnit val="0.02"/>
      </c:valAx>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63195831864301"/>
          <c:y val="5.13036161177527E-2"/>
          <c:w val="0.85683511575978399"/>
          <c:h val="0.85995497508236396"/>
        </c:manualLayout>
      </c:layout>
      <c:lineChart>
        <c:grouping val="standard"/>
        <c:varyColors val="0"/>
        <c:ser>
          <c:idx val="1"/>
          <c:order val="0"/>
          <c:tx>
            <c:strRef>
              <c:f>CPIs!$B$23</c:f>
              <c:strCache>
                <c:ptCount val="1"/>
                <c:pt idx="0">
                  <c:v>Terms of Trade</c:v>
                </c:pt>
              </c:strCache>
            </c:strRef>
          </c:tx>
          <c:spPr>
            <a:ln w="28575" cap="flat" cmpd="sng">
              <a:solidFill>
                <a:srgbClr val="DE6E4B"/>
              </a:solidFill>
            </a:ln>
          </c:spPr>
          <c:marker>
            <c:symbol val="none"/>
          </c:marker>
          <c:cat>
            <c:numRef>
              <c:f>CPIs!$A$24:$A$35</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CPIs!$B$24:$B$35</c:f>
              <c:numCache>
                <c:formatCode>0.0000</c:formatCode>
                <c:ptCount val="12"/>
                <c:pt idx="0">
                  <c:v>0.97938931297709897</c:v>
                </c:pt>
                <c:pt idx="1">
                  <c:v>0.97546804389928998</c:v>
                </c:pt>
                <c:pt idx="2">
                  <c:v>0.94701986754966905</c:v>
                </c:pt>
                <c:pt idx="3">
                  <c:v>0.920898437500003</c:v>
                </c:pt>
                <c:pt idx="4">
                  <c:v>0.902929602098822</c:v>
                </c:pt>
                <c:pt idx="5">
                  <c:v>0.88467261904761896</c:v>
                </c:pt>
                <c:pt idx="6">
                  <c:v>0.83969465648855401</c:v>
                </c:pt>
                <c:pt idx="7">
                  <c:v>0.89099236641221402</c:v>
                </c:pt>
                <c:pt idx="8">
                  <c:v>0.81415929203540005</c:v>
                </c:pt>
                <c:pt idx="9">
                  <c:v>0.681115879828326</c:v>
                </c:pt>
                <c:pt idx="10">
                  <c:v>0.85921158487530203</c:v>
                </c:pt>
                <c:pt idx="11">
                  <c:v>0.73803363518758203</c:v>
                </c:pt>
              </c:numCache>
            </c:numRef>
          </c:val>
          <c:smooth val="1"/>
          <c:extLst>
            <c:ext xmlns:c16="http://schemas.microsoft.com/office/drawing/2014/chart" uri="{C3380CC4-5D6E-409C-BE32-E72D297353CC}">
              <c16:uniqueId val="{00000000-E3CA-4FA9-A24C-E6C4D3118443}"/>
            </c:ext>
          </c:extLst>
        </c:ser>
        <c:dLbls>
          <c:showLegendKey val="0"/>
          <c:showVal val="0"/>
          <c:showCatName val="0"/>
          <c:showSerName val="0"/>
          <c:showPercent val="0"/>
          <c:showBubbleSize val="0"/>
        </c:dLbls>
        <c:smooth val="0"/>
        <c:axId val="-1422127536"/>
        <c:axId val="-1422125216"/>
      </c:lineChart>
      <c:catAx>
        <c:axId val="-1422127536"/>
        <c:scaling>
          <c:orientation val="minMax"/>
        </c:scaling>
        <c:delete val="0"/>
        <c:axPos val="b"/>
        <c:numFmt formatCode="General" sourceLinked="1"/>
        <c:majorTickMark val="out"/>
        <c:minorTickMark val="none"/>
        <c:tickLblPos val="nextTo"/>
        <c:crossAx val="-1422125216"/>
        <c:crosses val="autoZero"/>
        <c:auto val="1"/>
        <c:lblAlgn val="ctr"/>
        <c:lblOffset val="100"/>
        <c:tickLblSkip val="2"/>
        <c:tickMarkSkip val="2"/>
        <c:noMultiLvlLbl val="0"/>
      </c:catAx>
      <c:valAx>
        <c:axId val="-1422125216"/>
        <c:scaling>
          <c:orientation val="minMax"/>
          <c:max val="1"/>
          <c:min val="0.6"/>
        </c:scaling>
        <c:delete val="0"/>
        <c:axPos val="l"/>
        <c:title>
          <c:tx>
            <c:rich>
              <a:bodyPr rot="0" vert="horz"/>
              <a:lstStyle/>
              <a:p>
                <a:pPr>
                  <a:defRPr/>
                </a:pPr>
                <a:endParaRPr lang="en-US"/>
              </a:p>
            </c:rich>
          </c:tx>
          <c:layout>
            <c:manualLayout>
              <c:xMode val="edge"/>
              <c:yMode val="edge"/>
              <c:x val="0.35251164547400199"/>
              <c:y val="5.1067253241903102E-2"/>
            </c:manualLayout>
          </c:layout>
          <c:overlay val="0"/>
        </c:title>
        <c:numFmt formatCode="0.00" sourceLinked="0"/>
        <c:majorTickMark val="out"/>
        <c:minorTickMark val="none"/>
        <c:tickLblPos val="nextTo"/>
        <c:crossAx val="-1422127536"/>
        <c:crosses val="autoZero"/>
        <c:crossBetween val="between"/>
      </c:valAx>
      <c:spPr>
        <a:ln>
          <a:noFill/>
        </a:ln>
      </c:spPr>
    </c:plotArea>
    <c:plotVisOnly val="1"/>
    <c:dispBlanksAs val="gap"/>
    <c:showDLblsOverMax val="0"/>
  </c:chart>
  <c:spPr>
    <a:noFill/>
    <a:ln>
      <a:noFill/>
    </a:ln>
  </c:spPr>
  <c:txPr>
    <a:bodyPr/>
    <a:lstStyle/>
    <a:p>
      <a:pPr>
        <a:defRPr sz="800">
          <a:ln>
            <a:noFill/>
          </a:ln>
          <a:latin typeface="+mj-lt"/>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54694388691601"/>
          <c:y val="5.5766921868330502E-2"/>
          <c:w val="0.86148354004769001"/>
          <c:h val="0.73151331862063895"/>
        </c:manualLayout>
      </c:layout>
      <c:lineChart>
        <c:grouping val="standard"/>
        <c:varyColors val="0"/>
        <c:ser>
          <c:idx val="0"/>
          <c:order val="0"/>
          <c:tx>
            <c:strRef>
              <c:f>'Fig 4.6 and 4.7'!$B$2</c:f>
              <c:strCache>
                <c:ptCount val="1"/>
                <c:pt idx="0">
                  <c:v>Producer price (GHc/MT)</c:v>
                </c:pt>
              </c:strCache>
            </c:strRef>
          </c:tx>
          <c:spPr>
            <a:ln w="28575" cap="rnd">
              <a:solidFill>
                <a:srgbClr val="CACAAA"/>
              </a:solidFill>
              <a:round/>
            </a:ln>
            <a:effectLst/>
          </c:spPr>
          <c:marker>
            <c:symbol val="none"/>
          </c:marker>
          <c:cat>
            <c:strRef>
              <c:f>'Fig 4.6 and 4.7'!$A$4:$A$22</c:f>
              <c:strCache>
                <c:ptCount val="19"/>
                <c:pt idx="0">
                  <c:v>1996/97</c:v>
                </c:pt>
                <c:pt idx="1">
                  <c:v>1997/98</c:v>
                </c:pt>
                <c:pt idx="2">
                  <c:v>1998/99</c:v>
                </c:pt>
                <c:pt idx="3">
                  <c:v>1999/2000</c:v>
                </c:pt>
                <c:pt idx="4">
                  <c:v>2000/01</c:v>
                </c:pt>
                <c:pt idx="5">
                  <c:v>2001/02</c:v>
                </c:pt>
                <c:pt idx="6">
                  <c:v>2002/03</c:v>
                </c:pt>
                <c:pt idx="7">
                  <c:v>2003/04</c:v>
                </c:pt>
                <c:pt idx="8">
                  <c:v>2004/05</c:v>
                </c:pt>
                <c:pt idx="9">
                  <c:v>2005/06</c:v>
                </c:pt>
                <c:pt idx="10">
                  <c:v>2006/07</c:v>
                </c:pt>
                <c:pt idx="11">
                  <c:v>2007/08</c:v>
                </c:pt>
                <c:pt idx="12">
                  <c:v>2008/09</c:v>
                </c:pt>
                <c:pt idx="13">
                  <c:v>2009/10</c:v>
                </c:pt>
                <c:pt idx="14">
                  <c:v>2010/11</c:v>
                </c:pt>
                <c:pt idx="15">
                  <c:v>2011/12</c:v>
                </c:pt>
                <c:pt idx="16">
                  <c:v>2012/13</c:v>
                </c:pt>
                <c:pt idx="17">
                  <c:v>2013/14</c:v>
                </c:pt>
                <c:pt idx="18">
                  <c:v>2014/15</c:v>
                </c:pt>
              </c:strCache>
            </c:strRef>
          </c:cat>
          <c:val>
            <c:numRef>
              <c:f>'Fig 4.6 and 4.7'!$B$4:$B$22</c:f>
              <c:numCache>
                <c:formatCode>0</c:formatCode>
                <c:ptCount val="19"/>
                <c:pt idx="0">
                  <c:v>120</c:v>
                </c:pt>
                <c:pt idx="1">
                  <c:v>180</c:v>
                </c:pt>
                <c:pt idx="2">
                  <c:v>225</c:v>
                </c:pt>
                <c:pt idx="3">
                  <c:v>225</c:v>
                </c:pt>
                <c:pt idx="4">
                  <c:v>347.5</c:v>
                </c:pt>
                <c:pt idx="5">
                  <c:v>620</c:v>
                </c:pt>
                <c:pt idx="6">
                  <c:v>850</c:v>
                </c:pt>
                <c:pt idx="7">
                  <c:v>900</c:v>
                </c:pt>
                <c:pt idx="8">
                  <c:v>900</c:v>
                </c:pt>
                <c:pt idx="9">
                  <c:v>900</c:v>
                </c:pt>
                <c:pt idx="10">
                  <c:v>915</c:v>
                </c:pt>
                <c:pt idx="11">
                  <c:v>1200</c:v>
                </c:pt>
                <c:pt idx="12">
                  <c:v>1632</c:v>
                </c:pt>
                <c:pt idx="13">
                  <c:v>2400</c:v>
                </c:pt>
                <c:pt idx="14">
                  <c:v>3200</c:v>
                </c:pt>
                <c:pt idx="15">
                  <c:v>3280</c:v>
                </c:pt>
                <c:pt idx="16">
                  <c:v>3392</c:v>
                </c:pt>
                <c:pt idx="17">
                  <c:v>3392</c:v>
                </c:pt>
                <c:pt idx="18">
                  <c:v>5600</c:v>
                </c:pt>
              </c:numCache>
            </c:numRef>
          </c:val>
          <c:smooth val="0"/>
          <c:extLst>
            <c:ext xmlns:c16="http://schemas.microsoft.com/office/drawing/2014/chart" uri="{C3380CC4-5D6E-409C-BE32-E72D297353CC}">
              <c16:uniqueId val="{00000000-F5E7-46C6-9029-409323F449A5}"/>
            </c:ext>
          </c:extLst>
        </c:ser>
        <c:ser>
          <c:idx val="1"/>
          <c:order val="1"/>
          <c:tx>
            <c:strRef>
              <c:f>'Fig 4.6 and 4.7'!$C$2</c:f>
              <c:strCache>
                <c:ptCount val="1"/>
                <c:pt idx="0">
                  <c:v>Producer price (US$/MT)</c:v>
                </c:pt>
              </c:strCache>
            </c:strRef>
          </c:tx>
          <c:spPr>
            <a:ln w="28575" cap="rnd">
              <a:solidFill>
                <a:schemeClr val="accent2"/>
              </a:solidFill>
              <a:prstDash val="dash"/>
              <a:round/>
            </a:ln>
            <a:effectLst/>
          </c:spPr>
          <c:marker>
            <c:symbol val="none"/>
          </c:marker>
          <c:cat>
            <c:strRef>
              <c:f>'Fig 4.6 and 4.7'!$A$4:$A$22</c:f>
              <c:strCache>
                <c:ptCount val="19"/>
                <c:pt idx="0">
                  <c:v>1996/97</c:v>
                </c:pt>
                <c:pt idx="1">
                  <c:v>1997/98</c:v>
                </c:pt>
                <c:pt idx="2">
                  <c:v>1998/99</c:v>
                </c:pt>
                <c:pt idx="3">
                  <c:v>1999/2000</c:v>
                </c:pt>
                <c:pt idx="4">
                  <c:v>2000/01</c:v>
                </c:pt>
                <c:pt idx="5">
                  <c:v>2001/02</c:v>
                </c:pt>
                <c:pt idx="6">
                  <c:v>2002/03</c:v>
                </c:pt>
                <c:pt idx="7">
                  <c:v>2003/04</c:v>
                </c:pt>
                <c:pt idx="8">
                  <c:v>2004/05</c:v>
                </c:pt>
                <c:pt idx="9">
                  <c:v>2005/06</c:v>
                </c:pt>
                <c:pt idx="10">
                  <c:v>2006/07</c:v>
                </c:pt>
                <c:pt idx="11">
                  <c:v>2007/08</c:v>
                </c:pt>
                <c:pt idx="12">
                  <c:v>2008/09</c:v>
                </c:pt>
                <c:pt idx="13">
                  <c:v>2009/10</c:v>
                </c:pt>
                <c:pt idx="14">
                  <c:v>2010/11</c:v>
                </c:pt>
                <c:pt idx="15">
                  <c:v>2011/12</c:v>
                </c:pt>
                <c:pt idx="16">
                  <c:v>2012/13</c:v>
                </c:pt>
                <c:pt idx="17">
                  <c:v>2013/14</c:v>
                </c:pt>
                <c:pt idx="18">
                  <c:v>2014/15</c:v>
                </c:pt>
              </c:strCache>
            </c:strRef>
          </c:cat>
          <c:val>
            <c:numRef>
              <c:f>'Fig 4.6 and 4.7'!$C$4:$C$22</c:f>
              <c:numCache>
                <c:formatCode>0</c:formatCode>
                <c:ptCount val="19"/>
                <c:pt idx="0">
                  <c:v>631.57894736842104</c:v>
                </c:pt>
                <c:pt idx="1">
                  <c:v>782.60869565217399</c:v>
                </c:pt>
                <c:pt idx="2">
                  <c:v>978.26086956521738</c:v>
                </c:pt>
                <c:pt idx="3">
                  <c:v>511.36363636363637</c:v>
                </c:pt>
                <c:pt idx="4">
                  <c:v>496.42857142857048</c:v>
                </c:pt>
                <c:pt idx="5">
                  <c:v>861.1111111111112</c:v>
                </c:pt>
                <c:pt idx="6">
                  <c:v>1024.0963855421701</c:v>
                </c:pt>
                <c:pt idx="7">
                  <c:v>1034.48275862069</c:v>
                </c:pt>
                <c:pt idx="8">
                  <c:v>1000</c:v>
                </c:pt>
                <c:pt idx="9">
                  <c:v>989.01098901098896</c:v>
                </c:pt>
                <c:pt idx="10">
                  <c:v>1005.494505494505</c:v>
                </c:pt>
                <c:pt idx="11">
                  <c:v>1224.489795918367</c:v>
                </c:pt>
                <c:pt idx="12">
                  <c:v>1348.760330578511</c:v>
                </c:pt>
                <c:pt idx="13">
                  <c:v>1690.1408450704221</c:v>
                </c:pt>
                <c:pt idx="14">
                  <c:v>2258.2921665490471</c:v>
                </c:pt>
                <c:pt idx="15">
                  <c:v>1832.2998715155579</c:v>
                </c:pt>
                <c:pt idx="16">
                  <c:v>1812.837368392924</c:v>
                </c:pt>
                <c:pt idx="17">
                  <c:v>1630.7692307692309</c:v>
                </c:pt>
                <c:pt idx="18">
                  <c:v>1750</c:v>
                </c:pt>
              </c:numCache>
            </c:numRef>
          </c:val>
          <c:smooth val="0"/>
          <c:extLst>
            <c:ext xmlns:c16="http://schemas.microsoft.com/office/drawing/2014/chart" uri="{C3380CC4-5D6E-409C-BE32-E72D297353CC}">
              <c16:uniqueId val="{00000001-F5E7-46C6-9029-409323F449A5}"/>
            </c:ext>
          </c:extLst>
        </c:ser>
        <c:ser>
          <c:idx val="2"/>
          <c:order val="2"/>
          <c:tx>
            <c:strRef>
              <c:f>'Fig 4.6 and 4.7'!$D$2</c:f>
              <c:strCache>
                <c:ptCount val="1"/>
                <c:pt idx="0">
                  <c:v>FOB price (US$/MT)</c:v>
                </c:pt>
              </c:strCache>
            </c:strRef>
          </c:tx>
          <c:spPr>
            <a:ln w="28575" cap="rnd">
              <a:solidFill>
                <a:srgbClr val="21455B"/>
              </a:solidFill>
              <a:prstDash val="sysDash"/>
              <a:round/>
            </a:ln>
            <a:effectLst/>
          </c:spPr>
          <c:marker>
            <c:symbol val="none"/>
          </c:marker>
          <c:cat>
            <c:strRef>
              <c:f>'Fig 4.6 and 4.7'!$A$4:$A$22</c:f>
              <c:strCache>
                <c:ptCount val="19"/>
                <c:pt idx="0">
                  <c:v>1996/97</c:v>
                </c:pt>
                <c:pt idx="1">
                  <c:v>1997/98</c:v>
                </c:pt>
                <c:pt idx="2">
                  <c:v>1998/99</c:v>
                </c:pt>
                <c:pt idx="3">
                  <c:v>1999/2000</c:v>
                </c:pt>
                <c:pt idx="4">
                  <c:v>2000/01</c:v>
                </c:pt>
                <c:pt idx="5">
                  <c:v>2001/02</c:v>
                </c:pt>
                <c:pt idx="6">
                  <c:v>2002/03</c:v>
                </c:pt>
                <c:pt idx="7">
                  <c:v>2003/04</c:v>
                </c:pt>
                <c:pt idx="8">
                  <c:v>2004/05</c:v>
                </c:pt>
                <c:pt idx="9">
                  <c:v>2005/06</c:v>
                </c:pt>
                <c:pt idx="10">
                  <c:v>2006/07</c:v>
                </c:pt>
                <c:pt idx="11">
                  <c:v>2007/08</c:v>
                </c:pt>
                <c:pt idx="12">
                  <c:v>2008/09</c:v>
                </c:pt>
                <c:pt idx="13">
                  <c:v>2009/10</c:v>
                </c:pt>
                <c:pt idx="14">
                  <c:v>2010/11</c:v>
                </c:pt>
                <c:pt idx="15">
                  <c:v>2011/12</c:v>
                </c:pt>
                <c:pt idx="16">
                  <c:v>2012/13</c:v>
                </c:pt>
                <c:pt idx="17">
                  <c:v>2013/14</c:v>
                </c:pt>
                <c:pt idx="18">
                  <c:v>2014/15</c:v>
                </c:pt>
              </c:strCache>
            </c:strRef>
          </c:cat>
          <c:val>
            <c:numRef>
              <c:f>'Fig 4.6 and 4.7'!$D$4:$D$22</c:f>
              <c:numCache>
                <c:formatCode>0</c:formatCode>
                <c:ptCount val="19"/>
                <c:pt idx="0">
                  <c:v>1459.53</c:v>
                </c:pt>
                <c:pt idx="1">
                  <c:v>1661.91</c:v>
                </c:pt>
                <c:pt idx="2">
                  <c:v>1490.2</c:v>
                </c:pt>
                <c:pt idx="3">
                  <c:v>1126.0999999999999</c:v>
                </c:pt>
                <c:pt idx="4">
                  <c:v>978.15</c:v>
                </c:pt>
                <c:pt idx="5">
                  <c:v>1160</c:v>
                </c:pt>
                <c:pt idx="6">
                  <c:v>1901.96</c:v>
                </c:pt>
                <c:pt idx="7">
                  <c:v>1623.73</c:v>
                </c:pt>
                <c:pt idx="8">
                  <c:v>1520.32</c:v>
                </c:pt>
                <c:pt idx="9">
                  <c:v>1487.18</c:v>
                </c:pt>
                <c:pt idx="10">
                  <c:v>1790</c:v>
                </c:pt>
                <c:pt idx="11">
                  <c:v>2103.69</c:v>
                </c:pt>
                <c:pt idx="12">
                  <c:v>2402</c:v>
                </c:pt>
                <c:pt idx="13">
                  <c:v>2927.5</c:v>
                </c:pt>
                <c:pt idx="14">
                  <c:v>3294</c:v>
                </c:pt>
                <c:pt idx="15">
                  <c:v>2918</c:v>
                </c:pt>
                <c:pt idx="16">
                  <c:v>2383.0300000000002</c:v>
                </c:pt>
                <c:pt idx="17">
                  <c:v>2434.91</c:v>
                </c:pt>
                <c:pt idx="18">
                  <c:v>2760</c:v>
                </c:pt>
              </c:numCache>
            </c:numRef>
          </c:val>
          <c:smooth val="0"/>
          <c:extLst>
            <c:ext xmlns:c16="http://schemas.microsoft.com/office/drawing/2014/chart" uri="{C3380CC4-5D6E-409C-BE32-E72D297353CC}">
              <c16:uniqueId val="{00000002-F5E7-46C6-9029-409323F449A5}"/>
            </c:ext>
          </c:extLst>
        </c:ser>
        <c:dLbls>
          <c:showLegendKey val="0"/>
          <c:showVal val="0"/>
          <c:showCatName val="0"/>
          <c:showSerName val="0"/>
          <c:showPercent val="0"/>
          <c:showBubbleSize val="0"/>
        </c:dLbls>
        <c:smooth val="0"/>
        <c:axId val="-1463499312"/>
        <c:axId val="-1463496576"/>
      </c:lineChart>
      <c:catAx>
        <c:axId val="-146349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63496576"/>
        <c:crosses val="autoZero"/>
        <c:auto val="1"/>
        <c:lblAlgn val="ctr"/>
        <c:lblOffset val="100"/>
        <c:noMultiLvlLbl val="0"/>
      </c:catAx>
      <c:valAx>
        <c:axId val="-1463496576"/>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63499312"/>
        <c:crosses val="autoZero"/>
        <c:crossBetween val="between"/>
      </c:valAx>
      <c:spPr>
        <a:noFill/>
        <a:ln>
          <a:noFill/>
        </a:ln>
        <a:effectLst/>
      </c:spPr>
    </c:plotArea>
    <c:legend>
      <c:legendPos val="b"/>
      <c:layout>
        <c:manualLayout>
          <c:xMode val="edge"/>
          <c:yMode val="edge"/>
          <c:x val="0.14897500557528301"/>
          <c:y val="6.5734862726934198E-2"/>
          <c:w val="0.59311752697579501"/>
          <c:h val="0.2606780553814859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21455B"/>
            </a:solidFill>
            <a:ln>
              <a:noFill/>
            </a:ln>
            <a:effectLst/>
          </c:spPr>
          <c:invertIfNegative val="0"/>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rgbClr val="DE6E4B"/>
                </a:solidFill>
                <a:prstDash val="sysDot"/>
              </a:ln>
              <a:effectLst/>
            </c:spPr>
            <c:trendlineType val="linear"/>
            <c:dispRSqr val="0"/>
            <c:dispEq val="1"/>
            <c:trendlineLbl>
              <c:layout>
                <c:manualLayout>
                  <c:x val="-0.106697944006999"/>
                  <c:y val="-4.641996542241089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strRef>
              <c:f>'Fig 4.6 and 4.7'!$A$25:$A$43</c:f>
              <c:strCache>
                <c:ptCount val="19"/>
                <c:pt idx="0">
                  <c:v>1996/97</c:v>
                </c:pt>
                <c:pt idx="1">
                  <c:v>1997/98</c:v>
                </c:pt>
                <c:pt idx="2">
                  <c:v>1998/99</c:v>
                </c:pt>
                <c:pt idx="3">
                  <c:v>1999/2000</c:v>
                </c:pt>
                <c:pt idx="4">
                  <c:v>2000/01</c:v>
                </c:pt>
                <c:pt idx="5">
                  <c:v>2001/02</c:v>
                </c:pt>
                <c:pt idx="6">
                  <c:v>2002/03</c:v>
                </c:pt>
                <c:pt idx="7">
                  <c:v>2003/04</c:v>
                </c:pt>
                <c:pt idx="8">
                  <c:v>2004/05</c:v>
                </c:pt>
                <c:pt idx="9">
                  <c:v>2005/06</c:v>
                </c:pt>
                <c:pt idx="10">
                  <c:v>2006/07</c:v>
                </c:pt>
                <c:pt idx="11">
                  <c:v>2007/08</c:v>
                </c:pt>
                <c:pt idx="12">
                  <c:v>2008/09</c:v>
                </c:pt>
                <c:pt idx="13">
                  <c:v>2009/10</c:v>
                </c:pt>
                <c:pt idx="14">
                  <c:v>2010/11</c:v>
                </c:pt>
                <c:pt idx="15">
                  <c:v>2011/12</c:v>
                </c:pt>
                <c:pt idx="16">
                  <c:v>2012/13</c:v>
                </c:pt>
                <c:pt idx="17">
                  <c:v>2013/14</c:v>
                </c:pt>
                <c:pt idx="18">
                  <c:v>2014/15</c:v>
                </c:pt>
              </c:strCache>
            </c:strRef>
          </c:cat>
          <c:val>
            <c:numRef>
              <c:f>'Fig 4.6 and 4.7'!$C$25:$C$43</c:f>
              <c:numCache>
                <c:formatCode>0.00</c:formatCode>
                <c:ptCount val="19"/>
                <c:pt idx="0">
                  <c:v>0.432727622843259</c:v>
                </c:pt>
                <c:pt idx="1">
                  <c:v>0.47090919222591698</c:v>
                </c:pt>
                <c:pt idx="2">
                  <c:v>0.65646280335875495</c:v>
                </c:pt>
                <c:pt idx="3">
                  <c:v>0.45410144424441601</c:v>
                </c:pt>
                <c:pt idx="4">
                  <c:v>0.50751783614841395</c:v>
                </c:pt>
                <c:pt idx="5">
                  <c:v>0.74233716475095801</c:v>
                </c:pt>
                <c:pt idx="6">
                  <c:v>0.53844265155006898</c:v>
                </c:pt>
                <c:pt idx="7">
                  <c:v>0.637102694795742</c:v>
                </c:pt>
                <c:pt idx="8">
                  <c:v>0.657756261839613</c:v>
                </c:pt>
                <c:pt idx="9">
                  <c:v>0.66502440122311302</c:v>
                </c:pt>
                <c:pt idx="10">
                  <c:v>0.56172877401927701</c:v>
                </c:pt>
                <c:pt idx="11">
                  <c:v>0.58206760307762395</c:v>
                </c:pt>
                <c:pt idx="12">
                  <c:v>0.56151554145649996</c:v>
                </c:pt>
                <c:pt idx="13">
                  <c:v>0.57733248337162202</c:v>
                </c:pt>
                <c:pt idx="14">
                  <c:v>0.68557746404039099</c:v>
                </c:pt>
                <c:pt idx="15">
                  <c:v>0.62793004507044503</c:v>
                </c:pt>
                <c:pt idx="16">
                  <c:v>0.76072788357382204</c:v>
                </c:pt>
                <c:pt idx="17">
                  <c:v>0.66974517775574105</c:v>
                </c:pt>
                <c:pt idx="18">
                  <c:v>0.63405797101449302</c:v>
                </c:pt>
              </c:numCache>
            </c:numRef>
          </c:val>
          <c:extLst>
            <c:ext xmlns:c16="http://schemas.microsoft.com/office/drawing/2014/chart" uri="{C3380CC4-5D6E-409C-BE32-E72D297353CC}">
              <c16:uniqueId val="{00000003-6471-4DF1-95A7-AAEA50108A0B}"/>
            </c:ext>
          </c:extLst>
        </c:ser>
        <c:dLbls>
          <c:showLegendKey val="0"/>
          <c:showVal val="0"/>
          <c:showCatName val="0"/>
          <c:showSerName val="0"/>
          <c:showPercent val="0"/>
          <c:showBubbleSize val="0"/>
        </c:dLbls>
        <c:gapWidth val="219"/>
        <c:overlap val="-27"/>
        <c:axId val="-1424135088"/>
        <c:axId val="-1424132768"/>
      </c:barChart>
      <c:catAx>
        <c:axId val="-142413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24132768"/>
        <c:crosses val="autoZero"/>
        <c:auto val="1"/>
        <c:lblAlgn val="ctr"/>
        <c:lblOffset val="100"/>
        <c:noMultiLvlLbl val="0"/>
      </c:catAx>
      <c:valAx>
        <c:axId val="-1424132768"/>
        <c:scaling>
          <c:orientation val="minMax"/>
        </c:scaling>
        <c:delete val="0"/>
        <c:axPos val="l"/>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41350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ltHorz">
              <a:fgClr>
                <a:srgbClr val="7A6563"/>
              </a:fgClr>
              <a:bgClr>
                <a:schemeClr val="bg1"/>
              </a:bgClr>
            </a:pattFill>
            <a:ln>
              <a:solidFill>
                <a:srgbClr val="7A6563"/>
              </a:solidFill>
            </a:ln>
            <a:effectLst/>
          </c:spPr>
          <c:invertIfNegative val="0"/>
          <c:dPt>
            <c:idx val="2"/>
            <c:invertIfNegative val="0"/>
            <c:bubble3D val="0"/>
            <c:spPr>
              <a:pattFill prst="ltHorz">
                <a:fgClr>
                  <a:srgbClr val="7A6563"/>
                </a:fgClr>
                <a:bgClr>
                  <a:schemeClr val="bg1"/>
                </a:bgClr>
              </a:pattFill>
              <a:ln>
                <a:solidFill>
                  <a:srgbClr val="7A6563"/>
                </a:solidFill>
              </a:ln>
              <a:effectLst/>
            </c:spPr>
            <c:extLst>
              <c:ext xmlns:c16="http://schemas.microsoft.com/office/drawing/2014/chart" uri="{C3380CC4-5D6E-409C-BE32-E72D297353CC}">
                <c16:uniqueId val="{00000001-D11F-4854-929E-4B9CBE54B9B0}"/>
              </c:ext>
            </c:extLst>
          </c:dPt>
          <c:dPt>
            <c:idx val="5"/>
            <c:invertIfNegative val="0"/>
            <c:bubble3D val="0"/>
            <c:spPr>
              <a:solidFill>
                <a:srgbClr val="DE6E4B"/>
              </a:solidFill>
              <a:ln>
                <a:solidFill>
                  <a:srgbClr val="7A6563"/>
                </a:solidFill>
              </a:ln>
              <a:effectLst/>
            </c:spPr>
            <c:extLst>
              <c:ext xmlns:c16="http://schemas.microsoft.com/office/drawing/2014/chart" uri="{C3380CC4-5D6E-409C-BE32-E72D297353CC}">
                <c16:uniqueId val="{00000003-D11F-4854-929E-4B9CBE54B9B0}"/>
              </c:ext>
            </c:extLst>
          </c:dPt>
          <c:cat>
            <c:strRef>
              <c:f>'Fig 6.3'!$J$3:$J$22</c:f>
              <c:strCache>
                <c:ptCount val="20"/>
                <c:pt idx="0">
                  <c:v>Togo</c:v>
                </c:pt>
                <c:pt idx="1">
                  <c:v>Congo</c:v>
                </c:pt>
                <c:pt idx="2">
                  <c:v>Burundi</c:v>
                </c:pt>
                <c:pt idx="3">
                  <c:v>Côte d'Ivoire</c:v>
                </c:pt>
                <c:pt idx="4">
                  <c:v>Cameroon</c:v>
                </c:pt>
                <c:pt idx="5">
                  <c:v>Ghana</c:v>
                </c:pt>
                <c:pt idx="6">
                  <c:v>Sierra Leone</c:v>
                </c:pt>
                <c:pt idx="7">
                  <c:v>Benin</c:v>
                </c:pt>
                <c:pt idx="8">
                  <c:v>Malawi</c:v>
                </c:pt>
                <c:pt idx="9">
                  <c:v>Seychelles</c:v>
                </c:pt>
                <c:pt idx="10">
                  <c:v>Madagascar</c:v>
                </c:pt>
                <c:pt idx="11">
                  <c:v>South Africa</c:v>
                </c:pt>
                <c:pt idx="12">
                  <c:v>Uganda</c:v>
                </c:pt>
                <c:pt idx="13">
                  <c:v>Niger</c:v>
                </c:pt>
                <c:pt idx="14">
                  <c:v>Guinea</c:v>
                </c:pt>
                <c:pt idx="15">
                  <c:v>Mozambique</c:v>
                </c:pt>
                <c:pt idx="16">
                  <c:v>Rwanda</c:v>
                </c:pt>
                <c:pt idx="17">
                  <c:v>Gambia</c:v>
                </c:pt>
                <c:pt idx="18">
                  <c:v>Guinea-Bissau</c:v>
                </c:pt>
                <c:pt idx="19">
                  <c:v>Ethiopia</c:v>
                </c:pt>
              </c:strCache>
            </c:strRef>
          </c:cat>
          <c:val>
            <c:numRef>
              <c:f>'Fig 6.3'!$K$3:$K$22</c:f>
              <c:numCache>
                <c:formatCode>General</c:formatCode>
                <c:ptCount val="20"/>
                <c:pt idx="0">
                  <c:v>86.557270000000003</c:v>
                </c:pt>
                <c:pt idx="1">
                  <c:v>81.391019999999997</c:v>
                </c:pt>
                <c:pt idx="2">
                  <c:v>77.586150000000004</c:v>
                </c:pt>
                <c:pt idx="3">
                  <c:v>77.514049999999997</c:v>
                </c:pt>
                <c:pt idx="4">
                  <c:v>75.731260000000006</c:v>
                </c:pt>
                <c:pt idx="5">
                  <c:v>74.56</c:v>
                </c:pt>
                <c:pt idx="6">
                  <c:v>74.319509999999994</c:v>
                </c:pt>
                <c:pt idx="7">
                  <c:v>73.507499999999993</c:v>
                </c:pt>
                <c:pt idx="8">
                  <c:v>71.691670000000002</c:v>
                </c:pt>
                <c:pt idx="9">
                  <c:v>71.304490000000001</c:v>
                </c:pt>
                <c:pt idx="10">
                  <c:v>67.377339999999947</c:v>
                </c:pt>
                <c:pt idx="11">
                  <c:v>67.187169999999995</c:v>
                </c:pt>
                <c:pt idx="12">
                  <c:v>66.482560000000007</c:v>
                </c:pt>
                <c:pt idx="13">
                  <c:v>59.146600000000007</c:v>
                </c:pt>
                <c:pt idx="14">
                  <c:v>58.735520000000001</c:v>
                </c:pt>
                <c:pt idx="15">
                  <c:v>58.548270000000002</c:v>
                </c:pt>
                <c:pt idx="16">
                  <c:v>54.773049999999998</c:v>
                </c:pt>
                <c:pt idx="17">
                  <c:v>50.41724</c:v>
                </c:pt>
                <c:pt idx="18">
                  <c:v>48.294049999999999</c:v>
                </c:pt>
                <c:pt idx="19">
                  <c:v>44.179310000000001</c:v>
                </c:pt>
              </c:numCache>
            </c:numRef>
          </c:val>
          <c:extLst>
            <c:ext xmlns:c16="http://schemas.microsoft.com/office/drawing/2014/chart" uri="{C3380CC4-5D6E-409C-BE32-E72D297353CC}">
              <c16:uniqueId val="{00000004-D11F-4854-929E-4B9CBE54B9B0}"/>
            </c:ext>
          </c:extLst>
        </c:ser>
        <c:dLbls>
          <c:showLegendKey val="0"/>
          <c:showVal val="0"/>
          <c:showCatName val="0"/>
          <c:showSerName val="0"/>
          <c:showPercent val="0"/>
          <c:showBubbleSize val="0"/>
        </c:dLbls>
        <c:gapWidth val="219"/>
        <c:overlap val="-27"/>
        <c:axId val="-1422916160"/>
        <c:axId val="-1422914112"/>
      </c:barChart>
      <c:catAx>
        <c:axId val="-142291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422914112"/>
        <c:crosses val="autoZero"/>
        <c:auto val="1"/>
        <c:lblAlgn val="ctr"/>
        <c:lblOffset val="100"/>
        <c:noMultiLvlLbl val="0"/>
      </c:catAx>
      <c:valAx>
        <c:axId val="-14229141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422916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 6.4'!$K$4</c:f>
              <c:strCache>
                <c:ptCount val="1"/>
                <c:pt idx="0">
                  <c:v>ratio</c:v>
                </c:pt>
              </c:strCache>
            </c:strRef>
          </c:tx>
          <c:spPr>
            <a:pattFill prst="ltHorz">
              <a:fgClr>
                <a:srgbClr val="7A6563"/>
              </a:fgClr>
              <a:bgClr>
                <a:schemeClr val="bg1"/>
              </a:bgClr>
            </a:pattFill>
            <a:ln>
              <a:solidFill>
                <a:schemeClr val="accent1"/>
              </a:solidFill>
            </a:ln>
            <a:effectLst/>
          </c:spPr>
          <c:invertIfNegative val="0"/>
          <c:dPt>
            <c:idx val="5"/>
            <c:invertIfNegative val="0"/>
            <c:bubble3D val="0"/>
            <c:spPr>
              <a:solidFill>
                <a:srgbClr val="DE6E4B"/>
              </a:solidFill>
              <a:ln>
                <a:solidFill>
                  <a:srgbClr val="DE6E4B"/>
                </a:solidFill>
              </a:ln>
              <a:effectLst/>
            </c:spPr>
            <c:extLst>
              <c:ext xmlns:c16="http://schemas.microsoft.com/office/drawing/2014/chart" uri="{C3380CC4-5D6E-409C-BE32-E72D297353CC}">
                <c16:uniqueId val="{00000001-8D6F-49BF-A779-500ABBB37BFE}"/>
              </c:ext>
            </c:extLst>
          </c:dPt>
          <c:cat>
            <c:strRef>
              <c:f>'Fig 6.4'!$J$5:$J$28</c:f>
              <c:strCache>
                <c:ptCount val="24"/>
                <c:pt idx="0">
                  <c:v>Malawi</c:v>
                </c:pt>
                <c:pt idx="1">
                  <c:v>Seychelles</c:v>
                </c:pt>
                <c:pt idx="2">
                  <c:v>Chad</c:v>
                </c:pt>
                <c:pt idx="3">
                  <c:v>Burundi</c:v>
                </c:pt>
                <c:pt idx="4">
                  <c:v>Niger</c:v>
                </c:pt>
                <c:pt idx="5">
                  <c:v>Ghana</c:v>
                </c:pt>
                <c:pt idx="6">
                  <c:v>Madagascar</c:v>
                </c:pt>
                <c:pt idx="7">
                  <c:v>Rwanda</c:v>
                </c:pt>
                <c:pt idx="8">
                  <c:v>Guinea</c:v>
                </c:pt>
                <c:pt idx="9">
                  <c:v>Uganda</c:v>
                </c:pt>
                <c:pt idx="10">
                  <c:v>Burkina Faso</c:v>
                </c:pt>
                <c:pt idx="11">
                  <c:v>Mozambique</c:v>
                </c:pt>
                <c:pt idx="12">
                  <c:v>Senegal</c:v>
                </c:pt>
                <c:pt idx="13">
                  <c:v>Congo, Dem. Rep.</c:v>
                </c:pt>
                <c:pt idx="14">
                  <c:v>Mali</c:v>
                </c:pt>
                <c:pt idx="15">
                  <c:v>Mauritania</c:v>
                </c:pt>
                <c:pt idx="16">
                  <c:v>Togo</c:v>
                </c:pt>
                <c:pt idx="17">
                  <c:v>Cameroon</c:v>
                </c:pt>
                <c:pt idx="18">
                  <c:v>Benin</c:v>
                </c:pt>
                <c:pt idx="19">
                  <c:v>Sao Tome and Principe</c:v>
                </c:pt>
                <c:pt idx="20">
                  <c:v>Comoros</c:v>
                </c:pt>
                <c:pt idx="21">
                  <c:v>South Africa</c:v>
                </c:pt>
                <c:pt idx="22">
                  <c:v>Cabo Verde</c:v>
                </c:pt>
                <c:pt idx="23">
                  <c:v>Mauritius</c:v>
                </c:pt>
              </c:strCache>
            </c:strRef>
          </c:cat>
          <c:val>
            <c:numRef>
              <c:f>'Fig 6.4'!$K$5:$K$28</c:f>
              <c:numCache>
                <c:formatCode>General</c:formatCode>
                <c:ptCount val="24"/>
                <c:pt idx="0">
                  <c:v>125.74133067382149</c:v>
                </c:pt>
                <c:pt idx="1">
                  <c:v>62.431797173209773</c:v>
                </c:pt>
                <c:pt idx="2">
                  <c:v>31.71639773116382</c:v>
                </c:pt>
                <c:pt idx="3">
                  <c:v>23.88410040620003</c:v>
                </c:pt>
                <c:pt idx="4">
                  <c:v>20.167614392714029</c:v>
                </c:pt>
                <c:pt idx="5">
                  <c:v>19</c:v>
                </c:pt>
                <c:pt idx="6">
                  <c:v>15.661950040184569</c:v>
                </c:pt>
                <c:pt idx="7">
                  <c:v>14.50556448051433</c:v>
                </c:pt>
                <c:pt idx="8">
                  <c:v>13.13603332015596</c:v>
                </c:pt>
                <c:pt idx="9">
                  <c:v>12.33778099941585</c:v>
                </c:pt>
                <c:pt idx="10">
                  <c:v>12.062215738785021</c:v>
                </c:pt>
                <c:pt idx="11">
                  <c:v>11.996294088774</c:v>
                </c:pt>
                <c:pt idx="12">
                  <c:v>11.405236132016221</c:v>
                </c:pt>
                <c:pt idx="13">
                  <c:v>10.1387979760293</c:v>
                </c:pt>
                <c:pt idx="14">
                  <c:v>9.3168484282222241</c:v>
                </c:pt>
                <c:pt idx="15">
                  <c:v>7.9238517848679848</c:v>
                </c:pt>
                <c:pt idx="16">
                  <c:v>7.8163054819357782</c:v>
                </c:pt>
                <c:pt idx="17">
                  <c:v>6.4687623161772896</c:v>
                </c:pt>
                <c:pt idx="18">
                  <c:v>6.2531420167612746</c:v>
                </c:pt>
                <c:pt idx="19">
                  <c:v>3.531429773578254</c:v>
                </c:pt>
                <c:pt idx="20">
                  <c:v>2.8577213312415521</c:v>
                </c:pt>
                <c:pt idx="21">
                  <c:v>2.1423968080993281</c:v>
                </c:pt>
                <c:pt idx="22">
                  <c:v>2.135785202633393</c:v>
                </c:pt>
                <c:pt idx="23">
                  <c:v>0.81119829508710795</c:v>
                </c:pt>
              </c:numCache>
            </c:numRef>
          </c:val>
          <c:extLst>
            <c:ext xmlns:c16="http://schemas.microsoft.com/office/drawing/2014/chart" uri="{C3380CC4-5D6E-409C-BE32-E72D297353CC}">
              <c16:uniqueId val="{00000002-8D6F-49BF-A779-500ABBB37BFE}"/>
            </c:ext>
          </c:extLst>
        </c:ser>
        <c:dLbls>
          <c:showLegendKey val="0"/>
          <c:showVal val="0"/>
          <c:showCatName val="0"/>
          <c:showSerName val="0"/>
          <c:showPercent val="0"/>
          <c:showBubbleSize val="0"/>
        </c:dLbls>
        <c:gapWidth val="219"/>
        <c:overlap val="-27"/>
        <c:axId val="-1462992112"/>
        <c:axId val="-1466772000"/>
      </c:barChart>
      <c:catAx>
        <c:axId val="-146299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466772000"/>
        <c:crosses val="autoZero"/>
        <c:auto val="1"/>
        <c:lblAlgn val="ctr"/>
        <c:lblOffset val="100"/>
        <c:noMultiLvlLbl val="0"/>
      </c:catAx>
      <c:valAx>
        <c:axId val="-14667720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4629921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 6.5'!$B$17</c:f>
              <c:strCache>
                <c:ptCount val="1"/>
                <c:pt idx="0">
                  <c:v>KG</c:v>
                </c:pt>
              </c:strCache>
            </c:strRef>
          </c:tx>
          <c:spPr>
            <a:ln w="28575" cap="rnd">
              <a:solidFill>
                <a:srgbClr val="DE6E4B"/>
              </a:solidFill>
              <a:round/>
            </a:ln>
            <a:effectLst/>
          </c:spPr>
          <c:marker>
            <c:symbol val="none"/>
          </c:marker>
          <c:cat>
            <c:strRef>
              <c:f>'Fig 6.5'!$C$16:$H$16</c:f>
              <c:strCache>
                <c:ptCount val="6"/>
                <c:pt idx="0">
                  <c:v>2010/11</c:v>
                </c:pt>
                <c:pt idx="1">
                  <c:v>2011/12</c:v>
                </c:pt>
                <c:pt idx="2">
                  <c:v>2012/13</c:v>
                </c:pt>
                <c:pt idx="3">
                  <c:v>1013/14</c:v>
                </c:pt>
                <c:pt idx="4">
                  <c:v>2014/15</c:v>
                </c:pt>
                <c:pt idx="5">
                  <c:v>2015/16</c:v>
                </c:pt>
              </c:strCache>
            </c:strRef>
          </c:cat>
          <c:val>
            <c:numRef>
              <c:f>'Fig 6.5'!$C$17:$H$17</c:f>
              <c:numCache>
                <c:formatCode>General</c:formatCode>
                <c:ptCount val="6"/>
                <c:pt idx="0">
                  <c:v>20.8</c:v>
                </c:pt>
                <c:pt idx="1">
                  <c:v>22.2</c:v>
                </c:pt>
                <c:pt idx="2">
                  <c:v>23.6</c:v>
                </c:pt>
                <c:pt idx="3">
                  <c:v>24.6</c:v>
                </c:pt>
                <c:pt idx="4">
                  <c:v>27.2</c:v>
                </c:pt>
                <c:pt idx="5">
                  <c:v>27.3</c:v>
                </c:pt>
              </c:numCache>
            </c:numRef>
          </c:val>
          <c:smooth val="1"/>
          <c:extLst>
            <c:ext xmlns:c16="http://schemas.microsoft.com/office/drawing/2014/chart" uri="{C3380CC4-5D6E-409C-BE32-E72D297353CC}">
              <c16:uniqueId val="{00000000-2C49-4794-ACC3-0BE8EFF86325}"/>
            </c:ext>
          </c:extLst>
        </c:ser>
        <c:ser>
          <c:idx val="1"/>
          <c:order val="1"/>
          <c:tx>
            <c:strRef>
              <c:f>'Fig 6.5'!$B$18</c:f>
              <c:strCache>
                <c:ptCount val="1"/>
                <c:pt idx="0">
                  <c:v>Primary</c:v>
                </c:pt>
              </c:strCache>
            </c:strRef>
          </c:tx>
          <c:spPr>
            <a:ln w="28575" cap="rnd">
              <a:solidFill>
                <a:srgbClr val="7A6563"/>
              </a:solidFill>
              <a:prstDash val="dash"/>
              <a:round/>
            </a:ln>
            <a:effectLst/>
          </c:spPr>
          <c:marker>
            <c:symbol val="none"/>
          </c:marker>
          <c:cat>
            <c:strRef>
              <c:f>'Fig 6.5'!$C$16:$H$16</c:f>
              <c:strCache>
                <c:ptCount val="6"/>
                <c:pt idx="0">
                  <c:v>2010/11</c:v>
                </c:pt>
                <c:pt idx="1">
                  <c:v>2011/12</c:v>
                </c:pt>
                <c:pt idx="2">
                  <c:v>2012/13</c:v>
                </c:pt>
                <c:pt idx="3">
                  <c:v>1013/14</c:v>
                </c:pt>
                <c:pt idx="4">
                  <c:v>2014/15</c:v>
                </c:pt>
                <c:pt idx="5">
                  <c:v>2015/16</c:v>
                </c:pt>
              </c:strCache>
            </c:strRef>
          </c:cat>
          <c:val>
            <c:numRef>
              <c:f>'Fig 6.5'!$C$18:$H$18</c:f>
              <c:numCache>
                <c:formatCode>General</c:formatCode>
                <c:ptCount val="6"/>
                <c:pt idx="0">
                  <c:v>19.3</c:v>
                </c:pt>
                <c:pt idx="1">
                  <c:v>22.1</c:v>
                </c:pt>
                <c:pt idx="2">
                  <c:v>23.1</c:v>
                </c:pt>
                <c:pt idx="3">
                  <c:v>23.2</c:v>
                </c:pt>
                <c:pt idx="4">
                  <c:v>25.3</c:v>
                </c:pt>
                <c:pt idx="5">
                  <c:v>25.3</c:v>
                </c:pt>
              </c:numCache>
            </c:numRef>
          </c:val>
          <c:smooth val="1"/>
          <c:extLst>
            <c:ext xmlns:c16="http://schemas.microsoft.com/office/drawing/2014/chart" uri="{C3380CC4-5D6E-409C-BE32-E72D297353CC}">
              <c16:uniqueId val="{00000001-2C49-4794-ACC3-0BE8EFF86325}"/>
            </c:ext>
          </c:extLst>
        </c:ser>
        <c:ser>
          <c:idx val="2"/>
          <c:order val="2"/>
          <c:tx>
            <c:strRef>
              <c:f>'Fig 6.5'!$B$19</c:f>
              <c:strCache>
                <c:ptCount val="1"/>
                <c:pt idx="0">
                  <c:v>JHS</c:v>
                </c:pt>
              </c:strCache>
            </c:strRef>
          </c:tx>
          <c:spPr>
            <a:ln w="28575" cap="rnd">
              <a:solidFill>
                <a:srgbClr val="21455B"/>
              </a:solidFill>
              <a:prstDash val="sysDash"/>
              <a:round/>
            </a:ln>
            <a:effectLst/>
          </c:spPr>
          <c:marker>
            <c:symbol val="none"/>
          </c:marker>
          <c:cat>
            <c:strRef>
              <c:f>'Fig 6.5'!$C$16:$H$16</c:f>
              <c:strCache>
                <c:ptCount val="6"/>
                <c:pt idx="0">
                  <c:v>2010/11</c:v>
                </c:pt>
                <c:pt idx="1">
                  <c:v>2011/12</c:v>
                </c:pt>
                <c:pt idx="2">
                  <c:v>2012/13</c:v>
                </c:pt>
                <c:pt idx="3">
                  <c:v>1013/14</c:v>
                </c:pt>
                <c:pt idx="4">
                  <c:v>2014/15</c:v>
                </c:pt>
                <c:pt idx="5">
                  <c:v>2015/16</c:v>
                </c:pt>
              </c:strCache>
            </c:strRef>
          </c:cat>
          <c:val>
            <c:numRef>
              <c:f>'Fig 6.5'!$C$19:$H$19</c:f>
              <c:numCache>
                <c:formatCode>General</c:formatCode>
                <c:ptCount val="6"/>
                <c:pt idx="0">
                  <c:v>17.600000000000001</c:v>
                </c:pt>
                <c:pt idx="1">
                  <c:v>19</c:v>
                </c:pt>
                <c:pt idx="2">
                  <c:v>20.3</c:v>
                </c:pt>
                <c:pt idx="3">
                  <c:v>20.100000000000001</c:v>
                </c:pt>
                <c:pt idx="4">
                  <c:v>22</c:v>
                </c:pt>
                <c:pt idx="5">
                  <c:v>21.9</c:v>
                </c:pt>
              </c:numCache>
            </c:numRef>
          </c:val>
          <c:smooth val="1"/>
          <c:extLst>
            <c:ext xmlns:c16="http://schemas.microsoft.com/office/drawing/2014/chart" uri="{C3380CC4-5D6E-409C-BE32-E72D297353CC}">
              <c16:uniqueId val="{00000002-2C49-4794-ACC3-0BE8EFF86325}"/>
            </c:ext>
          </c:extLst>
        </c:ser>
        <c:dLbls>
          <c:showLegendKey val="0"/>
          <c:showVal val="0"/>
          <c:showCatName val="0"/>
          <c:showSerName val="0"/>
          <c:showPercent val="0"/>
          <c:showBubbleSize val="0"/>
        </c:dLbls>
        <c:smooth val="0"/>
        <c:axId val="-1463453280"/>
        <c:axId val="-1463450960"/>
      </c:lineChart>
      <c:catAx>
        <c:axId val="-146345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450960"/>
        <c:crosses val="autoZero"/>
        <c:auto val="1"/>
        <c:lblAlgn val="ctr"/>
        <c:lblOffset val="100"/>
        <c:noMultiLvlLbl val="0"/>
      </c:catAx>
      <c:valAx>
        <c:axId val="-1463450960"/>
        <c:scaling>
          <c:orientation val="minMax"/>
          <c:min val="15"/>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45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 6.6'!$B$19</c:f>
              <c:strCache>
                <c:ptCount val="1"/>
                <c:pt idx="0">
                  <c:v>KG </c:v>
                </c:pt>
              </c:strCache>
            </c:strRef>
          </c:tx>
          <c:spPr>
            <a:ln w="28575" cap="rnd">
              <a:solidFill>
                <a:srgbClr val="DE6E4B"/>
              </a:solidFill>
              <a:round/>
            </a:ln>
            <a:effectLst/>
          </c:spPr>
          <c:marker>
            <c:symbol val="none"/>
          </c:marker>
          <c:cat>
            <c:strRef>
              <c:f>'Fig 6.6'!$C$18:$H$18</c:f>
              <c:strCache>
                <c:ptCount val="6"/>
                <c:pt idx="0">
                  <c:v>2010/11 </c:v>
                </c:pt>
                <c:pt idx="1">
                  <c:v>2011/12 </c:v>
                </c:pt>
                <c:pt idx="2">
                  <c:v>2012/13 </c:v>
                </c:pt>
                <c:pt idx="3">
                  <c:v>2013/14 </c:v>
                </c:pt>
                <c:pt idx="4">
                  <c:v>2014/15 </c:v>
                </c:pt>
                <c:pt idx="5">
                  <c:v>2015/16 </c:v>
                </c:pt>
              </c:strCache>
            </c:strRef>
          </c:cat>
          <c:val>
            <c:numRef>
              <c:f>'Fig 6.6'!$C$19:$H$19</c:f>
              <c:numCache>
                <c:formatCode>General</c:formatCode>
                <c:ptCount val="6"/>
                <c:pt idx="0">
                  <c:v>0.98</c:v>
                </c:pt>
                <c:pt idx="1">
                  <c:v>0.98</c:v>
                </c:pt>
                <c:pt idx="2">
                  <c:v>1.03</c:v>
                </c:pt>
                <c:pt idx="3">
                  <c:v>1.01</c:v>
                </c:pt>
                <c:pt idx="4">
                  <c:v>1.04</c:v>
                </c:pt>
                <c:pt idx="5">
                  <c:v>1.01</c:v>
                </c:pt>
              </c:numCache>
            </c:numRef>
          </c:val>
          <c:smooth val="1"/>
          <c:extLst>
            <c:ext xmlns:c16="http://schemas.microsoft.com/office/drawing/2014/chart" uri="{C3380CC4-5D6E-409C-BE32-E72D297353CC}">
              <c16:uniqueId val="{00000000-9B3B-4528-A8ED-08056AF1BB84}"/>
            </c:ext>
          </c:extLst>
        </c:ser>
        <c:ser>
          <c:idx val="1"/>
          <c:order val="1"/>
          <c:tx>
            <c:strRef>
              <c:f>'Fig 6.6'!$B$20</c:f>
              <c:strCache>
                <c:ptCount val="1"/>
                <c:pt idx="0">
                  <c:v>Primary </c:v>
                </c:pt>
              </c:strCache>
            </c:strRef>
          </c:tx>
          <c:spPr>
            <a:ln w="28575" cap="rnd">
              <a:solidFill>
                <a:srgbClr val="21455B"/>
              </a:solidFill>
              <a:prstDash val="dash"/>
              <a:round/>
            </a:ln>
            <a:effectLst/>
          </c:spPr>
          <c:marker>
            <c:symbol val="none"/>
          </c:marker>
          <c:cat>
            <c:strRef>
              <c:f>'Fig 6.6'!$C$18:$H$18</c:f>
              <c:strCache>
                <c:ptCount val="6"/>
                <c:pt idx="0">
                  <c:v>2010/11 </c:v>
                </c:pt>
                <c:pt idx="1">
                  <c:v>2011/12 </c:v>
                </c:pt>
                <c:pt idx="2">
                  <c:v>2012/13 </c:v>
                </c:pt>
                <c:pt idx="3">
                  <c:v>2013/14 </c:v>
                </c:pt>
                <c:pt idx="4">
                  <c:v>2014/15 </c:v>
                </c:pt>
                <c:pt idx="5">
                  <c:v>2015/16 </c:v>
                </c:pt>
              </c:strCache>
            </c:strRef>
          </c:cat>
          <c:val>
            <c:numRef>
              <c:f>'Fig 6.6'!$C$20:$H$20</c:f>
              <c:numCache>
                <c:formatCode>General</c:formatCode>
                <c:ptCount val="6"/>
                <c:pt idx="0">
                  <c:v>0.97</c:v>
                </c:pt>
                <c:pt idx="1">
                  <c:v>0.97</c:v>
                </c:pt>
                <c:pt idx="2">
                  <c:v>0.99</c:v>
                </c:pt>
                <c:pt idx="3">
                  <c:v>0.99</c:v>
                </c:pt>
                <c:pt idx="4">
                  <c:v>1</c:v>
                </c:pt>
                <c:pt idx="5">
                  <c:v>1.01</c:v>
                </c:pt>
              </c:numCache>
            </c:numRef>
          </c:val>
          <c:smooth val="1"/>
          <c:extLst>
            <c:ext xmlns:c16="http://schemas.microsoft.com/office/drawing/2014/chart" uri="{C3380CC4-5D6E-409C-BE32-E72D297353CC}">
              <c16:uniqueId val="{00000001-9B3B-4528-A8ED-08056AF1BB84}"/>
            </c:ext>
          </c:extLst>
        </c:ser>
        <c:ser>
          <c:idx val="2"/>
          <c:order val="2"/>
          <c:tx>
            <c:strRef>
              <c:f>'Fig 6.6'!$B$21</c:f>
              <c:strCache>
                <c:ptCount val="1"/>
                <c:pt idx="0">
                  <c:v>JHS </c:v>
                </c:pt>
              </c:strCache>
            </c:strRef>
          </c:tx>
          <c:spPr>
            <a:ln w="28575" cap="rnd">
              <a:solidFill>
                <a:srgbClr val="CACAAA"/>
              </a:solidFill>
              <a:prstDash val="sysDash"/>
              <a:round/>
            </a:ln>
            <a:effectLst/>
          </c:spPr>
          <c:marker>
            <c:symbol val="none"/>
          </c:marker>
          <c:cat>
            <c:strRef>
              <c:f>'Fig 6.6'!$C$18:$H$18</c:f>
              <c:strCache>
                <c:ptCount val="6"/>
                <c:pt idx="0">
                  <c:v>2010/11 </c:v>
                </c:pt>
                <c:pt idx="1">
                  <c:v>2011/12 </c:v>
                </c:pt>
                <c:pt idx="2">
                  <c:v>2012/13 </c:v>
                </c:pt>
                <c:pt idx="3">
                  <c:v>2013/14 </c:v>
                </c:pt>
                <c:pt idx="4">
                  <c:v>2014/15 </c:v>
                </c:pt>
                <c:pt idx="5">
                  <c:v>2015/16 </c:v>
                </c:pt>
              </c:strCache>
            </c:strRef>
          </c:cat>
          <c:val>
            <c:numRef>
              <c:f>'Fig 6.6'!$C$21:$H$21</c:f>
              <c:numCache>
                <c:formatCode>General</c:formatCode>
                <c:ptCount val="6"/>
                <c:pt idx="0">
                  <c:v>0.92</c:v>
                </c:pt>
                <c:pt idx="1">
                  <c:v>0.94</c:v>
                </c:pt>
                <c:pt idx="2">
                  <c:v>0.93</c:v>
                </c:pt>
                <c:pt idx="3">
                  <c:v>0.95</c:v>
                </c:pt>
                <c:pt idx="4">
                  <c:v>0.96</c:v>
                </c:pt>
                <c:pt idx="5">
                  <c:v>0.97</c:v>
                </c:pt>
              </c:numCache>
            </c:numRef>
          </c:val>
          <c:smooth val="1"/>
          <c:extLst>
            <c:ext xmlns:c16="http://schemas.microsoft.com/office/drawing/2014/chart" uri="{C3380CC4-5D6E-409C-BE32-E72D297353CC}">
              <c16:uniqueId val="{00000002-9B3B-4528-A8ED-08056AF1BB84}"/>
            </c:ext>
          </c:extLst>
        </c:ser>
        <c:ser>
          <c:idx val="3"/>
          <c:order val="3"/>
          <c:tx>
            <c:strRef>
              <c:f>'Fig 6.6'!$B$22</c:f>
              <c:strCache>
                <c:ptCount val="1"/>
                <c:pt idx="0">
                  <c:v>SHS</c:v>
                </c:pt>
              </c:strCache>
            </c:strRef>
          </c:tx>
          <c:spPr>
            <a:ln w="28575" cap="rnd">
              <a:solidFill>
                <a:srgbClr val="7A6563"/>
              </a:solidFill>
              <a:prstDash val="sysDot"/>
              <a:round/>
            </a:ln>
            <a:effectLst/>
          </c:spPr>
          <c:marker>
            <c:symbol val="none"/>
          </c:marker>
          <c:cat>
            <c:strRef>
              <c:f>'Fig 6.6'!$C$18:$H$18</c:f>
              <c:strCache>
                <c:ptCount val="6"/>
                <c:pt idx="0">
                  <c:v>2010/11 </c:v>
                </c:pt>
                <c:pt idx="1">
                  <c:v>2011/12 </c:v>
                </c:pt>
                <c:pt idx="2">
                  <c:v>2012/13 </c:v>
                </c:pt>
                <c:pt idx="3">
                  <c:v>2013/14 </c:v>
                </c:pt>
                <c:pt idx="4">
                  <c:v>2014/15 </c:v>
                </c:pt>
                <c:pt idx="5">
                  <c:v>2015/16 </c:v>
                </c:pt>
              </c:strCache>
            </c:strRef>
          </c:cat>
          <c:val>
            <c:numRef>
              <c:f>'Fig 6.6'!$C$22:$H$22</c:f>
              <c:numCache>
                <c:formatCode>General</c:formatCode>
                <c:ptCount val="6"/>
                <c:pt idx="0">
                  <c:v>0.87</c:v>
                </c:pt>
                <c:pt idx="1">
                  <c:v>0.87</c:v>
                </c:pt>
                <c:pt idx="2">
                  <c:v>0.86</c:v>
                </c:pt>
                <c:pt idx="3">
                  <c:v>0.91</c:v>
                </c:pt>
                <c:pt idx="4">
                  <c:v>0.91</c:v>
                </c:pt>
                <c:pt idx="5">
                  <c:v>0.94</c:v>
                </c:pt>
              </c:numCache>
            </c:numRef>
          </c:val>
          <c:smooth val="1"/>
          <c:extLst>
            <c:ext xmlns:c16="http://schemas.microsoft.com/office/drawing/2014/chart" uri="{C3380CC4-5D6E-409C-BE32-E72D297353CC}">
              <c16:uniqueId val="{00000003-9B3B-4528-A8ED-08056AF1BB84}"/>
            </c:ext>
          </c:extLst>
        </c:ser>
        <c:dLbls>
          <c:showLegendKey val="0"/>
          <c:showVal val="0"/>
          <c:showCatName val="0"/>
          <c:showSerName val="0"/>
          <c:showPercent val="0"/>
          <c:showBubbleSize val="0"/>
        </c:dLbls>
        <c:smooth val="0"/>
        <c:axId val="-1463464688"/>
        <c:axId val="-1463462128"/>
      </c:lineChart>
      <c:catAx>
        <c:axId val="-146346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462128"/>
        <c:crosses val="autoZero"/>
        <c:auto val="1"/>
        <c:lblAlgn val="ctr"/>
        <c:lblOffset val="100"/>
        <c:noMultiLvlLbl val="0"/>
      </c:catAx>
      <c:valAx>
        <c:axId val="-1463462128"/>
        <c:scaling>
          <c:orientation val="minMax"/>
          <c:min val="0.6"/>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46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 6.7 graph'!$C$1</c:f>
              <c:strCache>
                <c:ptCount val="1"/>
                <c:pt idx="0">
                  <c:v>Non-deprived district</c:v>
                </c:pt>
              </c:strCache>
            </c:strRef>
          </c:tx>
          <c:spPr>
            <a:solidFill>
              <a:srgbClr val="DE6E4B"/>
            </a:solidFill>
            <a:ln>
              <a:solidFill>
                <a:srgbClr val="7A6563"/>
              </a:solidFill>
            </a:ln>
            <a:effectLst/>
          </c:spPr>
          <c:invertIfNegative val="0"/>
          <c:cat>
            <c:multiLvlStrRef>
              <c:f>'Fig 6.7 graph'!$A$2:$B$11</c:f>
              <c:multiLvlStrCache>
                <c:ptCount val="10"/>
                <c:lvl>
                  <c:pt idx="0">
                    <c:v>Ghanaian Language</c:v>
                  </c:pt>
                  <c:pt idx="1">
                    <c:v>English</c:v>
                  </c:pt>
                  <c:pt idx="2">
                    <c:v>Ghanaian Language</c:v>
                  </c:pt>
                  <c:pt idx="3">
                    <c:v>English</c:v>
                  </c:pt>
                  <c:pt idx="4">
                    <c:v>Ghanaian Language</c:v>
                  </c:pt>
                  <c:pt idx="5">
                    <c:v>English</c:v>
                  </c:pt>
                  <c:pt idx="6">
                    <c:v>Ghanaian Language</c:v>
                  </c:pt>
                  <c:pt idx="7">
                    <c:v>English</c:v>
                  </c:pt>
                  <c:pt idx="8">
                    <c:v>Ghanaian Language</c:v>
                  </c:pt>
                  <c:pt idx="9">
                    <c:v>English</c:v>
                  </c:pt>
                </c:lvl>
                <c:lvl>
                  <c:pt idx="0">
                    <c:v>Listening comprehension</c:v>
                  </c:pt>
                  <c:pt idx="2">
                    <c:v>Letter-sound knowledge</c:v>
                  </c:pt>
                  <c:pt idx="4">
                    <c:v>Non-word decoding</c:v>
                  </c:pt>
                  <c:pt idx="6">
                    <c:v>Oral passage reading</c:v>
                  </c:pt>
                  <c:pt idx="8">
                    <c:v>Reading comprehension</c:v>
                  </c:pt>
                </c:lvl>
              </c:multiLvlStrCache>
            </c:multiLvlStrRef>
          </c:cat>
          <c:val>
            <c:numRef>
              <c:f>'Fig 6.7 graph'!$C$2:$C$11</c:f>
              <c:numCache>
                <c:formatCode>0.00%</c:formatCode>
                <c:ptCount val="10"/>
                <c:pt idx="0">
                  <c:v>0.19</c:v>
                </c:pt>
                <c:pt idx="1">
                  <c:v>0.70399999999999996</c:v>
                </c:pt>
                <c:pt idx="2">
                  <c:v>0.378</c:v>
                </c:pt>
                <c:pt idx="3">
                  <c:v>0.45200000000000001</c:v>
                </c:pt>
                <c:pt idx="4">
                  <c:v>0.78100000000000003</c:v>
                </c:pt>
                <c:pt idx="5">
                  <c:v>0.73399999999999999</c:v>
                </c:pt>
                <c:pt idx="6">
                  <c:v>0.74</c:v>
                </c:pt>
                <c:pt idx="7">
                  <c:v>0.42699999999999999</c:v>
                </c:pt>
                <c:pt idx="8">
                  <c:v>0.89100000000000001</c:v>
                </c:pt>
                <c:pt idx="9">
                  <c:v>0.85799999999999998</c:v>
                </c:pt>
              </c:numCache>
            </c:numRef>
          </c:val>
          <c:extLst>
            <c:ext xmlns:c16="http://schemas.microsoft.com/office/drawing/2014/chart" uri="{C3380CC4-5D6E-409C-BE32-E72D297353CC}">
              <c16:uniqueId val="{00000000-E6BA-47A1-8745-A67AB39EFA68}"/>
            </c:ext>
          </c:extLst>
        </c:ser>
        <c:ser>
          <c:idx val="1"/>
          <c:order val="1"/>
          <c:tx>
            <c:strRef>
              <c:f>'Fig 6.7 graph'!$D$1</c:f>
              <c:strCache>
                <c:ptCount val="1"/>
                <c:pt idx="0">
                  <c:v>Deprived district</c:v>
                </c:pt>
              </c:strCache>
            </c:strRef>
          </c:tx>
          <c:spPr>
            <a:pattFill prst="ltHorz">
              <a:fgClr>
                <a:srgbClr val="CACAAA"/>
              </a:fgClr>
              <a:bgClr>
                <a:schemeClr val="bg1"/>
              </a:bgClr>
            </a:pattFill>
            <a:ln>
              <a:solidFill>
                <a:srgbClr val="7A6563"/>
              </a:solidFill>
            </a:ln>
            <a:effectLst/>
          </c:spPr>
          <c:invertIfNegative val="0"/>
          <c:cat>
            <c:multiLvlStrRef>
              <c:f>'Fig 6.7 graph'!$A$2:$B$11</c:f>
              <c:multiLvlStrCache>
                <c:ptCount val="10"/>
                <c:lvl>
                  <c:pt idx="0">
                    <c:v>Ghanaian Language</c:v>
                  </c:pt>
                  <c:pt idx="1">
                    <c:v>English</c:v>
                  </c:pt>
                  <c:pt idx="2">
                    <c:v>Ghanaian Language</c:v>
                  </c:pt>
                  <c:pt idx="3">
                    <c:v>English</c:v>
                  </c:pt>
                  <c:pt idx="4">
                    <c:v>Ghanaian Language</c:v>
                  </c:pt>
                  <c:pt idx="5">
                    <c:v>English</c:v>
                  </c:pt>
                  <c:pt idx="6">
                    <c:v>Ghanaian Language</c:v>
                  </c:pt>
                  <c:pt idx="7">
                    <c:v>English</c:v>
                  </c:pt>
                  <c:pt idx="8">
                    <c:v>Ghanaian Language</c:v>
                  </c:pt>
                  <c:pt idx="9">
                    <c:v>English</c:v>
                  </c:pt>
                </c:lvl>
                <c:lvl>
                  <c:pt idx="0">
                    <c:v>Listening comprehension</c:v>
                  </c:pt>
                  <c:pt idx="2">
                    <c:v>Letter-sound knowledge</c:v>
                  </c:pt>
                  <c:pt idx="4">
                    <c:v>Non-word decoding</c:v>
                  </c:pt>
                  <c:pt idx="6">
                    <c:v>Oral passage reading</c:v>
                  </c:pt>
                  <c:pt idx="8">
                    <c:v>Reading comprehension</c:v>
                  </c:pt>
                </c:lvl>
              </c:multiLvlStrCache>
            </c:multiLvlStrRef>
          </c:cat>
          <c:val>
            <c:numRef>
              <c:f>'Fig 6.7 graph'!$D$2:$D$11</c:f>
              <c:numCache>
                <c:formatCode>0.00%</c:formatCode>
                <c:ptCount val="10"/>
                <c:pt idx="0">
                  <c:v>0.40200000000000002</c:v>
                </c:pt>
                <c:pt idx="1">
                  <c:v>0.82799999999999996</c:v>
                </c:pt>
                <c:pt idx="2">
                  <c:v>0.64700000000000002</c:v>
                </c:pt>
                <c:pt idx="3">
                  <c:v>0.75900000000000001</c:v>
                </c:pt>
                <c:pt idx="4">
                  <c:v>0.92200000000000004</c:v>
                </c:pt>
                <c:pt idx="5">
                  <c:v>0.89900000000000002</c:v>
                </c:pt>
                <c:pt idx="6">
                  <c:v>0.89500000000000002</c:v>
                </c:pt>
                <c:pt idx="7">
                  <c:v>0.68100000000000005</c:v>
                </c:pt>
                <c:pt idx="8">
                  <c:v>0.95699999999999996</c:v>
                </c:pt>
                <c:pt idx="9">
                  <c:v>0.97199999999999998</c:v>
                </c:pt>
              </c:numCache>
            </c:numRef>
          </c:val>
          <c:extLst>
            <c:ext xmlns:c16="http://schemas.microsoft.com/office/drawing/2014/chart" uri="{C3380CC4-5D6E-409C-BE32-E72D297353CC}">
              <c16:uniqueId val="{00000001-E6BA-47A1-8745-A67AB39EFA68}"/>
            </c:ext>
          </c:extLst>
        </c:ser>
        <c:ser>
          <c:idx val="2"/>
          <c:order val="2"/>
          <c:tx>
            <c:strRef>
              <c:f>'Fig 6.7 graph'!$E$1</c:f>
              <c:strCache>
                <c:ptCount val="1"/>
                <c:pt idx="0">
                  <c:v>Urban</c:v>
                </c:pt>
              </c:strCache>
            </c:strRef>
          </c:tx>
          <c:spPr>
            <a:pattFill prst="trellis">
              <a:fgClr>
                <a:srgbClr val="7A6563"/>
              </a:fgClr>
              <a:bgClr>
                <a:schemeClr val="bg1"/>
              </a:bgClr>
            </a:pattFill>
            <a:ln>
              <a:solidFill>
                <a:srgbClr val="7A6563"/>
              </a:solidFill>
            </a:ln>
            <a:effectLst/>
          </c:spPr>
          <c:invertIfNegative val="0"/>
          <c:cat>
            <c:multiLvlStrRef>
              <c:f>'Fig 6.7 graph'!$A$2:$B$11</c:f>
              <c:multiLvlStrCache>
                <c:ptCount val="10"/>
                <c:lvl>
                  <c:pt idx="0">
                    <c:v>Ghanaian Language</c:v>
                  </c:pt>
                  <c:pt idx="1">
                    <c:v>English</c:v>
                  </c:pt>
                  <c:pt idx="2">
                    <c:v>Ghanaian Language</c:v>
                  </c:pt>
                  <c:pt idx="3">
                    <c:v>English</c:v>
                  </c:pt>
                  <c:pt idx="4">
                    <c:v>Ghanaian Language</c:v>
                  </c:pt>
                  <c:pt idx="5">
                    <c:v>English</c:v>
                  </c:pt>
                  <c:pt idx="6">
                    <c:v>Ghanaian Language</c:v>
                  </c:pt>
                  <c:pt idx="7">
                    <c:v>English</c:v>
                  </c:pt>
                  <c:pt idx="8">
                    <c:v>Ghanaian Language</c:v>
                  </c:pt>
                  <c:pt idx="9">
                    <c:v>English</c:v>
                  </c:pt>
                </c:lvl>
                <c:lvl>
                  <c:pt idx="0">
                    <c:v>Listening comprehension</c:v>
                  </c:pt>
                  <c:pt idx="2">
                    <c:v>Letter-sound knowledge</c:v>
                  </c:pt>
                  <c:pt idx="4">
                    <c:v>Non-word decoding</c:v>
                  </c:pt>
                  <c:pt idx="6">
                    <c:v>Oral passage reading</c:v>
                  </c:pt>
                  <c:pt idx="8">
                    <c:v>Reading comprehension</c:v>
                  </c:pt>
                </c:lvl>
              </c:multiLvlStrCache>
            </c:multiLvlStrRef>
          </c:cat>
          <c:val>
            <c:numRef>
              <c:f>'Fig 6.7 graph'!$E$2:$E$11</c:f>
              <c:numCache>
                <c:formatCode>0.00%</c:formatCode>
                <c:ptCount val="10"/>
                <c:pt idx="0">
                  <c:v>0.22600000000000001</c:v>
                </c:pt>
                <c:pt idx="1">
                  <c:v>0.55100000000000005</c:v>
                </c:pt>
                <c:pt idx="2">
                  <c:v>0.35499999999999998</c:v>
                </c:pt>
                <c:pt idx="3">
                  <c:v>0.38900000000000001</c:v>
                </c:pt>
                <c:pt idx="4">
                  <c:v>0.73199999999999998</c:v>
                </c:pt>
                <c:pt idx="5">
                  <c:v>0.66200000000000003</c:v>
                </c:pt>
                <c:pt idx="6">
                  <c:v>0.68700000000000006</c:v>
                </c:pt>
                <c:pt idx="7">
                  <c:v>0.317</c:v>
                </c:pt>
                <c:pt idx="8">
                  <c:v>0.88800000000000001</c:v>
                </c:pt>
                <c:pt idx="9">
                  <c:v>0.76600000000000001</c:v>
                </c:pt>
              </c:numCache>
            </c:numRef>
          </c:val>
          <c:extLst>
            <c:ext xmlns:c16="http://schemas.microsoft.com/office/drawing/2014/chart" uri="{C3380CC4-5D6E-409C-BE32-E72D297353CC}">
              <c16:uniqueId val="{00000002-E6BA-47A1-8745-A67AB39EFA68}"/>
            </c:ext>
          </c:extLst>
        </c:ser>
        <c:ser>
          <c:idx val="3"/>
          <c:order val="3"/>
          <c:tx>
            <c:strRef>
              <c:f>'Fig 6.7 graph'!$F$1</c:f>
              <c:strCache>
                <c:ptCount val="1"/>
                <c:pt idx="0">
                  <c:v>Rural</c:v>
                </c:pt>
              </c:strCache>
            </c:strRef>
          </c:tx>
          <c:spPr>
            <a:pattFill prst="pct30">
              <a:fgClr>
                <a:srgbClr val="21455B"/>
              </a:fgClr>
              <a:bgClr>
                <a:schemeClr val="bg1"/>
              </a:bgClr>
            </a:pattFill>
            <a:ln>
              <a:solidFill>
                <a:srgbClr val="7A6563"/>
              </a:solidFill>
            </a:ln>
            <a:effectLst/>
          </c:spPr>
          <c:invertIfNegative val="0"/>
          <c:cat>
            <c:multiLvlStrRef>
              <c:f>'Fig 6.7 graph'!$A$2:$B$11</c:f>
              <c:multiLvlStrCache>
                <c:ptCount val="10"/>
                <c:lvl>
                  <c:pt idx="0">
                    <c:v>Ghanaian Language</c:v>
                  </c:pt>
                  <c:pt idx="1">
                    <c:v>English</c:v>
                  </c:pt>
                  <c:pt idx="2">
                    <c:v>Ghanaian Language</c:v>
                  </c:pt>
                  <c:pt idx="3">
                    <c:v>English</c:v>
                  </c:pt>
                  <c:pt idx="4">
                    <c:v>Ghanaian Language</c:v>
                  </c:pt>
                  <c:pt idx="5">
                    <c:v>English</c:v>
                  </c:pt>
                  <c:pt idx="6">
                    <c:v>Ghanaian Language</c:v>
                  </c:pt>
                  <c:pt idx="7">
                    <c:v>English</c:v>
                  </c:pt>
                  <c:pt idx="8">
                    <c:v>Ghanaian Language</c:v>
                  </c:pt>
                  <c:pt idx="9">
                    <c:v>English</c:v>
                  </c:pt>
                </c:lvl>
                <c:lvl>
                  <c:pt idx="0">
                    <c:v>Listening comprehension</c:v>
                  </c:pt>
                  <c:pt idx="2">
                    <c:v>Letter-sound knowledge</c:v>
                  </c:pt>
                  <c:pt idx="4">
                    <c:v>Non-word decoding</c:v>
                  </c:pt>
                  <c:pt idx="6">
                    <c:v>Oral passage reading</c:v>
                  </c:pt>
                  <c:pt idx="8">
                    <c:v>Reading comprehension</c:v>
                  </c:pt>
                </c:lvl>
              </c:multiLvlStrCache>
            </c:multiLvlStrRef>
          </c:cat>
          <c:val>
            <c:numRef>
              <c:f>'Fig 6.7 graph'!$F$2:$F$11</c:f>
              <c:numCache>
                <c:formatCode>0.00%</c:formatCode>
                <c:ptCount val="10"/>
                <c:pt idx="0">
                  <c:v>0.27</c:v>
                </c:pt>
                <c:pt idx="1">
                  <c:v>0.81699999999999995</c:v>
                </c:pt>
                <c:pt idx="2">
                  <c:v>0.51800000000000002</c:v>
                </c:pt>
                <c:pt idx="3">
                  <c:v>0.63300000000000001</c:v>
                </c:pt>
                <c:pt idx="4">
                  <c:v>0.85899999999999999</c:v>
                </c:pt>
                <c:pt idx="5">
                  <c:v>0.83899999999999997</c:v>
                </c:pt>
                <c:pt idx="6">
                  <c:v>0.83199999999999996</c:v>
                </c:pt>
                <c:pt idx="7">
                  <c:v>0.59199999999999997</c:v>
                </c:pt>
                <c:pt idx="8">
                  <c:v>0.91800000000000004</c:v>
                </c:pt>
                <c:pt idx="9">
                  <c:v>0.93899999999999995</c:v>
                </c:pt>
              </c:numCache>
            </c:numRef>
          </c:val>
          <c:extLst>
            <c:ext xmlns:c16="http://schemas.microsoft.com/office/drawing/2014/chart" uri="{C3380CC4-5D6E-409C-BE32-E72D297353CC}">
              <c16:uniqueId val="{00000003-E6BA-47A1-8745-A67AB39EFA68}"/>
            </c:ext>
          </c:extLst>
        </c:ser>
        <c:dLbls>
          <c:showLegendKey val="0"/>
          <c:showVal val="0"/>
          <c:showCatName val="0"/>
          <c:showSerName val="0"/>
          <c:showPercent val="0"/>
          <c:showBubbleSize val="0"/>
        </c:dLbls>
        <c:gapWidth val="219"/>
        <c:overlap val="-27"/>
        <c:axId val="-1422799472"/>
        <c:axId val="-1465101296"/>
      </c:barChart>
      <c:catAx>
        <c:axId val="-14227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5101296"/>
        <c:crosses val="autoZero"/>
        <c:auto val="1"/>
        <c:lblAlgn val="ctr"/>
        <c:lblOffset val="100"/>
        <c:noMultiLvlLbl val="0"/>
      </c:catAx>
      <c:valAx>
        <c:axId val="-146510129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279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77453001586"/>
          <c:y val="3.6355926097473103E-2"/>
          <c:w val="0.74769646132674505"/>
          <c:h val="0.87998394318357298"/>
        </c:manualLayout>
      </c:layout>
      <c:pieChart>
        <c:varyColors val="1"/>
        <c:ser>
          <c:idx val="0"/>
          <c:order val="0"/>
          <c:tx>
            <c:strRef>
              <c:f>'Fig 4.1 &amp; 4.2'!$B$65</c:f>
              <c:strCache>
                <c:ptCount val="1"/>
                <c:pt idx="0">
                  <c:v>2014</c:v>
                </c:pt>
              </c:strCache>
            </c:strRef>
          </c:tx>
          <c:dPt>
            <c:idx val="0"/>
            <c:bubble3D val="0"/>
            <c:spPr>
              <a:solidFill>
                <a:srgbClr val="DE6E4B"/>
              </a:solidFill>
              <a:ln>
                <a:solidFill>
                  <a:srgbClr val="DE6E4B"/>
                </a:solidFill>
              </a:ln>
              <a:effectLst/>
            </c:spPr>
            <c:extLst>
              <c:ext xmlns:c16="http://schemas.microsoft.com/office/drawing/2014/chart" uri="{C3380CC4-5D6E-409C-BE32-E72D297353CC}">
                <c16:uniqueId val="{00000001-F26F-47A7-BB84-7EE6A80DFEB9}"/>
              </c:ext>
            </c:extLst>
          </c:dPt>
          <c:dPt>
            <c:idx val="1"/>
            <c:bubble3D val="0"/>
            <c:spPr>
              <a:pattFill prst="smConfetti">
                <a:fgClr>
                  <a:srgbClr val="21455B"/>
                </a:fgClr>
                <a:bgClr>
                  <a:schemeClr val="bg1"/>
                </a:bgClr>
              </a:pattFill>
              <a:ln>
                <a:solidFill>
                  <a:schemeClr val="tx1"/>
                </a:solidFill>
              </a:ln>
              <a:effectLst/>
            </c:spPr>
            <c:extLst>
              <c:ext xmlns:c16="http://schemas.microsoft.com/office/drawing/2014/chart" uri="{C3380CC4-5D6E-409C-BE32-E72D297353CC}">
                <c16:uniqueId val="{00000003-F26F-47A7-BB84-7EE6A80DFEB9}"/>
              </c:ext>
            </c:extLst>
          </c:dPt>
          <c:dPt>
            <c:idx val="2"/>
            <c:bubble3D val="0"/>
            <c:spPr>
              <a:pattFill prst="dashUpDiag">
                <a:fgClr>
                  <a:srgbClr val="7A6563"/>
                </a:fgClr>
                <a:bgClr>
                  <a:schemeClr val="bg1"/>
                </a:bgClr>
              </a:pattFill>
              <a:ln>
                <a:solidFill>
                  <a:srgbClr val="7A6563"/>
                </a:solidFill>
              </a:ln>
              <a:effectLst/>
            </c:spPr>
            <c:extLst>
              <c:ext xmlns:c16="http://schemas.microsoft.com/office/drawing/2014/chart" uri="{C3380CC4-5D6E-409C-BE32-E72D297353CC}">
                <c16:uniqueId val="{00000005-F26F-47A7-BB84-7EE6A80DFEB9}"/>
              </c:ext>
            </c:extLst>
          </c:dPt>
          <c:dPt>
            <c:idx val="3"/>
            <c:bubble3D val="0"/>
            <c:spPr>
              <a:pattFill prst="pct75">
                <a:fgClr>
                  <a:srgbClr val="2F8396"/>
                </a:fgClr>
                <a:bgClr>
                  <a:schemeClr val="bg1"/>
                </a:bgClr>
              </a:pattFill>
              <a:ln>
                <a:solidFill>
                  <a:schemeClr val="accent5"/>
                </a:solidFill>
              </a:ln>
              <a:effectLst/>
            </c:spPr>
            <c:extLst>
              <c:ext xmlns:c16="http://schemas.microsoft.com/office/drawing/2014/chart" uri="{C3380CC4-5D6E-409C-BE32-E72D297353CC}">
                <c16:uniqueId val="{00000007-F26F-47A7-BB84-7EE6A80DFEB9}"/>
              </c:ext>
            </c:extLst>
          </c:dPt>
          <c:dPt>
            <c:idx val="4"/>
            <c:bubble3D val="0"/>
            <c:spPr>
              <a:pattFill prst="ltHorz">
                <a:fgClr>
                  <a:srgbClr val="CACAAA"/>
                </a:fgClr>
                <a:bgClr>
                  <a:schemeClr val="bg1"/>
                </a:bgClr>
              </a:pattFill>
              <a:ln>
                <a:solidFill>
                  <a:srgbClr val="CACAAA"/>
                </a:solidFill>
              </a:ln>
              <a:effectLst/>
            </c:spPr>
            <c:extLst>
              <c:ext xmlns:c16="http://schemas.microsoft.com/office/drawing/2014/chart" uri="{C3380CC4-5D6E-409C-BE32-E72D297353CC}">
                <c16:uniqueId val="{00000009-F26F-47A7-BB84-7EE6A80DFEB9}"/>
              </c:ext>
            </c:extLst>
          </c:dPt>
          <c:dLbls>
            <c:dLbl>
              <c:idx val="0"/>
              <c:layout>
                <c:manualLayout>
                  <c:x val="-0.30484702079277998"/>
                  <c:y val="-0.132303301342831"/>
                </c:manualLayout>
              </c:layout>
              <c:tx>
                <c:rich>
                  <a:bodyPr/>
                  <a:lstStyle/>
                  <a:p>
                    <a:r>
                      <a:rPr lang="en-US"/>
                      <a:t>Other Crops (excluding cocoa) </a:t>
                    </a:r>
                    <a:fld id="{C8F7BF95-7FD5-4B93-8240-4B4845D3770A}" type="VALUE">
                      <a:rPr lang="en-US"/>
                      <a:pPr/>
                      <a:t>[VALUE]</a:t>
                    </a:fld>
                    <a:endParaRPr lang="en-US"/>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26F-47A7-BB84-7EE6A80DFEB9}"/>
                </c:ext>
              </c:extLst>
            </c:dLbl>
            <c:dLbl>
              <c:idx val="1"/>
              <c:tx>
                <c:rich>
                  <a:bodyPr/>
                  <a:lstStyle/>
                  <a:p>
                    <a:r>
                      <a:rPr lang="en-US"/>
                      <a:t>Cocoa </a:t>
                    </a:r>
                    <a:fld id="{053BC38E-1439-4975-A7B3-8F39314A0321}" type="VALUE">
                      <a:rPr lang="en-US"/>
                      <a:pPr/>
                      <a:t>[VALUE]</a:t>
                    </a:fld>
                    <a:endParaRPr lang="en-US"/>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26F-47A7-BB84-7EE6A80DFEB9}"/>
                </c:ext>
              </c:extLst>
            </c:dLbl>
            <c:dLbl>
              <c:idx val="2"/>
              <c:layout>
                <c:manualLayout>
                  <c:x val="2.26337033594631E-2"/>
                  <c:y val="6.1357812506938796E-3"/>
                </c:manualLayout>
              </c:layout>
              <c:tx>
                <c:rich>
                  <a:bodyPr/>
                  <a:lstStyle/>
                  <a:p>
                    <a:r>
                      <a:rPr lang="en-US"/>
                      <a:t>Forestry and Logging</a:t>
                    </a:r>
                    <a:fld id="{804BF51C-480F-459C-B948-EF2A8419D4FA}" type="VALUE">
                      <a:rPr lang="en-US"/>
                      <a:pPr/>
                      <a:t>[VALUE]</a:t>
                    </a:fld>
                    <a:endParaRPr lang="en-US"/>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26F-47A7-BB84-7EE6A80DFEB9}"/>
                </c:ext>
              </c:extLst>
            </c:dLbl>
            <c:dLbl>
              <c:idx val="3"/>
              <c:tx>
                <c:rich>
                  <a:bodyPr/>
                  <a:lstStyle/>
                  <a:p>
                    <a:r>
                      <a:rPr lang="en-US"/>
                      <a:t>Livestock </a:t>
                    </a:r>
                    <a:fld id="{A12E6DAC-B3CC-4A73-B5AA-FBE3FDC2273C}" type="VALUE">
                      <a:rPr lang="en-US"/>
                      <a:pPr/>
                      <a:t>[VALUE]</a:t>
                    </a:fld>
                    <a:endParaRPr lang="en-US"/>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26F-47A7-BB84-7EE6A80DFEB9}"/>
                </c:ext>
              </c:extLst>
            </c:dLbl>
            <c:dLbl>
              <c:idx val="4"/>
              <c:tx>
                <c:rich>
                  <a:bodyPr/>
                  <a:lstStyle/>
                  <a:p>
                    <a:r>
                      <a:rPr lang="en-US"/>
                      <a:t>Fishing </a:t>
                    </a:r>
                    <a:fld id="{411A4E29-67E4-4DB4-9F6A-90051ABBAA78}" type="VALUE">
                      <a:rPr lang="en-US"/>
                      <a:pPr/>
                      <a:t>[VALUE]</a:t>
                    </a:fld>
                    <a:endParaRPr lang="en-US"/>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26F-47A7-BB84-7EE6A80DFEB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 4.1 &amp; 4.2'!$A$66:$A$70</c:f>
              <c:strCache>
                <c:ptCount val="5"/>
                <c:pt idx="0">
                  <c:v>Other Corps</c:v>
                </c:pt>
                <c:pt idx="1">
                  <c:v>Cocoa</c:v>
                </c:pt>
                <c:pt idx="2">
                  <c:v>Forestry and Logging</c:v>
                </c:pt>
                <c:pt idx="3">
                  <c:v>Livestock</c:v>
                </c:pt>
                <c:pt idx="4">
                  <c:v>Fishing</c:v>
                </c:pt>
              </c:strCache>
            </c:strRef>
          </c:cat>
          <c:val>
            <c:numRef>
              <c:f>'Fig 4.1 &amp; 4.2'!$B$66:$B$70</c:f>
              <c:numCache>
                <c:formatCode>_(* #,##0.0_);_(* \(#,##0.0\);_(* "-"??_);_(@_)</c:formatCode>
                <c:ptCount val="5"/>
                <c:pt idx="0">
                  <c:v>68</c:v>
                </c:pt>
                <c:pt idx="1">
                  <c:v>10.049352041884219</c:v>
                </c:pt>
                <c:pt idx="2">
                  <c:v>11</c:v>
                </c:pt>
                <c:pt idx="3">
                  <c:v>5</c:v>
                </c:pt>
                <c:pt idx="4">
                  <c:v>6</c:v>
                </c:pt>
              </c:numCache>
            </c:numRef>
          </c:val>
          <c:extLst>
            <c:ext xmlns:c16="http://schemas.microsoft.com/office/drawing/2014/chart" uri="{C3380CC4-5D6E-409C-BE32-E72D297353CC}">
              <c16:uniqueId val="{0000000A-F26F-47A7-BB84-7EE6A80DFEB9}"/>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986216345598"/>
          <c:y val="4.9210848643919503E-2"/>
          <c:w val="0.846151306558379"/>
          <c:h val="0.85035335288971203"/>
        </c:manualLayout>
      </c:layout>
      <c:lineChart>
        <c:grouping val="standard"/>
        <c:varyColors val="0"/>
        <c:ser>
          <c:idx val="0"/>
          <c:order val="0"/>
          <c:tx>
            <c:strRef>
              <c:f>'Fig 4.1 &amp; 4.2'!$A$48</c:f>
              <c:strCache>
                <c:ptCount val="1"/>
                <c:pt idx="0">
                  <c:v>Agriculture</c:v>
                </c:pt>
              </c:strCache>
            </c:strRef>
          </c:tx>
          <c:spPr>
            <a:ln w="28575" cap="rnd">
              <a:solidFill>
                <a:srgbClr val="CACAAA"/>
              </a:solidFill>
              <a:prstDash val="dash"/>
              <a:round/>
            </a:ln>
            <a:effectLst/>
          </c:spPr>
          <c:marker>
            <c:symbol val="none"/>
          </c:marker>
          <c:cat>
            <c:numRef>
              <c:f>'Fig 4.1 &amp; 4.2'!$D$47:$K$47</c:f>
              <c:numCache>
                <c:formatCode>General</c:formatCode>
                <c:ptCount val="8"/>
                <c:pt idx="0">
                  <c:v>2008</c:v>
                </c:pt>
                <c:pt idx="1">
                  <c:v>2009</c:v>
                </c:pt>
                <c:pt idx="2">
                  <c:v>2010</c:v>
                </c:pt>
                <c:pt idx="3">
                  <c:v>2011</c:v>
                </c:pt>
                <c:pt idx="4">
                  <c:v>2012</c:v>
                </c:pt>
                <c:pt idx="5">
                  <c:v>2013</c:v>
                </c:pt>
                <c:pt idx="6">
                  <c:v>2014</c:v>
                </c:pt>
                <c:pt idx="7">
                  <c:v>2015</c:v>
                </c:pt>
              </c:numCache>
            </c:numRef>
          </c:cat>
          <c:val>
            <c:numRef>
              <c:f>'Fig 4.1 &amp; 4.2'!$D$48:$K$48</c:f>
              <c:numCache>
                <c:formatCode>_(* #,##0.00_);_(* \(#,##0.00\);_(* "-"??_);_(@_)</c:formatCode>
                <c:ptCount val="8"/>
                <c:pt idx="0">
                  <c:v>7.4042394312557001</c:v>
                </c:pt>
                <c:pt idx="1">
                  <c:v>7.2255441406105847</c:v>
                </c:pt>
                <c:pt idx="2">
                  <c:v>5.2765732096214499</c:v>
                </c:pt>
                <c:pt idx="3">
                  <c:v>0.84611397116771703</c:v>
                </c:pt>
                <c:pt idx="4">
                  <c:v>2.3019486585817321</c:v>
                </c:pt>
                <c:pt idx="5">
                  <c:v>5.2050092068602014</c:v>
                </c:pt>
                <c:pt idx="6">
                  <c:v>5.261608591668355</c:v>
                </c:pt>
                <c:pt idx="7">
                  <c:v>2.3335520122229401</c:v>
                </c:pt>
              </c:numCache>
            </c:numRef>
          </c:val>
          <c:smooth val="1"/>
          <c:extLst>
            <c:ext xmlns:c16="http://schemas.microsoft.com/office/drawing/2014/chart" uri="{C3380CC4-5D6E-409C-BE32-E72D297353CC}">
              <c16:uniqueId val="{00000000-0E12-4A09-B820-0DC176D93388}"/>
            </c:ext>
          </c:extLst>
        </c:ser>
        <c:ser>
          <c:idx val="1"/>
          <c:order val="1"/>
          <c:tx>
            <c:strRef>
              <c:f>'Fig 4.1 &amp; 4.2'!$A$49</c:f>
              <c:strCache>
                <c:ptCount val="1"/>
                <c:pt idx="0">
                  <c:v>Other sectors</c:v>
                </c:pt>
              </c:strCache>
            </c:strRef>
          </c:tx>
          <c:spPr>
            <a:ln w="28575" cap="rnd">
              <a:solidFill>
                <a:srgbClr val="DE6E4B"/>
              </a:solidFill>
              <a:round/>
            </a:ln>
            <a:effectLst/>
          </c:spPr>
          <c:marker>
            <c:symbol val="none"/>
          </c:marker>
          <c:cat>
            <c:numRef>
              <c:f>'Fig 4.1 &amp; 4.2'!$D$47:$K$47</c:f>
              <c:numCache>
                <c:formatCode>General</c:formatCode>
                <c:ptCount val="8"/>
                <c:pt idx="0">
                  <c:v>2008</c:v>
                </c:pt>
                <c:pt idx="1">
                  <c:v>2009</c:v>
                </c:pt>
                <c:pt idx="2">
                  <c:v>2010</c:v>
                </c:pt>
                <c:pt idx="3">
                  <c:v>2011</c:v>
                </c:pt>
                <c:pt idx="4">
                  <c:v>2012</c:v>
                </c:pt>
                <c:pt idx="5">
                  <c:v>2013</c:v>
                </c:pt>
                <c:pt idx="6">
                  <c:v>2014</c:v>
                </c:pt>
                <c:pt idx="7">
                  <c:v>2015</c:v>
                </c:pt>
              </c:numCache>
            </c:numRef>
          </c:cat>
          <c:val>
            <c:numRef>
              <c:f>'Fig 4.1 &amp; 4.2'!$D$49:$K$49</c:f>
              <c:numCache>
                <c:formatCode>_(* #,##0.00_);_(* \(#,##0.00\);_(* "-"??_);_(@_)</c:formatCode>
                <c:ptCount val="8"/>
                <c:pt idx="0">
                  <c:v>10.08368351533173</c:v>
                </c:pt>
                <c:pt idx="1">
                  <c:v>5.2211795415925799</c:v>
                </c:pt>
                <c:pt idx="2">
                  <c:v>8.9384152678869242</c:v>
                </c:pt>
                <c:pt idx="3">
                  <c:v>19.099203300511981</c:v>
                </c:pt>
                <c:pt idx="4">
                  <c:v>11.710196905763359</c:v>
                </c:pt>
                <c:pt idx="5">
                  <c:v>9.0461140614132685</c:v>
                </c:pt>
                <c:pt idx="6">
                  <c:v>4.8077924057450714</c:v>
                </c:pt>
                <c:pt idx="7">
                  <c:v>2</c:v>
                </c:pt>
              </c:numCache>
            </c:numRef>
          </c:val>
          <c:smooth val="1"/>
          <c:extLst>
            <c:ext xmlns:c16="http://schemas.microsoft.com/office/drawing/2014/chart" uri="{C3380CC4-5D6E-409C-BE32-E72D297353CC}">
              <c16:uniqueId val="{00000001-0E12-4A09-B820-0DC176D93388}"/>
            </c:ext>
          </c:extLst>
        </c:ser>
        <c:dLbls>
          <c:showLegendKey val="0"/>
          <c:showVal val="0"/>
          <c:showCatName val="0"/>
          <c:showSerName val="0"/>
          <c:showPercent val="0"/>
          <c:showBubbleSize val="0"/>
        </c:dLbls>
        <c:smooth val="0"/>
        <c:axId val="-1422074896"/>
        <c:axId val="-1422072576"/>
      </c:lineChart>
      <c:catAx>
        <c:axId val="-1422074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2072576"/>
        <c:crosses val="autoZero"/>
        <c:auto val="1"/>
        <c:lblAlgn val="ctr"/>
        <c:lblOffset val="100"/>
        <c:noMultiLvlLbl val="0"/>
      </c:catAx>
      <c:valAx>
        <c:axId val="-1422072576"/>
        <c:scaling>
          <c:orientation val="minMax"/>
        </c:scaling>
        <c:delete val="0"/>
        <c:axPos val="l"/>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2074896"/>
        <c:crosses val="autoZero"/>
        <c:crossBetween val="between"/>
      </c:valAx>
      <c:spPr>
        <a:noFill/>
        <a:ln>
          <a:noFill/>
        </a:ln>
        <a:effectLst/>
      </c:spPr>
    </c:plotArea>
    <c:legend>
      <c:legendPos val="b"/>
      <c:layout>
        <c:manualLayout>
          <c:xMode val="edge"/>
          <c:yMode val="edge"/>
          <c:x val="0.58639900006903201"/>
          <c:y val="0.104156418649916"/>
          <c:w val="0.32807607285748203"/>
          <c:h val="0.15509876376018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717505899997803E-2"/>
          <c:y val="5.0925925925925902E-2"/>
          <c:w val="0.86747277035714598"/>
          <c:h val="0.91540106916293196"/>
        </c:manualLayout>
      </c:layout>
      <c:scatterChart>
        <c:scatterStyle val="lineMarker"/>
        <c:varyColors val="0"/>
        <c:ser>
          <c:idx val="0"/>
          <c:order val="0"/>
          <c:tx>
            <c:strRef>
              <c:f>Sheet1!$B$1</c:f>
              <c:strCache>
                <c:ptCount val="1"/>
                <c:pt idx="0">
                  <c:v>annual ag growth rate</c:v>
                </c:pt>
              </c:strCache>
            </c:strRef>
          </c:tx>
          <c:spPr>
            <a:ln w="25400" cap="rnd">
              <a:noFill/>
              <a:round/>
            </a:ln>
            <a:effectLst/>
          </c:spPr>
          <c:marker>
            <c:symbol val="circle"/>
            <c:size val="5"/>
            <c:spPr>
              <a:solidFill>
                <a:srgbClr val="2F8396"/>
              </a:solidFill>
              <a:ln w="9525">
                <a:solidFill>
                  <a:schemeClr val="accent1"/>
                </a:solidFill>
              </a:ln>
              <a:effectLst/>
            </c:spPr>
          </c:marker>
          <c:trendline>
            <c:spPr>
              <a:ln w="19050" cap="rnd">
                <a:solidFill>
                  <a:srgbClr val="DE6E4B"/>
                </a:solidFill>
                <a:prstDash val="sysDot"/>
              </a:ln>
              <a:effectLst/>
            </c:spPr>
            <c:trendlineType val="linear"/>
            <c:dispRSqr val="0"/>
            <c:dispEq val="1"/>
            <c:trendlineLbl>
              <c:layout>
                <c:manualLayout>
                  <c:x val="-4.2192373012196999E-2"/>
                  <c:y val="7.7325901272650198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xVal>
          <c:yVal>
            <c:numRef>
              <c:f>Sheet1!$B$2:$B$11</c:f>
              <c:numCache>
                <c:formatCode>General</c:formatCode>
                <c:ptCount val="10"/>
                <c:pt idx="0">
                  <c:v>4.5</c:v>
                </c:pt>
                <c:pt idx="1">
                  <c:v>-1.7</c:v>
                </c:pt>
                <c:pt idx="2">
                  <c:v>7.4</c:v>
                </c:pt>
                <c:pt idx="3">
                  <c:v>7.2</c:v>
                </c:pt>
                <c:pt idx="4">
                  <c:v>5.3</c:v>
                </c:pt>
                <c:pt idx="5">
                  <c:v>0.8</c:v>
                </c:pt>
                <c:pt idx="6">
                  <c:v>2.2999999999999998</c:v>
                </c:pt>
                <c:pt idx="7">
                  <c:v>5.7</c:v>
                </c:pt>
                <c:pt idx="8">
                  <c:v>4.5999999999999996</c:v>
                </c:pt>
                <c:pt idx="9">
                  <c:v>0.4</c:v>
                </c:pt>
              </c:numCache>
            </c:numRef>
          </c:yVal>
          <c:smooth val="0"/>
          <c:extLst>
            <c:ext xmlns:c16="http://schemas.microsoft.com/office/drawing/2014/chart" uri="{C3380CC4-5D6E-409C-BE32-E72D297353CC}">
              <c16:uniqueId val="{00000000-E98A-4020-9897-6BD17909BB50}"/>
            </c:ext>
          </c:extLst>
        </c:ser>
        <c:dLbls>
          <c:showLegendKey val="0"/>
          <c:showVal val="0"/>
          <c:showCatName val="0"/>
          <c:showSerName val="0"/>
          <c:showPercent val="0"/>
          <c:showBubbleSize val="0"/>
        </c:dLbls>
        <c:axId val="-1463400544"/>
        <c:axId val="-1463398496"/>
      </c:scatterChart>
      <c:valAx>
        <c:axId val="-146340054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398496"/>
        <c:crosses val="autoZero"/>
        <c:crossBetween val="midCat"/>
      </c:valAx>
      <c:valAx>
        <c:axId val="-14633984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Annual</a:t>
                </a:r>
                <a:r>
                  <a:rPr lang="en-US" baseline="0"/>
                  <a:t> Agricultural Growth Rate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340054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2017-05-08T00:00:00</PublishDate>
  <Abstract/>
  <CompanyAddress>Dilek Aykut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D7601FF-1885-4E0A-BACD-F75394C6B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151</Pages>
  <Words>58143</Words>
  <Characters>331421</Characters>
  <Application>Microsoft Office Word</Application>
  <DocSecurity>0</DocSecurity>
  <Lines>2761</Lines>
  <Paragraphs>777</Paragraphs>
  <ScaleCrop>false</ScaleCrop>
  <HeadingPairs>
    <vt:vector size="2" baseType="variant">
      <vt:variant>
        <vt:lpstr>Title</vt:lpstr>
      </vt:variant>
      <vt:variant>
        <vt:i4>1</vt:i4>
      </vt:variant>
    </vt:vector>
  </HeadingPairs>
  <TitlesOfParts>
    <vt:vector size="1" baseType="lpstr">
      <vt:lpstr>fiscal consolidation to accelerate growth and support inclusive development</vt:lpstr>
    </vt:vector>
  </TitlesOfParts>
  <Company>World bank Group</Company>
  <LinksUpToDate>false</LinksUpToDate>
  <CharactersWithSpaces>388787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fiscal consolidation to accelerate growth and support inclusive development</dc:title>
  <dc:subject>GHANA PUBLIC EXPENDITURE REVIEW</dc:subject>
  <dc:creator>Dilek Aykut</dc:creator>
  <cp:keywords/>
  <dc:description/>
  <cp:lastModifiedBy>Dilek Aykut</cp:lastModifiedBy>
  <cp:revision>5</cp:revision>
  <cp:lastPrinted>2017-04-26T21:45:00Z</cp:lastPrinted>
  <dcterms:created xsi:type="dcterms:W3CDTF">2017-06-19T15:58:00Z</dcterms:created>
  <dcterms:modified xsi:type="dcterms:W3CDTF">2017-06-19T16:18:00Z</dcterms:modified>
</cp:coreProperties>
</file>