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6723" w14:textId="10911AAE" w:rsidR="00FE78B5" w:rsidRPr="0053748D" w:rsidRDefault="00FE78B5" w:rsidP="00FE78B5">
      <w:pPr>
        <w:pStyle w:val="Heading2"/>
        <w:spacing w:before="0" w:line="240" w:lineRule="auto"/>
        <w:rPr>
          <w:rFonts w:ascii="Andes ExtraLight" w:hAnsi="Andes ExtraLight"/>
          <w:b/>
          <w:color w:val="595959" w:themeColor="text1" w:themeTint="A6"/>
          <w:sz w:val="36"/>
          <w:szCs w:val="36"/>
          <w:lang w:val="en-US"/>
        </w:rPr>
      </w:pPr>
      <w:bookmarkStart w:id="0" w:name="_Hlk505655697"/>
      <w:r>
        <w:rPr>
          <w:rFonts w:ascii="Andes ExtraLight" w:hAnsi="Andes ExtraLight"/>
          <w:b/>
          <w:color w:val="595959" w:themeColor="text1" w:themeTint="A6"/>
          <w:sz w:val="36"/>
          <w:szCs w:val="36"/>
          <w:lang w:val="en-US"/>
        </w:rPr>
        <w:t>Bangladesh</w:t>
      </w:r>
      <w:r w:rsidRPr="0053748D">
        <w:rPr>
          <w:rFonts w:ascii="Andes ExtraLight" w:hAnsi="Andes ExtraLight"/>
          <w:b/>
          <w:color w:val="595959" w:themeColor="text1" w:themeTint="A6"/>
          <w:sz w:val="36"/>
          <w:szCs w:val="36"/>
          <w:lang w:val="en-US"/>
        </w:rPr>
        <w:t xml:space="preserve"> Policy Note</w:t>
      </w:r>
      <w:r w:rsidR="00D021FE">
        <w:rPr>
          <w:rFonts w:ascii="Andes ExtraLight" w:hAnsi="Andes ExtraLight"/>
          <w:b/>
          <w:color w:val="595959" w:themeColor="text1" w:themeTint="A6"/>
          <w:sz w:val="36"/>
          <w:szCs w:val="36"/>
          <w:lang w:val="en-US"/>
        </w:rPr>
        <w:t>s</w:t>
      </w:r>
    </w:p>
    <w:p w14:paraId="2B19885A" w14:textId="19D83093" w:rsidR="00FE78B5" w:rsidRPr="0053748D" w:rsidRDefault="009C6399" w:rsidP="00FE78B5">
      <w:pPr>
        <w:pStyle w:val="Heading2"/>
        <w:spacing w:before="0" w:line="240" w:lineRule="auto"/>
        <w:rPr>
          <w:rFonts w:ascii="Andes ExtraLight" w:hAnsi="Andes ExtraLight"/>
          <w:b/>
          <w:color w:val="4472C4" w:themeColor="accent1"/>
          <w:sz w:val="36"/>
          <w:szCs w:val="36"/>
          <w:lang w:val="en-US"/>
        </w:rPr>
      </w:pPr>
      <w:r>
        <w:rPr>
          <w:rFonts w:ascii="Andes ExtraLight" w:hAnsi="Andes ExtraLight"/>
          <w:b/>
          <w:color w:val="4472C4" w:themeColor="accent1"/>
          <w:sz w:val="36"/>
          <w:szCs w:val="36"/>
          <w:lang w:val="en-US"/>
        </w:rPr>
        <w:t>Back in Business</w:t>
      </w:r>
      <w:r w:rsidR="002A0C75">
        <w:rPr>
          <w:rFonts w:ascii="Andes ExtraLight" w:hAnsi="Andes ExtraLight"/>
          <w:b/>
          <w:color w:val="4472C4" w:themeColor="accent1"/>
          <w:sz w:val="36"/>
          <w:szCs w:val="36"/>
          <w:lang w:val="en-US"/>
        </w:rPr>
        <w:t xml:space="preserve"> to Create Jobs</w:t>
      </w:r>
    </w:p>
    <w:bookmarkEnd w:id="0"/>
    <w:p w14:paraId="0D90A7FC" w14:textId="77777777" w:rsidR="00FE78B5" w:rsidRPr="00EF7C52" w:rsidRDefault="006342BB" w:rsidP="00FE78B5">
      <w:pPr>
        <w:spacing w:after="0" w:line="240" w:lineRule="auto"/>
        <w:ind w:right="-450"/>
        <w:jc w:val="both"/>
        <w:rPr>
          <w:rFonts w:ascii="Times New Roman" w:hAnsi="Times New Roman" w:cs="Times New Roman"/>
          <w:b/>
          <w:color w:val="000000" w:themeColor="text1"/>
        </w:rPr>
      </w:pPr>
      <w:r>
        <w:rPr>
          <w:rFonts w:ascii="Times New Roman" w:hAnsi="Times New Roman" w:cs="Times New Roman"/>
          <w:b/>
          <w:color w:val="000000" w:themeColor="text1"/>
        </w:rPr>
        <w:pict w14:anchorId="5D0CA73B">
          <v:rect id="_x0000_i1025" style="width:490.5pt;height:2pt" o:hralign="center" o:hrstd="t" o:hrnoshade="t" o:hr="t" fillcolor="black [3213]" stroked="f"/>
        </w:pict>
      </w:r>
    </w:p>
    <w:p w14:paraId="1DCF319A" w14:textId="77777777" w:rsidR="001D6D81" w:rsidRPr="00F615FB" w:rsidRDefault="001D6D81" w:rsidP="001D6D81">
      <w:pPr>
        <w:spacing w:after="0" w:line="240" w:lineRule="auto"/>
        <w:jc w:val="both"/>
        <w:rPr>
          <w:rFonts w:ascii="Andes ExtraLight" w:eastAsiaTheme="majorEastAsia" w:hAnsi="Andes ExtraLight" w:cstheme="majorBidi"/>
          <w:b/>
          <w:color w:val="4472C4" w:themeColor="accent1"/>
          <w:sz w:val="30"/>
          <w:szCs w:val="30"/>
        </w:rPr>
      </w:pPr>
      <w:r>
        <w:rPr>
          <w:rFonts w:ascii="Andes ExtraLight" w:eastAsiaTheme="majorEastAsia" w:hAnsi="Andes ExtraLight" w:cstheme="majorBidi"/>
          <w:b/>
          <w:color w:val="4472C4" w:themeColor="accent1"/>
          <w:sz w:val="30"/>
          <w:szCs w:val="30"/>
        </w:rPr>
        <w:t>The Doing Business Reform Agenda: From Vision to Action</w:t>
      </w:r>
    </w:p>
    <w:p w14:paraId="30AEAE1F" w14:textId="77777777" w:rsidR="001D6D81" w:rsidRDefault="001D6D81" w:rsidP="001D6D81">
      <w:pPr>
        <w:spacing w:after="0" w:line="240" w:lineRule="auto"/>
        <w:jc w:val="both"/>
        <w:rPr>
          <w:rFonts w:ascii="Andes ExtraLight" w:eastAsiaTheme="majorEastAsia" w:hAnsi="Andes ExtraLight" w:cstheme="majorBidi"/>
          <w:b/>
          <w:color w:val="4472C4" w:themeColor="accent1"/>
          <w:sz w:val="26"/>
          <w:szCs w:val="26"/>
        </w:rPr>
      </w:pPr>
    </w:p>
    <w:p w14:paraId="385AB88C" w14:textId="77777777" w:rsidR="001D6D81" w:rsidRPr="0053748D" w:rsidRDefault="001D6D81" w:rsidP="001D6D81">
      <w:pPr>
        <w:spacing w:after="0" w:line="240" w:lineRule="auto"/>
        <w:jc w:val="both"/>
        <w:rPr>
          <w:rFonts w:ascii="Andes ExtraLight" w:eastAsiaTheme="majorEastAsia" w:hAnsi="Andes ExtraLight" w:cstheme="majorBidi"/>
          <w:b/>
          <w:color w:val="4472C4" w:themeColor="accent1"/>
          <w:sz w:val="26"/>
          <w:szCs w:val="26"/>
        </w:rPr>
      </w:pPr>
      <w:r>
        <w:rPr>
          <w:rFonts w:ascii="Andes ExtraLight" w:eastAsiaTheme="majorEastAsia" w:hAnsi="Andes ExtraLight" w:cstheme="majorBidi"/>
          <w:b/>
          <w:color w:val="4472C4" w:themeColor="accent1"/>
          <w:sz w:val="26"/>
          <w:szCs w:val="26"/>
        </w:rPr>
        <w:t>Key Issues and Challenges</w:t>
      </w:r>
    </w:p>
    <w:p w14:paraId="0B66B22C" w14:textId="77777777" w:rsidR="001D6D81" w:rsidRPr="00E97C9B" w:rsidRDefault="001D6D81" w:rsidP="001D6D81">
      <w:pPr>
        <w:spacing w:after="0" w:line="240" w:lineRule="auto"/>
        <w:jc w:val="both"/>
        <w:rPr>
          <w:rFonts w:ascii="Times New Roman" w:hAnsi="Times New Roman" w:cs="Times New Roman"/>
          <w:b/>
          <w:color w:val="4472C4" w:themeColor="accent1"/>
        </w:rPr>
      </w:pPr>
    </w:p>
    <w:p w14:paraId="7DCDF741" w14:textId="77777777" w:rsidR="001D6D81" w:rsidRPr="008714B7" w:rsidRDefault="001D6D81" w:rsidP="001D6D81">
      <w:pPr>
        <w:spacing w:after="0" w:line="240" w:lineRule="auto"/>
        <w:jc w:val="both"/>
        <w:rPr>
          <w:rFonts w:ascii="Times New Roman" w:eastAsia="Times New Roman" w:hAnsi="Times New Roman" w:cs="Times New Roman"/>
        </w:rPr>
      </w:pPr>
      <w:r w:rsidRPr="008714B7">
        <w:rPr>
          <w:rFonts w:ascii="Times New Roman" w:eastAsia="Times New Roman" w:hAnsi="Times New Roman" w:cs="Times New Roman"/>
          <w:b/>
        </w:rPr>
        <w:t xml:space="preserve">Bangladesh slipped one place to 177 in the Doing Business rankings for 2018. </w:t>
      </w:r>
      <w:r w:rsidRPr="008714B7">
        <w:rPr>
          <w:rFonts w:ascii="Times New Roman" w:eastAsia="Times New Roman" w:hAnsi="Times New Roman" w:cs="Times New Roman"/>
        </w:rPr>
        <w:t>This is the second lowest among South Asian economies (</w:t>
      </w:r>
      <w:r w:rsidRPr="008714B7">
        <w:rPr>
          <w:rFonts w:ascii="Times New Roman" w:hAnsi="Times New Roman" w:cs="Times New Roman"/>
        </w:rPr>
        <w:t xml:space="preserve">Afghanistan is at 183). </w:t>
      </w:r>
      <w:r>
        <w:rPr>
          <w:rFonts w:ascii="Times New Roman" w:hAnsi="Times New Roman" w:cs="Times New Roman"/>
        </w:rPr>
        <w:t xml:space="preserve">The country’s dismal performance on the doing business indicators </w:t>
      </w:r>
      <w:r>
        <w:rPr>
          <w:rFonts w:ascii="Times New Roman" w:eastAsia="Times New Roman" w:hAnsi="Times New Roman" w:cs="Times New Roman"/>
        </w:rPr>
        <w:t xml:space="preserve">is attributable </w:t>
      </w:r>
      <w:r w:rsidRPr="008714B7">
        <w:rPr>
          <w:rFonts w:ascii="Times New Roman" w:eastAsia="Times New Roman" w:hAnsi="Times New Roman" w:cs="Times New Roman"/>
        </w:rPr>
        <w:t>to the absence of meaningful reforms in Bangladesh.</w:t>
      </w:r>
      <w:r w:rsidRPr="008714B7">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w:t>
      </w:r>
      <w:r w:rsidRPr="008714B7">
        <w:rPr>
          <w:rFonts w:ascii="Times New Roman" w:eastAsia="Times New Roman" w:hAnsi="Times New Roman" w:cs="Times New Roman"/>
        </w:rPr>
        <w:t>The overall Distance to Frontier (DTF) score</w:t>
      </w:r>
      <w:r>
        <w:rPr>
          <w:rFonts w:ascii="Times New Roman" w:eastAsia="Times New Roman" w:hAnsi="Times New Roman" w:cs="Times New Roman"/>
        </w:rPr>
        <w:t xml:space="preserve"> of</w:t>
      </w:r>
      <w:r w:rsidRPr="008714B7">
        <w:rPr>
          <w:rFonts w:ascii="Times New Roman" w:eastAsia="Times New Roman" w:hAnsi="Times New Roman" w:cs="Times New Roman"/>
        </w:rPr>
        <w:t xml:space="preserve"> 40.99 in DB 2018 is virtually unchanged from the 40.84 in DB 2017. The trend in DTF indicates </w:t>
      </w:r>
      <w:r>
        <w:rPr>
          <w:rFonts w:ascii="Times New Roman" w:eastAsia="Times New Roman" w:hAnsi="Times New Roman" w:cs="Times New Roman"/>
        </w:rPr>
        <w:t xml:space="preserve">that </w:t>
      </w:r>
      <w:r w:rsidRPr="008714B7">
        <w:rPr>
          <w:rFonts w:ascii="Times New Roman" w:eastAsia="Times New Roman" w:hAnsi="Times New Roman" w:cs="Times New Roman"/>
        </w:rPr>
        <w:t>Bangladesh is narrowing its gap with the global regulatory frontier, but the pace, size and quality of improvement remains slow and insufficient.</w:t>
      </w:r>
      <w:r w:rsidRPr="008714B7">
        <w:rPr>
          <w:rFonts w:ascii="Times New Roman" w:hAnsi="Times New Roman" w:cs="Times New Roman"/>
        </w:rPr>
        <w:t xml:space="preserve"> </w:t>
      </w:r>
      <w:r w:rsidRPr="008714B7">
        <w:rPr>
          <w:rFonts w:ascii="Times New Roman" w:eastAsia="Times New Roman" w:hAnsi="Times New Roman" w:cs="Times New Roman"/>
        </w:rPr>
        <w:t>The Doing Business project also recorded two negative reforms in the past two editions of the report, one relating to business start-up</w:t>
      </w:r>
      <w:r w:rsidRPr="008714B7">
        <w:rPr>
          <w:rStyle w:val="FootnoteReference"/>
          <w:rFonts w:ascii="Times New Roman" w:eastAsia="Times New Roman" w:hAnsi="Times New Roman" w:cs="Times New Roman"/>
        </w:rPr>
        <w:footnoteReference w:id="2"/>
      </w:r>
      <w:r w:rsidRPr="008714B7">
        <w:rPr>
          <w:rFonts w:ascii="Times New Roman" w:eastAsia="Times New Roman" w:hAnsi="Times New Roman" w:cs="Times New Roman"/>
        </w:rPr>
        <w:t xml:space="preserve">  and the other to paying taxes</w:t>
      </w:r>
      <w:r w:rsidRPr="008714B7">
        <w:rPr>
          <w:rStyle w:val="FootnoteReference"/>
          <w:rFonts w:ascii="Times New Roman" w:eastAsia="Times New Roman" w:hAnsi="Times New Roman" w:cs="Times New Roman"/>
        </w:rPr>
        <w:footnoteReference w:id="3"/>
      </w:r>
      <w:r w:rsidRPr="008714B7">
        <w:rPr>
          <w:rFonts w:ascii="Times New Roman" w:eastAsia="Times New Roman" w:hAnsi="Times New Roman" w:cs="Times New Roman"/>
        </w:rPr>
        <w:t xml:space="preserve">. </w:t>
      </w:r>
    </w:p>
    <w:p w14:paraId="61937E6F" w14:textId="77777777" w:rsidR="001D6D81" w:rsidRPr="008714B7" w:rsidRDefault="001D6D81" w:rsidP="001D6D81">
      <w:pPr>
        <w:spacing w:after="0" w:line="240" w:lineRule="auto"/>
        <w:jc w:val="both"/>
        <w:rPr>
          <w:rFonts w:ascii="Times New Roman" w:eastAsia="Times New Roman" w:hAnsi="Times New Roman" w:cs="Times New Roman"/>
        </w:rPr>
      </w:pPr>
    </w:p>
    <w:p w14:paraId="7266520C" w14:textId="77777777" w:rsidR="001D6D81" w:rsidRPr="008714B7" w:rsidRDefault="001D6D81" w:rsidP="001D6D81">
      <w:pPr>
        <w:spacing w:after="0" w:line="240" w:lineRule="auto"/>
        <w:jc w:val="both"/>
        <w:rPr>
          <w:rFonts w:ascii="Times New Roman" w:eastAsia="Times New Roman" w:hAnsi="Times New Roman" w:cs="Times New Roman"/>
        </w:rPr>
      </w:pPr>
      <w:r w:rsidRPr="008714B7">
        <w:rPr>
          <w:rFonts w:ascii="Times New Roman" w:eastAsia="Times New Roman" w:hAnsi="Times New Roman" w:cs="Times New Roman"/>
          <w:b/>
        </w:rPr>
        <w:t xml:space="preserve">In late 2016 the </w:t>
      </w:r>
      <w:r>
        <w:rPr>
          <w:rFonts w:ascii="Times New Roman" w:eastAsia="Times New Roman" w:hAnsi="Times New Roman" w:cs="Times New Roman"/>
          <w:b/>
        </w:rPr>
        <w:t>g</w:t>
      </w:r>
      <w:r w:rsidRPr="008714B7">
        <w:rPr>
          <w:rFonts w:ascii="Times New Roman" w:eastAsia="Times New Roman" w:hAnsi="Times New Roman" w:cs="Times New Roman"/>
          <w:b/>
        </w:rPr>
        <w:t xml:space="preserve">overnment set a goal of attaining a double-digit rank on the DB indicators by 2021, requiring targeted and systematic reforms. </w:t>
      </w:r>
      <w:r w:rsidRPr="008714B7">
        <w:rPr>
          <w:rFonts w:ascii="Times New Roman" w:eastAsia="Times New Roman" w:hAnsi="Times New Roman" w:cs="Times New Roman"/>
        </w:rPr>
        <w:t xml:space="preserve">Bangladesh has taken some initiatives in the past 12 months, including commissioning a DB Reform Memorandum outlining key reform opportunities, </w:t>
      </w:r>
      <w:proofErr w:type="gramStart"/>
      <w:r w:rsidRPr="008714B7">
        <w:rPr>
          <w:rFonts w:ascii="Times New Roman" w:eastAsia="Times New Roman" w:hAnsi="Times New Roman" w:cs="Times New Roman"/>
        </w:rPr>
        <w:t>and  preparing</w:t>
      </w:r>
      <w:proofErr w:type="gramEnd"/>
      <w:r w:rsidRPr="008714B7">
        <w:rPr>
          <w:rFonts w:ascii="Times New Roman" w:eastAsia="Times New Roman" w:hAnsi="Times New Roman" w:cs="Times New Roman"/>
        </w:rPr>
        <w:t xml:space="preserve"> a detailed reform action plan for eight indicators. The Bangladesh Investment Development Authority (BIDA), under the Prime Minister’s Office, has also recently created an inter-ministerial task force that will focus on concrete and measurable actions aimed at improving the business environment in the country. As the DB rankings tend to reflect the overall business environment, improving the ranking is likely to give potential private investors a more positive image of Bangladesh’s business environment as well as foster private sector growth through SME development at the local level.</w:t>
      </w:r>
    </w:p>
    <w:p w14:paraId="5A667B83" w14:textId="77777777" w:rsidR="001D6D81" w:rsidRPr="008714B7" w:rsidRDefault="001D6D81" w:rsidP="001D6D81">
      <w:pPr>
        <w:spacing w:after="0" w:line="240" w:lineRule="auto"/>
        <w:jc w:val="both"/>
        <w:rPr>
          <w:rFonts w:ascii="Times New Roman" w:eastAsia="Times New Roman" w:hAnsi="Times New Roman" w:cs="Times New Roman"/>
        </w:rPr>
      </w:pPr>
      <w:r w:rsidRPr="008714B7">
        <w:rPr>
          <w:rFonts w:ascii="Times New Roman" w:eastAsia="Times New Roman" w:hAnsi="Times New Roman" w:cs="Times New Roman"/>
        </w:rPr>
        <w:t xml:space="preserve">  </w:t>
      </w:r>
    </w:p>
    <w:p w14:paraId="289D32D3" w14:textId="1308E049" w:rsidR="001D6D81" w:rsidRPr="008714B7" w:rsidRDefault="001D6D81" w:rsidP="001D6D81">
      <w:pPr>
        <w:pStyle w:val="Default"/>
        <w:jc w:val="both"/>
        <w:rPr>
          <w:bCs/>
          <w:sz w:val="22"/>
          <w:szCs w:val="22"/>
        </w:rPr>
      </w:pPr>
      <w:r w:rsidRPr="008714B7">
        <w:rPr>
          <w:b/>
          <w:bCs/>
          <w:sz w:val="22"/>
          <w:szCs w:val="22"/>
        </w:rPr>
        <w:t xml:space="preserve">Complex and cumbersome Government to Business (G2B) service delivery impedes business startup and growth. </w:t>
      </w:r>
      <w:r w:rsidRPr="008714B7">
        <w:rPr>
          <w:bCs/>
          <w:sz w:val="22"/>
          <w:szCs w:val="22"/>
        </w:rPr>
        <w:t xml:space="preserve">The service delivery process of government agencies, which involves multiple reviews and approvals, is neither systematic nor clear, resulting in difficulties and delays for investors. The absence of a well-structured Standard Operating Procedure (SOP) for service delivery at the agency level often leads to a lack of transparency, increasing the jurisdictional power of government officials and consequently allowing a preferential delivery of services to </w:t>
      </w:r>
      <w:r>
        <w:rPr>
          <w:bCs/>
          <w:sz w:val="22"/>
          <w:szCs w:val="22"/>
        </w:rPr>
        <w:t xml:space="preserve">select </w:t>
      </w:r>
      <w:r w:rsidRPr="008714B7">
        <w:rPr>
          <w:bCs/>
          <w:sz w:val="22"/>
          <w:szCs w:val="22"/>
        </w:rPr>
        <w:t xml:space="preserve">businesses. </w:t>
      </w:r>
      <w:r>
        <w:rPr>
          <w:bCs/>
          <w:sz w:val="22"/>
          <w:szCs w:val="22"/>
        </w:rPr>
        <w:t xml:space="preserve">In addition, </w:t>
      </w:r>
      <w:r w:rsidRPr="00917A8A">
        <w:rPr>
          <w:bCs/>
          <w:sz w:val="22"/>
          <w:szCs w:val="22"/>
        </w:rPr>
        <w:t xml:space="preserve">the </w:t>
      </w:r>
      <w:r w:rsidRPr="008714B7">
        <w:rPr>
          <w:bCs/>
          <w:sz w:val="22"/>
          <w:szCs w:val="22"/>
        </w:rPr>
        <w:t xml:space="preserve">lack of coordination among government agencies causes delays in business operations. </w:t>
      </w:r>
      <w:r w:rsidRPr="00917A8A">
        <w:rPr>
          <w:bCs/>
          <w:sz w:val="22"/>
          <w:szCs w:val="22"/>
        </w:rPr>
        <w:t>An investo</w:t>
      </w:r>
      <w:r w:rsidRPr="001B0853">
        <w:rPr>
          <w:bCs/>
          <w:sz w:val="22"/>
          <w:szCs w:val="22"/>
        </w:rPr>
        <w:t xml:space="preserve">r must navigate over </w:t>
      </w:r>
      <w:r w:rsidR="00EA7C9D" w:rsidRPr="003C0DE1">
        <w:rPr>
          <w:bCs/>
          <w:sz w:val="22"/>
          <w:szCs w:val="22"/>
        </w:rPr>
        <w:t>36</w:t>
      </w:r>
      <w:r w:rsidRPr="001B0853">
        <w:rPr>
          <w:bCs/>
          <w:sz w:val="22"/>
          <w:szCs w:val="22"/>
        </w:rPr>
        <w:t xml:space="preserve"> uncoordinated agencies to obtain the licenses and permits needed to start a business. Lack of coordination among inspectorates often leads to multiple inspections on the same regulatory compliance issues, adding time and cost for both the government and the investors.</w:t>
      </w:r>
    </w:p>
    <w:p w14:paraId="31B38126" w14:textId="77777777" w:rsidR="001D6D81" w:rsidRPr="008714B7" w:rsidRDefault="001D6D81" w:rsidP="001D6D81">
      <w:pPr>
        <w:pStyle w:val="Default"/>
        <w:rPr>
          <w:b/>
          <w:bCs/>
          <w:sz w:val="22"/>
          <w:szCs w:val="22"/>
        </w:rPr>
      </w:pPr>
    </w:p>
    <w:p w14:paraId="4E6E66FF" w14:textId="77777777" w:rsidR="001D6D81" w:rsidRPr="008714B7" w:rsidRDefault="001D6D81" w:rsidP="001D6D81">
      <w:pPr>
        <w:pStyle w:val="Default"/>
        <w:jc w:val="both"/>
        <w:rPr>
          <w:bCs/>
          <w:sz w:val="22"/>
          <w:szCs w:val="22"/>
        </w:rPr>
      </w:pPr>
      <w:r w:rsidRPr="008714B7">
        <w:rPr>
          <w:b/>
          <w:bCs/>
          <w:sz w:val="22"/>
          <w:szCs w:val="22"/>
        </w:rPr>
        <w:t xml:space="preserve">The archaic legal framework cannot accommodate existing and new businesses. </w:t>
      </w:r>
      <w:r w:rsidRPr="008714B7">
        <w:rPr>
          <w:bCs/>
          <w:sz w:val="22"/>
          <w:szCs w:val="22"/>
        </w:rPr>
        <w:t xml:space="preserve">Obsolete laws and regulations governing the private sector, such as the Companies Act, do not support modern practices. An overlap of jurisdictions among government agencies caused by the introduction of new laws without a thorough analysis of their impact poses an additional burden on the private sector.  </w:t>
      </w:r>
    </w:p>
    <w:p w14:paraId="7C721674" w14:textId="77777777" w:rsidR="001D6D81" w:rsidRPr="008714B7" w:rsidRDefault="001D6D81" w:rsidP="001D6D81">
      <w:pPr>
        <w:pStyle w:val="Default"/>
        <w:jc w:val="both"/>
        <w:rPr>
          <w:b/>
          <w:bCs/>
          <w:sz w:val="22"/>
          <w:szCs w:val="22"/>
        </w:rPr>
      </w:pPr>
    </w:p>
    <w:p w14:paraId="3FD46DD5" w14:textId="088DA947" w:rsidR="001D6D81" w:rsidRPr="008714B7" w:rsidRDefault="001D6D81" w:rsidP="001D6D81">
      <w:pPr>
        <w:pStyle w:val="Default"/>
        <w:jc w:val="both"/>
        <w:rPr>
          <w:bCs/>
          <w:sz w:val="22"/>
          <w:szCs w:val="22"/>
        </w:rPr>
      </w:pPr>
      <w:r w:rsidRPr="008714B7">
        <w:rPr>
          <w:b/>
          <w:bCs/>
          <w:sz w:val="22"/>
          <w:szCs w:val="22"/>
        </w:rPr>
        <w:t xml:space="preserve">The recent initiatives for </w:t>
      </w:r>
      <w:r w:rsidR="00D33A4C">
        <w:rPr>
          <w:b/>
          <w:bCs/>
          <w:sz w:val="22"/>
          <w:szCs w:val="22"/>
        </w:rPr>
        <w:t xml:space="preserve">improving </w:t>
      </w:r>
      <w:r w:rsidRPr="008714B7">
        <w:rPr>
          <w:b/>
          <w:bCs/>
          <w:sz w:val="22"/>
          <w:szCs w:val="22"/>
        </w:rPr>
        <w:t xml:space="preserve">DB will likely address many of the </w:t>
      </w:r>
      <w:proofErr w:type="gramStart"/>
      <w:r w:rsidRPr="008714B7">
        <w:rPr>
          <w:b/>
          <w:bCs/>
          <w:sz w:val="22"/>
          <w:szCs w:val="22"/>
        </w:rPr>
        <w:t>aforementioned challenges</w:t>
      </w:r>
      <w:proofErr w:type="gramEnd"/>
      <w:r w:rsidR="004F16FC">
        <w:rPr>
          <w:b/>
          <w:bCs/>
          <w:sz w:val="22"/>
          <w:szCs w:val="22"/>
        </w:rPr>
        <w:t xml:space="preserve"> but the absence of task forces impedes systematic </w:t>
      </w:r>
      <w:r w:rsidR="00D33A4C">
        <w:rPr>
          <w:b/>
          <w:bCs/>
          <w:sz w:val="22"/>
          <w:szCs w:val="22"/>
        </w:rPr>
        <w:t xml:space="preserve">and comprehensive </w:t>
      </w:r>
      <w:r w:rsidR="004F16FC">
        <w:rPr>
          <w:b/>
          <w:bCs/>
          <w:sz w:val="22"/>
          <w:szCs w:val="22"/>
        </w:rPr>
        <w:t>reforms</w:t>
      </w:r>
      <w:r w:rsidRPr="008714B7">
        <w:rPr>
          <w:b/>
          <w:bCs/>
          <w:sz w:val="22"/>
          <w:szCs w:val="22"/>
        </w:rPr>
        <w:t xml:space="preserve">. </w:t>
      </w:r>
      <w:r w:rsidR="00934354">
        <w:rPr>
          <w:bCs/>
          <w:sz w:val="22"/>
          <w:szCs w:val="22"/>
        </w:rPr>
        <w:t>The</w:t>
      </w:r>
      <w:r w:rsidRPr="008714B7">
        <w:rPr>
          <w:bCs/>
          <w:sz w:val="22"/>
          <w:szCs w:val="22"/>
        </w:rPr>
        <w:t xml:space="preserve"> absence of topic-specific task forces impedes proper implementation of </w:t>
      </w:r>
      <w:r>
        <w:rPr>
          <w:bCs/>
          <w:sz w:val="22"/>
          <w:szCs w:val="22"/>
        </w:rPr>
        <w:t>d</w:t>
      </w:r>
      <w:r w:rsidRPr="008714B7">
        <w:rPr>
          <w:bCs/>
          <w:sz w:val="22"/>
          <w:szCs w:val="22"/>
        </w:rPr>
        <w:t>isaggregated DB Reform Action Plans</w:t>
      </w:r>
      <w:r w:rsidRPr="008714B7">
        <w:rPr>
          <w:bCs/>
          <w:i/>
          <w:sz w:val="22"/>
          <w:szCs w:val="22"/>
        </w:rPr>
        <w:t xml:space="preserve">. </w:t>
      </w:r>
      <w:r w:rsidRPr="008714B7">
        <w:rPr>
          <w:bCs/>
          <w:sz w:val="22"/>
          <w:szCs w:val="22"/>
        </w:rPr>
        <w:t xml:space="preserve">Improving </w:t>
      </w:r>
      <w:r w:rsidRPr="008714B7">
        <w:rPr>
          <w:bCs/>
          <w:sz w:val="22"/>
          <w:szCs w:val="22"/>
        </w:rPr>
        <w:lastRenderedPageBreak/>
        <w:t>the performance of a country in a specific regulatory area requires action by multiple government agencies and strong inter-agency coordination.  Successful countries have developed topic-specific task forces comprising designated officials from relevant agencies responsible for implementing recommendations. The absence of topic-specific task forces delays the implementation of DB reform recommendations</w:t>
      </w:r>
      <w:r>
        <w:rPr>
          <w:bCs/>
          <w:sz w:val="22"/>
          <w:szCs w:val="22"/>
        </w:rPr>
        <w:t xml:space="preserve"> in Bangladesh</w:t>
      </w:r>
      <w:r w:rsidRPr="008714B7">
        <w:rPr>
          <w:bCs/>
          <w:sz w:val="22"/>
          <w:szCs w:val="22"/>
        </w:rPr>
        <w:t xml:space="preserve">. These task-forces should work in close coordination with or include private stakeholders to ensure that the private sector’s concerns are addressed.        </w:t>
      </w:r>
    </w:p>
    <w:p w14:paraId="53864A70" w14:textId="77777777" w:rsidR="001D6D81" w:rsidRPr="008714B7" w:rsidRDefault="001D6D81" w:rsidP="001D6D81">
      <w:pPr>
        <w:pStyle w:val="Default"/>
        <w:rPr>
          <w:b/>
          <w:bCs/>
          <w:sz w:val="22"/>
          <w:szCs w:val="22"/>
        </w:rPr>
      </w:pPr>
    </w:p>
    <w:p w14:paraId="61E27E28" w14:textId="77777777" w:rsidR="001D6D81" w:rsidRPr="008714B7" w:rsidRDefault="001D6D81" w:rsidP="001D6D81">
      <w:pPr>
        <w:pStyle w:val="Default"/>
        <w:jc w:val="both"/>
        <w:rPr>
          <w:bCs/>
          <w:sz w:val="22"/>
          <w:szCs w:val="22"/>
        </w:rPr>
      </w:pPr>
      <w:r w:rsidRPr="008714B7">
        <w:rPr>
          <w:b/>
          <w:bCs/>
          <w:sz w:val="22"/>
          <w:szCs w:val="22"/>
        </w:rPr>
        <w:t xml:space="preserve">Furthermore, the absence of a holistic monitoring and evaluation mechanism hinders adequate tracking of the implementation progress. </w:t>
      </w:r>
      <w:r w:rsidRPr="008714B7">
        <w:rPr>
          <w:bCs/>
          <w:sz w:val="22"/>
          <w:szCs w:val="22"/>
        </w:rPr>
        <w:t>Several government agencies have taken individual initiatives to support the DB reform agenda</w:t>
      </w:r>
      <w:r>
        <w:rPr>
          <w:bCs/>
          <w:sz w:val="22"/>
          <w:szCs w:val="22"/>
        </w:rPr>
        <w:t>.</w:t>
      </w:r>
      <w:r w:rsidRPr="008714B7">
        <w:rPr>
          <w:bCs/>
          <w:sz w:val="22"/>
          <w:szCs w:val="22"/>
        </w:rPr>
        <w:t xml:space="preserve"> </w:t>
      </w:r>
      <w:r>
        <w:rPr>
          <w:bCs/>
          <w:sz w:val="22"/>
          <w:szCs w:val="22"/>
        </w:rPr>
        <w:t>H</w:t>
      </w:r>
      <w:r w:rsidRPr="008714B7">
        <w:rPr>
          <w:bCs/>
          <w:sz w:val="22"/>
          <w:szCs w:val="22"/>
        </w:rPr>
        <w:t xml:space="preserve">owever, those efforts are dispersed and </w:t>
      </w:r>
      <w:r>
        <w:rPr>
          <w:bCs/>
          <w:sz w:val="22"/>
          <w:szCs w:val="22"/>
        </w:rPr>
        <w:t xml:space="preserve">some </w:t>
      </w:r>
      <w:r w:rsidRPr="008714B7">
        <w:rPr>
          <w:bCs/>
          <w:sz w:val="22"/>
          <w:szCs w:val="22"/>
        </w:rPr>
        <w:t xml:space="preserve">are not aligned with the DB reform recommendations. There is no mechanism in place to understand the planned activities of the respective agencies related to DB reform initiatives. In addition, there is no system in place to monitor the progress in implementing the disaggregated DB reform action plan. It is also important to have a designated reform champion with political leverage to ensure </w:t>
      </w:r>
      <w:r>
        <w:rPr>
          <w:bCs/>
          <w:sz w:val="22"/>
          <w:szCs w:val="22"/>
        </w:rPr>
        <w:t xml:space="preserve">that </w:t>
      </w:r>
      <w:r w:rsidRPr="008714B7">
        <w:rPr>
          <w:bCs/>
          <w:sz w:val="22"/>
          <w:szCs w:val="22"/>
        </w:rPr>
        <w:t xml:space="preserve">the reforms are implemented. Empowering BIDA – within the Prime Minister’s Office – as the clear reform champion and strengthening its capacities will be key for successfully delivering on the country’s reform agenda.     </w:t>
      </w:r>
    </w:p>
    <w:p w14:paraId="490EABB5" w14:textId="77777777" w:rsidR="001D6D81" w:rsidRPr="008714B7" w:rsidRDefault="001D6D81" w:rsidP="001D6D81">
      <w:pPr>
        <w:spacing w:after="0" w:line="240" w:lineRule="auto"/>
        <w:jc w:val="both"/>
        <w:rPr>
          <w:rFonts w:ascii="Times New Roman" w:hAnsi="Times New Roman" w:cs="Times New Roman"/>
        </w:rPr>
      </w:pPr>
    </w:p>
    <w:p w14:paraId="52DE1D2A" w14:textId="77777777" w:rsidR="001D6D81" w:rsidRPr="008714B7" w:rsidRDefault="001D6D81" w:rsidP="001D6D81">
      <w:pPr>
        <w:spacing w:after="0" w:line="240" w:lineRule="auto"/>
        <w:jc w:val="both"/>
        <w:rPr>
          <w:rFonts w:ascii="Times New Roman" w:hAnsi="Times New Roman" w:cs="Times New Roman"/>
          <w:b/>
        </w:rPr>
      </w:pPr>
      <w:r w:rsidRPr="008714B7">
        <w:rPr>
          <w:rFonts w:ascii="Times New Roman" w:hAnsi="Times New Roman" w:cs="Times New Roman"/>
          <w:b/>
        </w:rPr>
        <w:t xml:space="preserve">Lack of capacity among government agencies </w:t>
      </w:r>
      <w:r>
        <w:rPr>
          <w:rFonts w:ascii="Times New Roman" w:hAnsi="Times New Roman" w:cs="Times New Roman"/>
          <w:b/>
        </w:rPr>
        <w:t xml:space="preserve">also </w:t>
      </w:r>
      <w:r w:rsidRPr="008714B7">
        <w:rPr>
          <w:rFonts w:ascii="Times New Roman" w:hAnsi="Times New Roman" w:cs="Times New Roman"/>
          <w:b/>
        </w:rPr>
        <w:t>impedes the implementation of reforms.</w:t>
      </w:r>
      <w:r w:rsidRPr="008714B7">
        <w:rPr>
          <w:rFonts w:ascii="Times New Roman" w:hAnsi="Times New Roman" w:cs="Times New Roman"/>
          <w:b/>
          <w:i/>
        </w:rPr>
        <w:t xml:space="preserve">  </w:t>
      </w:r>
      <w:r w:rsidRPr="008714B7">
        <w:rPr>
          <w:rFonts w:ascii="Times New Roman" w:hAnsi="Times New Roman" w:cs="Times New Roman"/>
        </w:rPr>
        <w:t xml:space="preserve">Government agencies often lack the necessary resources, including technical know-how, human resources and infrastructure, to make </w:t>
      </w:r>
      <w:r>
        <w:rPr>
          <w:rFonts w:ascii="Times New Roman" w:hAnsi="Times New Roman" w:cs="Times New Roman"/>
        </w:rPr>
        <w:t xml:space="preserve">progress on </w:t>
      </w:r>
      <w:r w:rsidRPr="008714B7">
        <w:rPr>
          <w:rFonts w:ascii="Times New Roman" w:hAnsi="Times New Roman" w:cs="Times New Roman"/>
        </w:rPr>
        <w:t xml:space="preserve">the necessary reforms. </w:t>
      </w:r>
      <w:r w:rsidRPr="008714B7">
        <w:rPr>
          <w:rFonts w:ascii="Times New Roman" w:hAnsi="Times New Roman" w:cs="Times New Roman"/>
          <w:b/>
        </w:rPr>
        <w:t xml:space="preserve">  </w:t>
      </w:r>
    </w:p>
    <w:p w14:paraId="2E11A901" w14:textId="77777777" w:rsidR="001D6D81" w:rsidRPr="008714B7" w:rsidRDefault="001D6D81" w:rsidP="001D6D81">
      <w:pPr>
        <w:pStyle w:val="Default"/>
        <w:rPr>
          <w:b/>
          <w:sz w:val="22"/>
          <w:szCs w:val="22"/>
        </w:rPr>
      </w:pPr>
    </w:p>
    <w:p w14:paraId="768D4F8C" w14:textId="77777777" w:rsidR="001D6D81" w:rsidRPr="00C04F15" w:rsidRDefault="001D6D81" w:rsidP="001D6D81">
      <w:pPr>
        <w:spacing w:after="0" w:line="240" w:lineRule="auto"/>
        <w:jc w:val="both"/>
        <w:rPr>
          <w:rFonts w:ascii="Andes ExtraLight" w:hAnsi="Andes ExtraLight"/>
          <w:b/>
          <w:color w:val="4472C4" w:themeColor="accent1"/>
        </w:rPr>
      </w:pPr>
      <w:r w:rsidRPr="00C04F15">
        <w:rPr>
          <w:rFonts w:ascii="Andes ExtraLight" w:eastAsiaTheme="majorEastAsia" w:hAnsi="Andes ExtraLight" w:cstheme="majorBidi"/>
          <w:b/>
          <w:color w:val="4472C4" w:themeColor="accent1"/>
          <w:sz w:val="26"/>
          <w:szCs w:val="26"/>
        </w:rPr>
        <w:t>Policy Recommendations</w:t>
      </w:r>
    </w:p>
    <w:p w14:paraId="263192F1" w14:textId="77777777" w:rsidR="001D6D81" w:rsidRDefault="001D6D81" w:rsidP="001D6D81">
      <w:pPr>
        <w:spacing w:after="0" w:line="240" w:lineRule="auto"/>
        <w:jc w:val="both"/>
        <w:rPr>
          <w:rFonts w:ascii="Times New Roman" w:hAnsi="Times New Roman" w:cs="Times New Roman"/>
          <w:b/>
          <w:color w:val="4472C4" w:themeColor="accent1"/>
        </w:rPr>
      </w:pPr>
    </w:p>
    <w:p w14:paraId="56DEDC60" w14:textId="3E9E007D" w:rsidR="001D6D81" w:rsidRPr="002434D4" w:rsidRDefault="007C7DA5" w:rsidP="001D6D81">
      <w:pPr>
        <w:spacing w:after="0" w:line="240" w:lineRule="auto"/>
        <w:jc w:val="both"/>
        <w:rPr>
          <w:rFonts w:ascii="Times New Roman" w:hAnsi="Times New Roman" w:cs="Times New Roman"/>
          <w:color w:val="000000" w:themeColor="text1"/>
        </w:rPr>
      </w:pPr>
      <w:r w:rsidRPr="00FF2BF2">
        <w:rPr>
          <w:rFonts w:ascii="Times New Roman" w:hAnsi="Times New Roman" w:cs="Times New Roman"/>
          <w:b/>
        </w:rPr>
        <w:t>To address these issues, in the short term, the government needs to</w:t>
      </w:r>
      <w:r>
        <w:rPr>
          <w:rFonts w:ascii="Times New Roman" w:hAnsi="Times New Roman" w:cs="Times New Roman"/>
          <w:b/>
        </w:rPr>
        <w:t>:</w:t>
      </w:r>
    </w:p>
    <w:p w14:paraId="3EB92AE3" w14:textId="77777777" w:rsidR="001D6D81" w:rsidRPr="008714B7" w:rsidRDefault="001D6D81" w:rsidP="001D6D81">
      <w:pPr>
        <w:pStyle w:val="Default"/>
        <w:numPr>
          <w:ilvl w:val="0"/>
          <w:numId w:val="14"/>
        </w:numPr>
        <w:jc w:val="both"/>
        <w:rPr>
          <w:bCs/>
          <w:sz w:val="22"/>
          <w:szCs w:val="22"/>
        </w:rPr>
      </w:pPr>
      <w:r w:rsidRPr="008714B7">
        <w:rPr>
          <w:bCs/>
          <w:sz w:val="22"/>
          <w:szCs w:val="22"/>
        </w:rPr>
        <w:t xml:space="preserve">Develop inclusive topic-specific task forces comprising representatives from respective line agencies to implement Disaggregated DB Reform Action Plans. The task forces should remain accountable for delivery of reform actions to a central high-powered coordination committee or to the Prime Minister’s Office. </w:t>
      </w:r>
    </w:p>
    <w:p w14:paraId="60AF2266" w14:textId="77777777" w:rsidR="001D6D81" w:rsidRPr="008714B7" w:rsidRDefault="001D6D81" w:rsidP="001D6D81">
      <w:pPr>
        <w:pStyle w:val="Default"/>
        <w:jc w:val="both"/>
        <w:rPr>
          <w:b/>
          <w:sz w:val="22"/>
          <w:szCs w:val="22"/>
        </w:rPr>
      </w:pPr>
    </w:p>
    <w:p w14:paraId="39C79E63" w14:textId="7F38C22E" w:rsidR="001D6D81" w:rsidRPr="008714B7" w:rsidRDefault="007C7DA5" w:rsidP="008714B7">
      <w:pPr>
        <w:spacing w:after="0" w:line="240" w:lineRule="auto"/>
        <w:jc w:val="both"/>
        <w:rPr>
          <w:rFonts w:ascii="Times New Roman" w:hAnsi="Times New Roman" w:cs="Times New Roman"/>
          <w:b/>
        </w:rPr>
      </w:pPr>
      <w:r w:rsidRPr="00FF2BF2">
        <w:rPr>
          <w:rFonts w:ascii="Times New Roman" w:hAnsi="Times New Roman" w:cs="Times New Roman"/>
          <w:b/>
        </w:rPr>
        <w:t>To address these issues, in the medium to long term, the government needs to:</w:t>
      </w:r>
    </w:p>
    <w:p w14:paraId="3A14150E" w14:textId="77777777" w:rsidR="001D6D81" w:rsidRPr="008714B7" w:rsidRDefault="001D6D81" w:rsidP="001D6D81">
      <w:pPr>
        <w:pStyle w:val="Default"/>
        <w:numPr>
          <w:ilvl w:val="0"/>
          <w:numId w:val="14"/>
        </w:numPr>
        <w:jc w:val="both"/>
        <w:rPr>
          <w:b/>
          <w:sz w:val="22"/>
          <w:szCs w:val="22"/>
        </w:rPr>
      </w:pPr>
      <w:r w:rsidRPr="008714B7">
        <w:rPr>
          <w:sz w:val="22"/>
          <w:szCs w:val="22"/>
        </w:rPr>
        <w:t>Simplify G2B service delivery as indicated in the DB disaggregated action plans and develop Standard Operating Procedures (SOP)</w:t>
      </w:r>
      <w:r w:rsidRPr="008714B7">
        <w:rPr>
          <w:b/>
          <w:i/>
          <w:sz w:val="22"/>
          <w:szCs w:val="22"/>
        </w:rPr>
        <w:t xml:space="preserve"> </w:t>
      </w:r>
      <w:r w:rsidRPr="008714B7">
        <w:rPr>
          <w:sz w:val="22"/>
          <w:szCs w:val="22"/>
        </w:rPr>
        <w:t xml:space="preserve">outlining responsibilities/authority of the officials, time and documents required to ensure a transparent, time-defined and effective delivery of services. </w:t>
      </w:r>
      <w:r w:rsidRPr="008714B7">
        <w:rPr>
          <w:b/>
          <w:sz w:val="22"/>
          <w:szCs w:val="22"/>
        </w:rPr>
        <w:t xml:space="preserve"> </w:t>
      </w:r>
    </w:p>
    <w:p w14:paraId="2F7892CD" w14:textId="77777777" w:rsidR="001D6D81" w:rsidRPr="008714B7" w:rsidRDefault="001D6D81" w:rsidP="008714B7">
      <w:pPr>
        <w:pStyle w:val="ListParagraph"/>
        <w:numPr>
          <w:ilvl w:val="0"/>
          <w:numId w:val="14"/>
        </w:numPr>
        <w:spacing w:after="0" w:line="240" w:lineRule="auto"/>
        <w:jc w:val="both"/>
        <w:rPr>
          <w:rFonts w:ascii="Times New Roman" w:hAnsi="Times New Roman" w:cs="Times New Roman"/>
          <w:bCs/>
        </w:rPr>
      </w:pPr>
      <w:r w:rsidRPr="008714B7">
        <w:rPr>
          <w:rFonts w:ascii="Times New Roman" w:hAnsi="Times New Roman" w:cs="Times New Roman"/>
          <w:bCs/>
          <w:color w:val="000000"/>
        </w:rPr>
        <w:t xml:space="preserve">Strengthen Public Private Dialogue (PPD) mechanisms through BIDA, task-forces and relevant agencies to collect inputs and feedback from the private stakeholders. </w:t>
      </w:r>
      <w:r w:rsidRPr="008714B7">
        <w:rPr>
          <w:rFonts w:ascii="Times New Roman" w:hAnsi="Times New Roman" w:cs="Times New Roman"/>
          <w:bCs/>
        </w:rPr>
        <w:t>Develop a monitoring and evaluation mechanism to govern the implementation of the recommendations,</w:t>
      </w:r>
      <w:r w:rsidRPr="008714B7">
        <w:rPr>
          <w:rFonts w:ascii="Times New Roman" w:hAnsi="Times New Roman" w:cs="Times New Roman"/>
        </w:rPr>
        <w:t xml:space="preserve"> </w:t>
      </w:r>
      <w:r w:rsidRPr="008714B7">
        <w:rPr>
          <w:rFonts w:ascii="Times New Roman" w:hAnsi="Times New Roman" w:cs="Times New Roman"/>
          <w:bCs/>
        </w:rPr>
        <w:t>and establish clear reporting lines and escalation mechanism</w:t>
      </w:r>
      <w:r>
        <w:rPr>
          <w:rFonts w:ascii="Times New Roman" w:hAnsi="Times New Roman" w:cs="Times New Roman"/>
          <w:bCs/>
        </w:rPr>
        <w:t>s</w:t>
      </w:r>
      <w:r w:rsidRPr="008714B7">
        <w:rPr>
          <w:rFonts w:ascii="Times New Roman" w:hAnsi="Times New Roman" w:cs="Times New Roman"/>
          <w:bCs/>
        </w:rPr>
        <w:t xml:space="preserve"> to the highest levels of government.   </w:t>
      </w:r>
    </w:p>
    <w:p w14:paraId="3FA49EB6" w14:textId="77777777" w:rsidR="001D6D81" w:rsidRPr="008714B7" w:rsidRDefault="001D6D81" w:rsidP="001D6D81">
      <w:pPr>
        <w:pStyle w:val="Default"/>
        <w:numPr>
          <w:ilvl w:val="0"/>
          <w:numId w:val="14"/>
        </w:numPr>
        <w:jc w:val="both"/>
        <w:rPr>
          <w:bCs/>
          <w:sz w:val="22"/>
          <w:szCs w:val="22"/>
        </w:rPr>
      </w:pPr>
      <w:r w:rsidRPr="008714B7">
        <w:rPr>
          <w:bCs/>
          <w:sz w:val="22"/>
          <w:szCs w:val="22"/>
        </w:rPr>
        <w:t xml:space="preserve">Set up an institutional mechanism for regular follow up by the   Prime Minister’s Office (PMO) for ensuring better inter-agency coordination. </w:t>
      </w:r>
      <w:bookmarkStart w:id="1" w:name="_GoBack"/>
      <w:bookmarkEnd w:id="1"/>
    </w:p>
    <w:p w14:paraId="29697699" w14:textId="77777777" w:rsidR="001D6D81" w:rsidRPr="008714B7" w:rsidRDefault="001D6D81" w:rsidP="001D6D81">
      <w:pPr>
        <w:pStyle w:val="Default"/>
        <w:numPr>
          <w:ilvl w:val="0"/>
          <w:numId w:val="14"/>
        </w:numPr>
        <w:jc w:val="both"/>
        <w:rPr>
          <w:bCs/>
          <w:sz w:val="22"/>
          <w:szCs w:val="22"/>
        </w:rPr>
      </w:pPr>
      <w:r w:rsidRPr="008714B7">
        <w:rPr>
          <w:bCs/>
          <w:sz w:val="22"/>
          <w:szCs w:val="22"/>
        </w:rPr>
        <w:t>Review and update the existing legal framework such as companies act</w:t>
      </w:r>
      <w:r>
        <w:rPr>
          <w:bCs/>
          <w:sz w:val="22"/>
          <w:szCs w:val="22"/>
        </w:rPr>
        <w:t xml:space="preserve"> and the</w:t>
      </w:r>
      <w:r w:rsidRPr="008714B7">
        <w:rPr>
          <w:bCs/>
          <w:sz w:val="22"/>
          <w:szCs w:val="22"/>
        </w:rPr>
        <w:t xml:space="preserve"> arbitration framework to bring </w:t>
      </w:r>
      <w:r>
        <w:rPr>
          <w:bCs/>
          <w:sz w:val="22"/>
          <w:szCs w:val="22"/>
        </w:rPr>
        <w:t xml:space="preserve">in </w:t>
      </w:r>
      <w:r w:rsidRPr="008714B7">
        <w:rPr>
          <w:bCs/>
          <w:sz w:val="22"/>
          <w:szCs w:val="22"/>
        </w:rPr>
        <w:t xml:space="preserve">more transparency and efficiency in the regulatory </w:t>
      </w:r>
      <w:r>
        <w:rPr>
          <w:bCs/>
          <w:sz w:val="22"/>
          <w:szCs w:val="22"/>
        </w:rPr>
        <w:t xml:space="preserve">service </w:t>
      </w:r>
      <w:r w:rsidRPr="008714B7">
        <w:rPr>
          <w:bCs/>
          <w:sz w:val="22"/>
          <w:szCs w:val="22"/>
        </w:rPr>
        <w:t>delivery.</w:t>
      </w:r>
    </w:p>
    <w:p w14:paraId="4DF79430" w14:textId="77777777" w:rsidR="001D6D81" w:rsidRPr="00D539D9" w:rsidRDefault="001D6D81" w:rsidP="001D6D81">
      <w:pPr>
        <w:spacing w:after="0" w:line="240" w:lineRule="auto"/>
        <w:jc w:val="both"/>
        <w:rPr>
          <w:rFonts w:ascii="Arial" w:hAnsi="Arial" w:cs="Arial"/>
        </w:rPr>
      </w:pPr>
    </w:p>
    <w:p w14:paraId="0DC613FF" w14:textId="048D30CE" w:rsidR="001D6D81" w:rsidRDefault="001D6D81">
      <w:pPr>
        <w:rPr>
          <w:rFonts w:ascii="Andes ExtraLight" w:eastAsiaTheme="majorEastAsia" w:hAnsi="Andes ExtraLight" w:cstheme="majorBidi"/>
          <w:b/>
          <w:color w:val="4472C4" w:themeColor="accent1"/>
          <w:sz w:val="30"/>
          <w:szCs w:val="30"/>
        </w:rPr>
      </w:pPr>
    </w:p>
    <w:sectPr w:rsidR="001D6D81" w:rsidSect="00D021FE">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53A7" w14:textId="77777777" w:rsidR="006342BB" w:rsidRDefault="006342BB" w:rsidP="00BF7687">
      <w:pPr>
        <w:spacing w:after="0" w:line="240" w:lineRule="auto"/>
      </w:pPr>
      <w:r>
        <w:separator/>
      </w:r>
    </w:p>
  </w:endnote>
  <w:endnote w:type="continuationSeparator" w:id="0">
    <w:p w14:paraId="1C0A7689" w14:textId="77777777" w:rsidR="006342BB" w:rsidRDefault="006342BB" w:rsidP="00BF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ExtraLight">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899225"/>
      <w:docPartObj>
        <w:docPartGallery w:val="Page Numbers (Bottom of Page)"/>
        <w:docPartUnique/>
      </w:docPartObj>
    </w:sdtPr>
    <w:sdtEndPr>
      <w:rPr>
        <w:noProof/>
      </w:rPr>
    </w:sdtEndPr>
    <w:sdtContent>
      <w:p w14:paraId="6C97F3FD" w14:textId="13FA94A8" w:rsidR="00FE6AF7" w:rsidRDefault="00FE6A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B7896" w14:textId="77777777" w:rsidR="00544EEB" w:rsidRDefault="00544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8574" w14:textId="77777777" w:rsidR="006342BB" w:rsidRDefault="006342BB" w:rsidP="00BF7687">
      <w:pPr>
        <w:spacing w:after="0" w:line="240" w:lineRule="auto"/>
      </w:pPr>
      <w:r>
        <w:separator/>
      </w:r>
    </w:p>
  </w:footnote>
  <w:footnote w:type="continuationSeparator" w:id="0">
    <w:p w14:paraId="5C1B9FCE" w14:textId="77777777" w:rsidR="006342BB" w:rsidRDefault="006342BB" w:rsidP="00BF7687">
      <w:pPr>
        <w:spacing w:after="0" w:line="240" w:lineRule="auto"/>
      </w:pPr>
      <w:r>
        <w:continuationSeparator/>
      </w:r>
    </w:p>
  </w:footnote>
  <w:footnote w:id="1">
    <w:p w14:paraId="2DFCCFA7" w14:textId="77777777" w:rsidR="001D6D81" w:rsidRPr="008714B7" w:rsidRDefault="001D6D81" w:rsidP="001D6D81">
      <w:pPr>
        <w:pStyle w:val="FootnoteText"/>
        <w:jc w:val="both"/>
        <w:rPr>
          <w:rFonts w:ascii="Times New Roman" w:hAnsi="Times New Roman" w:cs="Times New Roman"/>
          <w:sz w:val="18"/>
          <w:szCs w:val="18"/>
        </w:rPr>
      </w:pPr>
      <w:r w:rsidRPr="008714B7">
        <w:rPr>
          <w:rStyle w:val="FootnoteReference"/>
          <w:rFonts w:ascii="Times New Roman" w:hAnsi="Times New Roman" w:cs="Times New Roman"/>
          <w:sz w:val="14"/>
        </w:rPr>
        <w:footnoteRef/>
      </w:r>
      <w:r w:rsidRPr="008714B7">
        <w:rPr>
          <w:rFonts w:ascii="Times New Roman" w:hAnsi="Times New Roman" w:cs="Times New Roman"/>
          <w:sz w:val="14"/>
        </w:rPr>
        <w:t xml:space="preserve"> </w:t>
      </w:r>
      <w:r w:rsidRPr="008714B7">
        <w:rPr>
          <w:rFonts w:ascii="Times New Roman" w:eastAsia="Times New Roman" w:hAnsi="Times New Roman" w:cs="Times New Roman"/>
          <w:sz w:val="18"/>
          <w:szCs w:val="18"/>
        </w:rPr>
        <w:t>It is worth noting that the methodology for post-filling processes under the Paying Taxes indicator was further refined in accordance to best practices. Hence, this rank is not comparable to the one published in the Doing Business 2017 report.</w:t>
      </w:r>
    </w:p>
  </w:footnote>
  <w:footnote w:id="2">
    <w:p w14:paraId="56B707D1" w14:textId="77777777" w:rsidR="001D6D81" w:rsidRPr="008714B7" w:rsidRDefault="001D6D81" w:rsidP="001D6D81">
      <w:pPr>
        <w:pStyle w:val="FootnoteText"/>
        <w:rPr>
          <w:rFonts w:ascii="Times New Roman" w:hAnsi="Times New Roman" w:cs="Times New Roman"/>
          <w:sz w:val="18"/>
          <w:szCs w:val="18"/>
        </w:rPr>
      </w:pPr>
      <w:r w:rsidRPr="008714B7">
        <w:rPr>
          <w:rStyle w:val="FootnoteReference"/>
          <w:rFonts w:ascii="Times New Roman" w:hAnsi="Times New Roman" w:cs="Times New Roman"/>
        </w:rPr>
        <w:footnoteRef/>
      </w:r>
      <w:r w:rsidRPr="008714B7">
        <w:rPr>
          <w:rFonts w:ascii="Times New Roman" w:hAnsi="Times New Roman" w:cs="Times New Roman"/>
        </w:rPr>
        <w:t xml:space="preserve"> </w:t>
      </w:r>
      <w:r w:rsidRPr="008714B7">
        <w:rPr>
          <w:rFonts w:ascii="Times New Roman" w:eastAsia="Times New Roman" w:hAnsi="Times New Roman" w:cs="Times New Roman"/>
          <w:sz w:val="18"/>
          <w:szCs w:val="18"/>
        </w:rPr>
        <w:t>According to Doing Business 2018, Bangladesh made starting a business more expensive by increasing the cost of business registration at the Registrar of Joint Stock Companies and Firms.</w:t>
      </w:r>
    </w:p>
  </w:footnote>
  <w:footnote w:id="3">
    <w:p w14:paraId="46B3C813" w14:textId="77777777" w:rsidR="001D6D81" w:rsidRPr="008714B7" w:rsidRDefault="001D6D81" w:rsidP="001D6D81">
      <w:pPr>
        <w:pStyle w:val="FootnoteText"/>
        <w:rPr>
          <w:rFonts w:ascii="Times New Roman" w:hAnsi="Times New Roman" w:cs="Times New Roman"/>
        </w:rPr>
      </w:pPr>
      <w:r w:rsidRPr="008714B7">
        <w:rPr>
          <w:rStyle w:val="FootnoteReference"/>
          <w:rFonts w:ascii="Times New Roman" w:hAnsi="Times New Roman" w:cs="Times New Roman"/>
        </w:rPr>
        <w:footnoteRef/>
      </w:r>
      <w:r w:rsidRPr="008714B7">
        <w:rPr>
          <w:rFonts w:ascii="Times New Roman" w:hAnsi="Times New Roman" w:cs="Times New Roman"/>
        </w:rPr>
        <w:t xml:space="preserve"> </w:t>
      </w:r>
      <w:r w:rsidRPr="008714B7">
        <w:rPr>
          <w:rFonts w:ascii="Times New Roman" w:eastAsia="Times New Roman" w:hAnsi="Times New Roman" w:cs="Times New Roman"/>
          <w:sz w:val="18"/>
          <w:szCs w:val="18"/>
        </w:rPr>
        <w:t>According to Doing Business 2017, Bangladesh made paying taxes more complicated for companies by increasing the time it takes to prepare VAT and corporate income tax returns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136"/>
    <w:multiLevelType w:val="hybridMultilevel"/>
    <w:tmpl w:val="AF2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4C79"/>
    <w:multiLevelType w:val="hybridMultilevel"/>
    <w:tmpl w:val="121C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BC4300"/>
    <w:multiLevelType w:val="hybridMultilevel"/>
    <w:tmpl w:val="238A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104D3"/>
    <w:multiLevelType w:val="hybridMultilevel"/>
    <w:tmpl w:val="F288EAAE"/>
    <w:lvl w:ilvl="0" w:tplc="CC649B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C3C29"/>
    <w:multiLevelType w:val="hybridMultilevel"/>
    <w:tmpl w:val="3BFCA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C6856"/>
    <w:multiLevelType w:val="hybridMultilevel"/>
    <w:tmpl w:val="D7C43D34"/>
    <w:lvl w:ilvl="0" w:tplc="7BB69A66">
      <w:start w:val="1"/>
      <w:numFmt w:val="bullet"/>
      <w:lvlText w:val="•"/>
      <w:lvlJc w:val="left"/>
      <w:pPr>
        <w:tabs>
          <w:tab w:val="num" w:pos="720"/>
        </w:tabs>
        <w:ind w:left="720" w:hanging="360"/>
      </w:pPr>
      <w:rPr>
        <w:rFonts w:ascii="Arial" w:hAnsi="Arial" w:hint="default"/>
      </w:rPr>
    </w:lvl>
    <w:lvl w:ilvl="1" w:tplc="A6EAD950" w:tentative="1">
      <w:start w:val="1"/>
      <w:numFmt w:val="bullet"/>
      <w:lvlText w:val="•"/>
      <w:lvlJc w:val="left"/>
      <w:pPr>
        <w:tabs>
          <w:tab w:val="num" w:pos="1440"/>
        </w:tabs>
        <w:ind w:left="1440" w:hanging="360"/>
      </w:pPr>
      <w:rPr>
        <w:rFonts w:ascii="Arial" w:hAnsi="Arial" w:hint="default"/>
      </w:rPr>
    </w:lvl>
    <w:lvl w:ilvl="2" w:tplc="8EC6ECAE" w:tentative="1">
      <w:start w:val="1"/>
      <w:numFmt w:val="bullet"/>
      <w:lvlText w:val="•"/>
      <w:lvlJc w:val="left"/>
      <w:pPr>
        <w:tabs>
          <w:tab w:val="num" w:pos="2160"/>
        </w:tabs>
        <w:ind w:left="2160" w:hanging="360"/>
      </w:pPr>
      <w:rPr>
        <w:rFonts w:ascii="Arial" w:hAnsi="Arial" w:hint="default"/>
      </w:rPr>
    </w:lvl>
    <w:lvl w:ilvl="3" w:tplc="58EA5D7E" w:tentative="1">
      <w:start w:val="1"/>
      <w:numFmt w:val="bullet"/>
      <w:lvlText w:val="•"/>
      <w:lvlJc w:val="left"/>
      <w:pPr>
        <w:tabs>
          <w:tab w:val="num" w:pos="2880"/>
        </w:tabs>
        <w:ind w:left="2880" w:hanging="360"/>
      </w:pPr>
      <w:rPr>
        <w:rFonts w:ascii="Arial" w:hAnsi="Arial" w:hint="default"/>
      </w:rPr>
    </w:lvl>
    <w:lvl w:ilvl="4" w:tplc="3B52499A" w:tentative="1">
      <w:start w:val="1"/>
      <w:numFmt w:val="bullet"/>
      <w:lvlText w:val="•"/>
      <w:lvlJc w:val="left"/>
      <w:pPr>
        <w:tabs>
          <w:tab w:val="num" w:pos="3600"/>
        </w:tabs>
        <w:ind w:left="3600" w:hanging="360"/>
      </w:pPr>
      <w:rPr>
        <w:rFonts w:ascii="Arial" w:hAnsi="Arial" w:hint="default"/>
      </w:rPr>
    </w:lvl>
    <w:lvl w:ilvl="5" w:tplc="E9DAE484" w:tentative="1">
      <w:start w:val="1"/>
      <w:numFmt w:val="bullet"/>
      <w:lvlText w:val="•"/>
      <w:lvlJc w:val="left"/>
      <w:pPr>
        <w:tabs>
          <w:tab w:val="num" w:pos="4320"/>
        </w:tabs>
        <w:ind w:left="4320" w:hanging="360"/>
      </w:pPr>
      <w:rPr>
        <w:rFonts w:ascii="Arial" w:hAnsi="Arial" w:hint="default"/>
      </w:rPr>
    </w:lvl>
    <w:lvl w:ilvl="6" w:tplc="1D1C37F2" w:tentative="1">
      <w:start w:val="1"/>
      <w:numFmt w:val="bullet"/>
      <w:lvlText w:val="•"/>
      <w:lvlJc w:val="left"/>
      <w:pPr>
        <w:tabs>
          <w:tab w:val="num" w:pos="5040"/>
        </w:tabs>
        <w:ind w:left="5040" w:hanging="360"/>
      </w:pPr>
      <w:rPr>
        <w:rFonts w:ascii="Arial" w:hAnsi="Arial" w:hint="default"/>
      </w:rPr>
    </w:lvl>
    <w:lvl w:ilvl="7" w:tplc="92A67438" w:tentative="1">
      <w:start w:val="1"/>
      <w:numFmt w:val="bullet"/>
      <w:lvlText w:val="•"/>
      <w:lvlJc w:val="left"/>
      <w:pPr>
        <w:tabs>
          <w:tab w:val="num" w:pos="5760"/>
        </w:tabs>
        <w:ind w:left="5760" w:hanging="360"/>
      </w:pPr>
      <w:rPr>
        <w:rFonts w:ascii="Arial" w:hAnsi="Arial" w:hint="default"/>
      </w:rPr>
    </w:lvl>
    <w:lvl w:ilvl="8" w:tplc="16D664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770BFF"/>
    <w:multiLevelType w:val="hybridMultilevel"/>
    <w:tmpl w:val="0C8A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31CDF"/>
    <w:multiLevelType w:val="hybridMultilevel"/>
    <w:tmpl w:val="ACC6CF00"/>
    <w:lvl w:ilvl="0" w:tplc="E8E8BCC6">
      <w:start w:val="1"/>
      <w:numFmt w:val="bullet"/>
      <w:lvlText w:val="•"/>
      <w:lvlJc w:val="left"/>
      <w:pPr>
        <w:tabs>
          <w:tab w:val="num" w:pos="720"/>
        </w:tabs>
        <w:ind w:left="720" w:hanging="360"/>
      </w:pPr>
      <w:rPr>
        <w:rFonts w:ascii="Arial" w:hAnsi="Arial" w:hint="default"/>
      </w:rPr>
    </w:lvl>
    <w:lvl w:ilvl="1" w:tplc="AEB2544E" w:tentative="1">
      <w:start w:val="1"/>
      <w:numFmt w:val="bullet"/>
      <w:lvlText w:val="•"/>
      <w:lvlJc w:val="left"/>
      <w:pPr>
        <w:tabs>
          <w:tab w:val="num" w:pos="1440"/>
        </w:tabs>
        <w:ind w:left="1440" w:hanging="360"/>
      </w:pPr>
      <w:rPr>
        <w:rFonts w:ascii="Arial" w:hAnsi="Arial" w:hint="default"/>
      </w:rPr>
    </w:lvl>
    <w:lvl w:ilvl="2" w:tplc="AC26ACBA" w:tentative="1">
      <w:start w:val="1"/>
      <w:numFmt w:val="bullet"/>
      <w:lvlText w:val="•"/>
      <w:lvlJc w:val="left"/>
      <w:pPr>
        <w:tabs>
          <w:tab w:val="num" w:pos="2160"/>
        </w:tabs>
        <w:ind w:left="2160" w:hanging="360"/>
      </w:pPr>
      <w:rPr>
        <w:rFonts w:ascii="Arial" w:hAnsi="Arial" w:hint="default"/>
      </w:rPr>
    </w:lvl>
    <w:lvl w:ilvl="3" w:tplc="FB629004" w:tentative="1">
      <w:start w:val="1"/>
      <w:numFmt w:val="bullet"/>
      <w:lvlText w:val="•"/>
      <w:lvlJc w:val="left"/>
      <w:pPr>
        <w:tabs>
          <w:tab w:val="num" w:pos="2880"/>
        </w:tabs>
        <w:ind w:left="2880" w:hanging="360"/>
      </w:pPr>
      <w:rPr>
        <w:rFonts w:ascii="Arial" w:hAnsi="Arial" w:hint="default"/>
      </w:rPr>
    </w:lvl>
    <w:lvl w:ilvl="4" w:tplc="644E8D6C" w:tentative="1">
      <w:start w:val="1"/>
      <w:numFmt w:val="bullet"/>
      <w:lvlText w:val="•"/>
      <w:lvlJc w:val="left"/>
      <w:pPr>
        <w:tabs>
          <w:tab w:val="num" w:pos="3600"/>
        </w:tabs>
        <w:ind w:left="3600" w:hanging="360"/>
      </w:pPr>
      <w:rPr>
        <w:rFonts w:ascii="Arial" w:hAnsi="Arial" w:hint="default"/>
      </w:rPr>
    </w:lvl>
    <w:lvl w:ilvl="5" w:tplc="EA123844" w:tentative="1">
      <w:start w:val="1"/>
      <w:numFmt w:val="bullet"/>
      <w:lvlText w:val="•"/>
      <w:lvlJc w:val="left"/>
      <w:pPr>
        <w:tabs>
          <w:tab w:val="num" w:pos="4320"/>
        </w:tabs>
        <w:ind w:left="4320" w:hanging="360"/>
      </w:pPr>
      <w:rPr>
        <w:rFonts w:ascii="Arial" w:hAnsi="Arial" w:hint="default"/>
      </w:rPr>
    </w:lvl>
    <w:lvl w:ilvl="6" w:tplc="FD8EBA0E" w:tentative="1">
      <w:start w:val="1"/>
      <w:numFmt w:val="bullet"/>
      <w:lvlText w:val="•"/>
      <w:lvlJc w:val="left"/>
      <w:pPr>
        <w:tabs>
          <w:tab w:val="num" w:pos="5040"/>
        </w:tabs>
        <w:ind w:left="5040" w:hanging="360"/>
      </w:pPr>
      <w:rPr>
        <w:rFonts w:ascii="Arial" w:hAnsi="Arial" w:hint="default"/>
      </w:rPr>
    </w:lvl>
    <w:lvl w:ilvl="7" w:tplc="31340E9E" w:tentative="1">
      <w:start w:val="1"/>
      <w:numFmt w:val="bullet"/>
      <w:lvlText w:val="•"/>
      <w:lvlJc w:val="left"/>
      <w:pPr>
        <w:tabs>
          <w:tab w:val="num" w:pos="5760"/>
        </w:tabs>
        <w:ind w:left="5760" w:hanging="360"/>
      </w:pPr>
      <w:rPr>
        <w:rFonts w:ascii="Arial" w:hAnsi="Arial" w:hint="default"/>
      </w:rPr>
    </w:lvl>
    <w:lvl w:ilvl="8" w:tplc="2102C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625C9A"/>
    <w:multiLevelType w:val="hybridMultilevel"/>
    <w:tmpl w:val="73B67C52"/>
    <w:lvl w:ilvl="0" w:tplc="F46EE7A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F0357"/>
    <w:multiLevelType w:val="hybridMultilevel"/>
    <w:tmpl w:val="A0DA4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8B25A2"/>
    <w:multiLevelType w:val="hybridMultilevel"/>
    <w:tmpl w:val="65F87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663981"/>
    <w:multiLevelType w:val="hybridMultilevel"/>
    <w:tmpl w:val="793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7679E"/>
    <w:multiLevelType w:val="hybridMultilevel"/>
    <w:tmpl w:val="EF067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4"/>
  </w:num>
  <w:num w:numId="6">
    <w:abstractNumId w:val="12"/>
  </w:num>
  <w:num w:numId="7">
    <w:abstractNumId w:val="9"/>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6A"/>
    <w:rsid w:val="000032C4"/>
    <w:rsid w:val="000072C9"/>
    <w:rsid w:val="000132BB"/>
    <w:rsid w:val="00014A60"/>
    <w:rsid w:val="00025DE2"/>
    <w:rsid w:val="00030A7F"/>
    <w:rsid w:val="00037CD1"/>
    <w:rsid w:val="00052A7F"/>
    <w:rsid w:val="00054A0F"/>
    <w:rsid w:val="00063121"/>
    <w:rsid w:val="00076533"/>
    <w:rsid w:val="00080B39"/>
    <w:rsid w:val="00083576"/>
    <w:rsid w:val="00083B19"/>
    <w:rsid w:val="000A03F9"/>
    <w:rsid w:val="000C55E9"/>
    <w:rsid w:val="000D0D7B"/>
    <w:rsid w:val="000E049C"/>
    <w:rsid w:val="000E4C9A"/>
    <w:rsid w:val="001051BF"/>
    <w:rsid w:val="0011099D"/>
    <w:rsid w:val="00114DCB"/>
    <w:rsid w:val="0011758E"/>
    <w:rsid w:val="001226A0"/>
    <w:rsid w:val="001374A9"/>
    <w:rsid w:val="00137F4F"/>
    <w:rsid w:val="00146E1E"/>
    <w:rsid w:val="001515E4"/>
    <w:rsid w:val="00154A2F"/>
    <w:rsid w:val="00155BB3"/>
    <w:rsid w:val="001648C6"/>
    <w:rsid w:val="001711F2"/>
    <w:rsid w:val="00186FBC"/>
    <w:rsid w:val="001A0D36"/>
    <w:rsid w:val="001A1DDF"/>
    <w:rsid w:val="001A653D"/>
    <w:rsid w:val="001C7FA3"/>
    <w:rsid w:val="001D4A7B"/>
    <w:rsid w:val="001D6D81"/>
    <w:rsid w:val="001E1A40"/>
    <w:rsid w:val="001E1C05"/>
    <w:rsid w:val="002136C5"/>
    <w:rsid w:val="00220051"/>
    <w:rsid w:val="00225688"/>
    <w:rsid w:val="002265CF"/>
    <w:rsid w:val="002329CA"/>
    <w:rsid w:val="0024145D"/>
    <w:rsid w:val="002416B7"/>
    <w:rsid w:val="00245AAB"/>
    <w:rsid w:val="00257D32"/>
    <w:rsid w:val="0026076A"/>
    <w:rsid w:val="002623FB"/>
    <w:rsid w:val="002628D1"/>
    <w:rsid w:val="00264169"/>
    <w:rsid w:val="00274CAD"/>
    <w:rsid w:val="00277FA7"/>
    <w:rsid w:val="002805FD"/>
    <w:rsid w:val="0028173E"/>
    <w:rsid w:val="00285C61"/>
    <w:rsid w:val="002912B6"/>
    <w:rsid w:val="002A0C75"/>
    <w:rsid w:val="002A298A"/>
    <w:rsid w:val="002B3DE5"/>
    <w:rsid w:val="002D0C57"/>
    <w:rsid w:val="002D5B88"/>
    <w:rsid w:val="002F5037"/>
    <w:rsid w:val="00315A0B"/>
    <w:rsid w:val="00317F9A"/>
    <w:rsid w:val="00326240"/>
    <w:rsid w:val="00330E53"/>
    <w:rsid w:val="00333CEE"/>
    <w:rsid w:val="003425CD"/>
    <w:rsid w:val="00351AA3"/>
    <w:rsid w:val="00354278"/>
    <w:rsid w:val="00356574"/>
    <w:rsid w:val="00365C1E"/>
    <w:rsid w:val="0037233E"/>
    <w:rsid w:val="00373872"/>
    <w:rsid w:val="00376075"/>
    <w:rsid w:val="003803E6"/>
    <w:rsid w:val="00380FE2"/>
    <w:rsid w:val="003819DE"/>
    <w:rsid w:val="0038799D"/>
    <w:rsid w:val="00394C5B"/>
    <w:rsid w:val="00395939"/>
    <w:rsid w:val="00396574"/>
    <w:rsid w:val="00397982"/>
    <w:rsid w:val="003A6D9E"/>
    <w:rsid w:val="003A77F5"/>
    <w:rsid w:val="003B29E7"/>
    <w:rsid w:val="003C0DE1"/>
    <w:rsid w:val="003C2BA1"/>
    <w:rsid w:val="003C6A4F"/>
    <w:rsid w:val="003D4CC8"/>
    <w:rsid w:val="003E65A0"/>
    <w:rsid w:val="003F2C6A"/>
    <w:rsid w:val="003F2DA5"/>
    <w:rsid w:val="0040617A"/>
    <w:rsid w:val="0041053A"/>
    <w:rsid w:val="004113AB"/>
    <w:rsid w:val="0042258F"/>
    <w:rsid w:val="00441DE4"/>
    <w:rsid w:val="00451126"/>
    <w:rsid w:val="0047582B"/>
    <w:rsid w:val="00477077"/>
    <w:rsid w:val="00495921"/>
    <w:rsid w:val="004A2242"/>
    <w:rsid w:val="004A49A4"/>
    <w:rsid w:val="004C01EF"/>
    <w:rsid w:val="004C02F5"/>
    <w:rsid w:val="004E0AA2"/>
    <w:rsid w:val="004E0C1B"/>
    <w:rsid w:val="004E34FE"/>
    <w:rsid w:val="004F16FC"/>
    <w:rsid w:val="004F6292"/>
    <w:rsid w:val="00511BC9"/>
    <w:rsid w:val="0051575F"/>
    <w:rsid w:val="00517D07"/>
    <w:rsid w:val="00525DBB"/>
    <w:rsid w:val="005315B4"/>
    <w:rsid w:val="00533F93"/>
    <w:rsid w:val="00544EEB"/>
    <w:rsid w:val="00554060"/>
    <w:rsid w:val="00586DE6"/>
    <w:rsid w:val="005903FA"/>
    <w:rsid w:val="005A765B"/>
    <w:rsid w:val="005B1426"/>
    <w:rsid w:val="005D2444"/>
    <w:rsid w:val="00603C9A"/>
    <w:rsid w:val="006058AC"/>
    <w:rsid w:val="00605EA3"/>
    <w:rsid w:val="0063128E"/>
    <w:rsid w:val="006342BB"/>
    <w:rsid w:val="006347E5"/>
    <w:rsid w:val="0063565A"/>
    <w:rsid w:val="0064104D"/>
    <w:rsid w:val="00644492"/>
    <w:rsid w:val="0064506A"/>
    <w:rsid w:val="0065530C"/>
    <w:rsid w:val="006747EB"/>
    <w:rsid w:val="00685513"/>
    <w:rsid w:val="00687EB4"/>
    <w:rsid w:val="006A76CA"/>
    <w:rsid w:val="006C23BD"/>
    <w:rsid w:val="006C267B"/>
    <w:rsid w:val="006C27C4"/>
    <w:rsid w:val="006C47DE"/>
    <w:rsid w:val="006C4C37"/>
    <w:rsid w:val="006C5DDA"/>
    <w:rsid w:val="006E18B2"/>
    <w:rsid w:val="006F30CF"/>
    <w:rsid w:val="0070326A"/>
    <w:rsid w:val="00710037"/>
    <w:rsid w:val="00714524"/>
    <w:rsid w:val="007160E6"/>
    <w:rsid w:val="007178AC"/>
    <w:rsid w:val="00724383"/>
    <w:rsid w:val="00731AB8"/>
    <w:rsid w:val="007333F9"/>
    <w:rsid w:val="00736A85"/>
    <w:rsid w:val="00742310"/>
    <w:rsid w:val="00755BA4"/>
    <w:rsid w:val="00774770"/>
    <w:rsid w:val="007764EF"/>
    <w:rsid w:val="00781224"/>
    <w:rsid w:val="00784A47"/>
    <w:rsid w:val="00785073"/>
    <w:rsid w:val="00790395"/>
    <w:rsid w:val="007904E6"/>
    <w:rsid w:val="00790549"/>
    <w:rsid w:val="007A0116"/>
    <w:rsid w:val="007A24D6"/>
    <w:rsid w:val="007A27F5"/>
    <w:rsid w:val="007A69A8"/>
    <w:rsid w:val="007A6A9F"/>
    <w:rsid w:val="007C1D3C"/>
    <w:rsid w:val="007C7DA5"/>
    <w:rsid w:val="007D49D6"/>
    <w:rsid w:val="007D60DB"/>
    <w:rsid w:val="007D6CA6"/>
    <w:rsid w:val="007E0279"/>
    <w:rsid w:val="007E4680"/>
    <w:rsid w:val="007F44A8"/>
    <w:rsid w:val="007F4E1F"/>
    <w:rsid w:val="00820DE7"/>
    <w:rsid w:val="0082176E"/>
    <w:rsid w:val="00830333"/>
    <w:rsid w:val="00831510"/>
    <w:rsid w:val="00845EA8"/>
    <w:rsid w:val="00850D57"/>
    <w:rsid w:val="00861486"/>
    <w:rsid w:val="008635F7"/>
    <w:rsid w:val="008714B7"/>
    <w:rsid w:val="008851D2"/>
    <w:rsid w:val="00895C29"/>
    <w:rsid w:val="0089700D"/>
    <w:rsid w:val="008A27FC"/>
    <w:rsid w:val="008A2E83"/>
    <w:rsid w:val="008B04D1"/>
    <w:rsid w:val="008B0E1A"/>
    <w:rsid w:val="008B21C3"/>
    <w:rsid w:val="008B78AA"/>
    <w:rsid w:val="008C32BE"/>
    <w:rsid w:val="008D370F"/>
    <w:rsid w:val="008D5CAA"/>
    <w:rsid w:val="008E6E69"/>
    <w:rsid w:val="008F47A6"/>
    <w:rsid w:val="00917A8A"/>
    <w:rsid w:val="00934354"/>
    <w:rsid w:val="00941D7A"/>
    <w:rsid w:val="0097181B"/>
    <w:rsid w:val="00985A17"/>
    <w:rsid w:val="009B5428"/>
    <w:rsid w:val="009C3C32"/>
    <w:rsid w:val="009C6399"/>
    <w:rsid w:val="009D3892"/>
    <w:rsid w:val="009D4937"/>
    <w:rsid w:val="009E7122"/>
    <w:rsid w:val="00A06DDC"/>
    <w:rsid w:val="00A202DD"/>
    <w:rsid w:val="00A27E03"/>
    <w:rsid w:val="00A40601"/>
    <w:rsid w:val="00A54632"/>
    <w:rsid w:val="00A6106A"/>
    <w:rsid w:val="00A61A78"/>
    <w:rsid w:val="00A63F5D"/>
    <w:rsid w:val="00A732FB"/>
    <w:rsid w:val="00A73BBC"/>
    <w:rsid w:val="00A76E8E"/>
    <w:rsid w:val="00A86331"/>
    <w:rsid w:val="00A86D4C"/>
    <w:rsid w:val="00A951DA"/>
    <w:rsid w:val="00AA75C7"/>
    <w:rsid w:val="00AB35E0"/>
    <w:rsid w:val="00AC2A78"/>
    <w:rsid w:val="00AD29D5"/>
    <w:rsid w:val="00AE611B"/>
    <w:rsid w:val="00AE634E"/>
    <w:rsid w:val="00AF03EC"/>
    <w:rsid w:val="00AF4AE1"/>
    <w:rsid w:val="00AF5352"/>
    <w:rsid w:val="00AF5D0B"/>
    <w:rsid w:val="00AF73C9"/>
    <w:rsid w:val="00B22F3D"/>
    <w:rsid w:val="00B24F5B"/>
    <w:rsid w:val="00B31497"/>
    <w:rsid w:val="00B33849"/>
    <w:rsid w:val="00B54C8C"/>
    <w:rsid w:val="00B6734E"/>
    <w:rsid w:val="00B675D1"/>
    <w:rsid w:val="00B71310"/>
    <w:rsid w:val="00B81B6E"/>
    <w:rsid w:val="00BB463B"/>
    <w:rsid w:val="00BB495C"/>
    <w:rsid w:val="00BB63C3"/>
    <w:rsid w:val="00BC3E11"/>
    <w:rsid w:val="00BC67E4"/>
    <w:rsid w:val="00BF289B"/>
    <w:rsid w:val="00BF7687"/>
    <w:rsid w:val="00C07A3D"/>
    <w:rsid w:val="00C16275"/>
    <w:rsid w:val="00C21965"/>
    <w:rsid w:val="00C36252"/>
    <w:rsid w:val="00C41AFE"/>
    <w:rsid w:val="00C61735"/>
    <w:rsid w:val="00C65AC2"/>
    <w:rsid w:val="00C747A0"/>
    <w:rsid w:val="00CA7881"/>
    <w:rsid w:val="00CA7CCD"/>
    <w:rsid w:val="00CB19A6"/>
    <w:rsid w:val="00CB7953"/>
    <w:rsid w:val="00CC2E0F"/>
    <w:rsid w:val="00CC652E"/>
    <w:rsid w:val="00CD762B"/>
    <w:rsid w:val="00CF4131"/>
    <w:rsid w:val="00CF538A"/>
    <w:rsid w:val="00CF7F04"/>
    <w:rsid w:val="00D021FE"/>
    <w:rsid w:val="00D20064"/>
    <w:rsid w:val="00D25F2C"/>
    <w:rsid w:val="00D33A4C"/>
    <w:rsid w:val="00D539D9"/>
    <w:rsid w:val="00D75C42"/>
    <w:rsid w:val="00D813FB"/>
    <w:rsid w:val="00DA7A63"/>
    <w:rsid w:val="00DB2A11"/>
    <w:rsid w:val="00DC214F"/>
    <w:rsid w:val="00DC299A"/>
    <w:rsid w:val="00DC67DD"/>
    <w:rsid w:val="00DD1396"/>
    <w:rsid w:val="00DD50A9"/>
    <w:rsid w:val="00DD6185"/>
    <w:rsid w:val="00DD6E2F"/>
    <w:rsid w:val="00DD7E17"/>
    <w:rsid w:val="00DE46BB"/>
    <w:rsid w:val="00DE514C"/>
    <w:rsid w:val="00DF692F"/>
    <w:rsid w:val="00E034E8"/>
    <w:rsid w:val="00E06570"/>
    <w:rsid w:val="00E129A2"/>
    <w:rsid w:val="00E22398"/>
    <w:rsid w:val="00E34549"/>
    <w:rsid w:val="00E37CED"/>
    <w:rsid w:val="00E47C5E"/>
    <w:rsid w:val="00E51CAC"/>
    <w:rsid w:val="00E56975"/>
    <w:rsid w:val="00E6144C"/>
    <w:rsid w:val="00E623A3"/>
    <w:rsid w:val="00E6615A"/>
    <w:rsid w:val="00E70142"/>
    <w:rsid w:val="00E71802"/>
    <w:rsid w:val="00E8220F"/>
    <w:rsid w:val="00E86BD4"/>
    <w:rsid w:val="00E86F92"/>
    <w:rsid w:val="00E9251D"/>
    <w:rsid w:val="00E956BE"/>
    <w:rsid w:val="00E96156"/>
    <w:rsid w:val="00E97C9B"/>
    <w:rsid w:val="00EA70FD"/>
    <w:rsid w:val="00EA7C9D"/>
    <w:rsid w:val="00EB544D"/>
    <w:rsid w:val="00EB54F7"/>
    <w:rsid w:val="00EB7A0A"/>
    <w:rsid w:val="00EC05C8"/>
    <w:rsid w:val="00EC4E30"/>
    <w:rsid w:val="00EC59F4"/>
    <w:rsid w:val="00EC71F4"/>
    <w:rsid w:val="00ED62F4"/>
    <w:rsid w:val="00ED78D2"/>
    <w:rsid w:val="00EE1AD3"/>
    <w:rsid w:val="00EE5BCF"/>
    <w:rsid w:val="00F10CF4"/>
    <w:rsid w:val="00F2242E"/>
    <w:rsid w:val="00F25097"/>
    <w:rsid w:val="00F26204"/>
    <w:rsid w:val="00F33B85"/>
    <w:rsid w:val="00F60765"/>
    <w:rsid w:val="00F65F50"/>
    <w:rsid w:val="00F77E99"/>
    <w:rsid w:val="00F85D0D"/>
    <w:rsid w:val="00F8617C"/>
    <w:rsid w:val="00F90BF7"/>
    <w:rsid w:val="00F93D0A"/>
    <w:rsid w:val="00FB6F3B"/>
    <w:rsid w:val="00FD36A4"/>
    <w:rsid w:val="00FE6AF7"/>
    <w:rsid w:val="00FE78B5"/>
    <w:rsid w:val="00FF2BCC"/>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F66F"/>
  <w15:docId w15:val="{C3C31038-62E1-4D52-9BFA-925B7C3B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204"/>
  </w:style>
  <w:style w:type="paragraph" w:styleId="Heading2">
    <w:name w:val="heading 2"/>
    <w:basedOn w:val="Normal"/>
    <w:next w:val="Normal"/>
    <w:link w:val="Heading2Char"/>
    <w:uiPriority w:val="9"/>
    <w:unhideWhenUsed/>
    <w:qFormat/>
    <w:rsid w:val="00FE78B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E9"/>
    <w:pPr>
      <w:ind w:left="720"/>
      <w:contextualSpacing/>
    </w:pPr>
  </w:style>
  <w:style w:type="paragraph" w:styleId="Header">
    <w:name w:val="header"/>
    <w:basedOn w:val="Normal"/>
    <w:link w:val="HeaderChar"/>
    <w:uiPriority w:val="99"/>
    <w:unhideWhenUsed/>
    <w:rsid w:val="00BF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87"/>
  </w:style>
  <w:style w:type="paragraph" w:styleId="Footer">
    <w:name w:val="footer"/>
    <w:basedOn w:val="Normal"/>
    <w:link w:val="FooterChar"/>
    <w:uiPriority w:val="99"/>
    <w:unhideWhenUsed/>
    <w:rsid w:val="00BF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687"/>
  </w:style>
  <w:style w:type="paragraph" w:styleId="Caption">
    <w:name w:val="caption"/>
    <w:basedOn w:val="Normal"/>
    <w:next w:val="Normal"/>
    <w:uiPriority w:val="35"/>
    <w:unhideWhenUsed/>
    <w:qFormat/>
    <w:rsid w:val="0024145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F2C6A"/>
    <w:rPr>
      <w:sz w:val="16"/>
      <w:szCs w:val="16"/>
    </w:rPr>
  </w:style>
  <w:style w:type="paragraph" w:styleId="CommentText">
    <w:name w:val="annotation text"/>
    <w:basedOn w:val="Normal"/>
    <w:link w:val="CommentTextChar"/>
    <w:uiPriority w:val="99"/>
    <w:semiHidden/>
    <w:unhideWhenUsed/>
    <w:rsid w:val="003F2C6A"/>
    <w:pPr>
      <w:spacing w:line="240" w:lineRule="auto"/>
    </w:pPr>
    <w:rPr>
      <w:sz w:val="20"/>
      <w:szCs w:val="20"/>
    </w:rPr>
  </w:style>
  <w:style w:type="character" w:customStyle="1" w:styleId="CommentTextChar">
    <w:name w:val="Comment Text Char"/>
    <w:basedOn w:val="DefaultParagraphFont"/>
    <w:link w:val="CommentText"/>
    <w:uiPriority w:val="99"/>
    <w:semiHidden/>
    <w:rsid w:val="003F2C6A"/>
    <w:rPr>
      <w:sz w:val="20"/>
      <w:szCs w:val="20"/>
    </w:rPr>
  </w:style>
  <w:style w:type="paragraph" w:styleId="CommentSubject">
    <w:name w:val="annotation subject"/>
    <w:basedOn w:val="CommentText"/>
    <w:next w:val="CommentText"/>
    <w:link w:val="CommentSubjectChar"/>
    <w:uiPriority w:val="99"/>
    <w:semiHidden/>
    <w:unhideWhenUsed/>
    <w:rsid w:val="003F2C6A"/>
    <w:rPr>
      <w:b/>
      <w:bCs/>
    </w:rPr>
  </w:style>
  <w:style w:type="character" w:customStyle="1" w:styleId="CommentSubjectChar">
    <w:name w:val="Comment Subject Char"/>
    <w:basedOn w:val="CommentTextChar"/>
    <w:link w:val="CommentSubject"/>
    <w:uiPriority w:val="99"/>
    <w:semiHidden/>
    <w:rsid w:val="003F2C6A"/>
    <w:rPr>
      <w:b/>
      <w:bCs/>
      <w:sz w:val="20"/>
      <w:szCs w:val="20"/>
    </w:rPr>
  </w:style>
  <w:style w:type="paragraph" w:styleId="BalloonText">
    <w:name w:val="Balloon Text"/>
    <w:basedOn w:val="Normal"/>
    <w:link w:val="BalloonTextChar"/>
    <w:uiPriority w:val="99"/>
    <w:semiHidden/>
    <w:unhideWhenUsed/>
    <w:rsid w:val="003F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6A"/>
    <w:rPr>
      <w:rFonts w:ascii="Segoe UI" w:hAnsi="Segoe UI" w:cs="Segoe UI"/>
      <w:sz w:val="18"/>
      <w:szCs w:val="18"/>
    </w:rPr>
  </w:style>
  <w:style w:type="table" w:styleId="TableGrid">
    <w:name w:val="Table Grid"/>
    <w:basedOn w:val="TableNormal"/>
    <w:uiPriority w:val="39"/>
    <w:rsid w:val="00D5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78B5"/>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B71310"/>
    <w:pPr>
      <w:spacing w:after="0" w:line="240" w:lineRule="auto"/>
    </w:pPr>
  </w:style>
  <w:style w:type="paragraph" w:styleId="FootnoteText">
    <w:name w:val="footnote text"/>
    <w:aliases w:val="single space,ft,Fußnote,FOOTNOTES,(NECG) Footnote Text,Footnote Text Char Char Char Char Char,Footnote Text Char Char Char Char Char Char,(NECG) Footnote Text Char Char Char Char Char,ft2,ADB,Footnote Text Char1,FOOTNOTE,footnote text,f"/>
    <w:basedOn w:val="Normal"/>
    <w:link w:val="FootnoteTextChar"/>
    <w:uiPriority w:val="99"/>
    <w:unhideWhenUsed/>
    <w:qFormat/>
    <w:rsid w:val="00D20064"/>
    <w:pPr>
      <w:spacing w:after="0" w:line="240" w:lineRule="auto"/>
    </w:pPr>
    <w:rPr>
      <w:sz w:val="20"/>
      <w:szCs w:val="20"/>
    </w:rPr>
  </w:style>
  <w:style w:type="character" w:customStyle="1" w:styleId="FootnoteTextChar">
    <w:name w:val="Footnote Text Char"/>
    <w:aliases w:val="single space Char,ft Char,Fußnote Char,FOOTNOTES Char,(NECG) Footnote Text Char,Footnote Text Char Char Char Char Char Char1,Footnote Text Char Char Char Char Char Char Char,(NECG) Footnote Text Char Char Char Char Char Char,ft2 Char"/>
    <w:basedOn w:val="DefaultParagraphFont"/>
    <w:link w:val="FootnoteText"/>
    <w:uiPriority w:val="99"/>
    <w:rsid w:val="00D20064"/>
    <w:rPr>
      <w:sz w:val="20"/>
      <w:szCs w:val="20"/>
    </w:rPr>
  </w:style>
  <w:style w:type="character" w:styleId="FootnoteReference">
    <w:name w:val="footnote reference"/>
    <w:aliases w:val="Footnote Reference1,ftref,16 Point,Superscript 6 Point,Ref,de nota al pie,Fußnotenzeichen DISS,(NECG) Footnote Reference,fr,Footnote Ref in FtNote,BVI fnr, BVI fnr,Знак сноски 1,FnR-ANZDEC,SUPERS,List Bullet Char Char,appel Char Char"/>
    <w:basedOn w:val="DefaultParagraphFont"/>
    <w:link w:val="CharCharCharCharCarChar"/>
    <w:uiPriority w:val="99"/>
    <w:unhideWhenUsed/>
    <w:rsid w:val="00D20064"/>
    <w:rPr>
      <w:vertAlign w:val="superscript"/>
    </w:rPr>
  </w:style>
  <w:style w:type="paragraph" w:customStyle="1" w:styleId="Default">
    <w:name w:val="Default"/>
    <w:rsid w:val="00D200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20064"/>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9133">
      <w:bodyDiv w:val="1"/>
      <w:marLeft w:val="0"/>
      <w:marRight w:val="0"/>
      <w:marTop w:val="0"/>
      <w:marBottom w:val="0"/>
      <w:divBdr>
        <w:top w:val="none" w:sz="0" w:space="0" w:color="auto"/>
        <w:left w:val="none" w:sz="0" w:space="0" w:color="auto"/>
        <w:bottom w:val="none" w:sz="0" w:space="0" w:color="auto"/>
        <w:right w:val="none" w:sz="0" w:space="0" w:color="auto"/>
      </w:divBdr>
      <w:divsChild>
        <w:div w:id="1814440451">
          <w:marLeft w:val="446"/>
          <w:marRight w:val="0"/>
          <w:marTop w:val="0"/>
          <w:marBottom w:val="0"/>
          <w:divBdr>
            <w:top w:val="none" w:sz="0" w:space="0" w:color="auto"/>
            <w:left w:val="none" w:sz="0" w:space="0" w:color="auto"/>
            <w:bottom w:val="none" w:sz="0" w:space="0" w:color="auto"/>
            <w:right w:val="none" w:sz="0" w:space="0" w:color="auto"/>
          </w:divBdr>
        </w:div>
        <w:div w:id="939022583">
          <w:marLeft w:val="446"/>
          <w:marRight w:val="0"/>
          <w:marTop w:val="0"/>
          <w:marBottom w:val="0"/>
          <w:divBdr>
            <w:top w:val="none" w:sz="0" w:space="0" w:color="auto"/>
            <w:left w:val="none" w:sz="0" w:space="0" w:color="auto"/>
            <w:bottom w:val="none" w:sz="0" w:space="0" w:color="auto"/>
            <w:right w:val="none" w:sz="0" w:space="0" w:color="auto"/>
          </w:divBdr>
        </w:div>
        <w:div w:id="462619141">
          <w:marLeft w:val="446"/>
          <w:marRight w:val="0"/>
          <w:marTop w:val="0"/>
          <w:marBottom w:val="0"/>
          <w:divBdr>
            <w:top w:val="none" w:sz="0" w:space="0" w:color="auto"/>
            <w:left w:val="none" w:sz="0" w:space="0" w:color="auto"/>
            <w:bottom w:val="none" w:sz="0" w:space="0" w:color="auto"/>
            <w:right w:val="none" w:sz="0" w:space="0" w:color="auto"/>
          </w:divBdr>
        </w:div>
      </w:divsChild>
    </w:div>
    <w:div w:id="759330660">
      <w:bodyDiv w:val="1"/>
      <w:marLeft w:val="0"/>
      <w:marRight w:val="0"/>
      <w:marTop w:val="0"/>
      <w:marBottom w:val="0"/>
      <w:divBdr>
        <w:top w:val="none" w:sz="0" w:space="0" w:color="auto"/>
        <w:left w:val="none" w:sz="0" w:space="0" w:color="auto"/>
        <w:bottom w:val="none" w:sz="0" w:space="0" w:color="auto"/>
        <w:right w:val="none" w:sz="0" w:space="0" w:color="auto"/>
      </w:divBdr>
    </w:div>
    <w:div w:id="909733228">
      <w:bodyDiv w:val="1"/>
      <w:marLeft w:val="0"/>
      <w:marRight w:val="0"/>
      <w:marTop w:val="0"/>
      <w:marBottom w:val="0"/>
      <w:divBdr>
        <w:top w:val="none" w:sz="0" w:space="0" w:color="auto"/>
        <w:left w:val="none" w:sz="0" w:space="0" w:color="auto"/>
        <w:bottom w:val="none" w:sz="0" w:space="0" w:color="auto"/>
        <w:right w:val="none" w:sz="0" w:space="0" w:color="auto"/>
      </w:divBdr>
      <w:divsChild>
        <w:div w:id="13601639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9AD4A57C5BB6CF468078C564BB867C8C" ma:contentTypeVersion="3" ma:contentTypeDescription="" ma:contentTypeScope="" ma:versionID="d2cda7cd8c1b5059e6c564fc3228dc3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000332675:Miah Rahmat Ali:mali@ifc.org;000364387:M. Masrur Reaz:mreaz@ifc.org;</DocAuthors>
    <Authors xmlns="b99a068c-3844-4a16-badd-77233eea0529">
      <UserInfo>
        <DisplayName>i:0#.w|ifc\mali</DisplayName>
        <AccountId>7462</AccountId>
        <AccountType/>
      </UserInfo>
      <UserInfo>
        <DisplayName>i:0#.w|ifc\mreaz</DisplayName>
        <AccountId>7394</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2018-07-29T04:00:00+00:00</DocumentDate>
    <WBDocType xmlns="b99a068c-3844-4a16-badd-77233eea0529">Policy Note</WBDocType>
    <SecurityClassification xmlns="b99a068c-3844-4a16-badd-77233eea0529">Public</SecurityClassification>
    <DeliverableID xmlns="b99a068c-3844-4a16-badd-77233eea0529">DLV0208685</DeliverableID>
    <ProjectID xmlns="b99a068c-3844-4a16-badd-77233eea0529">P165752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A758E898-095B-4CA8-B701-210CBA02208E}"/>
</file>

<file path=customXml/itemProps2.xml><?xml version="1.0" encoding="utf-8"?>
<ds:datastoreItem xmlns:ds="http://schemas.openxmlformats.org/officeDocument/2006/customXml" ds:itemID="{56860081-2BC4-4EF0-9541-A9B00225AC6A}"/>
</file>

<file path=customXml/itemProps3.xml><?xml version="1.0" encoding="utf-8"?>
<ds:datastoreItem xmlns:ds="http://schemas.openxmlformats.org/officeDocument/2006/customXml" ds:itemID="{E0E6FAE1-F223-4D15-8C28-F3F5898ACCB6}"/>
</file>

<file path=customXml/itemProps4.xml><?xml version="1.0" encoding="utf-8"?>
<ds:datastoreItem xmlns:ds="http://schemas.openxmlformats.org/officeDocument/2006/customXml" ds:itemID="{A4A2A145-2216-42E7-9F9A-775FE1267999}"/>
</file>

<file path=customXml/itemProps5.xml><?xml version="1.0" encoding="utf-8"?>
<ds:datastoreItem xmlns:ds="http://schemas.openxmlformats.org/officeDocument/2006/customXml" ds:itemID="{B2D9B120-999B-44E1-9A25-720F818756F0}"/>
</file>

<file path=docProps/app.xml><?xml version="1.0" encoding="utf-8"?>
<Properties xmlns="http://schemas.openxmlformats.org/officeDocument/2006/extended-properties" xmlns:vt="http://schemas.openxmlformats.org/officeDocument/2006/docPropsVTypes">
  <Template>Normal.dotm</Template>
  <TotalTime>1</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in Business to Create Jobs </dc:title>
  <dc:creator>Khalid Mustafiz Gaffar;mali@ifc.org</dc:creator>
  <cp:lastModifiedBy>Nusrat Nahid Babi</cp:lastModifiedBy>
  <cp:revision>4</cp:revision>
  <dcterms:created xsi:type="dcterms:W3CDTF">2018-06-12T07:51:00Z</dcterms:created>
  <dcterms:modified xsi:type="dcterms:W3CDTF">2018-07-22T07:32:00Z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0x01010054E0FEF4951F9D49A6F48A35419983C7009AD4A57C5BB6CF468078C564BB867C8C</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