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D87C2" w14:textId="77777777" w:rsidR="00FA24C7" w:rsidRPr="005A1BDB" w:rsidRDefault="00FA24C7" w:rsidP="00FA24C7">
      <w:pPr>
        <w:jc w:val="center"/>
        <w:rPr>
          <w:b/>
          <w:color w:val="2E74B5" w:themeColor="accent1" w:themeShade="BF"/>
          <w:sz w:val="28"/>
          <w:szCs w:val="28"/>
        </w:rPr>
      </w:pPr>
      <w:r w:rsidRPr="005A1BDB">
        <w:rPr>
          <w:b/>
          <w:color w:val="2E74B5" w:themeColor="accent1" w:themeShade="BF"/>
          <w:sz w:val="28"/>
          <w:szCs w:val="28"/>
        </w:rPr>
        <w:t>COUNTRY ECONOMIC MEMORANDUM</w:t>
      </w:r>
    </w:p>
    <w:p w14:paraId="1BFDD081" w14:textId="77777777" w:rsidR="00FA24C7" w:rsidRPr="005A1BDB" w:rsidRDefault="00FA24C7" w:rsidP="00FA24C7">
      <w:pPr>
        <w:jc w:val="center"/>
        <w:rPr>
          <w:b/>
          <w:color w:val="2E74B5" w:themeColor="accent1" w:themeShade="BF"/>
          <w:sz w:val="28"/>
          <w:szCs w:val="28"/>
        </w:rPr>
      </w:pPr>
      <w:r w:rsidRPr="005A1BDB">
        <w:rPr>
          <w:b/>
          <w:color w:val="2E74B5" w:themeColor="accent1" w:themeShade="BF"/>
          <w:sz w:val="28"/>
          <w:szCs w:val="28"/>
        </w:rPr>
        <w:t>for São Tomé and Príncipe</w:t>
      </w:r>
    </w:p>
    <w:p w14:paraId="7334B316" w14:textId="77777777" w:rsidR="00FA24C7" w:rsidRPr="008143CA" w:rsidRDefault="00FA24C7" w:rsidP="00FA24C7">
      <w:pPr>
        <w:jc w:val="center"/>
        <w:rPr>
          <w:b/>
          <w:color w:val="2E74B5" w:themeColor="accent1" w:themeShade="BF"/>
          <w:sz w:val="28"/>
          <w:szCs w:val="28"/>
        </w:rPr>
      </w:pPr>
      <w:r w:rsidRPr="008143CA">
        <w:rPr>
          <w:b/>
          <w:color w:val="2E74B5" w:themeColor="accent1" w:themeShade="BF"/>
          <w:sz w:val="28"/>
          <w:szCs w:val="28"/>
        </w:rPr>
        <w:t>Background Notes</w:t>
      </w:r>
    </w:p>
    <w:p w14:paraId="47C7451C" w14:textId="77777777" w:rsidR="00FA24C7" w:rsidRPr="008143CA" w:rsidRDefault="00FA24C7" w:rsidP="00FA24C7">
      <w:pPr>
        <w:jc w:val="center"/>
        <w:rPr>
          <w:b/>
          <w:color w:val="2E74B5" w:themeColor="accent1" w:themeShade="BF"/>
          <w:sz w:val="28"/>
          <w:szCs w:val="28"/>
        </w:rPr>
      </w:pPr>
      <w:r>
        <w:rPr>
          <w:b/>
          <w:noProof/>
          <w:color w:val="2E74B5" w:themeColor="accent1" w:themeShade="BF"/>
          <w:sz w:val="28"/>
          <w:szCs w:val="28"/>
        </w:rPr>
        <mc:AlternateContent>
          <mc:Choice Requires="wps">
            <w:drawing>
              <wp:anchor distT="0" distB="0" distL="114300" distR="114300" simplePos="0" relativeHeight="251659264" behindDoc="0" locked="0" layoutInCell="1" allowOverlap="1" wp14:anchorId="62826F58" wp14:editId="40F67F5A">
                <wp:simplePos x="0" y="0"/>
                <wp:positionH relativeFrom="column">
                  <wp:posOffset>-21143</wp:posOffset>
                </wp:positionH>
                <wp:positionV relativeFrom="paragraph">
                  <wp:posOffset>91649</wp:posOffset>
                </wp:positionV>
                <wp:extent cx="6057239"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57239" cy="0"/>
                        </a:xfrm>
                        <a:prstGeom prst="line">
                          <a:avLst/>
                        </a:prstGeom>
                        <a:ln w="15875">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88125"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7.2pt" to="47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" strokecolor="#ed7d31" strokeweight="1.25pt">
                <v:stroke joinstyle="miter"/>
              </v:line>
            </w:pict>
          </mc:Fallback>
        </mc:AlternateContent>
      </w:r>
    </w:p>
    <w:p w14:paraId="42B30F39" w14:textId="347A0231" w:rsidR="00FA24C7" w:rsidRPr="008143CA" w:rsidRDefault="00FA24C7" w:rsidP="00FA24C7">
      <w:pPr>
        <w:spacing w:after="240"/>
        <w:jc w:val="both"/>
        <w:rPr>
          <w:b/>
          <w:color w:val="2E74B5" w:themeColor="accent1" w:themeShade="BF"/>
          <w:sz w:val="24"/>
          <w:szCs w:val="24"/>
        </w:rPr>
      </w:pPr>
      <w:r>
        <w:rPr>
          <w:b/>
          <w:color w:val="2E74B5" w:themeColor="accent1" w:themeShade="BF"/>
          <w:sz w:val="24"/>
          <w:szCs w:val="24"/>
        </w:rPr>
        <w:t>Note #</w:t>
      </w:r>
      <w:r w:rsidR="00270814">
        <w:rPr>
          <w:b/>
          <w:color w:val="2E74B5" w:themeColor="accent1" w:themeShade="BF"/>
          <w:sz w:val="24"/>
          <w:szCs w:val="24"/>
        </w:rPr>
        <w:t>6</w:t>
      </w:r>
      <w:bookmarkStart w:id="0" w:name="_GoBack"/>
      <w:bookmarkEnd w:id="0"/>
      <w:r w:rsidRPr="008143CA">
        <w:rPr>
          <w:b/>
          <w:color w:val="2E74B5" w:themeColor="accent1" w:themeShade="BF"/>
          <w:sz w:val="24"/>
          <w:szCs w:val="24"/>
        </w:rPr>
        <w:t xml:space="preserve"> </w:t>
      </w:r>
      <w:r>
        <w:rPr>
          <w:b/>
          <w:color w:val="2E74B5" w:themeColor="accent1" w:themeShade="BF"/>
          <w:sz w:val="24"/>
          <w:szCs w:val="24"/>
        </w:rPr>
        <w:t>–</w:t>
      </w:r>
      <w:r w:rsidRPr="008143CA">
        <w:rPr>
          <w:b/>
          <w:color w:val="2E74B5" w:themeColor="accent1" w:themeShade="BF"/>
          <w:sz w:val="24"/>
          <w:szCs w:val="24"/>
        </w:rPr>
        <w:t xml:space="preserve"> </w:t>
      </w:r>
      <w:r>
        <w:rPr>
          <w:b/>
          <w:color w:val="2E74B5" w:themeColor="accent1" w:themeShade="BF"/>
          <w:sz w:val="24"/>
          <w:szCs w:val="24"/>
        </w:rPr>
        <w:t>Stock take on business environment reform in São Tomé and Príncipe</w:t>
      </w:r>
    </w:p>
    <w:p w14:paraId="6A5BE58E" w14:textId="4AB8178E" w:rsidR="00FA24C7" w:rsidRDefault="00FA24C7" w:rsidP="00FA24C7">
      <w:pPr>
        <w:autoSpaceDE w:val="0"/>
        <w:autoSpaceDN w:val="0"/>
        <w:adjustRightInd w:val="0"/>
        <w:spacing w:after="0" w:line="240" w:lineRule="auto"/>
        <w:jc w:val="right"/>
        <w:rPr>
          <w:rFonts w:eastAsia="MS Mincho"/>
          <w:color w:val="000000"/>
          <w:sz w:val="20"/>
          <w:szCs w:val="20"/>
          <w:lang w:eastAsia="ja-JP"/>
        </w:rPr>
      </w:pPr>
      <w:r>
        <w:rPr>
          <w:rFonts w:eastAsia="MS Mincho"/>
          <w:color w:val="000000"/>
          <w:sz w:val="20"/>
          <w:szCs w:val="20"/>
          <w:lang w:eastAsia="ja-JP"/>
        </w:rPr>
        <w:t>Zenaida Uriz</w:t>
      </w:r>
      <w:r w:rsidRPr="007C67AA">
        <w:rPr>
          <w:rStyle w:val="FootnoteReference"/>
          <w:rFonts w:eastAsia="MS Mincho"/>
          <w:color w:val="000000"/>
          <w:sz w:val="20"/>
          <w:szCs w:val="20"/>
          <w:lang w:eastAsia="ja-JP"/>
        </w:rPr>
        <w:footnoteReference w:customMarkFollows="1" w:id="2"/>
        <w:sym w:font="Symbol" w:char="F02A"/>
      </w:r>
    </w:p>
    <w:p w14:paraId="59E09865" w14:textId="77777777" w:rsidR="00DE4C57" w:rsidRPr="00FA24C7" w:rsidRDefault="00DE4C57" w:rsidP="00FA24C7">
      <w:pPr>
        <w:pStyle w:val="ListParagraph"/>
        <w:widowControl w:val="0"/>
        <w:tabs>
          <w:tab w:val="left" w:pos="720"/>
        </w:tabs>
        <w:autoSpaceDE w:val="0"/>
        <w:autoSpaceDN w:val="0"/>
        <w:adjustRightInd w:val="0"/>
        <w:spacing w:after="120" w:line="276" w:lineRule="auto"/>
        <w:ind w:left="504" w:hanging="360"/>
        <w:contextualSpacing w:val="0"/>
        <w:jc w:val="both"/>
        <w:rPr>
          <w:b/>
          <w:color w:val="2E74B5" w:themeColor="accent1" w:themeShade="BF"/>
          <w:sz w:val="24"/>
          <w:szCs w:val="24"/>
        </w:rPr>
      </w:pPr>
    </w:p>
    <w:p w14:paraId="0919DCF4" w14:textId="61731B2C" w:rsidR="00FA24C7" w:rsidRPr="00FA24C7" w:rsidRDefault="00FA24C7" w:rsidP="00FA24C7">
      <w:pPr>
        <w:pStyle w:val="ListParagraph"/>
        <w:widowControl w:val="0"/>
        <w:numPr>
          <w:ilvl w:val="0"/>
          <w:numId w:val="8"/>
        </w:numPr>
        <w:tabs>
          <w:tab w:val="left" w:pos="720"/>
        </w:tabs>
        <w:autoSpaceDE w:val="0"/>
        <w:autoSpaceDN w:val="0"/>
        <w:adjustRightInd w:val="0"/>
        <w:spacing w:after="120" w:line="276" w:lineRule="auto"/>
        <w:ind w:left="504"/>
        <w:contextualSpacing w:val="0"/>
        <w:jc w:val="both"/>
        <w:rPr>
          <w:b/>
          <w:color w:val="0070C0"/>
        </w:rPr>
      </w:pPr>
      <w:r w:rsidRPr="00FA24C7">
        <w:rPr>
          <w:b/>
          <w:color w:val="0070C0"/>
          <w:sz w:val="24"/>
          <w:szCs w:val="24"/>
        </w:rPr>
        <w:t>Introduction</w:t>
      </w:r>
    </w:p>
    <w:p w14:paraId="14299811" w14:textId="39DD45D3" w:rsidR="009A2E01" w:rsidRDefault="00152339" w:rsidP="00FA24C7">
      <w:pPr>
        <w:pStyle w:val="ListParagraph"/>
        <w:numPr>
          <w:ilvl w:val="0"/>
          <w:numId w:val="3"/>
        </w:numPr>
        <w:spacing w:after="120" w:line="276" w:lineRule="auto"/>
        <w:ind w:left="0" w:firstLine="0"/>
        <w:contextualSpacing w:val="0"/>
        <w:jc w:val="both"/>
      </w:pPr>
      <w:r>
        <w:rPr>
          <w:b/>
        </w:rPr>
        <w:t xml:space="preserve">The importance of a good regulatory </w:t>
      </w:r>
      <w:r w:rsidR="005C30FF">
        <w:rPr>
          <w:b/>
        </w:rPr>
        <w:t xml:space="preserve">and institutional </w:t>
      </w:r>
      <w:r>
        <w:rPr>
          <w:b/>
        </w:rPr>
        <w:t xml:space="preserve">environment for business </w:t>
      </w:r>
      <w:r w:rsidR="003E5268">
        <w:rPr>
          <w:b/>
        </w:rPr>
        <w:t>creation and growth is well established.</w:t>
      </w:r>
      <w:r w:rsidR="003E5268">
        <w:rPr>
          <w:rStyle w:val="FootnoteReference"/>
          <w:b/>
        </w:rPr>
        <w:footnoteReference w:id="3"/>
      </w:r>
      <w:r w:rsidR="003E5268">
        <w:rPr>
          <w:b/>
        </w:rPr>
        <w:t xml:space="preserve"> </w:t>
      </w:r>
      <w:r w:rsidR="005C30FF" w:rsidRPr="005C30FF">
        <w:t>Good regulations and a leve</w:t>
      </w:r>
      <w:r w:rsidR="005C30FF" w:rsidRPr="00E6559F">
        <w:t xml:space="preserve">l playing field </w:t>
      </w:r>
      <w:r w:rsidR="005C30FF" w:rsidRPr="005C30FF">
        <w:t xml:space="preserve">are </w:t>
      </w:r>
      <w:r w:rsidR="00AB4724" w:rsidRPr="005C30FF">
        <w:t xml:space="preserve">particularly important </w:t>
      </w:r>
      <w:r w:rsidR="005C30FF" w:rsidRPr="00E6559F">
        <w:t>to maximize opportunities for private investment</w:t>
      </w:r>
      <w:r w:rsidR="005C30FF" w:rsidRPr="005C30FF">
        <w:t xml:space="preserve"> </w:t>
      </w:r>
      <w:r w:rsidR="005C30FF">
        <w:t>in</w:t>
      </w:r>
      <w:r w:rsidR="00AB4724" w:rsidRPr="005C30FF">
        <w:t xml:space="preserve"> s</w:t>
      </w:r>
      <w:r w:rsidR="00DA3F44" w:rsidRPr="005C30FF">
        <w:t xml:space="preserve">mall </w:t>
      </w:r>
      <w:r w:rsidR="00AB4724" w:rsidRPr="005C30FF">
        <w:t xml:space="preserve">island </w:t>
      </w:r>
      <w:r w:rsidR="00DA3F44" w:rsidRPr="005C30FF">
        <w:t xml:space="preserve">states like </w:t>
      </w:r>
      <w:r w:rsidR="000E710F">
        <w:t>São Tomé and Príncipe</w:t>
      </w:r>
      <w:r w:rsidR="00DA3F44" w:rsidRPr="00E6559F">
        <w:t xml:space="preserve">, which tends to be constrained by the </w:t>
      </w:r>
      <w:r w:rsidR="00F41B9F">
        <w:t>lack</w:t>
      </w:r>
      <w:r w:rsidR="00F41B9F" w:rsidRPr="00E6559F">
        <w:t xml:space="preserve"> </w:t>
      </w:r>
      <w:r w:rsidR="00F53781">
        <w:t xml:space="preserve">of </w:t>
      </w:r>
      <w:r w:rsidR="00DA3F44" w:rsidRPr="00E6559F">
        <w:t xml:space="preserve">economies of scale and </w:t>
      </w:r>
      <w:r w:rsidR="00AB4724" w:rsidRPr="00E6559F">
        <w:t>distance to markets</w:t>
      </w:r>
      <w:r w:rsidR="00DA3F44" w:rsidRPr="00E6559F">
        <w:t>. Burdensome regulations can hamper the competitiveness of export-oriented sectors</w:t>
      </w:r>
      <w:r w:rsidR="007A44B4">
        <w:t xml:space="preserve">, which are essential for </w:t>
      </w:r>
      <w:r w:rsidR="000E710F">
        <w:t>São Tomé and Príncipe</w:t>
      </w:r>
      <w:r w:rsidR="007A44B4">
        <w:t>’s sustainable growth and job creation</w:t>
      </w:r>
      <w:r w:rsidR="00DA3F44" w:rsidRPr="00E6559F">
        <w:t xml:space="preserve">. </w:t>
      </w:r>
      <w:r w:rsidR="00252AE0" w:rsidRPr="00E6559F">
        <w:t>Moreover</w:t>
      </w:r>
      <w:r w:rsidR="00DA3F44" w:rsidRPr="00E6559F">
        <w:t xml:space="preserve">, sectors that depend on natural or cultural assets, such as tourism, require </w:t>
      </w:r>
      <w:r w:rsidR="00012BBB">
        <w:t>good quality</w:t>
      </w:r>
      <w:r w:rsidR="00AB4724" w:rsidRPr="00E6559F">
        <w:t xml:space="preserve"> </w:t>
      </w:r>
      <w:r w:rsidR="00DA3F44" w:rsidRPr="00E6559F">
        <w:t xml:space="preserve">regulations and planning to protect those assets. </w:t>
      </w:r>
      <w:r w:rsidR="007A44B4">
        <w:t>Improving the regulatory environment is an important factor, together with better skills, connectivity</w:t>
      </w:r>
      <w:r w:rsidR="00866FF1">
        <w:t>,</w:t>
      </w:r>
      <w:r w:rsidR="007A44B4">
        <w:t xml:space="preserve"> and infrastructure, to strengthen the competitiveness of </w:t>
      </w:r>
      <w:r w:rsidR="000E710F">
        <w:t>São Tomé and Príncipe</w:t>
      </w:r>
      <w:r w:rsidR="007A44B4">
        <w:t>’s economy.</w:t>
      </w:r>
    </w:p>
    <w:p w14:paraId="3ECB520B" w14:textId="267E6B0E" w:rsidR="005A6959" w:rsidRPr="00854869" w:rsidRDefault="002D6506" w:rsidP="00FA24C7">
      <w:pPr>
        <w:pStyle w:val="ListParagraph"/>
        <w:numPr>
          <w:ilvl w:val="0"/>
          <w:numId w:val="3"/>
        </w:numPr>
        <w:spacing w:after="120" w:line="276" w:lineRule="auto"/>
        <w:ind w:left="0" w:firstLine="0"/>
        <w:contextualSpacing w:val="0"/>
        <w:jc w:val="both"/>
        <w:rPr>
          <w:b/>
        </w:rPr>
      </w:pPr>
      <w:r w:rsidRPr="00DF554C">
        <w:rPr>
          <w:b/>
        </w:rPr>
        <w:t xml:space="preserve">Accurate data on the size and composition of the private sector in </w:t>
      </w:r>
      <w:r w:rsidR="000E710F">
        <w:rPr>
          <w:b/>
        </w:rPr>
        <w:t>São Tomé and Príncipe</w:t>
      </w:r>
      <w:r w:rsidRPr="00DF554C">
        <w:rPr>
          <w:b/>
        </w:rPr>
        <w:t xml:space="preserve"> </w:t>
      </w:r>
      <w:r w:rsidR="00DF554C" w:rsidRPr="00DF554C">
        <w:rPr>
          <w:b/>
        </w:rPr>
        <w:t>is</w:t>
      </w:r>
      <w:r w:rsidRPr="00DF554C">
        <w:rPr>
          <w:b/>
        </w:rPr>
        <w:t xml:space="preserve"> lacking</w:t>
      </w:r>
      <w:r w:rsidR="00DF554C" w:rsidRPr="00DF554C">
        <w:rPr>
          <w:b/>
        </w:rPr>
        <w:t>, but existing information shows that it is dominated by microenterprises in commerce and services</w:t>
      </w:r>
      <w:r w:rsidRPr="00DF554C">
        <w:rPr>
          <w:b/>
        </w:rPr>
        <w:t>.</w:t>
      </w:r>
      <w:r w:rsidRPr="002D6506">
        <w:t xml:space="preserve"> </w:t>
      </w:r>
      <w:r w:rsidR="00866FF1">
        <w:t>T</w:t>
      </w:r>
      <w:r w:rsidR="002D315A">
        <w:t xml:space="preserve">he ongoing enterprise survey will provide insights on the characteristics and main challenges of </w:t>
      </w:r>
      <w:r w:rsidR="000E710F">
        <w:t>São Tomé and Príncipe</w:t>
      </w:r>
      <w:r w:rsidR="002D315A">
        <w:t>’s firms</w:t>
      </w:r>
      <w:r w:rsidR="00866FF1">
        <w:t>, while</w:t>
      </w:r>
      <w:r w:rsidR="00866FF1" w:rsidRPr="002D6506">
        <w:t xml:space="preserve"> </w:t>
      </w:r>
      <w:r w:rsidR="00866FF1">
        <w:t>a</w:t>
      </w:r>
      <w:r w:rsidR="00866FF1" w:rsidRPr="002D6506">
        <w:t>n updated business census</w:t>
      </w:r>
      <w:r w:rsidR="00866FF1">
        <w:t>, which</w:t>
      </w:r>
      <w:r w:rsidR="00866FF1" w:rsidRPr="002D6506">
        <w:t xml:space="preserve"> is planned with support from t</w:t>
      </w:r>
      <w:r w:rsidR="00866FF1">
        <w:t>he World Bank, will give a broader view of the private sector</w:t>
      </w:r>
      <w:r w:rsidR="002D315A">
        <w:t xml:space="preserve">. </w:t>
      </w:r>
      <w:r w:rsidR="00A96074">
        <w:t>D</w:t>
      </w:r>
      <w:r w:rsidR="00187C90" w:rsidRPr="00187C90">
        <w:t xml:space="preserve">ata from the National Statistics Institute (INE) shows that </w:t>
      </w:r>
      <w:r w:rsidR="000E710F">
        <w:t xml:space="preserve">there are </w:t>
      </w:r>
      <w:r w:rsidR="00187C90" w:rsidRPr="00187C90">
        <w:t>only 14 companies with more than 100 employees, including the utilities and transport sector SOEs</w:t>
      </w:r>
      <w:r w:rsidR="00187C90">
        <w:t xml:space="preserve">, and 80 percent of firms for which data is available have less than </w:t>
      </w:r>
      <w:r w:rsidR="00EF09C1">
        <w:t>five</w:t>
      </w:r>
      <w:r w:rsidR="00187C90">
        <w:t xml:space="preserve"> employees. </w:t>
      </w:r>
      <w:r w:rsidR="00DF554C">
        <w:t xml:space="preserve">Most firms are concentrated in </w:t>
      </w:r>
      <w:r w:rsidR="000E710F">
        <w:t xml:space="preserve">the </w:t>
      </w:r>
      <w:r w:rsidR="00DF554C">
        <w:t>commerce, construction</w:t>
      </w:r>
      <w:r w:rsidR="000E710F">
        <w:t>,</w:t>
      </w:r>
      <w:r w:rsidR="00DF554C">
        <w:t xml:space="preserve"> and tourism</w:t>
      </w:r>
      <w:r w:rsidR="000E710F">
        <w:t xml:space="preserve"> sectors</w:t>
      </w:r>
      <w:r w:rsidR="00DF554C">
        <w:t xml:space="preserve">. </w:t>
      </w:r>
      <w:r w:rsidR="00A96074">
        <w:t>While additional analysis would be necessary to identify the</w:t>
      </w:r>
      <w:r w:rsidR="00B40883">
        <w:t xml:space="preserve"> factors contribut</w:t>
      </w:r>
      <w:r w:rsidR="00A96074">
        <w:t>ing</w:t>
      </w:r>
      <w:r w:rsidR="00B40883">
        <w:t xml:space="preserve"> to the small size and sophistication of São Tomé and Príncipe’s firms, the regulatory environment </w:t>
      </w:r>
      <w:r w:rsidR="00A96074">
        <w:t>may be among them</w:t>
      </w:r>
      <w:r w:rsidR="00B40883">
        <w:t xml:space="preserve"> as it affects entry and operating costs, access to finance, and ability to resolve </w:t>
      </w:r>
      <w:r w:rsidR="00A96074">
        <w:t>commercial disputes</w:t>
      </w:r>
      <w:r w:rsidR="00B40883">
        <w:t>.</w:t>
      </w:r>
    </w:p>
    <w:p w14:paraId="37302D72" w14:textId="796954A7" w:rsidR="00866FF1" w:rsidRPr="00866FF1" w:rsidRDefault="00AE75E1" w:rsidP="00FA24C7">
      <w:pPr>
        <w:pStyle w:val="ListParagraph"/>
        <w:numPr>
          <w:ilvl w:val="0"/>
          <w:numId w:val="3"/>
        </w:numPr>
        <w:spacing w:after="120" w:line="276" w:lineRule="auto"/>
        <w:ind w:left="0" w:firstLine="0"/>
        <w:contextualSpacing w:val="0"/>
        <w:jc w:val="both"/>
        <w:rPr>
          <w:b/>
        </w:rPr>
      </w:pPr>
      <w:r w:rsidRPr="00AE75E1">
        <w:rPr>
          <w:b/>
        </w:rPr>
        <w:lastRenderedPageBreak/>
        <w:t>D</w:t>
      </w:r>
      <w:r w:rsidR="004E0395" w:rsidRPr="00AE75E1">
        <w:rPr>
          <w:b/>
        </w:rPr>
        <w:t xml:space="preserve">espite important progress in easing requirements </w:t>
      </w:r>
      <w:r w:rsidR="00C55E0F" w:rsidRPr="00AE75E1">
        <w:rPr>
          <w:b/>
        </w:rPr>
        <w:t>for business entry and international trade, there is still significant room to</w:t>
      </w:r>
      <w:r w:rsidR="00E51617" w:rsidRPr="00AE75E1">
        <w:rPr>
          <w:b/>
        </w:rPr>
        <w:t xml:space="preserve"> modernize the regulatory framework underpinning business activity and to</w:t>
      </w:r>
      <w:r w:rsidR="00CF2991" w:rsidRPr="00AE75E1">
        <w:rPr>
          <w:b/>
        </w:rPr>
        <w:t xml:space="preserve"> simplify </w:t>
      </w:r>
      <w:r w:rsidR="00E05AE0" w:rsidRPr="00AE75E1">
        <w:rPr>
          <w:b/>
        </w:rPr>
        <w:t>administrative procedures</w:t>
      </w:r>
      <w:r w:rsidR="00AF5D0A" w:rsidRPr="00AE75E1">
        <w:rPr>
          <w:b/>
        </w:rPr>
        <w:t>.</w:t>
      </w:r>
      <w:r w:rsidR="00AF5D0A" w:rsidRPr="00457996">
        <w:t xml:space="preserve"> </w:t>
      </w:r>
      <w:r w:rsidR="004C7081">
        <w:t xml:space="preserve">Opening a business in STP </w:t>
      </w:r>
      <w:r w:rsidR="00212F6F">
        <w:t xml:space="preserve">is now straightforward with the single-window registry and the adoption </w:t>
      </w:r>
      <w:r w:rsidR="00E831EF">
        <w:t xml:space="preserve">of </w:t>
      </w:r>
      <w:r w:rsidR="005E5F28">
        <w:t>electronic single window for international trade,</w:t>
      </w:r>
      <w:r w:rsidR="00E831EF">
        <w:t xml:space="preserve"> and the streamlining of all agencies at the port made import much easier</w:t>
      </w:r>
      <w:r w:rsidR="004A5F70">
        <w:t>. On the other hand, getting construction permits</w:t>
      </w:r>
      <w:r w:rsidR="00CC4960">
        <w:t xml:space="preserve">, paying taxes and </w:t>
      </w:r>
      <w:r w:rsidR="001752A6">
        <w:t xml:space="preserve">dealing with insolvent companies is still </w:t>
      </w:r>
      <w:r w:rsidR="00AD4403">
        <w:t xml:space="preserve">troublesome. </w:t>
      </w:r>
      <w:r w:rsidR="00AF5D0A" w:rsidRPr="00457996">
        <w:t xml:space="preserve">The note is organized as follows: </w:t>
      </w:r>
      <w:r w:rsidR="00866F6E" w:rsidRPr="00457996">
        <w:t xml:space="preserve">section I sets the context, section II provides an overview of the business environment in </w:t>
      </w:r>
      <w:r w:rsidR="00937D89" w:rsidRPr="00457996">
        <w:t xml:space="preserve">São Tomé and Príncipe with subsections on business entry, construction permits, business taxation, </w:t>
      </w:r>
      <w:r w:rsidR="00254300" w:rsidRPr="00457996">
        <w:t>trade facilitation, contract enforcement, and insolvency. Finally, section III c</w:t>
      </w:r>
      <w:r w:rsidR="00963075" w:rsidRPr="00457996">
        <w:t>oncludes proposing a set of recommendations to continue</w:t>
      </w:r>
      <w:r w:rsidR="002D7780">
        <w:t xml:space="preserve"> strengthening regulations and institutions underpinning business activity.</w:t>
      </w:r>
    </w:p>
    <w:p w14:paraId="414A3DA1" w14:textId="242BE6BE" w:rsidR="00F41B9F" w:rsidRPr="00F41B9F" w:rsidRDefault="00F41B9F" w:rsidP="003C21A7">
      <w:pPr>
        <w:pStyle w:val="ListParagraph"/>
        <w:widowControl w:val="0"/>
        <w:numPr>
          <w:ilvl w:val="0"/>
          <w:numId w:val="8"/>
        </w:numPr>
        <w:tabs>
          <w:tab w:val="left" w:pos="720"/>
        </w:tabs>
        <w:autoSpaceDE w:val="0"/>
        <w:autoSpaceDN w:val="0"/>
        <w:adjustRightInd w:val="0"/>
        <w:spacing w:before="240" w:after="120" w:line="276" w:lineRule="auto"/>
        <w:ind w:left="504"/>
        <w:contextualSpacing w:val="0"/>
        <w:jc w:val="both"/>
        <w:rPr>
          <w:b/>
          <w:color w:val="0070C0"/>
          <w:sz w:val="24"/>
          <w:szCs w:val="24"/>
        </w:rPr>
      </w:pPr>
      <w:r>
        <w:rPr>
          <w:b/>
          <w:color w:val="0070C0"/>
          <w:sz w:val="24"/>
          <w:szCs w:val="24"/>
        </w:rPr>
        <w:t xml:space="preserve">Overview of Business Environment </w:t>
      </w:r>
      <w:r w:rsidR="00866FF1">
        <w:rPr>
          <w:b/>
          <w:color w:val="0070C0"/>
          <w:sz w:val="24"/>
          <w:szCs w:val="24"/>
        </w:rPr>
        <w:t>in São Tomé and Príncipe</w:t>
      </w:r>
    </w:p>
    <w:p w14:paraId="5BB6DEB2" w14:textId="47785E37" w:rsidR="00750AFA" w:rsidRDefault="00B40883" w:rsidP="00B52D71">
      <w:pPr>
        <w:pStyle w:val="ListParagraph"/>
        <w:numPr>
          <w:ilvl w:val="0"/>
          <w:numId w:val="3"/>
        </w:numPr>
        <w:spacing w:after="120" w:line="276" w:lineRule="auto"/>
        <w:ind w:left="0" w:firstLine="0"/>
        <w:contextualSpacing w:val="0"/>
        <w:jc w:val="both"/>
      </w:pPr>
      <w:r w:rsidRPr="00B40883">
        <w:rPr>
          <w:b/>
        </w:rPr>
        <w:t xml:space="preserve">This section provides an overview of </w:t>
      </w:r>
      <w:r>
        <w:rPr>
          <w:b/>
        </w:rPr>
        <w:t>recent</w:t>
      </w:r>
      <w:r w:rsidRPr="00B40883">
        <w:rPr>
          <w:b/>
        </w:rPr>
        <w:t xml:space="preserve"> business environment reforms and performance in selected indicators</w:t>
      </w:r>
      <w:r>
        <w:rPr>
          <w:b/>
        </w:rPr>
        <w:t xml:space="preserve"> of the efficiency and quality of regulations. </w:t>
      </w:r>
      <w:r w:rsidRPr="00B40883">
        <w:t>It h</w:t>
      </w:r>
      <w:r>
        <w:t xml:space="preserve">ighlights key reform opportunities to improve the business environment, and thus support private sector development. The section is based primarily on the World Bank </w:t>
      </w:r>
      <w:r w:rsidR="00866FF1">
        <w:t>Report</w:t>
      </w:r>
      <w:r>
        <w:t xml:space="preserve"> Doing Business 2019, other relevant international benchmarking, and previous analysis and operational work by the World Bank Group. </w:t>
      </w:r>
      <w:r w:rsidR="00750AFA">
        <w:t xml:space="preserve">Regulations related to land governance and administration are covered </w:t>
      </w:r>
      <w:r w:rsidR="00866FF1">
        <w:t>in Background Note 8</w:t>
      </w:r>
      <w:r w:rsidR="00750AFA">
        <w:t xml:space="preserve">, while access to credit is discussed </w:t>
      </w:r>
      <w:r w:rsidR="00866FF1">
        <w:t>in</w:t>
      </w:r>
      <w:r w:rsidR="00750AFA">
        <w:t xml:space="preserve"> </w:t>
      </w:r>
      <w:r w:rsidR="00866FF1">
        <w:t>Background Note 9</w:t>
      </w:r>
      <w:r w:rsidR="00750AFA">
        <w:t xml:space="preserve">. </w:t>
      </w:r>
      <w:r>
        <w:t xml:space="preserve"> </w:t>
      </w:r>
    </w:p>
    <w:p w14:paraId="1373A545" w14:textId="78AE621A" w:rsidR="00856B83" w:rsidRDefault="00266D2C" w:rsidP="00B52D71">
      <w:pPr>
        <w:pStyle w:val="ListParagraph"/>
        <w:numPr>
          <w:ilvl w:val="0"/>
          <w:numId w:val="3"/>
        </w:numPr>
        <w:spacing w:after="120" w:line="276" w:lineRule="auto"/>
        <w:ind w:left="0" w:firstLine="0"/>
        <w:contextualSpacing w:val="0"/>
        <w:jc w:val="both"/>
      </w:pPr>
      <w:r>
        <w:rPr>
          <w:b/>
        </w:rPr>
        <w:t>A</w:t>
      </w:r>
      <w:r w:rsidRPr="00E6559F">
        <w:rPr>
          <w:b/>
        </w:rPr>
        <w:t xml:space="preserve">vailable indicators show that </w:t>
      </w:r>
      <w:r w:rsidR="000E710F">
        <w:rPr>
          <w:b/>
        </w:rPr>
        <w:t>São Tomé and Príncipe</w:t>
      </w:r>
      <w:r w:rsidRPr="00E6559F">
        <w:rPr>
          <w:b/>
        </w:rPr>
        <w:t xml:space="preserve"> still presents a difficult regulatory environment for businesses.</w:t>
      </w:r>
      <w:r>
        <w:t xml:space="preserve"> The country ranks</w:t>
      </w:r>
      <w:r w:rsidRPr="00E6559F">
        <w:t xml:space="preserve"> 1</w:t>
      </w:r>
      <w:r>
        <w:t>70</w:t>
      </w:r>
      <w:r w:rsidRPr="00E6559F">
        <w:t xml:space="preserve"> out of 190 countries in the Doing Business 201</w:t>
      </w:r>
      <w:r>
        <w:t>9</w:t>
      </w:r>
      <w:r w:rsidRPr="00E6559F">
        <w:t xml:space="preserve"> </w:t>
      </w:r>
      <w:r w:rsidR="008012C5">
        <w:t>R</w:t>
      </w:r>
      <w:r w:rsidRPr="00E6559F">
        <w:t xml:space="preserve">eport, </w:t>
      </w:r>
      <w:r w:rsidR="0042432E">
        <w:t xml:space="preserve">below other small economies (Figure 1). In the ease of doing business score, which measures the country’s distance to the best regulatory practice, São Tomé and Príncipe </w:t>
      </w:r>
      <w:r w:rsidRPr="00E6559F">
        <w:t>achiev</w:t>
      </w:r>
      <w:r w:rsidR="0042432E">
        <w:t>ed</w:t>
      </w:r>
      <w:r w:rsidRPr="00E6559F">
        <w:t xml:space="preserve"> 4</w:t>
      </w:r>
      <w:r>
        <w:t>5</w:t>
      </w:r>
      <w:r w:rsidRPr="00E6559F">
        <w:t>.</w:t>
      </w:r>
      <w:r>
        <w:t>15</w:t>
      </w:r>
      <w:r w:rsidRPr="00E6559F">
        <w:t xml:space="preserve"> </w:t>
      </w:r>
      <w:r w:rsidR="0042432E">
        <w:t>points (out of 100),</w:t>
      </w:r>
      <w:r w:rsidR="00822CA2">
        <w:rPr>
          <w:rStyle w:val="FootnoteReference"/>
        </w:rPr>
        <w:footnoteReference w:id="4"/>
      </w:r>
      <w:r w:rsidRPr="00E6559F">
        <w:t xml:space="preserve"> </w:t>
      </w:r>
      <w:r w:rsidR="00EA0E6A" w:rsidRPr="00E6559F">
        <w:t>a</w:t>
      </w:r>
      <w:r w:rsidR="0042432E">
        <w:t xml:space="preserve"> </w:t>
      </w:r>
      <w:r w:rsidRPr="00E6559F">
        <w:t>smal</w:t>
      </w:r>
      <w:r>
        <w:t>l increase from last year’s 44.84</w:t>
      </w:r>
      <w:r w:rsidRPr="00E6559F">
        <w:t xml:space="preserve"> points.</w:t>
      </w:r>
      <w:r w:rsidR="0042432E">
        <w:t xml:space="preserve"> The country has gained 1.2 points in recent years, not </w:t>
      </w:r>
      <w:proofErr w:type="gramStart"/>
      <w:r w:rsidR="0042432E">
        <w:t>sufficient</w:t>
      </w:r>
      <w:proofErr w:type="gramEnd"/>
      <w:r w:rsidR="0042432E">
        <w:t xml:space="preserve"> to close the gap with other comparator countries</w:t>
      </w:r>
      <w:r w:rsidRPr="00E6559F">
        <w:t xml:space="preserve"> (Figure </w:t>
      </w:r>
      <w:r w:rsidR="0042432E">
        <w:t>2</w:t>
      </w:r>
      <w:r w:rsidRPr="00E6559F">
        <w:t xml:space="preserve">). </w:t>
      </w:r>
      <w:r w:rsidR="00471397" w:rsidRPr="00E6559F">
        <w:t xml:space="preserve">Unfortunately, </w:t>
      </w:r>
      <w:r w:rsidR="00471397">
        <w:t>São Tomé and Príncipe</w:t>
      </w:r>
      <w:r w:rsidR="00471397" w:rsidRPr="00E6559F">
        <w:t xml:space="preserve"> </w:t>
      </w:r>
      <w:proofErr w:type="gramStart"/>
      <w:r w:rsidR="00471397" w:rsidRPr="00E6559F">
        <w:t>is</w:t>
      </w:r>
      <w:proofErr w:type="gramEnd"/>
      <w:r w:rsidR="00471397" w:rsidRPr="00E6559F">
        <w:t xml:space="preserve"> not included in some key benchmarks of competitiveness and investment climate, such as the World Competitiveness Index, but other available indicators consistently point at opportunities for improvement. For example, the country ranks 137 </w:t>
      </w:r>
      <w:r w:rsidR="009225F9">
        <w:t xml:space="preserve">out </w:t>
      </w:r>
      <w:r w:rsidR="00471397" w:rsidRPr="00E6559F">
        <w:t xml:space="preserve">of 180 countries in the 2018 Index of Economic Freedom of the Heritage Foundation.  </w:t>
      </w:r>
      <w:r w:rsidR="008012C5">
        <w:t xml:space="preserve">Making sure that </w:t>
      </w:r>
      <w:r w:rsidR="0090552B">
        <w:t xml:space="preserve">the country </w:t>
      </w:r>
      <w:r w:rsidR="008012C5">
        <w:t>is included in all major international competitiveness database would be an initial step to attract private investments.</w:t>
      </w:r>
    </w:p>
    <w:p w14:paraId="54F67BC0" w14:textId="4648AAA3" w:rsidR="00992CC1" w:rsidRDefault="00992CC1" w:rsidP="00B52D71">
      <w:pPr>
        <w:pStyle w:val="ListParagraph"/>
        <w:numPr>
          <w:ilvl w:val="0"/>
          <w:numId w:val="3"/>
        </w:numPr>
        <w:spacing w:after="120" w:line="276" w:lineRule="auto"/>
        <w:ind w:left="0" w:firstLine="0"/>
        <w:contextualSpacing w:val="0"/>
        <w:jc w:val="both"/>
      </w:pPr>
      <w:r w:rsidRPr="00915331">
        <w:rPr>
          <w:b/>
        </w:rPr>
        <w:t>Performance varies significantly across</w:t>
      </w:r>
      <w:r>
        <w:rPr>
          <w:b/>
        </w:rPr>
        <w:t xml:space="preserve"> the 11</w:t>
      </w:r>
      <w:r w:rsidRPr="00915331">
        <w:rPr>
          <w:b/>
        </w:rPr>
        <w:t xml:space="preserve"> areas</w:t>
      </w:r>
      <w:r>
        <w:rPr>
          <w:b/>
        </w:rPr>
        <w:t xml:space="preserve"> included in the Doing Business classification</w:t>
      </w:r>
      <w:r w:rsidRPr="00915331">
        <w:rPr>
          <w:b/>
        </w:rPr>
        <w:t xml:space="preserve">, but </w:t>
      </w:r>
      <w:r>
        <w:rPr>
          <w:b/>
        </w:rPr>
        <w:t xml:space="preserve">only in two São Tomé and Príncipe ranks above the regional average </w:t>
      </w:r>
      <w:r w:rsidRPr="00915331">
        <w:rPr>
          <w:b/>
        </w:rPr>
        <w:t xml:space="preserve">(Figure 3). </w:t>
      </w:r>
      <w:r w:rsidRPr="00471397">
        <w:t>The country is better classified in dealing with construction permits (1</w:t>
      </w:r>
      <w:r>
        <w:t>11</w:t>
      </w:r>
      <w:r w:rsidRPr="00471397">
        <w:t xml:space="preserve">), </w:t>
      </w:r>
      <w:r>
        <w:t xml:space="preserve">and </w:t>
      </w:r>
      <w:r w:rsidRPr="00471397">
        <w:t>trading across borders (1</w:t>
      </w:r>
      <w:r>
        <w:t>22</w:t>
      </w:r>
      <w:r w:rsidRPr="00471397">
        <w:t>). However, performance in registering property (17</w:t>
      </w:r>
      <w:r>
        <w:t>3</w:t>
      </w:r>
      <w:r w:rsidRPr="00471397">
        <w:t>), enforcing contracts (185), and protecting minority investors (18</w:t>
      </w:r>
      <w:r>
        <w:t>8</w:t>
      </w:r>
      <w:r w:rsidRPr="00471397">
        <w:t xml:space="preserve">) is towards the bottom of the classification, </w:t>
      </w:r>
      <w:r>
        <w:t xml:space="preserve">pointing at the need to update the regulatory framework and invest in </w:t>
      </w:r>
      <w:r w:rsidRPr="00471397">
        <w:t>capacity in these areas.</w:t>
      </w:r>
    </w:p>
    <w:p w14:paraId="6CC6FAE4" w14:textId="77777777" w:rsidR="00E62DAF" w:rsidRDefault="00E62DAF" w:rsidP="00E62DAF">
      <w:pPr>
        <w:spacing w:after="120" w:line="276" w:lineRule="auto"/>
        <w:jc w:val="both"/>
      </w:pPr>
    </w:p>
    <w:tbl>
      <w:tblPr>
        <w:tblStyle w:val="TableGrid"/>
        <w:tblW w:w="9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D62C04" w:rsidRPr="00E6559F" w14:paraId="583065CE" w14:textId="77777777" w:rsidTr="00266D2C">
        <w:tc>
          <w:tcPr>
            <w:tcW w:w="4788" w:type="dxa"/>
            <w:hideMark/>
          </w:tcPr>
          <w:p w14:paraId="328F9A54" w14:textId="2595570C" w:rsidR="00D62C04" w:rsidRPr="00E62DAF" w:rsidRDefault="00D62C04" w:rsidP="00700C4A">
            <w:pPr>
              <w:pStyle w:val="Caption"/>
              <w:spacing w:after="120" w:line="276" w:lineRule="auto"/>
              <w:rPr>
                <w:sz w:val="20"/>
                <w:szCs w:val="20"/>
              </w:rPr>
            </w:pPr>
            <w:bookmarkStart w:id="1" w:name="_Hlk528040485"/>
            <w:r w:rsidRPr="00E62DAF">
              <w:rPr>
                <w:color w:val="auto"/>
                <w:sz w:val="20"/>
                <w:szCs w:val="20"/>
              </w:rPr>
              <w:t xml:space="preserve">Figure </w:t>
            </w:r>
            <w:r w:rsidR="00ED3D64" w:rsidRPr="00E62DAF">
              <w:rPr>
                <w:color w:val="auto"/>
                <w:sz w:val="20"/>
                <w:szCs w:val="20"/>
              </w:rPr>
              <w:fldChar w:fldCharType="begin"/>
            </w:r>
            <w:r w:rsidR="00ED3D64" w:rsidRPr="00E62DAF">
              <w:rPr>
                <w:color w:val="auto"/>
                <w:sz w:val="20"/>
                <w:szCs w:val="20"/>
              </w:rPr>
              <w:instrText xml:space="preserve"> SEQ Figure \* ARABIC </w:instrText>
            </w:r>
            <w:r w:rsidR="00ED3D64" w:rsidRPr="00E62DAF">
              <w:rPr>
                <w:color w:val="auto"/>
                <w:sz w:val="20"/>
                <w:szCs w:val="20"/>
              </w:rPr>
              <w:fldChar w:fldCharType="separate"/>
            </w:r>
            <w:r w:rsidR="00B4077B">
              <w:rPr>
                <w:noProof/>
                <w:color w:val="auto"/>
                <w:sz w:val="20"/>
                <w:szCs w:val="20"/>
              </w:rPr>
              <w:t>1</w:t>
            </w:r>
            <w:r w:rsidR="00ED3D64" w:rsidRPr="00E62DAF">
              <w:rPr>
                <w:color w:val="auto"/>
                <w:sz w:val="20"/>
                <w:szCs w:val="20"/>
              </w:rPr>
              <w:fldChar w:fldCharType="end"/>
            </w:r>
            <w:r w:rsidRPr="00E62DAF">
              <w:rPr>
                <w:color w:val="auto"/>
                <w:sz w:val="20"/>
                <w:szCs w:val="20"/>
              </w:rPr>
              <w:t xml:space="preserve"> – </w:t>
            </w:r>
            <w:r w:rsidR="00D055A4" w:rsidRPr="00E62DAF">
              <w:rPr>
                <w:color w:val="auto"/>
                <w:sz w:val="20"/>
                <w:szCs w:val="20"/>
              </w:rPr>
              <w:t xml:space="preserve">Ease of doing business </w:t>
            </w:r>
            <w:r w:rsidR="00DE3375" w:rsidRPr="00E62DAF">
              <w:rPr>
                <w:color w:val="auto"/>
                <w:sz w:val="20"/>
                <w:szCs w:val="20"/>
              </w:rPr>
              <w:t>ranking</w:t>
            </w:r>
            <w:r w:rsidR="008367AC" w:rsidRPr="00E62DAF">
              <w:rPr>
                <w:color w:val="auto"/>
                <w:sz w:val="20"/>
                <w:szCs w:val="20"/>
              </w:rPr>
              <w:t xml:space="preserve"> </w:t>
            </w:r>
            <w:r w:rsidR="008367AC" w:rsidRPr="00E62DAF">
              <w:rPr>
                <w:b w:val="0"/>
                <w:color w:val="auto"/>
                <w:sz w:val="20"/>
                <w:szCs w:val="20"/>
              </w:rPr>
              <w:t>(2017/18)</w:t>
            </w:r>
          </w:p>
        </w:tc>
        <w:tc>
          <w:tcPr>
            <w:tcW w:w="4788" w:type="dxa"/>
            <w:hideMark/>
          </w:tcPr>
          <w:p w14:paraId="4A206786" w14:textId="64782407" w:rsidR="00D62C04" w:rsidRPr="00E62DAF" w:rsidRDefault="00D62C04" w:rsidP="00700C4A">
            <w:pPr>
              <w:spacing w:after="120" w:line="276" w:lineRule="auto"/>
              <w:jc w:val="both"/>
              <w:rPr>
                <w:sz w:val="20"/>
                <w:szCs w:val="20"/>
              </w:rPr>
            </w:pPr>
            <w:r w:rsidRPr="00E62DAF">
              <w:rPr>
                <w:b/>
                <w:sz w:val="20"/>
                <w:szCs w:val="20"/>
              </w:rPr>
              <w:t xml:space="preserve">Figure </w:t>
            </w:r>
            <w:r w:rsidR="00ED3D64" w:rsidRPr="00E62DAF">
              <w:rPr>
                <w:b/>
                <w:sz w:val="20"/>
                <w:szCs w:val="20"/>
              </w:rPr>
              <w:fldChar w:fldCharType="begin"/>
            </w:r>
            <w:r w:rsidR="00ED3D64" w:rsidRPr="00E62DAF">
              <w:rPr>
                <w:b/>
                <w:sz w:val="20"/>
                <w:szCs w:val="20"/>
              </w:rPr>
              <w:instrText xml:space="preserve"> SEQ Figure \* ARABIC </w:instrText>
            </w:r>
            <w:r w:rsidR="00ED3D64" w:rsidRPr="00E62DAF">
              <w:rPr>
                <w:b/>
                <w:sz w:val="20"/>
                <w:szCs w:val="20"/>
              </w:rPr>
              <w:fldChar w:fldCharType="separate"/>
            </w:r>
            <w:r w:rsidR="00B4077B">
              <w:rPr>
                <w:b/>
                <w:noProof/>
                <w:sz w:val="20"/>
                <w:szCs w:val="20"/>
              </w:rPr>
              <w:t>2</w:t>
            </w:r>
            <w:r w:rsidR="00ED3D64" w:rsidRPr="00E62DAF">
              <w:rPr>
                <w:b/>
                <w:sz w:val="20"/>
                <w:szCs w:val="20"/>
              </w:rPr>
              <w:fldChar w:fldCharType="end"/>
            </w:r>
            <w:r w:rsidRPr="00E62DAF">
              <w:rPr>
                <w:b/>
                <w:sz w:val="20"/>
                <w:szCs w:val="20"/>
              </w:rPr>
              <w:t xml:space="preserve"> </w:t>
            </w:r>
            <w:r w:rsidR="009225F9" w:rsidRPr="00E62DAF">
              <w:rPr>
                <w:b/>
                <w:sz w:val="20"/>
                <w:szCs w:val="20"/>
              </w:rPr>
              <w:t>– Evolution</w:t>
            </w:r>
            <w:r w:rsidR="00DE3375" w:rsidRPr="00E62DAF">
              <w:rPr>
                <w:b/>
                <w:sz w:val="20"/>
                <w:szCs w:val="20"/>
              </w:rPr>
              <w:t xml:space="preserve"> of the ease of doing business </w:t>
            </w:r>
            <w:r w:rsidR="0042432E" w:rsidRPr="00E62DAF">
              <w:rPr>
                <w:b/>
                <w:sz w:val="20"/>
                <w:szCs w:val="20"/>
              </w:rPr>
              <w:t>score</w:t>
            </w:r>
          </w:p>
        </w:tc>
      </w:tr>
      <w:tr w:rsidR="00D62C04" w:rsidRPr="00DE3375" w14:paraId="76914473" w14:textId="77777777" w:rsidTr="00CB1205">
        <w:trPr>
          <w:trHeight w:val="2069"/>
        </w:trPr>
        <w:tc>
          <w:tcPr>
            <w:tcW w:w="4788" w:type="dxa"/>
            <w:hideMark/>
          </w:tcPr>
          <w:p w14:paraId="53BE7FC7" w14:textId="0B6005BC" w:rsidR="00D62C04" w:rsidRPr="00E6559F" w:rsidRDefault="0090780F" w:rsidP="00700C4A">
            <w:pPr>
              <w:spacing w:after="120" w:line="276" w:lineRule="auto"/>
              <w:jc w:val="both"/>
            </w:pPr>
            <w:r w:rsidRPr="0090780F">
              <w:rPr>
                <w:noProof/>
              </w:rPr>
              <w:drawing>
                <wp:inline distT="0" distB="0" distL="0" distR="0" wp14:anchorId="0D074813" wp14:editId="62059633">
                  <wp:extent cx="2905125" cy="17360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736090"/>
                          </a:xfrm>
                          <a:prstGeom prst="rect">
                            <a:avLst/>
                          </a:prstGeom>
                          <a:noFill/>
                          <a:ln>
                            <a:noFill/>
                          </a:ln>
                        </pic:spPr>
                      </pic:pic>
                    </a:graphicData>
                  </a:graphic>
                </wp:inline>
              </w:drawing>
            </w:r>
          </w:p>
        </w:tc>
        <w:tc>
          <w:tcPr>
            <w:tcW w:w="4788" w:type="dxa"/>
            <w:hideMark/>
          </w:tcPr>
          <w:p w14:paraId="4E38DD5E" w14:textId="2FE3647C" w:rsidR="00D62C04" w:rsidRPr="00E6559F" w:rsidRDefault="00EE3D7B" w:rsidP="00700C4A">
            <w:pPr>
              <w:spacing w:after="120" w:line="276" w:lineRule="auto"/>
              <w:jc w:val="both"/>
              <w:rPr>
                <w:lang w:val="pt-PT"/>
              </w:rPr>
            </w:pPr>
            <w:r w:rsidRPr="00EE3D7B">
              <w:rPr>
                <w:noProof/>
                <w:lang w:val="pt-PT"/>
              </w:rPr>
              <w:drawing>
                <wp:inline distT="0" distB="0" distL="0" distR="0" wp14:anchorId="31B52891" wp14:editId="11D83E86">
                  <wp:extent cx="2899410" cy="1684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9410" cy="1684020"/>
                          </a:xfrm>
                          <a:prstGeom prst="rect">
                            <a:avLst/>
                          </a:prstGeom>
                          <a:noFill/>
                          <a:ln>
                            <a:noFill/>
                          </a:ln>
                        </pic:spPr>
                      </pic:pic>
                    </a:graphicData>
                  </a:graphic>
                </wp:inline>
              </w:drawing>
            </w:r>
          </w:p>
        </w:tc>
      </w:tr>
      <w:tr w:rsidR="00D62C04" w:rsidRPr="002D315A" w14:paraId="68AECF6F" w14:textId="77777777" w:rsidTr="00266D2C">
        <w:tc>
          <w:tcPr>
            <w:tcW w:w="4788" w:type="dxa"/>
            <w:hideMark/>
          </w:tcPr>
          <w:p w14:paraId="3DFBDFCC" w14:textId="1807488E" w:rsidR="00D62C04" w:rsidRPr="002D315A" w:rsidRDefault="00D62C04" w:rsidP="00A42B9A">
            <w:pPr>
              <w:spacing w:after="120" w:line="276" w:lineRule="auto"/>
              <w:jc w:val="both"/>
              <w:rPr>
                <w:sz w:val="16"/>
                <w:szCs w:val="16"/>
              </w:rPr>
            </w:pPr>
            <w:r w:rsidRPr="002D315A">
              <w:rPr>
                <w:sz w:val="16"/>
                <w:szCs w:val="16"/>
              </w:rPr>
              <w:t xml:space="preserve">Source: </w:t>
            </w:r>
            <w:r w:rsidR="00AD3079" w:rsidRPr="002D315A">
              <w:rPr>
                <w:sz w:val="16"/>
                <w:szCs w:val="16"/>
              </w:rPr>
              <w:t>Doing Business database</w:t>
            </w:r>
            <w:r w:rsidR="00CE2137">
              <w:rPr>
                <w:sz w:val="16"/>
                <w:szCs w:val="16"/>
              </w:rPr>
              <w:t>; World Development Indicators</w:t>
            </w:r>
            <w:r w:rsidR="004C5DF2" w:rsidRPr="002D315A">
              <w:rPr>
                <w:sz w:val="16"/>
                <w:szCs w:val="16"/>
              </w:rPr>
              <w:t>.</w:t>
            </w:r>
          </w:p>
        </w:tc>
        <w:tc>
          <w:tcPr>
            <w:tcW w:w="4788" w:type="dxa"/>
            <w:hideMark/>
          </w:tcPr>
          <w:p w14:paraId="14628834" w14:textId="77777777" w:rsidR="00D62C04" w:rsidRDefault="00D62C04" w:rsidP="00A42B9A">
            <w:pPr>
              <w:spacing w:after="120" w:line="276" w:lineRule="auto"/>
              <w:jc w:val="both"/>
              <w:rPr>
                <w:sz w:val="16"/>
                <w:szCs w:val="16"/>
              </w:rPr>
            </w:pPr>
            <w:r w:rsidRPr="002D315A">
              <w:rPr>
                <w:sz w:val="16"/>
                <w:szCs w:val="16"/>
              </w:rPr>
              <w:t xml:space="preserve">Source: </w:t>
            </w:r>
            <w:r w:rsidR="00AD3079" w:rsidRPr="002D315A">
              <w:rPr>
                <w:sz w:val="16"/>
                <w:szCs w:val="16"/>
              </w:rPr>
              <w:t>Doing Business database</w:t>
            </w:r>
            <w:r w:rsidR="004C5DF2" w:rsidRPr="002D315A">
              <w:rPr>
                <w:sz w:val="16"/>
                <w:szCs w:val="16"/>
              </w:rPr>
              <w:t>.</w:t>
            </w:r>
          </w:p>
          <w:p w14:paraId="02C55DDE" w14:textId="73DD85CA" w:rsidR="008F0F10" w:rsidRPr="002D315A" w:rsidRDefault="008F0F10" w:rsidP="00A42B9A">
            <w:pPr>
              <w:spacing w:after="120" w:line="276" w:lineRule="auto"/>
              <w:jc w:val="both"/>
              <w:rPr>
                <w:sz w:val="16"/>
                <w:szCs w:val="16"/>
              </w:rPr>
            </w:pPr>
          </w:p>
        </w:tc>
      </w:tr>
      <w:bookmarkEnd w:id="1"/>
      <w:tr w:rsidR="008F0F10" w:rsidRPr="00E6559F" w14:paraId="027D5A8E" w14:textId="77777777" w:rsidTr="00280F8E">
        <w:tc>
          <w:tcPr>
            <w:tcW w:w="4788" w:type="dxa"/>
            <w:hideMark/>
          </w:tcPr>
          <w:p w14:paraId="0D047449" w14:textId="764093EB" w:rsidR="008F0F10" w:rsidRPr="00A42B9A" w:rsidRDefault="008F0F10" w:rsidP="00280F8E">
            <w:pPr>
              <w:pStyle w:val="Caption"/>
              <w:keepNext/>
              <w:spacing w:after="120" w:line="276" w:lineRule="auto"/>
              <w:rPr>
                <w:sz w:val="20"/>
                <w:szCs w:val="20"/>
              </w:rPr>
            </w:pPr>
            <w:r w:rsidRPr="00A42B9A">
              <w:rPr>
                <w:color w:val="auto"/>
                <w:sz w:val="20"/>
                <w:szCs w:val="20"/>
              </w:rPr>
              <w:t xml:space="preserve">Figure </w:t>
            </w:r>
            <w:r w:rsidRPr="00A42B9A">
              <w:rPr>
                <w:color w:val="auto"/>
                <w:sz w:val="20"/>
                <w:szCs w:val="20"/>
              </w:rPr>
              <w:fldChar w:fldCharType="begin"/>
            </w:r>
            <w:r w:rsidRPr="00A42B9A">
              <w:rPr>
                <w:color w:val="auto"/>
                <w:sz w:val="20"/>
                <w:szCs w:val="20"/>
              </w:rPr>
              <w:instrText xml:space="preserve"> SEQ Figure \* ARABIC </w:instrText>
            </w:r>
            <w:r w:rsidRPr="00A42B9A">
              <w:rPr>
                <w:color w:val="auto"/>
                <w:sz w:val="20"/>
                <w:szCs w:val="20"/>
              </w:rPr>
              <w:fldChar w:fldCharType="separate"/>
            </w:r>
            <w:r w:rsidR="00B4077B">
              <w:rPr>
                <w:noProof/>
                <w:color w:val="auto"/>
                <w:sz w:val="20"/>
                <w:szCs w:val="20"/>
              </w:rPr>
              <w:t>3</w:t>
            </w:r>
            <w:r w:rsidRPr="00A42B9A">
              <w:rPr>
                <w:color w:val="auto"/>
                <w:sz w:val="20"/>
                <w:szCs w:val="20"/>
              </w:rPr>
              <w:fldChar w:fldCharType="end"/>
            </w:r>
            <w:r w:rsidRPr="00A42B9A">
              <w:rPr>
                <w:color w:val="auto"/>
                <w:sz w:val="20"/>
                <w:szCs w:val="20"/>
              </w:rPr>
              <w:t xml:space="preserve">  – Performance in the ease of Doing Business index</w:t>
            </w:r>
            <w:r w:rsidR="00150997" w:rsidRPr="00A42B9A">
              <w:rPr>
                <w:color w:val="auto"/>
                <w:sz w:val="20"/>
                <w:szCs w:val="20"/>
              </w:rPr>
              <w:t xml:space="preserve"> </w:t>
            </w:r>
            <w:r w:rsidR="00150997" w:rsidRPr="00A42B9A">
              <w:rPr>
                <w:b w:val="0"/>
                <w:color w:val="auto"/>
                <w:sz w:val="20"/>
                <w:szCs w:val="20"/>
              </w:rPr>
              <w:t>(2017/18)</w:t>
            </w:r>
          </w:p>
        </w:tc>
        <w:tc>
          <w:tcPr>
            <w:tcW w:w="4788" w:type="dxa"/>
            <w:hideMark/>
          </w:tcPr>
          <w:p w14:paraId="7EEDC3CC" w14:textId="4E96413A" w:rsidR="008F0F10" w:rsidRPr="00A42B9A" w:rsidRDefault="008F0F10" w:rsidP="00280F8E">
            <w:pPr>
              <w:pStyle w:val="Caption"/>
              <w:keepNext/>
              <w:spacing w:after="120" w:line="276" w:lineRule="auto"/>
              <w:jc w:val="both"/>
              <w:rPr>
                <w:sz w:val="20"/>
                <w:szCs w:val="20"/>
              </w:rPr>
            </w:pPr>
            <w:r w:rsidRPr="00A42B9A">
              <w:rPr>
                <w:color w:val="auto"/>
                <w:sz w:val="20"/>
                <w:szCs w:val="20"/>
              </w:rPr>
              <w:t xml:space="preserve">Figure </w:t>
            </w:r>
            <w:r w:rsidRPr="00A42B9A">
              <w:rPr>
                <w:color w:val="auto"/>
                <w:sz w:val="20"/>
                <w:szCs w:val="20"/>
              </w:rPr>
              <w:fldChar w:fldCharType="begin"/>
            </w:r>
            <w:r w:rsidRPr="00A42B9A">
              <w:rPr>
                <w:color w:val="auto"/>
                <w:sz w:val="20"/>
                <w:szCs w:val="20"/>
              </w:rPr>
              <w:instrText xml:space="preserve"> SEQ Figure \* ARABIC </w:instrText>
            </w:r>
            <w:r w:rsidRPr="00A42B9A">
              <w:rPr>
                <w:color w:val="auto"/>
                <w:sz w:val="20"/>
                <w:szCs w:val="20"/>
              </w:rPr>
              <w:fldChar w:fldCharType="separate"/>
            </w:r>
            <w:r w:rsidR="00B4077B">
              <w:rPr>
                <w:noProof/>
                <w:color w:val="auto"/>
                <w:sz w:val="20"/>
                <w:szCs w:val="20"/>
              </w:rPr>
              <w:t>4</w:t>
            </w:r>
            <w:r w:rsidRPr="00A42B9A">
              <w:rPr>
                <w:color w:val="auto"/>
                <w:sz w:val="20"/>
                <w:szCs w:val="20"/>
              </w:rPr>
              <w:fldChar w:fldCharType="end"/>
            </w:r>
            <w:r w:rsidRPr="00A42B9A">
              <w:rPr>
                <w:color w:val="auto"/>
                <w:sz w:val="20"/>
                <w:szCs w:val="20"/>
              </w:rPr>
              <w:t xml:space="preserve"> – </w:t>
            </w:r>
            <w:r w:rsidR="00214E5B" w:rsidRPr="00A42B9A">
              <w:rPr>
                <w:color w:val="auto"/>
                <w:sz w:val="20"/>
                <w:szCs w:val="20"/>
              </w:rPr>
              <w:t xml:space="preserve">Number of business reforms </w:t>
            </w:r>
            <w:r w:rsidR="00214E5B" w:rsidRPr="00A42B9A">
              <w:rPr>
                <w:b w:val="0"/>
                <w:color w:val="auto"/>
                <w:sz w:val="20"/>
                <w:szCs w:val="20"/>
              </w:rPr>
              <w:t>(2010-2018)</w:t>
            </w:r>
            <w:r w:rsidR="00214E5B" w:rsidRPr="00A42B9A">
              <w:rPr>
                <w:rStyle w:val="FootnoteReference"/>
                <w:b w:val="0"/>
                <w:color w:val="auto"/>
                <w:sz w:val="20"/>
                <w:szCs w:val="20"/>
              </w:rPr>
              <w:footnoteReference w:id="5"/>
            </w:r>
          </w:p>
        </w:tc>
      </w:tr>
      <w:tr w:rsidR="008F0F10" w:rsidRPr="00E6559F" w14:paraId="3CA9FD01" w14:textId="77777777" w:rsidTr="00280F8E">
        <w:trPr>
          <w:trHeight w:val="2069"/>
        </w:trPr>
        <w:tc>
          <w:tcPr>
            <w:tcW w:w="4788" w:type="dxa"/>
            <w:hideMark/>
          </w:tcPr>
          <w:p w14:paraId="1E07AD5D" w14:textId="74AC972E" w:rsidR="008F0F10" w:rsidRPr="00E6559F" w:rsidRDefault="00FB748B" w:rsidP="00280F8E">
            <w:pPr>
              <w:spacing w:after="120" w:line="276" w:lineRule="auto"/>
              <w:jc w:val="both"/>
            </w:pPr>
            <w:r>
              <w:rPr>
                <w:noProof/>
              </w:rPr>
              <w:drawing>
                <wp:inline distT="0" distB="0" distL="0" distR="0" wp14:anchorId="1159A40F" wp14:editId="34079839">
                  <wp:extent cx="3101616" cy="181098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3533" cy="1823784"/>
                          </a:xfrm>
                          <a:prstGeom prst="rect">
                            <a:avLst/>
                          </a:prstGeom>
                          <a:noFill/>
                        </pic:spPr>
                      </pic:pic>
                    </a:graphicData>
                  </a:graphic>
                </wp:inline>
              </w:drawing>
            </w:r>
          </w:p>
        </w:tc>
        <w:tc>
          <w:tcPr>
            <w:tcW w:w="4788" w:type="dxa"/>
            <w:hideMark/>
          </w:tcPr>
          <w:p w14:paraId="27928FF9" w14:textId="5384CCD6" w:rsidR="008F0F10" w:rsidRPr="004C5DF2" w:rsidRDefault="00413FC2" w:rsidP="00280F8E">
            <w:pPr>
              <w:spacing w:after="120" w:line="276" w:lineRule="auto"/>
              <w:jc w:val="both"/>
            </w:pPr>
            <w:r w:rsidRPr="00413FC2">
              <w:rPr>
                <w:noProof/>
              </w:rPr>
              <w:drawing>
                <wp:inline distT="0" distB="0" distL="0" distR="0" wp14:anchorId="60586624" wp14:editId="0BD70919">
                  <wp:extent cx="2899410" cy="1736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9410" cy="1736090"/>
                          </a:xfrm>
                          <a:prstGeom prst="rect">
                            <a:avLst/>
                          </a:prstGeom>
                          <a:noFill/>
                          <a:ln>
                            <a:noFill/>
                          </a:ln>
                        </pic:spPr>
                      </pic:pic>
                    </a:graphicData>
                  </a:graphic>
                </wp:inline>
              </w:drawing>
            </w:r>
          </w:p>
        </w:tc>
      </w:tr>
      <w:tr w:rsidR="008F0F10" w:rsidRPr="004C5DF2" w14:paraId="148C26B2" w14:textId="77777777" w:rsidTr="00280F8E">
        <w:tc>
          <w:tcPr>
            <w:tcW w:w="4788" w:type="dxa"/>
            <w:hideMark/>
          </w:tcPr>
          <w:p w14:paraId="605BD605" w14:textId="41EE1C58" w:rsidR="008F0F10" w:rsidRPr="004C5DF2" w:rsidRDefault="008F0F10" w:rsidP="00280F8E">
            <w:pPr>
              <w:spacing w:after="120" w:line="276" w:lineRule="auto"/>
              <w:jc w:val="both"/>
              <w:rPr>
                <w:sz w:val="16"/>
                <w:szCs w:val="16"/>
              </w:rPr>
            </w:pPr>
            <w:r w:rsidRPr="004C5DF2">
              <w:rPr>
                <w:sz w:val="16"/>
                <w:szCs w:val="16"/>
              </w:rPr>
              <w:t xml:space="preserve">Source: </w:t>
            </w:r>
            <w:r w:rsidR="00F032F7" w:rsidRPr="00F032F7">
              <w:rPr>
                <w:sz w:val="16"/>
                <w:szCs w:val="16"/>
              </w:rPr>
              <w:t>Doing Business database</w:t>
            </w:r>
            <w:r w:rsidRPr="004C5DF2">
              <w:rPr>
                <w:sz w:val="16"/>
                <w:szCs w:val="16"/>
              </w:rPr>
              <w:t>.</w:t>
            </w:r>
          </w:p>
        </w:tc>
        <w:tc>
          <w:tcPr>
            <w:tcW w:w="4788" w:type="dxa"/>
            <w:hideMark/>
          </w:tcPr>
          <w:p w14:paraId="3E2E62AC" w14:textId="7D06F98E" w:rsidR="008F0F10" w:rsidRPr="004C5DF2" w:rsidRDefault="008F0F10" w:rsidP="00280F8E">
            <w:pPr>
              <w:spacing w:after="120" w:line="276" w:lineRule="auto"/>
              <w:jc w:val="both"/>
              <w:rPr>
                <w:sz w:val="16"/>
                <w:szCs w:val="16"/>
              </w:rPr>
            </w:pPr>
            <w:r w:rsidRPr="004C5DF2">
              <w:rPr>
                <w:sz w:val="16"/>
                <w:szCs w:val="16"/>
              </w:rPr>
              <w:t xml:space="preserve">Source: </w:t>
            </w:r>
            <w:r w:rsidR="00F032F7" w:rsidRPr="00F032F7">
              <w:rPr>
                <w:sz w:val="16"/>
                <w:szCs w:val="16"/>
              </w:rPr>
              <w:t>Doing Business database</w:t>
            </w:r>
            <w:r w:rsidRPr="004C5DF2">
              <w:rPr>
                <w:sz w:val="16"/>
                <w:szCs w:val="16"/>
              </w:rPr>
              <w:t>.</w:t>
            </w:r>
          </w:p>
        </w:tc>
      </w:tr>
    </w:tbl>
    <w:p w14:paraId="7A4A3C9E" w14:textId="77777777" w:rsidR="008F0F10" w:rsidRDefault="008F0F10" w:rsidP="008F0F10">
      <w:pPr>
        <w:pStyle w:val="ListParagraph"/>
        <w:spacing w:after="120" w:line="276" w:lineRule="auto"/>
        <w:ind w:left="0"/>
        <w:jc w:val="both"/>
      </w:pPr>
    </w:p>
    <w:p w14:paraId="6761C3FF" w14:textId="2645F06F" w:rsidR="00214E5B" w:rsidRPr="00E6559F" w:rsidRDefault="008F0F10" w:rsidP="00B52D71">
      <w:pPr>
        <w:pStyle w:val="ListParagraph"/>
        <w:numPr>
          <w:ilvl w:val="0"/>
          <w:numId w:val="3"/>
        </w:numPr>
        <w:spacing w:after="120" w:line="276" w:lineRule="auto"/>
        <w:ind w:left="0" w:firstLine="0"/>
        <w:contextualSpacing w:val="0"/>
        <w:jc w:val="both"/>
      </w:pPr>
      <w:r w:rsidRPr="00214E5B">
        <w:rPr>
          <w:b/>
        </w:rPr>
        <w:t xml:space="preserve">In recent years, the </w:t>
      </w:r>
      <w:r w:rsidR="00B4077B">
        <w:rPr>
          <w:b/>
        </w:rPr>
        <w:t>G</w:t>
      </w:r>
      <w:r w:rsidRPr="00214E5B">
        <w:rPr>
          <w:b/>
        </w:rPr>
        <w:t>overnment of São Tomé and Príncipe has taken important measures to improve the business environment</w:t>
      </w:r>
      <w:r w:rsidR="00B634B7">
        <w:rPr>
          <w:b/>
        </w:rPr>
        <w:t xml:space="preserve"> such as</w:t>
      </w:r>
      <w:r w:rsidR="008012C5">
        <w:rPr>
          <w:b/>
        </w:rPr>
        <w:t xml:space="preserve"> on business registration and licensing, and international trade</w:t>
      </w:r>
      <w:r w:rsidR="0064762F">
        <w:rPr>
          <w:b/>
        </w:rPr>
        <w:t>.</w:t>
      </w:r>
      <w:r w:rsidRPr="00214E5B">
        <w:rPr>
          <w:b/>
        </w:rPr>
        <w:t xml:space="preserve"> </w:t>
      </w:r>
      <w:r w:rsidRPr="0067423C">
        <w:t xml:space="preserve">Since 2010, Doing Business has recorded 10 </w:t>
      </w:r>
      <w:r w:rsidR="008012C5">
        <w:t>positive reforms</w:t>
      </w:r>
      <w:r w:rsidR="008012C5" w:rsidRPr="0067423C">
        <w:t xml:space="preserve"> </w:t>
      </w:r>
      <w:r w:rsidRPr="0067423C">
        <w:t xml:space="preserve">in the areas measured by the </w:t>
      </w:r>
      <w:r w:rsidR="002572BE">
        <w:t>Doing Business report</w:t>
      </w:r>
      <w:r>
        <w:t>,</w:t>
      </w:r>
      <w:r w:rsidR="002572BE">
        <w:rPr>
          <w:rStyle w:val="FootnoteReference"/>
        </w:rPr>
        <w:footnoteReference w:id="6"/>
      </w:r>
      <w:r w:rsidR="002572BE">
        <w:t xml:space="preserve"> five times more than Dominica or St. Lucia, but almost half the number in Mauritius (Figure 4). </w:t>
      </w:r>
      <w:r w:rsidRPr="00E6559F">
        <w:t>Business registration and licensing reforms have reduced barriers to entry, while the implementation of a single window for trade has simplified import and export procedures. The liberalization of visa requirements, building on the previous introduction of an e-visa system, has enabled an increase in the number of visitors to the country</w:t>
      </w:r>
      <w:r>
        <w:t>—almost 29,</w:t>
      </w:r>
      <w:r w:rsidRPr="00ED3D64">
        <w:t>000 in 2016.</w:t>
      </w:r>
      <w:r w:rsidRPr="00E6559F">
        <w:t xml:space="preserve"> </w:t>
      </w:r>
      <w:r>
        <w:t>The government reformed the Investment Code to attract foreign investme</w:t>
      </w:r>
      <w:r w:rsidR="008B57CD">
        <w:t>nt and has updated regulations on</w:t>
      </w:r>
      <w:r>
        <w:t xml:space="preserve"> the financial sector, </w:t>
      </w:r>
      <w:r>
        <w:lastRenderedPageBreak/>
        <w:t xml:space="preserve">court fees, </w:t>
      </w:r>
      <w:r w:rsidR="008B57CD">
        <w:t xml:space="preserve">and </w:t>
      </w:r>
      <w:r>
        <w:t>the country notary and registration services, among others. Electronic data laws were approved</w:t>
      </w:r>
      <w:r w:rsidR="004C25A1">
        <w:t>,</w:t>
      </w:r>
      <w:r>
        <w:t xml:space="preserve"> underpin</w:t>
      </w:r>
      <w:r w:rsidR="004C25A1">
        <w:t>ning</w:t>
      </w:r>
      <w:r>
        <w:t xml:space="preserve"> the introduction of online procedures and electronic signatures. </w:t>
      </w:r>
      <w:r w:rsidRPr="00E6559F">
        <w:t>Nonetheless, further improvements are constrained by limited institutional capacity, outdated regulations,</w:t>
      </w:r>
      <w:r>
        <w:rPr>
          <w:rStyle w:val="FootnoteReference"/>
        </w:rPr>
        <w:footnoteReference w:id="7"/>
      </w:r>
      <w:r w:rsidRPr="00E6559F">
        <w:t xml:space="preserve"> and </w:t>
      </w:r>
      <w:r>
        <w:t>limited</w:t>
      </w:r>
      <w:r w:rsidRPr="00E6559F">
        <w:t xml:space="preserve"> resources for modernizing government systems. </w:t>
      </w:r>
    </w:p>
    <w:p w14:paraId="5FC7B848" w14:textId="3F325036" w:rsidR="00081C1E" w:rsidRDefault="0064762F" w:rsidP="00B52D71">
      <w:pPr>
        <w:pStyle w:val="ListParagraph"/>
        <w:numPr>
          <w:ilvl w:val="0"/>
          <w:numId w:val="3"/>
        </w:numPr>
        <w:spacing w:after="120" w:line="276" w:lineRule="auto"/>
        <w:ind w:left="0" w:firstLine="0"/>
        <w:contextualSpacing w:val="0"/>
        <w:jc w:val="both"/>
      </w:pPr>
      <w:r>
        <w:rPr>
          <w:b/>
        </w:rPr>
        <w:t>Yet,</w:t>
      </w:r>
      <w:r w:rsidR="005B3CFE">
        <w:rPr>
          <w:b/>
        </w:rPr>
        <w:t xml:space="preserve"> weak capacity hamper</w:t>
      </w:r>
      <w:r w:rsidR="004C5DF2">
        <w:rPr>
          <w:b/>
        </w:rPr>
        <w:t>s</w:t>
      </w:r>
      <w:r w:rsidR="005B3CFE">
        <w:rPr>
          <w:b/>
        </w:rPr>
        <w:t xml:space="preserve"> </w:t>
      </w:r>
      <w:r w:rsidR="004C5DF2">
        <w:rPr>
          <w:b/>
        </w:rPr>
        <w:t xml:space="preserve">the </w:t>
      </w:r>
      <w:r w:rsidR="005B3CFE">
        <w:rPr>
          <w:b/>
        </w:rPr>
        <w:t>proper functioning of institutions.</w:t>
      </w:r>
      <w:r w:rsidR="001872EA">
        <w:rPr>
          <w:b/>
        </w:rPr>
        <w:t xml:space="preserve"> </w:t>
      </w:r>
      <w:r w:rsidR="001872EA" w:rsidRPr="001872EA">
        <w:t>T</w:t>
      </w:r>
      <w:r w:rsidR="005B3CFE" w:rsidRPr="001872EA">
        <w:t xml:space="preserve">he </w:t>
      </w:r>
      <w:r w:rsidR="005B3CFE">
        <w:t xml:space="preserve">country performs </w:t>
      </w:r>
      <w:r w:rsidR="00B86B1E">
        <w:t xml:space="preserve">in the top 50 percent of countries and </w:t>
      </w:r>
      <w:r w:rsidR="005B3CFE">
        <w:t xml:space="preserve">well above the regional average in the World Bank Governance indicators in the areas of control of corruption and voice and accountability. On the other hand, it is in the bottom 30 percent of countries in the areas of rule of law, government effectiveness, and regulatory quality. </w:t>
      </w:r>
      <w:r w:rsidR="007438A5">
        <w:t xml:space="preserve">This suggest </w:t>
      </w:r>
      <w:r w:rsidR="00BD48B3">
        <w:t>weaknesses in regulations and</w:t>
      </w:r>
      <w:r w:rsidR="007438A5">
        <w:t xml:space="preserve"> institutional capacity, including in the judicial system</w:t>
      </w:r>
      <w:r w:rsidR="008012C5">
        <w:t>, which are a hindrance to better business environment</w:t>
      </w:r>
      <w:r w:rsidR="007438A5">
        <w:t xml:space="preserve">. </w:t>
      </w:r>
    </w:p>
    <w:p w14:paraId="46773223" w14:textId="7FCCADC0" w:rsidR="00FA5971" w:rsidRPr="00FA5971" w:rsidRDefault="00992A60" w:rsidP="00B52D71">
      <w:pPr>
        <w:pStyle w:val="ListParagraph"/>
        <w:numPr>
          <w:ilvl w:val="0"/>
          <w:numId w:val="3"/>
        </w:numPr>
        <w:spacing w:after="120" w:line="276" w:lineRule="auto"/>
        <w:ind w:left="0" w:firstLine="0"/>
        <w:contextualSpacing w:val="0"/>
        <w:jc w:val="both"/>
      </w:pPr>
      <w:r>
        <w:rPr>
          <w:b/>
        </w:rPr>
        <w:t>Although not overly restrictive, l</w:t>
      </w:r>
      <w:r w:rsidR="00FA5971" w:rsidRPr="00FA5971">
        <w:rPr>
          <w:b/>
        </w:rPr>
        <w:t xml:space="preserve">abor regulations </w:t>
      </w:r>
      <w:r>
        <w:rPr>
          <w:b/>
        </w:rPr>
        <w:t xml:space="preserve">are </w:t>
      </w:r>
      <w:r w:rsidR="00976BA8">
        <w:rPr>
          <w:b/>
        </w:rPr>
        <w:t>outdated,</w:t>
      </w:r>
      <w:r>
        <w:rPr>
          <w:b/>
        </w:rPr>
        <w:t xml:space="preserve"> and some</w:t>
      </w:r>
      <w:r w:rsidR="00FA5971" w:rsidRPr="00FA5971">
        <w:rPr>
          <w:b/>
        </w:rPr>
        <w:t xml:space="preserve"> additional flexibility</w:t>
      </w:r>
      <w:r>
        <w:rPr>
          <w:b/>
        </w:rPr>
        <w:t xml:space="preserve"> would be beneficial to the business environment</w:t>
      </w:r>
      <w:r w:rsidR="00FA5971" w:rsidRPr="00FA5971">
        <w:rPr>
          <w:b/>
        </w:rPr>
        <w:t>.</w:t>
      </w:r>
      <w:r w:rsidR="00FA5971" w:rsidRPr="00FA5971">
        <w:t xml:space="preserve"> The labor law </w:t>
      </w:r>
      <w:proofErr w:type="gramStart"/>
      <w:r w:rsidR="00FA5971" w:rsidRPr="00FA5971">
        <w:t>dates back to</w:t>
      </w:r>
      <w:proofErr w:type="gramEnd"/>
      <w:r w:rsidR="00FA5971" w:rsidRPr="00FA5971">
        <w:t xml:space="preserve"> 1992 and no major change has been done since then. </w:t>
      </w:r>
      <w:r w:rsidR="0097645A">
        <w:t>A</w:t>
      </w:r>
      <w:r w:rsidR="002505EC">
        <w:t xml:space="preserve">reas where </w:t>
      </w:r>
      <w:r w:rsidR="0097645A">
        <w:t xml:space="preserve">additional flexibility could be considered include </w:t>
      </w:r>
      <w:r w:rsidR="00FA5971" w:rsidRPr="00FA5971">
        <w:t>fixed contracts, holiday</w:t>
      </w:r>
      <w:r w:rsidR="008D2DF9">
        <w:t>,</w:t>
      </w:r>
      <w:r w:rsidR="00FA5971" w:rsidRPr="00FA5971">
        <w:t xml:space="preserve"> and overtime work, and women working hours</w:t>
      </w:r>
      <w:r w:rsidR="00442F51">
        <w:t xml:space="preserve">, as well as </w:t>
      </w:r>
      <w:r w:rsidR="008451DE">
        <w:t>dismissal rules</w:t>
      </w:r>
      <w:r w:rsidR="00FA5971" w:rsidRPr="00FA5971">
        <w:t xml:space="preserve">. </w:t>
      </w:r>
      <w:r w:rsidR="008451DE">
        <w:t>Currently,</w:t>
      </w:r>
      <w:r w:rsidR="00FA5971" w:rsidRPr="00FA5971">
        <w:t xml:space="preserve"> third party authorization </w:t>
      </w:r>
      <w:r w:rsidR="008451DE">
        <w:t xml:space="preserve">is required </w:t>
      </w:r>
      <w:r w:rsidR="00FA5971" w:rsidRPr="00FA5971">
        <w:t xml:space="preserve">for dismissal of one worker. Among comparator countries, only Seychelles requires such approval. In practice, enforcement of labor regulations, including on occupational health is weak due to limited resources.  </w:t>
      </w:r>
      <w:r w:rsidR="00FA5971">
        <w:t>A new labor code has been discussed for some time</w:t>
      </w:r>
      <w:r w:rsidR="0043484F">
        <w:t>,</w:t>
      </w:r>
      <w:r w:rsidR="00FA5971">
        <w:t xml:space="preserve"> which would increase flexibility in hiring and firing, while protecting </w:t>
      </w:r>
      <w:r>
        <w:t>workers</w:t>
      </w:r>
      <w:r w:rsidR="00FA5971">
        <w:t xml:space="preserve">. </w:t>
      </w:r>
    </w:p>
    <w:p w14:paraId="1E104860" w14:textId="71487CAA" w:rsidR="007F0816" w:rsidRPr="00866FF1" w:rsidRDefault="00DE4C57" w:rsidP="00E22108">
      <w:pPr>
        <w:pStyle w:val="ListParagraph"/>
        <w:widowControl w:val="0"/>
        <w:numPr>
          <w:ilvl w:val="1"/>
          <w:numId w:val="8"/>
        </w:numPr>
        <w:tabs>
          <w:tab w:val="left" w:pos="720"/>
        </w:tabs>
        <w:autoSpaceDE w:val="0"/>
        <w:autoSpaceDN w:val="0"/>
        <w:adjustRightInd w:val="0"/>
        <w:spacing w:before="240" w:after="120" w:line="276" w:lineRule="auto"/>
        <w:ind w:left="432"/>
        <w:contextualSpacing w:val="0"/>
        <w:jc w:val="both"/>
        <w:rPr>
          <w:b/>
          <w:color w:val="0070C0"/>
          <w:sz w:val="24"/>
          <w:szCs w:val="24"/>
        </w:rPr>
      </w:pPr>
      <w:r w:rsidRPr="00866FF1">
        <w:rPr>
          <w:b/>
          <w:color w:val="0070C0"/>
          <w:sz w:val="24"/>
          <w:szCs w:val="24"/>
        </w:rPr>
        <w:t>Business registration and licensing</w:t>
      </w:r>
      <w:r w:rsidR="00CD2BA2">
        <w:rPr>
          <w:b/>
          <w:color w:val="0070C0"/>
          <w:sz w:val="24"/>
          <w:szCs w:val="24"/>
        </w:rPr>
        <w:t xml:space="preserve"> have been streamlined, but investors still go th</w:t>
      </w:r>
      <w:r w:rsidR="00AD3C0B">
        <w:rPr>
          <w:b/>
          <w:color w:val="0070C0"/>
          <w:sz w:val="24"/>
          <w:szCs w:val="24"/>
        </w:rPr>
        <w:t>r</w:t>
      </w:r>
      <w:r w:rsidR="00CD2BA2">
        <w:rPr>
          <w:b/>
          <w:color w:val="0070C0"/>
          <w:sz w:val="24"/>
          <w:szCs w:val="24"/>
        </w:rPr>
        <w:t>ough red tape to get established.</w:t>
      </w:r>
    </w:p>
    <w:p w14:paraId="12A4952D" w14:textId="13B9972E" w:rsidR="00A96074" w:rsidRDefault="00A96074" w:rsidP="00B13157">
      <w:pPr>
        <w:pStyle w:val="ListParagraph"/>
        <w:numPr>
          <w:ilvl w:val="0"/>
          <w:numId w:val="3"/>
        </w:numPr>
        <w:tabs>
          <w:tab w:val="left" w:pos="0"/>
        </w:tabs>
        <w:spacing w:after="120" w:line="276" w:lineRule="auto"/>
        <w:ind w:left="0" w:firstLine="0"/>
        <w:contextualSpacing w:val="0"/>
        <w:jc w:val="both"/>
      </w:pPr>
      <w:r w:rsidRPr="003A716B">
        <w:rPr>
          <w:b/>
        </w:rPr>
        <w:t>Starting a business in São Tomé and Principe is relatively straightforward.</w:t>
      </w:r>
      <w:r>
        <w:t xml:space="preserve"> It takes </w:t>
      </w:r>
      <w:r w:rsidR="00DE67D6">
        <w:t>six</w:t>
      </w:r>
      <w:r>
        <w:t xml:space="preserve"> steps and </w:t>
      </w:r>
      <w:r w:rsidR="00DE67D6">
        <w:t>seven</w:t>
      </w:r>
      <w:r>
        <w:t xml:space="preserve"> days </w:t>
      </w:r>
      <w:r w:rsidR="00813F50">
        <w:t xml:space="preserve">to start a domestic limited liability company, </w:t>
      </w:r>
      <w:r>
        <w:t>according to Doing Business,</w:t>
      </w:r>
      <w:r w:rsidR="00254EEC">
        <w:rPr>
          <w:rStyle w:val="FootnoteReference"/>
        </w:rPr>
        <w:footnoteReference w:id="8"/>
      </w:r>
      <w:r>
        <w:t xml:space="preserve"> while the cost is equivalent to 12.3 percent of </w:t>
      </w:r>
      <w:r w:rsidR="00DE67D6">
        <w:t xml:space="preserve">the </w:t>
      </w:r>
      <w:r>
        <w:t xml:space="preserve">income per capita. </w:t>
      </w:r>
      <w:r w:rsidR="003A6894">
        <w:t xml:space="preserve">This is faster than comparator countries except Mauritius, while </w:t>
      </w:r>
      <w:r w:rsidR="00DE67D6">
        <w:t xml:space="preserve">relative costs are higher </w:t>
      </w:r>
      <w:r w:rsidR="003A6894">
        <w:t>only Mauritius and St. Lucia (Figure 5</w:t>
      </w:r>
      <w:bookmarkStart w:id="2" w:name="_Hlk532171146"/>
      <w:r w:rsidR="003A6894">
        <w:t>). O</w:t>
      </w:r>
      <w:r w:rsidRPr="00E6559F">
        <w:t xml:space="preserve">n the other hand, </w:t>
      </w:r>
      <w:r>
        <w:t>São Tomé and Príncipe</w:t>
      </w:r>
      <w:r w:rsidRPr="00E6559F">
        <w:t xml:space="preserve"> is one of </w:t>
      </w:r>
      <w:r>
        <w:t xml:space="preserve">just </w:t>
      </w:r>
      <w:r w:rsidR="0074511F">
        <w:t>59</w:t>
      </w:r>
      <w:r w:rsidRPr="00E6559F">
        <w:t xml:space="preserve"> countries that still require a paid</w:t>
      </w:r>
      <w:r>
        <w:t>-</w:t>
      </w:r>
      <w:r w:rsidRPr="00E6559F">
        <w:t xml:space="preserve">in minimum capital, equivalent to </w:t>
      </w:r>
      <w:r w:rsidR="00F264EB">
        <w:t>178.5 percent of</w:t>
      </w:r>
      <w:r w:rsidRPr="00E6559F">
        <w:t xml:space="preserve"> the </w:t>
      </w:r>
      <w:r w:rsidR="00F264EB">
        <w:t xml:space="preserve">country’s </w:t>
      </w:r>
      <w:r w:rsidRPr="00E6559F">
        <w:t>income per capita</w:t>
      </w:r>
      <w:r>
        <w:t>.</w:t>
      </w:r>
      <w:r w:rsidR="003A716B">
        <w:t xml:space="preserve"> </w:t>
      </w:r>
      <w:bookmarkEnd w:id="2"/>
      <w:r w:rsidR="003A716B">
        <w:t>The introduction of a one-stop shop (</w:t>
      </w:r>
      <w:proofErr w:type="spellStart"/>
      <w:r w:rsidR="00F264EB">
        <w:rPr>
          <w:i/>
        </w:rPr>
        <w:t>Guiche</w:t>
      </w:r>
      <w:proofErr w:type="spellEnd"/>
      <w:r w:rsidR="00F264EB">
        <w:rPr>
          <w:i/>
        </w:rPr>
        <w:t xml:space="preserve"> </w:t>
      </w:r>
      <w:proofErr w:type="spellStart"/>
      <w:r w:rsidR="00DE67D6">
        <w:rPr>
          <w:i/>
        </w:rPr>
        <w:t>Ú</w:t>
      </w:r>
      <w:r w:rsidR="00F264EB">
        <w:rPr>
          <w:i/>
        </w:rPr>
        <w:t>nico</w:t>
      </w:r>
      <w:proofErr w:type="spellEnd"/>
      <w:r w:rsidR="00F264EB">
        <w:rPr>
          <w:i/>
        </w:rPr>
        <w:t xml:space="preserve"> da </w:t>
      </w:r>
      <w:proofErr w:type="spellStart"/>
      <w:r w:rsidR="00F264EB">
        <w:rPr>
          <w:i/>
        </w:rPr>
        <w:t>Empresa</w:t>
      </w:r>
      <w:proofErr w:type="spellEnd"/>
      <w:r w:rsidR="00F264EB">
        <w:rPr>
          <w:i/>
        </w:rPr>
        <w:t>, GUE</w:t>
      </w:r>
      <w:r w:rsidR="003A716B">
        <w:t>) led to a significant reduction in the steps, time, and cost to start a business (Figure 6).</w:t>
      </w:r>
    </w:p>
    <w:p w14:paraId="51E98ED6" w14:textId="71F488A1" w:rsidR="00027D83" w:rsidRDefault="00027D83" w:rsidP="00027D83">
      <w:pPr>
        <w:pStyle w:val="ListParagraph"/>
        <w:numPr>
          <w:ilvl w:val="0"/>
          <w:numId w:val="3"/>
        </w:numPr>
        <w:tabs>
          <w:tab w:val="left" w:pos="0"/>
        </w:tabs>
        <w:spacing w:after="120" w:line="276" w:lineRule="auto"/>
        <w:ind w:left="0" w:firstLine="0"/>
        <w:contextualSpacing w:val="0"/>
        <w:jc w:val="both"/>
      </w:pPr>
      <w:r w:rsidRPr="00E6559F">
        <w:rPr>
          <w:b/>
        </w:rPr>
        <w:t xml:space="preserve">Business entry was </w:t>
      </w:r>
      <w:r>
        <w:rPr>
          <w:b/>
        </w:rPr>
        <w:t>made even easier</w:t>
      </w:r>
      <w:r w:rsidRPr="00E6559F">
        <w:rPr>
          <w:b/>
        </w:rPr>
        <w:t xml:space="preserve"> by the introduction of an online</w:t>
      </w:r>
      <w:r>
        <w:rPr>
          <w:b/>
        </w:rPr>
        <w:t xml:space="preserve"> business registration</w:t>
      </w:r>
      <w:r w:rsidRPr="00E6559F">
        <w:rPr>
          <w:b/>
        </w:rPr>
        <w:t xml:space="preserve"> platform in 2016.</w:t>
      </w:r>
      <w:r w:rsidRPr="00E6559F">
        <w:t xml:space="preserve"> The one-stop shop for business registration (GUE) launched the </w:t>
      </w:r>
      <w:proofErr w:type="spellStart"/>
      <w:r w:rsidRPr="00E6559F">
        <w:t>GUEnet</w:t>
      </w:r>
      <w:proofErr w:type="spellEnd"/>
      <w:r w:rsidRPr="00E6559F">
        <w:t xml:space="preserve"> platform, which allows business</w:t>
      </w:r>
      <w:r>
        <w:t xml:space="preserve"> to register</w:t>
      </w:r>
      <w:r w:rsidRPr="00E6559F">
        <w:t xml:space="preserve"> online in just one hour, provided the company representative has all the necessary information available. Completing the process without using the online platform takes </w:t>
      </w:r>
      <w:r>
        <w:t>seven</w:t>
      </w:r>
      <w:r w:rsidRPr="00E6559F">
        <w:t xml:space="preserve"> days, according to Doing Business. The list of existing company names, and the complete records of companies created </w:t>
      </w:r>
      <w:r>
        <w:t xml:space="preserve">before the GUE was established </w:t>
      </w:r>
      <w:r w:rsidRPr="00E6559F">
        <w:t xml:space="preserve">were digitized, allowing for </w:t>
      </w:r>
      <w:r>
        <w:t xml:space="preserve">the </w:t>
      </w:r>
      <w:r w:rsidRPr="00E6559F">
        <w:t xml:space="preserve">fast processing of applications. </w:t>
      </w:r>
    </w:p>
    <w:tbl>
      <w:tblPr>
        <w:tblStyle w:val="TableGrid"/>
        <w:tblW w:w="9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EF330D" w:rsidRPr="00E6559F" w14:paraId="2A18534B" w14:textId="77777777" w:rsidTr="00EF330D">
        <w:tc>
          <w:tcPr>
            <w:tcW w:w="4788" w:type="dxa"/>
          </w:tcPr>
          <w:p w14:paraId="6742ADDC" w14:textId="30CAF0AF" w:rsidR="00EF330D" w:rsidRPr="00EF330D" w:rsidRDefault="00EF330D" w:rsidP="00EF330D">
            <w:pPr>
              <w:pStyle w:val="Caption"/>
              <w:keepNext/>
              <w:spacing w:after="0" w:line="276" w:lineRule="auto"/>
              <w:rPr>
                <w:sz w:val="20"/>
                <w:szCs w:val="20"/>
              </w:rPr>
            </w:pPr>
            <w:r w:rsidRPr="00B13157">
              <w:rPr>
                <w:color w:val="auto"/>
                <w:sz w:val="20"/>
                <w:szCs w:val="20"/>
              </w:rPr>
              <w:lastRenderedPageBreak/>
              <w:t xml:space="preserve">Figure </w:t>
            </w:r>
            <w:r w:rsidRPr="00B13157">
              <w:rPr>
                <w:color w:val="auto"/>
                <w:sz w:val="20"/>
                <w:szCs w:val="20"/>
              </w:rPr>
              <w:fldChar w:fldCharType="begin"/>
            </w:r>
            <w:r w:rsidRPr="00B13157">
              <w:rPr>
                <w:color w:val="auto"/>
                <w:sz w:val="20"/>
                <w:szCs w:val="20"/>
              </w:rPr>
              <w:instrText xml:space="preserve"> SEQ Figure \* ARABIC </w:instrText>
            </w:r>
            <w:r w:rsidRPr="00B13157">
              <w:rPr>
                <w:color w:val="auto"/>
                <w:sz w:val="20"/>
                <w:szCs w:val="20"/>
              </w:rPr>
              <w:fldChar w:fldCharType="separate"/>
            </w:r>
            <w:r w:rsidR="00B4077B">
              <w:rPr>
                <w:noProof/>
                <w:color w:val="auto"/>
                <w:sz w:val="20"/>
                <w:szCs w:val="20"/>
              </w:rPr>
              <w:t>5</w:t>
            </w:r>
            <w:r w:rsidRPr="00B13157">
              <w:rPr>
                <w:color w:val="auto"/>
                <w:sz w:val="20"/>
                <w:szCs w:val="20"/>
              </w:rPr>
              <w:fldChar w:fldCharType="end"/>
            </w:r>
            <w:r w:rsidRPr="00B13157">
              <w:rPr>
                <w:color w:val="auto"/>
                <w:sz w:val="20"/>
                <w:szCs w:val="20"/>
              </w:rPr>
              <w:t xml:space="preserve"> – Procedures, time, and cost to start a business</w:t>
            </w:r>
          </w:p>
        </w:tc>
        <w:tc>
          <w:tcPr>
            <w:tcW w:w="4788" w:type="dxa"/>
          </w:tcPr>
          <w:p w14:paraId="0414B960" w14:textId="1EB02A6D" w:rsidR="00EF330D" w:rsidRPr="00EF330D" w:rsidRDefault="00EF330D" w:rsidP="00EF330D">
            <w:pPr>
              <w:pStyle w:val="Caption"/>
              <w:keepNext/>
              <w:spacing w:after="0" w:line="276" w:lineRule="auto"/>
              <w:jc w:val="both"/>
              <w:rPr>
                <w:sz w:val="20"/>
                <w:szCs w:val="20"/>
              </w:rPr>
            </w:pPr>
            <w:r w:rsidRPr="00B13157">
              <w:rPr>
                <w:color w:val="auto"/>
                <w:sz w:val="20"/>
                <w:szCs w:val="20"/>
              </w:rPr>
              <w:t xml:space="preserve">Figure </w:t>
            </w:r>
            <w:r w:rsidRPr="00B13157">
              <w:rPr>
                <w:color w:val="auto"/>
                <w:sz w:val="20"/>
                <w:szCs w:val="20"/>
              </w:rPr>
              <w:fldChar w:fldCharType="begin"/>
            </w:r>
            <w:r w:rsidRPr="00B13157">
              <w:rPr>
                <w:color w:val="auto"/>
                <w:sz w:val="20"/>
                <w:szCs w:val="20"/>
              </w:rPr>
              <w:instrText xml:space="preserve"> SEQ Figure \* ARABIC </w:instrText>
            </w:r>
            <w:r w:rsidRPr="00B13157">
              <w:rPr>
                <w:color w:val="auto"/>
                <w:sz w:val="20"/>
                <w:szCs w:val="20"/>
              </w:rPr>
              <w:fldChar w:fldCharType="separate"/>
            </w:r>
            <w:r w:rsidR="00B4077B">
              <w:rPr>
                <w:noProof/>
                <w:color w:val="auto"/>
                <w:sz w:val="20"/>
                <w:szCs w:val="20"/>
              </w:rPr>
              <w:t>6</w:t>
            </w:r>
            <w:r w:rsidRPr="00B13157">
              <w:rPr>
                <w:color w:val="auto"/>
                <w:sz w:val="20"/>
                <w:szCs w:val="20"/>
              </w:rPr>
              <w:fldChar w:fldCharType="end"/>
            </w:r>
            <w:r w:rsidRPr="00B13157">
              <w:rPr>
                <w:color w:val="auto"/>
                <w:sz w:val="20"/>
                <w:szCs w:val="20"/>
              </w:rPr>
              <w:t xml:space="preserve"> – Starting a business in São Tomé and Príncipe over time</w:t>
            </w:r>
          </w:p>
        </w:tc>
      </w:tr>
      <w:tr w:rsidR="00A96074" w:rsidRPr="00E6559F" w14:paraId="47408052" w14:textId="77777777" w:rsidTr="00EF330D">
        <w:tc>
          <w:tcPr>
            <w:tcW w:w="4788" w:type="dxa"/>
            <w:vAlign w:val="center"/>
            <w:hideMark/>
          </w:tcPr>
          <w:p w14:paraId="4E5D9C63" w14:textId="39ED5D41" w:rsidR="00A96074" w:rsidRPr="009038B3" w:rsidRDefault="00F71098" w:rsidP="00EF330D">
            <w:pPr>
              <w:spacing w:after="120" w:line="276" w:lineRule="auto"/>
              <w:jc w:val="center"/>
            </w:pPr>
            <w:r w:rsidRPr="00F71098">
              <w:rPr>
                <w:noProof/>
              </w:rPr>
              <w:drawing>
                <wp:inline distT="0" distB="0" distL="0" distR="0" wp14:anchorId="1621B030" wp14:editId="7C490A5C">
                  <wp:extent cx="2986587" cy="1788289"/>
                  <wp:effectExtent l="0" t="0" r="444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9784" cy="1790203"/>
                          </a:xfrm>
                          <a:prstGeom prst="rect">
                            <a:avLst/>
                          </a:prstGeom>
                          <a:noFill/>
                          <a:ln>
                            <a:noFill/>
                          </a:ln>
                        </pic:spPr>
                      </pic:pic>
                    </a:graphicData>
                  </a:graphic>
                </wp:inline>
              </w:drawing>
            </w:r>
          </w:p>
        </w:tc>
        <w:tc>
          <w:tcPr>
            <w:tcW w:w="4788" w:type="dxa"/>
            <w:vAlign w:val="center"/>
            <w:hideMark/>
          </w:tcPr>
          <w:p w14:paraId="1B8137A5" w14:textId="21FB6589" w:rsidR="00A96074" w:rsidRPr="00E6559F" w:rsidRDefault="00F71098" w:rsidP="00EF330D">
            <w:pPr>
              <w:spacing w:after="120" w:line="276" w:lineRule="auto"/>
              <w:jc w:val="center"/>
            </w:pPr>
            <w:r w:rsidRPr="00F71098">
              <w:rPr>
                <w:b/>
                <w:noProof/>
              </w:rPr>
              <w:drawing>
                <wp:inline distT="0" distB="0" distL="0" distR="0" wp14:anchorId="4A451CFB" wp14:editId="7B6652E7">
                  <wp:extent cx="2899410" cy="19386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9410" cy="1938655"/>
                          </a:xfrm>
                          <a:prstGeom prst="rect">
                            <a:avLst/>
                          </a:prstGeom>
                          <a:noFill/>
                          <a:ln>
                            <a:noFill/>
                          </a:ln>
                        </pic:spPr>
                      </pic:pic>
                    </a:graphicData>
                  </a:graphic>
                </wp:inline>
              </w:drawing>
            </w:r>
          </w:p>
        </w:tc>
      </w:tr>
      <w:tr w:rsidR="00A96074" w:rsidRPr="009038B3" w14:paraId="3C4BCE5F" w14:textId="77777777" w:rsidTr="00EF330D">
        <w:tc>
          <w:tcPr>
            <w:tcW w:w="4788" w:type="dxa"/>
            <w:hideMark/>
          </w:tcPr>
          <w:p w14:paraId="1087994B" w14:textId="77777777" w:rsidR="00A96074" w:rsidRPr="009038B3" w:rsidRDefault="00A96074" w:rsidP="0090501E">
            <w:pPr>
              <w:spacing w:after="120" w:line="276" w:lineRule="auto"/>
              <w:jc w:val="both"/>
              <w:rPr>
                <w:sz w:val="16"/>
                <w:szCs w:val="16"/>
              </w:rPr>
            </w:pPr>
            <w:r w:rsidRPr="009038B3">
              <w:rPr>
                <w:sz w:val="16"/>
                <w:szCs w:val="16"/>
              </w:rPr>
              <w:t>Source: Doing Business database</w:t>
            </w:r>
          </w:p>
        </w:tc>
        <w:tc>
          <w:tcPr>
            <w:tcW w:w="4788" w:type="dxa"/>
            <w:hideMark/>
          </w:tcPr>
          <w:p w14:paraId="3D107B02" w14:textId="77777777" w:rsidR="00A96074" w:rsidRPr="009038B3" w:rsidRDefault="00A96074" w:rsidP="0090501E">
            <w:pPr>
              <w:spacing w:after="120" w:line="276" w:lineRule="auto"/>
              <w:jc w:val="both"/>
              <w:rPr>
                <w:sz w:val="16"/>
                <w:szCs w:val="16"/>
              </w:rPr>
            </w:pPr>
            <w:r w:rsidRPr="009038B3">
              <w:rPr>
                <w:sz w:val="16"/>
                <w:szCs w:val="16"/>
              </w:rPr>
              <w:t>Source: Doing Business database</w:t>
            </w:r>
          </w:p>
        </w:tc>
      </w:tr>
    </w:tbl>
    <w:p w14:paraId="04E2F6B4" w14:textId="77777777" w:rsidR="00A96074" w:rsidRDefault="00A96074" w:rsidP="00E22108">
      <w:pPr>
        <w:pStyle w:val="ListParagraph"/>
        <w:tabs>
          <w:tab w:val="left" w:pos="0"/>
        </w:tabs>
        <w:spacing w:after="0" w:line="276" w:lineRule="auto"/>
        <w:ind w:left="0"/>
        <w:contextualSpacing w:val="0"/>
        <w:jc w:val="both"/>
      </w:pPr>
    </w:p>
    <w:p w14:paraId="0A889CD5" w14:textId="58D400B0" w:rsidR="007F0816" w:rsidRPr="00E6559F" w:rsidRDefault="00BF59F4" w:rsidP="00B52D71">
      <w:pPr>
        <w:pStyle w:val="ListParagraph"/>
        <w:numPr>
          <w:ilvl w:val="0"/>
          <w:numId w:val="3"/>
        </w:numPr>
        <w:tabs>
          <w:tab w:val="left" w:pos="0"/>
        </w:tabs>
        <w:spacing w:after="120" w:line="276" w:lineRule="auto"/>
        <w:ind w:left="0" w:firstLine="0"/>
        <w:contextualSpacing w:val="0"/>
        <w:jc w:val="both"/>
      </w:pPr>
      <w:r w:rsidRPr="00F264EB">
        <w:rPr>
          <w:b/>
        </w:rPr>
        <w:t>Licensing requirements were greatly reduced</w:t>
      </w:r>
      <w:r w:rsidR="00F264EB" w:rsidRPr="00F264EB">
        <w:rPr>
          <w:b/>
        </w:rPr>
        <w:t>.</w:t>
      </w:r>
      <w:r w:rsidRPr="00F264EB">
        <w:rPr>
          <w:b/>
        </w:rPr>
        <w:t xml:space="preserve"> </w:t>
      </w:r>
      <w:r w:rsidR="00F264EB" w:rsidRPr="00F264EB">
        <w:t>A</w:t>
      </w:r>
      <w:r w:rsidR="008E1BD3">
        <w:t xml:space="preserve"> 2011</w:t>
      </w:r>
      <w:r w:rsidRPr="00E6559F">
        <w:t xml:space="preserve"> law</w:t>
      </w:r>
      <w:r w:rsidR="008E1BD3">
        <w:t xml:space="preserve"> </w:t>
      </w:r>
      <w:r w:rsidR="000276E8" w:rsidRPr="00E6559F">
        <w:t xml:space="preserve">eliminated licensing requirements </w:t>
      </w:r>
      <w:r w:rsidR="00F264EB">
        <w:t xml:space="preserve">for low risk activities, including </w:t>
      </w:r>
      <w:r w:rsidR="000276E8" w:rsidRPr="00E6559F">
        <w:t xml:space="preserve">15 out of 19 commercial activities, </w:t>
      </w:r>
      <w:r w:rsidRPr="00E6559F">
        <w:t>11 common industrial activities</w:t>
      </w:r>
      <w:r w:rsidR="006215C3" w:rsidRPr="00E6559F">
        <w:t>,</w:t>
      </w:r>
      <w:r w:rsidRPr="00E6559F">
        <w:t xml:space="preserve"> and</w:t>
      </w:r>
      <w:r w:rsidR="00F264EB">
        <w:t xml:space="preserve"> 8</w:t>
      </w:r>
      <w:r w:rsidRPr="00E6559F">
        <w:t xml:space="preserve"> </w:t>
      </w:r>
      <w:r w:rsidR="00F264EB">
        <w:t xml:space="preserve">activities </w:t>
      </w:r>
      <w:r w:rsidR="008A5C12" w:rsidRPr="00E6559F">
        <w:t>in</w:t>
      </w:r>
      <w:r w:rsidRPr="00E6559F">
        <w:t xml:space="preserve"> tourism.</w:t>
      </w:r>
      <w:r w:rsidR="00277404" w:rsidRPr="00277404">
        <w:t xml:space="preserve"> </w:t>
      </w:r>
      <w:r w:rsidR="00277404">
        <w:t>A</w:t>
      </w:r>
      <w:r w:rsidR="00F264EB">
        <w:t xml:space="preserve">n online </w:t>
      </w:r>
      <w:r w:rsidR="00277404" w:rsidRPr="00E6559F">
        <w:t xml:space="preserve">repository of information regarding regulatory requirements for different </w:t>
      </w:r>
      <w:r w:rsidR="00277404">
        <w:t xml:space="preserve">economic </w:t>
      </w:r>
      <w:r w:rsidR="00277404" w:rsidRPr="00E6559F">
        <w:t xml:space="preserve">activities in </w:t>
      </w:r>
      <w:r w:rsidR="000E710F">
        <w:t>São Tomé and Príncipe</w:t>
      </w:r>
      <w:r w:rsidR="00277404">
        <w:t xml:space="preserve"> was created</w:t>
      </w:r>
      <w:r w:rsidR="00F264EB">
        <w:t xml:space="preserve"> as part of the </w:t>
      </w:r>
      <w:proofErr w:type="spellStart"/>
      <w:r w:rsidR="00F264EB">
        <w:t>GUEnet</w:t>
      </w:r>
      <w:proofErr w:type="spellEnd"/>
      <w:r w:rsidR="00F264EB">
        <w:t xml:space="preserve"> platform</w:t>
      </w:r>
      <w:r w:rsidR="00277404">
        <w:t>.</w:t>
      </w:r>
      <w:r w:rsidR="00277404">
        <w:rPr>
          <w:rStyle w:val="FootnoteReference"/>
        </w:rPr>
        <w:footnoteReference w:id="9"/>
      </w:r>
      <w:r w:rsidR="00277404" w:rsidRPr="00277404">
        <w:t xml:space="preserve"> </w:t>
      </w:r>
      <w:r w:rsidR="00F264EB">
        <w:t xml:space="preserve">A project to introduce online </w:t>
      </w:r>
      <w:r w:rsidR="00076C55">
        <w:t xml:space="preserve">licenses </w:t>
      </w:r>
      <w:r w:rsidR="00F264EB">
        <w:t xml:space="preserve">application </w:t>
      </w:r>
      <w:r w:rsidR="00277404" w:rsidRPr="00E6559F">
        <w:t>for three Directorates (C</w:t>
      </w:r>
      <w:r w:rsidR="00F264EB">
        <w:t xml:space="preserve">ommerce, Industry, and Tourism) is pending completion. </w:t>
      </w:r>
    </w:p>
    <w:p w14:paraId="59283DC4" w14:textId="32D5928B" w:rsidR="00EC21EB" w:rsidRDefault="00780BBD" w:rsidP="00B52D71">
      <w:pPr>
        <w:pStyle w:val="ListParagraph"/>
        <w:numPr>
          <w:ilvl w:val="0"/>
          <w:numId w:val="3"/>
        </w:numPr>
        <w:spacing w:after="120" w:line="276" w:lineRule="auto"/>
        <w:ind w:left="0" w:firstLine="0"/>
        <w:contextualSpacing w:val="0"/>
        <w:jc w:val="both"/>
      </w:pPr>
      <w:r w:rsidRPr="00277404">
        <w:rPr>
          <w:b/>
        </w:rPr>
        <w:t xml:space="preserve">While business registration is easy, investors still face a bumpy road to get established in </w:t>
      </w:r>
      <w:r w:rsidR="000E710F">
        <w:rPr>
          <w:b/>
        </w:rPr>
        <w:t>São Tomé and Príncipe</w:t>
      </w:r>
      <w:r w:rsidR="003D2FA7" w:rsidRPr="00277404">
        <w:rPr>
          <w:b/>
        </w:rPr>
        <w:t xml:space="preserve"> due to limited information</w:t>
      </w:r>
      <w:r w:rsidR="006161B7" w:rsidRPr="00277404">
        <w:rPr>
          <w:b/>
        </w:rPr>
        <w:t xml:space="preserve"> and coordination among </w:t>
      </w:r>
      <w:r w:rsidR="00076C55">
        <w:rPr>
          <w:b/>
        </w:rPr>
        <w:t>g</w:t>
      </w:r>
      <w:r w:rsidR="006161B7" w:rsidRPr="00277404">
        <w:rPr>
          <w:b/>
        </w:rPr>
        <w:t>overnment entities</w:t>
      </w:r>
      <w:r w:rsidRPr="00277404">
        <w:rPr>
          <w:b/>
        </w:rPr>
        <w:t xml:space="preserve">. </w:t>
      </w:r>
      <w:r w:rsidR="00BC34CA" w:rsidRPr="00277404">
        <w:t>All investments above EUR 50,000 require the signature of an administrative investment contract, authorized by the Minister of Finance. The Investment Code describes the procedures to apply and to obtain the necessary opinions (</w:t>
      </w:r>
      <w:proofErr w:type="spellStart"/>
      <w:r w:rsidR="00BC34CA" w:rsidRPr="00277404">
        <w:rPr>
          <w:i/>
        </w:rPr>
        <w:t>pareceres</w:t>
      </w:r>
      <w:proofErr w:type="spellEnd"/>
      <w:r w:rsidR="00BC34CA" w:rsidRPr="00277404">
        <w:t xml:space="preserve">) from the relevant </w:t>
      </w:r>
      <w:r w:rsidR="00076C55">
        <w:t>g</w:t>
      </w:r>
      <w:r w:rsidR="00BC34CA" w:rsidRPr="00277404">
        <w:t>overnment entities</w:t>
      </w:r>
      <w:r w:rsidR="00C2607A" w:rsidRPr="00277404">
        <w:t xml:space="preserve">: </w:t>
      </w:r>
      <w:proofErr w:type="gramStart"/>
      <w:r w:rsidR="00BC34CA" w:rsidRPr="00277404">
        <w:t>the</w:t>
      </w:r>
      <w:proofErr w:type="gramEnd"/>
      <w:r w:rsidR="00BC34CA" w:rsidRPr="00277404">
        <w:t xml:space="preserve"> Trade</w:t>
      </w:r>
      <w:r w:rsidR="00BC34CA" w:rsidRPr="00E6559F">
        <w:t xml:space="preserve"> and Investment Promotion Agency (APCI), customs and tax departments, and relevant </w:t>
      </w:r>
      <w:r w:rsidR="00076C55">
        <w:t>d</w:t>
      </w:r>
      <w:r w:rsidR="00BC34CA" w:rsidRPr="00E6559F">
        <w:t xml:space="preserve">irectorates depending on the sector of activity. Once the contract is signed, the APCI issues a certificate of registration </w:t>
      </w:r>
      <w:r w:rsidR="00076C55">
        <w:t xml:space="preserve">of </w:t>
      </w:r>
      <w:r w:rsidR="00BC34CA" w:rsidRPr="00E6559F">
        <w:t>private investment (CRIP). In practice, i</w:t>
      </w:r>
      <w:r w:rsidR="003D2FA7" w:rsidRPr="00E6559F">
        <w:t xml:space="preserve">nvestors need to navigate approvals with different authorities, such as obtaining </w:t>
      </w:r>
      <w:r w:rsidR="006161B7" w:rsidRPr="00E6559F">
        <w:t xml:space="preserve">land </w:t>
      </w:r>
      <w:r w:rsidR="00E6559F" w:rsidRPr="00E6559F">
        <w:t xml:space="preserve">concessions </w:t>
      </w:r>
      <w:r w:rsidR="006161B7" w:rsidRPr="00E6559F">
        <w:t xml:space="preserve">and construction permit approvals, </w:t>
      </w:r>
      <w:r w:rsidR="003D2FA7" w:rsidRPr="00E6559F">
        <w:t xml:space="preserve">environmental licenses, </w:t>
      </w:r>
      <w:r w:rsidR="006161B7" w:rsidRPr="00E6559F">
        <w:t>and specific operational licenses</w:t>
      </w:r>
      <w:r w:rsidR="00EA641E" w:rsidRPr="00E6559F">
        <w:t xml:space="preserve">, </w:t>
      </w:r>
      <w:r w:rsidR="00A1215A" w:rsidRPr="00E6559F">
        <w:t xml:space="preserve">by </w:t>
      </w:r>
      <w:r w:rsidR="00EA641E" w:rsidRPr="00E6559F">
        <w:t xml:space="preserve">interacting </w:t>
      </w:r>
      <w:r w:rsidR="00A1215A" w:rsidRPr="00E6559F">
        <w:t>separately</w:t>
      </w:r>
      <w:r w:rsidR="00EA641E" w:rsidRPr="00E6559F">
        <w:t xml:space="preserve"> with each </w:t>
      </w:r>
      <w:r w:rsidR="00E6559F" w:rsidRPr="00E6559F">
        <w:t>entity</w:t>
      </w:r>
      <w:r w:rsidR="00EA641E" w:rsidRPr="00E6559F">
        <w:t xml:space="preserve"> in charge of these authorizations</w:t>
      </w:r>
      <w:r w:rsidR="006161B7" w:rsidRPr="00E6559F">
        <w:t xml:space="preserve">. </w:t>
      </w:r>
      <w:r w:rsidR="00A1215A" w:rsidRPr="00E6559F">
        <w:t>Information is not easily available and a</w:t>
      </w:r>
      <w:r w:rsidR="00EA641E" w:rsidRPr="00E6559F">
        <w:t xml:space="preserve">necdotal evidence suggests that there are instances where investors fail to complete the process or </w:t>
      </w:r>
      <w:r w:rsidR="00076C55">
        <w:t>give up</w:t>
      </w:r>
      <w:r w:rsidR="006161B7" w:rsidRPr="00E6559F">
        <w:t>.</w:t>
      </w:r>
    </w:p>
    <w:p w14:paraId="496A183E" w14:textId="20E1F5D3" w:rsidR="003D2FA7" w:rsidRPr="005D21CC" w:rsidRDefault="00EC21EB" w:rsidP="005D21CC">
      <w:pPr>
        <w:pStyle w:val="ListParagraph"/>
        <w:numPr>
          <w:ilvl w:val="0"/>
          <w:numId w:val="3"/>
        </w:numPr>
        <w:shd w:val="clear" w:color="auto" w:fill="FFFFFF" w:themeFill="background1"/>
        <w:adjustRightInd w:val="0"/>
        <w:spacing w:after="120" w:line="276" w:lineRule="auto"/>
        <w:ind w:left="0" w:firstLine="0"/>
        <w:contextualSpacing w:val="0"/>
        <w:jc w:val="both"/>
        <w:rPr>
          <w:rFonts w:ascii="Times New Roman" w:hAnsi="Times New Roman" w:cs="Times New Roman"/>
        </w:rPr>
      </w:pPr>
      <w:r w:rsidRPr="00E6559F">
        <w:rPr>
          <w:b/>
        </w:rPr>
        <w:t>Foreign investment faces no additional barriers compared to domestic investment</w:t>
      </w:r>
      <w:r w:rsidRPr="00E6559F">
        <w:t>. Regulations are applied equally to domestic and foreign investors and there are no restrictions to foreign ownership except in sectors reserved for the state.</w:t>
      </w:r>
      <w:r w:rsidRPr="00E6559F">
        <w:rPr>
          <w:rStyle w:val="FootnoteReference"/>
        </w:rPr>
        <w:footnoteReference w:id="10"/>
      </w:r>
      <w:r w:rsidRPr="00E6559F">
        <w:t xml:space="preserve"> The Investment Code includes the principle of non-discrimination, as well as protections and guarantees for domestic and foreign investors, including the </w:t>
      </w:r>
      <w:r w:rsidRPr="00E6559F">
        <w:lastRenderedPageBreak/>
        <w:t>right to repatriate profits and dividends.</w:t>
      </w:r>
      <w:r>
        <w:t xml:space="preserve"> Investments are eligible to incentives, including tax and tariff reductions, according to the Code of Fiscal Benefits,</w:t>
      </w:r>
      <w:r>
        <w:rPr>
          <w:rStyle w:val="FootnoteReference"/>
        </w:rPr>
        <w:footnoteReference w:id="11"/>
      </w:r>
      <w:r>
        <w:t xml:space="preserve"> and these are stated in the CRIP. Investments in “special development zones,” encompassing the districts of </w:t>
      </w:r>
      <w:proofErr w:type="spellStart"/>
      <w:r>
        <w:t>Cantagalo</w:t>
      </w:r>
      <w:proofErr w:type="spellEnd"/>
      <w:r>
        <w:t xml:space="preserve">, </w:t>
      </w:r>
      <w:proofErr w:type="spellStart"/>
      <w:r>
        <w:t>Lembá</w:t>
      </w:r>
      <w:proofErr w:type="spellEnd"/>
      <w:r>
        <w:t xml:space="preserve">, </w:t>
      </w:r>
      <w:proofErr w:type="spellStart"/>
      <w:r>
        <w:t>Lobata</w:t>
      </w:r>
      <w:proofErr w:type="spellEnd"/>
      <w:r>
        <w:t xml:space="preserve">, </w:t>
      </w:r>
      <w:proofErr w:type="spellStart"/>
      <w:r>
        <w:t>Caué</w:t>
      </w:r>
      <w:proofErr w:type="spellEnd"/>
      <w:r>
        <w:t xml:space="preserve">, and the Autonomous Region of Príncipe are eligible for additional incentives.  </w:t>
      </w:r>
    </w:p>
    <w:p w14:paraId="46A21642" w14:textId="5AF0681B" w:rsidR="001F6B27" w:rsidRPr="00E6559F" w:rsidRDefault="00EA641E" w:rsidP="00B52D71">
      <w:pPr>
        <w:pStyle w:val="ListParagraph"/>
        <w:numPr>
          <w:ilvl w:val="0"/>
          <w:numId w:val="3"/>
        </w:numPr>
        <w:shd w:val="clear" w:color="auto" w:fill="FFFFFF" w:themeFill="background1"/>
        <w:spacing w:after="120" w:line="276" w:lineRule="auto"/>
        <w:ind w:left="0" w:firstLine="0"/>
        <w:contextualSpacing w:val="0"/>
        <w:jc w:val="both"/>
      </w:pPr>
      <w:r w:rsidRPr="00E6559F">
        <w:rPr>
          <w:b/>
        </w:rPr>
        <w:t xml:space="preserve">The Trade and Investment Promotion Agency lacks capacity to play its role in investment facilitation. </w:t>
      </w:r>
      <w:r w:rsidR="00A1215A" w:rsidRPr="00E6559F">
        <w:t>APCI</w:t>
      </w:r>
      <w:r w:rsidR="00780BBD" w:rsidRPr="00E6559F">
        <w:t xml:space="preserve"> was created in 2012 to support the government</w:t>
      </w:r>
      <w:r w:rsidR="00A1215A" w:rsidRPr="00E6559F">
        <w:t>’</w:t>
      </w:r>
      <w:r w:rsidR="00780BBD" w:rsidRPr="00E6559F">
        <w:t>s objective of attracting and facilitating investment.</w:t>
      </w:r>
      <w:r w:rsidR="005013FB" w:rsidRPr="00E6559F">
        <w:rPr>
          <w:rStyle w:val="FootnoteReference"/>
        </w:rPr>
        <w:footnoteReference w:id="12"/>
      </w:r>
      <w:r w:rsidR="00780BBD" w:rsidRPr="00E6559F">
        <w:t xml:space="preserve"> </w:t>
      </w:r>
      <w:r w:rsidR="00A1215A" w:rsidRPr="00E6559F">
        <w:t xml:space="preserve">However, the agency lacks </w:t>
      </w:r>
      <w:r w:rsidR="00780BBD" w:rsidRPr="00E6559F">
        <w:t xml:space="preserve">the resources and institutional support to </w:t>
      </w:r>
      <w:r w:rsidR="00A1215A" w:rsidRPr="00E6559F">
        <w:t xml:space="preserve">carry out its mission. The regulatory framework envisions an agency operating with a high degree of organizational and financial </w:t>
      </w:r>
      <w:r w:rsidR="00761310" w:rsidRPr="00E6559F">
        <w:t>autonomy,</w:t>
      </w:r>
      <w:r w:rsidR="001F6B27" w:rsidRPr="00E6559F">
        <w:rPr>
          <w:rStyle w:val="FootnoteReference"/>
        </w:rPr>
        <w:footnoteReference w:id="13"/>
      </w:r>
      <w:r w:rsidR="00761310" w:rsidRPr="00E6559F">
        <w:t xml:space="preserve"> in line with good practice, but </w:t>
      </w:r>
      <w:r w:rsidR="00C2607A">
        <w:t>in practice,</w:t>
      </w:r>
      <w:r w:rsidR="00761310" w:rsidRPr="00E6559F">
        <w:t xml:space="preserve"> APCI lacks budget and autonomy to operate effectively. As such, APCI has little capacity to </w:t>
      </w:r>
      <w:r w:rsidR="00780BBD" w:rsidRPr="00E6559F">
        <w:t xml:space="preserve">facilitate the investment process </w:t>
      </w:r>
      <w:r w:rsidR="00761310" w:rsidRPr="00E6559F">
        <w:t>or to</w:t>
      </w:r>
      <w:r w:rsidR="00780BBD" w:rsidRPr="00E6559F">
        <w:t xml:space="preserve"> undertake </w:t>
      </w:r>
      <w:r w:rsidR="00761310" w:rsidRPr="00E6559F">
        <w:t>investment promotion</w:t>
      </w:r>
      <w:r w:rsidR="00780BBD" w:rsidRPr="00E6559F">
        <w:t xml:space="preserve"> efforts.</w:t>
      </w:r>
      <w:r w:rsidR="001F6B27" w:rsidRPr="00E6559F">
        <w:t xml:space="preserve"> Despite these challenges</w:t>
      </w:r>
      <w:r w:rsidR="00761310" w:rsidRPr="00E6559F">
        <w:t xml:space="preserve">, recent efforts </w:t>
      </w:r>
      <w:r w:rsidR="0022171B">
        <w:t xml:space="preserve">were </w:t>
      </w:r>
      <w:r w:rsidR="007533DD">
        <w:t xml:space="preserve">made </w:t>
      </w:r>
      <w:r w:rsidR="00761310" w:rsidRPr="00E6559F">
        <w:t>by the Tourism Directorate and APCI at providing a clear investor roadmap and support to prospective investors in the tourism sector, working with other entities involved in the approval process.</w:t>
      </w:r>
      <w:r w:rsidR="005013FB" w:rsidRPr="00E6559F">
        <w:rPr>
          <w:rStyle w:val="FootnoteReference"/>
        </w:rPr>
        <w:footnoteReference w:id="14"/>
      </w:r>
      <w:r w:rsidR="00761310" w:rsidRPr="00E6559F">
        <w:t xml:space="preserve"> </w:t>
      </w:r>
    </w:p>
    <w:p w14:paraId="5942B0E1" w14:textId="3A145604" w:rsidR="00F264EB" w:rsidRPr="00CD2BA2" w:rsidRDefault="00CA07E1" w:rsidP="00506E01">
      <w:pPr>
        <w:pStyle w:val="ListParagraph"/>
        <w:numPr>
          <w:ilvl w:val="0"/>
          <w:numId w:val="3"/>
        </w:numPr>
        <w:shd w:val="clear" w:color="auto" w:fill="FFFFFF" w:themeFill="background1"/>
        <w:adjustRightInd w:val="0"/>
        <w:spacing w:after="120" w:line="276" w:lineRule="auto"/>
        <w:ind w:left="0" w:firstLine="0"/>
        <w:contextualSpacing w:val="0"/>
        <w:jc w:val="both"/>
        <w:rPr>
          <w:rFonts w:cstheme="minorHAnsi"/>
          <w:b/>
        </w:rPr>
      </w:pPr>
      <w:r>
        <w:rPr>
          <w:rFonts w:cstheme="minorHAnsi"/>
          <w:b/>
        </w:rPr>
        <w:t>São Tomé</w:t>
      </w:r>
      <w:r w:rsidRPr="00506E01">
        <w:rPr>
          <w:rFonts w:cstheme="minorHAnsi"/>
          <w:b/>
        </w:rPr>
        <w:t xml:space="preserve"> and Principe</w:t>
      </w:r>
      <w:r w:rsidRPr="003E6463">
        <w:rPr>
          <w:rFonts w:cstheme="minorHAnsi"/>
          <w:b/>
        </w:rPr>
        <w:t xml:space="preserve"> </w:t>
      </w:r>
      <w:r w:rsidR="00436BBF">
        <w:rPr>
          <w:rFonts w:cstheme="minorHAnsi"/>
          <w:b/>
        </w:rPr>
        <w:t xml:space="preserve">could </w:t>
      </w:r>
      <w:r w:rsidR="00436BBF" w:rsidRPr="003758B2">
        <w:rPr>
          <w:rFonts w:cstheme="minorHAnsi"/>
          <w:b/>
        </w:rPr>
        <w:t>reduce the paid-in minimum capital requirement</w:t>
      </w:r>
      <w:r w:rsidR="00D36D3E" w:rsidRPr="003758B2">
        <w:rPr>
          <w:rFonts w:cstheme="minorHAnsi"/>
          <w:b/>
        </w:rPr>
        <w:t xml:space="preserve">, develop </w:t>
      </w:r>
      <w:proofErr w:type="gramStart"/>
      <w:r w:rsidR="00D36D3E" w:rsidRPr="003758B2">
        <w:rPr>
          <w:rFonts w:cstheme="minorHAnsi"/>
          <w:b/>
        </w:rPr>
        <w:t>a</w:t>
      </w:r>
      <w:proofErr w:type="gramEnd"/>
      <w:r w:rsidR="00D36D3E" w:rsidRPr="003758B2">
        <w:rPr>
          <w:rFonts w:cstheme="minorHAnsi"/>
          <w:b/>
        </w:rPr>
        <w:t xml:space="preserve"> investor roadmap and expand the online business registration platform</w:t>
      </w:r>
      <w:r w:rsidR="00436BBF" w:rsidRPr="003E6463">
        <w:rPr>
          <w:rFonts w:cstheme="minorHAnsi"/>
          <w:b/>
        </w:rPr>
        <w:t xml:space="preserve"> </w:t>
      </w:r>
      <w:r w:rsidR="003758B2">
        <w:rPr>
          <w:rFonts w:cstheme="minorHAnsi"/>
          <w:b/>
        </w:rPr>
        <w:t>i</w:t>
      </w:r>
      <w:r w:rsidR="003E6463" w:rsidRPr="003E6463">
        <w:rPr>
          <w:rFonts w:cstheme="minorHAnsi"/>
          <w:b/>
        </w:rPr>
        <w:t xml:space="preserve">n order </w:t>
      </w:r>
      <w:r w:rsidR="003E6463">
        <w:rPr>
          <w:rFonts w:cstheme="minorHAnsi"/>
          <w:b/>
        </w:rPr>
        <w:t>to further ease business entry</w:t>
      </w:r>
      <w:r w:rsidR="003758B2">
        <w:rPr>
          <w:rFonts w:cstheme="minorHAnsi"/>
          <w:b/>
        </w:rPr>
        <w:t xml:space="preserve">. </w:t>
      </w:r>
      <w:r w:rsidR="003E6463" w:rsidRPr="00CD2BA2">
        <w:rPr>
          <w:rFonts w:cstheme="minorHAnsi"/>
        </w:rPr>
        <w:t>S</w:t>
      </w:r>
      <w:r w:rsidR="00CD2BA2">
        <w:rPr>
          <w:rFonts w:cstheme="minorHAnsi"/>
        </w:rPr>
        <w:t>ã</w:t>
      </w:r>
      <w:r w:rsidR="003E6463" w:rsidRPr="00CD2BA2">
        <w:rPr>
          <w:rFonts w:cstheme="minorHAnsi"/>
        </w:rPr>
        <w:t>o Tom</w:t>
      </w:r>
      <w:r w:rsidR="00CD2BA2">
        <w:rPr>
          <w:rFonts w:cstheme="minorHAnsi"/>
        </w:rPr>
        <w:t>é</w:t>
      </w:r>
      <w:r w:rsidR="003E6463" w:rsidRPr="00CD2BA2">
        <w:rPr>
          <w:rFonts w:cstheme="minorHAnsi"/>
        </w:rPr>
        <w:t xml:space="preserve"> and Pr</w:t>
      </w:r>
      <w:r w:rsidR="00CD2BA2">
        <w:rPr>
          <w:rFonts w:cstheme="minorHAnsi"/>
        </w:rPr>
        <w:t>í</w:t>
      </w:r>
      <w:r w:rsidR="003E6463" w:rsidRPr="00CD2BA2">
        <w:rPr>
          <w:rFonts w:cstheme="minorHAnsi"/>
        </w:rPr>
        <w:t xml:space="preserve">ncipe could </w:t>
      </w:r>
      <w:bookmarkStart w:id="3" w:name="_Hlk1748128"/>
      <w:r w:rsidR="003E6463" w:rsidRPr="00CD2BA2">
        <w:rPr>
          <w:rFonts w:cstheme="minorHAnsi"/>
        </w:rPr>
        <w:t>reduce the paid-in minimum capital requirement</w:t>
      </w:r>
      <w:bookmarkEnd w:id="3"/>
      <w:r w:rsidR="003E6463" w:rsidRPr="00CD2BA2">
        <w:rPr>
          <w:rFonts w:cstheme="minorHAnsi"/>
        </w:rPr>
        <w:t>, which represents an additional cost for entrepreneurs. Second, efforts to develop a clear investor roadmap should be continued, with special attention given to clarifying land acquisition procedures (</w:t>
      </w:r>
      <w:r w:rsidR="003E6463" w:rsidRPr="007533DD">
        <w:rPr>
          <w:rFonts w:cstheme="minorHAnsi"/>
        </w:rPr>
        <w:t xml:space="preserve">see </w:t>
      </w:r>
      <w:r w:rsidR="00CD2BA2" w:rsidRPr="00AF5D0A">
        <w:rPr>
          <w:rFonts w:cstheme="minorHAnsi"/>
        </w:rPr>
        <w:t>B</w:t>
      </w:r>
      <w:r w:rsidR="00CD2BA2">
        <w:rPr>
          <w:rFonts w:cstheme="minorHAnsi"/>
        </w:rPr>
        <w:t>ackground Note 8</w:t>
      </w:r>
      <w:r w:rsidR="003E6463" w:rsidRPr="00CD2BA2">
        <w:rPr>
          <w:rFonts w:cstheme="minorHAnsi"/>
        </w:rPr>
        <w:t>)</w:t>
      </w:r>
      <w:r w:rsidR="00A2054D" w:rsidRPr="00CD2BA2">
        <w:rPr>
          <w:rFonts w:cstheme="minorHAnsi"/>
        </w:rPr>
        <w:t>. Finally, the online business registration platform could be further promoted and developed</w:t>
      </w:r>
      <w:r w:rsidR="00CD2BA2">
        <w:rPr>
          <w:rFonts w:cstheme="minorHAnsi"/>
        </w:rPr>
        <w:t xml:space="preserve"> with </w:t>
      </w:r>
      <w:r w:rsidR="00A2054D" w:rsidRPr="00CD2BA2">
        <w:rPr>
          <w:rFonts w:cstheme="minorHAnsi"/>
        </w:rPr>
        <w:t xml:space="preserve">the </w:t>
      </w:r>
      <w:r w:rsidR="00CD2BA2">
        <w:rPr>
          <w:rFonts w:cstheme="minorHAnsi"/>
        </w:rPr>
        <w:t xml:space="preserve">completion of the </w:t>
      </w:r>
      <w:r w:rsidR="00A2054D" w:rsidRPr="00CD2BA2">
        <w:rPr>
          <w:rFonts w:cstheme="minorHAnsi"/>
        </w:rPr>
        <w:t>licensing modules</w:t>
      </w:r>
      <w:r w:rsidR="005D29DF">
        <w:rPr>
          <w:rFonts w:cstheme="minorHAnsi"/>
        </w:rPr>
        <w:t>.</w:t>
      </w:r>
    </w:p>
    <w:p w14:paraId="6C67BF29" w14:textId="16E265D5" w:rsidR="008B57CD" w:rsidRPr="003019B4" w:rsidRDefault="00263B64" w:rsidP="00E22108">
      <w:pPr>
        <w:pStyle w:val="ListParagraph"/>
        <w:widowControl w:val="0"/>
        <w:numPr>
          <w:ilvl w:val="1"/>
          <w:numId w:val="8"/>
        </w:numPr>
        <w:tabs>
          <w:tab w:val="left" w:pos="720"/>
        </w:tabs>
        <w:autoSpaceDE w:val="0"/>
        <w:autoSpaceDN w:val="0"/>
        <w:adjustRightInd w:val="0"/>
        <w:spacing w:before="240" w:after="120" w:line="276" w:lineRule="auto"/>
        <w:ind w:left="432"/>
        <w:contextualSpacing w:val="0"/>
        <w:jc w:val="both"/>
        <w:rPr>
          <w:b/>
          <w:color w:val="0070C0"/>
          <w:sz w:val="24"/>
          <w:szCs w:val="24"/>
        </w:rPr>
      </w:pPr>
      <w:r>
        <w:rPr>
          <w:b/>
          <w:color w:val="0070C0"/>
          <w:sz w:val="24"/>
          <w:szCs w:val="24"/>
        </w:rPr>
        <w:t>Obtaining c</w:t>
      </w:r>
      <w:r w:rsidR="00331AC0" w:rsidRPr="003019B4">
        <w:rPr>
          <w:b/>
          <w:color w:val="0070C0"/>
          <w:sz w:val="24"/>
          <w:szCs w:val="24"/>
        </w:rPr>
        <w:t xml:space="preserve">onstruction </w:t>
      </w:r>
      <w:r w:rsidR="00813F50" w:rsidRPr="003019B4">
        <w:rPr>
          <w:b/>
          <w:color w:val="0070C0"/>
          <w:sz w:val="24"/>
          <w:szCs w:val="24"/>
        </w:rPr>
        <w:t>permits</w:t>
      </w:r>
      <w:r>
        <w:rPr>
          <w:b/>
          <w:color w:val="0070C0"/>
          <w:sz w:val="24"/>
          <w:szCs w:val="24"/>
        </w:rPr>
        <w:t xml:space="preserve"> could be made easier by streamlining </w:t>
      </w:r>
      <w:r w:rsidR="00EC21EB">
        <w:rPr>
          <w:b/>
          <w:color w:val="0070C0"/>
          <w:sz w:val="24"/>
          <w:szCs w:val="24"/>
        </w:rPr>
        <w:t xml:space="preserve">procedures </w:t>
      </w:r>
      <w:r>
        <w:rPr>
          <w:b/>
          <w:color w:val="0070C0"/>
          <w:sz w:val="24"/>
          <w:szCs w:val="24"/>
        </w:rPr>
        <w:t xml:space="preserve">and </w:t>
      </w:r>
      <w:r w:rsidR="00EC21EB">
        <w:rPr>
          <w:b/>
          <w:color w:val="0070C0"/>
          <w:sz w:val="24"/>
          <w:szCs w:val="24"/>
        </w:rPr>
        <w:t xml:space="preserve">stablishing a </w:t>
      </w:r>
      <w:r>
        <w:rPr>
          <w:b/>
          <w:color w:val="0070C0"/>
          <w:sz w:val="24"/>
          <w:szCs w:val="24"/>
        </w:rPr>
        <w:t>one-stop shop.</w:t>
      </w:r>
    </w:p>
    <w:p w14:paraId="0BC4411E" w14:textId="0B271374" w:rsidR="00421D0E" w:rsidRPr="00FA24C7" w:rsidRDefault="00813F50" w:rsidP="00B52D71">
      <w:pPr>
        <w:pStyle w:val="ListParagraph"/>
        <w:numPr>
          <w:ilvl w:val="0"/>
          <w:numId w:val="3"/>
        </w:numPr>
        <w:shd w:val="clear" w:color="auto" w:fill="FFFFFF" w:themeFill="background1"/>
        <w:adjustRightInd w:val="0"/>
        <w:spacing w:after="120" w:line="276" w:lineRule="auto"/>
        <w:ind w:left="0" w:firstLine="0"/>
        <w:contextualSpacing w:val="0"/>
        <w:jc w:val="both"/>
        <w:rPr>
          <w:rFonts w:cstheme="minorHAnsi"/>
        </w:rPr>
      </w:pPr>
      <w:r>
        <w:rPr>
          <w:rFonts w:cstheme="minorHAnsi"/>
          <w:b/>
        </w:rPr>
        <w:t>Obtaining construction permits is not particularly burdensome</w:t>
      </w:r>
      <w:r w:rsidR="00DE4C57" w:rsidRPr="005801C0">
        <w:rPr>
          <w:rFonts w:cstheme="minorHAnsi"/>
          <w:b/>
        </w:rPr>
        <w:t>.</w:t>
      </w:r>
      <w:r w:rsidR="00DF554C" w:rsidRPr="005801C0">
        <w:rPr>
          <w:rFonts w:cstheme="minorHAnsi"/>
          <w:b/>
        </w:rPr>
        <w:t xml:space="preserve"> </w:t>
      </w:r>
      <w:r>
        <w:rPr>
          <w:rFonts w:cstheme="minorHAnsi"/>
        </w:rPr>
        <w:t>According to</w:t>
      </w:r>
      <w:r w:rsidR="006026F5">
        <w:rPr>
          <w:rFonts w:cstheme="minorHAnsi"/>
        </w:rPr>
        <w:t xml:space="preserve"> Doing Business 2019, completing all the authorizations to build a warehouse and connect it to water and sanitation takes 16 procedures and 67 days. While the number of steps </w:t>
      </w:r>
      <w:r w:rsidR="004C054B">
        <w:rPr>
          <w:rFonts w:cstheme="minorHAnsi"/>
        </w:rPr>
        <w:t>is</w:t>
      </w:r>
      <w:r w:rsidR="006026F5">
        <w:rPr>
          <w:rFonts w:cstheme="minorHAnsi"/>
        </w:rPr>
        <w:t xml:space="preserve"> among the highest of comparator countries, the </w:t>
      </w:r>
      <w:r w:rsidR="004C054B">
        <w:rPr>
          <w:rFonts w:cstheme="minorHAnsi"/>
        </w:rPr>
        <w:t xml:space="preserve">time is much shorter (Figure </w:t>
      </w:r>
      <w:r w:rsidR="00421D0E">
        <w:rPr>
          <w:rFonts w:cstheme="minorHAnsi"/>
        </w:rPr>
        <w:t>7</w:t>
      </w:r>
      <w:r w:rsidR="004C054B">
        <w:rPr>
          <w:rFonts w:cstheme="minorHAnsi"/>
        </w:rPr>
        <w:t>). The cost is equivalent to 2.2 percent of the cost of the warehouse, more than seven times the cost in Dominica and Seychelle</w:t>
      </w:r>
      <w:r w:rsidR="000325B0">
        <w:rPr>
          <w:rFonts w:cstheme="minorHAnsi"/>
        </w:rPr>
        <w:t>s</w:t>
      </w:r>
      <w:r w:rsidR="004C054B">
        <w:rPr>
          <w:rFonts w:cstheme="minorHAnsi"/>
        </w:rPr>
        <w:t>, but below the average of Sub-</w:t>
      </w:r>
      <w:r w:rsidR="000325B0">
        <w:rPr>
          <w:rFonts w:cstheme="minorHAnsi"/>
        </w:rPr>
        <w:t>S</w:t>
      </w:r>
      <w:r w:rsidR="004C054B">
        <w:rPr>
          <w:rFonts w:cstheme="minorHAnsi"/>
        </w:rPr>
        <w:t xml:space="preserve">aharan Africa of </w:t>
      </w:r>
      <w:r w:rsidR="000325B0">
        <w:rPr>
          <w:rFonts w:cstheme="minorHAnsi"/>
        </w:rPr>
        <w:t>eight</w:t>
      </w:r>
      <w:r w:rsidR="004C054B">
        <w:rPr>
          <w:rFonts w:cstheme="minorHAnsi"/>
        </w:rPr>
        <w:t xml:space="preserve"> percent. The </w:t>
      </w:r>
      <w:r w:rsidR="004C054B" w:rsidRPr="005801C0">
        <w:rPr>
          <w:rFonts w:cstheme="minorHAnsi"/>
        </w:rPr>
        <w:t>Public Works and Urbanism Directorate (</w:t>
      </w:r>
      <w:proofErr w:type="spellStart"/>
      <w:r w:rsidR="004C054B" w:rsidRPr="00F03DF9">
        <w:rPr>
          <w:rFonts w:cstheme="minorHAnsi"/>
          <w:i/>
        </w:rPr>
        <w:t>Direcção</w:t>
      </w:r>
      <w:proofErr w:type="spellEnd"/>
      <w:r w:rsidR="004C054B" w:rsidRPr="00F03DF9">
        <w:rPr>
          <w:rFonts w:cstheme="minorHAnsi"/>
          <w:i/>
        </w:rPr>
        <w:t xml:space="preserve"> de </w:t>
      </w:r>
      <w:proofErr w:type="spellStart"/>
      <w:r w:rsidR="004C054B" w:rsidRPr="00F03DF9">
        <w:rPr>
          <w:rFonts w:cstheme="minorHAnsi"/>
          <w:i/>
        </w:rPr>
        <w:t>Obras</w:t>
      </w:r>
      <w:proofErr w:type="spellEnd"/>
      <w:r w:rsidR="004C054B" w:rsidRPr="00F03DF9">
        <w:rPr>
          <w:rFonts w:cstheme="minorHAnsi"/>
          <w:i/>
        </w:rPr>
        <w:t xml:space="preserve"> </w:t>
      </w:r>
      <w:proofErr w:type="spellStart"/>
      <w:r w:rsidR="004C054B" w:rsidRPr="00F03DF9">
        <w:rPr>
          <w:rFonts w:cstheme="minorHAnsi"/>
          <w:i/>
        </w:rPr>
        <w:t>Públicas</w:t>
      </w:r>
      <w:proofErr w:type="spellEnd"/>
      <w:r w:rsidR="004C054B" w:rsidRPr="00F03DF9">
        <w:rPr>
          <w:rFonts w:cstheme="minorHAnsi"/>
          <w:i/>
        </w:rPr>
        <w:t xml:space="preserve"> e </w:t>
      </w:r>
      <w:proofErr w:type="spellStart"/>
      <w:r w:rsidR="004C054B" w:rsidRPr="00F03DF9">
        <w:rPr>
          <w:rFonts w:cstheme="minorHAnsi"/>
          <w:i/>
        </w:rPr>
        <w:t>Urbanismo</w:t>
      </w:r>
      <w:proofErr w:type="spellEnd"/>
      <w:r w:rsidR="004C054B" w:rsidRPr="005801C0">
        <w:rPr>
          <w:rFonts w:cstheme="minorHAnsi"/>
        </w:rPr>
        <w:t>, DOPU)</w:t>
      </w:r>
      <w:r w:rsidR="004C054B">
        <w:rPr>
          <w:rFonts w:cstheme="minorHAnsi"/>
        </w:rPr>
        <w:t xml:space="preserve"> is the main entity in charge of issuing construction permits. </w:t>
      </w:r>
      <w:r w:rsidR="00421D0E" w:rsidRPr="003078F9">
        <w:rPr>
          <w:rFonts w:cstheme="minorHAnsi"/>
        </w:rPr>
        <w:t xml:space="preserve">While the number of steps has remained unchanged over time, the time was cut by a third since 2005 (from 221 to 67 days), while the cost dropped by half (from 4.1 to 2.2 percent of income per capita). </w:t>
      </w:r>
      <w:r w:rsidR="00AD617B" w:rsidRPr="003078F9">
        <w:rPr>
          <w:rFonts w:cstheme="minorHAnsi"/>
        </w:rPr>
        <w:t xml:space="preserve"> </w:t>
      </w:r>
      <w:r w:rsidR="00C20FCA">
        <w:rPr>
          <w:rFonts w:cstheme="minorHAnsi"/>
        </w:rPr>
        <w:t>N</w:t>
      </w:r>
      <w:r w:rsidR="00AD617B" w:rsidRPr="003078F9">
        <w:rPr>
          <w:rFonts w:cstheme="minorHAnsi"/>
        </w:rPr>
        <w:t>e</w:t>
      </w:r>
      <w:r w:rsidR="00AD617B" w:rsidRPr="005801C0">
        <w:rPr>
          <w:rFonts w:cstheme="minorHAnsi"/>
        </w:rPr>
        <w:t xml:space="preserve">w construction regulations were </w:t>
      </w:r>
      <w:r w:rsidR="00AD617B" w:rsidRPr="005801C0">
        <w:rPr>
          <w:rFonts w:cstheme="minorHAnsi"/>
        </w:rPr>
        <w:lastRenderedPageBreak/>
        <w:t>passed in late 2015</w:t>
      </w:r>
      <w:r w:rsidR="00AD617B" w:rsidRPr="005801C0">
        <w:rPr>
          <w:rStyle w:val="FootnoteReference"/>
          <w:rFonts w:cstheme="minorHAnsi"/>
        </w:rPr>
        <w:footnoteReference w:id="15"/>
      </w:r>
      <w:r w:rsidR="00AD617B" w:rsidRPr="005801C0">
        <w:rPr>
          <w:rFonts w:cstheme="minorHAnsi"/>
        </w:rPr>
        <w:t xml:space="preserve"> to streamline the construction permit process</w:t>
      </w:r>
      <w:r w:rsidR="009F470F">
        <w:rPr>
          <w:rFonts w:cstheme="minorHAnsi"/>
        </w:rPr>
        <w:t xml:space="preserve">, although </w:t>
      </w:r>
      <w:r w:rsidR="00AD617B" w:rsidRPr="005801C0">
        <w:rPr>
          <w:rFonts w:cstheme="minorHAnsi"/>
        </w:rPr>
        <w:t>implementation of a one-stop shop at the DOPU has lagged</w:t>
      </w:r>
      <w:r w:rsidR="00F03DF9">
        <w:rPr>
          <w:rFonts w:cstheme="minorHAnsi"/>
        </w:rPr>
        <w:t>,</w:t>
      </w:r>
      <w:r w:rsidR="00AD617B" w:rsidRPr="005801C0">
        <w:rPr>
          <w:rFonts w:cstheme="minorHAnsi"/>
        </w:rPr>
        <w:t xml:space="preserve"> and</w:t>
      </w:r>
      <w:r w:rsidR="00AD617B">
        <w:rPr>
          <w:rFonts w:cstheme="minorHAnsi"/>
        </w:rPr>
        <w:t xml:space="preserve"> therefore the number of steps remained unchanged</w:t>
      </w:r>
      <w:r w:rsidR="00AD617B" w:rsidRPr="005801C0">
        <w:rPr>
          <w:rFonts w:cstheme="minorHAnsi"/>
        </w:rPr>
        <w:t>.</w:t>
      </w:r>
    </w:p>
    <w:p w14:paraId="69A2BB96" w14:textId="17435728" w:rsidR="00606295" w:rsidRPr="00FA24C7" w:rsidRDefault="000325B0" w:rsidP="00B52D71">
      <w:pPr>
        <w:pStyle w:val="ListParagraph"/>
        <w:numPr>
          <w:ilvl w:val="0"/>
          <w:numId w:val="3"/>
        </w:numPr>
        <w:shd w:val="clear" w:color="auto" w:fill="FFFFFF" w:themeFill="background1"/>
        <w:adjustRightInd w:val="0"/>
        <w:spacing w:after="120" w:line="276" w:lineRule="auto"/>
        <w:ind w:left="0" w:firstLine="0"/>
        <w:contextualSpacing w:val="0"/>
        <w:jc w:val="both"/>
        <w:rPr>
          <w:rFonts w:cstheme="minorHAnsi"/>
        </w:rPr>
      </w:pPr>
      <w:r>
        <w:rPr>
          <w:rFonts w:cstheme="minorHAnsi"/>
          <w:b/>
        </w:rPr>
        <w:t>However</w:t>
      </w:r>
      <w:r w:rsidR="009F470F">
        <w:rPr>
          <w:rFonts w:cstheme="minorHAnsi"/>
          <w:b/>
        </w:rPr>
        <w:t>,</w:t>
      </w:r>
      <w:r w:rsidR="00421D0E" w:rsidRPr="00421D0E">
        <w:rPr>
          <w:rFonts w:cstheme="minorHAnsi"/>
          <w:b/>
        </w:rPr>
        <w:t xml:space="preserve"> the quality of regulations underpinning the sector could be improved.</w:t>
      </w:r>
      <w:r w:rsidR="00421D0E">
        <w:rPr>
          <w:rFonts w:cstheme="minorHAnsi"/>
        </w:rPr>
        <w:t xml:space="preserve">  São Tomé and Pr</w:t>
      </w:r>
      <w:r w:rsidR="000435E5">
        <w:rPr>
          <w:rFonts w:cstheme="minorHAnsi"/>
        </w:rPr>
        <w:t>í</w:t>
      </w:r>
      <w:r w:rsidR="00421D0E">
        <w:rPr>
          <w:rFonts w:cstheme="minorHAnsi"/>
        </w:rPr>
        <w:t xml:space="preserve">ncipe lags other comparator countries in the Doing Business building quality control index, scoring just 5 of the 15 possible points (Figure 8). </w:t>
      </w:r>
      <w:r w:rsidR="001773B3">
        <w:rPr>
          <w:rFonts w:cstheme="minorHAnsi"/>
        </w:rPr>
        <w:t>T</w:t>
      </w:r>
      <w:r w:rsidR="00AD617B">
        <w:rPr>
          <w:rFonts w:cstheme="minorHAnsi"/>
        </w:rPr>
        <w:t xml:space="preserve">he country’s performance in this index </w:t>
      </w:r>
      <w:r w:rsidR="001773B3">
        <w:rPr>
          <w:rFonts w:cstheme="minorHAnsi"/>
        </w:rPr>
        <w:t>identifies some gaps including inconsistent</w:t>
      </w:r>
      <w:r w:rsidR="00AD617B">
        <w:rPr>
          <w:rFonts w:cstheme="minorHAnsi"/>
        </w:rPr>
        <w:t xml:space="preserve"> </w:t>
      </w:r>
      <w:r w:rsidR="00581E4F">
        <w:rPr>
          <w:rFonts w:cstheme="minorHAnsi"/>
        </w:rPr>
        <w:t xml:space="preserve">enforcement of mandatory inspections at the end of </w:t>
      </w:r>
      <w:r w:rsidR="001773B3">
        <w:rPr>
          <w:rFonts w:cstheme="minorHAnsi"/>
        </w:rPr>
        <w:t xml:space="preserve">construction, lack of mandatory insurance policy to cover for structural flaws or defects in the building and insufficient qualification requirements for professionals </w:t>
      </w:r>
      <w:r w:rsidR="001773B3" w:rsidRPr="00606295">
        <w:rPr>
          <w:rFonts w:cstheme="minorHAnsi"/>
        </w:rPr>
        <w:t xml:space="preserve">reviewing architectural plans and supervising construction. </w:t>
      </w:r>
    </w:p>
    <w:p w14:paraId="7951E903" w14:textId="12DFD3BD" w:rsidR="00DE4C57" w:rsidRPr="00B52D71" w:rsidRDefault="00565893" w:rsidP="00700C4A">
      <w:pPr>
        <w:pStyle w:val="ListParagraph"/>
        <w:numPr>
          <w:ilvl w:val="0"/>
          <w:numId w:val="3"/>
        </w:numPr>
        <w:shd w:val="clear" w:color="auto" w:fill="FFFFFF" w:themeFill="background1"/>
        <w:adjustRightInd w:val="0"/>
        <w:spacing w:after="120" w:line="276" w:lineRule="auto"/>
        <w:ind w:left="0" w:firstLine="0"/>
        <w:contextualSpacing w:val="0"/>
        <w:jc w:val="both"/>
        <w:rPr>
          <w:rFonts w:cstheme="minorHAnsi"/>
        </w:rPr>
      </w:pPr>
      <w:r w:rsidRPr="00606295">
        <w:rPr>
          <w:rFonts w:cstheme="minorHAnsi"/>
          <w:b/>
        </w:rPr>
        <w:t xml:space="preserve">Improving the construction permitting process would require </w:t>
      </w:r>
      <w:r w:rsidR="006076D8" w:rsidRPr="00606295">
        <w:rPr>
          <w:rFonts w:cstheme="minorHAnsi"/>
          <w:b/>
        </w:rPr>
        <w:t>streamlining procedures and regulatory reforms</w:t>
      </w:r>
      <w:r w:rsidRPr="00606295">
        <w:rPr>
          <w:rFonts w:cstheme="minorHAnsi"/>
          <w:b/>
        </w:rPr>
        <w:t>.</w:t>
      </w:r>
      <w:r w:rsidR="006076D8" w:rsidRPr="00606295">
        <w:rPr>
          <w:rFonts w:cstheme="minorHAnsi"/>
          <w:b/>
        </w:rPr>
        <w:t xml:space="preserve"> </w:t>
      </w:r>
      <w:r w:rsidR="006076D8" w:rsidRPr="00606295">
        <w:rPr>
          <w:rFonts w:cstheme="minorHAnsi"/>
        </w:rPr>
        <w:t>Currently, 7 of the 16 procedures recorded by the Doing Business report</w:t>
      </w:r>
      <w:r w:rsidR="00FB3481" w:rsidRPr="00606295">
        <w:rPr>
          <w:rFonts w:cstheme="minorHAnsi"/>
        </w:rPr>
        <w:t xml:space="preserve"> </w:t>
      </w:r>
      <w:r w:rsidR="006076D8" w:rsidRPr="00606295">
        <w:rPr>
          <w:rFonts w:cstheme="minorHAnsi"/>
        </w:rPr>
        <w:t xml:space="preserve">are related to land-related requirements, including obtaining approval from the Directorate of Geographical and Cadastral Services prior to construction, and registering the new building for tax purposes and at the Property Registry after construction. </w:t>
      </w:r>
      <w:r w:rsidR="00690C03">
        <w:rPr>
          <w:rFonts w:cstheme="minorHAnsi"/>
        </w:rPr>
        <w:t xml:space="preserve">The ongoing </w:t>
      </w:r>
      <w:r w:rsidR="00E526E2">
        <w:rPr>
          <w:rFonts w:cstheme="minorHAnsi"/>
        </w:rPr>
        <w:t xml:space="preserve">automation of the Property Registry should contribute to reduce delays in this final step. </w:t>
      </w:r>
      <w:r w:rsidR="00DE27C2">
        <w:rPr>
          <w:rFonts w:cstheme="minorHAnsi"/>
        </w:rPr>
        <w:t>In addition, t</w:t>
      </w:r>
      <w:r w:rsidR="006076D8" w:rsidRPr="00606295">
        <w:rPr>
          <w:rFonts w:cstheme="minorHAnsi"/>
        </w:rPr>
        <w:t>he</w:t>
      </w:r>
      <w:r w:rsidR="00FE2DAE">
        <w:rPr>
          <w:rFonts w:cstheme="minorHAnsi"/>
        </w:rPr>
        <w:t xml:space="preserve"> following</w:t>
      </w:r>
      <w:r w:rsidR="006076D8" w:rsidRPr="00606295">
        <w:rPr>
          <w:rFonts w:cstheme="minorHAnsi"/>
        </w:rPr>
        <w:t xml:space="preserve"> procedures could be streamlined</w:t>
      </w:r>
      <w:r w:rsidR="00FE2DAE">
        <w:rPr>
          <w:rFonts w:cstheme="minorHAnsi"/>
        </w:rPr>
        <w:t>:</w:t>
      </w:r>
      <w:r w:rsidR="006076D8" w:rsidRPr="00606295">
        <w:rPr>
          <w:rFonts w:cstheme="minorHAnsi"/>
        </w:rPr>
        <w:t xml:space="preserve"> the need for inspections prior to registration, and information sharing among the DOPU, the tax department, and the property registry strengthened. The proposed project to establish a one-stop shop for construction permits at DOPU could contribute to streamline the process. </w:t>
      </w:r>
      <w:r w:rsidR="00606295" w:rsidRPr="00606295">
        <w:rPr>
          <w:rFonts w:cstheme="minorHAnsi"/>
        </w:rPr>
        <w:t xml:space="preserve">In addition, </w:t>
      </w:r>
      <w:r w:rsidR="00A56380">
        <w:rPr>
          <w:rFonts w:cstheme="minorHAnsi"/>
        </w:rPr>
        <w:t xml:space="preserve">regulations should be introduced </w:t>
      </w:r>
      <w:r w:rsidR="00606295">
        <w:rPr>
          <w:rFonts w:cstheme="minorHAnsi"/>
        </w:rPr>
        <w:t>to strengthe</w:t>
      </w:r>
      <w:r w:rsidR="00A56380">
        <w:rPr>
          <w:rFonts w:cstheme="minorHAnsi"/>
        </w:rPr>
        <w:t>n qualification requirements</w:t>
      </w:r>
      <w:r w:rsidR="00606295">
        <w:rPr>
          <w:rFonts w:cstheme="minorHAnsi"/>
        </w:rPr>
        <w:t xml:space="preserve"> for architects and engineers</w:t>
      </w:r>
      <w:r w:rsidR="00A56380">
        <w:rPr>
          <w:rFonts w:cstheme="minorHAnsi"/>
        </w:rPr>
        <w:t xml:space="preserve"> preparing building plans and supervising construction</w:t>
      </w:r>
      <w:r w:rsidR="00606295">
        <w:rPr>
          <w:rFonts w:cstheme="minorHAnsi"/>
        </w:rPr>
        <w:t xml:space="preserve">, including minimum years of experience and being part of a professional order. Finally, insurance policy </w:t>
      </w:r>
      <w:r w:rsidR="00A56380">
        <w:rPr>
          <w:rFonts w:cstheme="minorHAnsi"/>
        </w:rPr>
        <w:t>for latent defect liability or decennial liability (10 years after construction)</w:t>
      </w:r>
      <w:r w:rsidR="00606295">
        <w:rPr>
          <w:rFonts w:cstheme="minorHAnsi"/>
        </w:rPr>
        <w:t xml:space="preserve"> could be </w:t>
      </w:r>
      <w:r w:rsidR="002F6968">
        <w:rPr>
          <w:rFonts w:cstheme="minorHAnsi"/>
        </w:rPr>
        <w:t>required for construction parties.</w:t>
      </w:r>
    </w:p>
    <w:tbl>
      <w:tblPr>
        <w:tblStyle w:val="TableGrid"/>
        <w:tblW w:w="9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AD2A4A" w:rsidRPr="00E6559F" w14:paraId="083D95A7" w14:textId="77777777" w:rsidTr="009208C9">
        <w:tc>
          <w:tcPr>
            <w:tcW w:w="4788" w:type="dxa"/>
          </w:tcPr>
          <w:p w14:paraId="69909981" w14:textId="2B5453E5" w:rsidR="00AD2A4A" w:rsidRPr="00AD2A4A" w:rsidRDefault="00AD2A4A" w:rsidP="00AD2A4A">
            <w:pPr>
              <w:pStyle w:val="Caption"/>
              <w:keepNext/>
              <w:spacing w:after="0" w:line="276" w:lineRule="auto"/>
              <w:rPr>
                <w:sz w:val="20"/>
                <w:szCs w:val="20"/>
              </w:rPr>
            </w:pPr>
            <w:r w:rsidRPr="00AD2A4A">
              <w:rPr>
                <w:color w:val="auto"/>
                <w:sz w:val="20"/>
                <w:szCs w:val="20"/>
              </w:rPr>
              <w:t xml:space="preserve">Figure </w:t>
            </w:r>
            <w:r w:rsidRPr="00AD2A4A">
              <w:rPr>
                <w:color w:val="auto"/>
                <w:sz w:val="20"/>
                <w:szCs w:val="20"/>
              </w:rPr>
              <w:fldChar w:fldCharType="begin"/>
            </w:r>
            <w:r w:rsidRPr="00AD2A4A">
              <w:rPr>
                <w:color w:val="auto"/>
                <w:sz w:val="20"/>
                <w:szCs w:val="20"/>
              </w:rPr>
              <w:instrText xml:space="preserve"> SEQ Figure \* ARABIC </w:instrText>
            </w:r>
            <w:r w:rsidRPr="00AD2A4A">
              <w:rPr>
                <w:color w:val="auto"/>
                <w:sz w:val="20"/>
                <w:szCs w:val="20"/>
              </w:rPr>
              <w:fldChar w:fldCharType="separate"/>
            </w:r>
            <w:r w:rsidR="00B4077B">
              <w:rPr>
                <w:noProof/>
                <w:color w:val="auto"/>
                <w:sz w:val="20"/>
                <w:szCs w:val="20"/>
              </w:rPr>
              <w:t>7</w:t>
            </w:r>
            <w:r w:rsidRPr="00AD2A4A">
              <w:rPr>
                <w:color w:val="auto"/>
                <w:sz w:val="20"/>
                <w:szCs w:val="20"/>
              </w:rPr>
              <w:fldChar w:fldCharType="end"/>
            </w:r>
            <w:r w:rsidRPr="00AD2A4A">
              <w:rPr>
                <w:color w:val="auto"/>
                <w:sz w:val="20"/>
                <w:szCs w:val="20"/>
              </w:rPr>
              <w:t xml:space="preserve"> – Procedures, time, and cost to obtain construction permits</w:t>
            </w:r>
          </w:p>
        </w:tc>
        <w:tc>
          <w:tcPr>
            <w:tcW w:w="4788" w:type="dxa"/>
          </w:tcPr>
          <w:p w14:paraId="6B5DCAE5" w14:textId="0E8AEB96" w:rsidR="00AD2A4A" w:rsidRPr="00AD2A4A" w:rsidRDefault="00AD2A4A" w:rsidP="00AD2A4A">
            <w:pPr>
              <w:pStyle w:val="Caption"/>
              <w:keepNext/>
              <w:spacing w:after="0" w:line="276" w:lineRule="auto"/>
              <w:jc w:val="both"/>
              <w:rPr>
                <w:color w:val="auto"/>
                <w:sz w:val="20"/>
                <w:szCs w:val="20"/>
              </w:rPr>
            </w:pPr>
            <w:r w:rsidRPr="00AD2A4A">
              <w:rPr>
                <w:color w:val="auto"/>
                <w:sz w:val="20"/>
                <w:szCs w:val="20"/>
              </w:rPr>
              <w:t xml:space="preserve">Figure </w:t>
            </w:r>
            <w:r w:rsidRPr="00AD2A4A">
              <w:rPr>
                <w:color w:val="auto"/>
                <w:sz w:val="20"/>
                <w:szCs w:val="20"/>
              </w:rPr>
              <w:fldChar w:fldCharType="begin"/>
            </w:r>
            <w:r w:rsidRPr="00AD2A4A">
              <w:rPr>
                <w:color w:val="auto"/>
                <w:sz w:val="20"/>
                <w:szCs w:val="20"/>
              </w:rPr>
              <w:instrText xml:space="preserve"> SEQ Figure \* ARABIC </w:instrText>
            </w:r>
            <w:r w:rsidRPr="00AD2A4A">
              <w:rPr>
                <w:color w:val="auto"/>
                <w:sz w:val="20"/>
                <w:szCs w:val="20"/>
              </w:rPr>
              <w:fldChar w:fldCharType="separate"/>
            </w:r>
            <w:r w:rsidR="00B4077B">
              <w:rPr>
                <w:noProof/>
                <w:color w:val="auto"/>
                <w:sz w:val="20"/>
                <w:szCs w:val="20"/>
              </w:rPr>
              <w:t>8</w:t>
            </w:r>
            <w:r w:rsidRPr="00AD2A4A">
              <w:rPr>
                <w:color w:val="auto"/>
                <w:sz w:val="20"/>
                <w:szCs w:val="20"/>
              </w:rPr>
              <w:fldChar w:fldCharType="end"/>
            </w:r>
            <w:r w:rsidRPr="00AD2A4A">
              <w:rPr>
                <w:color w:val="auto"/>
                <w:sz w:val="20"/>
                <w:szCs w:val="20"/>
              </w:rPr>
              <w:t xml:space="preserve"> – Building quality control index</w:t>
            </w:r>
            <w:r w:rsidRPr="00AD2A4A">
              <w:rPr>
                <w:rStyle w:val="FootnoteReference"/>
                <w:color w:val="auto"/>
                <w:sz w:val="20"/>
                <w:szCs w:val="20"/>
              </w:rPr>
              <w:footnoteReference w:id="16"/>
            </w:r>
          </w:p>
        </w:tc>
      </w:tr>
      <w:tr w:rsidR="008C21AA" w:rsidRPr="00E6559F" w14:paraId="4F9A437F" w14:textId="77777777" w:rsidTr="009208C9">
        <w:tc>
          <w:tcPr>
            <w:tcW w:w="4788" w:type="dxa"/>
            <w:vAlign w:val="center"/>
            <w:hideMark/>
          </w:tcPr>
          <w:p w14:paraId="763A9EF3" w14:textId="5AE30B9E" w:rsidR="009038B3" w:rsidRPr="009038B3" w:rsidRDefault="00504D2A" w:rsidP="00504D2A">
            <w:pPr>
              <w:spacing w:after="120" w:line="276" w:lineRule="auto"/>
              <w:jc w:val="center"/>
            </w:pPr>
            <w:bookmarkStart w:id="5" w:name="_Hlk528041573"/>
            <w:r w:rsidRPr="00504D2A">
              <w:rPr>
                <w:noProof/>
              </w:rPr>
              <w:drawing>
                <wp:inline distT="0" distB="0" distL="0" distR="0" wp14:anchorId="18314C70" wp14:editId="358DFE2A">
                  <wp:extent cx="2959440" cy="1713053"/>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3439" cy="1715368"/>
                          </a:xfrm>
                          <a:prstGeom prst="rect">
                            <a:avLst/>
                          </a:prstGeom>
                          <a:noFill/>
                          <a:ln>
                            <a:noFill/>
                          </a:ln>
                        </pic:spPr>
                      </pic:pic>
                    </a:graphicData>
                  </a:graphic>
                </wp:inline>
              </w:drawing>
            </w:r>
          </w:p>
        </w:tc>
        <w:tc>
          <w:tcPr>
            <w:tcW w:w="4788" w:type="dxa"/>
            <w:vAlign w:val="center"/>
            <w:hideMark/>
          </w:tcPr>
          <w:p w14:paraId="41F0D7F9" w14:textId="4A2E9C0D" w:rsidR="008C21AA" w:rsidRPr="00E6559F" w:rsidRDefault="009208C9" w:rsidP="009208C9">
            <w:pPr>
              <w:spacing w:after="120" w:line="276" w:lineRule="auto"/>
              <w:jc w:val="center"/>
            </w:pPr>
            <w:r w:rsidRPr="009208C9">
              <w:rPr>
                <w:noProof/>
              </w:rPr>
              <w:drawing>
                <wp:inline distT="0" distB="0" distL="0" distR="0" wp14:anchorId="2E35AD95" wp14:editId="16AEC7AB">
                  <wp:extent cx="2899410" cy="204851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9410" cy="2048510"/>
                          </a:xfrm>
                          <a:prstGeom prst="rect">
                            <a:avLst/>
                          </a:prstGeom>
                          <a:noFill/>
                          <a:ln>
                            <a:noFill/>
                          </a:ln>
                        </pic:spPr>
                      </pic:pic>
                    </a:graphicData>
                  </a:graphic>
                </wp:inline>
              </w:drawing>
            </w:r>
          </w:p>
        </w:tc>
      </w:tr>
      <w:tr w:rsidR="008C21AA" w:rsidRPr="009038B3" w14:paraId="5407D93D" w14:textId="77777777" w:rsidTr="009208C9">
        <w:tc>
          <w:tcPr>
            <w:tcW w:w="4788" w:type="dxa"/>
            <w:hideMark/>
          </w:tcPr>
          <w:p w14:paraId="7F9724C2" w14:textId="77777777" w:rsidR="008C21AA" w:rsidRPr="009038B3" w:rsidRDefault="008C21AA" w:rsidP="00700C4A">
            <w:pPr>
              <w:spacing w:after="120" w:line="276" w:lineRule="auto"/>
              <w:jc w:val="both"/>
              <w:rPr>
                <w:sz w:val="16"/>
                <w:szCs w:val="16"/>
              </w:rPr>
            </w:pPr>
            <w:r w:rsidRPr="009038B3">
              <w:rPr>
                <w:sz w:val="16"/>
                <w:szCs w:val="16"/>
              </w:rPr>
              <w:t>Source: Doing Business database</w:t>
            </w:r>
          </w:p>
        </w:tc>
        <w:tc>
          <w:tcPr>
            <w:tcW w:w="4788" w:type="dxa"/>
            <w:hideMark/>
          </w:tcPr>
          <w:p w14:paraId="646A1080" w14:textId="77777777" w:rsidR="008C21AA" w:rsidRPr="009038B3" w:rsidRDefault="008C21AA" w:rsidP="00700C4A">
            <w:pPr>
              <w:spacing w:after="120" w:line="276" w:lineRule="auto"/>
              <w:jc w:val="both"/>
              <w:rPr>
                <w:sz w:val="16"/>
                <w:szCs w:val="16"/>
              </w:rPr>
            </w:pPr>
            <w:r w:rsidRPr="009038B3">
              <w:rPr>
                <w:sz w:val="16"/>
                <w:szCs w:val="16"/>
              </w:rPr>
              <w:t>Source: Doing Business database</w:t>
            </w:r>
          </w:p>
        </w:tc>
      </w:tr>
    </w:tbl>
    <w:bookmarkEnd w:id="5"/>
    <w:p w14:paraId="543FAEC5" w14:textId="01ED7336" w:rsidR="00DD12E4" w:rsidRPr="003019B4" w:rsidRDefault="002A1BBE" w:rsidP="00E22108">
      <w:pPr>
        <w:pStyle w:val="ListParagraph"/>
        <w:widowControl w:val="0"/>
        <w:numPr>
          <w:ilvl w:val="1"/>
          <w:numId w:val="8"/>
        </w:numPr>
        <w:tabs>
          <w:tab w:val="left" w:pos="720"/>
        </w:tabs>
        <w:autoSpaceDE w:val="0"/>
        <w:autoSpaceDN w:val="0"/>
        <w:adjustRightInd w:val="0"/>
        <w:spacing w:before="240" w:after="120" w:line="276" w:lineRule="auto"/>
        <w:ind w:left="432"/>
        <w:contextualSpacing w:val="0"/>
        <w:jc w:val="both"/>
        <w:rPr>
          <w:b/>
          <w:color w:val="0070C0"/>
          <w:sz w:val="24"/>
          <w:szCs w:val="24"/>
        </w:rPr>
      </w:pPr>
      <w:r>
        <w:rPr>
          <w:b/>
          <w:color w:val="0070C0"/>
          <w:sz w:val="24"/>
          <w:szCs w:val="24"/>
        </w:rPr>
        <w:lastRenderedPageBreak/>
        <w:t>Companies face a very complex tax legislation</w:t>
      </w:r>
      <w:r w:rsidR="00830CB4">
        <w:rPr>
          <w:b/>
          <w:color w:val="0070C0"/>
          <w:sz w:val="24"/>
          <w:szCs w:val="24"/>
        </w:rPr>
        <w:t>,</w:t>
      </w:r>
      <w:r>
        <w:rPr>
          <w:b/>
          <w:color w:val="0070C0"/>
          <w:sz w:val="24"/>
          <w:szCs w:val="24"/>
        </w:rPr>
        <w:t xml:space="preserve"> and the tax office does not make easier to pay taxes</w:t>
      </w:r>
    </w:p>
    <w:p w14:paraId="6B164276" w14:textId="425D504F" w:rsidR="00786AE0" w:rsidRPr="0073267B" w:rsidRDefault="00DD12E4" w:rsidP="003019B4">
      <w:pPr>
        <w:pStyle w:val="ListParagraph"/>
        <w:numPr>
          <w:ilvl w:val="0"/>
          <w:numId w:val="3"/>
        </w:numPr>
        <w:spacing w:after="120" w:line="276" w:lineRule="auto"/>
        <w:ind w:left="0" w:firstLine="0"/>
        <w:contextualSpacing w:val="0"/>
        <w:jc w:val="both"/>
        <w:rPr>
          <w:rFonts w:cstheme="minorHAnsi"/>
        </w:rPr>
      </w:pPr>
      <w:r>
        <w:rPr>
          <w:rFonts w:cstheme="minorHAnsi"/>
          <w:b/>
        </w:rPr>
        <w:t xml:space="preserve">Businesses in São Tomé and Príncipe face a difficult environment to pay taxes. </w:t>
      </w:r>
      <w:r w:rsidR="00786AE0" w:rsidRPr="00786AE0">
        <w:rPr>
          <w:rFonts w:cstheme="minorHAnsi"/>
        </w:rPr>
        <w:t xml:space="preserve">In </w:t>
      </w:r>
      <w:r w:rsidR="00480669">
        <w:rPr>
          <w:rFonts w:cstheme="minorHAnsi"/>
        </w:rPr>
        <w:t xml:space="preserve">the </w:t>
      </w:r>
      <w:r w:rsidR="00786AE0" w:rsidRPr="00786AE0">
        <w:rPr>
          <w:rFonts w:cstheme="minorHAnsi"/>
        </w:rPr>
        <w:t>Doing Business 2019</w:t>
      </w:r>
      <w:r w:rsidR="00480669">
        <w:rPr>
          <w:rFonts w:cstheme="minorHAnsi"/>
        </w:rPr>
        <w:t xml:space="preserve"> report</w:t>
      </w:r>
      <w:r w:rsidR="00786AE0" w:rsidRPr="00786AE0">
        <w:rPr>
          <w:rFonts w:cstheme="minorHAnsi"/>
        </w:rPr>
        <w:t xml:space="preserve">, the country </w:t>
      </w:r>
      <w:r w:rsidR="00786AE0">
        <w:rPr>
          <w:rFonts w:cstheme="minorHAnsi"/>
        </w:rPr>
        <w:t>ranked 135 out of 190 in this area, revealing opportunities to increase the efficiency of the tax administration. Among comparator countries, only Comoros has a lower classification (168)</w:t>
      </w:r>
      <w:r w:rsidR="00EC054F">
        <w:rPr>
          <w:rFonts w:cstheme="minorHAnsi"/>
        </w:rPr>
        <w:t xml:space="preserve"> (</w:t>
      </w:r>
      <w:r w:rsidR="000447E8">
        <w:rPr>
          <w:rFonts w:cstheme="minorHAnsi"/>
        </w:rPr>
        <w:t xml:space="preserve">See </w:t>
      </w:r>
      <w:r w:rsidR="00EC054F">
        <w:rPr>
          <w:rFonts w:cstheme="minorHAnsi"/>
        </w:rPr>
        <w:t xml:space="preserve">Figure </w:t>
      </w:r>
      <w:r w:rsidR="002F6968">
        <w:rPr>
          <w:rFonts w:cstheme="minorHAnsi"/>
        </w:rPr>
        <w:t>9</w:t>
      </w:r>
      <w:r w:rsidR="00EC054F">
        <w:rPr>
          <w:rFonts w:cstheme="minorHAnsi"/>
        </w:rPr>
        <w:t>)</w:t>
      </w:r>
      <w:r w:rsidR="00786AE0">
        <w:rPr>
          <w:rFonts w:cstheme="minorHAnsi"/>
        </w:rPr>
        <w:t>. I</w:t>
      </w:r>
      <w:r w:rsidRPr="004958FC">
        <w:rPr>
          <w:rFonts w:cstheme="minorHAnsi"/>
        </w:rPr>
        <w:t xml:space="preserve">t takes 46 separate payments and 424 </w:t>
      </w:r>
      <w:r w:rsidR="00222348">
        <w:rPr>
          <w:rFonts w:cstheme="minorHAnsi"/>
        </w:rPr>
        <w:t>hours</w:t>
      </w:r>
      <w:r w:rsidRPr="004958FC">
        <w:rPr>
          <w:rFonts w:cstheme="minorHAnsi"/>
        </w:rPr>
        <w:t xml:space="preserve"> to comply with tax and social </w:t>
      </w:r>
      <w:r w:rsidRPr="0073267B">
        <w:rPr>
          <w:rFonts w:cstheme="minorHAnsi"/>
        </w:rPr>
        <w:t>security regulations for a medium-size company</w:t>
      </w:r>
      <w:r w:rsidR="00786AE0" w:rsidRPr="0073267B">
        <w:rPr>
          <w:rFonts w:cstheme="minorHAnsi"/>
        </w:rPr>
        <w:t>, more than any of the comparator countries</w:t>
      </w:r>
      <w:r w:rsidR="00EC054F" w:rsidRPr="0073267B">
        <w:rPr>
          <w:rFonts w:cstheme="minorHAnsi"/>
        </w:rPr>
        <w:t xml:space="preserve"> (Figure </w:t>
      </w:r>
      <w:r w:rsidR="002F6968" w:rsidRPr="0073267B">
        <w:rPr>
          <w:rFonts w:cstheme="minorHAnsi"/>
        </w:rPr>
        <w:t>10</w:t>
      </w:r>
      <w:r w:rsidR="00EC054F" w:rsidRPr="0073267B">
        <w:rPr>
          <w:rFonts w:cstheme="minorHAnsi"/>
        </w:rPr>
        <w:t>)</w:t>
      </w:r>
      <w:r w:rsidRPr="0073267B">
        <w:rPr>
          <w:rFonts w:cstheme="minorHAnsi"/>
        </w:rPr>
        <w:t>.</w:t>
      </w:r>
      <w:r w:rsidR="00EC054F" w:rsidRPr="0073267B">
        <w:rPr>
          <w:rFonts w:cstheme="minorHAnsi"/>
        </w:rPr>
        <w:t xml:space="preserve"> </w:t>
      </w:r>
      <w:r w:rsidR="009C73D7" w:rsidRPr="0073267B">
        <w:rPr>
          <w:rFonts w:cstheme="minorHAnsi"/>
        </w:rPr>
        <w:t>The relatively high compliance burden in São Tomé and Príncipe</w:t>
      </w:r>
      <w:r w:rsidR="00EE57F7" w:rsidRPr="0073267B">
        <w:rPr>
          <w:rFonts w:cstheme="minorHAnsi"/>
        </w:rPr>
        <w:t xml:space="preserve"> stems from the </w:t>
      </w:r>
      <w:r w:rsidR="009C73D7" w:rsidRPr="0073267B">
        <w:rPr>
          <w:rFonts w:cstheme="minorHAnsi"/>
        </w:rPr>
        <w:t xml:space="preserve">complexity of taxes and the </w:t>
      </w:r>
      <w:r w:rsidR="00EE57F7" w:rsidRPr="0073267B">
        <w:rPr>
          <w:rFonts w:cstheme="minorHAnsi"/>
        </w:rPr>
        <w:t>lack of electronic systems for filing and paying taxes</w:t>
      </w:r>
      <w:r w:rsidR="009C73D7" w:rsidRPr="0073267B">
        <w:rPr>
          <w:rFonts w:cstheme="minorHAnsi"/>
        </w:rPr>
        <w:t xml:space="preserve"> and social security contributions</w:t>
      </w:r>
      <w:r w:rsidR="00EE57F7" w:rsidRPr="0073267B">
        <w:rPr>
          <w:rFonts w:cstheme="minorHAnsi"/>
        </w:rPr>
        <w:t xml:space="preserve">. In contrast, in Mauritius, </w:t>
      </w:r>
      <w:r w:rsidR="0073267B">
        <w:rPr>
          <w:rFonts w:cstheme="minorHAnsi"/>
        </w:rPr>
        <w:t>taxes and social security contributions</w:t>
      </w:r>
      <w:r w:rsidR="00EE57F7" w:rsidRPr="0073267B">
        <w:rPr>
          <w:rFonts w:cstheme="minorHAnsi"/>
        </w:rPr>
        <w:t xml:space="preserve"> can be paid online. </w:t>
      </w:r>
      <w:r w:rsidR="00EC054F" w:rsidRPr="0073267B">
        <w:rPr>
          <w:rFonts w:cstheme="minorHAnsi"/>
        </w:rPr>
        <w:t xml:space="preserve">No significant improvements </w:t>
      </w:r>
      <w:r w:rsidR="0073267B" w:rsidRPr="0073267B">
        <w:rPr>
          <w:rFonts w:cstheme="minorHAnsi"/>
        </w:rPr>
        <w:t>in</w:t>
      </w:r>
      <w:r w:rsidR="00EC054F" w:rsidRPr="0073267B">
        <w:rPr>
          <w:rFonts w:cstheme="minorHAnsi"/>
        </w:rPr>
        <w:t xml:space="preserve"> tax administration have been registered </w:t>
      </w:r>
      <w:r w:rsidR="001334FE" w:rsidRPr="0073267B">
        <w:rPr>
          <w:rFonts w:cstheme="minorHAnsi"/>
        </w:rPr>
        <w:t xml:space="preserve">in São Tomé and Príncipe </w:t>
      </w:r>
      <w:r w:rsidR="00EC054F" w:rsidRPr="0073267B">
        <w:rPr>
          <w:rFonts w:cstheme="minorHAnsi"/>
        </w:rPr>
        <w:t>by the Doing Busine</w:t>
      </w:r>
      <w:r w:rsidR="001334FE" w:rsidRPr="0073267B">
        <w:rPr>
          <w:rFonts w:cstheme="minorHAnsi"/>
        </w:rPr>
        <w:t>ss report, the only improvement in the paying taxes area being a reduction in the corporate tax rate in 2010.</w:t>
      </w:r>
      <w:r w:rsidR="00EC054F" w:rsidRPr="0073267B">
        <w:rPr>
          <w:rFonts w:cstheme="minorHAnsi"/>
        </w:rPr>
        <w:t xml:space="preserve"> Improving tax policy and administration is critical to increase São Tomé and Príncipe’s</w:t>
      </w:r>
      <w:r w:rsidRPr="0073267B">
        <w:rPr>
          <w:rFonts w:cstheme="minorHAnsi"/>
        </w:rPr>
        <w:t xml:space="preserve"> </w:t>
      </w:r>
      <w:r w:rsidR="00EC054F" w:rsidRPr="0073267B">
        <w:rPr>
          <w:rFonts w:cstheme="minorHAnsi"/>
        </w:rPr>
        <w:t xml:space="preserve">domestic resource mobilization, which </w:t>
      </w:r>
      <w:r w:rsidR="001334FE" w:rsidRPr="0073267B">
        <w:rPr>
          <w:rFonts w:cstheme="minorHAnsi"/>
        </w:rPr>
        <w:t xml:space="preserve">is necessary </w:t>
      </w:r>
      <w:r w:rsidR="00EC054F" w:rsidRPr="0073267B">
        <w:rPr>
          <w:rFonts w:cstheme="minorHAnsi"/>
        </w:rPr>
        <w:t>to reduce the country’s fiscal fragility.</w:t>
      </w:r>
    </w:p>
    <w:tbl>
      <w:tblPr>
        <w:tblStyle w:val="TableGrid"/>
        <w:tblW w:w="9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422A63" w:rsidRPr="00E6559F" w14:paraId="15FC2DFF" w14:textId="77777777" w:rsidTr="007F7979">
        <w:tc>
          <w:tcPr>
            <w:tcW w:w="4788" w:type="dxa"/>
          </w:tcPr>
          <w:p w14:paraId="2506D26E" w14:textId="3369F710" w:rsidR="00422A63" w:rsidRPr="00422A63" w:rsidRDefault="00422A63" w:rsidP="00422A63">
            <w:pPr>
              <w:pStyle w:val="Caption"/>
              <w:keepNext/>
              <w:spacing w:after="0" w:line="276" w:lineRule="auto"/>
              <w:rPr>
                <w:color w:val="auto"/>
                <w:sz w:val="20"/>
                <w:szCs w:val="20"/>
              </w:rPr>
            </w:pPr>
            <w:r w:rsidRPr="00422A63">
              <w:rPr>
                <w:color w:val="auto"/>
                <w:sz w:val="20"/>
                <w:szCs w:val="20"/>
              </w:rPr>
              <w:t xml:space="preserve">Figure </w:t>
            </w:r>
            <w:r w:rsidRPr="00422A63">
              <w:rPr>
                <w:color w:val="auto"/>
                <w:sz w:val="20"/>
                <w:szCs w:val="20"/>
              </w:rPr>
              <w:fldChar w:fldCharType="begin"/>
            </w:r>
            <w:r w:rsidRPr="00422A63">
              <w:rPr>
                <w:color w:val="auto"/>
                <w:sz w:val="20"/>
                <w:szCs w:val="20"/>
              </w:rPr>
              <w:instrText xml:space="preserve"> SEQ Figure \* ARABIC </w:instrText>
            </w:r>
            <w:r w:rsidRPr="00422A63">
              <w:rPr>
                <w:color w:val="auto"/>
                <w:sz w:val="20"/>
                <w:szCs w:val="20"/>
              </w:rPr>
              <w:fldChar w:fldCharType="separate"/>
            </w:r>
            <w:r w:rsidR="00B4077B">
              <w:rPr>
                <w:noProof/>
                <w:color w:val="auto"/>
                <w:sz w:val="20"/>
                <w:szCs w:val="20"/>
              </w:rPr>
              <w:t>9</w:t>
            </w:r>
            <w:r w:rsidRPr="00422A63">
              <w:rPr>
                <w:color w:val="auto"/>
                <w:sz w:val="20"/>
                <w:szCs w:val="20"/>
              </w:rPr>
              <w:fldChar w:fldCharType="end"/>
            </w:r>
            <w:r w:rsidRPr="00422A63">
              <w:rPr>
                <w:color w:val="auto"/>
                <w:sz w:val="20"/>
                <w:szCs w:val="20"/>
              </w:rPr>
              <w:t xml:space="preserve"> – Classification in the ease of paying taxes</w:t>
            </w:r>
          </w:p>
        </w:tc>
        <w:tc>
          <w:tcPr>
            <w:tcW w:w="4788" w:type="dxa"/>
          </w:tcPr>
          <w:p w14:paraId="11C38CC5" w14:textId="1B446201" w:rsidR="00422A63" w:rsidRPr="00422A63" w:rsidRDefault="00422A63" w:rsidP="00422A63">
            <w:pPr>
              <w:pStyle w:val="Caption"/>
              <w:keepNext/>
              <w:spacing w:after="0" w:line="276" w:lineRule="auto"/>
              <w:jc w:val="both"/>
              <w:rPr>
                <w:color w:val="auto"/>
                <w:sz w:val="20"/>
                <w:szCs w:val="20"/>
              </w:rPr>
            </w:pPr>
            <w:r w:rsidRPr="00422A63">
              <w:rPr>
                <w:color w:val="auto"/>
                <w:sz w:val="20"/>
                <w:szCs w:val="20"/>
              </w:rPr>
              <w:t xml:space="preserve">Figure </w:t>
            </w:r>
            <w:r w:rsidRPr="00422A63">
              <w:rPr>
                <w:color w:val="auto"/>
                <w:sz w:val="20"/>
                <w:szCs w:val="20"/>
              </w:rPr>
              <w:fldChar w:fldCharType="begin"/>
            </w:r>
            <w:r w:rsidRPr="00422A63">
              <w:rPr>
                <w:color w:val="auto"/>
                <w:sz w:val="20"/>
                <w:szCs w:val="20"/>
              </w:rPr>
              <w:instrText xml:space="preserve"> SEQ Figure \* ARABIC </w:instrText>
            </w:r>
            <w:r w:rsidRPr="00422A63">
              <w:rPr>
                <w:color w:val="auto"/>
                <w:sz w:val="20"/>
                <w:szCs w:val="20"/>
              </w:rPr>
              <w:fldChar w:fldCharType="separate"/>
            </w:r>
            <w:r w:rsidR="00B4077B">
              <w:rPr>
                <w:noProof/>
                <w:color w:val="auto"/>
                <w:sz w:val="20"/>
                <w:szCs w:val="20"/>
              </w:rPr>
              <w:t>10</w:t>
            </w:r>
            <w:r w:rsidRPr="00422A63">
              <w:rPr>
                <w:color w:val="auto"/>
                <w:sz w:val="20"/>
                <w:szCs w:val="20"/>
              </w:rPr>
              <w:fldChar w:fldCharType="end"/>
            </w:r>
            <w:r w:rsidRPr="00422A63">
              <w:rPr>
                <w:color w:val="auto"/>
                <w:sz w:val="20"/>
                <w:szCs w:val="20"/>
              </w:rPr>
              <w:t xml:space="preserve"> – Number of payments and time to pay taxes</w:t>
            </w:r>
          </w:p>
        </w:tc>
      </w:tr>
      <w:tr w:rsidR="00422A63" w:rsidRPr="00E6559F" w14:paraId="6D932CEF" w14:textId="0D4A16A6" w:rsidTr="007F7979">
        <w:tc>
          <w:tcPr>
            <w:tcW w:w="4788" w:type="dxa"/>
            <w:vAlign w:val="center"/>
            <w:hideMark/>
          </w:tcPr>
          <w:p w14:paraId="296F5188" w14:textId="147E3CFD" w:rsidR="00422A63" w:rsidRPr="0077375E" w:rsidRDefault="00422A63" w:rsidP="00422A63">
            <w:pPr>
              <w:jc w:val="center"/>
            </w:pPr>
            <w:r>
              <w:rPr>
                <w:noProof/>
              </w:rPr>
              <w:drawing>
                <wp:inline distT="0" distB="0" distL="0" distR="0" wp14:anchorId="07A61286" wp14:editId="2819C517">
                  <wp:extent cx="2990850" cy="179426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1952" cy="1800921"/>
                          </a:xfrm>
                          <a:prstGeom prst="rect">
                            <a:avLst/>
                          </a:prstGeom>
                          <a:noFill/>
                        </pic:spPr>
                      </pic:pic>
                    </a:graphicData>
                  </a:graphic>
                </wp:inline>
              </w:drawing>
            </w:r>
          </w:p>
          <w:p w14:paraId="6AE383B4" w14:textId="2D86383D" w:rsidR="00422A63" w:rsidRPr="009038B3" w:rsidRDefault="00422A63" w:rsidP="00422A63">
            <w:pPr>
              <w:spacing w:after="120" w:line="276" w:lineRule="auto"/>
              <w:jc w:val="center"/>
            </w:pPr>
          </w:p>
        </w:tc>
        <w:tc>
          <w:tcPr>
            <w:tcW w:w="4788" w:type="dxa"/>
            <w:vAlign w:val="center"/>
            <w:hideMark/>
          </w:tcPr>
          <w:p w14:paraId="05D75D06" w14:textId="2F538396" w:rsidR="00422A63" w:rsidRPr="005F4F99" w:rsidRDefault="007F7979" w:rsidP="007F7979">
            <w:pPr>
              <w:jc w:val="center"/>
            </w:pPr>
            <w:r w:rsidRPr="007F7979">
              <w:rPr>
                <w:noProof/>
              </w:rPr>
              <w:drawing>
                <wp:inline distT="0" distB="0" distL="0" distR="0" wp14:anchorId="1527DDA0" wp14:editId="35C3B069">
                  <wp:extent cx="2899410" cy="17360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9410" cy="1736090"/>
                          </a:xfrm>
                          <a:prstGeom prst="rect">
                            <a:avLst/>
                          </a:prstGeom>
                          <a:noFill/>
                          <a:ln>
                            <a:noFill/>
                          </a:ln>
                        </pic:spPr>
                      </pic:pic>
                    </a:graphicData>
                  </a:graphic>
                </wp:inline>
              </w:drawing>
            </w:r>
          </w:p>
          <w:p w14:paraId="3218697A" w14:textId="31EBEA5C" w:rsidR="00422A63" w:rsidRPr="00E6559F" w:rsidRDefault="00422A63" w:rsidP="007F7979">
            <w:pPr>
              <w:spacing w:after="120" w:line="276" w:lineRule="auto"/>
              <w:jc w:val="center"/>
            </w:pPr>
          </w:p>
        </w:tc>
      </w:tr>
      <w:tr w:rsidR="00422A63" w:rsidRPr="009038B3" w14:paraId="1A1B006F" w14:textId="61C41452" w:rsidTr="007F7979">
        <w:tc>
          <w:tcPr>
            <w:tcW w:w="4788" w:type="dxa"/>
            <w:hideMark/>
          </w:tcPr>
          <w:p w14:paraId="422FAED5" w14:textId="77777777" w:rsidR="00422A63" w:rsidRPr="009038B3" w:rsidRDefault="00422A63" w:rsidP="0090501E">
            <w:pPr>
              <w:spacing w:after="120" w:line="276" w:lineRule="auto"/>
              <w:jc w:val="both"/>
              <w:rPr>
                <w:sz w:val="16"/>
                <w:szCs w:val="16"/>
              </w:rPr>
            </w:pPr>
            <w:r w:rsidRPr="009038B3">
              <w:rPr>
                <w:sz w:val="16"/>
                <w:szCs w:val="16"/>
              </w:rPr>
              <w:t>Source: Doing Business database</w:t>
            </w:r>
          </w:p>
        </w:tc>
        <w:tc>
          <w:tcPr>
            <w:tcW w:w="4788" w:type="dxa"/>
            <w:hideMark/>
          </w:tcPr>
          <w:p w14:paraId="3A52EB55" w14:textId="77777777" w:rsidR="00422A63" w:rsidRPr="009038B3" w:rsidRDefault="00422A63" w:rsidP="0090501E">
            <w:pPr>
              <w:spacing w:after="120" w:line="276" w:lineRule="auto"/>
              <w:jc w:val="both"/>
              <w:rPr>
                <w:sz w:val="16"/>
                <w:szCs w:val="16"/>
              </w:rPr>
            </w:pPr>
            <w:r w:rsidRPr="009038B3">
              <w:rPr>
                <w:sz w:val="16"/>
                <w:szCs w:val="16"/>
              </w:rPr>
              <w:t>Source: Doing Business database</w:t>
            </w:r>
          </w:p>
        </w:tc>
      </w:tr>
    </w:tbl>
    <w:p w14:paraId="595B45AC" w14:textId="77777777" w:rsidR="0073267B" w:rsidRPr="0073267B" w:rsidRDefault="0073267B" w:rsidP="0073267B">
      <w:pPr>
        <w:pStyle w:val="ListParagraph"/>
        <w:ind w:left="0"/>
        <w:jc w:val="both"/>
        <w:rPr>
          <w:rFonts w:cstheme="minorHAnsi"/>
        </w:rPr>
      </w:pPr>
    </w:p>
    <w:p w14:paraId="729C677E" w14:textId="04696C1E" w:rsidR="009B6D36" w:rsidRPr="00FA24C7" w:rsidRDefault="00563CDE" w:rsidP="003019B4">
      <w:pPr>
        <w:pStyle w:val="ListParagraph"/>
        <w:numPr>
          <w:ilvl w:val="0"/>
          <w:numId w:val="3"/>
        </w:numPr>
        <w:spacing w:after="120" w:line="276" w:lineRule="auto"/>
        <w:ind w:left="0" w:firstLine="0"/>
        <w:contextualSpacing w:val="0"/>
        <w:jc w:val="both"/>
        <w:rPr>
          <w:rFonts w:cstheme="minorHAnsi"/>
        </w:rPr>
      </w:pPr>
      <w:r w:rsidRPr="009B6D36">
        <w:rPr>
          <w:rFonts w:cstheme="minorHAnsi"/>
          <w:b/>
        </w:rPr>
        <w:t xml:space="preserve">The </w:t>
      </w:r>
      <w:r w:rsidR="00FC5141">
        <w:rPr>
          <w:rFonts w:cstheme="minorHAnsi"/>
          <w:b/>
        </w:rPr>
        <w:t xml:space="preserve">recently concluded </w:t>
      </w:r>
      <w:r w:rsidRPr="009B6D36">
        <w:rPr>
          <w:rFonts w:cstheme="minorHAnsi"/>
          <w:b/>
        </w:rPr>
        <w:t xml:space="preserve">World Bank Public Expenditure Review identified several </w:t>
      </w:r>
      <w:r w:rsidR="00FC5141">
        <w:rPr>
          <w:rFonts w:cstheme="minorHAnsi"/>
          <w:b/>
        </w:rPr>
        <w:t>opportunities to consolidate and simplify taxes, and to close the large gap in tax administration practices</w:t>
      </w:r>
      <w:r w:rsidR="007270FB" w:rsidRPr="009B6D36">
        <w:rPr>
          <w:rFonts w:cstheme="minorHAnsi"/>
          <w:b/>
        </w:rPr>
        <w:t xml:space="preserve">. </w:t>
      </w:r>
      <w:r w:rsidR="007270FB" w:rsidRPr="009B6D36">
        <w:rPr>
          <w:rFonts w:cstheme="minorHAnsi"/>
        </w:rPr>
        <w:t xml:space="preserve">For example, </w:t>
      </w:r>
      <w:r w:rsidR="009C73D7" w:rsidRPr="009B6D36">
        <w:rPr>
          <w:rFonts w:cstheme="minorHAnsi"/>
        </w:rPr>
        <w:t>São Tomé and Pr</w:t>
      </w:r>
      <w:r w:rsidR="00FC5141">
        <w:rPr>
          <w:rFonts w:cstheme="minorHAnsi"/>
        </w:rPr>
        <w:t>í</w:t>
      </w:r>
      <w:r w:rsidR="009C73D7" w:rsidRPr="009B6D36">
        <w:rPr>
          <w:rFonts w:cstheme="minorHAnsi"/>
        </w:rPr>
        <w:t xml:space="preserve">ncipe lacks a </w:t>
      </w:r>
      <w:r w:rsidR="00AE702E">
        <w:rPr>
          <w:rFonts w:cstheme="minorHAnsi"/>
        </w:rPr>
        <w:t>broad-based</w:t>
      </w:r>
      <w:r w:rsidR="00FC5141">
        <w:rPr>
          <w:rFonts w:cstheme="minorHAnsi"/>
        </w:rPr>
        <w:t xml:space="preserve"> consumption tax such as </w:t>
      </w:r>
      <w:r w:rsidR="009C73D7" w:rsidRPr="009B6D36">
        <w:rPr>
          <w:rFonts w:cstheme="minorHAnsi"/>
        </w:rPr>
        <w:t xml:space="preserve">value added tax or </w:t>
      </w:r>
      <w:r w:rsidR="00FC5141">
        <w:rPr>
          <w:rFonts w:cstheme="minorHAnsi"/>
        </w:rPr>
        <w:t>an excise tax</w:t>
      </w:r>
      <w:r w:rsidR="00AE702E">
        <w:rPr>
          <w:rFonts w:cstheme="minorHAnsi"/>
        </w:rPr>
        <w:t xml:space="preserve">. Instead, it has a plethora of narrowed based consumption taxes. In addition, STP charges a stamp tax on several administrative procedures such as getting a notarization, which significantly increases the number of payments a company </w:t>
      </w:r>
      <w:proofErr w:type="gramStart"/>
      <w:r w:rsidR="00AE702E">
        <w:rPr>
          <w:rFonts w:cstheme="minorHAnsi"/>
        </w:rPr>
        <w:t>has to</w:t>
      </w:r>
      <w:proofErr w:type="gramEnd"/>
      <w:r w:rsidR="00AE702E">
        <w:rPr>
          <w:rFonts w:cstheme="minorHAnsi"/>
        </w:rPr>
        <w:t xml:space="preserve"> make in STP, bringing down the country’s position in the DB ranking.</w:t>
      </w:r>
      <w:r w:rsidR="002A1BBE">
        <w:rPr>
          <w:rFonts w:cstheme="minorHAnsi"/>
        </w:rPr>
        <w:t xml:space="preserve"> On tax administration, STP needs to move to a client-centered approach by making it easier to pay taxes. Simple steps like organizing and making online all tax </w:t>
      </w:r>
      <w:r w:rsidR="00480669">
        <w:rPr>
          <w:rFonts w:cstheme="minorHAnsi"/>
        </w:rPr>
        <w:t>legislation and</w:t>
      </w:r>
      <w:r w:rsidR="002A1BBE">
        <w:rPr>
          <w:rFonts w:cstheme="minorHAnsi"/>
        </w:rPr>
        <w:t xml:space="preserve"> allowing taxes to be paid at any bank would go a long way.</w:t>
      </w:r>
      <w:r w:rsidR="00AE702E">
        <w:rPr>
          <w:rFonts w:cstheme="minorHAnsi"/>
        </w:rPr>
        <w:t xml:space="preserve"> </w:t>
      </w:r>
      <w:r w:rsidR="009B6D36" w:rsidRPr="009B6D36">
        <w:rPr>
          <w:rFonts w:cstheme="minorHAnsi"/>
        </w:rPr>
        <w:t xml:space="preserve"> </w:t>
      </w:r>
    </w:p>
    <w:p w14:paraId="3F416641" w14:textId="58318C70" w:rsidR="00DD12E4" w:rsidRPr="008C7FBD" w:rsidRDefault="00DD12E4" w:rsidP="003019B4">
      <w:pPr>
        <w:pStyle w:val="ListParagraph"/>
        <w:numPr>
          <w:ilvl w:val="0"/>
          <w:numId w:val="3"/>
        </w:numPr>
        <w:spacing w:after="120" w:line="276" w:lineRule="auto"/>
        <w:ind w:left="0" w:firstLine="0"/>
        <w:contextualSpacing w:val="0"/>
        <w:jc w:val="both"/>
      </w:pPr>
      <w:bookmarkStart w:id="6" w:name="_Hlk532801857"/>
      <w:r w:rsidRPr="008C7FBD">
        <w:rPr>
          <w:rFonts w:cstheme="minorHAnsi"/>
          <w:b/>
        </w:rPr>
        <w:t xml:space="preserve">Weaknesses in the accountancy profession undermine the quality of financial reporting. </w:t>
      </w:r>
      <w:r w:rsidRPr="008C7FBD">
        <w:rPr>
          <w:rFonts w:cstheme="minorHAnsi"/>
        </w:rPr>
        <w:t xml:space="preserve">The 2014 Report on the Observance of Standards and Codes (ROSC) – Accounting and Auditing indicates that the accountancy profession is at an incipient stage of development. The report identified gaps such as lack of data on the number of accounting professionals, weaknesses in professional organization and qualifications, and outdated reporting standards. A decree was enacted in 2017 </w:t>
      </w:r>
      <w:r w:rsidR="002A1BBE">
        <w:rPr>
          <w:rFonts w:cstheme="minorHAnsi"/>
        </w:rPr>
        <w:t>that</w:t>
      </w:r>
      <w:r w:rsidR="002A1BBE" w:rsidRPr="008C7FBD">
        <w:rPr>
          <w:rFonts w:cstheme="minorHAnsi"/>
        </w:rPr>
        <w:t xml:space="preserve"> </w:t>
      </w:r>
      <w:r w:rsidRPr="008C7FBD">
        <w:rPr>
          <w:rFonts w:cstheme="minorHAnsi"/>
        </w:rPr>
        <w:t xml:space="preserve">stipulates the </w:t>
      </w:r>
      <w:r w:rsidRPr="008C7FBD">
        <w:rPr>
          <w:rFonts w:cstheme="minorHAnsi"/>
        </w:rPr>
        <w:lastRenderedPageBreak/>
        <w:t xml:space="preserve">establishment, responsibilities and governance arrangements of a Professional Accountancy Organization (OTOCA) charged with promoting and overseeing the profession, including the process of certifying/licensing and registering accountants and auditors, which is </w:t>
      </w:r>
      <w:r w:rsidR="00241DE5">
        <w:rPr>
          <w:rFonts w:cstheme="minorHAnsi"/>
        </w:rPr>
        <w:t>t</w:t>
      </w:r>
      <w:r w:rsidRPr="008C7FBD">
        <w:rPr>
          <w:rFonts w:cstheme="minorHAnsi"/>
        </w:rPr>
        <w:t xml:space="preserve">he responsibility of the Ministry of Finance. </w:t>
      </w:r>
      <w:r w:rsidR="00241DE5">
        <w:rPr>
          <w:rFonts w:cstheme="minorHAnsi"/>
        </w:rPr>
        <w:t>Strengthening the accountancy profession could contribute to improve business compliance with tax obligations.</w:t>
      </w:r>
    </w:p>
    <w:bookmarkEnd w:id="6"/>
    <w:p w14:paraId="17A18798" w14:textId="4E0278E9" w:rsidR="00DD12E4" w:rsidRPr="003019B4" w:rsidRDefault="00DD12E4" w:rsidP="00E22108">
      <w:pPr>
        <w:pStyle w:val="ListParagraph"/>
        <w:widowControl w:val="0"/>
        <w:numPr>
          <w:ilvl w:val="1"/>
          <w:numId w:val="8"/>
        </w:numPr>
        <w:tabs>
          <w:tab w:val="left" w:pos="720"/>
        </w:tabs>
        <w:autoSpaceDE w:val="0"/>
        <w:autoSpaceDN w:val="0"/>
        <w:adjustRightInd w:val="0"/>
        <w:spacing w:before="240" w:after="120" w:line="276" w:lineRule="auto"/>
        <w:ind w:left="432"/>
        <w:contextualSpacing w:val="0"/>
        <w:jc w:val="both"/>
        <w:rPr>
          <w:b/>
          <w:color w:val="0070C0"/>
          <w:sz w:val="24"/>
          <w:szCs w:val="24"/>
        </w:rPr>
      </w:pPr>
      <w:r w:rsidRPr="003019B4">
        <w:rPr>
          <w:b/>
          <w:color w:val="0070C0"/>
          <w:sz w:val="24"/>
          <w:szCs w:val="24"/>
        </w:rPr>
        <w:t>Trade facilitation</w:t>
      </w:r>
      <w:r w:rsidR="008C4202">
        <w:rPr>
          <w:b/>
          <w:color w:val="0070C0"/>
          <w:sz w:val="24"/>
          <w:szCs w:val="24"/>
        </w:rPr>
        <w:t xml:space="preserve"> is the area in which STP </w:t>
      </w:r>
      <w:r w:rsidR="007D4739">
        <w:rPr>
          <w:b/>
          <w:color w:val="0070C0"/>
          <w:sz w:val="24"/>
          <w:szCs w:val="24"/>
        </w:rPr>
        <w:t xml:space="preserve">had advanced the most, but </w:t>
      </w:r>
      <w:r w:rsidR="00AF3364">
        <w:rPr>
          <w:b/>
          <w:color w:val="0070C0"/>
          <w:sz w:val="24"/>
          <w:szCs w:val="24"/>
        </w:rPr>
        <w:t>there are quick wins to be made on information availability and expedited processes.</w:t>
      </w:r>
    </w:p>
    <w:p w14:paraId="16D782A5" w14:textId="1CD1F92F" w:rsidR="00B00377" w:rsidRPr="00FA24C7" w:rsidRDefault="00DD12E4" w:rsidP="003019B4">
      <w:pPr>
        <w:pStyle w:val="ListParagraph"/>
        <w:numPr>
          <w:ilvl w:val="0"/>
          <w:numId w:val="3"/>
        </w:numPr>
        <w:autoSpaceDE w:val="0"/>
        <w:autoSpaceDN w:val="0"/>
        <w:adjustRightInd w:val="0"/>
        <w:spacing w:after="120" w:line="276" w:lineRule="auto"/>
        <w:ind w:left="0" w:firstLine="0"/>
        <w:contextualSpacing w:val="0"/>
        <w:jc w:val="both"/>
        <w:rPr>
          <w:rFonts w:cstheme="minorHAnsi"/>
          <w:b/>
        </w:rPr>
      </w:pPr>
      <w:r>
        <w:rPr>
          <w:rFonts w:cstheme="minorHAnsi"/>
          <w:b/>
        </w:rPr>
        <w:t>São Tomé and Príncipe</w:t>
      </w:r>
      <w:r w:rsidRPr="00594731">
        <w:rPr>
          <w:rFonts w:cstheme="minorHAnsi"/>
          <w:b/>
        </w:rPr>
        <w:t xml:space="preserve"> has consistently implemented improvements in trade facilitation. </w:t>
      </w:r>
      <w:r>
        <w:rPr>
          <w:rFonts w:cstheme="minorHAnsi"/>
        </w:rPr>
        <w:t>Simple</w:t>
      </w:r>
      <w:r w:rsidR="0066480F">
        <w:rPr>
          <w:rFonts w:cstheme="minorHAnsi"/>
        </w:rPr>
        <w:t xml:space="preserve"> and </w:t>
      </w:r>
      <w:r>
        <w:rPr>
          <w:rFonts w:cstheme="minorHAnsi"/>
        </w:rPr>
        <w:t>fast import</w:t>
      </w:r>
      <w:r w:rsidR="0066480F">
        <w:rPr>
          <w:rFonts w:cstheme="minorHAnsi"/>
        </w:rPr>
        <w:t xml:space="preserve"> and</w:t>
      </w:r>
      <w:r w:rsidR="00D014C2">
        <w:rPr>
          <w:rFonts w:cstheme="minorHAnsi"/>
        </w:rPr>
        <w:t xml:space="preserve"> </w:t>
      </w:r>
      <w:r>
        <w:rPr>
          <w:rFonts w:cstheme="minorHAnsi"/>
        </w:rPr>
        <w:t>export procedures are critical for a small open economy like São Tomé and Príncipe, which relies on imports to satisfy a large share of consumption needs. T</w:t>
      </w:r>
      <w:r w:rsidRPr="00594731">
        <w:rPr>
          <w:rFonts w:cstheme="minorHAnsi"/>
        </w:rPr>
        <w:t>he introduction of the electronic customs platform ASYCUDA World started in 2011 and served as the basis to a series of improvements that led to a fully functional electronic single window (ESW) for trade that consolidates all international trade transactions. With support from donors, including the World Bank Group, the ESW now includes 10 government agencies, customs agents, and banks.</w:t>
      </w:r>
      <w:r>
        <w:rPr>
          <w:rStyle w:val="FootnoteReference"/>
          <w:rFonts w:cstheme="minorHAnsi"/>
        </w:rPr>
        <w:footnoteReference w:id="17"/>
      </w:r>
      <w:r w:rsidRPr="00594731">
        <w:rPr>
          <w:rFonts w:cstheme="minorHAnsi"/>
        </w:rPr>
        <w:t xml:space="preserve"> </w:t>
      </w:r>
      <w:r>
        <w:rPr>
          <w:rFonts w:cstheme="minorHAnsi"/>
        </w:rPr>
        <w:t>I</w:t>
      </w:r>
      <w:r w:rsidRPr="00594731">
        <w:rPr>
          <w:rFonts w:cstheme="minorHAnsi"/>
        </w:rPr>
        <w:t>n the process</w:t>
      </w:r>
      <w:r>
        <w:rPr>
          <w:rFonts w:cstheme="minorHAnsi"/>
        </w:rPr>
        <w:t xml:space="preserve"> of introducing the ESW</w:t>
      </w:r>
      <w:r w:rsidRPr="00594731">
        <w:rPr>
          <w:rFonts w:cstheme="minorHAnsi"/>
        </w:rPr>
        <w:t xml:space="preserve">, </w:t>
      </w:r>
      <w:r>
        <w:rPr>
          <w:rFonts w:cstheme="minorHAnsi"/>
        </w:rPr>
        <w:t>São Tomé and Príncipe</w:t>
      </w:r>
      <w:r w:rsidRPr="00594731">
        <w:rPr>
          <w:rFonts w:cstheme="minorHAnsi"/>
        </w:rPr>
        <w:t xml:space="preserve"> developed a clear set of regulations that clearly define</w:t>
      </w:r>
      <w:r w:rsidR="00D602BB">
        <w:rPr>
          <w:rFonts w:cstheme="minorHAnsi"/>
        </w:rPr>
        <w:t>s</w:t>
      </w:r>
      <w:r w:rsidRPr="00594731">
        <w:rPr>
          <w:rFonts w:cstheme="minorHAnsi"/>
        </w:rPr>
        <w:t xml:space="preserve"> the roles and responsibilities between all the entities involved in international trade. </w:t>
      </w:r>
      <w:r>
        <w:rPr>
          <w:rFonts w:cstheme="minorHAnsi"/>
        </w:rPr>
        <w:t>It introduced a risk management system,</w:t>
      </w:r>
      <w:r>
        <w:rPr>
          <w:rStyle w:val="FootnoteReference"/>
          <w:rFonts w:cstheme="minorHAnsi"/>
        </w:rPr>
        <w:footnoteReference w:id="18"/>
      </w:r>
      <w:r w:rsidRPr="00594731">
        <w:rPr>
          <w:rFonts w:cstheme="minorHAnsi"/>
        </w:rPr>
        <w:t xml:space="preserve"> streamlined procedures (for example</w:t>
      </w:r>
      <w:r w:rsidR="00A751DF">
        <w:rPr>
          <w:rFonts w:cstheme="minorHAnsi"/>
        </w:rPr>
        <w:t>,</w:t>
      </w:r>
      <w:r w:rsidRPr="00594731">
        <w:rPr>
          <w:rFonts w:cstheme="minorHAnsi"/>
        </w:rPr>
        <w:t xml:space="preserve"> eliminating the requirements of the port exit note and tax certificate), eliminated paper (all documents must be submitted electronically) and introduced a single online payment for all fees.  </w:t>
      </w:r>
    </w:p>
    <w:p w14:paraId="45123C35" w14:textId="09A8B1EE" w:rsidR="00BE6411" w:rsidRPr="00FA24C7" w:rsidRDefault="00DD12E4" w:rsidP="003019B4">
      <w:pPr>
        <w:pStyle w:val="ListParagraph"/>
        <w:numPr>
          <w:ilvl w:val="0"/>
          <w:numId w:val="3"/>
        </w:numPr>
        <w:autoSpaceDE w:val="0"/>
        <w:autoSpaceDN w:val="0"/>
        <w:adjustRightInd w:val="0"/>
        <w:spacing w:after="120" w:line="276" w:lineRule="auto"/>
        <w:ind w:left="0" w:firstLine="0"/>
        <w:contextualSpacing w:val="0"/>
        <w:jc w:val="both"/>
        <w:rPr>
          <w:rFonts w:cstheme="minorHAnsi"/>
          <w:b/>
        </w:rPr>
      </w:pPr>
      <w:r w:rsidRPr="00D870F4">
        <w:rPr>
          <w:rFonts w:cstheme="minorHAnsi"/>
          <w:b/>
        </w:rPr>
        <w:t>These improvements reduced the time to import and export</w:t>
      </w:r>
      <w:r>
        <w:rPr>
          <w:rFonts w:cstheme="minorHAnsi"/>
          <w:b/>
        </w:rPr>
        <w:t xml:space="preserve">. </w:t>
      </w:r>
      <w:r w:rsidR="00267183" w:rsidRPr="00FB62AE">
        <w:rPr>
          <w:rFonts w:cstheme="minorHAnsi"/>
        </w:rPr>
        <w:t xml:space="preserve">The time to comply with border </w:t>
      </w:r>
      <w:r w:rsidR="00267183">
        <w:rPr>
          <w:rFonts w:cstheme="minorHAnsi"/>
        </w:rPr>
        <w:t>regulations</w:t>
      </w:r>
      <w:r w:rsidR="00267183" w:rsidRPr="00FB62AE">
        <w:rPr>
          <w:rFonts w:cstheme="minorHAnsi"/>
        </w:rPr>
        <w:t xml:space="preserve"> dropped for </w:t>
      </w:r>
      <w:r w:rsidR="00267183" w:rsidRPr="00267183">
        <w:rPr>
          <w:rFonts w:cstheme="minorHAnsi"/>
        </w:rPr>
        <w:t>import and export between 2014 and 2018—from 115 hours to 83 for export and from 163 to 150 to import.</w:t>
      </w:r>
      <w:r w:rsidR="00267183">
        <w:rPr>
          <w:rFonts w:cstheme="minorHAnsi"/>
          <w:b/>
        </w:rPr>
        <w:t xml:space="preserve"> </w:t>
      </w:r>
      <w:r w:rsidR="00D602BB">
        <w:rPr>
          <w:rFonts w:cstheme="minorHAnsi"/>
        </w:rPr>
        <w:t>This</w:t>
      </w:r>
      <w:r w:rsidR="00F80E06">
        <w:rPr>
          <w:rFonts w:cstheme="minorHAnsi"/>
        </w:rPr>
        <w:t xml:space="preserve"> has allowed </w:t>
      </w:r>
      <w:r w:rsidR="002A58D4">
        <w:rPr>
          <w:rFonts w:cstheme="minorHAnsi"/>
        </w:rPr>
        <w:t>the</w:t>
      </w:r>
      <w:r w:rsidR="002A58D4" w:rsidRPr="00267183">
        <w:rPr>
          <w:rFonts w:cstheme="minorHAnsi"/>
        </w:rPr>
        <w:t xml:space="preserve"> country </w:t>
      </w:r>
      <w:r w:rsidR="002A58D4">
        <w:rPr>
          <w:rFonts w:cstheme="minorHAnsi"/>
        </w:rPr>
        <w:t>to</w:t>
      </w:r>
      <w:r w:rsidR="002A58D4" w:rsidRPr="00267183">
        <w:rPr>
          <w:rFonts w:cstheme="minorHAnsi"/>
        </w:rPr>
        <w:t xml:space="preserve"> consistently close the gap with the best performing countries in this area</w:t>
      </w:r>
      <w:r w:rsidR="002A58D4">
        <w:rPr>
          <w:rFonts w:cstheme="minorHAnsi"/>
        </w:rPr>
        <w:t xml:space="preserve">, </w:t>
      </w:r>
      <w:r w:rsidR="00267183">
        <w:rPr>
          <w:rFonts w:cstheme="minorHAnsi"/>
        </w:rPr>
        <w:t>However,</w:t>
      </w:r>
      <w:r w:rsidR="00267183" w:rsidRPr="00267183">
        <w:rPr>
          <w:rFonts w:cstheme="minorHAnsi"/>
        </w:rPr>
        <w:t xml:space="preserve"> it continues to </w:t>
      </w:r>
      <w:r w:rsidR="00DE27C2">
        <w:rPr>
          <w:rFonts w:cstheme="minorHAnsi"/>
        </w:rPr>
        <w:t>lag</w:t>
      </w:r>
      <w:r w:rsidR="00DE27C2" w:rsidRPr="00267183">
        <w:rPr>
          <w:rFonts w:cstheme="minorHAnsi"/>
        </w:rPr>
        <w:t xml:space="preserve"> </w:t>
      </w:r>
      <w:r w:rsidR="00267183" w:rsidRPr="00267183">
        <w:rPr>
          <w:rFonts w:cstheme="minorHAnsi"/>
        </w:rPr>
        <w:t xml:space="preserve">comparator countries (Figure 9). </w:t>
      </w:r>
      <w:r w:rsidR="00B00377" w:rsidRPr="00267183">
        <w:rPr>
          <w:rFonts w:cstheme="minorHAnsi"/>
        </w:rPr>
        <w:t xml:space="preserve">São Tomé and Príncipe </w:t>
      </w:r>
      <w:r w:rsidR="00613EA5" w:rsidRPr="00267183">
        <w:rPr>
          <w:rFonts w:cstheme="minorHAnsi"/>
        </w:rPr>
        <w:t>currently ranks 122 of 190 economies in the Doing Business ease of tradin</w:t>
      </w:r>
      <w:r w:rsidR="00267183">
        <w:rPr>
          <w:rFonts w:cstheme="minorHAnsi"/>
        </w:rPr>
        <w:t>g across borders classification</w:t>
      </w:r>
      <w:r w:rsidR="00613EA5" w:rsidRPr="00267183">
        <w:rPr>
          <w:rFonts w:cstheme="minorHAnsi"/>
        </w:rPr>
        <w:t>.</w:t>
      </w:r>
      <w:r w:rsidR="00613EA5">
        <w:rPr>
          <w:rStyle w:val="FootnoteReference"/>
          <w:rFonts w:cstheme="minorHAnsi"/>
        </w:rPr>
        <w:footnoteReference w:id="19"/>
      </w:r>
      <w:r w:rsidR="00613EA5" w:rsidRPr="00267183">
        <w:rPr>
          <w:rFonts w:cstheme="minorHAnsi"/>
        </w:rPr>
        <w:t xml:space="preserve"> </w:t>
      </w:r>
      <w:r w:rsidRPr="00267183">
        <w:rPr>
          <w:rFonts w:cstheme="minorHAnsi"/>
        </w:rPr>
        <w:t xml:space="preserve">São Tomé and Príncipe’s </w:t>
      </w:r>
      <w:r w:rsidR="00267183">
        <w:rPr>
          <w:rFonts w:cstheme="minorHAnsi"/>
        </w:rPr>
        <w:t xml:space="preserve">has also improved its </w:t>
      </w:r>
      <w:r w:rsidRPr="00267183">
        <w:rPr>
          <w:rFonts w:cstheme="minorHAnsi"/>
        </w:rPr>
        <w:t xml:space="preserve">classification in the Logistics Performance Index, especially in the customs dimension, where the country’s improved from 120 (out of 160 countries) to 57 (Figure 10). </w:t>
      </w:r>
    </w:p>
    <w:p w14:paraId="52EF40DF" w14:textId="133CCDA4" w:rsidR="00DD12E4" w:rsidRPr="0064762F" w:rsidRDefault="003817B3" w:rsidP="003019B4">
      <w:pPr>
        <w:pStyle w:val="ListParagraph"/>
        <w:numPr>
          <w:ilvl w:val="0"/>
          <w:numId w:val="3"/>
        </w:numPr>
        <w:autoSpaceDE w:val="0"/>
        <w:autoSpaceDN w:val="0"/>
        <w:adjustRightInd w:val="0"/>
        <w:spacing w:after="120" w:line="276" w:lineRule="auto"/>
        <w:ind w:left="0" w:firstLine="0"/>
        <w:contextualSpacing w:val="0"/>
        <w:jc w:val="both"/>
        <w:rPr>
          <w:rFonts w:cstheme="minorHAnsi"/>
        </w:rPr>
      </w:pPr>
      <w:r>
        <w:rPr>
          <w:rFonts w:cstheme="minorHAnsi"/>
          <w:b/>
        </w:rPr>
        <w:t>However, there are still o</w:t>
      </w:r>
      <w:r w:rsidR="00DD12E4" w:rsidRPr="00C14D40">
        <w:rPr>
          <w:rFonts w:cstheme="minorHAnsi"/>
          <w:b/>
        </w:rPr>
        <w:t xml:space="preserve">pportunities to improve trade facilitation, especially </w:t>
      </w:r>
      <w:r w:rsidR="00267183">
        <w:rPr>
          <w:rFonts w:cstheme="minorHAnsi"/>
          <w:b/>
        </w:rPr>
        <w:t xml:space="preserve">in </w:t>
      </w:r>
      <w:r w:rsidR="00DD12E4" w:rsidRPr="00C14D40">
        <w:rPr>
          <w:rFonts w:cstheme="minorHAnsi"/>
          <w:b/>
        </w:rPr>
        <w:t xml:space="preserve">making information available and introducing expedited procedures. </w:t>
      </w:r>
      <w:r w:rsidR="00DD12E4" w:rsidRPr="00C14D40">
        <w:rPr>
          <w:rFonts w:cstheme="minorHAnsi"/>
        </w:rPr>
        <w:t xml:space="preserve">Non-tariff barriers </w:t>
      </w:r>
      <w:r w:rsidR="00267183">
        <w:rPr>
          <w:rFonts w:cstheme="minorHAnsi"/>
        </w:rPr>
        <w:t>are generally low</w:t>
      </w:r>
      <w:r w:rsidR="00DD12E4" w:rsidRPr="00C14D40">
        <w:rPr>
          <w:rFonts w:cstheme="minorHAnsi"/>
        </w:rPr>
        <w:t xml:space="preserve"> in </w:t>
      </w:r>
      <w:r w:rsidR="00DD12E4">
        <w:rPr>
          <w:rFonts w:cstheme="minorHAnsi"/>
        </w:rPr>
        <w:t>São Tomé and Príncipe</w:t>
      </w:r>
      <w:r w:rsidR="00DD12E4" w:rsidRPr="00C14D40">
        <w:rPr>
          <w:rFonts w:cstheme="minorHAnsi"/>
        </w:rPr>
        <w:t xml:space="preserve"> (no quotas or other economically motivated import restrictions exist).</w:t>
      </w:r>
      <w:r w:rsidR="00DD12E4">
        <w:rPr>
          <w:rStyle w:val="FootnoteReference"/>
          <w:rFonts w:cstheme="minorHAnsi"/>
        </w:rPr>
        <w:footnoteReference w:id="20"/>
      </w:r>
      <w:r w:rsidR="00DD12E4" w:rsidRPr="00C14D40">
        <w:rPr>
          <w:rFonts w:cstheme="minorHAnsi"/>
        </w:rPr>
        <w:t xml:space="preserve"> Despite the improvements in trade-related procedures, there is need to improve access to information about </w:t>
      </w:r>
      <w:r w:rsidR="00DD12E4" w:rsidRPr="00C14D40">
        <w:rPr>
          <w:rFonts w:cstheme="minorHAnsi"/>
        </w:rPr>
        <w:lastRenderedPageBreak/>
        <w:t xml:space="preserve">regulations and procedures by customs and control agencies. Currently, these entities have </w:t>
      </w:r>
      <w:r w:rsidR="00241DE5">
        <w:rPr>
          <w:rFonts w:cstheme="minorHAnsi"/>
        </w:rPr>
        <w:t xml:space="preserve">limited to </w:t>
      </w:r>
      <w:r w:rsidR="00DD12E4" w:rsidRPr="00C14D40">
        <w:rPr>
          <w:rFonts w:cstheme="minorHAnsi"/>
        </w:rPr>
        <w:t xml:space="preserve">none online presence </w:t>
      </w:r>
      <w:r w:rsidR="00241DE5">
        <w:rPr>
          <w:rFonts w:cstheme="minorHAnsi"/>
        </w:rPr>
        <w:t>and</w:t>
      </w:r>
      <w:r w:rsidR="00DD12E4" w:rsidRPr="00C14D40">
        <w:rPr>
          <w:rFonts w:cstheme="minorHAnsi"/>
        </w:rPr>
        <w:t xml:space="preserve"> detailed information is not easily accessible to users. </w:t>
      </w:r>
      <w:r w:rsidR="00267183">
        <w:rPr>
          <w:rFonts w:cstheme="minorHAnsi"/>
        </w:rPr>
        <w:t>Moreover, a</w:t>
      </w:r>
      <w:r w:rsidR="00DD12E4" w:rsidRPr="00C14D40">
        <w:rPr>
          <w:rFonts w:cstheme="minorHAnsi"/>
        </w:rPr>
        <w:t xml:space="preserve"> single point of enquiry or help desk to address questions regarding import/export procedures</w:t>
      </w:r>
      <w:r w:rsidR="00267183">
        <w:rPr>
          <w:rFonts w:cstheme="minorHAnsi"/>
        </w:rPr>
        <w:t xml:space="preserve"> could be introduced</w:t>
      </w:r>
      <w:r w:rsidR="00DD12E4" w:rsidRPr="00C14D40">
        <w:rPr>
          <w:rFonts w:cstheme="minorHAnsi"/>
        </w:rPr>
        <w:t>. The Customs Code is silent about issuing rules of origin for exports</w:t>
      </w:r>
      <w:r w:rsidR="00267183">
        <w:rPr>
          <w:rFonts w:cstheme="minorHAnsi"/>
        </w:rPr>
        <w:t xml:space="preserve"> and these should be clarified</w:t>
      </w:r>
      <w:r w:rsidR="00DD12E4" w:rsidRPr="00C14D40">
        <w:rPr>
          <w:rFonts w:cstheme="minorHAnsi"/>
        </w:rPr>
        <w:t xml:space="preserve">. In addition, provisions to establish an authorized operator program with expedited control procedures have not yet been implemented. Finally, there are no provisions to authorize the </w:t>
      </w:r>
      <w:r w:rsidR="00267183">
        <w:rPr>
          <w:rFonts w:cstheme="minorHAnsi"/>
        </w:rPr>
        <w:t>expedited</w:t>
      </w:r>
      <w:r w:rsidR="00DD12E4" w:rsidRPr="00C14D40">
        <w:rPr>
          <w:rFonts w:cstheme="minorHAnsi"/>
        </w:rPr>
        <w:t xml:space="preserve"> release of express consignments or air cargo. </w:t>
      </w:r>
      <w:r w:rsidR="00DD12E4">
        <w:rPr>
          <w:rFonts w:cstheme="minorHAnsi"/>
        </w:rPr>
        <w:t>Yet, these are no binding constrains to export diversification, compared to air connectivity (there is no air express cargo service and TAP suspended cargo services in July 2018 on grounds of security issues at the S</w:t>
      </w:r>
      <w:r w:rsidR="007544C1">
        <w:rPr>
          <w:rFonts w:cstheme="minorHAnsi"/>
        </w:rPr>
        <w:t>ã</w:t>
      </w:r>
      <w:r w:rsidR="00DD12E4">
        <w:rPr>
          <w:rFonts w:cstheme="minorHAnsi"/>
        </w:rPr>
        <w:t>o Tom</w:t>
      </w:r>
      <w:r w:rsidR="007544C1">
        <w:rPr>
          <w:rFonts w:cstheme="minorHAnsi"/>
        </w:rPr>
        <w:t>é</w:t>
      </w:r>
      <w:r w:rsidR="00DD12E4">
        <w:rPr>
          <w:rFonts w:cstheme="minorHAnsi"/>
        </w:rPr>
        <w:t xml:space="preserve"> airport).</w:t>
      </w:r>
      <w:r w:rsidR="004979C3">
        <w:rPr>
          <w:rFonts w:cstheme="minorHAnsi"/>
        </w:rPr>
        <w:t xml:space="preserve"> </w:t>
      </w:r>
      <w:r w:rsidR="004979C3" w:rsidRPr="0064762F">
        <w:rPr>
          <w:rFonts w:cstheme="minorHAnsi"/>
        </w:rPr>
        <w:t xml:space="preserve">As discussed in </w:t>
      </w:r>
      <w:r w:rsidRPr="0064762F">
        <w:rPr>
          <w:rFonts w:cstheme="minorHAnsi"/>
        </w:rPr>
        <w:t>Background note 6</w:t>
      </w:r>
      <w:r w:rsidR="004979C3" w:rsidRPr="0064762F">
        <w:rPr>
          <w:rFonts w:cstheme="minorHAnsi"/>
        </w:rPr>
        <w:t>, air connectivity should be a priority.</w:t>
      </w:r>
    </w:p>
    <w:tbl>
      <w:tblPr>
        <w:tblStyle w:val="TableGrid"/>
        <w:tblW w:w="9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7B3836" w:rsidRPr="00E6559F" w14:paraId="31F59FF5" w14:textId="77777777" w:rsidTr="0096150F">
        <w:tc>
          <w:tcPr>
            <w:tcW w:w="4788" w:type="dxa"/>
          </w:tcPr>
          <w:p w14:paraId="4BDB90D4" w14:textId="51C029EA" w:rsidR="007B3836" w:rsidRPr="007B3836" w:rsidRDefault="007B3836" w:rsidP="007B3836">
            <w:pPr>
              <w:pStyle w:val="Caption"/>
              <w:keepNext/>
              <w:spacing w:after="120" w:line="276" w:lineRule="auto"/>
              <w:rPr>
                <w:sz w:val="20"/>
                <w:szCs w:val="20"/>
              </w:rPr>
            </w:pPr>
            <w:r w:rsidRPr="007B3836">
              <w:rPr>
                <w:color w:val="auto"/>
                <w:sz w:val="20"/>
                <w:szCs w:val="20"/>
              </w:rPr>
              <w:t xml:space="preserve">Figure </w:t>
            </w:r>
            <w:r w:rsidRPr="007B3836">
              <w:rPr>
                <w:color w:val="auto"/>
                <w:sz w:val="20"/>
                <w:szCs w:val="20"/>
              </w:rPr>
              <w:fldChar w:fldCharType="begin"/>
            </w:r>
            <w:r w:rsidRPr="007B3836">
              <w:rPr>
                <w:color w:val="auto"/>
                <w:sz w:val="20"/>
                <w:szCs w:val="20"/>
              </w:rPr>
              <w:instrText xml:space="preserve"> SEQ Figure \* ARABIC </w:instrText>
            </w:r>
            <w:r w:rsidRPr="007B3836">
              <w:rPr>
                <w:color w:val="auto"/>
                <w:sz w:val="20"/>
                <w:szCs w:val="20"/>
              </w:rPr>
              <w:fldChar w:fldCharType="separate"/>
            </w:r>
            <w:r w:rsidR="00B4077B">
              <w:rPr>
                <w:noProof/>
                <w:color w:val="auto"/>
                <w:sz w:val="20"/>
                <w:szCs w:val="20"/>
              </w:rPr>
              <w:t>11</w:t>
            </w:r>
            <w:r w:rsidRPr="007B3836">
              <w:rPr>
                <w:color w:val="auto"/>
                <w:sz w:val="20"/>
                <w:szCs w:val="20"/>
              </w:rPr>
              <w:fldChar w:fldCharType="end"/>
            </w:r>
            <w:r w:rsidRPr="007B3836">
              <w:rPr>
                <w:color w:val="auto"/>
                <w:sz w:val="20"/>
                <w:szCs w:val="20"/>
              </w:rPr>
              <w:t xml:space="preserve"> – Time and cost to import and export </w:t>
            </w:r>
            <w:r w:rsidRPr="007B3836">
              <w:rPr>
                <w:b w:val="0"/>
                <w:color w:val="auto"/>
                <w:sz w:val="20"/>
                <w:szCs w:val="20"/>
              </w:rPr>
              <w:t>(hours)</w:t>
            </w:r>
          </w:p>
        </w:tc>
        <w:tc>
          <w:tcPr>
            <w:tcW w:w="4788" w:type="dxa"/>
          </w:tcPr>
          <w:p w14:paraId="414FEAF5" w14:textId="5BAD9C97" w:rsidR="007B3836" w:rsidRPr="007B3836" w:rsidRDefault="007B3836" w:rsidP="007B3836">
            <w:pPr>
              <w:pStyle w:val="Caption"/>
              <w:keepNext/>
              <w:spacing w:after="120" w:line="276" w:lineRule="auto"/>
              <w:jc w:val="both"/>
              <w:rPr>
                <w:b w:val="0"/>
                <w:sz w:val="20"/>
                <w:szCs w:val="20"/>
              </w:rPr>
            </w:pPr>
            <w:r w:rsidRPr="007B3836">
              <w:rPr>
                <w:color w:val="auto"/>
                <w:sz w:val="20"/>
                <w:szCs w:val="20"/>
              </w:rPr>
              <w:t xml:space="preserve">Figure </w:t>
            </w:r>
            <w:r w:rsidRPr="007B3836">
              <w:rPr>
                <w:color w:val="auto"/>
                <w:sz w:val="20"/>
                <w:szCs w:val="20"/>
              </w:rPr>
              <w:fldChar w:fldCharType="begin"/>
            </w:r>
            <w:r w:rsidRPr="007B3836">
              <w:rPr>
                <w:color w:val="auto"/>
                <w:sz w:val="20"/>
                <w:szCs w:val="20"/>
              </w:rPr>
              <w:instrText xml:space="preserve"> SEQ Figure \* ARABIC </w:instrText>
            </w:r>
            <w:r w:rsidRPr="007B3836">
              <w:rPr>
                <w:color w:val="auto"/>
                <w:sz w:val="20"/>
                <w:szCs w:val="20"/>
              </w:rPr>
              <w:fldChar w:fldCharType="separate"/>
            </w:r>
            <w:r w:rsidR="00B4077B">
              <w:rPr>
                <w:noProof/>
                <w:color w:val="auto"/>
                <w:sz w:val="20"/>
                <w:szCs w:val="20"/>
              </w:rPr>
              <w:t>12</w:t>
            </w:r>
            <w:r w:rsidRPr="007B3836">
              <w:rPr>
                <w:color w:val="auto"/>
                <w:sz w:val="20"/>
                <w:szCs w:val="20"/>
              </w:rPr>
              <w:fldChar w:fldCharType="end"/>
            </w:r>
            <w:r w:rsidRPr="007B3836">
              <w:rPr>
                <w:color w:val="auto"/>
                <w:sz w:val="20"/>
                <w:szCs w:val="20"/>
              </w:rPr>
              <w:t xml:space="preserve"> – Logistics Performance Index</w:t>
            </w:r>
          </w:p>
        </w:tc>
      </w:tr>
      <w:tr w:rsidR="00DD12E4" w:rsidRPr="00E6559F" w14:paraId="1C766766" w14:textId="77777777" w:rsidTr="0096150F">
        <w:tc>
          <w:tcPr>
            <w:tcW w:w="4788" w:type="dxa"/>
            <w:vAlign w:val="center"/>
            <w:hideMark/>
          </w:tcPr>
          <w:p w14:paraId="76445752" w14:textId="38AD806B" w:rsidR="00DD12E4" w:rsidRPr="009038B3" w:rsidRDefault="0096150F" w:rsidP="0096150F">
            <w:pPr>
              <w:spacing w:after="120" w:line="276" w:lineRule="auto"/>
              <w:jc w:val="center"/>
            </w:pPr>
            <w:r w:rsidRPr="0096150F">
              <w:rPr>
                <w:noProof/>
              </w:rPr>
              <w:drawing>
                <wp:inline distT="0" distB="0" distL="0" distR="0" wp14:anchorId="1A1A17D8" wp14:editId="0A1D1E58">
                  <wp:extent cx="2947926" cy="1765140"/>
                  <wp:effectExtent l="0" t="0" r="508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1392" cy="1767216"/>
                          </a:xfrm>
                          <a:prstGeom prst="rect">
                            <a:avLst/>
                          </a:prstGeom>
                          <a:noFill/>
                          <a:ln>
                            <a:noFill/>
                          </a:ln>
                        </pic:spPr>
                      </pic:pic>
                    </a:graphicData>
                  </a:graphic>
                </wp:inline>
              </w:drawing>
            </w:r>
          </w:p>
        </w:tc>
        <w:tc>
          <w:tcPr>
            <w:tcW w:w="4788" w:type="dxa"/>
            <w:vAlign w:val="center"/>
            <w:hideMark/>
          </w:tcPr>
          <w:p w14:paraId="6B1EECFC" w14:textId="74A1BFD1" w:rsidR="00DD12E4" w:rsidRPr="00E6559F" w:rsidRDefault="0096150F" w:rsidP="0096150F">
            <w:pPr>
              <w:spacing w:after="120" w:line="276" w:lineRule="auto"/>
              <w:jc w:val="center"/>
            </w:pPr>
            <w:r w:rsidRPr="0096150F">
              <w:rPr>
                <w:noProof/>
              </w:rPr>
              <w:drawing>
                <wp:inline distT="0" distB="0" distL="0" distR="0" wp14:anchorId="5D23F45B" wp14:editId="729487A2">
                  <wp:extent cx="2957591" cy="1770927"/>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9417" cy="1772020"/>
                          </a:xfrm>
                          <a:prstGeom prst="rect">
                            <a:avLst/>
                          </a:prstGeom>
                          <a:noFill/>
                          <a:ln>
                            <a:noFill/>
                          </a:ln>
                        </pic:spPr>
                      </pic:pic>
                    </a:graphicData>
                  </a:graphic>
                </wp:inline>
              </w:drawing>
            </w:r>
          </w:p>
        </w:tc>
      </w:tr>
      <w:tr w:rsidR="00DD12E4" w:rsidRPr="009038B3" w14:paraId="7036BC3B" w14:textId="77777777" w:rsidTr="0096150F">
        <w:tc>
          <w:tcPr>
            <w:tcW w:w="4788" w:type="dxa"/>
            <w:hideMark/>
          </w:tcPr>
          <w:p w14:paraId="0569849B" w14:textId="77777777" w:rsidR="00DD12E4" w:rsidRPr="009038B3" w:rsidRDefault="00DD12E4" w:rsidP="0090501E">
            <w:pPr>
              <w:spacing w:after="120" w:line="276" w:lineRule="auto"/>
              <w:jc w:val="both"/>
              <w:rPr>
                <w:sz w:val="16"/>
                <w:szCs w:val="16"/>
              </w:rPr>
            </w:pPr>
            <w:r w:rsidRPr="009038B3">
              <w:rPr>
                <w:sz w:val="16"/>
                <w:szCs w:val="16"/>
              </w:rPr>
              <w:t>Source: Doing Business database</w:t>
            </w:r>
          </w:p>
        </w:tc>
        <w:tc>
          <w:tcPr>
            <w:tcW w:w="4788" w:type="dxa"/>
            <w:hideMark/>
          </w:tcPr>
          <w:p w14:paraId="3C10EBE6" w14:textId="71E8307D" w:rsidR="00DD12E4" w:rsidRPr="009038B3" w:rsidRDefault="00DD12E4" w:rsidP="0090501E">
            <w:pPr>
              <w:spacing w:after="120" w:line="276" w:lineRule="auto"/>
              <w:jc w:val="both"/>
              <w:rPr>
                <w:sz w:val="16"/>
                <w:szCs w:val="16"/>
              </w:rPr>
            </w:pPr>
            <w:r w:rsidRPr="009038B3">
              <w:rPr>
                <w:sz w:val="16"/>
                <w:szCs w:val="16"/>
              </w:rPr>
              <w:t xml:space="preserve">Source: </w:t>
            </w:r>
            <w:r w:rsidR="00294CAF">
              <w:rPr>
                <w:sz w:val="16"/>
                <w:szCs w:val="16"/>
              </w:rPr>
              <w:t>Logistics Performance Index (2018)</w:t>
            </w:r>
          </w:p>
        </w:tc>
      </w:tr>
    </w:tbl>
    <w:p w14:paraId="5975A3B8" w14:textId="7EAE79CC" w:rsidR="00531CFD" w:rsidRPr="003019B4" w:rsidRDefault="00531CFD" w:rsidP="00E22108">
      <w:pPr>
        <w:pStyle w:val="ListParagraph"/>
        <w:widowControl w:val="0"/>
        <w:numPr>
          <w:ilvl w:val="1"/>
          <w:numId w:val="8"/>
        </w:numPr>
        <w:tabs>
          <w:tab w:val="left" w:pos="720"/>
        </w:tabs>
        <w:autoSpaceDE w:val="0"/>
        <w:autoSpaceDN w:val="0"/>
        <w:adjustRightInd w:val="0"/>
        <w:spacing w:before="240" w:after="120" w:line="276" w:lineRule="auto"/>
        <w:ind w:left="432"/>
        <w:contextualSpacing w:val="0"/>
        <w:jc w:val="both"/>
        <w:rPr>
          <w:b/>
          <w:color w:val="0070C0"/>
          <w:sz w:val="24"/>
          <w:szCs w:val="24"/>
        </w:rPr>
      </w:pPr>
      <w:r w:rsidRPr="003019B4">
        <w:rPr>
          <w:b/>
          <w:color w:val="0070C0"/>
          <w:sz w:val="24"/>
          <w:szCs w:val="24"/>
        </w:rPr>
        <w:t>Contract enforcement</w:t>
      </w:r>
      <w:r w:rsidR="00C501B5">
        <w:rPr>
          <w:b/>
          <w:color w:val="0070C0"/>
          <w:sz w:val="24"/>
          <w:szCs w:val="24"/>
        </w:rPr>
        <w:t xml:space="preserve"> is the area in which STP lags the most</w:t>
      </w:r>
      <w:r w:rsidR="00F675C8">
        <w:rPr>
          <w:b/>
          <w:color w:val="0070C0"/>
          <w:sz w:val="24"/>
          <w:szCs w:val="24"/>
        </w:rPr>
        <w:t xml:space="preserve"> </w:t>
      </w:r>
      <w:proofErr w:type="gramStart"/>
      <w:r w:rsidR="00F675C8">
        <w:rPr>
          <w:b/>
          <w:color w:val="0070C0"/>
          <w:sz w:val="24"/>
          <w:szCs w:val="24"/>
        </w:rPr>
        <w:t>and also</w:t>
      </w:r>
      <w:proofErr w:type="gramEnd"/>
      <w:r w:rsidR="00F675C8">
        <w:rPr>
          <w:b/>
          <w:color w:val="0070C0"/>
          <w:sz w:val="24"/>
          <w:szCs w:val="24"/>
        </w:rPr>
        <w:t xml:space="preserve"> in which it has done few reforms</w:t>
      </w:r>
    </w:p>
    <w:p w14:paraId="61EB8860" w14:textId="3F964806" w:rsidR="007F31A9" w:rsidRPr="00FA24C7" w:rsidRDefault="00363A7A" w:rsidP="003019B4">
      <w:pPr>
        <w:pStyle w:val="ListParagraph"/>
        <w:numPr>
          <w:ilvl w:val="0"/>
          <w:numId w:val="3"/>
        </w:numPr>
        <w:autoSpaceDE w:val="0"/>
        <w:autoSpaceDN w:val="0"/>
        <w:adjustRightInd w:val="0"/>
        <w:spacing w:after="120" w:line="276" w:lineRule="auto"/>
        <w:ind w:left="0" w:firstLine="0"/>
        <w:contextualSpacing w:val="0"/>
        <w:jc w:val="both"/>
        <w:rPr>
          <w:rFonts w:cstheme="minorHAnsi"/>
        </w:rPr>
      </w:pPr>
      <w:r w:rsidRPr="006B3DF1">
        <w:rPr>
          <w:rFonts w:cstheme="minorHAnsi"/>
          <w:b/>
        </w:rPr>
        <w:t>Commercial justice in São Tomé and Príncipe is slow</w:t>
      </w:r>
      <w:r w:rsidR="007544C1">
        <w:rPr>
          <w:rFonts w:cstheme="minorHAnsi"/>
          <w:b/>
        </w:rPr>
        <w:t xml:space="preserve"> and </w:t>
      </w:r>
      <w:r w:rsidR="00F53781">
        <w:rPr>
          <w:rFonts w:cstheme="minorHAnsi"/>
          <w:b/>
        </w:rPr>
        <w:t>inefficient</w:t>
      </w:r>
      <w:r w:rsidRPr="006B3DF1">
        <w:rPr>
          <w:rFonts w:cstheme="minorHAnsi"/>
          <w:b/>
        </w:rPr>
        <w:t>.</w:t>
      </w:r>
      <w:r>
        <w:rPr>
          <w:rFonts w:cstheme="minorHAnsi"/>
        </w:rPr>
        <w:t xml:space="preserve"> </w:t>
      </w:r>
      <w:r w:rsidR="00AE0D1F" w:rsidRPr="002F5721">
        <w:rPr>
          <w:rFonts w:cstheme="minorHAnsi"/>
        </w:rPr>
        <w:t xml:space="preserve">According to </w:t>
      </w:r>
      <w:r w:rsidR="00A73A9B">
        <w:rPr>
          <w:rFonts w:cstheme="minorHAnsi"/>
        </w:rPr>
        <w:t xml:space="preserve">the </w:t>
      </w:r>
      <w:r w:rsidR="00AE0D1F" w:rsidRPr="002F5721">
        <w:rPr>
          <w:rFonts w:cstheme="minorHAnsi"/>
        </w:rPr>
        <w:t>Doing Business 2019</w:t>
      </w:r>
      <w:r w:rsidR="00A73A9B">
        <w:rPr>
          <w:rFonts w:cstheme="minorHAnsi"/>
        </w:rPr>
        <w:t xml:space="preserve"> report</w:t>
      </w:r>
      <w:r w:rsidR="00AE0D1F" w:rsidRPr="002F5721">
        <w:rPr>
          <w:rFonts w:cstheme="minorHAnsi"/>
        </w:rPr>
        <w:t xml:space="preserve">, it takes </w:t>
      </w:r>
      <w:r w:rsidR="00DD575B" w:rsidRPr="002F5721">
        <w:rPr>
          <w:rFonts w:cstheme="minorHAnsi"/>
        </w:rPr>
        <w:t>over three years to resolve a simple commercial dispute at the courts</w:t>
      </w:r>
      <w:r>
        <w:rPr>
          <w:rFonts w:cstheme="minorHAnsi"/>
        </w:rPr>
        <w:t>, and one third of that time is spent enforcing</w:t>
      </w:r>
      <w:r w:rsidR="00841083" w:rsidRPr="002F5721">
        <w:rPr>
          <w:rFonts w:cstheme="minorHAnsi"/>
        </w:rPr>
        <w:t xml:space="preserve"> the judicial decision</w:t>
      </w:r>
      <w:r w:rsidR="003D3E56">
        <w:rPr>
          <w:rFonts w:cstheme="minorHAnsi"/>
        </w:rPr>
        <w:t xml:space="preserve">. This is longer than in any of the comparator countries </w:t>
      </w:r>
      <w:r w:rsidRPr="002F5721">
        <w:rPr>
          <w:rFonts w:cstheme="minorHAnsi"/>
        </w:rPr>
        <w:t>(</w:t>
      </w:r>
      <w:r w:rsidR="007544C1">
        <w:rPr>
          <w:rFonts w:cstheme="minorHAnsi"/>
        </w:rPr>
        <w:fldChar w:fldCharType="begin"/>
      </w:r>
      <w:r w:rsidR="007544C1">
        <w:rPr>
          <w:rFonts w:cstheme="minorHAnsi"/>
        </w:rPr>
        <w:instrText xml:space="preserve"> REF _Ref536431275 \h </w:instrText>
      </w:r>
      <w:r w:rsidR="007544C1">
        <w:rPr>
          <w:rFonts w:cstheme="minorHAnsi"/>
        </w:rPr>
      </w:r>
      <w:r w:rsidR="007544C1">
        <w:rPr>
          <w:rFonts w:cstheme="minorHAnsi"/>
        </w:rPr>
        <w:fldChar w:fldCharType="separate"/>
      </w:r>
      <w:r w:rsidR="00B4077B" w:rsidRPr="00217C1F">
        <w:rPr>
          <w:sz w:val="20"/>
          <w:szCs w:val="20"/>
        </w:rPr>
        <w:t xml:space="preserve">Figure </w:t>
      </w:r>
      <w:r w:rsidR="00B4077B">
        <w:rPr>
          <w:noProof/>
          <w:sz w:val="20"/>
          <w:szCs w:val="20"/>
        </w:rPr>
        <w:t>13</w:t>
      </w:r>
      <w:r w:rsidR="007544C1">
        <w:rPr>
          <w:rFonts w:cstheme="minorHAnsi"/>
        </w:rPr>
        <w:fldChar w:fldCharType="end"/>
      </w:r>
      <w:r w:rsidRPr="002F5721">
        <w:rPr>
          <w:rFonts w:cstheme="minorHAnsi"/>
        </w:rPr>
        <w:t>)</w:t>
      </w:r>
      <w:r w:rsidR="00DD575B" w:rsidRPr="002F5721">
        <w:rPr>
          <w:rFonts w:cstheme="minorHAnsi"/>
        </w:rPr>
        <w:t xml:space="preserve">. Moreover, performance in the index of quality of judicial processes </w:t>
      </w:r>
      <w:r w:rsidR="006B3DF1">
        <w:rPr>
          <w:rFonts w:cstheme="minorHAnsi"/>
        </w:rPr>
        <w:t xml:space="preserve">also </w:t>
      </w:r>
      <w:r w:rsidR="00DD575B" w:rsidRPr="002F5721">
        <w:rPr>
          <w:rFonts w:cstheme="minorHAnsi"/>
        </w:rPr>
        <w:t xml:space="preserve">lags other </w:t>
      </w:r>
      <w:r w:rsidR="00D57550">
        <w:rPr>
          <w:rFonts w:cstheme="minorHAnsi"/>
        </w:rPr>
        <w:t>pee</w:t>
      </w:r>
      <w:r w:rsidR="00D57550" w:rsidRPr="002F5721">
        <w:rPr>
          <w:rFonts w:cstheme="minorHAnsi"/>
        </w:rPr>
        <w:t xml:space="preserve">r </w:t>
      </w:r>
      <w:r w:rsidR="00DD575B" w:rsidRPr="002F5721">
        <w:rPr>
          <w:rFonts w:cstheme="minorHAnsi"/>
        </w:rPr>
        <w:t>countries (</w:t>
      </w:r>
      <w:r w:rsidR="007544C1">
        <w:rPr>
          <w:rFonts w:cstheme="minorHAnsi"/>
        </w:rPr>
        <w:fldChar w:fldCharType="begin"/>
      </w:r>
      <w:r w:rsidR="007544C1">
        <w:rPr>
          <w:rFonts w:cstheme="minorHAnsi"/>
        </w:rPr>
        <w:instrText xml:space="preserve"> REF _Ref536431312 \h </w:instrText>
      </w:r>
      <w:r w:rsidR="007544C1">
        <w:rPr>
          <w:rFonts w:cstheme="minorHAnsi"/>
        </w:rPr>
      </w:r>
      <w:r w:rsidR="007544C1">
        <w:rPr>
          <w:rFonts w:cstheme="minorHAnsi"/>
        </w:rPr>
        <w:fldChar w:fldCharType="separate"/>
      </w:r>
      <w:r w:rsidR="00B4077B" w:rsidRPr="00217C1F">
        <w:rPr>
          <w:sz w:val="20"/>
          <w:szCs w:val="20"/>
        </w:rPr>
        <w:t xml:space="preserve">Figure </w:t>
      </w:r>
      <w:r w:rsidR="00B4077B">
        <w:rPr>
          <w:noProof/>
          <w:sz w:val="20"/>
          <w:szCs w:val="20"/>
        </w:rPr>
        <w:t>14</w:t>
      </w:r>
      <w:r w:rsidR="007544C1">
        <w:rPr>
          <w:rFonts w:cstheme="minorHAnsi"/>
        </w:rPr>
        <w:fldChar w:fldCharType="end"/>
      </w:r>
      <w:r w:rsidR="00DD575B" w:rsidRPr="002F5721">
        <w:rPr>
          <w:rFonts w:cstheme="minorHAnsi"/>
        </w:rPr>
        <w:t xml:space="preserve">). </w:t>
      </w:r>
      <w:r w:rsidR="006B3DF1">
        <w:rPr>
          <w:rFonts w:cstheme="minorHAnsi"/>
        </w:rPr>
        <w:t xml:space="preserve">São Tomé obtains only 4.5 of 18 possible points in this index, which measures whether the country has adopted a series of good practices </w:t>
      </w:r>
      <w:r w:rsidR="003310B3">
        <w:rPr>
          <w:rFonts w:cstheme="minorHAnsi"/>
        </w:rPr>
        <w:t>regarding</w:t>
      </w:r>
      <w:r w:rsidR="006B3DF1" w:rsidRPr="006B3DF1">
        <w:rPr>
          <w:rFonts w:cstheme="minorHAnsi"/>
        </w:rPr>
        <w:t xml:space="preserve"> court structure and proceedings, case management, court automation</w:t>
      </w:r>
      <w:r w:rsidR="001430C1">
        <w:rPr>
          <w:rFonts w:cstheme="minorHAnsi"/>
        </w:rPr>
        <w:t>,</w:t>
      </w:r>
      <w:r w:rsidR="008A6990">
        <w:rPr>
          <w:rFonts w:cstheme="minorHAnsi"/>
        </w:rPr>
        <w:t xml:space="preserve"> </w:t>
      </w:r>
      <w:r w:rsidR="006B3DF1" w:rsidRPr="006B3DF1">
        <w:rPr>
          <w:rFonts w:cstheme="minorHAnsi"/>
        </w:rPr>
        <w:t>and alternative dispute resolution.</w:t>
      </w:r>
      <w:r w:rsidR="006B3DF1">
        <w:rPr>
          <w:rFonts w:cstheme="minorHAnsi"/>
        </w:rPr>
        <w:t xml:space="preserve"> </w:t>
      </w:r>
      <w:r w:rsidR="003310B3">
        <w:rPr>
          <w:rFonts w:cstheme="minorHAnsi"/>
        </w:rPr>
        <w:t>Ove</w:t>
      </w:r>
      <w:r w:rsidR="007F31A9">
        <w:rPr>
          <w:rFonts w:cstheme="minorHAnsi"/>
        </w:rPr>
        <w:t>rall, Sã</w:t>
      </w:r>
      <w:r w:rsidR="003310B3">
        <w:rPr>
          <w:rFonts w:cstheme="minorHAnsi"/>
        </w:rPr>
        <w:t xml:space="preserve">o </w:t>
      </w:r>
      <w:r w:rsidR="007F31A9">
        <w:rPr>
          <w:rFonts w:cstheme="minorHAnsi"/>
        </w:rPr>
        <w:t>Tomé</w:t>
      </w:r>
      <w:r w:rsidR="003310B3">
        <w:rPr>
          <w:rFonts w:cstheme="minorHAnsi"/>
        </w:rPr>
        <w:t xml:space="preserve"> and Pr</w:t>
      </w:r>
      <w:r w:rsidR="007F31A9">
        <w:rPr>
          <w:rFonts w:cstheme="minorHAnsi"/>
        </w:rPr>
        <w:t>í</w:t>
      </w:r>
      <w:r w:rsidR="003310B3">
        <w:rPr>
          <w:rFonts w:cstheme="minorHAnsi"/>
        </w:rPr>
        <w:t>ncipe ranks 133 of 190 countries on the ease of enforcing contracts in the Doing Business 2019 report.</w:t>
      </w:r>
    </w:p>
    <w:p w14:paraId="2D8C88BB" w14:textId="3FAAC5D3" w:rsidR="003310B3" w:rsidRPr="00FA24C7" w:rsidRDefault="007F31A9" w:rsidP="003019B4">
      <w:pPr>
        <w:pStyle w:val="ListParagraph"/>
        <w:numPr>
          <w:ilvl w:val="0"/>
          <w:numId w:val="3"/>
        </w:numPr>
        <w:autoSpaceDE w:val="0"/>
        <w:autoSpaceDN w:val="0"/>
        <w:adjustRightInd w:val="0"/>
        <w:spacing w:after="120" w:line="276" w:lineRule="auto"/>
        <w:ind w:left="0" w:firstLine="0"/>
        <w:contextualSpacing w:val="0"/>
        <w:jc w:val="both"/>
        <w:rPr>
          <w:rFonts w:cstheme="minorHAnsi"/>
          <w:b/>
        </w:rPr>
      </w:pPr>
      <w:r w:rsidRPr="007F31A9">
        <w:rPr>
          <w:rFonts w:cstheme="minorHAnsi"/>
          <w:b/>
        </w:rPr>
        <w:t xml:space="preserve">The resolution of commercial disputes is hampered by the deficiencies of São Tomé and Príncipe’s justice system. </w:t>
      </w:r>
      <w:r w:rsidRPr="007F31A9">
        <w:rPr>
          <w:rFonts w:cstheme="minorHAnsi"/>
        </w:rPr>
        <w:t>The Justice Reform Program 2017-2020 described the state of the justice system as a deep crisis.</w:t>
      </w:r>
      <w:r>
        <w:rPr>
          <w:rFonts w:cstheme="minorHAnsi"/>
          <w:b/>
        </w:rPr>
        <w:t xml:space="preserve"> </w:t>
      </w:r>
      <w:r w:rsidRPr="007F31A9">
        <w:rPr>
          <w:rFonts w:cstheme="minorHAnsi"/>
        </w:rPr>
        <w:t>The main challenges include: (i) slow judicial procedures due to backlogs and outdated procedural rules—</w:t>
      </w:r>
      <w:r w:rsidR="005D4D39">
        <w:rPr>
          <w:rFonts w:cstheme="minorHAnsi"/>
        </w:rPr>
        <w:t>such as the Code of Civil Procedure, dating back to 1961</w:t>
      </w:r>
      <w:r w:rsidRPr="007F31A9">
        <w:rPr>
          <w:rFonts w:cstheme="minorHAnsi"/>
        </w:rPr>
        <w:t>; (ii) constraints in human and technical resources; (iii) instances of political interference; (iv) limited access to legislation and information by judges (such as Supreme Court decisions).</w:t>
      </w:r>
      <w:r>
        <w:rPr>
          <w:rFonts w:cstheme="minorHAnsi"/>
        </w:rPr>
        <w:t xml:space="preserve"> </w:t>
      </w:r>
      <w:r w:rsidR="00C3709E" w:rsidRPr="002F5721">
        <w:rPr>
          <w:rFonts w:cstheme="minorHAnsi"/>
        </w:rPr>
        <w:t xml:space="preserve">On the positive side, judge appointments follow </w:t>
      </w:r>
      <w:r w:rsidR="004F634E">
        <w:rPr>
          <w:rFonts w:cstheme="minorHAnsi"/>
        </w:rPr>
        <w:t xml:space="preserve">largely </w:t>
      </w:r>
      <w:r w:rsidR="00C3709E" w:rsidRPr="002F5721">
        <w:rPr>
          <w:rFonts w:cstheme="minorHAnsi"/>
        </w:rPr>
        <w:t>a merit-based syste</w:t>
      </w:r>
      <w:r w:rsidR="00C3709E">
        <w:rPr>
          <w:rFonts w:cstheme="minorHAnsi"/>
        </w:rPr>
        <w:t>m and the judicial governing body (</w:t>
      </w:r>
      <w:proofErr w:type="spellStart"/>
      <w:r w:rsidR="00C3709E" w:rsidRPr="002F5721">
        <w:rPr>
          <w:rFonts w:cstheme="minorHAnsi"/>
          <w:i/>
        </w:rPr>
        <w:t>Conselho</w:t>
      </w:r>
      <w:proofErr w:type="spellEnd"/>
      <w:r w:rsidR="00C3709E" w:rsidRPr="002F5721">
        <w:rPr>
          <w:rFonts w:cstheme="minorHAnsi"/>
          <w:i/>
        </w:rPr>
        <w:t xml:space="preserve"> Superior da </w:t>
      </w:r>
      <w:proofErr w:type="spellStart"/>
      <w:r w:rsidR="00C3709E" w:rsidRPr="002F5721">
        <w:rPr>
          <w:rFonts w:cstheme="minorHAnsi"/>
          <w:i/>
        </w:rPr>
        <w:t>Magistrados</w:t>
      </w:r>
      <w:proofErr w:type="spellEnd"/>
      <w:r w:rsidR="00C3709E" w:rsidRPr="002F5721">
        <w:rPr>
          <w:rFonts w:cstheme="minorHAnsi"/>
          <w:i/>
        </w:rPr>
        <w:t xml:space="preserve"> </w:t>
      </w:r>
      <w:proofErr w:type="spellStart"/>
      <w:r w:rsidR="00C3709E" w:rsidRPr="002F5721">
        <w:rPr>
          <w:rFonts w:cstheme="minorHAnsi"/>
          <w:i/>
        </w:rPr>
        <w:t>Judiciais</w:t>
      </w:r>
      <w:proofErr w:type="spellEnd"/>
      <w:r w:rsidR="00C3709E">
        <w:rPr>
          <w:rFonts w:cstheme="minorHAnsi"/>
        </w:rPr>
        <w:t xml:space="preserve">) is appointing judges specialized in commercial disputes, which can </w:t>
      </w:r>
      <w:r w:rsidR="007544C1">
        <w:rPr>
          <w:rFonts w:cstheme="minorHAnsi"/>
        </w:rPr>
        <w:t>lead</w:t>
      </w:r>
      <w:r w:rsidR="00C3709E">
        <w:rPr>
          <w:rFonts w:cstheme="minorHAnsi"/>
        </w:rPr>
        <w:t xml:space="preserve"> to a more efficient resolution of </w:t>
      </w:r>
      <w:r w:rsidR="00C3709E">
        <w:rPr>
          <w:rFonts w:cstheme="minorHAnsi"/>
        </w:rPr>
        <w:lastRenderedPageBreak/>
        <w:t xml:space="preserve">such cases.  </w:t>
      </w:r>
      <w:r w:rsidR="00AF7BE3">
        <w:rPr>
          <w:rFonts w:cstheme="minorHAnsi"/>
        </w:rPr>
        <w:t xml:space="preserve">Despite political consensus about the need for justice reform, controversy arose about specific aspects, such as the appointment of judges, during the </w:t>
      </w:r>
      <w:r w:rsidR="00C3709E">
        <w:rPr>
          <w:rFonts w:cstheme="minorHAnsi"/>
        </w:rPr>
        <w:t>previous</w:t>
      </w:r>
      <w:r w:rsidR="00AF7BE3">
        <w:rPr>
          <w:rFonts w:cstheme="minorHAnsi"/>
        </w:rPr>
        <w:t xml:space="preserve"> legislature.</w:t>
      </w:r>
      <w:r w:rsidR="00AF7BE3" w:rsidRPr="00AF7BE3">
        <w:rPr>
          <w:rFonts w:cstheme="minorHAnsi"/>
        </w:rPr>
        <w:t xml:space="preserve">  </w:t>
      </w:r>
    </w:p>
    <w:p w14:paraId="0D793A14" w14:textId="1B195E24" w:rsidR="005D4D39" w:rsidRPr="006B3DF1" w:rsidRDefault="00AF7BE3" w:rsidP="003019B4">
      <w:pPr>
        <w:pStyle w:val="ListParagraph"/>
        <w:numPr>
          <w:ilvl w:val="0"/>
          <w:numId w:val="3"/>
        </w:numPr>
        <w:autoSpaceDE w:val="0"/>
        <w:autoSpaceDN w:val="0"/>
        <w:adjustRightInd w:val="0"/>
        <w:spacing w:after="120" w:line="276" w:lineRule="auto"/>
        <w:ind w:left="0" w:firstLine="0"/>
        <w:contextualSpacing w:val="0"/>
        <w:jc w:val="both"/>
      </w:pPr>
      <w:r w:rsidRPr="00296306">
        <w:rPr>
          <w:rFonts w:cstheme="minorHAnsi"/>
          <w:b/>
        </w:rPr>
        <w:t>Recent legal reforms have reduced court fees and introduce</w:t>
      </w:r>
      <w:r w:rsidR="007544C1">
        <w:rPr>
          <w:rFonts w:cstheme="minorHAnsi"/>
          <w:b/>
        </w:rPr>
        <w:t>d</w:t>
      </w:r>
      <w:r w:rsidRPr="00296306">
        <w:rPr>
          <w:rFonts w:cstheme="minorHAnsi"/>
          <w:b/>
        </w:rPr>
        <w:t xml:space="preserve"> regulations to create arbitration centers. </w:t>
      </w:r>
      <w:r w:rsidRPr="002F5721">
        <w:rPr>
          <w:rFonts w:cstheme="minorHAnsi"/>
        </w:rPr>
        <w:t>A new Code of Judicial Costs (</w:t>
      </w:r>
      <w:r w:rsidRPr="002F5721">
        <w:rPr>
          <w:rFonts w:cstheme="minorHAnsi"/>
          <w:i/>
        </w:rPr>
        <w:t>C</w:t>
      </w:r>
      <w:r w:rsidR="007544C1">
        <w:rPr>
          <w:rFonts w:cstheme="minorHAnsi"/>
          <w:i/>
        </w:rPr>
        <w:t>ó</w:t>
      </w:r>
      <w:r w:rsidRPr="002F5721">
        <w:rPr>
          <w:rFonts w:cstheme="minorHAnsi"/>
          <w:i/>
        </w:rPr>
        <w:t xml:space="preserve">digo das </w:t>
      </w:r>
      <w:proofErr w:type="spellStart"/>
      <w:r w:rsidRPr="002F5721">
        <w:rPr>
          <w:rFonts w:cstheme="minorHAnsi"/>
          <w:i/>
        </w:rPr>
        <w:t>C</w:t>
      </w:r>
      <w:r w:rsidR="007544C1">
        <w:rPr>
          <w:rFonts w:cstheme="minorHAnsi"/>
          <w:i/>
        </w:rPr>
        <w:t>u</w:t>
      </w:r>
      <w:r w:rsidRPr="002F5721">
        <w:rPr>
          <w:rFonts w:cstheme="minorHAnsi"/>
          <w:i/>
        </w:rPr>
        <w:t>stas</w:t>
      </w:r>
      <w:proofErr w:type="spellEnd"/>
      <w:r w:rsidRPr="002F5721">
        <w:rPr>
          <w:rFonts w:cstheme="minorHAnsi"/>
          <w:i/>
        </w:rPr>
        <w:t xml:space="preserve"> </w:t>
      </w:r>
      <w:proofErr w:type="spellStart"/>
      <w:r w:rsidRPr="002F5721">
        <w:rPr>
          <w:rFonts w:cstheme="minorHAnsi"/>
          <w:i/>
        </w:rPr>
        <w:t>Processuais</w:t>
      </w:r>
      <w:proofErr w:type="spellEnd"/>
      <w:r w:rsidRPr="002F5721">
        <w:rPr>
          <w:rFonts w:cstheme="minorHAnsi"/>
        </w:rPr>
        <w:t xml:space="preserve">) was approved </w:t>
      </w:r>
      <w:r w:rsidR="00CC2896">
        <w:rPr>
          <w:rFonts w:cstheme="minorHAnsi"/>
        </w:rPr>
        <w:t>in 2018</w:t>
      </w:r>
      <w:r w:rsidRPr="002F5721">
        <w:rPr>
          <w:rFonts w:cstheme="minorHAnsi"/>
        </w:rPr>
        <w:t xml:space="preserve">, which contributed </w:t>
      </w:r>
      <w:r>
        <w:rPr>
          <w:rFonts w:cstheme="minorHAnsi"/>
        </w:rPr>
        <w:t xml:space="preserve">to </w:t>
      </w:r>
      <w:r w:rsidRPr="002F5721">
        <w:rPr>
          <w:rFonts w:cstheme="minorHAnsi"/>
        </w:rPr>
        <w:t>reduce court fees—although the cost of resolving a commercial dispute</w:t>
      </w:r>
      <w:r>
        <w:rPr>
          <w:rFonts w:cstheme="minorHAnsi"/>
        </w:rPr>
        <w:t xml:space="preserve"> is</w:t>
      </w:r>
      <w:r w:rsidRPr="002F5721">
        <w:rPr>
          <w:rFonts w:cstheme="minorHAnsi"/>
        </w:rPr>
        <w:t xml:space="preserve"> still high at 45.6 of the claim </w:t>
      </w:r>
      <w:proofErr w:type="gramStart"/>
      <w:r w:rsidRPr="002F5721">
        <w:rPr>
          <w:rFonts w:cstheme="minorHAnsi"/>
        </w:rPr>
        <w:t>value</w:t>
      </w:r>
      <w:proofErr w:type="gramEnd"/>
      <w:r w:rsidR="00217C1F">
        <w:rPr>
          <w:rFonts w:cstheme="minorHAnsi"/>
        </w:rPr>
        <w:t xml:space="preserve"> </w:t>
      </w:r>
      <w:r>
        <w:rPr>
          <w:rFonts w:cstheme="minorHAnsi"/>
        </w:rPr>
        <w:t>—</w:t>
      </w:r>
      <w:r>
        <w:t xml:space="preserve">above the </w:t>
      </w:r>
      <w:r w:rsidR="007544C1">
        <w:t>Sub-</w:t>
      </w:r>
      <w:r w:rsidR="007544C1">
        <w:rPr>
          <w:rFonts w:cstheme="minorHAnsi"/>
        </w:rPr>
        <w:t>Saharan</w:t>
      </w:r>
      <w:r>
        <w:rPr>
          <w:rFonts w:cstheme="minorHAnsi"/>
        </w:rPr>
        <w:t xml:space="preserve"> Africa average of 42.3 percent—</w:t>
      </w:r>
      <w:r w:rsidR="00217C1F">
        <w:rPr>
          <w:rFonts w:cstheme="minorHAnsi"/>
        </w:rPr>
        <w:t xml:space="preserve"> </w:t>
      </w:r>
      <w:r w:rsidRPr="00A82985">
        <w:rPr>
          <w:rFonts w:cstheme="minorHAnsi"/>
        </w:rPr>
        <w:t>according to Doing Business. Encouraging alternative resolution of commercial disputes could contribute to reduce the backlog at the courts</w:t>
      </w:r>
      <w:r w:rsidR="00CC437D">
        <w:rPr>
          <w:rFonts w:cstheme="minorHAnsi"/>
        </w:rPr>
        <w:t xml:space="preserve">, while </w:t>
      </w:r>
      <w:r w:rsidR="008A4EF5">
        <w:rPr>
          <w:rFonts w:cstheme="minorHAnsi"/>
        </w:rPr>
        <w:t xml:space="preserve">the need to </w:t>
      </w:r>
      <w:r w:rsidR="003A05BE">
        <w:rPr>
          <w:rFonts w:cstheme="minorHAnsi"/>
        </w:rPr>
        <w:t>address the judicial system challenges remains</w:t>
      </w:r>
      <w:r w:rsidRPr="00A82985">
        <w:rPr>
          <w:rFonts w:cstheme="minorHAnsi"/>
        </w:rPr>
        <w:t xml:space="preserve">.  A </w:t>
      </w:r>
      <w:r>
        <w:rPr>
          <w:rFonts w:cstheme="minorHAnsi"/>
        </w:rPr>
        <w:t xml:space="preserve">2017 </w:t>
      </w:r>
      <w:r w:rsidRPr="00A82985">
        <w:rPr>
          <w:rFonts w:cstheme="minorHAnsi"/>
        </w:rPr>
        <w:t>Decree-Law authorized the creation of an arbitration center, as envisioned in the 2006 Voluntary Arbitration law.</w:t>
      </w:r>
      <w:r w:rsidRPr="00A82985">
        <w:rPr>
          <w:rStyle w:val="FootnoteReference"/>
          <w:rFonts w:cstheme="minorHAnsi"/>
        </w:rPr>
        <w:t xml:space="preserve"> </w:t>
      </w:r>
      <w:r>
        <w:rPr>
          <w:rStyle w:val="FootnoteReference"/>
          <w:rFonts w:cstheme="minorHAnsi"/>
        </w:rPr>
        <w:footnoteReference w:id="21"/>
      </w:r>
      <w:r w:rsidRPr="00A82985">
        <w:rPr>
          <w:rFonts w:cstheme="minorHAnsi"/>
        </w:rPr>
        <w:t xml:space="preserve">  </w:t>
      </w:r>
    </w:p>
    <w:p w14:paraId="480F854C" w14:textId="0581E8D9" w:rsidR="00E42F7F" w:rsidRPr="00FA24C7" w:rsidRDefault="00FF0C17" w:rsidP="003019B4">
      <w:pPr>
        <w:pStyle w:val="ListParagraph"/>
        <w:numPr>
          <w:ilvl w:val="0"/>
          <w:numId w:val="3"/>
        </w:numPr>
        <w:autoSpaceDE w:val="0"/>
        <w:autoSpaceDN w:val="0"/>
        <w:adjustRightInd w:val="0"/>
        <w:spacing w:after="120" w:line="276" w:lineRule="auto"/>
        <w:ind w:left="0" w:firstLine="0"/>
        <w:contextualSpacing w:val="0"/>
        <w:jc w:val="both"/>
        <w:rPr>
          <w:rFonts w:cstheme="minorHAnsi"/>
        </w:rPr>
      </w:pPr>
      <w:r>
        <w:rPr>
          <w:rFonts w:cstheme="minorHAnsi"/>
          <w:b/>
        </w:rPr>
        <w:t xml:space="preserve">Improving the efficiency of commercial justice </w:t>
      </w:r>
      <w:r w:rsidR="005D4D39">
        <w:rPr>
          <w:rFonts w:cstheme="minorHAnsi"/>
          <w:b/>
        </w:rPr>
        <w:t>would require comprehensive reforms</w:t>
      </w:r>
      <w:r w:rsidR="003D3E56" w:rsidRPr="002F5721">
        <w:rPr>
          <w:rFonts w:cstheme="minorHAnsi"/>
          <w:b/>
        </w:rPr>
        <w:t>.</w:t>
      </w:r>
      <w:r w:rsidR="003D3E56">
        <w:rPr>
          <w:rFonts w:cstheme="minorHAnsi"/>
          <w:b/>
        </w:rPr>
        <w:t xml:space="preserve"> </w:t>
      </w:r>
      <w:r w:rsidR="005D4D39" w:rsidRPr="005D4D39">
        <w:rPr>
          <w:rFonts w:cstheme="minorHAnsi"/>
        </w:rPr>
        <w:t xml:space="preserve">First, legislative reforms are necessary to update </w:t>
      </w:r>
      <w:r w:rsidR="005D4D39">
        <w:rPr>
          <w:rFonts w:cstheme="minorHAnsi"/>
        </w:rPr>
        <w:t>the Commercial Code and the Civil Procedure Code, plus the rules governing the functioning of courts. Second, there is need to invest in the training of judges and judicial personnel</w:t>
      </w:r>
      <w:r w:rsidR="00C3709E">
        <w:rPr>
          <w:rFonts w:cstheme="minorHAnsi"/>
        </w:rPr>
        <w:t xml:space="preserve"> and promote their specialization</w:t>
      </w:r>
      <w:r w:rsidR="005D4D39">
        <w:rPr>
          <w:rFonts w:cstheme="minorHAnsi"/>
        </w:rPr>
        <w:t>. Third, there are opportunities to introduce case management techniques, including collecting statistics on the duration of judicial cases to identify bottlenecks and opportunities for efficiency gains. Fourth, case management would be facilitated by the automation of the courts. The use of IT</w:t>
      </w:r>
      <w:r w:rsidR="00C3709E">
        <w:rPr>
          <w:rFonts w:cstheme="minorHAnsi"/>
        </w:rPr>
        <w:t xml:space="preserve"> would also enable the introduction of electronic procedures in the future, such as e-filing and service of process. </w:t>
      </w:r>
      <w:r w:rsidR="005D4D39">
        <w:rPr>
          <w:rFonts w:cstheme="minorHAnsi"/>
        </w:rPr>
        <w:t xml:space="preserve"> </w:t>
      </w:r>
      <w:r w:rsidR="00C3709E">
        <w:rPr>
          <w:rFonts w:cstheme="minorHAnsi"/>
        </w:rPr>
        <w:t>Fifth, judicial decisions at all levels should be published to strengthen transparency and consistency. Finally, alternative dispute resolution mechanisms, including mediation and conciliation, in addition to arbitration, could be promoted to reduce the burden on the courts.</w:t>
      </w:r>
      <w:r w:rsidR="00F8325D">
        <w:rPr>
          <w:rFonts w:cstheme="minorHAnsi"/>
        </w:rPr>
        <w:t xml:space="preserve"> </w:t>
      </w:r>
      <w:r w:rsidR="00A82985">
        <w:rPr>
          <w:rFonts w:cstheme="minorHAnsi"/>
        </w:rPr>
        <w:t xml:space="preserve"> </w:t>
      </w:r>
    </w:p>
    <w:tbl>
      <w:tblPr>
        <w:tblStyle w:val="TableGrid"/>
        <w:tblW w:w="9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217C1F" w:rsidRPr="00E6559F" w14:paraId="1916CA90" w14:textId="77777777" w:rsidTr="00A734F7">
        <w:tc>
          <w:tcPr>
            <w:tcW w:w="4788" w:type="dxa"/>
          </w:tcPr>
          <w:p w14:paraId="687F5B66" w14:textId="160FFA72" w:rsidR="00217C1F" w:rsidRPr="00217C1F" w:rsidRDefault="00217C1F" w:rsidP="00217C1F">
            <w:pPr>
              <w:pStyle w:val="Caption"/>
              <w:keepNext/>
              <w:spacing w:after="120" w:line="276" w:lineRule="auto"/>
              <w:rPr>
                <w:sz w:val="20"/>
                <w:szCs w:val="20"/>
              </w:rPr>
            </w:pPr>
            <w:bookmarkStart w:id="7" w:name="_Ref536431275"/>
            <w:r w:rsidRPr="00217C1F">
              <w:rPr>
                <w:color w:val="auto"/>
                <w:sz w:val="20"/>
                <w:szCs w:val="20"/>
              </w:rPr>
              <w:t xml:space="preserve">Figure </w:t>
            </w:r>
            <w:r w:rsidRPr="00217C1F">
              <w:rPr>
                <w:color w:val="auto"/>
                <w:sz w:val="20"/>
                <w:szCs w:val="20"/>
              </w:rPr>
              <w:fldChar w:fldCharType="begin"/>
            </w:r>
            <w:r w:rsidRPr="00217C1F">
              <w:rPr>
                <w:color w:val="auto"/>
                <w:sz w:val="20"/>
                <w:szCs w:val="20"/>
              </w:rPr>
              <w:instrText xml:space="preserve"> SEQ Figure \* ARABIC </w:instrText>
            </w:r>
            <w:r w:rsidRPr="00217C1F">
              <w:rPr>
                <w:color w:val="auto"/>
                <w:sz w:val="20"/>
                <w:szCs w:val="20"/>
              </w:rPr>
              <w:fldChar w:fldCharType="separate"/>
            </w:r>
            <w:r w:rsidR="00B4077B">
              <w:rPr>
                <w:noProof/>
                <w:color w:val="auto"/>
                <w:sz w:val="20"/>
                <w:szCs w:val="20"/>
              </w:rPr>
              <w:t>13</w:t>
            </w:r>
            <w:r w:rsidRPr="00217C1F">
              <w:rPr>
                <w:color w:val="auto"/>
                <w:sz w:val="20"/>
                <w:szCs w:val="20"/>
              </w:rPr>
              <w:fldChar w:fldCharType="end"/>
            </w:r>
            <w:bookmarkEnd w:id="7"/>
            <w:r w:rsidRPr="00217C1F">
              <w:rPr>
                <w:color w:val="auto"/>
                <w:sz w:val="20"/>
                <w:szCs w:val="20"/>
              </w:rPr>
              <w:t xml:space="preserve"> – Time to enforce contracts </w:t>
            </w:r>
            <w:r w:rsidRPr="00217C1F">
              <w:rPr>
                <w:b w:val="0"/>
                <w:color w:val="auto"/>
                <w:sz w:val="20"/>
                <w:szCs w:val="20"/>
              </w:rPr>
              <w:t>(days)</w:t>
            </w:r>
          </w:p>
        </w:tc>
        <w:tc>
          <w:tcPr>
            <w:tcW w:w="4788" w:type="dxa"/>
          </w:tcPr>
          <w:p w14:paraId="78E234F6" w14:textId="52812DCC" w:rsidR="00217C1F" w:rsidRPr="00217C1F" w:rsidRDefault="00217C1F" w:rsidP="00217C1F">
            <w:pPr>
              <w:pStyle w:val="Caption"/>
              <w:keepNext/>
              <w:spacing w:after="120" w:line="276" w:lineRule="auto"/>
              <w:jc w:val="both"/>
              <w:rPr>
                <w:color w:val="auto"/>
                <w:sz w:val="20"/>
                <w:szCs w:val="20"/>
              </w:rPr>
            </w:pPr>
            <w:bookmarkStart w:id="8" w:name="_Ref536431312"/>
            <w:r w:rsidRPr="00217C1F">
              <w:rPr>
                <w:color w:val="auto"/>
                <w:sz w:val="20"/>
                <w:szCs w:val="20"/>
              </w:rPr>
              <w:t xml:space="preserve">Figure </w:t>
            </w:r>
            <w:r w:rsidRPr="00217C1F">
              <w:rPr>
                <w:color w:val="auto"/>
                <w:sz w:val="20"/>
                <w:szCs w:val="20"/>
              </w:rPr>
              <w:fldChar w:fldCharType="begin"/>
            </w:r>
            <w:r w:rsidRPr="00217C1F">
              <w:rPr>
                <w:color w:val="auto"/>
                <w:sz w:val="20"/>
                <w:szCs w:val="20"/>
              </w:rPr>
              <w:instrText xml:space="preserve"> SEQ Figure \* ARABIC </w:instrText>
            </w:r>
            <w:r w:rsidRPr="00217C1F">
              <w:rPr>
                <w:color w:val="auto"/>
                <w:sz w:val="20"/>
                <w:szCs w:val="20"/>
              </w:rPr>
              <w:fldChar w:fldCharType="separate"/>
            </w:r>
            <w:r w:rsidR="00B4077B">
              <w:rPr>
                <w:noProof/>
                <w:color w:val="auto"/>
                <w:sz w:val="20"/>
                <w:szCs w:val="20"/>
              </w:rPr>
              <w:t>14</w:t>
            </w:r>
            <w:r w:rsidRPr="00217C1F">
              <w:rPr>
                <w:color w:val="auto"/>
                <w:sz w:val="20"/>
                <w:szCs w:val="20"/>
              </w:rPr>
              <w:fldChar w:fldCharType="end"/>
            </w:r>
            <w:bookmarkEnd w:id="8"/>
            <w:r w:rsidRPr="00217C1F">
              <w:rPr>
                <w:color w:val="auto"/>
                <w:sz w:val="20"/>
                <w:szCs w:val="20"/>
              </w:rPr>
              <w:t xml:space="preserve"> – Quality of judicial procedures index</w:t>
            </w:r>
          </w:p>
        </w:tc>
      </w:tr>
      <w:tr w:rsidR="00E42F7F" w:rsidRPr="00E6559F" w14:paraId="5BBD0322" w14:textId="77777777" w:rsidTr="00A734F7">
        <w:tc>
          <w:tcPr>
            <w:tcW w:w="4788" w:type="dxa"/>
            <w:vAlign w:val="center"/>
            <w:hideMark/>
          </w:tcPr>
          <w:p w14:paraId="557A13F9" w14:textId="148400F9" w:rsidR="00E42F7F" w:rsidRPr="009038B3" w:rsidRDefault="00CD4E0C" w:rsidP="00CD4E0C">
            <w:pPr>
              <w:spacing w:after="120" w:line="276" w:lineRule="auto"/>
              <w:jc w:val="center"/>
            </w:pPr>
            <w:bookmarkStart w:id="9" w:name="_Hlk528891420"/>
            <w:r w:rsidRPr="00CD4E0C">
              <w:rPr>
                <w:noProof/>
              </w:rPr>
              <w:drawing>
                <wp:inline distT="0" distB="0" distL="0" distR="0" wp14:anchorId="254FA71A" wp14:editId="183658BE">
                  <wp:extent cx="2980008" cy="17843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3215" cy="1804233"/>
                          </a:xfrm>
                          <a:prstGeom prst="rect">
                            <a:avLst/>
                          </a:prstGeom>
                          <a:noFill/>
                          <a:ln>
                            <a:noFill/>
                          </a:ln>
                        </pic:spPr>
                      </pic:pic>
                    </a:graphicData>
                  </a:graphic>
                </wp:inline>
              </w:drawing>
            </w:r>
          </w:p>
        </w:tc>
        <w:tc>
          <w:tcPr>
            <w:tcW w:w="4788" w:type="dxa"/>
            <w:vAlign w:val="center"/>
            <w:hideMark/>
          </w:tcPr>
          <w:p w14:paraId="2E35A9BA" w14:textId="5EA23045" w:rsidR="00E42F7F" w:rsidRPr="0095039C" w:rsidRDefault="00A734F7" w:rsidP="00A734F7">
            <w:pPr>
              <w:spacing w:after="120" w:line="276" w:lineRule="auto"/>
              <w:jc w:val="center"/>
              <w:rPr>
                <w:b/>
              </w:rPr>
            </w:pPr>
            <w:r w:rsidRPr="00A734F7">
              <w:rPr>
                <w:b/>
                <w:noProof/>
              </w:rPr>
              <w:drawing>
                <wp:inline distT="0" distB="0" distL="0" distR="0" wp14:anchorId="3949301C" wp14:editId="6221C1CE">
                  <wp:extent cx="2928595" cy="1753565"/>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2027" cy="1755620"/>
                          </a:xfrm>
                          <a:prstGeom prst="rect">
                            <a:avLst/>
                          </a:prstGeom>
                          <a:noFill/>
                          <a:ln>
                            <a:noFill/>
                          </a:ln>
                        </pic:spPr>
                      </pic:pic>
                    </a:graphicData>
                  </a:graphic>
                </wp:inline>
              </w:drawing>
            </w:r>
          </w:p>
        </w:tc>
      </w:tr>
      <w:tr w:rsidR="00E42F7F" w:rsidRPr="009038B3" w14:paraId="2CA9D1EC" w14:textId="77777777" w:rsidTr="00A734F7">
        <w:tc>
          <w:tcPr>
            <w:tcW w:w="4788" w:type="dxa"/>
            <w:hideMark/>
          </w:tcPr>
          <w:p w14:paraId="7D2E22E3" w14:textId="77777777" w:rsidR="00E42F7F" w:rsidRPr="009038B3" w:rsidRDefault="00E42F7F" w:rsidP="00700C4A">
            <w:pPr>
              <w:spacing w:after="120" w:line="276" w:lineRule="auto"/>
              <w:jc w:val="both"/>
              <w:rPr>
                <w:sz w:val="16"/>
                <w:szCs w:val="16"/>
              </w:rPr>
            </w:pPr>
            <w:r w:rsidRPr="009038B3">
              <w:rPr>
                <w:sz w:val="16"/>
                <w:szCs w:val="16"/>
              </w:rPr>
              <w:t>Source: Doing Business database</w:t>
            </w:r>
          </w:p>
        </w:tc>
        <w:tc>
          <w:tcPr>
            <w:tcW w:w="4788" w:type="dxa"/>
            <w:hideMark/>
          </w:tcPr>
          <w:p w14:paraId="6DFD621D" w14:textId="77777777" w:rsidR="00E42F7F" w:rsidRPr="009038B3" w:rsidRDefault="00E42F7F" w:rsidP="00700C4A">
            <w:pPr>
              <w:spacing w:after="120" w:line="276" w:lineRule="auto"/>
              <w:jc w:val="both"/>
              <w:rPr>
                <w:sz w:val="16"/>
                <w:szCs w:val="16"/>
              </w:rPr>
            </w:pPr>
            <w:r w:rsidRPr="009038B3">
              <w:rPr>
                <w:sz w:val="16"/>
                <w:szCs w:val="16"/>
              </w:rPr>
              <w:t>Source: Doing Business database</w:t>
            </w:r>
          </w:p>
        </w:tc>
      </w:tr>
    </w:tbl>
    <w:bookmarkEnd w:id="9"/>
    <w:p w14:paraId="5D887641" w14:textId="730F8C77" w:rsidR="0095039C" w:rsidRPr="003019B4" w:rsidRDefault="00A7766F" w:rsidP="00E22108">
      <w:pPr>
        <w:pStyle w:val="ListParagraph"/>
        <w:widowControl w:val="0"/>
        <w:numPr>
          <w:ilvl w:val="1"/>
          <w:numId w:val="8"/>
        </w:numPr>
        <w:tabs>
          <w:tab w:val="left" w:pos="720"/>
        </w:tabs>
        <w:autoSpaceDE w:val="0"/>
        <w:autoSpaceDN w:val="0"/>
        <w:adjustRightInd w:val="0"/>
        <w:spacing w:before="240" w:after="120" w:line="276" w:lineRule="auto"/>
        <w:ind w:left="432"/>
        <w:contextualSpacing w:val="0"/>
        <w:jc w:val="both"/>
        <w:rPr>
          <w:b/>
          <w:color w:val="0070C0"/>
          <w:sz w:val="24"/>
          <w:szCs w:val="24"/>
        </w:rPr>
      </w:pPr>
      <w:r w:rsidRPr="003019B4">
        <w:rPr>
          <w:b/>
          <w:color w:val="0070C0"/>
          <w:sz w:val="24"/>
          <w:szCs w:val="24"/>
        </w:rPr>
        <w:t>Resolving insolvency</w:t>
      </w:r>
      <w:r w:rsidR="003C5622">
        <w:rPr>
          <w:b/>
          <w:color w:val="0070C0"/>
          <w:sz w:val="24"/>
          <w:szCs w:val="24"/>
        </w:rPr>
        <w:t xml:space="preserve"> or enforcing a debt through courts is nearly impossible in STP</w:t>
      </w:r>
    </w:p>
    <w:p w14:paraId="1B52ACDA" w14:textId="2DEE7046" w:rsidR="00A7766F" w:rsidRPr="00A7766F" w:rsidRDefault="00A7766F" w:rsidP="003019B4">
      <w:pPr>
        <w:pStyle w:val="ListParagraph"/>
        <w:numPr>
          <w:ilvl w:val="0"/>
          <w:numId w:val="3"/>
        </w:numPr>
        <w:tabs>
          <w:tab w:val="left" w:pos="0"/>
        </w:tabs>
        <w:spacing w:after="120" w:line="276" w:lineRule="auto"/>
        <w:ind w:left="0" w:firstLine="0"/>
        <w:contextualSpacing w:val="0"/>
        <w:jc w:val="both"/>
      </w:pPr>
      <w:r w:rsidRPr="00A7766F">
        <w:rPr>
          <w:b/>
        </w:rPr>
        <w:t>S</w:t>
      </w:r>
      <w:r w:rsidR="003019B4">
        <w:rPr>
          <w:b/>
        </w:rPr>
        <w:t>ã</w:t>
      </w:r>
      <w:r w:rsidRPr="00A7766F">
        <w:rPr>
          <w:b/>
        </w:rPr>
        <w:t>o Tom</w:t>
      </w:r>
      <w:r w:rsidR="007544C1">
        <w:rPr>
          <w:b/>
        </w:rPr>
        <w:t>é</w:t>
      </w:r>
      <w:r w:rsidRPr="00A7766F">
        <w:rPr>
          <w:b/>
        </w:rPr>
        <w:t xml:space="preserve"> and Pr</w:t>
      </w:r>
      <w:r w:rsidR="007544C1">
        <w:rPr>
          <w:b/>
        </w:rPr>
        <w:t>í</w:t>
      </w:r>
      <w:r w:rsidRPr="00A7766F">
        <w:rPr>
          <w:b/>
        </w:rPr>
        <w:t>ncipe lacks an updated insolvency framework.</w:t>
      </w:r>
      <w:r w:rsidRPr="00A7766F">
        <w:t xml:space="preserve"> S</w:t>
      </w:r>
      <w:r w:rsidR="0092024D">
        <w:t>ã</w:t>
      </w:r>
      <w:r w:rsidRPr="00A7766F">
        <w:t>o Tom</w:t>
      </w:r>
      <w:r w:rsidR="0092024D">
        <w:t>é</w:t>
      </w:r>
      <w:r w:rsidRPr="00A7766F">
        <w:t xml:space="preserve"> and Pr</w:t>
      </w:r>
      <w:r w:rsidR="0092024D">
        <w:t>í</w:t>
      </w:r>
      <w:r w:rsidRPr="00A7766F">
        <w:t xml:space="preserve">ncipe </w:t>
      </w:r>
      <w:proofErr w:type="gramStart"/>
      <w:r w:rsidRPr="00A7766F">
        <w:t>is</w:t>
      </w:r>
      <w:proofErr w:type="gramEnd"/>
      <w:r w:rsidRPr="00A7766F">
        <w:t xml:space="preserve"> considered a ‘no practice’ country in the Doing Business</w:t>
      </w:r>
      <w:r w:rsidR="0095039C">
        <w:t xml:space="preserve"> 2019</w:t>
      </w:r>
      <w:r w:rsidRPr="00A7766F">
        <w:t xml:space="preserve"> resolving insolvency indicators, due to lack of cases of judicial reorganization, or debt enforcement procedure in the last five years. </w:t>
      </w:r>
      <w:r w:rsidR="009113A6">
        <w:t xml:space="preserve">Insolvency procedures are governed by the Decree Law </w:t>
      </w:r>
      <w:r w:rsidR="009113A6" w:rsidRPr="009113A6">
        <w:t xml:space="preserve">44129, </w:t>
      </w:r>
      <w:r w:rsidR="009113A6">
        <w:t xml:space="preserve">of December 18, 1961, which approved the Code of </w:t>
      </w:r>
      <w:r w:rsidR="009113A6">
        <w:lastRenderedPageBreak/>
        <w:t>Civil Procedure. This legislation is not in line with modern insolvency legislation, as it does not</w:t>
      </w:r>
      <w:r w:rsidRPr="00A7766F">
        <w:t xml:space="preserve"> encourage </w:t>
      </w:r>
      <w:r w:rsidR="009113A6">
        <w:t xml:space="preserve">the </w:t>
      </w:r>
      <w:r w:rsidRPr="00A7766F">
        <w:t xml:space="preserve">reorganization of viable firms, and limits creditors’ right to participate in the insolvency procedures. </w:t>
      </w:r>
      <w:r w:rsidR="007438A5">
        <w:t>Under this legal framework, the most likely outcome of an insolvency procedure is the liquidation of the company’s assets. In comparison, Mauritius insolvency framework promotes the reorganization of viable firms. According to the Doing Business case study on insolvency, in Mauritius the procedure takes 1.7 years and investors can expect to recover 67.4 cents on each dollar invested.</w:t>
      </w:r>
    </w:p>
    <w:p w14:paraId="02A4B8B9" w14:textId="1B8340C5" w:rsidR="00FD70B1" w:rsidRPr="00FA24C7" w:rsidRDefault="00162876" w:rsidP="003019B4">
      <w:pPr>
        <w:pStyle w:val="ListParagraph"/>
        <w:numPr>
          <w:ilvl w:val="0"/>
          <w:numId w:val="3"/>
        </w:numPr>
        <w:autoSpaceDE w:val="0"/>
        <w:autoSpaceDN w:val="0"/>
        <w:adjustRightInd w:val="0"/>
        <w:spacing w:after="120" w:line="276" w:lineRule="auto"/>
        <w:ind w:left="0" w:firstLine="0"/>
        <w:contextualSpacing w:val="0"/>
        <w:jc w:val="both"/>
      </w:pPr>
      <w:r w:rsidRPr="00162876">
        <w:rPr>
          <w:b/>
        </w:rPr>
        <w:t xml:space="preserve">Insolvency reform needs to be comprehensive and could follow the example of other </w:t>
      </w:r>
      <w:r w:rsidR="00E264E3">
        <w:rPr>
          <w:b/>
        </w:rPr>
        <w:t>L</w:t>
      </w:r>
      <w:r w:rsidRPr="00162876">
        <w:rPr>
          <w:b/>
        </w:rPr>
        <w:t>usophone countries.</w:t>
      </w:r>
      <w:r>
        <w:t xml:space="preserve"> Portugal and Mozambique have modernized their insolvency frameworks, while Angola is in the process of developing an insolvency law. The legal framework is the first step, but an effective insolvency reform c</w:t>
      </w:r>
      <w:r w:rsidRPr="00162876">
        <w:t xml:space="preserve">an only be effective </w:t>
      </w:r>
      <w:r>
        <w:t>when the</w:t>
      </w:r>
      <w:r w:rsidRPr="00162876">
        <w:t xml:space="preserve"> adequate institutional infrastructure and organizational capacity to implement it</w:t>
      </w:r>
      <w:r>
        <w:t xml:space="preserve"> exist</w:t>
      </w:r>
      <w:r w:rsidRPr="00162876">
        <w:t xml:space="preserve">. The enforcement framework includes judicial authorities, </w:t>
      </w:r>
      <w:r>
        <w:t xml:space="preserve">insolvency </w:t>
      </w:r>
      <w:r w:rsidRPr="00162876">
        <w:t>oversight authorit</w:t>
      </w:r>
      <w:r>
        <w:t>y or regulator, and insolvency practitioners. The role of insolvency practitioners is critical and requires strong regulations and oversight.</w:t>
      </w:r>
    </w:p>
    <w:p w14:paraId="14403E9F" w14:textId="51DF1726" w:rsidR="008C7FBD" w:rsidRPr="003019B4" w:rsidRDefault="008C7FBD" w:rsidP="00E22108">
      <w:pPr>
        <w:pStyle w:val="ListParagraph"/>
        <w:widowControl w:val="0"/>
        <w:numPr>
          <w:ilvl w:val="0"/>
          <w:numId w:val="8"/>
        </w:numPr>
        <w:tabs>
          <w:tab w:val="left" w:pos="720"/>
        </w:tabs>
        <w:autoSpaceDE w:val="0"/>
        <w:autoSpaceDN w:val="0"/>
        <w:adjustRightInd w:val="0"/>
        <w:spacing w:before="240" w:after="120" w:line="276" w:lineRule="auto"/>
        <w:ind w:left="648"/>
        <w:contextualSpacing w:val="0"/>
        <w:jc w:val="both"/>
        <w:rPr>
          <w:b/>
          <w:color w:val="0070C0"/>
          <w:sz w:val="24"/>
          <w:szCs w:val="24"/>
        </w:rPr>
      </w:pPr>
      <w:r w:rsidRPr="003019B4">
        <w:rPr>
          <w:b/>
          <w:color w:val="0070C0"/>
          <w:sz w:val="24"/>
          <w:szCs w:val="24"/>
        </w:rPr>
        <w:t>Way forward</w:t>
      </w:r>
    </w:p>
    <w:p w14:paraId="0EB1CBFC" w14:textId="774983F8" w:rsidR="008C7FBD" w:rsidRPr="00BD48B3" w:rsidRDefault="000E710F" w:rsidP="003019B4">
      <w:pPr>
        <w:pStyle w:val="ListParagraph"/>
        <w:numPr>
          <w:ilvl w:val="0"/>
          <w:numId w:val="3"/>
        </w:numPr>
        <w:spacing w:after="120" w:line="276" w:lineRule="auto"/>
        <w:ind w:left="0" w:firstLine="0"/>
        <w:contextualSpacing w:val="0"/>
        <w:jc w:val="both"/>
        <w:rPr>
          <w:b/>
        </w:rPr>
      </w:pPr>
      <w:r>
        <w:rPr>
          <w:b/>
        </w:rPr>
        <w:t>São Tomé and Príncipe</w:t>
      </w:r>
      <w:r w:rsidR="008C7FBD" w:rsidRPr="008C7FBD">
        <w:rPr>
          <w:b/>
        </w:rPr>
        <w:t xml:space="preserve"> should continue modernizing its regulatory framework</w:t>
      </w:r>
      <w:r w:rsidR="00BD48B3">
        <w:rPr>
          <w:b/>
        </w:rPr>
        <w:t xml:space="preserve"> underpinning private sector activity</w:t>
      </w:r>
      <w:r w:rsidR="008C7FBD" w:rsidRPr="008C7FBD">
        <w:rPr>
          <w:b/>
        </w:rPr>
        <w:t xml:space="preserve"> and strengthening the capacity of </w:t>
      </w:r>
      <w:r w:rsidR="00BD48B3">
        <w:rPr>
          <w:b/>
        </w:rPr>
        <w:t>implementing entities</w:t>
      </w:r>
      <w:r w:rsidR="008C7FBD" w:rsidRPr="008C7FBD">
        <w:rPr>
          <w:b/>
        </w:rPr>
        <w:t xml:space="preserve">. </w:t>
      </w:r>
      <w:r w:rsidR="00BD48B3" w:rsidRPr="00BD48B3">
        <w:t>The country can build on recent successful reform experience, such as the modernization of customs and the implementation of the single window for trade. Political leadership</w:t>
      </w:r>
      <w:r w:rsidR="00547C6A">
        <w:t>, combined with</w:t>
      </w:r>
      <w:r w:rsidR="00BD48B3" w:rsidRPr="00BD48B3">
        <w:t xml:space="preserve"> consistent technical assistance</w:t>
      </w:r>
      <w:r w:rsidR="00E2643A">
        <w:t xml:space="preserve"> </w:t>
      </w:r>
      <w:r w:rsidR="00547C6A">
        <w:t xml:space="preserve">and </w:t>
      </w:r>
      <w:r w:rsidR="00E2643A">
        <w:t>training</w:t>
      </w:r>
      <w:r w:rsidR="00547C6A">
        <w:t xml:space="preserve"> of government officials,</w:t>
      </w:r>
      <w:r w:rsidR="00BD48B3" w:rsidRPr="00BD48B3">
        <w:t xml:space="preserve"> have been crucial factors in the success of that reform. </w:t>
      </w:r>
      <w:r w:rsidR="000E0497">
        <w:t>T</w:t>
      </w:r>
      <w:r w:rsidR="00266D2C">
        <w:t>he</w:t>
      </w:r>
      <w:r w:rsidR="0092024D">
        <w:t>re</w:t>
      </w:r>
      <w:r w:rsidR="00BD48B3">
        <w:t xml:space="preserve"> </w:t>
      </w:r>
      <w:r w:rsidR="00266D2C">
        <w:t>is ample room to improve the efficiency</w:t>
      </w:r>
      <w:r w:rsidR="00BD48B3">
        <w:t>, transparency,</w:t>
      </w:r>
      <w:r w:rsidR="00266D2C">
        <w:t xml:space="preserve"> and quality of regulations</w:t>
      </w:r>
      <w:r w:rsidR="002D315A" w:rsidRPr="002D315A">
        <w:t xml:space="preserve"> </w:t>
      </w:r>
      <w:r w:rsidR="002D315A">
        <w:t xml:space="preserve">and their enforcement. </w:t>
      </w:r>
      <w:r w:rsidR="00162AC6">
        <w:t xml:space="preserve">The good news is that São Tomé and Príncipe can learn from other countries, including other </w:t>
      </w:r>
      <w:r w:rsidR="00E264E3">
        <w:t>L</w:t>
      </w:r>
      <w:r w:rsidR="00162AC6">
        <w:t xml:space="preserve">usophone economies, </w:t>
      </w:r>
      <w:r w:rsidR="00AB4B42">
        <w:t xml:space="preserve">and </w:t>
      </w:r>
      <w:r w:rsidR="00C24E79">
        <w:t>continue to foster</w:t>
      </w:r>
      <w:r w:rsidR="004D530E">
        <w:t xml:space="preserve"> regional exchanges of good regulatory practices</w:t>
      </w:r>
      <w:r w:rsidR="0094344C">
        <w:t>.</w:t>
      </w:r>
      <w:r w:rsidR="00162AC6">
        <w:t xml:space="preserve"> </w:t>
      </w:r>
      <w:r w:rsidR="002D315A">
        <w:t>Priority areas of focus include</w:t>
      </w:r>
      <w:r w:rsidR="00266D2C">
        <w:t>:</w:t>
      </w:r>
    </w:p>
    <w:p w14:paraId="12488059" w14:textId="0E96EB58" w:rsidR="00266D2C" w:rsidRPr="002D315A" w:rsidRDefault="002D315A" w:rsidP="00DC62A4">
      <w:pPr>
        <w:pStyle w:val="ListParagraph"/>
        <w:numPr>
          <w:ilvl w:val="1"/>
          <w:numId w:val="3"/>
        </w:numPr>
        <w:spacing w:after="120" w:line="276" w:lineRule="auto"/>
        <w:contextualSpacing w:val="0"/>
        <w:jc w:val="both"/>
      </w:pPr>
      <w:r>
        <w:t xml:space="preserve">Continue </w:t>
      </w:r>
      <w:r w:rsidR="00CB5021" w:rsidRPr="002D315A">
        <w:t>updating the</w:t>
      </w:r>
      <w:r w:rsidR="00266D2C" w:rsidRPr="002D315A">
        <w:t xml:space="preserve"> country’s legal framework regarding insolvency, secured transactions, company law and corporate governance, </w:t>
      </w:r>
      <w:r w:rsidR="00BD48B3">
        <w:t>as well as the</w:t>
      </w:r>
      <w:r w:rsidR="00266D2C" w:rsidRPr="002D315A">
        <w:t xml:space="preserve"> civil procedural code.</w:t>
      </w:r>
      <w:r>
        <w:t xml:space="preserve"> Legal reforms should be accompanied with ample dissemination and training of public officials and the private sector to ensure adequate application of new regulations. </w:t>
      </w:r>
    </w:p>
    <w:p w14:paraId="05E44964" w14:textId="39586340" w:rsidR="00266D2C" w:rsidRDefault="00266D2C" w:rsidP="00DC62A4">
      <w:pPr>
        <w:pStyle w:val="ListParagraph"/>
        <w:numPr>
          <w:ilvl w:val="1"/>
          <w:numId w:val="3"/>
        </w:numPr>
        <w:spacing w:after="120" w:line="276" w:lineRule="auto"/>
        <w:contextualSpacing w:val="0"/>
        <w:jc w:val="both"/>
      </w:pPr>
      <w:r w:rsidRPr="002D315A">
        <w:t>Strengthen government IT systems (e.g. the upcoming automation of the property registry) and allow information sharing across government systems</w:t>
      </w:r>
      <w:r w:rsidR="00AD6D36">
        <w:t xml:space="preserve">, the reduction of paper, and more efficient </w:t>
      </w:r>
      <w:r w:rsidR="00D73587">
        <w:t>administrative procedures</w:t>
      </w:r>
      <w:r w:rsidRPr="002D315A">
        <w:t xml:space="preserve">. </w:t>
      </w:r>
      <w:r w:rsidR="00D73587">
        <w:t>As explained above, the</w:t>
      </w:r>
      <w:r w:rsidR="002E3087">
        <w:t xml:space="preserve"> introduc</w:t>
      </w:r>
      <w:r w:rsidR="00D73587">
        <w:t>tion</w:t>
      </w:r>
      <w:r w:rsidR="002E3087">
        <w:t xml:space="preserve"> </w:t>
      </w:r>
      <w:r w:rsidR="00DC62A4">
        <w:t xml:space="preserve">of </w:t>
      </w:r>
      <w:r w:rsidR="002E3087">
        <w:t xml:space="preserve">IT systems in government to business </w:t>
      </w:r>
      <w:r w:rsidR="002C5A62">
        <w:t>interactions</w:t>
      </w:r>
      <w:r w:rsidR="002E3087">
        <w:t xml:space="preserve">, such as the </w:t>
      </w:r>
      <w:proofErr w:type="spellStart"/>
      <w:r w:rsidR="00A332EC">
        <w:t>GUEnet</w:t>
      </w:r>
      <w:proofErr w:type="spellEnd"/>
      <w:r w:rsidR="00A332EC">
        <w:t xml:space="preserve"> platform or the electronic single window for trade </w:t>
      </w:r>
      <w:r w:rsidR="00E75C02">
        <w:t xml:space="preserve">led to positive results in speeding </w:t>
      </w:r>
      <w:r w:rsidR="00E302A3">
        <w:t>processing times and reducing documentary requirements</w:t>
      </w:r>
      <w:r w:rsidR="00A332EC">
        <w:t xml:space="preserve">. </w:t>
      </w:r>
      <w:r w:rsidR="00E302A3">
        <w:t xml:space="preserve">Moving forward, </w:t>
      </w:r>
      <w:r w:rsidR="0092024D">
        <w:t>IT</w:t>
      </w:r>
      <w:r w:rsidR="00BD48B3">
        <w:t xml:space="preserve"> investments at the Directorate of Taxes are a priority. Access to information regarding regulations, </w:t>
      </w:r>
      <w:r w:rsidR="002D315A">
        <w:t xml:space="preserve">administrative requirements and fees </w:t>
      </w:r>
      <w:r w:rsidR="00BD48B3">
        <w:t xml:space="preserve">could be made more easily available at government offices and online. </w:t>
      </w:r>
      <w:r w:rsidR="002D315A">
        <w:t xml:space="preserve"> </w:t>
      </w:r>
      <w:r w:rsidR="002D315A" w:rsidRPr="002D315A">
        <w:t xml:space="preserve">Cabo Verde is a good example of a country that has invested heavily in interconnected e-government systems. </w:t>
      </w:r>
    </w:p>
    <w:p w14:paraId="42A681F6" w14:textId="733EA918" w:rsidR="002D315A" w:rsidRDefault="002D315A" w:rsidP="00DC62A4">
      <w:pPr>
        <w:pStyle w:val="ListParagraph"/>
        <w:numPr>
          <w:ilvl w:val="1"/>
          <w:numId w:val="3"/>
        </w:numPr>
        <w:spacing w:after="120" w:line="276" w:lineRule="auto"/>
        <w:contextualSpacing w:val="0"/>
        <w:jc w:val="both"/>
      </w:pPr>
      <w:r>
        <w:t>Improve investment facilitation by providing APCI with adequate resources to play this role and ensuring close coordination by all entities involved in the investor approval process. Remove duplicate requirements and provide investors with a clear roadmap</w:t>
      </w:r>
      <w:r w:rsidR="00D56992">
        <w:t xml:space="preserve"> and timeline</w:t>
      </w:r>
      <w:r>
        <w:t xml:space="preserve"> for obtaining all authorizations to </w:t>
      </w:r>
      <w:r w:rsidR="00CF30AA">
        <w:t>set up operations</w:t>
      </w:r>
      <w:r>
        <w:t>, including land acquisition procedures.</w:t>
      </w:r>
    </w:p>
    <w:p w14:paraId="7C45E378" w14:textId="51740193" w:rsidR="00FB2F48" w:rsidRPr="00FB2F48" w:rsidRDefault="00CF30AA" w:rsidP="001A0146">
      <w:pPr>
        <w:pStyle w:val="ListParagraph"/>
        <w:numPr>
          <w:ilvl w:val="1"/>
          <w:numId w:val="3"/>
        </w:numPr>
        <w:spacing w:after="120" w:line="276" w:lineRule="auto"/>
        <w:contextualSpacing w:val="0"/>
        <w:jc w:val="both"/>
      </w:pPr>
      <w:r>
        <w:lastRenderedPageBreak/>
        <w:t xml:space="preserve">Advance the development of commercial justice by </w:t>
      </w:r>
      <w:r w:rsidR="00B21B17">
        <w:t xml:space="preserve">promoting alternative dispute mechanism, </w:t>
      </w:r>
      <w:r>
        <w:t xml:space="preserve">and investing in training of judges and court staff, and IT equipment. </w:t>
      </w:r>
    </w:p>
    <w:sectPr w:rsidR="00FB2F48" w:rsidRPr="00FB2F4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5086C" w14:textId="77777777" w:rsidR="00D9639E" w:rsidRDefault="00D9639E" w:rsidP="005013FB">
      <w:pPr>
        <w:spacing w:after="0" w:line="240" w:lineRule="auto"/>
      </w:pPr>
      <w:r>
        <w:separator/>
      </w:r>
    </w:p>
  </w:endnote>
  <w:endnote w:type="continuationSeparator" w:id="0">
    <w:p w14:paraId="06896125" w14:textId="77777777" w:rsidR="00D9639E" w:rsidRDefault="00D9639E" w:rsidP="005013FB">
      <w:pPr>
        <w:spacing w:after="0" w:line="240" w:lineRule="auto"/>
      </w:pPr>
      <w:r>
        <w:continuationSeparator/>
      </w:r>
    </w:p>
  </w:endnote>
  <w:endnote w:type="continuationNotice" w:id="1">
    <w:p w14:paraId="10EF5588" w14:textId="77777777" w:rsidR="00D9639E" w:rsidRDefault="00D96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778799"/>
      <w:docPartObj>
        <w:docPartGallery w:val="Page Numbers (Bottom of Page)"/>
        <w:docPartUnique/>
      </w:docPartObj>
    </w:sdtPr>
    <w:sdtEndPr>
      <w:rPr>
        <w:noProof/>
      </w:rPr>
    </w:sdtEndPr>
    <w:sdtContent>
      <w:p w14:paraId="1A1003BB" w14:textId="0B690F56" w:rsidR="003D3E56" w:rsidRDefault="003D3E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352884" w14:textId="77777777" w:rsidR="003D3E56" w:rsidRDefault="003D3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963F7" w14:textId="77777777" w:rsidR="00D9639E" w:rsidRDefault="00D9639E" w:rsidP="005013FB">
      <w:pPr>
        <w:spacing w:after="0" w:line="240" w:lineRule="auto"/>
      </w:pPr>
      <w:r>
        <w:separator/>
      </w:r>
    </w:p>
  </w:footnote>
  <w:footnote w:type="continuationSeparator" w:id="0">
    <w:p w14:paraId="0C82AF4E" w14:textId="77777777" w:rsidR="00D9639E" w:rsidRDefault="00D9639E" w:rsidP="005013FB">
      <w:pPr>
        <w:spacing w:after="0" w:line="240" w:lineRule="auto"/>
      </w:pPr>
      <w:r>
        <w:continuationSeparator/>
      </w:r>
    </w:p>
  </w:footnote>
  <w:footnote w:type="continuationNotice" w:id="1">
    <w:p w14:paraId="6FCC13B4" w14:textId="77777777" w:rsidR="00D9639E" w:rsidRDefault="00D9639E">
      <w:pPr>
        <w:spacing w:after="0" w:line="240" w:lineRule="auto"/>
      </w:pPr>
    </w:p>
  </w:footnote>
  <w:footnote w:id="2">
    <w:p w14:paraId="4B806740" w14:textId="133D80B2" w:rsidR="00FA24C7" w:rsidRDefault="00FA24C7" w:rsidP="00FA24C7">
      <w:pPr>
        <w:pStyle w:val="FootnoteText"/>
      </w:pPr>
      <w:r w:rsidRPr="007C67AA">
        <w:rPr>
          <w:rStyle w:val="FootnoteReference"/>
        </w:rPr>
        <w:sym w:font="Symbol" w:char="F02A"/>
      </w:r>
      <w:r>
        <w:t xml:space="preserve"> </w:t>
      </w:r>
      <w:r w:rsidRPr="007710C0">
        <w:rPr>
          <w:rFonts w:cstheme="minorHAnsi"/>
        </w:rPr>
        <w:t xml:space="preserve">Senior </w:t>
      </w:r>
      <w:r>
        <w:rPr>
          <w:rFonts w:cstheme="minorHAnsi"/>
        </w:rPr>
        <w:t>private sector</w:t>
      </w:r>
      <w:r w:rsidRPr="007710C0">
        <w:rPr>
          <w:rFonts w:cstheme="minorHAnsi"/>
        </w:rPr>
        <w:t xml:space="preserve"> specialist at The World Bank </w:t>
      </w:r>
      <w:r>
        <w:rPr>
          <w:rFonts w:cstheme="minorHAnsi"/>
        </w:rPr>
        <w:t>Finance, Competitiveness, and Investment</w:t>
      </w:r>
      <w:r w:rsidRPr="007710C0">
        <w:rPr>
          <w:rFonts w:cstheme="minorHAnsi"/>
        </w:rPr>
        <w:t xml:space="preserve"> Global Practice.</w:t>
      </w:r>
    </w:p>
  </w:footnote>
  <w:footnote w:id="3">
    <w:p w14:paraId="59DA2A0F" w14:textId="1F19F875" w:rsidR="003D3E56" w:rsidRDefault="003D3E56">
      <w:pPr>
        <w:pStyle w:val="FootnoteText"/>
      </w:pPr>
      <w:r>
        <w:rPr>
          <w:rStyle w:val="FootnoteReference"/>
        </w:rPr>
        <w:footnoteRef/>
      </w:r>
      <w:r>
        <w:t xml:space="preserve"> </w:t>
      </w:r>
      <w:proofErr w:type="spellStart"/>
      <w:r w:rsidRPr="003E5268">
        <w:t>Klapper</w:t>
      </w:r>
      <w:proofErr w:type="spellEnd"/>
      <w:r w:rsidRPr="003E5268">
        <w:t xml:space="preserve">, Leora; Love, </w:t>
      </w:r>
      <w:proofErr w:type="spellStart"/>
      <w:r w:rsidRPr="003E5268">
        <w:t>Inessa</w:t>
      </w:r>
      <w:proofErr w:type="spellEnd"/>
      <w:r w:rsidRPr="003E5268">
        <w:t>. 2010. The impact of business environment reforms on new firm registration. Impact Evaluation series; no. IE 49; Policy Research working paper no. WPS 5493. Washington, DC: World Bank.</w:t>
      </w:r>
      <w:r>
        <w:t xml:space="preserve"> </w:t>
      </w:r>
      <w:r w:rsidRPr="003E5268">
        <w:t xml:space="preserve">Silvia </w:t>
      </w:r>
      <w:proofErr w:type="spellStart"/>
      <w:r w:rsidRPr="003E5268">
        <w:t>Ardagna</w:t>
      </w:r>
      <w:proofErr w:type="spellEnd"/>
      <w:r w:rsidRPr="003E5268">
        <w:t xml:space="preserve"> &amp; Annamaria Lusardi, 2010. "Explaining International Differences in Entrepreneurship: The Role of Individual Characteristics and Regulatory Constraints," NBER </w:t>
      </w:r>
      <w:proofErr w:type="spellStart"/>
      <w:proofErr w:type="gramStart"/>
      <w:r w:rsidRPr="003E5268">
        <w:t>Chapters,in</w:t>
      </w:r>
      <w:proofErr w:type="spellEnd"/>
      <w:proofErr w:type="gramEnd"/>
      <w:r w:rsidRPr="003E5268">
        <w:t>: International Differences in Entrepreneurship, pages 17-62 National Bureau of Economic Research, Inc.</w:t>
      </w:r>
      <w:r>
        <w:t xml:space="preserve"> For an overview of recent research on the impact of business regulation improvements see also the overview of World Bank. 2018. Doing Business 2019: Training for Reform. Washington, DC.</w:t>
      </w:r>
    </w:p>
  </w:footnote>
  <w:footnote w:id="4">
    <w:p w14:paraId="79C0F9D3" w14:textId="4BEFA913" w:rsidR="003D3E56" w:rsidRPr="00822CA2" w:rsidRDefault="003D3E56" w:rsidP="00822CA2">
      <w:pPr>
        <w:pStyle w:val="FootnoteText"/>
      </w:pPr>
      <w:r>
        <w:rPr>
          <w:rStyle w:val="FootnoteReference"/>
        </w:rPr>
        <w:footnoteRef/>
      </w:r>
      <w:r>
        <w:t xml:space="preserve"> The ease of doing business score, formerly known as the distance to the frontier indicator, benchmarks economies with respect to regulatory best practice, showing</w:t>
      </w:r>
      <w:r w:rsidR="009225F9">
        <w:t xml:space="preserve"> </w:t>
      </w:r>
      <w:r>
        <w:t>the absolute distance to the best regulatory performance on each Doing Business indicator.</w:t>
      </w:r>
    </w:p>
  </w:footnote>
  <w:footnote w:id="5">
    <w:p w14:paraId="5C5E49D9" w14:textId="39E7FB5B" w:rsidR="003D3E56" w:rsidRDefault="003D3E56">
      <w:pPr>
        <w:pStyle w:val="FootnoteText"/>
      </w:pPr>
      <w:r>
        <w:rPr>
          <w:rStyle w:val="FootnoteReference"/>
        </w:rPr>
        <w:footnoteRef/>
      </w:r>
      <w:r>
        <w:t xml:space="preserve"> Business reforms are improvements in the regulatory environment in the areas measured by the Doing Business indicators. The figure includes reforms in labor regulations.</w:t>
      </w:r>
    </w:p>
  </w:footnote>
  <w:footnote w:id="6">
    <w:p w14:paraId="7D4D8054" w14:textId="246E2BFC" w:rsidR="003D3E56" w:rsidRPr="002572BE" w:rsidRDefault="003D3E56">
      <w:pPr>
        <w:pStyle w:val="FootnoteText"/>
      </w:pPr>
      <w:r>
        <w:rPr>
          <w:rStyle w:val="FootnoteReference"/>
        </w:rPr>
        <w:footnoteRef/>
      </w:r>
      <w:r>
        <w:t xml:space="preserve"> Not all improvements in the regulatory environment in S</w:t>
      </w:r>
      <w:r w:rsidRPr="002572BE">
        <w:t>ão</w:t>
      </w:r>
      <w:r>
        <w:t xml:space="preserve"> Tomé and Príncipe fall under the scope of the Doing Business report. </w:t>
      </w:r>
    </w:p>
  </w:footnote>
  <w:footnote w:id="7">
    <w:p w14:paraId="39B169B3" w14:textId="77777777" w:rsidR="003D3E56" w:rsidRDefault="003D3E56" w:rsidP="008F0F10">
      <w:pPr>
        <w:pStyle w:val="FootnoteText"/>
      </w:pPr>
      <w:r>
        <w:rPr>
          <w:rStyle w:val="FootnoteReference"/>
        </w:rPr>
        <w:footnoteRef/>
      </w:r>
      <w:r>
        <w:t xml:space="preserve"> This is the reason for São Tomé and Príncipe’s low rank in the Protecting Minority Investors area of Doing Business, which measures the protection of minority shareholders against conflicts of interests by Directors and the shareholders’ rights in corporate governance.</w:t>
      </w:r>
    </w:p>
  </w:footnote>
  <w:footnote w:id="8">
    <w:p w14:paraId="5740721D" w14:textId="790978F6" w:rsidR="003D3E56" w:rsidRPr="00254EEC" w:rsidRDefault="003D3E56">
      <w:pPr>
        <w:pStyle w:val="FootnoteText"/>
      </w:pPr>
      <w:r>
        <w:rPr>
          <w:rStyle w:val="FootnoteReference"/>
        </w:rPr>
        <w:footnoteRef/>
      </w:r>
      <w:r>
        <w:t xml:space="preserve"> According to the Doing Business methodology, the minimum duration of a procedure is one day, half day if it can be done electronically. </w:t>
      </w:r>
    </w:p>
  </w:footnote>
  <w:footnote w:id="9">
    <w:p w14:paraId="20AE4FD1" w14:textId="7CB6CBB8" w:rsidR="003D3E56" w:rsidRDefault="003D3E56">
      <w:pPr>
        <w:pStyle w:val="FootnoteText"/>
      </w:pPr>
      <w:r>
        <w:rPr>
          <w:rStyle w:val="FootnoteReference"/>
        </w:rPr>
        <w:footnoteRef/>
      </w:r>
      <w:r>
        <w:t xml:space="preserve"> </w:t>
      </w:r>
      <w:hyperlink r:id="rId1" w:history="1">
        <w:r w:rsidRPr="00DB50CD">
          <w:rPr>
            <w:rStyle w:val="Hyperlink"/>
          </w:rPr>
          <w:t>http://frontoffice.gue-stp.net/licence_liste_autorisation_citi.php5#</w:t>
        </w:r>
      </w:hyperlink>
      <w:r>
        <w:t xml:space="preserve"> </w:t>
      </w:r>
    </w:p>
  </w:footnote>
  <w:footnote w:id="10">
    <w:p w14:paraId="778D2561" w14:textId="77777777" w:rsidR="00EC21EB" w:rsidRDefault="00EC21EB" w:rsidP="00EC21EB">
      <w:pPr>
        <w:pStyle w:val="FootnoteText"/>
      </w:pPr>
      <w:r>
        <w:rPr>
          <w:rStyle w:val="FootnoteReference"/>
        </w:rPr>
        <w:footnoteRef/>
      </w:r>
      <w:r>
        <w:t xml:space="preserve"> U.S. Department of State.</w:t>
      </w:r>
      <w:r w:rsidRPr="0058389A">
        <w:t xml:space="preserve"> </w:t>
      </w:r>
      <w:hyperlink r:id="rId2" w:anchor="wrapper" w:history="1">
        <w:r w:rsidRPr="00061F08">
          <w:rPr>
            <w:rStyle w:val="Hyperlink"/>
          </w:rPr>
          <w:t>https://www.state.gov/e/eb/rls/othr/ics/investmentclimatestatements/index.htm#wrapper</w:t>
        </w:r>
      </w:hyperlink>
      <w:r>
        <w:t xml:space="preserve"> </w:t>
      </w:r>
    </w:p>
  </w:footnote>
  <w:footnote w:id="11">
    <w:p w14:paraId="7CDFF232" w14:textId="77777777" w:rsidR="00EC21EB" w:rsidRPr="00854869" w:rsidRDefault="00EC21EB" w:rsidP="00EC21EB">
      <w:pPr>
        <w:pStyle w:val="FootnoteText"/>
      </w:pPr>
      <w:r>
        <w:rPr>
          <w:rStyle w:val="FootnoteReference"/>
        </w:rPr>
        <w:footnoteRef/>
      </w:r>
      <w:r w:rsidRPr="00854869">
        <w:t xml:space="preserve"> </w:t>
      </w:r>
      <w:proofErr w:type="spellStart"/>
      <w:r w:rsidRPr="00854869">
        <w:t>Decreto</w:t>
      </w:r>
      <w:proofErr w:type="spellEnd"/>
      <w:r w:rsidRPr="00854869">
        <w:t xml:space="preserve"> Lei </w:t>
      </w:r>
      <w:proofErr w:type="gramStart"/>
      <w:r w:rsidRPr="00854869">
        <w:t>n.º</w:t>
      </w:r>
      <w:proofErr w:type="gramEnd"/>
      <w:r w:rsidRPr="00854869">
        <w:t xml:space="preserve"> 15/2016. </w:t>
      </w:r>
    </w:p>
  </w:footnote>
  <w:footnote w:id="12">
    <w:p w14:paraId="1B1F1BFD" w14:textId="40EADFF6" w:rsidR="003D3E56" w:rsidRDefault="003D3E56">
      <w:pPr>
        <w:pStyle w:val="FootnoteText"/>
      </w:pPr>
      <w:r>
        <w:rPr>
          <w:rStyle w:val="FootnoteReference"/>
        </w:rPr>
        <w:footnoteRef/>
      </w:r>
      <w:r>
        <w:t xml:space="preserve"> </w:t>
      </w:r>
      <w:r w:rsidRPr="005013FB">
        <w:t>Sao Tomé e Principe Investment Promotion Strategy 2017-2019</w:t>
      </w:r>
      <w:r>
        <w:t xml:space="preserve"> (2016), prepared with support from the IFC São Tomé and Príncipe Investment Climate Project.</w:t>
      </w:r>
    </w:p>
  </w:footnote>
  <w:footnote w:id="13">
    <w:p w14:paraId="6B5B7246" w14:textId="1D8EAE36" w:rsidR="003D3E56" w:rsidRDefault="003D3E56">
      <w:pPr>
        <w:pStyle w:val="FootnoteText"/>
      </w:pPr>
      <w:r>
        <w:rPr>
          <w:rStyle w:val="FootnoteReference"/>
        </w:rPr>
        <w:footnoteRef/>
      </w:r>
      <w:r>
        <w:t xml:space="preserve"> </w:t>
      </w:r>
      <w:proofErr w:type="spellStart"/>
      <w:r w:rsidRPr="001F6B27">
        <w:t>De</w:t>
      </w:r>
      <w:r>
        <w:t>creto</w:t>
      </w:r>
      <w:proofErr w:type="spellEnd"/>
      <w:r>
        <w:t xml:space="preserve"> No. </w:t>
      </w:r>
      <w:r w:rsidRPr="001F6B27">
        <w:t>57/2013</w:t>
      </w:r>
      <w:r>
        <w:t>.</w:t>
      </w:r>
    </w:p>
  </w:footnote>
  <w:footnote w:id="14">
    <w:p w14:paraId="7272F3D6" w14:textId="0D9EACA6" w:rsidR="003D3E56" w:rsidRDefault="003D3E56">
      <w:pPr>
        <w:pStyle w:val="FootnoteText"/>
      </w:pPr>
      <w:r>
        <w:rPr>
          <w:rStyle w:val="FootnoteReference"/>
        </w:rPr>
        <w:footnoteRef/>
      </w:r>
      <w:r>
        <w:t xml:space="preserve"> The IFC São Tomé and Príncipe Investment Climate Project supported capacity building to facilitate tourism investment and clarify the approval procedures for potential investors.</w:t>
      </w:r>
    </w:p>
  </w:footnote>
  <w:footnote w:id="15">
    <w:p w14:paraId="6002D58C" w14:textId="7F9BB6C4" w:rsidR="003D3E56" w:rsidRPr="005801C0" w:rsidRDefault="003D3E56" w:rsidP="00AD617B">
      <w:pPr>
        <w:pStyle w:val="FootnoteText"/>
        <w:rPr>
          <w:lang w:val="pt-PT"/>
        </w:rPr>
      </w:pPr>
      <w:r>
        <w:rPr>
          <w:rStyle w:val="FootnoteReference"/>
        </w:rPr>
        <w:footnoteRef/>
      </w:r>
      <w:r w:rsidRPr="005801C0">
        <w:rPr>
          <w:lang w:val="pt-PT"/>
        </w:rPr>
        <w:t xml:space="preserve"> </w:t>
      </w:r>
      <w:bookmarkStart w:id="4" w:name="_Hlk532276958"/>
      <w:r w:rsidRPr="005801C0">
        <w:rPr>
          <w:lang w:val="pt-PT"/>
        </w:rPr>
        <w:t xml:space="preserve">Decreto Lei No. 19/2015 of </w:t>
      </w:r>
      <w:proofErr w:type="spellStart"/>
      <w:r w:rsidRPr="005801C0">
        <w:rPr>
          <w:lang w:val="pt-PT"/>
        </w:rPr>
        <w:t>December</w:t>
      </w:r>
      <w:proofErr w:type="spellEnd"/>
      <w:r w:rsidRPr="005801C0">
        <w:rPr>
          <w:lang w:val="pt-PT"/>
        </w:rPr>
        <w:t xml:space="preserve"> 31, 2015, No. 166: "Aprova o regulamento de construção e habita</w:t>
      </w:r>
      <w:r>
        <w:rPr>
          <w:lang w:val="pt-PT"/>
        </w:rPr>
        <w:t>çã</w:t>
      </w:r>
      <w:r w:rsidRPr="005801C0">
        <w:rPr>
          <w:lang w:val="pt-PT"/>
        </w:rPr>
        <w:t>o</w:t>
      </w:r>
    </w:p>
    <w:p w14:paraId="2D84B072" w14:textId="1E4FB62C" w:rsidR="003D3E56" w:rsidRPr="005801C0" w:rsidRDefault="003D3E56" w:rsidP="00AD617B">
      <w:pPr>
        <w:pStyle w:val="FootnoteText"/>
        <w:rPr>
          <w:lang w:val="pt-PT"/>
        </w:rPr>
      </w:pPr>
      <w:r>
        <w:rPr>
          <w:lang w:val="pt-PT"/>
        </w:rPr>
        <w:t>urbana de STP</w:t>
      </w:r>
      <w:r w:rsidRPr="005801C0">
        <w:rPr>
          <w:lang w:val="pt-PT"/>
        </w:rPr>
        <w:t xml:space="preserve">" </w:t>
      </w:r>
      <w:proofErr w:type="spellStart"/>
      <w:r>
        <w:rPr>
          <w:lang w:val="pt-PT"/>
        </w:rPr>
        <w:t>and</w:t>
      </w:r>
      <w:proofErr w:type="spellEnd"/>
      <w:r w:rsidRPr="005801C0">
        <w:rPr>
          <w:lang w:val="pt-PT"/>
        </w:rPr>
        <w:t xml:space="preserve"> Decreto Lei 20/2015: "Aprova o regulamento de </w:t>
      </w:r>
      <w:proofErr w:type="spellStart"/>
      <w:r w:rsidRPr="005801C0">
        <w:rPr>
          <w:lang w:val="pt-PT"/>
        </w:rPr>
        <w:t>actividades</w:t>
      </w:r>
      <w:proofErr w:type="spellEnd"/>
      <w:r w:rsidRPr="005801C0">
        <w:rPr>
          <w:lang w:val="pt-PT"/>
        </w:rPr>
        <w:t xml:space="preserve"> de empreiteiros de obras</w:t>
      </w:r>
      <w:r>
        <w:rPr>
          <w:lang w:val="pt-PT"/>
        </w:rPr>
        <w:t>.”</w:t>
      </w:r>
      <w:bookmarkEnd w:id="4"/>
    </w:p>
  </w:footnote>
  <w:footnote w:id="16">
    <w:p w14:paraId="1B08041D" w14:textId="77777777" w:rsidR="00AD2A4A" w:rsidRDefault="00AD2A4A" w:rsidP="00AD2A4A">
      <w:pPr>
        <w:pStyle w:val="FootnoteText"/>
      </w:pPr>
      <w:r w:rsidRPr="002F6968">
        <w:rPr>
          <w:rStyle w:val="FootnoteReference"/>
        </w:rPr>
        <w:footnoteRef/>
      </w:r>
      <w:r w:rsidRPr="002F6968">
        <w:t xml:space="preserve"> </w:t>
      </w:r>
      <w:r w:rsidRPr="002F6968">
        <w:rPr>
          <w:rFonts w:cstheme="minorHAnsi"/>
          <w:lang w:val="en"/>
        </w:rPr>
        <w:t>The building quality control index is based on six indices—the quality of building regulations, quality control before, during, and after construction, liability and insurance regimes, and professional certifications indices.</w:t>
      </w:r>
      <w:r w:rsidRPr="002F6968">
        <w:rPr>
          <w:rFonts w:ascii="Open Sans" w:hAnsi="Open Sans" w:cs="Helvetica"/>
          <w:lang w:val="en"/>
        </w:rPr>
        <w:t xml:space="preserve"> </w:t>
      </w:r>
    </w:p>
  </w:footnote>
  <w:footnote w:id="17">
    <w:p w14:paraId="1094037E" w14:textId="77777777" w:rsidR="003D3E56" w:rsidRDefault="003D3E56" w:rsidP="00DD12E4">
      <w:pPr>
        <w:pStyle w:val="FootnoteText"/>
      </w:pPr>
      <w:r>
        <w:rPr>
          <w:rStyle w:val="FootnoteReference"/>
        </w:rPr>
        <w:footnoteRef/>
      </w:r>
      <w:r>
        <w:t xml:space="preserve"> </w:t>
      </w:r>
      <w:r w:rsidRPr="00012BBB">
        <w:rPr>
          <w:rFonts w:cstheme="minorHAnsi"/>
        </w:rPr>
        <w:t>Port Authority, Airport Authority, Customs Administration, Tax Administration, Department of Trade, Department of Public Health, Department of Livestock, Phyto-sanitary Department, Transport Department and Fiscal Police</w:t>
      </w:r>
      <w:r>
        <w:rPr>
          <w:rFonts w:cstheme="minorHAnsi"/>
        </w:rPr>
        <w:t>.</w:t>
      </w:r>
    </w:p>
  </w:footnote>
  <w:footnote w:id="18">
    <w:p w14:paraId="1956A49C" w14:textId="77777777" w:rsidR="003D3E56" w:rsidRDefault="003D3E56" w:rsidP="00DD12E4">
      <w:pPr>
        <w:pStyle w:val="FootnoteText"/>
        <w:tabs>
          <w:tab w:val="left" w:pos="783"/>
        </w:tabs>
      </w:pPr>
      <w:r>
        <w:rPr>
          <w:rStyle w:val="FootnoteReference"/>
        </w:rPr>
        <w:footnoteRef/>
      </w:r>
      <w:r>
        <w:t xml:space="preserve"> </w:t>
      </w:r>
      <w:r w:rsidRPr="0045326C">
        <w:t>All imports to STP are subject to documentary check, and about 45% of all imports are selected for physical control (</w:t>
      </w:r>
      <w:r>
        <w:t xml:space="preserve">about 35 percent for the </w:t>
      </w:r>
      <w:r w:rsidRPr="0045326C">
        <w:t>Veterinary Department, and</w:t>
      </w:r>
      <w:r>
        <w:t xml:space="preserve"> about 33 percent for</w:t>
      </w:r>
      <w:r w:rsidRPr="0045326C">
        <w:t xml:space="preserve"> Plant Department</w:t>
      </w:r>
      <w:r>
        <w:t xml:space="preserve">). </w:t>
      </w:r>
      <w:r w:rsidRPr="0045326C">
        <w:t xml:space="preserve">Technical agencies </w:t>
      </w:r>
      <w:r>
        <w:t>use</w:t>
      </w:r>
      <w:r w:rsidRPr="0045326C">
        <w:t xml:space="preserve"> the selectivity module</w:t>
      </w:r>
      <w:r>
        <w:t xml:space="preserve"> in ASYCUDA World</w:t>
      </w:r>
      <w:r w:rsidRPr="0045326C">
        <w:t xml:space="preserve"> to identify high risk products and importers to ensure compliance.</w:t>
      </w:r>
    </w:p>
  </w:footnote>
  <w:footnote w:id="19">
    <w:p w14:paraId="12AA6EEB" w14:textId="11753C60" w:rsidR="003D3E56" w:rsidRPr="00613EA5" w:rsidRDefault="003D3E56">
      <w:pPr>
        <w:pStyle w:val="FootnoteText"/>
      </w:pPr>
      <w:r>
        <w:rPr>
          <w:rStyle w:val="FootnoteReference"/>
        </w:rPr>
        <w:footnoteRef/>
      </w:r>
      <w:r>
        <w:t xml:space="preserve"> </w:t>
      </w:r>
      <w:r w:rsidRPr="00613EA5">
        <w:t>The ease of trading across b</w:t>
      </w:r>
      <w:r>
        <w:t xml:space="preserve">orders index increased from 62.43 points (100 being the best regulatory practice) in Doing Business 2015 to 66.03 in Doing Business 2019. </w:t>
      </w:r>
    </w:p>
  </w:footnote>
  <w:footnote w:id="20">
    <w:p w14:paraId="2BF5B21D" w14:textId="77777777" w:rsidR="003D3E56" w:rsidRDefault="003D3E56" w:rsidP="00DD12E4">
      <w:pPr>
        <w:pStyle w:val="FootnoteText"/>
      </w:pPr>
      <w:r>
        <w:rPr>
          <w:rStyle w:val="FootnoteReference"/>
        </w:rPr>
        <w:footnoteRef/>
      </w:r>
      <w:r>
        <w:t xml:space="preserve"> World Bank. 2014. Diagnostic on Trade Integration Study. Washington DC.</w:t>
      </w:r>
    </w:p>
  </w:footnote>
  <w:footnote w:id="21">
    <w:p w14:paraId="67BB04DE" w14:textId="77777777" w:rsidR="00AF7BE3" w:rsidRDefault="00AF7BE3" w:rsidP="00AF7BE3">
      <w:pPr>
        <w:pStyle w:val="FootnoteText"/>
      </w:pPr>
      <w:r>
        <w:rPr>
          <w:rStyle w:val="FootnoteReference"/>
        </w:rPr>
        <w:footnoteRef/>
      </w:r>
      <w:r>
        <w:t xml:space="preserve"> </w:t>
      </w:r>
      <w:proofErr w:type="spellStart"/>
      <w:r>
        <w:t>Decreto</w:t>
      </w:r>
      <w:proofErr w:type="spellEnd"/>
      <w:r>
        <w:t xml:space="preserve"> Lei 05/17.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59C"/>
    <w:multiLevelType w:val="multilevel"/>
    <w:tmpl w:val="571C2F10"/>
    <w:lvl w:ilvl="0">
      <w:start w:val="1"/>
      <w:numFmt w:val="upperRoman"/>
      <w:lvlText w:val="%1."/>
      <w:lvlJc w:val="righ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BA70B9"/>
    <w:multiLevelType w:val="hybridMultilevel"/>
    <w:tmpl w:val="726E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B21DC"/>
    <w:multiLevelType w:val="hybridMultilevel"/>
    <w:tmpl w:val="3E3AB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E25DC"/>
    <w:multiLevelType w:val="hybridMultilevel"/>
    <w:tmpl w:val="41826CE8"/>
    <w:lvl w:ilvl="0" w:tplc="104A43B6">
      <w:start w:val="1"/>
      <w:numFmt w:val="decimal"/>
      <w:lvlText w:val="%1."/>
      <w:lvlJc w:val="left"/>
      <w:pPr>
        <w:ind w:left="360" w:hanging="360"/>
      </w:pPr>
      <w:rPr>
        <w:rFonts w:asciiTheme="minorHAnsi" w:hAnsiTheme="minorHAnsi" w:cstheme="minorHAnsi" w:hint="default"/>
        <w:b w:val="0"/>
      </w:rPr>
    </w:lvl>
    <w:lvl w:ilvl="1" w:tplc="FFD2B08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E93060"/>
    <w:multiLevelType w:val="hybridMultilevel"/>
    <w:tmpl w:val="2E0C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A60F1"/>
    <w:multiLevelType w:val="hybridMultilevel"/>
    <w:tmpl w:val="6D20C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D2903"/>
    <w:multiLevelType w:val="hybridMultilevel"/>
    <w:tmpl w:val="743EE744"/>
    <w:lvl w:ilvl="0" w:tplc="0409000F">
      <w:start w:val="1"/>
      <w:numFmt w:val="decimal"/>
      <w:lvlText w:val="%1."/>
      <w:lvlJc w:val="left"/>
      <w:pPr>
        <w:ind w:left="0" w:firstLine="0"/>
      </w:pPr>
      <w:rPr>
        <w:rFonts w:hint="default"/>
        <w:b w:val="0"/>
        <w:sz w:val="22"/>
        <w:szCs w:val="22"/>
      </w:rPr>
    </w:lvl>
    <w:lvl w:ilvl="1" w:tplc="4C4C6734">
      <w:start w:val="1"/>
      <w:numFmt w:val="lowerLetter"/>
      <w:lvlText w:val="%2."/>
      <w:lvlJc w:val="left"/>
      <w:pPr>
        <w:ind w:left="1440" w:hanging="360"/>
      </w:pPr>
    </w:lvl>
    <w:lvl w:ilvl="2" w:tplc="922C20DC">
      <w:start w:val="1"/>
      <w:numFmt w:val="lowerRoman"/>
      <w:lvlText w:val="%3)"/>
      <w:lvlJc w:val="left"/>
      <w:pPr>
        <w:ind w:left="2700" w:hanging="720"/>
      </w:pPr>
      <w:rPr>
        <w:rFonts w:hint="default"/>
      </w:rPr>
    </w:lvl>
    <w:lvl w:ilvl="3" w:tplc="F7307BF2" w:tentative="1">
      <w:start w:val="1"/>
      <w:numFmt w:val="decimal"/>
      <w:lvlText w:val="%4."/>
      <w:lvlJc w:val="left"/>
      <w:pPr>
        <w:ind w:left="2880" w:hanging="360"/>
      </w:pPr>
    </w:lvl>
    <w:lvl w:ilvl="4" w:tplc="55AE85CE" w:tentative="1">
      <w:start w:val="1"/>
      <w:numFmt w:val="lowerLetter"/>
      <w:lvlText w:val="%5."/>
      <w:lvlJc w:val="left"/>
      <w:pPr>
        <w:ind w:left="3600" w:hanging="360"/>
      </w:pPr>
    </w:lvl>
    <w:lvl w:ilvl="5" w:tplc="B5AC2250" w:tentative="1">
      <w:start w:val="1"/>
      <w:numFmt w:val="lowerRoman"/>
      <w:lvlText w:val="%6."/>
      <w:lvlJc w:val="right"/>
      <w:pPr>
        <w:ind w:left="4320" w:hanging="180"/>
      </w:pPr>
    </w:lvl>
    <w:lvl w:ilvl="6" w:tplc="BA529568" w:tentative="1">
      <w:start w:val="1"/>
      <w:numFmt w:val="decimal"/>
      <w:lvlText w:val="%7."/>
      <w:lvlJc w:val="left"/>
      <w:pPr>
        <w:ind w:left="5040" w:hanging="360"/>
      </w:pPr>
    </w:lvl>
    <w:lvl w:ilvl="7" w:tplc="3208CE9E" w:tentative="1">
      <w:start w:val="1"/>
      <w:numFmt w:val="lowerLetter"/>
      <w:lvlText w:val="%8."/>
      <w:lvlJc w:val="left"/>
      <w:pPr>
        <w:ind w:left="5760" w:hanging="360"/>
      </w:pPr>
    </w:lvl>
    <w:lvl w:ilvl="8" w:tplc="3EC6BFE8" w:tentative="1">
      <w:start w:val="1"/>
      <w:numFmt w:val="lowerRoman"/>
      <w:lvlText w:val="%9."/>
      <w:lvlJc w:val="right"/>
      <w:pPr>
        <w:ind w:left="6480" w:hanging="180"/>
      </w:pPr>
    </w:lvl>
  </w:abstractNum>
  <w:abstractNum w:abstractNumId="7" w15:restartNumberingAfterBreak="0">
    <w:nsid w:val="65E12838"/>
    <w:multiLevelType w:val="hybridMultilevel"/>
    <w:tmpl w:val="62969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82228"/>
    <w:multiLevelType w:val="hybridMultilevel"/>
    <w:tmpl w:val="26308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1"/>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C1"/>
    <w:rsid w:val="000074E3"/>
    <w:rsid w:val="00012BBB"/>
    <w:rsid w:val="000276E8"/>
    <w:rsid w:val="00027B95"/>
    <w:rsid w:val="00027D83"/>
    <w:rsid w:val="000303B3"/>
    <w:rsid w:val="000325B0"/>
    <w:rsid w:val="000357DE"/>
    <w:rsid w:val="000435E5"/>
    <w:rsid w:val="000447E8"/>
    <w:rsid w:val="00047C99"/>
    <w:rsid w:val="000710B4"/>
    <w:rsid w:val="00076849"/>
    <w:rsid w:val="00076C55"/>
    <w:rsid w:val="00081C1E"/>
    <w:rsid w:val="000C0B4B"/>
    <w:rsid w:val="000C1A86"/>
    <w:rsid w:val="000E0497"/>
    <w:rsid w:val="000E710F"/>
    <w:rsid w:val="000E7271"/>
    <w:rsid w:val="000F4ABA"/>
    <w:rsid w:val="0010081F"/>
    <w:rsid w:val="00102223"/>
    <w:rsid w:val="001029E0"/>
    <w:rsid w:val="00124EC2"/>
    <w:rsid w:val="001334FE"/>
    <w:rsid w:val="001430C1"/>
    <w:rsid w:val="001469B5"/>
    <w:rsid w:val="00150997"/>
    <w:rsid w:val="00152339"/>
    <w:rsid w:val="001622FE"/>
    <w:rsid w:val="00162876"/>
    <w:rsid w:val="00162AC6"/>
    <w:rsid w:val="001752A6"/>
    <w:rsid w:val="001773B3"/>
    <w:rsid w:val="001872EA"/>
    <w:rsid w:val="00187C90"/>
    <w:rsid w:val="00193552"/>
    <w:rsid w:val="001C5E74"/>
    <w:rsid w:val="001C6396"/>
    <w:rsid w:val="001E5D8B"/>
    <w:rsid w:val="001F6B27"/>
    <w:rsid w:val="00212F6F"/>
    <w:rsid w:val="00214E5B"/>
    <w:rsid w:val="002156D5"/>
    <w:rsid w:val="00217C1F"/>
    <w:rsid w:val="0022171B"/>
    <w:rsid w:val="00222348"/>
    <w:rsid w:val="002227F3"/>
    <w:rsid w:val="002409D2"/>
    <w:rsid w:val="00240F95"/>
    <w:rsid w:val="00241DE5"/>
    <w:rsid w:val="002505EC"/>
    <w:rsid w:val="00252AE0"/>
    <w:rsid w:val="00254300"/>
    <w:rsid w:val="00254EEC"/>
    <w:rsid w:val="002572BE"/>
    <w:rsid w:val="00263B64"/>
    <w:rsid w:val="002660EA"/>
    <w:rsid w:val="00266D2C"/>
    <w:rsid w:val="00267183"/>
    <w:rsid w:val="00270814"/>
    <w:rsid w:val="00277404"/>
    <w:rsid w:val="00280F8E"/>
    <w:rsid w:val="002925E2"/>
    <w:rsid w:val="00294CAF"/>
    <w:rsid w:val="00296306"/>
    <w:rsid w:val="002A1BBE"/>
    <w:rsid w:val="002A58D4"/>
    <w:rsid w:val="002A74CD"/>
    <w:rsid w:val="002A7851"/>
    <w:rsid w:val="002B3000"/>
    <w:rsid w:val="002B539A"/>
    <w:rsid w:val="002C53B7"/>
    <w:rsid w:val="002C5A62"/>
    <w:rsid w:val="002C7463"/>
    <w:rsid w:val="002D315A"/>
    <w:rsid w:val="002D6506"/>
    <w:rsid w:val="002D7780"/>
    <w:rsid w:val="002D7ADA"/>
    <w:rsid w:val="002E3087"/>
    <w:rsid w:val="002F5721"/>
    <w:rsid w:val="002F6968"/>
    <w:rsid w:val="003019B4"/>
    <w:rsid w:val="003078F9"/>
    <w:rsid w:val="003163E5"/>
    <w:rsid w:val="00317DBD"/>
    <w:rsid w:val="00325881"/>
    <w:rsid w:val="003310B3"/>
    <w:rsid w:val="00331AC0"/>
    <w:rsid w:val="00352F25"/>
    <w:rsid w:val="003602D3"/>
    <w:rsid w:val="00363A7A"/>
    <w:rsid w:val="003758B2"/>
    <w:rsid w:val="003817B3"/>
    <w:rsid w:val="00384639"/>
    <w:rsid w:val="0039389C"/>
    <w:rsid w:val="003A05BE"/>
    <w:rsid w:val="003A39DA"/>
    <w:rsid w:val="003A6894"/>
    <w:rsid w:val="003A716B"/>
    <w:rsid w:val="003B49C7"/>
    <w:rsid w:val="003C21A7"/>
    <w:rsid w:val="003C5622"/>
    <w:rsid w:val="003D1E88"/>
    <w:rsid w:val="003D20A1"/>
    <w:rsid w:val="003D2FA7"/>
    <w:rsid w:val="003D3E56"/>
    <w:rsid w:val="003E5268"/>
    <w:rsid w:val="003E6463"/>
    <w:rsid w:val="003E7BEF"/>
    <w:rsid w:val="00402ED3"/>
    <w:rsid w:val="00407068"/>
    <w:rsid w:val="00413FC2"/>
    <w:rsid w:val="00421D0E"/>
    <w:rsid w:val="00422A63"/>
    <w:rsid w:val="0042432E"/>
    <w:rsid w:val="00433DB0"/>
    <w:rsid w:val="0043484F"/>
    <w:rsid w:val="00436BBF"/>
    <w:rsid w:val="00442F51"/>
    <w:rsid w:val="0045326C"/>
    <w:rsid w:val="00457996"/>
    <w:rsid w:val="00461B61"/>
    <w:rsid w:val="00471397"/>
    <w:rsid w:val="00480669"/>
    <w:rsid w:val="004958FC"/>
    <w:rsid w:val="004979C3"/>
    <w:rsid w:val="004A5F70"/>
    <w:rsid w:val="004B1004"/>
    <w:rsid w:val="004C054B"/>
    <w:rsid w:val="004C25A1"/>
    <w:rsid w:val="004C564E"/>
    <w:rsid w:val="004C5DF2"/>
    <w:rsid w:val="004C7081"/>
    <w:rsid w:val="004D530E"/>
    <w:rsid w:val="004D78BA"/>
    <w:rsid w:val="004E0395"/>
    <w:rsid w:val="004E3AF7"/>
    <w:rsid w:val="004E751E"/>
    <w:rsid w:val="004F634E"/>
    <w:rsid w:val="004F6870"/>
    <w:rsid w:val="005013FB"/>
    <w:rsid w:val="00504D2A"/>
    <w:rsid w:val="00506E01"/>
    <w:rsid w:val="00524F08"/>
    <w:rsid w:val="0052563D"/>
    <w:rsid w:val="00526254"/>
    <w:rsid w:val="00531CFD"/>
    <w:rsid w:val="00547C6A"/>
    <w:rsid w:val="00557F67"/>
    <w:rsid w:val="00560ABD"/>
    <w:rsid w:val="00561A40"/>
    <w:rsid w:val="00563CDE"/>
    <w:rsid w:val="0056488F"/>
    <w:rsid w:val="005655FA"/>
    <w:rsid w:val="00565893"/>
    <w:rsid w:val="00566CE0"/>
    <w:rsid w:val="00566F6E"/>
    <w:rsid w:val="00575AF8"/>
    <w:rsid w:val="005801C0"/>
    <w:rsid w:val="00581E4F"/>
    <w:rsid w:val="0058389A"/>
    <w:rsid w:val="00594731"/>
    <w:rsid w:val="005A05B6"/>
    <w:rsid w:val="005A36EC"/>
    <w:rsid w:val="005A6959"/>
    <w:rsid w:val="005B3CFE"/>
    <w:rsid w:val="005C30FF"/>
    <w:rsid w:val="005C54ED"/>
    <w:rsid w:val="005D21CC"/>
    <w:rsid w:val="005D29DF"/>
    <w:rsid w:val="005D4D39"/>
    <w:rsid w:val="005E5F28"/>
    <w:rsid w:val="005F3B8C"/>
    <w:rsid w:val="005F4F99"/>
    <w:rsid w:val="006026F5"/>
    <w:rsid w:val="00606295"/>
    <w:rsid w:val="006076D8"/>
    <w:rsid w:val="00613EA5"/>
    <w:rsid w:val="006161B7"/>
    <w:rsid w:val="006215C3"/>
    <w:rsid w:val="00626A88"/>
    <w:rsid w:val="006442A2"/>
    <w:rsid w:val="00644B6F"/>
    <w:rsid w:val="006462CC"/>
    <w:rsid w:val="0064762F"/>
    <w:rsid w:val="00654B0F"/>
    <w:rsid w:val="0066480F"/>
    <w:rsid w:val="0067423C"/>
    <w:rsid w:val="00675068"/>
    <w:rsid w:val="00676F02"/>
    <w:rsid w:val="00690C03"/>
    <w:rsid w:val="006A2165"/>
    <w:rsid w:val="006A3684"/>
    <w:rsid w:val="006A49E0"/>
    <w:rsid w:val="006B3DF1"/>
    <w:rsid w:val="00700C4A"/>
    <w:rsid w:val="007032CD"/>
    <w:rsid w:val="00721424"/>
    <w:rsid w:val="007270FB"/>
    <w:rsid w:val="0073267B"/>
    <w:rsid w:val="007438A5"/>
    <w:rsid w:val="0074426D"/>
    <w:rsid w:val="0074511F"/>
    <w:rsid w:val="00750AFA"/>
    <w:rsid w:val="007533DD"/>
    <w:rsid w:val="007544C1"/>
    <w:rsid w:val="00755EC5"/>
    <w:rsid w:val="00761310"/>
    <w:rsid w:val="00770EE8"/>
    <w:rsid w:val="0077375E"/>
    <w:rsid w:val="00776726"/>
    <w:rsid w:val="007769DD"/>
    <w:rsid w:val="00780BBD"/>
    <w:rsid w:val="00786AE0"/>
    <w:rsid w:val="00787A7C"/>
    <w:rsid w:val="00796D73"/>
    <w:rsid w:val="007A44B4"/>
    <w:rsid w:val="007A50A9"/>
    <w:rsid w:val="007B3836"/>
    <w:rsid w:val="007B4044"/>
    <w:rsid w:val="007C26A9"/>
    <w:rsid w:val="007D463B"/>
    <w:rsid w:val="007D4739"/>
    <w:rsid w:val="007E46ED"/>
    <w:rsid w:val="007F0816"/>
    <w:rsid w:val="007F31A9"/>
    <w:rsid w:val="007F7979"/>
    <w:rsid w:val="008012C5"/>
    <w:rsid w:val="008035A1"/>
    <w:rsid w:val="00804D9E"/>
    <w:rsid w:val="00806464"/>
    <w:rsid w:val="00806FFA"/>
    <w:rsid w:val="00813F50"/>
    <w:rsid w:val="00822CA2"/>
    <w:rsid w:val="00825A86"/>
    <w:rsid w:val="00830CB4"/>
    <w:rsid w:val="008367AC"/>
    <w:rsid w:val="00841083"/>
    <w:rsid w:val="008451DE"/>
    <w:rsid w:val="00854869"/>
    <w:rsid w:val="00856B83"/>
    <w:rsid w:val="00861B45"/>
    <w:rsid w:val="00866F6E"/>
    <w:rsid w:val="00866FF1"/>
    <w:rsid w:val="00875DDA"/>
    <w:rsid w:val="00881F8E"/>
    <w:rsid w:val="00886F4D"/>
    <w:rsid w:val="008A29BE"/>
    <w:rsid w:val="008A4EF5"/>
    <w:rsid w:val="008A5C12"/>
    <w:rsid w:val="008A6990"/>
    <w:rsid w:val="008B57CD"/>
    <w:rsid w:val="008B71B0"/>
    <w:rsid w:val="008C21AA"/>
    <w:rsid w:val="008C4202"/>
    <w:rsid w:val="008C77E3"/>
    <w:rsid w:val="008C7FBD"/>
    <w:rsid w:val="008D2DF9"/>
    <w:rsid w:val="008D3513"/>
    <w:rsid w:val="008D7F49"/>
    <w:rsid w:val="008E1BD3"/>
    <w:rsid w:val="008E5B9D"/>
    <w:rsid w:val="008F0F10"/>
    <w:rsid w:val="008F2BE8"/>
    <w:rsid w:val="00901A2A"/>
    <w:rsid w:val="009038B3"/>
    <w:rsid w:val="00903980"/>
    <w:rsid w:val="0090501E"/>
    <w:rsid w:val="0090552B"/>
    <w:rsid w:val="0090780F"/>
    <w:rsid w:val="009113A6"/>
    <w:rsid w:val="0091438D"/>
    <w:rsid w:val="00915331"/>
    <w:rsid w:val="00916DE5"/>
    <w:rsid w:val="0092024D"/>
    <w:rsid w:val="009208C9"/>
    <w:rsid w:val="009225F9"/>
    <w:rsid w:val="00927E0F"/>
    <w:rsid w:val="00931712"/>
    <w:rsid w:val="00937D89"/>
    <w:rsid w:val="0094344C"/>
    <w:rsid w:val="0095039C"/>
    <w:rsid w:val="009507C1"/>
    <w:rsid w:val="0096150F"/>
    <w:rsid w:val="009625CF"/>
    <w:rsid w:val="00963075"/>
    <w:rsid w:val="009733CF"/>
    <w:rsid w:val="0097346B"/>
    <w:rsid w:val="009735F1"/>
    <w:rsid w:val="0097645A"/>
    <w:rsid w:val="00976BA8"/>
    <w:rsid w:val="00992A60"/>
    <w:rsid w:val="00992CC1"/>
    <w:rsid w:val="009A2E01"/>
    <w:rsid w:val="009B6D36"/>
    <w:rsid w:val="009B74EC"/>
    <w:rsid w:val="009C291B"/>
    <w:rsid w:val="009C73D7"/>
    <w:rsid w:val="009D4342"/>
    <w:rsid w:val="009E799F"/>
    <w:rsid w:val="009F470F"/>
    <w:rsid w:val="00A1215A"/>
    <w:rsid w:val="00A2054D"/>
    <w:rsid w:val="00A332EC"/>
    <w:rsid w:val="00A418D5"/>
    <w:rsid w:val="00A42B9A"/>
    <w:rsid w:val="00A45A7B"/>
    <w:rsid w:val="00A55FA3"/>
    <w:rsid w:val="00A56380"/>
    <w:rsid w:val="00A6033E"/>
    <w:rsid w:val="00A60A88"/>
    <w:rsid w:val="00A734F7"/>
    <w:rsid w:val="00A736CB"/>
    <w:rsid w:val="00A73A9B"/>
    <w:rsid w:val="00A751DF"/>
    <w:rsid w:val="00A7766F"/>
    <w:rsid w:val="00A82985"/>
    <w:rsid w:val="00A83E42"/>
    <w:rsid w:val="00A9543C"/>
    <w:rsid w:val="00A96074"/>
    <w:rsid w:val="00A96558"/>
    <w:rsid w:val="00A96E2F"/>
    <w:rsid w:val="00AB11F9"/>
    <w:rsid w:val="00AB4724"/>
    <w:rsid w:val="00AB4B42"/>
    <w:rsid w:val="00AD24A6"/>
    <w:rsid w:val="00AD2A4A"/>
    <w:rsid w:val="00AD3079"/>
    <w:rsid w:val="00AD3C0B"/>
    <w:rsid w:val="00AD4403"/>
    <w:rsid w:val="00AD617B"/>
    <w:rsid w:val="00AD6D36"/>
    <w:rsid w:val="00AE0D1F"/>
    <w:rsid w:val="00AE1841"/>
    <w:rsid w:val="00AE2A7A"/>
    <w:rsid w:val="00AE702E"/>
    <w:rsid w:val="00AE75E1"/>
    <w:rsid w:val="00AF11A7"/>
    <w:rsid w:val="00AF3364"/>
    <w:rsid w:val="00AF5D0A"/>
    <w:rsid w:val="00AF7BE3"/>
    <w:rsid w:val="00B00377"/>
    <w:rsid w:val="00B018FA"/>
    <w:rsid w:val="00B02A93"/>
    <w:rsid w:val="00B07E67"/>
    <w:rsid w:val="00B120FC"/>
    <w:rsid w:val="00B13157"/>
    <w:rsid w:val="00B21B17"/>
    <w:rsid w:val="00B266BF"/>
    <w:rsid w:val="00B4077B"/>
    <w:rsid w:val="00B40883"/>
    <w:rsid w:val="00B40EFA"/>
    <w:rsid w:val="00B424AF"/>
    <w:rsid w:val="00B52D71"/>
    <w:rsid w:val="00B6247A"/>
    <w:rsid w:val="00B634B7"/>
    <w:rsid w:val="00B86B1E"/>
    <w:rsid w:val="00BC34CA"/>
    <w:rsid w:val="00BD0EEA"/>
    <w:rsid w:val="00BD48B3"/>
    <w:rsid w:val="00BE6411"/>
    <w:rsid w:val="00BE72CA"/>
    <w:rsid w:val="00BF59F4"/>
    <w:rsid w:val="00C023DF"/>
    <w:rsid w:val="00C14D40"/>
    <w:rsid w:val="00C20FCA"/>
    <w:rsid w:val="00C24E79"/>
    <w:rsid w:val="00C2607A"/>
    <w:rsid w:val="00C303F6"/>
    <w:rsid w:val="00C323D0"/>
    <w:rsid w:val="00C3709E"/>
    <w:rsid w:val="00C40563"/>
    <w:rsid w:val="00C501B5"/>
    <w:rsid w:val="00C55E0F"/>
    <w:rsid w:val="00C664E4"/>
    <w:rsid w:val="00C75166"/>
    <w:rsid w:val="00C77B3D"/>
    <w:rsid w:val="00C83FEC"/>
    <w:rsid w:val="00CA07E1"/>
    <w:rsid w:val="00CB1205"/>
    <w:rsid w:val="00CB5021"/>
    <w:rsid w:val="00CB5082"/>
    <w:rsid w:val="00CB7279"/>
    <w:rsid w:val="00CC2896"/>
    <w:rsid w:val="00CC437D"/>
    <w:rsid w:val="00CC4960"/>
    <w:rsid w:val="00CD2BA2"/>
    <w:rsid w:val="00CD4E0C"/>
    <w:rsid w:val="00CD656F"/>
    <w:rsid w:val="00CE2137"/>
    <w:rsid w:val="00CF2991"/>
    <w:rsid w:val="00CF30AA"/>
    <w:rsid w:val="00D014C2"/>
    <w:rsid w:val="00D055A4"/>
    <w:rsid w:val="00D3110D"/>
    <w:rsid w:val="00D36D3E"/>
    <w:rsid w:val="00D5443E"/>
    <w:rsid w:val="00D56992"/>
    <w:rsid w:val="00D57550"/>
    <w:rsid w:val="00D602BB"/>
    <w:rsid w:val="00D60FDC"/>
    <w:rsid w:val="00D62C04"/>
    <w:rsid w:val="00D73587"/>
    <w:rsid w:val="00D870F4"/>
    <w:rsid w:val="00D909C4"/>
    <w:rsid w:val="00D9639E"/>
    <w:rsid w:val="00DA3F44"/>
    <w:rsid w:val="00DB242C"/>
    <w:rsid w:val="00DC37C3"/>
    <w:rsid w:val="00DC62A4"/>
    <w:rsid w:val="00DD12E4"/>
    <w:rsid w:val="00DD575B"/>
    <w:rsid w:val="00DE27C2"/>
    <w:rsid w:val="00DE3375"/>
    <w:rsid w:val="00DE4C57"/>
    <w:rsid w:val="00DE67D6"/>
    <w:rsid w:val="00DF554C"/>
    <w:rsid w:val="00E0295F"/>
    <w:rsid w:val="00E05AE0"/>
    <w:rsid w:val="00E22108"/>
    <w:rsid w:val="00E2643A"/>
    <w:rsid w:val="00E264E3"/>
    <w:rsid w:val="00E302A3"/>
    <w:rsid w:val="00E42F7F"/>
    <w:rsid w:val="00E51617"/>
    <w:rsid w:val="00E526E2"/>
    <w:rsid w:val="00E62DAF"/>
    <w:rsid w:val="00E6559F"/>
    <w:rsid w:val="00E72511"/>
    <w:rsid w:val="00E75C02"/>
    <w:rsid w:val="00E77614"/>
    <w:rsid w:val="00E831EF"/>
    <w:rsid w:val="00E94529"/>
    <w:rsid w:val="00EA0031"/>
    <w:rsid w:val="00EA05FB"/>
    <w:rsid w:val="00EA0E6A"/>
    <w:rsid w:val="00EA1490"/>
    <w:rsid w:val="00EA641E"/>
    <w:rsid w:val="00EA781D"/>
    <w:rsid w:val="00EC054F"/>
    <w:rsid w:val="00EC21EB"/>
    <w:rsid w:val="00ED3D64"/>
    <w:rsid w:val="00EE076F"/>
    <w:rsid w:val="00EE3D7B"/>
    <w:rsid w:val="00EE57F7"/>
    <w:rsid w:val="00EF09C1"/>
    <w:rsid w:val="00EF330D"/>
    <w:rsid w:val="00EF4664"/>
    <w:rsid w:val="00EF78C1"/>
    <w:rsid w:val="00F032F7"/>
    <w:rsid w:val="00F03DF9"/>
    <w:rsid w:val="00F16BEB"/>
    <w:rsid w:val="00F264EB"/>
    <w:rsid w:val="00F41B9F"/>
    <w:rsid w:val="00F53781"/>
    <w:rsid w:val="00F60948"/>
    <w:rsid w:val="00F675C8"/>
    <w:rsid w:val="00F71098"/>
    <w:rsid w:val="00F80E06"/>
    <w:rsid w:val="00F8325D"/>
    <w:rsid w:val="00F90A62"/>
    <w:rsid w:val="00F97F20"/>
    <w:rsid w:val="00FA24C7"/>
    <w:rsid w:val="00FA5971"/>
    <w:rsid w:val="00FB03A5"/>
    <w:rsid w:val="00FB2F48"/>
    <w:rsid w:val="00FB3481"/>
    <w:rsid w:val="00FB62AE"/>
    <w:rsid w:val="00FB63C0"/>
    <w:rsid w:val="00FB748B"/>
    <w:rsid w:val="00FC5141"/>
    <w:rsid w:val="00FC70E0"/>
    <w:rsid w:val="00FD70B1"/>
    <w:rsid w:val="00FE084A"/>
    <w:rsid w:val="00FE2DAE"/>
    <w:rsid w:val="00FF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D2D5"/>
  <w15:chartTrackingRefBased/>
  <w15:docId w15:val="{B9ABED2C-1347-458C-A477-86E511A8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F02"/>
  </w:style>
  <w:style w:type="paragraph" w:styleId="Heading1">
    <w:name w:val="heading 1"/>
    <w:basedOn w:val="Normal"/>
    <w:next w:val="Normal"/>
    <w:link w:val="Heading1Char"/>
    <w:uiPriority w:val="9"/>
    <w:qFormat/>
    <w:rsid w:val="00DE4C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4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Colorful List - Accent 11,Dot pt,F5 List Paragraph,Indicator Text,List Paragraph Char Char Char,List Paragraph1,List Paragraph11,List Paragraph12,List Paragraph2,MAIN CONTENT,No Spacing1,Numbered Para 1,OBC Bullet,l"/>
    <w:basedOn w:val="Normal"/>
    <w:link w:val="ListParagraphChar"/>
    <w:uiPriority w:val="34"/>
    <w:qFormat/>
    <w:rsid w:val="00EA05FB"/>
    <w:pPr>
      <w:ind w:left="720"/>
      <w:contextualSpacing/>
    </w:pPr>
  </w:style>
  <w:style w:type="paragraph" w:styleId="Caption">
    <w:name w:val="caption"/>
    <w:basedOn w:val="Normal"/>
    <w:next w:val="Normal"/>
    <w:uiPriority w:val="35"/>
    <w:unhideWhenUsed/>
    <w:qFormat/>
    <w:rsid w:val="00407068"/>
    <w:pPr>
      <w:spacing w:after="200" w:line="240" w:lineRule="auto"/>
    </w:pPr>
    <w:rPr>
      <w:b/>
      <w:bCs/>
      <w:color w:val="5B9BD5" w:themeColor="accent1"/>
      <w:sz w:val="18"/>
      <w:szCs w:val="18"/>
    </w:rPr>
  </w:style>
  <w:style w:type="table" w:styleId="TableGrid">
    <w:name w:val="Table Grid"/>
    <w:basedOn w:val="TableNormal"/>
    <w:uiPriority w:val="39"/>
    <w:rsid w:val="004070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FB2F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CommentReference">
    <w:name w:val="annotation reference"/>
    <w:basedOn w:val="DefaultParagraphFont"/>
    <w:uiPriority w:val="99"/>
    <w:semiHidden/>
    <w:unhideWhenUsed/>
    <w:rsid w:val="00AB4724"/>
    <w:rPr>
      <w:sz w:val="16"/>
      <w:szCs w:val="16"/>
    </w:rPr>
  </w:style>
  <w:style w:type="paragraph" w:styleId="CommentText">
    <w:name w:val="annotation text"/>
    <w:basedOn w:val="Normal"/>
    <w:link w:val="CommentTextChar"/>
    <w:uiPriority w:val="99"/>
    <w:semiHidden/>
    <w:unhideWhenUsed/>
    <w:rsid w:val="00AB4724"/>
    <w:pPr>
      <w:spacing w:line="240" w:lineRule="auto"/>
    </w:pPr>
    <w:rPr>
      <w:sz w:val="20"/>
      <w:szCs w:val="20"/>
    </w:rPr>
  </w:style>
  <w:style w:type="character" w:customStyle="1" w:styleId="CommentTextChar">
    <w:name w:val="Comment Text Char"/>
    <w:basedOn w:val="DefaultParagraphFont"/>
    <w:link w:val="CommentText"/>
    <w:uiPriority w:val="99"/>
    <w:semiHidden/>
    <w:rsid w:val="00AB4724"/>
    <w:rPr>
      <w:sz w:val="20"/>
      <w:szCs w:val="20"/>
    </w:rPr>
  </w:style>
  <w:style w:type="paragraph" w:styleId="CommentSubject">
    <w:name w:val="annotation subject"/>
    <w:basedOn w:val="CommentText"/>
    <w:next w:val="CommentText"/>
    <w:link w:val="CommentSubjectChar"/>
    <w:uiPriority w:val="99"/>
    <w:semiHidden/>
    <w:unhideWhenUsed/>
    <w:rsid w:val="00AB4724"/>
    <w:rPr>
      <w:b/>
      <w:bCs/>
    </w:rPr>
  </w:style>
  <w:style w:type="character" w:customStyle="1" w:styleId="CommentSubjectChar">
    <w:name w:val="Comment Subject Char"/>
    <w:basedOn w:val="CommentTextChar"/>
    <w:link w:val="CommentSubject"/>
    <w:uiPriority w:val="99"/>
    <w:semiHidden/>
    <w:rsid w:val="00AB4724"/>
    <w:rPr>
      <w:b/>
      <w:bCs/>
      <w:sz w:val="20"/>
      <w:szCs w:val="20"/>
    </w:rPr>
  </w:style>
  <w:style w:type="paragraph" w:styleId="BalloonText">
    <w:name w:val="Balloon Text"/>
    <w:basedOn w:val="Normal"/>
    <w:link w:val="BalloonTextChar"/>
    <w:uiPriority w:val="99"/>
    <w:semiHidden/>
    <w:unhideWhenUsed/>
    <w:rsid w:val="00AB4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24"/>
    <w:rPr>
      <w:rFonts w:ascii="Segoe UI" w:hAnsi="Segoe UI" w:cs="Segoe UI"/>
      <w:sz w:val="18"/>
      <w:szCs w:val="18"/>
    </w:rPr>
  </w:style>
  <w:style w:type="paragraph" w:styleId="FootnoteText">
    <w:name w:val="footnote text"/>
    <w:aliases w:val="fn,FOOTNOTES,single space,ft,Char,f,Footnote Text Char1,Footnote Text Char2 Char,Footnote Text Char1 Char Char,Footnote Text Char2 Char Char Char,Footnote Text Char1 Char Char Char Char,ALTS FOOTNOTE,Footnote Text Char Char Char1,ADB,o"/>
    <w:basedOn w:val="Normal"/>
    <w:link w:val="FootnoteTextChar"/>
    <w:uiPriority w:val="99"/>
    <w:unhideWhenUsed/>
    <w:qFormat/>
    <w:rsid w:val="005013FB"/>
    <w:pPr>
      <w:spacing w:after="0" w:line="240" w:lineRule="auto"/>
    </w:pPr>
    <w:rPr>
      <w:sz w:val="20"/>
      <w:szCs w:val="20"/>
    </w:rPr>
  </w:style>
  <w:style w:type="character" w:customStyle="1" w:styleId="FootnoteTextChar">
    <w:name w:val="Footnote Text Char"/>
    <w:aliases w:val="fn Char,FOOTNOTES Char,single space Char,ft Char,Char Char,f Char,Footnote Text Char1 Char,Footnote Text Char2 Char Char,Footnote Text Char1 Char Char Char,Footnote Text Char2 Char Char Char Char,ALTS FOOTNOTE Char,ADB Char,o Char"/>
    <w:basedOn w:val="DefaultParagraphFont"/>
    <w:link w:val="FootnoteText"/>
    <w:uiPriority w:val="99"/>
    <w:rsid w:val="005013FB"/>
    <w:rPr>
      <w:sz w:val="20"/>
      <w:szCs w:val="20"/>
    </w:rPr>
  </w:style>
  <w:style w:type="character" w:styleId="FootnoteReference">
    <w:name w:val="footnote reference"/>
    <w:aliases w:val="ftref,16 Point,Superscript 6 Point,Car Car Char Car Char Car Car Char Car Char Char,Car Car Car Car Car Car Car Car Char Car Car Char Car Car Car Char Car Char Char Char,SUPERS,BVI f,Footnote Reference Number,Footnote Reference_LVL6"/>
    <w:basedOn w:val="DefaultParagraphFont"/>
    <w:link w:val="BVIfnr"/>
    <w:uiPriority w:val="99"/>
    <w:unhideWhenUsed/>
    <w:qFormat/>
    <w:rsid w:val="005013FB"/>
    <w:rPr>
      <w:vertAlign w:val="superscript"/>
    </w:rPr>
  </w:style>
  <w:style w:type="character" w:styleId="Hyperlink">
    <w:name w:val="Hyperlink"/>
    <w:basedOn w:val="DefaultParagraphFont"/>
    <w:uiPriority w:val="99"/>
    <w:unhideWhenUsed/>
    <w:rsid w:val="0058389A"/>
    <w:rPr>
      <w:color w:val="0563C1" w:themeColor="hyperlink"/>
      <w:u w:val="single"/>
    </w:rPr>
  </w:style>
  <w:style w:type="character" w:styleId="UnresolvedMention">
    <w:name w:val="Unresolved Mention"/>
    <w:basedOn w:val="DefaultParagraphFont"/>
    <w:uiPriority w:val="99"/>
    <w:semiHidden/>
    <w:unhideWhenUsed/>
    <w:rsid w:val="0058389A"/>
    <w:rPr>
      <w:color w:val="808080"/>
      <w:shd w:val="clear" w:color="auto" w:fill="E6E6E6"/>
    </w:rPr>
  </w:style>
  <w:style w:type="paragraph" w:styleId="Header">
    <w:name w:val="header"/>
    <w:basedOn w:val="Normal"/>
    <w:link w:val="HeaderChar"/>
    <w:uiPriority w:val="99"/>
    <w:unhideWhenUsed/>
    <w:rsid w:val="00C26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07A"/>
  </w:style>
  <w:style w:type="paragraph" w:styleId="Footer">
    <w:name w:val="footer"/>
    <w:basedOn w:val="Normal"/>
    <w:link w:val="FooterChar"/>
    <w:uiPriority w:val="99"/>
    <w:unhideWhenUsed/>
    <w:rsid w:val="00C26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07A"/>
  </w:style>
  <w:style w:type="character" w:customStyle="1" w:styleId="apple-converted-space">
    <w:name w:val="apple-converted-space"/>
    <w:basedOn w:val="DefaultParagraphFont"/>
    <w:rsid w:val="002D7ADA"/>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l Char"/>
    <w:basedOn w:val="DefaultParagraphFont"/>
    <w:link w:val="ListParagraph"/>
    <w:uiPriority w:val="34"/>
    <w:qFormat/>
    <w:locked/>
    <w:rsid w:val="00806464"/>
  </w:style>
  <w:style w:type="character" w:customStyle="1" w:styleId="Heading1Char">
    <w:name w:val="Heading 1 Char"/>
    <w:basedOn w:val="DefaultParagraphFont"/>
    <w:link w:val="Heading1"/>
    <w:uiPriority w:val="9"/>
    <w:rsid w:val="00DE4C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4C57"/>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CB7279"/>
    <w:pPr>
      <w:spacing w:after="0" w:line="240" w:lineRule="auto"/>
    </w:pPr>
  </w:style>
  <w:style w:type="paragraph" w:customStyle="1" w:styleId="BVIfnr">
    <w:name w:val="BVI fnr"/>
    <w:aliases w:val="BVI fnr Car Car,BVI fnr Car,BVI fnr Car Car Car Car Char"/>
    <w:basedOn w:val="Normal"/>
    <w:link w:val="FootnoteReference"/>
    <w:uiPriority w:val="99"/>
    <w:rsid w:val="00FA24C7"/>
    <w:pPr>
      <w:spacing w:before="12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38">
      <w:bodyDiv w:val="1"/>
      <w:marLeft w:val="0"/>
      <w:marRight w:val="0"/>
      <w:marTop w:val="0"/>
      <w:marBottom w:val="0"/>
      <w:divBdr>
        <w:top w:val="none" w:sz="0" w:space="0" w:color="auto"/>
        <w:left w:val="none" w:sz="0" w:space="0" w:color="auto"/>
        <w:bottom w:val="none" w:sz="0" w:space="0" w:color="auto"/>
        <w:right w:val="none" w:sz="0" w:space="0" w:color="auto"/>
      </w:divBdr>
    </w:div>
    <w:div w:id="262541918">
      <w:bodyDiv w:val="1"/>
      <w:marLeft w:val="0"/>
      <w:marRight w:val="0"/>
      <w:marTop w:val="0"/>
      <w:marBottom w:val="0"/>
      <w:divBdr>
        <w:top w:val="none" w:sz="0" w:space="0" w:color="auto"/>
        <w:left w:val="none" w:sz="0" w:space="0" w:color="auto"/>
        <w:bottom w:val="none" w:sz="0" w:space="0" w:color="auto"/>
        <w:right w:val="none" w:sz="0" w:space="0" w:color="auto"/>
      </w:divBdr>
      <w:divsChild>
        <w:div w:id="166748714">
          <w:marLeft w:val="0"/>
          <w:marRight w:val="0"/>
          <w:marTop w:val="0"/>
          <w:marBottom w:val="0"/>
          <w:divBdr>
            <w:top w:val="none" w:sz="0" w:space="0" w:color="auto"/>
            <w:left w:val="none" w:sz="0" w:space="0" w:color="auto"/>
            <w:bottom w:val="none" w:sz="0" w:space="0" w:color="auto"/>
            <w:right w:val="none" w:sz="0" w:space="0" w:color="auto"/>
          </w:divBdr>
          <w:divsChild>
            <w:div w:id="1814978503">
              <w:marLeft w:val="0"/>
              <w:marRight w:val="0"/>
              <w:marTop w:val="0"/>
              <w:marBottom w:val="0"/>
              <w:divBdr>
                <w:top w:val="none" w:sz="0" w:space="0" w:color="auto"/>
                <w:left w:val="none" w:sz="0" w:space="0" w:color="auto"/>
                <w:bottom w:val="none" w:sz="0" w:space="0" w:color="auto"/>
                <w:right w:val="none" w:sz="0" w:space="0" w:color="auto"/>
              </w:divBdr>
              <w:divsChild>
                <w:div w:id="894388569">
                  <w:marLeft w:val="0"/>
                  <w:marRight w:val="0"/>
                  <w:marTop w:val="0"/>
                  <w:marBottom w:val="0"/>
                  <w:divBdr>
                    <w:top w:val="none" w:sz="0" w:space="0" w:color="auto"/>
                    <w:left w:val="none" w:sz="0" w:space="0" w:color="auto"/>
                    <w:bottom w:val="none" w:sz="0" w:space="0" w:color="auto"/>
                    <w:right w:val="none" w:sz="0" w:space="0" w:color="auto"/>
                  </w:divBdr>
                  <w:divsChild>
                    <w:div w:id="1237738391">
                      <w:marLeft w:val="0"/>
                      <w:marRight w:val="0"/>
                      <w:marTop w:val="0"/>
                      <w:marBottom w:val="0"/>
                      <w:divBdr>
                        <w:top w:val="none" w:sz="0" w:space="0" w:color="auto"/>
                        <w:left w:val="none" w:sz="0" w:space="0" w:color="auto"/>
                        <w:bottom w:val="none" w:sz="0" w:space="0" w:color="auto"/>
                        <w:right w:val="none" w:sz="0" w:space="0" w:color="auto"/>
                      </w:divBdr>
                      <w:divsChild>
                        <w:div w:id="601492933">
                          <w:marLeft w:val="0"/>
                          <w:marRight w:val="0"/>
                          <w:marTop w:val="0"/>
                          <w:marBottom w:val="0"/>
                          <w:divBdr>
                            <w:top w:val="none" w:sz="0" w:space="0" w:color="auto"/>
                            <w:left w:val="none" w:sz="0" w:space="0" w:color="auto"/>
                            <w:bottom w:val="none" w:sz="0" w:space="0" w:color="auto"/>
                            <w:right w:val="none" w:sz="0" w:space="0" w:color="auto"/>
                          </w:divBdr>
                          <w:divsChild>
                            <w:div w:id="428892985">
                              <w:marLeft w:val="0"/>
                              <w:marRight w:val="0"/>
                              <w:marTop w:val="0"/>
                              <w:marBottom w:val="0"/>
                              <w:divBdr>
                                <w:top w:val="none" w:sz="0" w:space="0" w:color="auto"/>
                                <w:left w:val="none" w:sz="0" w:space="0" w:color="auto"/>
                                <w:bottom w:val="none" w:sz="0" w:space="0" w:color="auto"/>
                                <w:right w:val="none" w:sz="0" w:space="0" w:color="auto"/>
                              </w:divBdr>
                              <w:divsChild>
                                <w:div w:id="1151561519">
                                  <w:marLeft w:val="0"/>
                                  <w:marRight w:val="0"/>
                                  <w:marTop w:val="0"/>
                                  <w:marBottom w:val="0"/>
                                  <w:divBdr>
                                    <w:top w:val="none" w:sz="0" w:space="0" w:color="auto"/>
                                    <w:left w:val="none" w:sz="0" w:space="0" w:color="auto"/>
                                    <w:bottom w:val="none" w:sz="0" w:space="0" w:color="auto"/>
                                    <w:right w:val="none" w:sz="0" w:space="0" w:color="auto"/>
                                  </w:divBdr>
                                  <w:divsChild>
                                    <w:div w:id="676495184">
                                      <w:marLeft w:val="0"/>
                                      <w:marRight w:val="0"/>
                                      <w:marTop w:val="0"/>
                                      <w:marBottom w:val="0"/>
                                      <w:divBdr>
                                        <w:top w:val="none" w:sz="0" w:space="0" w:color="auto"/>
                                        <w:left w:val="none" w:sz="0" w:space="0" w:color="auto"/>
                                        <w:bottom w:val="none" w:sz="0" w:space="0" w:color="auto"/>
                                        <w:right w:val="none" w:sz="0" w:space="0" w:color="auto"/>
                                      </w:divBdr>
                                      <w:divsChild>
                                        <w:div w:id="996883648">
                                          <w:marLeft w:val="0"/>
                                          <w:marRight w:val="0"/>
                                          <w:marTop w:val="0"/>
                                          <w:marBottom w:val="495"/>
                                          <w:divBdr>
                                            <w:top w:val="none" w:sz="0" w:space="0" w:color="auto"/>
                                            <w:left w:val="none" w:sz="0" w:space="0" w:color="auto"/>
                                            <w:bottom w:val="none" w:sz="0" w:space="0" w:color="auto"/>
                                            <w:right w:val="none" w:sz="0" w:space="0" w:color="auto"/>
                                          </w:divBdr>
                                          <w:divsChild>
                                            <w:div w:id="17955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state.gov/e/eb/rls/othr/ics/investmentclimatestatements/index.htm" TargetMode="External"/><Relationship Id="rId1" Type="http://schemas.openxmlformats.org/officeDocument/2006/relationships/hyperlink" Target="http://frontoffice.gue-stp.net/licence_liste_autorisation_citi.php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B5AA65FDAE8E51458780F093348E1907" ma:contentTypeVersion="3" ma:contentTypeDescription="" ma:contentTypeScope="" ma:versionID="2ee6ee4c0e7e71af94f8c63ae6c5e6fe">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000377165:Rafael Chelles Barroso:rbarroso@worldbank.org;</DocAuthors>
    <Authors xmlns="b99a068c-3844-4a16-badd-77233eea0529">
      <UserInfo>
        <DisplayName>i:0#.w|wb\wb377165</DisplayName>
        <AccountId>5896</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2019-06-17T04:00:00+00:00</DocumentDate>
    <WBDocType xmlns="b99a068c-3844-4a16-badd-77233eea0529">Report</WBDocType>
    <SecurityClassification xmlns="b99a068c-3844-4a16-badd-77233eea0529">Public</SecurityClassification>
    <DeliverableID xmlns="b99a068c-3844-4a16-badd-77233eea0529">DLV0251343</DeliverableID>
    <ProjectID xmlns="b99a068c-3844-4a16-badd-77233eea0529">P164180</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09517A2F-BFDF-4719-B56E-095662D61A63}">
  <ds:schemaRefs>
    <ds:schemaRef ds:uri="http://schemas.openxmlformats.org/officeDocument/2006/bibliography"/>
  </ds:schemaRefs>
</ds:datastoreItem>
</file>

<file path=customXml/itemProps2.xml><?xml version="1.0" encoding="utf-8"?>
<ds:datastoreItem xmlns:ds="http://schemas.openxmlformats.org/officeDocument/2006/customXml" ds:itemID="{8B97B68D-282B-4AFF-A213-9D0008B05FE1}"/>
</file>

<file path=customXml/itemProps3.xml><?xml version="1.0" encoding="utf-8"?>
<ds:datastoreItem xmlns:ds="http://schemas.openxmlformats.org/officeDocument/2006/customXml" ds:itemID="{995B68DE-2084-4349-89EF-096C940876C1}"/>
</file>

<file path=customXml/itemProps4.xml><?xml version="1.0" encoding="utf-8"?>
<ds:datastoreItem xmlns:ds="http://schemas.openxmlformats.org/officeDocument/2006/customXml" ds:itemID="{5DEA78CC-7345-4C94-BFBC-64BCED580A29}"/>
</file>

<file path=customXml/itemProps5.xml><?xml version="1.0" encoding="utf-8"?>
<ds:datastoreItem xmlns:ds="http://schemas.openxmlformats.org/officeDocument/2006/customXml" ds:itemID="{0DE44EB6-D7E9-4C64-B771-4988867BB746}"/>
</file>

<file path=docProps/app.xml><?xml version="1.0" encoding="utf-8"?>
<Properties xmlns="http://schemas.openxmlformats.org/officeDocument/2006/extended-properties" xmlns:vt="http://schemas.openxmlformats.org/officeDocument/2006/docPropsVTypes">
  <Template>Normal.dotm</Template>
  <TotalTime>47</TotalTime>
  <Pages>13</Pages>
  <Words>4878</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 CEM Note 6 - Business Environment</dc:title>
  <dc:subject/>
  <dc:creator>Rafael Chelles Barroso</dc:creator>
  <cp:keywords/>
  <dc:description/>
  <cp:lastModifiedBy>Rafael Chelles Barroso</cp:lastModifiedBy>
  <cp:revision>14</cp:revision>
  <cp:lastPrinted>2019-05-14T15:45:00Z</cp:lastPrinted>
  <dcterms:created xsi:type="dcterms:W3CDTF">2019-02-26T16:43:00Z</dcterms:created>
  <dcterms:modified xsi:type="dcterms:W3CDTF">2019-06-04T20:56:00Z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0x01010054E0FEF4951F9D49A6F48A35419983C700B5AA65FDAE8E51458780F093348E1907</vt:lpwstr>
  </property>
  <property fmtid="{D5CDD505-2E9C-101B-9397-08002B2CF9AE}" pid="5" name="RatedBy">
    <vt:lpwstr/>
  </property>
  <property fmtid="{D5CDD505-2E9C-101B-9397-08002B2CF9AE}" pid="7" name="LikedBy">
    <vt:lpwstr/>
  </property>
</Properties>
</file>