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AAE33" w14:textId="77777777" w:rsidR="00A126FA" w:rsidRPr="00971136" w:rsidRDefault="00283684">
      <w:pPr>
        <w:jc w:val="center"/>
        <w:rPr>
          <w:rFonts w:asciiTheme="minorHAnsi" w:hAnsiTheme="minorHAnsi" w:cstheme="minorHAnsi"/>
          <w:b/>
          <w:bCs/>
        </w:rPr>
      </w:pPr>
      <w:r w:rsidRPr="00971136">
        <w:rPr>
          <w:rFonts w:asciiTheme="minorHAnsi" w:hAnsiTheme="minorHAnsi" w:cstheme="minorHAnsi"/>
          <w:b/>
          <w:bCs/>
        </w:rPr>
        <w:t xml:space="preserve">PROGRAM </w:t>
      </w:r>
      <w:r w:rsidR="00A126FA" w:rsidRPr="00971136">
        <w:rPr>
          <w:rFonts w:asciiTheme="minorHAnsi" w:hAnsiTheme="minorHAnsi" w:cstheme="minorHAnsi"/>
          <w:b/>
          <w:bCs/>
        </w:rPr>
        <w:t>INFORMATION DOCUMENT (PID)</w:t>
      </w:r>
    </w:p>
    <w:p w14:paraId="5B89B471" w14:textId="31318978" w:rsidR="00A126FA" w:rsidRPr="00971136" w:rsidRDefault="00C34CAD">
      <w:pPr>
        <w:jc w:val="center"/>
        <w:rPr>
          <w:rFonts w:asciiTheme="minorHAnsi" w:hAnsiTheme="minorHAnsi" w:cstheme="minorHAnsi"/>
          <w:b/>
          <w:bCs/>
        </w:rPr>
      </w:pPr>
      <w:r>
        <w:rPr>
          <w:rFonts w:asciiTheme="minorHAnsi" w:hAnsiTheme="minorHAnsi" w:cstheme="minorHAnsi"/>
          <w:b/>
          <w:bCs/>
        </w:rPr>
        <w:t>APPRAISAL</w:t>
      </w:r>
      <w:r w:rsidR="00A126FA" w:rsidRPr="00971136">
        <w:rPr>
          <w:rFonts w:asciiTheme="minorHAnsi" w:hAnsiTheme="minorHAnsi" w:cstheme="minorHAnsi"/>
          <w:b/>
          <w:bCs/>
        </w:rPr>
        <w:t xml:space="preserve"> STAGE</w:t>
      </w:r>
      <w:bookmarkStart w:id="0" w:name="_GoBack"/>
      <w:bookmarkEnd w:id="0"/>
    </w:p>
    <w:p w14:paraId="4CDC2BB1" w14:textId="66C26B3C" w:rsidR="00283684" w:rsidRPr="00971136" w:rsidRDefault="007E57D8" w:rsidP="004409D4">
      <w:pPr>
        <w:ind w:left="6480"/>
        <w:rPr>
          <w:rFonts w:asciiTheme="minorHAnsi" w:hAnsiTheme="minorHAnsi" w:cstheme="minorHAnsi"/>
        </w:rPr>
      </w:pPr>
      <w:r>
        <w:rPr>
          <w:rFonts w:asciiTheme="minorHAnsi" w:hAnsiTheme="minorHAnsi" w:cstheme="minorHAnsi"/>
        </w:rPr>
        <w:t xml:space="preserve">September </w:t>
      </w:r>
      <w:r w:rsidR="00C53196">
        <w:rPr>
          <w:rFonts w:asciiTheme="minorHAnsi" w:hAnsiTheme="minorHAnsi" w:cstheme="minorHAnsi"/>
        </w:rPr>
        <w:t>30</w:t>
      </w:r>
      <w:r w:rsidR="00F51890">
        <w:rPr>
          <w:rFonts w:asciiTheme="minorHAnsi" w:hAnsiTheme="minorHAnsi" w:cstheme="minorHAnsi"/>
        </w:rPr>
        <w:t>, 2017</w:t>
      </w:r>
    </w:p>
    <w:p w14:paraId="3584FA92" w14:textId="13C96DFA" w:rsidR="001D607D" w:rsidRDefault="001D607D" w:rsidP="004409D4">
      <w:pPr>
        <w:ind w:left="6480" w:right="720"/>
        <w:rPr>
          <w:rFonts w:asciiTheme="minorHAnsi" w:hAnsiTheme="minorHAnsi" w:cstheme="minorHAnsi"/>
        </w:rPr>
      </w:pPr>
      <w:r w:rsidRPr="00971136">
        <w:rPr>
          <w:rFonts w:asciiTheme="minorHAnsi" w:hAnsiTheme="minorHAnsi" w:cstheme="minorHAnsi"/>
        </w:rPr>
        <w:t>Report No.:</w:t>
      </w:r>
      <w:r w:rsidR="004409D4">
        <w:rPr>
          <w:rFonts w:asciiTheme="minorHAnsi" w:hAnsiTheme="minorHAnsi" w:cstheme="minorHAnsi"/>
        </w:rPr>
        <w:t xml:space="preserve"> 120338 </w:t>
      </w:r>
    </w:p>
    <w:p w14:paraId="498D81A3" w14:textId="77777777" w:rsidR="00055D5D" w:rsidRPr="00971136" w:rsidRDefault="00055D5D" w:rsidP="00055D5D">
      <w:pPr>
        <w:ind w:right="720"/>
        <w:rPr>
          <w:rFonts w:asciiTheme="minorHAnsi" w:hAnsiTheme="minorHAnsi" w:cstheme="minorHAnsi"/>
        </w:rPr>
      </w:pPr>
    </w:p>
    <w:tbl>
      <w:tblPr>
        <w:tblW w:w="9427"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87"/>
        <w:gridCol w:w="5940"/>
      </w:tblGrid>
      <w:tr w:rsidR="001D607D" w:rsidRPr="00971136" w14:paraId="16BCC595" w14:textId="77777777" w:rsidTr="00352A4C">
        <w:tc>
          <w:tcPr>
            <w:tcW w:w="3487" w:type="dxa"/>
            <w:tcBorders>
              <w:top w:val="single" w:sz="4" w:space="0" w:color="auto"/>
              <w:left w:val="single" w:sz="4" w:space="0" w:color="auto"/>
              <w:bottom w:val="single" w:sz="4" w:space="0" w:color="auto"/>
              <w:right w:val="single" w:sz="4" w:space="0" w:color="auto"/>
            </w:tcBorders>
          </w:tcPr>
          <w:p w14:paraId="54B338CF" w14:textId="77777777" w:rsidR="001D607D" w:rsidRPr="00971136" w:rsidRDefault="001D607D" w:rsidP="0071072F">
            <w:pPr>
              <w:autoSpaceDE w:val="0"/>
              <w:autoSpaceDN w:val="0"/>
              <w:rPr>
                <w:rFonts w:asciiTheme="minorHAnsi" w:hAnsiTheme="minorHAnsi" w:cstheme="minorHAnsi"/>
                <w:b/>
                <w:bCs/>
                <w:color w:val="000000"/>
              </w:rPr>
            </w:pPr>
            <w:r w:rsidRPr="00971136">
              <w:rPr>
                <w:rFonts w:asciiTheme="minorHAnsi" w:hAnsiTheme="minorHAnsi" w:cstheme="minorHAnsi"/>
                <w:b/>
                <w:bCs/>
                <w:color w:val="000000"/>
              </w:rPr>
              <w:t>Operation Name</w:t>
            </w:r>
          </w:p>
        </w:tc>
        <w:tc>
          <w:tcPr>
            <w:tcW w:w="5940" w:type="dxa"/>
            <w:tcBorders>
              <w:top w:val="single" w:sz="4" w:space="0" w:color="auto"/>
              <w:left w:val="single" w:sz="4" w:space="0" w:color="auto"/>
              <w:bottom w:val="single" w:sz="4" w:space="0" w:color="auto"/>
              <w:right w:val="single" w:sz="4" w:space="0" w:color="auto"/>
            </w:tcBorders>
          </w:tcPr>
          <w:p w14:paraId="7A973AEE" w14:textId="58052043" w:rsidR="001D607D" w:rsidRPr="00971136" w:rsidRDefault="007479E7" w:rsidP="00CD341E">
            <w:pPr>
              <w:rPr>
                <w:rFonts w:asciiTheme="minorHAnsi" w:hAnsiTheme="minorHAnsi" w:cstheme="minorHAnsi"/>
                <w:caps/>
              </w:rPr>
            </w:pPr>
            <w:r w:rsidRPr="00971136">
              <w:rPr>
                <w:rFonts w:asciiTheme="minorHAnsi" w:hAnsiTheme="minorHAnsi" w:cstheme="minorHAnsi"/>
                <w:caps/>
              </w:rPr>
              <w:t xml:space="preserve">West Bank and Gaza: Fiscal </w:t>
            </w:r>
            <w:r w:rsidR="00413D8A">
              <w:rPr>
                <w:rFonts w:asciiTheme="minorHAnsi" w:hAnsiTheme="minorHAnsi" w:cstheme="minorHAnsi"/>
                <w:caps/>
              </w:rPr>
              <w:t>STABILITY and BUSINESS ENVIRONMENT</w:t>
            </w:r>
            <w:r w:rsidRPr="00971136">
              <w:rPr>
                <w:rFonts w:asciiTheme="minorHAnsi" w:hAnsiTheme="minorHAnsi" w:cstheme="minorHAnsi"/>
                <w:caps/>
              </w:rPr>
              <w:t xml:space="preserve"> Development Policy Grant</w:t>
            </w:r>
          </w:p>
        </w:tc>
      </w:tr>
      <w:tr w:rsidR="001D607D" w:rsidRPr="00971136" w14:paraId="1865D6D5" w14:textId="77777777" w:rsidTr="00352A4C">
        <w:tc>
          <w:tcPr>
            <w:tcW w:w="3487" w:type="dxa"/>
            <w:tcBorders>
              <w:top w:val="single" w:sz="4" w:space="0" w:color="auto"/>
              <w:left w:val="single" w:sz="4" w:space="0" w:color="auto"/>
              <w:bottom w:val="single" w:sz="4" w:space="0" w:color="auto"/>
              <w:right w:val="single" w:sz="4" w:space="0" w:color="auto"/>
            </w:tcBorders>
          </w:tcPr>
          <w:p w14:paraId="62F4A830" w14:textId="77777777" w:rsidR="001D607D" w:rsidRPr="00971136" w:rsidRDefault="001D607D" w:rsidP="0071072F">
            <w:pPr>
              <w:autoSpaceDE w:val="0"/>
              <w:autoSpaceDN w:val="0"/>
              <w:rPr>
                <w:rFonts w:asciiTheme="minorHAnsi" w:hAnsiTheme="minorHAnsi" w:cstheme="minorHAnsi"/>
                <w:b/>
                <w:bCs/>
                <w:color w:val="000000"/>
              </w:rPr>
            </w:pPr>
            <w:r w:rsidRPr="00971136">
              <w:rPr>
                <w:rFonts w:asciiTheme="minorHAnsi" w:hAnsiTheme="minorHAnsi" w:cstheme="minorHAnsi"/>
                <w:b/>
                <w:bCs/>
                <w:color w:val="000000"/>
              </w:rPr>
              <w:t>Region</w:t>
            </w:r>
          </w:p>
        </w:tc>
        <w:tc>
          <w:tcPr>
            <w:tcW w:w="5940" w:type="dxa"/>
            <w:tcBorders>
              <w:top w:val="single" w:sz="4" w:space="0" w:color="auto"/>
              <w:left w:val="single" w:sz="4" w:space="0" w:color="auto"/>
              <w:bottom w:val="single" w:sz="4" w:space="0" w:color="auto"/>
              <w:right w:val="single" w:sz="4" w:space="0" w:color="auto"/>
            </w:tcBorders>
          </w:tcPr>
          <w:p w14:paraId="5EE52914" w14:textId="77777777" w:rsidR="001D607D" w:rsidRPr="00971136" w:rsidRDefault="00CD341E" w:rsidP="009835DC">
            <w:pPr>
              <w:rPr>
                <w:rFonts w:asciiTheme="minorHAnsi" w:hAnsiTheme="minorHAnsi" w:cstheme="minorHAnsi"/>
              </w:rPr>
            </w:pPr>
            <w:r w:rsidRPr="00971136">
              <w:rPr>
                <w:rFonts w:asciiTheme="minorHAnsi" w:hAnsiTheme="minorHAnsi" w:cstheme="minorHAnsi"/>
              </w:rPr>
              <w:t>MIDDLE EAST AND NORTH AFRICA</w:t>
            </w:r>
            <w:r w:rsidR="00352A4C">
              <w:rPr>
                <w:rFonts w:asciiTheme="minorHAnsi" w:hAnsiTheme="minorHAnsi" w:cstheme="minorHAnsi"/>
              </w:rPr>
              <w:t xml:space="preserve">, </w:t>
            </w:r>
            <w:r w:rsidR="00352A4C" w:rsidRPr="00352A4C">
              <w:rPr>
                <w:rFonts w:asciiTheme="minorHAnsi" w:hAnsiTheme="minorHAnsi" w:cstheme="minorHAnsi"/>
              </w:rPr>
              <w:t>W</w:t>
            </w:r>
            <w:r w:rsidR="00352A4C">
              <w:rPr>
                <w:rFonts w:asciiTheme="minorHAnsi" w:hAnsiTheme="minorHAnsi" w:cstheme="minorHAnsi"/>
              </w:rPr>
              <w:t>EST BANK AND GAZA</w:t>
            </w:r>
          </w:p>
        </w:tc>
      </w:tr>
      <w:tr w:rsidR="001D607D" w:rsidRPr="00971136" w14:paraId="014F6D0B" w14:textId="77777777" w:rsidTr="00352A4C">
        <w:tc>
          <w:tcPr>
            <w:tcW w:w="3487" w:type="dxa"/>
            <w:tcBorders>
              <w:top w:val="single" w:sz="4" w:space="0" w:color="auto"/>
              <w:left w:val="single" w:sz="4" w:space="0" w:color="auto"/>
              <w:bottom w:val="single" w:sz="4" w:space="0" w:color="auto"/>
              <w:right w:val="single" w:sz="4" w:space="0" w:color="auto"/>
            </w:tcBorders>
          </w:tcPr>
          <w:p w14:paraId="15EF78CE" w14:textId="77777777" w:rsidR="001D607D" w:rsidRPr="00971136" w:rsidRDefault="001D607D" w:rsidP="0071072F">
            <w:pPr>
              <w:autoSpaceDE w:val="0"/>
              <w:autoSpaceDN w:val="0"/>
              <w:rPr>
                <w:rFonts w:asciiTheme="minorHAnsi" w:hAnsiTheme="minorHAnsi" w:cstheme="minorHAnsi"/>
                <w:b/>
                <w:bCs/>
                <w:color w:val="000000"/>
              </w:rPr>
            </w:pPr>
            <w:r w:rsidRPr="00971136">
              <w:rPr>
                <w:rFonts w:asciiTheme="minorHAnsi" w:hAnsiTheme="minorHAnsi" w:cstheme="minorHAnsi"/>
                <w:b/>
                <w:bCs/>
                <w:color w:val="000000"/>
              </w:rPr>
              <w:t>Sector</w:t>
            </w:r>
          </w:p>
        </w:tc>
        <w:tc>
          <w:tcPr>
            <w:tcW w:w="5940" w:type="dxa"/>
            <w:tcBorders>
              <w:top w:val="single" w:sz="4" w:space="0" w:color="auto"/>
              <w:left w:val="single" w:sz="4" w:space="0" w:color="auto"/>
              <w:bottom w:val="single" w:sz="4" w:space="0" w:color="auto"/>
              <w:right w:val="single" w:sz="4" w:space="0" w:color="auto"/>
            </w:tcBorders>
          </w:tcPr>
          <w:p w14:paraId="1EFA3EFF" w14:textId="77777777" w:rsidR="001D607D" w:rsidRPr="00971136" w:rsidRDefault="0071072F" w:rsidP="009835DC">
            <w:pPr>
              <w:rPr>
                <w:rFonts w:asciiTheme="minorHAnsi" w:hAnsiTheme="minorHAnsi" w:cstheme="minorHAnsi"/>
              </w:rPr>
            </w:pPr>
            <w:bookmarkStart w:id="1" w:name="SECTOR"/>
            <w:bookmarkEnd w:id="1"/>
            <w:r w:rsidRPr="00971136">
              <w:rPr>
                <w:rFonts w:asciiTheme="minorHAnsi" w:hAnsiTheme="minorHAnsi" w:cstheme="minorHAnsi"/>
              </w:rPr>
              <w:t>Macroeconomic</w:t>
            </w:r>
            <w:r w:rsidR="007479E7" w:rsidRPr="00971136">
              <w:rPr>
                <w:rFonts w:asciiTheme="minorHAnsi" w:hAnsiTheme="minorHAnsi" w:cstheme="minorHAnsi"/>
              </w:rPr>
              <w:t>s</w:t>
            </w:r>
            <w:r w:rsidRPr="00971136">
              <w:rPr>
                <w:rFonts w:asciiTheme="minorHAnsi" w:hAnsiTheme="minorHAnsi" w:cstheme="minorHAnsi"/>
              </w:rPr>
              <w:t xml:space="preserve"> and Fiscal Management</w:t>
            </w:r>
          </w:p>
        </w:tc>
      </w:tr>
      <w:tr w:rsidR="001D607D" w:rsidRPr="00971136" w14:paraId="28FF4752" w14:textId="77777777" w:rsidTr="00352A4C">
        <w:tc>
          <w:tcPr>
            <w:tcW w:w="3487" w:type="dxa"/>
            <w:tcBorders>
              <w:top w:val="single" w:sz="4" w:space="0" w:color="auto"/>
              <w:left w:val="single" w:sz="4" w:space="0" w:color="auto"/>
              <w:bottom w:val="single" w:sz="4" w:space="0" w:color="auto"/>
              <w:right w:val="single" w:sz="4" w:space="0" w:color="auto"/>
            </w:tcBorders>
          </w:tcPr>
          <w:p w14:paraId="5F16FF82" w14:textId="77777777" w:rsidR="001D607D" w:rsidRPr="00971136" w:rsidRDefault="001D607D" w:rsidP="0071072F">
            <w:pPr>
              <w:autoSpaceDE w:val="0"/>
              <w:autoSpaceDN w:val="0"/>
              <w:rPr>
                <w:rFonts w:asciiTheme="minorHAnsi" w:hAnsiTheme="minorHAnsi" w:cstheme="minorHAnsi"/>
                <w:b/>
                <w:bCs/>
                <w:color w:val="000000"/>
              </w:rPr>
            </w:pPr>
            <w:r w:rsidRPr="00971136">
              <w:rPr>
                <w:rFonts w:asciiTheme="minorHAnsi" w:hAnsiTheme="minorHAnsi" w:cstheme="minorHAnsi"/>
                <w:b/>
                <w:bCs/>
                <w:color w:val="000000"/>
              </w:rPr>
              <w:t>Operation ID</w:t>
            </w:r>
          </w:p>
        </w:tc>
        <w:tc>
          <w:tcPr>
            <w:tcW w:w="5940" w:type="dxa"/>
            <w:tcBorders>
              <w:top w:val="single" w:sz="4" w:space="0" w:color="auto"/>
              <w:left w:val="single" w:sz="4" w:space="0" w:color="auto"/>
              <w:bottom w:val="single" w:sz="4" w:space="0" w:color="auto"/>
              <w:right w:val="single" w:sz="4" w:space="0" w:color="auto"/>
            </w:tcBorders>
          </w:tcPr>
          <w:p w14:paraId="10550721" w14:textId="77777777" w:rsidR="001D607D" w:rsidRPr="00971136" w:rsidRDefault="0071072F" w:rsidP="009835DC">
            <w:pPr>
              <w:rPr>
                <w:rFonts w:asciiTheme="minorHAnsi" w:hAnsiTheme="minorHAnsi" w:cstheme="minorHAnsi"/>
              </w:rPr>
            </w:pPr>
            <w:r w:rsidRPr="00971136">
              <w:rPr>
                <w:rFonts w:asciiTheme="minorHAnsi" w:hAnsiTheme="minorHAnsi" w:cstheme="minorHAnsi"/>
              </w:rPr>
              <w:t>P161252</w:t>
            </w:r>
          </w:p>
        </w:tc>
      </w:tr>
      <w:tr w:rsidR="001D607D" w:rsidRPr="00971136" w14:paraId="7506B3C4" w14:textId="77777777" w:rsidTr="00352A4C">
        <w:tc>
          <w:tcPr>
            <w:tcW w:w="3487" w:type="dxa"/>
            <w:tcBorders>
              <w:top w:val="single" w:sz="4" w:space="0" w:color="auto"/>
              <w:left w:val="single" w:sz="4" w:space="0" w:color="auto"/>
              <w:bottom w:val="single" w:sz="4" w:space="0" w:color="auto"/>
              <w:right w:val="single" w:sz="4" w:space="0" w:color="auto"/>
            </w:tcBorders>
          </w:tcPr>
          <w:p w14:paraId="645FCF75" w14:textId="77777777" w:rsidR="001D607D" w:rsidRPr="00971136" w:rsidRDefault="001D607D" w:rsidP="0071072F">
            <w:pPr>
              <w:autoSpaceDE w:val="0"/>
              <w:autoSpaceDN w:val="0"/>
              <w:rPr>
                <w:rFonts w:asciiTheme="minorHAnsi" w:hAnsiTheme="minorHAnsi" w:cstheme="minorHAnsi"/>
                <w:b/>
                <w:bCs/>
                <w:color w:val="000000"/>
              </w:rPr>
            </w:pPr>
            <w:r w:rsidRPr="00971136">
              <w:rPr>
                <w:rFonts w:asciiTheme="minorHAnsi" w:hAnsiTheme="minorHAnsi" w:cstheme="minorHAnsi"/>
                <w:b/>
                <w:bCs/>
                <w:color w:val="000000"/>
              </w:rPr>
              <w:t>Lending Instrument</w:t>
            </w:r>
          </w:p>
        </w:tc>
        <w:tc>
          <w:tcPr>
            <w:tcW w:w="5940" w:type="dxa"/>
            <w:tcBorders>
              <w:top w:val="single" w:sz="4" w:space="0" w:color="auto"/>
              <w:left w:val="single" w:sz="4" w:space="0" w:color="auto"/>
              <w:bottom w:val="single" w:sz="4" w:space="0" w:color="auto"/>
              <w:right w:val="single" w:sz="4" w:space="0" w:color="auto"/>
            </w:tcBorders>
          </w:tcPr>
          <w:p w14:paraId="4AA69DF6" w14:textId="77777777" w:rsidR="001D607D" w:rsidRPr="00971136" w:rsidRDefault="007479E7" w:rsidP="009835DC">
            <w:pPr>
              <w:rPr>
                <w:rFonts w:asciiTheme="minorHAnsi" w:hAnsiTheme="minorHAnsi" w:cstheme="minorHAnsi"/>
              </w:rPr>
            </w:pPr>
            <w:r w:rsidRPr="00971136">
              <w:rPr>
                <w:rFonts w:asciiTheme="minorHAnsi" w:hAnsiTheme="minorHAnsi" w:cstheme="minorHAnsi"/>
              </w:rPr>
              <w:t>Development Policy Grant</w:t>
            </w:r>
          </w:p>
        </w:tc>
      </w:tr>
      <w:tr w:rsidR="001D607D" w:rsidRPr="00971136" w14:paraId="29AB62FA" w14:textId="77777777" w:rsidTr="00352A4C">
        <w:tc>
          <w:tcPr>
            <w:tcW w:w="3487" w:type="dxa"/>
            <w:tcBorders>
              <w:top w:val="single" w:sz="4" w:space="0" w:color="auto"/>
              <w:left w:val="single" w:sz="4" w:space="0" w:color="auto"/>
              <w:bottom w:val="single" w:sz="4" w:space="0" w:color="auto"/>
              <w:right w:val="single" w:sz="4" w:space="0" w:color="auto"/>
            </w:tcBorders>
          </w:tcPr>
          <w:p w14:paraId="1D2B5865" w14:textId="77777777" w:rsidR="001D607D" w:rsidRPr="00971136" w:rsidRDefault="0071072F" w:rsidP="0071072F">
            <w:pPr>
              <w:autoSpaceDE w:val="0"/>
              <w:autoSpaceDN w:val="0"/>
              <w:rPr>
                <w:rFonts w:asciiTheme="minorHAnsi" w:hAnsiTheme="minorHAnsi" w:cstheme="minorHAnsi"/>
                <w:b/>
                <w:bCs/>
                <w:color w:val="000000"/>
              </w:rPr>
            </w:pPr>
            <w:r w:rsidRPr="00971136">
              <w:rPr>
                <w:rFonts w:asciiTheme="minorHAnsi" w:hAnsiTheme="minorHAnsi" w:cstheme="minorHAnsi"/>
                <w:b/>
                <w:bCs/>
                <w:color w:val="000000"/>
              </w:rPr>
              <w:t>Borrower</w:t>
            </w:r>
          </w:p>
        </w:tc>
        <w:tc>
          <w:tcPr>
            <w:tcW w:w="5940" w:type="dxa"/>
            <w:tcBorders>
              <w:top w:val="single" w:sz="4" w:space="0" w:color="auto"/>
              <w:left w:val="single" w:sz="4" w:space="0" w:color="auto"/>
              <w:bottom w:val="single" w:sz="4" w:space="0" w:color="auto"/>
              <w:right w:val="single" w:sz="4" w:space="0" w:color="auto"/>
            </w:tcBorders>
          </w:tcPr>
          <w:p w14:paraId="22EAEDA4" w14:textId="77777777" w:rsidR="001D607D" w:rsidRPr="00D83B03" w:rsidRDefault="007479E7" w:rsidP="007479E7">
            <w:pPr>
              <w:autoSpaceDE w:val="0"/>
              <w:autoSpaceDN w:val="0"/>
              <w:rPr>
                <w:rFonts w:asciiTheme="minorHAnsi" w:hAnsiTheme="minorHAnsi" w:cstheme="minorHAnsi"/>
                <w:b/>
                <w:bCs/>
                <w:caps/>
                <w:color w:val="000000"/>
              </w:rPr>
            </w:pPr>
            <w:r w:rsidRPr="00D83B03">
              <w:rPr>
                <w:rFonts w:asciiTheme="minorHAnsi" w:hAnsiTheme="minorHAnsi" w:cstheme="minorHAnsi"/>
                <w:caps/>
              </w:rPr>
              <w:t>Palestine Liberation Organization (PLO) (</w:t>
            </w:r>
            <w:r w:rsidR="00352A4C" w:rsidRPr="00D83B03">
              <w:rPr>
                <w:rFonts w:asciiTheme="minorHAnsi" w:hAnsiTheme="minorHAnsi" w:cstheme="minorHAnsi"/>
              </w:rPr>
              <w:t>for the benefit of the Palestinian Authority)</w:t>
            </w:r>
          </w:p>
        </w:tc>
      </w:tr>
      <w:tr w:rsidR="001D607D" w:rsidRPr="00971136" w14:paraId="5DBB43C8" w14:textId="77777777" w:rsidTr="00352A4C">
        <w:trPr>
          <w:trHeight w:val="140"/>
        </w:trPr>
        <w:tc>
          <w:tcPr>
            <w:tcW w:w="3487" w:type="dxa"/>
            <w:tcBorders>
              <w:top w:val="single" w:sz="4" w:space="0" w:color="auto"/>
              <w:left w:val="single" w:sz="4" w:space="0" w:color="auto"/>
              <w:bottom w:val="nil"/>
              <w:right w:val="single" w:sz="4" w:space="0" w:color="auto"/>
            </w:tcBorders>
          </w:tcPr>
          <w:p w14:paraId="2F00E5B7" w14:textId="77777777" w:rsidR="001D607D" w:rsidRPr="00971136" w:rsidRDefault="001D607D" w:rsidP="0071072F">
            <w:pPr>
              <w:autoSpaceDE w:val="0"/>
              <w:autoSpaceDN w:val="0"/>
              <w:rPr>
                <w:rFonts w:asciiTheme="minorHAnsi" w:hAnsiTheme="minorHAnsi" w:cstheme="minorHAnsi"/>
                <w:b/>
                <w:bCs/>
                <w:color w:val="000000"/>
              </w:rPr>
            </w:pPr>
            <w:r w:rsidRPr="00971136">
              <w:rPr>
                <w:rFonts w:asciiTheme="minorHAnsi" w:hAnsiTheme="minorHAnsi" w:cstheme="minorHAnsi"/>
                <w:b/>
                <w:bCs/>
                <w:color w:val="000000"/>
              </w:rPr>
              <w:t>Implementing Agency</w:t>
            </w:r>
          </w:p>
        </w:tc>
        <w:tc>
          <w:tcPr>
            <w:tcW w:w="5940" w:type="dxa"/>
            <w:tcBorders>
              <w:top w:val="single" w:sz="4" w:space="0" w:color="auto"/>
              <w:left w:val="single" w:sz="4" w:space="0" w:color="auto"/>
              <w:bottom w:val="nil"/>
              <w:right w:val="single" w:sz="4" w:space="0" w:color="auto"/>
            </w:tcBorders>
          </w:tcPr>
          <w:p w14:paraId="50796F9A" w14:textId="6953720A" w:rsidR="001D607D" w:rsidRPr="00D83B03" w:rsidRDefault="007479E7" w:rsidP="009835DC">
            <w:pPr>
              <w:rPr>
                <w:rFonts w:asciiTheme="minorHAnsi" w:hAnsiTheme="minorHAnsi" w:cstheme="minorHAnsi"/>
              </w:rPr>
            </w:pPr>
            <w:bookmarkStart w:id="2" w:name="IMPLEMENTINGAGENCY"/>
            <w:bookmarkEnd w:id="2"/>
            <w:r w:rsidRPr="00D83B03">
              <w:rPr>
                <w:rFonts w:asciiTheme="minorHAnsi" w:hAnsiTheme="minorHAnsi" w:cstheme="minorHAnsi"/>
              </w:rPr>
              <w:t xml:space="preserve">Ministry of Finance </w:t>
            </w:r>
            <w:r w:rsidR="009872BF">
              <w:rPr>
                <w:rFonts w:asciiTheme="minorHAnsi" w:hAnsiTheme="minorHAnsi" w:cstheme="minorHAnsi"/>
              </w:rPr>
              <w:t xml:space="preserve">and Planning </w:t>
            </w:r>
            <w:r w:rsidRPr="00D83B03">
              <w:rPr>
                <w:rFonts w:asciiTheme="minorHAnsi" w:hAnsiTheme="minorHAnsi" w:cstheme="minorHAnsi"/>
              </w:rPr>
              <w:t>(</w:t>
            </w:r>
            <w:proofErr w:type="spellStart"/>
            <w:r w:rsidRPr="00D83B03">
              <w:rPr>
                <w:rFonts w:asciiTheme="minorHAnsi" w:hAnsiTheme="minorHAnsi" w:cstheme="minorHAnsi"/>
              </w:rPr>
              <w:t>MoF</w:t>
            </w:r>
            <w:r w:rsidR="009872BF">
              <w:rPr>
                <w:rFonts w:asciiTheme="minorHAnsi" w:hAnsiTheme="minorHAnsi" w:cstheme="minorHAnsi"/>
              </w:rPr>
              <w:t>P</w:t>
            </w:r>
            <w:proofErr w:type="spellEnd"/>
            <w:r w:rsidRPr="00D83B03">
              <w:rPr>
                <w:rFonts w:asciiTheme="minorHAnsi" w:hAnsiTheme="minorHAnsi" w:cstheme="minorHAnsi"/>
              </w:rPr>
              <w:t>) of the Palestinian Authority (PA)</w:t>
            </w:r>
          </w:p>
        </w:tc>
      </w:tr>
      <w:tr w:rsidR="001D607D" w:rsidRPr="00971136" w14:paraId="4B0A0FB6" w14:textId="77777777" w:rsidTr="00352A4C">
        <w:tc>
          <w:tcPr>
            <w:tcW w:w="3487" w:type="dxa"/>
            <w:tcBorders>
              <w:top w:val="single" w:sz="4" w:space="0" w:color="auto"/>
              <w:left w:val="single" w:sz="4" w:space="0" w:color="auto"/>
              <w:bottom w:val="single" w:sz="4" w:space="0" w:color="auto"/>
              <w:right w:val="single" w:sz="4" w:space="0" w:color="auto"/>
            </w:tcBorders>
          </w:tcPr>
          <w:p w14:paraId="74242B84" w14:textId="77777777" w:rsidR="001D607D" w:rsidRPr="00971136" w:rsidRDefault="001D607D" w:rsidP="0071072F">
            <w:pPr>
              <w:autoSpaceDE w:val="0"/>
              <w:autoSpaceDN w:val="0"/>
              <w:rPr>
                <w:rFonts w:asciiTheme="minorHAnsi" w:hAnsiTheme="minorHAnsi" w:cstheme="minorHAnsi"/>
                <w:b/>
                <w:bCs/>
                <w:color w:val="000000"/>
              </w:rPr>
            </w:pPr>
            <w:r w:rsidRPr="00971136">
              <w:rPr>
                <w:rFonts w:asciiTheme="minorHAnsi" w:hAnsiTheme="minorHAnsi" w:cstheme="minorHAnsi"/>
                <w:b/>
                <w:bCs/>
                <w:color w:val="000000"/>
              </w:rPr>
              <w:t>Date PID Prepared</w:t>
            </w:r>
          </w:p>
        </w:tc>
        <w:tc>
          <w:tcPr>
            <w:tcW w:w="5940" w:type="dxa"/>
            <w:tcBorders>
              <w:top w:val="single" w:sz="4" w:space="0" w:color="auto"/>
              <w:left w:val="single" w:sz="4" w:space="0" w:color="auto"/>
              <w:bottom w:val="single" w:sz="4" w:space="0" w:color="auto"/>
              <w:right w:val="single" w:sz="4" w:space="0" w:color="auto"/>
            </w:tcBorders>
          </w:tcPr>
          <w:p w14:paraId="2AA65B52" w14:textId="2D7639E0" w:rsidR="001D607D" w:rsidRPr="00D83B03" w:rsidRDefault="00C34CAD" w:rsidP="009835DC">
            <w:pPr>
              <w:rPr>
                <w:rFonts w:asciiTheme="minorHAnsi" w:hAnsiTheme="minorHAnsi" w:cstheme="minorHAnsi"/>
              </w:rPr>
            </w:pPr>
            <w:r>
              <w:rPr>
                <w:rFonts w:asciiTheme="minorHAnsi" w:hAnsiTheme="minorHAnsi" w:cstheme="minorHAnsi"/>
              </w:rPr>
              <w:t>S</w:t>
            </w:r>
            <w:r w:rsidR="009872BF">
              <w:rPr>
                <w:rFonts w:asciiTheme="minorHAnsi" w:hAnsiTheme="minorHAnsi" w:cstheme="minorHAnsi"/>
              </w:rPr>
              <w:t>eptember 2</w:t>
            </w:r>
            <w:r w:rsidR="00F825D0">
              <w:rPr>
                <w:rFonts w:asciiTheme="minorHAnsi" w:hAnsiTheme="minorHAnsi" w:cstheme="minorHAnsi"/>
              </w:rPr>
              <w:t>1</w:t>
            </w:r>
            <w:r w:rsidR="007479E7" w:rsidRPr="00D83B03">
              <w:rPr>
                <w:rFonts w:asciiTheme="minorHAnsi" w:hAnsiTheme="minorHAnsi" w:cstheme="minorHAnsi"/>
              </w:rPr>
              <w:t>, 2017</w:t>
            </w:r>
          </w:p>
        </w:tc>
      </w:tr>
      <w:tr w:rsidR="001D607D" w:rsidRPr="00971136" w14:paraId="0AB70242" w14:textId="77777777" w:rsidTr="00352A4C">
        <w:tc>
          <w:tcPr>
            <w:tcW w:w="3487" w:type="dxa"/>
            <w:tcBorders>
              <w:top w:val="single" w:sz="4" w:space="0" w:color="auto"/>
              <w:left w:val="single" w:sz="4" w:space="0" w:color="auto"/>
              <w:bottom w:val="single" w:sz="4" w:space="0" w:color="auto"/>
              <w:right w:val="single" w:sz="4" w:space="0" w:color="auto"/>
            </w:tcBorders>
          </w:tcPr>
          <w:p w14:paraId="5C09986D" w14:textId="77777777" w:rsidR="001D607D" w:rsidRPr="00971136" w:rsidRDefault="001D607D" w:rsidP="0071072F">
            <w:pPr>
              <w:autoSpaceDE w:val="0"/>
              <w:autoSpaceDN w:val="0"/>
              <w:rPr>
                <w:rFonts w:asciiTheme="minorHAnsi" w:hAnsiTheme="minorHAnsi" w:cstheme="minorHAnsi"/>
                <w:b/>
                <w:bCs/>
                <w:color w:val="000000"/>
              </w:rPr>
            </w:pPr>
            <w:r w:rsidRPr="00971136">
              <w:rPr>
                <w:rFonts w:asciiTheme="minorHAnsi" w:hAnsiTheme="minorHAnsi" w:cstheme="minorHAnsi"/>
                <w:b/>
                <w:bCs/>
                <w:color w:val="000000"/>
              </w:rPr>
              <w:t>Estimated Date of Appraisal</w:t>
            </w:r>
          </w:p>
        </w:tc>
        <w:tc>
          <w:tcPr>
            <w:tcW w:w="5940" w:type="dxa"/>
            <w:tcBorders>
              <w:top w:val="single" w:sz="4" w:space="0" w:color="auto"/>
              <w:left w:val="single" w:sz="4" w:space="0" w:color="auto"/>
              <w:bottom w:val="single" w:sz="4" w:space="0" w:color="auto"/>
              <w:right w:val="single" w:sz="4" w:space="0" w:color="auto"/>
            </w:tcBorders>
          </w:tcPr>
          <w:p w14:paraId="7729693B" w14:textId="3F9148BF" w:rsidR="001D607D" w:rsidRPr="00D83B03" w:rsidRDefault="00C34CAD" w:rsidP="009835DC">
            <w:pPr>
              <w:rPr>
                <w:rFonts w:asciiTheme="minorHAnsi" w:hAnsiTheme="minorHAnsi" w:cstheme="minorHAnsi"/>
              </w:rPr>
            </w:pPr>
            <w:r>
              <w:rPr>
                <w:rFonts w:asciiTheme="minorHAnsi" w:hAnsiTheme="minorHAnsi" w:cstheme="minorHAnsi"/>
              </w:rPr>
              <w:t>October 3</w:t>
            </w:r>
            <w:r w:rsidR="007479E7" w:rsidRPr="00D83B03">
              <w:rPr>
                <w:rFonts w:asciiTheme="minorHAnsi" w:hAnsiTheme="minorHAnsi" w:cstheme="minorHAnsi"/>
              </w:rPr>
              <w:t>, 2017</w:t>
            </w:r>
          </w:p>
        </w:tc>
      </w:tr>
      <w:tr w:rsidR="001D607D" w:rsidRPr="00971136" w14:paraId="3360D5C6" w14:textId="77777777" w:rsidTr="00352A4C">
        <w:tc>
          <w:tcPr>
            <w:tcW w:w="3487" w:type="dxa"/>
            <w:tcBorders>
              <w:top w:val="single" w:sz="4" w:space="0" w:color="auto"/>
              <w:left w:val="single" w:sz="4" w:space="0" w:color="auto"/>
              <w:bottom w:val="single" w:sz="4" w:space="0" w:color="auto"/>
              <w:right w:val="single" w:sz="4" w:space="0" w:color="auto"/>
            </w:tcBorders>
          </w:tcPr>
          <w:p w14:paraId="29DE6157" w14:textId="77777777" w:rsidR="001D607D" w:rsidRPr="00971136" w:rsidRDefault="001D607D" w:rsidP="0071072F">
            <w:pPr>
              <w:autoSpaceDE w:val="0"/>
              <w:autoSpaceDN w:val="0"/>
              <w:rPr>
                <w:rFonts w:asciiTheme="minorHAnsi" w:hAnsiTheme="minorHAnsi" w:cstheme="minorHAnsi"/>
                <w:b/>
                <w:bCs/>
                <w:color w:val="000000"/>
              </w:rPr>
            </w:pPr>
            <w:r w:rsidRPr="00971136">
              <w:rPr>
                <w:rFonts w:asciiTheme="minorHAnsi" w:hAnsiTheme="minorHAnsi" w:cstheme="minorHAnsi"/>
                <w:b/>
                <w:bCs/>
                <w:color w:val="000000"/>
              </w:rPr>
              <w:t>Estimated Date of Board Approval</w:t>
            </w:r>
          </w:p>
        </w:tc>
        <w:tc>
          <w:tcPr>
            <w:tcW w:w="5940" w:type="dxa"/>
            <w:tcBorders>
              <w:top w:val="single" w:sz="4" w:space="0" w:color="auto"/>
              <w:left w:val="single" w:sz="4" w:space="0" w:color="auto"/>
              <w:bottom w:val="single" w:sz="4" w:space="0" w:color="auto"/>
              <w:right w:val="single" w:sz="4" w:space="0" w:color="auto"/>
            </w:tcBorders>
          </w:tcPr>
          <w:p w14:paraId="53490565" w14:textId="77777777" w:rsidR="001D607D" w:rsidRPr="00D83B03" w:rsidRDefault="007479E7" w:rsidP="009835DC">
            <w:pPr>
              <w:rPr>
                <w:rFonts w:asciiTheme="minorHAnsi" w:hAnsiTheme="minorHAnsi" w:cstheme="minorHAnsi"/>
              </w:rPr>
            </w:pPr>
            <w:r w:rsidRPr="00D83B03">
              <w:rPr>
                <w:rFonts w:asciiTheme="minorHAnsi" w:hAnsiTheme="minorHAnsi" w:cstheme="minorHAnsi"/>
              </w:rPr>
              <w:t>November 9, 2017</w:t>
            </w:r>
          </w:p>
        </w:tc>
      </w:tr>
      <w:tr w:rsidR="001D607D" w:rsidRPr="00971136" w14:paraId="2985F590" w14:textId="77777777" w:rsidTr="00352A4C">
        <w:tc>
          <w:tcPr>
            <w:tcW w:w="3487" w:type="dxa"/>
            <w:tcBorders>
              <w:top w:val="single" w:sz="4" w:space="0" w:color="auto"/>
              <w:left w:val="single" w:sz="4" w:space="0" w:color="auto"/>
              <w:bottom w:val="single" w:sz="4" w:space="0" w:color="auto"/>
              <w:right w:val="single" w:sz="4" w:space="0" w:color="auto"/>
            </w:tcBorders>
          </w:tcPr>
          <w:p w14:paraId="24F5DDDB" w14:textId="77777777" w:rsidR="001D607D" w:rsidRPr="00971136" w:rsidRDefault="001D607D" w:rsidP="0071072F">
            <w:pPr>
              <w:autoSpaceDE w:val="0"/>
              <w:autoSpaceDN w:val="0"/>
              <w:rPr>
                <w:rFonts w:asciiTheme="minorHAnsi" w:hAnsiTheme="minorHAnsi" w:cstheme="minorHAnsi"/>
                <w:b/>
                <w:bCs/>
                <w:color w:val="000000"/>
              </w:rPr>
            </w:pPr>
            <w:r w:rsidRPr="00971136">
              <w:rPr>
                <w:rFonts w:asciiTheme="minorHAnsi" w:hAnsiTheme="minorHAnsi" w:cstheme="minorHAnsi"/>
                <w:b/>
                <w:bCs/>
                <w:color w:val="000000"/>
              </w:rPr>
              <w:t>Corporate Review Decision</w:t>
            </w:r>
          </w:p>
        </w:tc>
        <w:tc>
          <w:tcPr>
            <w:tcW w:w="5940" w:type="dxa"/>
            <w:tcBorders>
              <w:top w:val="single" w:sz="4" w:space="0" w:color="auto"/>
              <w:left w:val="single" w:sz="4" w:space="0" w:color="auto"/>
              <w:bottom w:val="single" w:sz="4" w:space="0" w:color="auto"/>
              <w:right w:val="single" w:sz="4" w:space="0" w:color="auto"/>
            </w:tcBorders>
          </w:tcPr>
          <w:p w14:paraId="074CD4A2" w14:textId="46AEA05A" w:rsidR="001D607D" w:rsidRPr="00D83B03" w:rsidRDefault="007479E7" w:rsidP="009835DC">
            <w:pPr>
              <w:rPr>
                <w:rFonts w:asciiTheme="minorHAnsi" w:hAnsiTheme="minorHAnsi" w:cstheme="minorHAnsi"/>
              </w:rPr>
            </w:pPr>
            <w:r w:rsidRPr="00D83B03">
              <w:rPr>
                <w:rFonts w:asciiTheme="minorHAnsi" w:hAnsiTheme="minorHAnsi" w:cstheme="minorHAnsi"/>
              </w:rPr>
              <w:t xml:space="preserve">Following the </w:t>
            </w:r>
            <w:r w:rsidR="00606C51">
              <w:rPr>
                <w:rFonts w:asciiTheme="minorHAnsi" w:hAnsiTheme="minorHAnsi" w:cstheme="minorHAnsi"/>
              </w:rPr>
              <w:t>corporate</w:t>
            </w:r>
            <w:r w:rsidRPr="00D83B03">
              <w:rPr>
                <w:rFonts w:asciiTheme="minorHAnsi" w:hAnsiTheme="minorHAnsi" w:cstheme="minorHAnsi"/>
              </w:rPr>
              <w:t xml:space="preserve"> review, the decision was taken to proceed with the preparation of the operation</w:t>
            </w:r>
          </w:p>
        </w:tc>
      </w:tr>
    </w:tbl>
    <w:p w14:paraId="132A5D52" w14:textId="77777777" w:rsidR="007479E7" w:rsidRPr="00D83B03" w:rsidRDefault="007479E7" w:rsidP="00055D5D">
      <w:pPr>
        <w:pStyle w:val="ListParagraph"/>
        <w:ind w:left="90"/>
        <w:jc w:val="both"/>
        <w:rPr>
          <w:rFonts w:asciiTheme="minorHAnsi" w:hAnsiTheme="minorHAnsi" w:cstheme="minorHAnsi"/>
        </w:rPr>
      </w:pPr>
    </w:p>
    <w:p w14:paraId="5B4ADB9E" w14:textId="559B842F" w:rsidR="00671A99" w:rsidRPr="009B37C9" w:rsidRDefault="00C34CAD" w:rsidP="00971136">
      <w:pPr>
        <w:pStyle w:val="ListParagraph"/>
        <w:numPr>
          <w:ilvl w:val="0"/>
          <w:numId w:val="24"/>
        </w:numPr>
        <w:autoSpaceDE w:val="0"/>
        <w:autoSpaceDN w:val="0"/>
        <w:ind w:hanging="630"/>
        <w:rPr>
          <w:rFonts w:asciiTheme="minorHAnsi" w:hAnsiTheme="minorHAnsi" w:cstheme="minorHAnsi"/>
          <w:b/>
          <w:bCs/>
          <w:color w:val="000000"/>
        </w:rPr>
      </w:pPr>
      <w:r w:rsidRPr="009B37C9">
        <w:rPr>
          <w:rFonts w:asciiTheme="minorHAnsi" w:hAnsiTheme="minorHAnsi" w:cstheme="minorHAnsi"/>
          <w:b/>
          <w:bCs/>
          <w:color w:val="000000"/>
        </w:rPr>
        <w:t>Country and Sector Background</w:t>
      </w:r>
      <w:r w:rsidR="00671A99" w:rsidRPr="009B37C9">
        <w:rPr>
          <w:rFonts w:asciiTheme="minorHAnsi" w:hAnsiTheme="minorHAnsi" w:cstheme="minorHAnsi"/>
          <w:b/>
          <w:bCs/>
          <w:color w:val="000000"/>
        </w:rPr>
        <w:t xml:space="preserve"> </w:t>
      </w:r>
    </w:p>
    <w:p w14:paraId="61D82B84" w14:textId="77777777" w:rsidR="00C357C3" w:rsidRPr="009B37C9" w:rsidRDefault="00C357C3" w:rsidP="00055D5D">
      <w:pPr>
        <w:pStyle w:val="ListParagraph"/>
        <w:ind w:left="90"/>
        <w:jc w:val="both"/>
        <w:rPr>
          <w:rFonts w:asciiTheme="minorHAnsi" w:hAnsiTheme="minorHAnsi" w:cstheme="minorHAnsi"/>
        </w:rPr>
      </w:pPr>
    </w:p>
    <w:p w14:paraId="0948538C" w14:textId="3D6D7CED" w:rsidR="00C077C6" w:rsidRPr="009B37C9" w:rsidRDefault="007857E6" w:rsidP="00C077C6">
      <w:pPr>
        <w:pStyle w:val="ListParagraph"/>
        <w:numPr>
          <w:ilvl w:val="0"/>
          <w:numId w:val="30"/>
        </w:numPr>
        <w:ind w:left="0" w:firstLine="0"/>
        <w:contextualSpacing w:val="0"/>
        <w:jc w:val="both"/>
        <w:rPr>
          <w:rFonts w:asciiTheme="minorHAnsi" w:hAnsiTheme="minorHAnsi" w:cstheme="minorHAnsi"/>
        </w:rPr>
      </w:pPr>
      <w:r>
        <w:rPr>
          <w:rFonts w:asciiTheme="minorHAnsi" w:eastAsia="MS Mincho" w:hAnsiTheme="minorHAnsi" w:cstheme="minorHAnsi"/>
        </w:rPr>
        <w:t>The Palestinian territories (</w:t>
      </w:r>
      <w:r w:rsidR="00C077C6" w:rsidRPr="009B37C9">
        <w:rPr>
          <w:rFonts w:asciiTheme="minorHAnsi" w:eastAsia="MS Mincho" w:hAnsiTheme="minorHAnsi" w:cstheme="minorHAnsi"/>
        </w:rPr>
        <w:t>West Bank and Gaza</w:t>
      </w:r>
      <w:r>
        <w:rPr>
          <w:rFonts w:asciiTheme="minorHAnsi" w:eastAsia="MS Mincho" w:hAnsiTheme="minorHAnsi" w:cstheme="minorHAnsi"/>
        </w:rPr>
        <w:t>)</w:t>
      </w:r>
      <w:r w:rsidR="00C077C6" w:rsidRPr="009B37C9">
        <w:rPr>
          <w:rFonts w:asciiTheme="minorHAnsi" w:eastAsia="MS Mincho" w:hAnsiTheme="minorHAnsi" w:cstheme="minorHAnsi"/>
        </w:rPr>
        <w:t xml:space="preserve"> have faced long lasting political instability and violence over the last two decades, which have exacerbated macroeconomic volatility. The Palestinian territories are a small open economy with lower-middle income status with a population of 4.8 million in 2016. The Palestinian territories have experienced political instability (both regional and domestic) and a series of violent conflicts over the years. After the 2007/2008 conflict, the territories were under control of two different political parties: Fatah held control of the West Bank while effective control of Gaza was taken by Hamas. Gaza’s share of total GDP is less than 30 percent, and its borders are subject to highly restrictive controls by Israel and Egypt.</w:t>
      </w:r>
      <w:r w:rsidR="00C077C6" w:rsidRPr="009B37C9">
        <w:rPr>
          <w:rFonts w:asciiTheme="minorHAnsi" w:eastAsiaTheme="minorHAnsi" w:hAnsiTheme="minorHAnsi" w:cstheme="minorHAnsi"/>
        </w:rPr>
        <w:t xml:space="preserve">  </w:t>
      </w:r>
    </w:p>
    <w:p w14:paraId="36B9E466" w14:textId="77777777" w:rsidR="00C077C6" w:rsidRPr="009B37C9" w:rsidRDefault="00C077C6" w:rsidP="00C077C6">
      <w:pPr>
        <w:pStyle w:val="ListParagraph"/>
        <w:rPr>
          <w:rFonts w:asciiTheme="minorHAnsi" w:hAnsiTheme="minorHAnsi" w:cstheme="minorHAnsi"/>
          <w:b/>
        </w:rPr>
      </w:pPr>
    </w:p>
    <w:p w14:paraId="6EB0AF6B" w14:textId="17BE4F1E" w:rsidR="00C077C6" w:rsidRPr="009B37C9" w:rsidRDefault="00C077C6" w:rsidP="00115146">
      <w:pPr>
        <w:pStyle w:val="ListParagraph"/>
        <w:numPr>
          <w:ilvl w:val="0"/>
          <w:numId w:val="30"/>
        </w:numPr>
        <w:ind w:left="0" w:firstLine="0"/>
        <w:contextualSpacing w:val="0"/>
        <w:jc w:val="both"/>
        <w:rPr>
          <w:rFonts w:asciiTheme="minorHAnsi" w:hAnsiTheme="minorHAnsi" w:cstheme="minorHAnsi"/>
        </w:rPr>
      </w:pPr>
      <w:r w:rsidRPr="009B37C9">
        <w:rPr>
          <w:rFonts w:asciiTheme="minorHAnsi" w:hAnsiTheme="minorHAnsi" w:cstheme="minorHAnsi"/>
        </w:rPr>
        <w:t xml:space="preserve">Peace talks between the PA </w:t>
      </w:r>
      <w:r w:rsidR="002A54C1">
        <w:rPr>
          <w:rFonts w:asciiTheme="minorHAnsi" w:hAnsiTheme="minorHAnsi" w:cstheme="minorHAnsi"/>
        </w:rPr>
        <w:t xml:space="preserve">(Palestinian Authority) </w:t>
      </w:r>
      <w:r w:rsidRPr="009B37C9">
        <w:rPr>
          <w:rFonts w:asciiTheme="minorHAnsi" w:hAnsiTheme="minorHAnsi" w:cstheme="minorHAnsi"/>
        </w:rPr>
        <w:t xml:space="preserve">and the </w:t>
      </w:r>
      <w:proofErr w:type="spellStart"/>
      <w:r w:rsidRPr="009B37C9">
        <w:rPr>
          <w:rFonts w:asciiTheme="minorHAnsi" w:hAnsiTheme="minorHAnsi" w:cstheme="minorHAnsi"/>
        </w:rPr>
        <w:t>GoI</w:t>
      </w:r>
      <w:proofErr w:type="spellEnd"/>
      <w:r w:rsidRPr="009B37C9">
        <w:rPr>
          <w:rFonts w:asciiTheme="minorHAnsi" w:hAnsiTheme="minorHAnsi" w:cstheme="minorHAnsi"/>
        </w:rPr>
        <w:t xml:space="preserve"> </w:t>
      </w:r>
      <w:r w:rsidR="002A54C1">
        <w:rPr>
          <w:rFonts w:asciiTheme="minorHAnsi" w:hAnsiTheme="minorHAnsi" w:cstheme="minorHAnsi"/>
        </w:rPr>
        <w:t xml:space="preserve">(Government of Israel) </w:t>
      </w:r>
      <w:r w:rsidRPr="009B37C9">
        <w:rPr>
          <w:rFonts w:asciiTheme="minorHAnsi" w:hAnsiTheme="minorHAnsi" w:cstheme="minorHAnsi"/>
        </w:rPr>
        <w:t xml:space="preserve">remains stalled since the US-led initiative (“Kerry peace talks”) ended unsuccessfully in 2013 and </w:t>
      </w:r>
      <w:r w:rsidRPr="009B37C9">
        <w:rPr>
          <w:rFonts w:asciiTheme="minorHAnsi" w:hAnsiTheme="minorHAnsi" w:cstheme="minorHAnsi"/>
          <w:bCs/>
        </w:rPr>
        <w:t>the Palestinian polity remains divided, making Gaza and the West Bank diverge further away from each other.</w:t>
      </w:r>
      <w:r w:rsidRPr="009B37C9">
        <w:rPr>
          <w:rFonts w:asciiTheme="minorHAnsi" w:hAnsiTheme="minorHAnsi" w:cstheme="minorHAnsi"/>
        </w:rPr>
        <w:t xml:space="preserve"> The most recent Arab League Summit of March 2017 did not launch any major initiative. Meanwhile, donors’ attention and resources are being claimed by other political developments in the region. Elections to the Palestinian Legislative Council have not been held since 2006, and local elections in May 2017 had a low voter turnout, comparable to 2012 when the last local elections were held. The two parts of the Palestinian territories have different economic conditions and regulatory environments. </w:t>
      </w:r>
    </w:p>
    <w:p w14:paraId="1C5CC4BC" w14:textId="651A1D6A" w:rsidR="009B37C9" w:rsidRPr="009B37C9" w:rsidRDefault="009B37C9" w:rsidP="009B37C9">
      <w:pPr>
        <w:pStyle w:val="ListParagraph"/>
        <w:ind w:left="0"/>
        <w:contextualSpacing w:val="0"/>
        <w:jc w:val="both"/>
        <w:rPr>
          <w:rFonts w:asciiTheme="minorHAnsi" w:hAnsiTheme="minorHAnsi" w:cstheme="minorHAnsi"/>
        </w:rPr>
      </w:pPr>
    </w:p>
    <w:p w14:paraId="0B468F0A" w14:textId="3F1015C8" w:rsidR="00C077C6" w:rsidRPr="009B37C9" w:rsidRDefault="00C077C6" w:rsidP="00C077C6">
      <w:pPr>
        <w:pStyle w:val="ListParagraph"/>
        <w:numPr>
          <w:ilvl w:val="0"/>
          <w:numId w:val="30"/>
        </w:numPr>
        <w:ind w:left="0" w:firstLine="0"/>
        <w:contextualSpacing w:val="0"/>
        <w:jc w:val="both"/>
        <w:rPr>
          <w:rFonts w:asciiTheme="minorHAnsi" w:hAnsiTheme="minorHAnsi" w:cstheme="minorHAnsi"/>
        </w:rPr>
      </w:pPr>
      <w:r w:rsidRPr="009B37C9">
        <w:rPr>
          <w:rFonts w:asciiTheme="minorHAnsi" w:eastAsia="MS Mincho" w:hAnsiTheme="minorHAnsi" w:cstheme="minorHAnsi"/>
        </w:rPr>
        <w:lastRenderedPageBreak/>
        <w:t>Sluggish and unsustainable economic growth is the corrosive effect of the stalemate in the peace process, which undermines governance in the territories</w:t>
      </w:r>
      <w:r w:rsidR="009176D8">
        <w:rPr>
          <w:rFonts w:asciiTheme="minorHAnsi" w:eastAsia="MS Mincho" w:hAnsiTheme="minorHAnsi" w:cstheme="minorHAnsi"/>
        </w:rPr>
        <w:t>. The</w:t>
      </w:r>
      <w:r w:rsidRPr="009B37C9">
        <w:rPr>
          <w:rFonts w:asciiTheme="minorHAnsi" w:eastAsia="MS Mincho" w:hAnsiTheme="minorHAnsi" w:cstheme="minorHAnsi"/>
        </w:rPr>
        <w:t xml:space="preserve"> </w:t>
      </w:r>
      <w:proofErr w:type="spellStart"/>
      <w:r w:rsidRPr="009B37C9">
        <w:rPr>
          <w:rFonts w:asciiTheme="minorHAnsi" w:eastAsia="MS Mincho" w:hAnsiTheme="minorHAnsi" w:cstheme="minorHAnsi"/>
        </w:rPr>
        <w:t>GoI</w:t>
      </w:r>
      <w:r w:rsidR="009176D8">
        <w:rPr>
          <w:rFonts w:asciiTheme="minorHAnsi" w:eastAsia="MS Mincho" w:hAnsiTheme="minorHAnsi" w:cstheme="minorHAnsi"/>
        </w:rPr>
        <w:t>’s</w:t>
      </w:r>
      <w:proofErr w:type="spellEnd"/>
      <w:r w:rsidRPr="009B37C9">
        <w:rPr>
          <w:rFonts w:asciiTheme="minorHAnsi" w:eastAsia="MS Mincho" w:hAnsiTheme="minorHAnsi" w:cstheme="minorHAnsi"/>
        </w:rPr>
        <w:t xml:space="preserve"> </w:t>
      </w:r>
      <w:r w:rsidRPr="009B37C9">
        <w:rPr>
          <w:rFonts w:asciiTheme="minorHAnsi" w:hAnsiTheme="minorHAnsi" w:cstheme="minorHAnsi"/>
        </w:rPr>
        <w:t>restrictions on trade, access to resources</w:t>
      </w:r>
      <w:r w:rsidRPr="009B37C9">
        <w:rPr>
          <w:rStyle w:val="FootnoteReference"/>
          <w:rFonts w:asciiTheme="minorHAnsi" w:hAnsiTheme="minorHAnsi" w:cstheme="minorHAnsi"/>
        </w:rPr>
        <w:footnoteReference w:id="1"/>
      </w:r>
      <w:r w:rsidRPr="009B37C9">
        <w:rPr>
          <w:rFonts w:asciiTheme="minorHAnsi" w:hAnsiTheme="minorHAnsi" w:cstheme="minorHAnsi"/>
        </w:rPr>
        <w:t xml:space="preserve"> and movement of people</w:t>
      </w:r>
      <w:r w:rsidR="009176D8">
        <w:rPr>
          <w:rFonts w:asciiTheme="minorHAnsi" w:hAnsiTheme="minorHAnsi" w:cstheme="minorHAnsi"/>
        </w:rPr>
        <w:t xml:space="preserve"> negatively impact the Palestinian economy</w:t>
      </w:r>
      <w:r w:rsidRPr="009B37C9">
        <w:rPr>
          <w:rFonts w:asciiTheme="minorHAnsi" w:hAnsiTheme="minorHAnsi" w:cstheme="minorHAnsi"/>
        </w:rPr>
        <w:t>.</w:t>
      </w:r>
      <w:r w:rsidRPr="009B37C9">
        <w:rPr>
          <w:rFonts w:asciiTheme="minorHAnsi" w:eastAsia="MS Mincho" w:hAnsiTheme="minorHAnsi" w:cstheme="minorHAnsi"/>
        </w:rPr>
        <w:t xml:space="preserve"> The structure of the Palestinian economy has substantially deteriorated over the last two decades; the manufacturing and agriculture sectors’ share to GDP contracted by 50 percent and 75 percent, respectively during 1994-2015. On the other hand, the share of public service sector (such as education, health, and policing) in GDP expanded by around 60 percent during the same period, largely financed by donors’ budget support. This drastic structural change in the economy has resulted in failure to generate sufficient private sector jobs to absorb the growing labor force (mainly youth and women) and revenues to provide provisions of services to rapidly rising population. </w:t>
      </w:r>
      <w:r w:rsidR="009176D8">
        <w:rPr>
          <w:rFonts w:asciiTheme="minorHAnsi" w:hAnsiTheme="minorHAnsi" w:cstheme="minorHAnsi"/>
          <w:bCs/>
          <w:iCs/>
        </w:rPr>
        <w:t xml:space="preserve">There has been </w:t>
      </w:r>
      <w:r w:rsidRPr="009B37C9">
        <w:rPr>
          <w:rFonts w:asciiTheme="minorHAnsi" w:hAnsiTheme="minorHAnsi" w:cstheme="minorHAnsi"/>
          <w:bCs/>
          <w:iCs/>
        </w:rPr>
        <w:t>little progress in internal reconciliation</w:t>
      </w:r>
      <w:r w:rsidR="009176D8">
        <w:rPr>
          <w:rFonts w:asciiTheme="minorHAnsi" w:hAnsiTheme="minorHAnsi" w:cstheme="minorHAnsi"/>
          <w:bCs/>
          <w:iCs/>
        </w:rPr>
        <w:t>. The internal divide, o</w:t>
      </w:r>
      <w:r w:rsidRPr="009B37C9">
        <w:rPr>
          <w:rFonts w:asciiTheme="minorHAnsi" w:hAnsiTheme="minorHAnsi" w:cstheme="minorHAnsi"/>
          <w:bCs/>
          <w:iCs/>
        </w:rPr>
        <w:t xml:space="preserve">ngoing tight restrictions on movement, </w:t>
      </w:r>
      <w:r w:rsidR="009176D8">
        <w:rPr>
          <w:rFonts w:asciiTheme="minorHAnsi" w:hAnsiTheme="minorHAnsi" w:cstheme="minorHAnsi"/>
          <w:bCs/>
          <w:iCs/>
        </w:rPr>
        <w:t xml:space="preserve">and </w:t>
      </w:r>
      <w:r w:rsidRPr="009B37C9">
        <w:rPr>
          <w:rFonts w:asciiTheme="minorHAnsi" w:hAnsiTheme="minorHAnsi" w:cstheme="minorHAnsi"/>
          <w:bCs/>
          <w:iCs/>
        </w:rPr>
        <w:t>curtailed access and trade continue to constitute the</w:t>
      </w:r>
      <w:r w:rsidRPr="009B37C9">
        <w:rPr>
          <w:rFonts w:asciiTheme="minorHAnsi" w:hAnsiTheme="minorHAnsi" w:cstheme="minorHAnsi"/>
          <w:bCs/>
          <w:i/>
          <w:iCs/>
        </w:rPr>
        <w:t xml:space="preserve"> </w:t>
      </w:r>
      <w:r w:rsidRPr="009B37C9">
        <w:rPr>
          <w:rFonts w:asciiTheme="minorHAnsi" w:hAnsiTheme="minorHAnsi" w:cstheme="minorHAnsi"/>
          <w:bCs/>
          <w:iCs/>
        </w:rPr>
        <w:t xml:space="preserve">main impediments to private sector investment and growth as well as job creation. </w:t>
      </w:r>
    </w:p>
    <w:p w14:paraId="6B3FEE4B" w14:textId="474F7EFE" w:rsidR="00C357C3" w:rsidRPr="00860592" w:rsidRDefault="00C357C3" w:rsidP="00860592">
      <w:pPr>
        <w:jc w:val="both"/>
        <w:rPr>
          <w:rFonts w:asciiTheme="minorHAnsi" w:hAnsiTheme="minorHAnsi" w:cstheme="minorHAnsi"/>
        </w:rPr>
      </w:pPr>
    </w:p>
    <w:p w14:paraId="0EA590E9" w14:textId="6A5CC4D0" w:rsidR="003103C4" w:rsidRPr="009B37C9" w:rsidRDefault="00C34CAD" w:rsidP="00971136">
      <w:pPr>
        <w:pStyle w:val="ListParagraph"/>
        <w:numPr>
          <w:ilvl w:val="0"/>
          <w:numId w:val="24"/>
        </w:numPr>
        <w:autoSpaceDE w:val="0"/>
        <w:autoSpaceDN w:val="0"/>
        <w:ind w:hanging="630"/>
        <w:rPr>
          <w:rFonts w:asciiTheme="minorHAnsi" w:hAnsiTheme="minorHAnsi" w:cstheme="minorHAnsi"/>
          <w:b/>
          <w:bCs/>
          <w:color w:val="000000"/>
        </w:rPr>
      </w:pPr>
      <w:r w:rsidRPr="009B37C9">
        <w:rPr>
          <w:rFonts w:asciiTheme="minorHAnsi" w:hAnsiTheme="minorHAnsi" w:cstheme="minorHAnsi"/>
          <w:b/>
          <w:bCs/>
          <w:color w:val="000000"/>
        </w:rPr>
        <w:t>Operation Objectives</w:t>
      </w:r>
    </w:p>
    <w:p w14:paraId="00B4F039" w14:textId="77777777" w:rsidR="00C357C3" w:rsidRPr="009B37C9" w:rsidRDefault="00C357C3" w:rsidP="00055D5D">
      <w:pPr>
        <w:pStyle w:val="ListParagraph"/>
        <w:ind w:left="90"/>
        <w:jc w:val="both"/>
        <w:rPr>
          <w:rFonts w:asciiTheme="minorHAnsi" w:hAnsiTheme="minorHAnsi" w:cstheme="minorHAnsi"/>
        </w:rPr>
      </w:pPr>
    </w:p>
    <w:p w14:paraId="70D7FDD2" w14:textId="530C2326" w:rsidR="00573D71" w:rsidRPr="00C53196" w:rsidRDefault="00573D71" w:rsidP="00553743">
      <w:pPr>
        <w:numPr>
          <w:ilvl w:val="0"/>
          <w:numId w:val="30"/>
        </w:numPr>
        <w:ind w:left="0" w:firstLine="0"/>
        <w:jc w:val="both"/>
        <w:rPr>
          <w:rFonts w:asciiTheme="minorHAnsi" w:hAnsiTheme="minorHAnsi" w:cstheme="minorHAnsi"/>
        </w:rPr>
      </w:pPr>
      <w:r w:rsidRPr="00C53196">
        <w:rPr>
          <w:rFonts w:asciiTheme="minorHAnsi" w:hAnsiTheme="minorHAnsi" w:cstheme="minorHAnsi"/>
        </w:rPr>
        <w:t xml:space="preserve">The Program </w:t>
      </w:r>
      <w:r w:rsidRPr="008966EC">
        <w:rPr>
          <w:rFonts w:asciiTheme="minorHAnsi" w:hAnsiTheme="minorHAnsi" w:cstheme="minorHAnsi"/>
        </w:rPr>
        <w:t xml:space="preserve">Development Objectives (PDOs) of this operation is aligned with key government priorities and broader development goals. The PDO of the proposed operation constitutes the </w:t>
      </w:r>
      <w:r w:rsidR="00465E35" w:rsidRPr="008966EC">
        <w:rPr>
          <w:rFonts w:asciiTheme="minorHAnsi" w:hAnsiTheme="minorHAnsi" w:cstheme="minorHAnsi"/>
        </w:rPr>
        <w:t xml:space="preserve">following </w:t>
      </w:r>
      <w:r w:rsidRPr="008966EC">
        <w:rPr>
          <w:rFonts w:asciiTheme="minorHAnsi" w:hAnsiTheme="minorHAnsi" w:cstheme="minorHAnsi"/>
        </w:rPr>
        <w:t>two pillars: (i)</w:t>
      </w:r>
      <w:r w:rsidR="00C53196" w:rsidRPr="008966EC">
        <w:rPr>
          <w:rFonts w:asciiTheme="minorHAnsi" w:hAnsiTheme="minorHAnsi" w:cstheme="minorHAnsi"/>
        </w:rPr>
        <w:t xml:space="preserve"> i</w:t>
      </w:r>
      <w:r w:rsidR="00C53196" w:rsidRPr="008966EC">
        <w:rPr>
          <w:rFonts w:asciiTheme="minorHAnsi" w:hAnsiTheme="minorHAnsi" w:cstheme="minorHAnsi"/>
          <w:bCs/>
          <w:iCs/>
        </w:rPr>
        <w:t>mprove transparency of fiscal transfers to local service providers; and (ii) improve the business environment.</w:t>
      </w:r>
      <w:r w:rsidRPr="008966EC">
        <w:rPr>
          <w:rFonts w:asciiTheme="minorHAnsi" w:hAnsiTheme="minorHAnsi" w:cstheme="minorHAnsi"/>
        </w:rPr>
        <w:t xml:space="preserve"> The first pillar seeks further progress on increasing fiscal stability of the electricity, water and health sectors, while reducing “net lending” – involuntary transfers from the PA to LGUs</w:t>
      </w:r>
      <w:r w:rsidR="002A54C1" w:rsidRPr="008966EC">
        <w:rPr>
          <w:rStyle w:val="FootnoteReference"/>
          <w:rFonts w:asciiTheme="minorHAnsi" w:hAnsiTheme="minorHAnsi" w:cstheme="minorHAnsi"/>
        </w:rPr>
        <w:footnoteReference w:id="2"/>
      </w:r>
      <w:r w:rsidRPr="008966EC">
        <w:rPr>
          <w:rFonts w:asciiTheme="minorHAnsi" w:hAnsiTheme="minorHAnsi" w:cstheme="minorHAnsi"/>
        </w:rPr>
        <w:t xml:space="preserve"> when LGU obligations to Israel are deducted from PA revenue collected by Israel as well as accumulated</w:t>
      </w:r>
      <w:r w:rsidRPr="00C53196">
        <w:rPr>
          <w:rFonts w:asciiTheme="minorHAnsi" w:hAnsiTheme="minorHAnsi" w:cstheme="minorHAnsi"/>
        </w:rPr>
        <w:t xml:space="preserve"> debts to the PA, </w:t>
      </w:r>
      <w:r w:rsidR="002A54C1" w:rsidRPr="00C53196">
        <w:rPr>
          <w:rFonts w:asciiTheme="minorHAnsi" w:hAnsiTheme="minorHAnsi" w:cstheme="minorHAnsi"/>
        </w:rPr>
        <w:t>and</w:t>
      </w:r>
      <w:r w:rsidRPr="00C53196">
        <w:rPr>
          <w:rFonts w:asciiTheme="minorHAnsi" w:hAnsiTheme="minorHAnsi" w:cstheme="minorHAnsi"/>
        </w:rPr>
        <w:t xml:space="preserve"> containing rising sectoral expenditure. Better aligning incentives of fiscal transfers across different parties through their improved transparency and accountability will lead to improved financial viability in key sectors of the Palestinian economy, which would help the public finances become more predictable and transparent as well as sustainable. This is also critical to lay the foundation for improved private sector activity, increased confidence of potential investors, and gaining greater citizens trust compiled with improved services. On the other hand, the enhanced legal and regulatory business environment supports private sector development for job creation, which in turn allows the Palestinian territories to achieve poverty reduction and higher and more sustainable growth. </w:t>
      </w:r>
    </w:p>
    <w:p w14:paraId="4B84FB27" w14:textId="2DAC76C3" w:rsidR="00C357C3" w:rsidRPr="009B37C9" w:rsidRDefault="00C357C3" w:rsidP="00573D71">
      <w:pPr>
        <w:jc w:val="both"/>
        <w:rPr>
          <w:rFonts w:asciiTheme="minorHAnsi" w:hAnsiTheme="minorHAnsi" w:cstheme="minorHAnsi"/>
        </w:rPr>
      </w:pPr>
    </w:p>
    <w:p w14:paraId="417F1B42" w14:textId="77777777" w:rsidR="00C34CAD" w:rsidRPr="009B37C9" w:rsidRDefault="00C34CAD" w:rsidP="00C34CAD">
      <w:pPr>
        <w:pStyle w:val="ListParagraph"/>
        <w:numPr>
          <w:ilvl w:val="0"/>
          <w:numId w:val="24"/>
        </w:numPr>
        <w:autoSpaceDE w:val="0"/>
        <w:autoSpaceDN w:val="0"/>
        <w:ind w:hanging="630"/>
        <w:rPr>
          <w:rFonts w:asciiTheme="minorHAnsi" w:hAnsiTheme="minorHAnsi" w:cstheme="minorHAnsi"/>
          <w:b/>
          <w:bCs/>
          <w:color w:val="000000"/>
        </w:rPr>
      </w:pPr>
      <w:r w:rsidRPr="009B37C9">
        <w:rPr>
          <w:rFonts w:asciiTheme="minorHAnsi" w:hAnsiTheme="minorHAnsi" w:cstheme="minorHAnsi"/>
          <w:b/>
          <w:bCs/>
          <w:color w:val="000000"/>
        </w:rPr>
        <w:t>Rational for Bank Involvement</w:t>
      </w:r>
    </w:p>
    <w:p w14:paraId="5977A288" w14:textId="7B3CC7D6" w:rsidR="00C34CAD" w:rsidRPr="009B37C9" w:rsidRDefault="00C34CAD" w:rsidP="00C34CAD">
      <w:pPr>
        <w:pStyle w:val="ListParagraph"/>
        <w:autoSpaceDE w:val="0"/>
        <w:autoSpaceDN w:val="0"/>
        <w:rPr>
          <w:rFonts w:asciiTheme="minorHAnsi" w:hAnsiTheme="minorHAnsi" w:cstheme="minorHAnsi"/>
          <w:b/>
          <w:bCs/>
          <w:color w:val="000000"/>
        </w:rPr>
      </w:pPr>
    </w:p>
    <w:p w14:paraId="5F9EC322" w14:textId="0CA0B0D9" w:rsidR="002E7C94" w:rsidRPr="009B37C9" w:rsidRDefault="00C14603" w:rsidP="002E7C94">
      <w:pPr>
        <w:pStyle w:val="ListParagraph"/>
        <w:numPr>
          <w:ilvl w:val="0"/>
          <w:numId w:val="30"/>
        </w:numPr>
        <w:ind w:left="0" w:firstLine="0"/>
        <w:contextualSpacing w:val="0"/>
        <w:jc w:val="both"/>
        <w:rPr>
          <w:rFonts w:asciiTheme="minorHAnsi" w:hAnsiTheme="minorHAnsi" w:cstheme="minorHAnsi"/>
        </w:rPr>
      </w:pPr>
      <w:r w:rsidRPr="009B37C9">
        <w:rPr>
          <w:rFonts w:asciiTheme="minorHAnsi" w:hAnsiTheme="minorHAnsi" w:cstheme="minorHAnsi"/>
        </w:rPr>
        <w:t xml:space="preserve">This operation is envisaged as a bridge to support a transition to the objectives under the Bank’s new </w:t>
      </w:r>
      <w:r w:rsidR="002A54C1">
        <w:rPr>
          <w:rFonts w:asciiTheme="minorHAnsi" w:hAnsiTheme="minorHAnsi" w:cstheme="minorHAnsi"/>
        </w:rPr>
        <w:t xml:space="preserve">Assistance Strategy </w:t>
      </w:r>
      <w:r w:rsidRPr="009B37C9">
        <w:rPr>
          <w:rFonts w:asciiTheme="minorHAnsi" w:hAnsiTheme="minorHAnsi" w:cstheme="minorHAnsi"/>
        </w:rPr>
        <w:t xml:space="preserve">for the West Bank and Gaza (FY18-21) and designed to support both of its objective pillars. The operation is designed to directly support the achievement of the first pillar which supports to promote an environment for dynamic and inclusive private sector growth for job creation by improving the business environment through </w:t>
      </w:r>
      <w:proofErr w:type="gramStart"/>
      <w:r w:rsidRPr="009B37C9">
        <w:rPr>
          <w:rFonts w:asciiTheme="minorHAnsi" w:hAnsiTheme="minorHAnsi" w:cstheme="minorHAnsi"/>
        </w:rPr>
        <w:t>a number of</w:t>
      </w:r>
      <w:proofErr w:type="gramEnd"/>
      <w:r w:rsidRPr="009B37C9">
        <w:rPr>
          <w:rFonts w:asciiTheme="minorHAnsi" w:hAnsiTheme="minorHAnsi" w:cstheme="minorHAnsi"/>
        </w:rPr>
        <w:t xml:space="preserve"> prior actions related to streamlining and modernizing the legal framework; submitting a new Companies Law; and streamlining business licensing and registration processes. This pillar also aims at increasing </w:t>
      </w:r>
      <w:r w:rsidRPr="009B37C9">
        <w:rPr>
          <w:rFonts w:asciiTheme="minorHAnsi" w:hAnsiTheme="minorHAnsi" w:cstheme="minorHAnsi"/>
        </w:rPr>
        <w:lastRenderedPageBreak/>
        <w:t>access to finance for better inclusion and more formal sector job creation by supporting the legal framework for incorporation of small and medium enterprises (SMEs) and their business growth</w:t>
      </w:r>
      <w:r w:rsidRPr="00A042FF">
        <w:rPr>
          <w:rFonts w:asciiTheme="minorHAnsi" w:hAnsiTheme="minorHAnsi" w:cstheme="minorHAnsi"/>
        </w:rPr>
        <w:t xml:space="preserve">. In addition, </w:t>
      </w:r>
      <w:r w:rsidR="00A042FF" w:rsidRPr="00A042FF">
        <w:rPr>
          <w:rFonts w:asciiTheme="minorHAnsi" w:hAnsiTheme="minorHAnsi" w:cstheme="minorHAnsi"/>
        </w:rPr>
        <w:t>this DPG ventures</w:t>
      </w:r>
      <w:r w:rsidR="00A042FF" w:rsidRPr="00222784">
        <w:rPr>
          <w:rFonts w:asciiTheme="minorHAnsi" w:hAnsiTheme="minorHAnsi" w:cstheme="minorHAnsi"/>
        </w:rPr>
        <w:t xml:space="preserve"> into the second pillar of the strategy, which </w:t>
      </w:r>
      <w:r w:rsidR="00A042FF" w:rsidRPr="00222784">
        <w:rPr>
          <w:rFonts w:asciiTheme="minorHAnsi" w:eastAsia="Calibri" w:hAnsiTheme="minorHAnsi" w:cstheme="minorHAnsi"/>
          <w:bCs/>
          <w:iCs/>
        </w:rPr>
        <w:t>strengthen institutions for improved citizen-centered service delivery</w:t>
      </w:r>
      <w:r w:rsidR="00A042FF" w:rsidRPr="00222784">
        <w:rPr>
          <w:rFonts w:asciiTheme="minorHAnsi" w:hAnsiTheme="minorHAnsi" w:cstheme="minorHAnsi"/>
        </w:rPr>
        <w:t xml:space="preserve"> by increasing accountability and transparency of public finances.</w:t>
      </w:r>
    </w:p>
    <w:p w14:paraId="254E1C3E" w14:textId="77777777" w:rsidR="002E7C94" w:rsidRPr="009B37C9" w:rsidRDefault="002E7C94" w:rsidP="002E7C94">
      <w:pPr>
        <w:pStyle w:val="ListParagraph"/>
        <w:ind w:left="0"/>
        <w:contextualSpacing w:val="0"/>
        <w:jc w:val="both"/>
        <w:rPr>
          <w:rFonts w:asciiTheme="minorHAnsi" w:hAnsiTheme="minorHAnsi" w:cstheme="minorHAnsi"/>
        </w:rPr>
      </w:pPr>
    </w:p>
    <w:p w14:paraId="16A71480" w14:textId="3CD0BB7A" w:rsidR="002E7C94" w:rsidRPr="009B37C9" w:rsidRDefault="002E7C94" w:rsidP="002E7C94">
      <w:pPr>
        <w:pStyle w:val="ListParagraph"/>
        <w:numPr>
          <w:ilvl w:val="0"/>
          <w:numId w:val="30"/>
        </w:numPr>
        <w:ind w:left="0" w:firstLine="0"/>
        <w:contextualSpacing w:val="0"/>
        <w:jc w:val="both"/>
        <w:rPr>
          <w:rFonts w:asciiTheme="minorHAnsi" w:hAnsiTheme="minorHAnsi" w:cstheme="minorHAnsi"/>
        </w:rPr>
      </w:pPr>
      <w:r w:rsidRPr="009B37C9">
        <w:rPr>
          <w:rFonts w:asciiTheme="minorHAnsi" w:hAnsiTheme="minorHAnsi" w:cstheme="minorHAnsi"/>
          <w:bCs/>
        </w:rPr>
        <w:t>Moreover, this operation supports the PA’s strategic priorities envisaged in its national development strategy, the National Policy Agenda (NPA) (2017-2022) and provides essential financing for the PA’s 2017 budget</w:t>
      </w:r>
      <w:r w:rsidRPr="009B37C9">
        <w:rPr>
          <w:rFonts w:asciiTheme="minorHAnsi" w:hAnsiTheme="minorHAnsi" w:cstheme="minorHAnsi"/>
          <w:lang w:eastAsia="ja-JP"/>
        </w:rPr>
        <w:t>.</w:t>
      </w:r>
      <w:r w:rsidRPr="009B37C9">
        <w:rPr>
          <w:rFonts w:asciiTheme="minorHAnsi" w:hAnsiTheme="minorHAnsi" w:cstheme="minorHAnsi"/>
        </w:rPr>
        <w:t xml:space="preserve"> The DPG supports the PA’s efforts to strengthen fiscal stability by improving the transparency and accountability as well as payment discipline underlying fiscal transfers linked to utilities financing between the PA, the </w:t>
      </w:r>
      <w:proofErr w:type="spellStart"/>
      <w:r w:rsidR="002A54C1">
        <w:rPr>
          <w:rFonts w:asciiTheme="minorHAnsi" w:hAnsiTheme="minorHAnsi" w:cstheme="minorHAnsi"/>
        </w:rPr>
        <w:t>GoI</w:t>
      </w:r>
      <w:proofErr w:type="spellEnd"/>
      <w:r w:rsidRPr="009B37C9">
        <w:rPr>
          <w:rFonts w:asciiTheme="minorHAnsi" w:hAnsiTheme="minorHAnsi" w:cstheme="minorHAnsi"/>
        </w:rPr>
        <w:t xml:space="preserve"> </w:t>
      </w:r>
      <w:r w:rsidR="002A54C1">
        <w:rPr>
          <w:rFonts w:asciiTheme="minorHAnsi" w:hAnsiTheme="minorHAnsi" w:cstheme="minorHAnsi"/>
        </w:rPr>
        <w:t>and LGUs</w:t>
      </w:r>
      <w:r w:rsidRPr="009B37C9">
        <w:rPr>
          <w:rFonts w:asciiTheme="minorHAnsi" w:hAnsiTheme="minorHAnsi" w:cstheme="minorHAnsi"/>
        </w:rPr>
        <w:t xml:space="preserve"> – where currently unpaid bills of LGUs distort revenue transfers between the </w:t>
      </w:r>
      <w:proofErr w:type="spellStart"/>
      <w:r w:rsidRPr="009B37C9">
        <w:rPr>
          <w:rFonts w:asciiTheme="minorHAnsi" w:hAnsiTheme="minorHAnsi" w:cstheme="minorHAnsi"/>
        </w:rPr>
        <w:t>GoI</w:t>
      </w:r>
      <w:proofErr w:type="spellEnd"/>
      <w:r w:rsidRPr="009B37C9">
        <w:rPr>
          <w:rFonts w:asciiTheme="minorHAnsi" w:hAnsiTheme="minorHAnsi" w:cstheme="minorHAnsi"/>
        </w:rPr>
        <w:t xml:space="preserve"> and the PA. The </w:t>
      </w:r>
      <w:r w:rsidRPr="009B37C9">
        <w:rPr>
          <w:rFonts w:asciiTheme="minorHAnsi" w:hAnsiTheme="minorHAnsi" w:cstheme="minorHAnsi"/>
          <w:bCs/>
        </w:rPr>
        <w:t xml:space="preserve">US$30 million provided by the proposed operation for the PA’s 2017 budget will directly leverage </w:t>
      </w:r>
      <w:r w:rsidRPr="009B37C9">
        <w:rPr>
          <w:rFonts w:asciiTheme="minorHAnsi" w:hAnsiTheme="minorHAnsi" w:cstheme="minorHAnsi"/>
        </w:rPr>
        <w:t>other donor financing in the amount of roughly US$45 million per year through the Palestinian Recovery and Development Plan (PRDP) Trust Fund. The operation also sends a strong positive signal to other donors that directly provide bilateral budgetary support to the PA.</w:t>
      </w:r>
    </w:p>
    <w:p w14:paraId="5E963632" w14:textId="5108BC0E" w:rsidR="00C34CAD" w:rsidRPr="009B37C9" w:rsidRDefault="00C34CAD" w:rsidP="00C14603">
      <w:pPr>
        <w:autoSpaceDE w:val="0"/>
        <w:autoSpaceDN w:val="0"/>
        <w:rPr>
          <w:rFonts w:asciiTheme="minorHAnsi" w:hAnsiTheme="minorHAnsi" w:cstheme="minorHAnsi"/>
          <w:b/>
          <w:bCs/>
          <w:color w:val="000000"/>
        </w:rPr>
      </w:pPr>
    </w:p>
    <w:p w14:paraId="63F907C1" w14:textId="6B529053" w:rsidR="00C34CAD" w:rsidRPr="009B37C9" w:rsidRDefault="00C34CAD" w:rsidP="00C34CAD">
      <w:pPr>
        <w:pStyle w:val="ListParagraph"/>
        <w:numPr>
          <w:ilvl w:val="0"/>
          <w:numId w:val="24"/>
        </w:numPr>
        <w:autoSpaceDE w:val="0"/>
        <w:autoSpaceDN w:val="0"/>
        <w:ind w:hanging="630"/>
        <w:rPr>
          <w:rFonts w:asciiTheme="minorHAnsi" w:hAnsiTheme="minorHAnsi" w:cstheme="minorHAnsi"/>
          <w:b/>
          <w:bCs/>
          <w:color w:val="000000"/>
        </w:rPr>
      </w:pPr>
      <w:r w:rsidRPr="009B37C9">
        <w:rPr>
          <w:rFonts w:asciiTheme="minorHAnsi" w:hAnsiTheme="minorHAnsi" w:cstheme="minorHAnsi"/>
          <w:b/>
          <w:bCs/>
          <w:color w:val="000000"/>
        </w:rPr>
        <w:t>Tentative financing</w:t>
      </w:r>
    </w:p>
    <w:p w14:paraId="63AB748B" w14:textId="3FAB3471" w:rsidR="00C34CAD" w:rsidRPr="009B37C9" w:rsidRDefault="00C34CAD" w:rsidP="00C34CAD">
      <w:pPr>
        <w:pStyle w:val="ListParagraph"/>
        <w:ind w:left="90"/>
        <w:jc w:val="both"/>
        <w:rPr>
          <w:rFonts w:asciiTheme="minorHAnsi" w:hAnsiTheme="minorHAnsi" w:cstheme="minorHAnsi"/>
        </w:rPr>
      </w:pPr>
    </w:p>
    <w:tbl>
      <w:tblPr>
        <w:tblW w:w="0" w:type="auto"/>
        <w:tblLook w:val="0000" w:firstRow="0" w:lastRow="0" w:firstColumn="0" w:lastColumn="0" w:noHBand="0" w:noVBand="0"/>
      </w:tblPr>
      <w:tblGrid>
        <w:gridCol w:w="7482"/>
        <w:gridCol w:w="1878"/>
      </w:tblGrid>
      <w:tr w:rsidR="00C34CAD" w:rsidRPr="009B37C9" w14:paraId="677940AD" w14:textId="77777777" w:rsidTr="007F6612">
        <w:tc>
          <w:tcPr>
            <w:tcW w:w="7482" w:type="dxa"/>
          </w:tcPr>
          <w:p w14:paraId="43A2D4E2" w14:textId="77777777" w:rsidR="00C34CAD" w:rsidRPr="009B37C9" w:rsidRDefault="00C34CAD" w:rsidP="007F6612">
            <w:pPr>
              <w:pStyle w:val="ListParagraph"/>
              <w:ind w:left="90"/>
              <w:jc w:val="both"/>
              <w:rPr>
                <w:rFonts w:asciiTheme="minorHAnsi" w:hAnsiTheme="minorHAnsi" w:cstheme="minorHAnsi"/>
              </w:rPr>
            </w:pPr>
            <w:r w:rsidRPr="009B37C9">
              <w:rPr>
                <w:rFonts w:asciiTheme="minorHAnsi" w:hAnsiTheme="minorHAnsi" w:cstheme="minorHAnsi"/>
              </w:rPr>
              <w:t>Source:</w:t>
            </w:r>
            <w:bookmarkStart w:id="3" w:name="FINANCINGTAB_PID"/>
            <w:bookmarkEnd w:id="3"/>
          </w:p>
        </w:tc>
        <w:tc>
          <w:tcPr>
            <w:tcW w:w="1878" w:type="dxa"/>
          </w:tcPr>
          <w:p w14:paraId="58CDBA84" w14:textId="77777777" w:rsidR="00C34CAD" w:rsidRPr="009B37C9" w:rsidRDefault="00C34CAD" w:rsidP="007F6612">
            <w:pPr>
              <w:tabs>
                <w:tab w:val="decimal" w:pos="252"/>
              </w:tabs>
              <w:jc w:val="center"/>
              <w:rPr>
                <w:rFonts w:asciiTheme="minorHAnsi" w:hAnsiTheme="minorHAnsi" w:cstheme="minorHAnsi"/>
              </w:rPr>
            </w:pPr>
            <w:r w:rsidRPr="009B37C9">
              <w:rPr>
                <w:rFonts w:asciiTheme="minorHAnsi" w:hAnsiTheme="minorHAnsi" w:cstheme="minorHAnsi"/>
              </w:rPr>
              <w:t>($m.)</w:t>
            </w:r>
          </w:p>
        </w:tc>
      </w:tr>
      <w:tr w:rsidR="00C34CAD" w:rsidRPr="009B37C9" w14:paraId="7798B970" w14:textId="77777777" w:rsidTr="007F6612">
        <w:tc>
          <w:tcPr>
            <w:tcW w:w="7482" w:type="dxa"/>
          </w:tcPr>
          <w:p w14:paraId="31B32E2D" w14:textId="77777777" w:rsidR="00C34CAD" w:rsidRPr="009B37C9" w:rsidRDefault="00C34CAD" w:rsidP="007F6612">
            <w:pPr>
              <w:tabs>
                <w:tab w:val="right" w:pos="7200"/>
              </w:tabs>
              <w:rPr>
                <w:rFonts w:asciiTheme="minorHAnsi" w:hAnsiTheme="minorHAnsi" w:cstheme="minorHAnsi"/>
              </w:rPr>
            </w:pPr>
          </w:p>
        </w:tc>
        <w:tc>
          <w:tcPr>
            <w:tcW w:w="1878" w:type="dxa"/>
          </w:tcPr>
          <w:p w14:paraId="41FF3B74" w14:textId="77777777" w:rsidR="00C34CAD" w:rsidRPr="009B37C9" w:rsidRDefault="00C34CAD" w:rsidP="007F6612">
            <w:pPr>
              <w:tabs>
                <w:tab w:val="decimal" w:pos="252"/>
              </w:tabs>
              <w:jc w:val="center"/>
              <w:rPr>
                <w:rFonts w:asciiTheme="minorHAnsi" w:hAnsiTheme="minorHAnsi" w:cstheme="minorHAnsi"/>
              </w:rPr>
            </w:pPr>
          </w:p>
        </w:tc>
      </w:tr>
      <w:tr w:rsidR="00C34CAD" w:rsidRPr="009B37C9" w14:paraId="1F290182" w14:textId="77777777" w:rsidTr="007F6612">
        <w:tc>
          <w:tcPr>
            <w:tcW w:w="7482" w:type="dxa"/>
          </w:tcPr>
          <w:p w14:paraId="390EF7E5" w14:textId="77777777" w:rsidR="00C34CAD" w:rsidRPr="009B37C9" w:rsidRDefault="00C34CAD" w:rsidP="007F6612">
            <w:pPr>
              <w:pStyle w:val="ListParagraph"/>
              <w:ind w:left="90"/>
              <w:jc w:val="both"/>
              <w:rPr>
                <w:rFonts w:asciiTheme="minorHAnsi" w:hAnsiTheme="minorHAnsi" w:cstheme="minorHAnsi"/>
              </w:rPr>
            </w:pPr>
            <w:r w:rsidRPr="009B37C9">
              <w:rPr>
                <w:rFonts w:asciiTheme="minorHAnsi" w:hAnsiTheme="minorHAnsi" w:cstheme="minorHAnsi"/>
              </w:rPr>
              <w:t>International Bank for Reconstruction and Development</w:t>
            </w:r>
          </w:p>
        </w:tc>
        <w:tc>
          <w:tcPr>
            <w:tcW w:w="1878" w:type="dxa"/>
          </w:tcPr>
          <w:p w14:paraId="0E48EFED" w14:textId="54A00494" w:rsidR="00C34CAD" w:rsidRPr="009B37C9" w:rsidRDefault="00875464" w:rsidP="007F6612">
            <w:pPr>
              <w:tabs>
                <w:tab w:val="decimal" w:pos="252"/>
              </w:tabs>
              <w:jc w:val="center"/>
              <w:rPr>
                <w:rFonts w:asciiTheme="minorHAnsi" w:hAnsiTheme="minorHAnsi" w:cstheme="minorHAnsi"/>
              </w:rPr>
            </w:pPr>
            <w:r w:rsidRPr="009B37C9">
              <w:rPr>
                <w:rFonts w:asciiTheme="minorHAnsi" w:hAnsiTheme="minorHAnsi" w:cstheme="minorHAnsi"/>
              </w:rPr>
              <w:t>3</w:t>
            </w:r>
            <w:r w:rsidR="00C34CAD" w:rsidRPr="009B37C9">
              <w:rPr>
                <w:rFonts w:asciiTheme="minorHAnsi" w:hAnsiTheme="minorHAnsi" w:cstheme="minorHAnsi"/>
              </w:rPr>
              <w:t>0.00</w:t>
            </w:r>
          </w:p>
        </w:tc>
      </w:tr>
      <w:tr w:rsidR="00C34CAD" w:rsidRPr="009B37C9" w14:paraId="0E545FF1" w14:textId="77777777" w:rsidTr="007F6612">
        <w:tc>
          <w:tcPr>
            <w:tcW w:w="7482" w:type="dxa"/>
          </w:tcPr>
          <w:p w14:paraId="032BAABA" w14:textId="77777777" w:rsidR="00C34CAD" w:rsidRPr="009B37C9" w:rsidRDefault="00C34CAD" w:rsidP="007F6612">
            <w:pPr>
              <w:pStyle w:val="ListParagraph"/>
              <w:ind w:left="90"/>
              <w:jc w:val="both"/>
              <w:rPr>
                <w:rFonts w:asciiTheme="minorHAnsi" w:hAnsiTheme="minorHAnsi" w:cstheme="minorHAnsi"/>
              </w:rPr>
            </w:pPr>
            <w:r w:rsidRPr="009B37C9">
              <w:rPr>
                <w:rFonts w:asciiTheme="minorHAnsi" w:hAnsiTheme="minorHAnsi" w:cstheme="minorHAnsi"/>
              </w:rPr>
              <w:t>Borrower/Recipient</w:t>
            </w:r>
          </w:p>
        </w:tc>
        <w:tc>
          <w:tcPr>
            <w:tcW w:w="1878" w:type="dxa"/>
          </w:tcPr>
          <w:p w14:paraId="3D415486" w14:textId="77777777" w:rsidR="00C34CAD" w:rsidRPr="009B37C9" w:rsidRDefault="00C34CAD" w:rsidP="007F6612">
            <w:pPr>
              <w:tabs>
                <w:tab w:val="decimal" w:pos="252"/>
              </w:tabs>
              <w:jc w:val="center"/>
              <w:rPr>
                <w:rFonts w:asciiTheme="minorHAnsi" w:hAnsiTheme="minorHAnsi" w:cstheme="minorHAnsi"/>
              </w:rPr>
            </w:pPr>
            <w:r w:rsidRPr="009B37C9">
              <w:rPr>
                <w:rFonts w:asciiTheme="minorHAnsi" w:hAnsiTheme="minorHAnsi" w:cstheme="minorHAnsi"/>
              </w:rPr>
              <w:t>0.00</w:t>
            </w:r>
          </w:p>
        </w:tc>
      </w:tr>
      <w:tr w:rsidR="00C34CAD" w:rsidRPr="009B37C9" w14:paraId="436DAA58" w14:textId="77777777" w:rsidTr="007F6612">
        <w:tc>
          <w:tcPr>
            <w:tcW w:w="7482" w:type="dxa"/>
          </w:tcPr>
          <w:p w14:paraId="55F16110" w14:textId="77777777" w:rsidR="00C34CAD" w:rsidRPr="009B37C9" w:rsidRDefault="00C34CAD" w:rsidP="007F6612">
            <w:pPr>
              <w:tabs>
                <w:tab w:val="right" w:pos="7200"/>
              </w:tabs>
              <w:rPr>
                <w:rFonts w:asciiTheme="minorHAnsi" w:hAnsiTheme="minorHAnsi" w:cstheme="minorHAnsi"/>
              </w:rPr>
            </w:pPr>
            <w:r w:rsidRPr="009B37C9">
              <w:rPr>
                <w:rFonts w:asciiTheme="minorHAnsi" w:hAnsiTheme="minorHAnsi" w:cstheme="minorHAnsi"/>
              </w:rPr>
              <w:tab/>
              <w:t>Total</w:t>
            </w:r>
          </w:p>
        </w:tc>
        <w:tc>
          <w:tcPr>
            <w:tcW w:w="1878" w:type="dxa"/>
          </w:tcPr>
          <w:p w14:paraId="28258BB7" w14:textId="304CF16C" w:rsidR="00C34CAD" w:rsidRPr="009B37C9" w:rsidRDefault="00875464" w:rsidP="007F6612">
            <w:pPr>
              <w:tabs>
                <w:tab w:val="decimal" w:pos="252"/>
              </w:tabs>
              <w:jc w:val="center"/>
              <w:rPr>
                <w:rFonts w:asciiTheme="minorHAnsi" w:hAnsiTheme="minorHAnsi" w:cstheme="minorHAnsi"/>
              </w:rPr>
            </w:pPr>
            <w:r w:rsidRPr="009B37C9">
              <w:rPr>
                <w:rFonts w:asciiTheme="minorHAnsi" w:hAnsiTheme="minorHAnsi" w:cstheme="minorHAnsi"/>
              </w:rPr>
              <w:t>3</w:t>
            </w:r>
            <w:r w:rsidR="00C34CAD" w:rsidRPr="009B37C9">
              <w:rPr>
                <w:rFonts w:asciiTheme="minorHAnsi" w:hAnsiTheme="minorHAnsi" w:cstheme="minorHAnsi"/>
              </w:rPr>
              <w:t>0.00</w:t>
            </w:r>
          </w:p>
        </w:tc>
      </w:tr>
    </w:tbl>
    <w:p w14:paraId="7075F8DA" w14:textId="2C37C23E" w:rsidR="00816D92" w:rsidRDefault="00816D92" w:rsidP="00816D92">
      <w:pPr>
        <w:pStyle w:val="ListParagraph"/>
        <w:autoSpaceDE w:val="0"/>
        <w:autoSpaceDN w:val="0"/>
        <w:rPr>
          <w:rFonts w:asciiTheme="minorHAnsi" w:hAnsiTheme="minorHAnsi" w:cstheme="minorHAnsi"/>
          <w:b/>
          <w:bCs/>
          <w:color w:val="000000"/>
        </w:rPr>
      </w:pPr>
    </w:p>
    <w:p w14:paraId="72239358" w14:textId="77777777" w:rsidR="00DC1EC6" w:rsidRPr="009B37C9" w:rsidRDefault="00DC1EC6" w:rsidP="00816D92">
      <w:pPr>
        <w:pStyle w:val="ListParagraph"/>
        <w:autoSpaceDE w:val="0"/>
        <w:autoSpaceDN w:val="0"/>
        <w:rPr>
          <w:rFonts w:asciiTheme="minorHAnsi" w:hAnsiTheme="minorHAnsi" w:cstheme="minorHAnsi"/>
          <w:b/>
          <w:bCs/>
          <w:color w:val="000000"/>
        </w:rPr>
      </w:pPr>
    </w:p>
    <w:p w14:paraId="2F9D58C4" w14:textId="07A56DE7" w:rsidR="00C34CAD" w:rsidRPr="009B37C9" w:rsidRDefault="00C34CAD" w:rsidP="00C34CAD">
      <w:pPr>
        <w:pStyle w:val="ListParagraph"/>
        <w:numPr>
          <w:ilvl w:val="0"/>
          <w:numId w:val="24"/>
        </w:numPr>
        <w:autoSpaceDE w:val="0"/>
        <w:autoSpaceDN w:val="0"/>
        <w:rPr>
          <w:rFonts w:asciiTheme="minorHAnsi" w:hAnsiTheme="minorHAnsi" w:cstheme="minorHAnsi"/>
          <w:b/>
          <w:bCs/>
          <w:color w:val="000000"/>
        </w:rPr>
      </w:pPr>
      <w:r w:rsidRPr="009B37C9">
        <w:rPr>
          <w:rFonts w:asciiTheme="minorHAnsi" w:hAnsiTheme="minorHAnsi" w:cstheme="minorHAnsi"/>
          <w:b/>
          <w:bCs/>
          <w:color w:val="000000"/>
        </w:rPr>
        <w:t>Institutional and Implementation Arrangement</w:t>
      </w:r>
    </w:p>
    <w:p w14:paraId="166CE7BC" w14:textId="41C476FE" w:rsidR="00460417" w:rsidRPr="009B37C9" w:rsidRDefault="00460417" w:rsidP="00460417">
      <w:pPr>
        <w:pStyle w:val="ListParagraph"/>
        <w:autoSpaceDE w:val="0"/>
        <w:autoSpaceDN w:val="0"/>
        <w:rPr>
          <w:rFonts w:asciiTheme="minorHAnsi" w:hAnsiTheme="minorHAnsi" w:cstheme="minorHAnsi"/>
          <w:b/>
          <w:bCs/>
          <w:color w:val="000000"/>
        </w:rPr>
      </w:pPr>
    </w:p>
    <w:p w14:paraId="18C21EA2" w14:textId="796CACB6" w:rsidR="00875464" w:rsidRPr="009B37C9" w:rsidRDefault="00875464" w:rsidP="00875464">
      <w:pPr>
        <w:pStyle w:val="ListParagraph"/>
        <w:numPr>
          <w:ilvl w:val="0"/>
          <w:numId w:val="30"/>
        </w:numPr>
        <w:ind w:left="0" w:firstLine="0"/>
        <w:contextualSpacing w:val="0"/>
        <w:jc w:val="both"/>
        <w:rPr>
          <w:rFonts w:asciiTheme="minorHAnsi" w:hAnsiTheme="minorHAnsi" w:cstheme="minorHAnsi"/>
        </w:rPr>
      </w:pPr>
      <w:r w:rsidRPr="009B37C9">
        <w:rPr>
          <w:rFonts w:asciiTheme="minorHAnsi" w:hAnsiTheme="minorHAnsi" w:cstheme="minorHAnsi"/>
        </w:rPr>
        <w:t>The design of the monitoring and evaluation arrangements were built upon those developed under the earlier development policy grants.</w:t>
      </w:r>
      <w:r w:rsidR="00855605">
        <w:rPr>
          <w:rFonts w:asciiTheme="minorHAnsi" w:hAnsiTheme="minorHAnsi" w:cstheme="minorHAnsi"/>
        </w:rPr>
        <w:t xml:space="preserve"> </w:t>
      </w:r>
      <w:r w:rsidRPr="009B37C9">
        <w:rPr>
          <w:rFonts w:asciiTheme="minorHAnsi" w:hAnsiTheme="minorHAnsi" w:cstheme="minorHAnsi"/>
        </w:rPr>
        <w:t>The results framework of the DPG was agreed with the authorities and developed in consultation with other development partners. As has been the practice, the results framework was developed not only to monitor progress under the DPG, but also to monitor the implementation of the Multi-Donor Trust Fund (MDTF), which is a major source for donor funding to the budget, aligned to the NPA. Since both the DPG and the PRDP TF support the implementation of selected key objectives of the PA’s strategy and aim to provide stable and predictable financial support to the PA budget, a shared results framework for both has provided additional leverage to reform implementation. The indicators used are direct measures of development objectives, the data is collected by the statistics agency and finance and line ministries, and enjoys full ownership across the government.</w:t>
      </w:r>
    </w:p>
    <w:p w14:paraId="6A1DF30F" w14:textId="77777777" w:rsidR="00875464" w:rsidRPr="009B37C9" w:rsidRDefault="00875464" w:rsidP="00875464">
      <w:pPr>
        <w:pStyle w:val="ListParagraph"/>
        <w:rPr>
          <w:rFonts w:asciiTheme="minorHAnsi" w:hAnsiTheme="minorHAnsi" w:cstheme="minorHAnsi"/>
        </w:rPr>
      </w:pPr>
    </w:p>
    <w:p w14:paraId="1A0267DC" w14:textId="0584CD10" w:rsidR="00875464" w:rsidRPr="009B37C9" w:rsidRDefault="00875464" w:rsidP="00875464">
      <w:pPr>
        <w:pStyle w:val="ListParagraph"/>
        <w:numPr>
          <w:ilvl w:val="0"/>
          <w:numId w:val="30"/>
        </w:numPr>
        <w:ind w:left="0" w:firstLine="0"/>
        <w:contextualSpacing w:val="0"/>
        <w:jc w:val="both"/>
        <w:rPr>
          <w:rFonts w:asciiTheme="minorHAnsi" w:hAnsiTheme="minorHAnsi" w:cstheme="minorHAnsi"/>
        </w:rPr>
      </w:pPr>
      <w:r w:rsidRPr="009B37C9">
        <w:rPr>
          <w:rFonts w:asciiTheme="minorHAnsi" w:hAnsiTheme="minorHAnsi" w:cstheme="minorHAnsi"/>
        </w:rPr>
        <w:t xml:space="preserve">The monitoring arrangements have been institutionalized in the Palestinian </w:t>
      </w:r>
      <w:r w:rsidR="00196135">
        <w:rPr>
          <w:rFonts w:asciiTheme="minorHAnsi" w:hAnsiTheme="minorHAnsi" w:cstheme="minorHAnsi"/>
        </w:rPr>
        <w:t>Ministry of Finance and Planning (</w:t>
      </w:r>
      <w:proofErr w:type="spellStart"/>
      <w:r w:rsidRPr="009B37C9">
        <w:rPr>
          <w:rFonts w:asciiTheme="minorHAnsi" w:hAnsiTheme="minorHAnsi" w:cstheme="minorHAnsi"/>
        </w:rPr>
        <w:t>MoFP</w:t>
      </w:r>
      <w:proofErr w:type="spellEnd"/>
      <w:r w:rsidR="00196135">
        <w:rPr>
          <w:rFonts w:asciiTheme="minorHAnsi" w:hAnsiTheme="minorHAnsi" w:cstheme="minorHAnsi"/>
        </w:rPr>
        <w:t>)</w:t>
      </w:r>
      <w:r w:rsidRPr="009B37C9">
        <w:rPr>
          <w:rFonts w:asciiTheme="minorHAnsi" w:hAnsiTheme="minorHAnsi" w:cstheme="minorHAnsi"/>
        </w:rPr>
        <w:t xml:space="preserve">. Based on the inputs from line ministries and other government agencies, the PA prepares quarterly reports on a regular basis to monitor the performance under both the DPG and the PRDP MDTF. The same arrangement is utilized to monitor progress against </w:t>
      </w:r>
      <w:r w:rsidRPr="009B37C9">
        <w:rPr>
          <w:rFonts w:asciiTheme="minorHAnsi" w:hAnsiTheme="minorHAnsi" w:cstheme="minorHAnsi"/>
        </w:rPr>
        <w:lastRenderedPageBreak/>
        <w:t xml:space="preserve">the PA’s medium-term program. These reports are placed on the website of the </w:t>
      </w:r>
      <w:proofErr w:type="spellStart"/>
      <w:r w:rsidRPr="009B37C9">
        <w:rPr>
          <w:rFonts w:asciiTheme="minorHAnsi" w:hAnsiTheme="minorHAnsi" w:cstheme="minorHAnsi"/>
        </w:rPr>
        <w:t>MoFP</w:t>
      </w:r>
      <w:proofErr w:type="spellEnd"/>
      <w:r w:rsidRPr="009B37C9">
        <w:rPr>
          <w:rFonts w:asciiTheme="minorHAnsi" w:hAnsiTheme="minorHAnsi" w:cstheme="minorHAnsi"/>
        </w:rPr>
        <w:t xml:space="preserve">. The monitoring arrangements developed in the context of DPGs and PRDP TF have not only been used for the purposes of those operations, but there is evidence that these arrangements have contributed to building stronger institutional arrangements for monitoring PA’s broader reform efforts.   </w:t>
      </w:r>
    </w:p>
    <w:p w14:paraId="18C97A96" w14:textId="1823F8FB" w:rsidR="00460417" w:rsidRPr="009B37C9" w:rsidRDefault="00460417" w:rsidP="00875464">
      <w:pPr>
        <w:autoSpaceDE w:val="0"/>
        <w:autoSpaceDN w:val="0"/>
        <w:rPr>
          <w:rFonts w:asciiTheme="minorHAnsi" w:hAnsiTheme="minorHAnsi" w:cstheme="minorHAnsi"/>
          <w:b/>
          <w:bCs/>
          <w:color w:val="000000"/>
        </w:rPr>
      </w:pPr>
    </w:p>
    <w:p w14:paraId="02B9CB2B" w14:textId="17F8730E" w:rsidR="00C34CAD" w:rsidRPr="009B37C9" w:rsidRDefault="00C34CAD" w:rsidP="00C34CAD">
      <w:pPr>
        <w:pStyle w:val="ListParagraph"/>
        <w:numPr>
          <w:ilvl w:val="0"/>
          <w:numId w:val="24"/>
        </w:numPr>
        <w:autoSpaceDE w:val="0"/>
        <w:autoSpaceDN w:val="0"/>
        <w:rPr>
          <w:rFonts w:asciiTheme="minorHAnsi" w:hAnsiTheme="minorHAnsi" w:cstheme="minorHAnsi"/>
          <w:b/>
          <w:bCs/>
          <w:color w:val="000000"/>
        </w:rPr>
      </w:pPr>
      <w:r w:rsidRPr="009B37C9">
        <w:rPr>
          <w:rFonts w:asciiTheme="minorHAnsi" w:hAnsiTheme="minorHAnsi" w:cstheme="minorHAnsi"/>
          <w:b/>
          <w:bCs/>
          <w:color w:val="000000"/>
        </w:rPr>
        <w:t>Risks and Risk Mitigation</w:t>
      </w:r>
    </w:p>
    <w:p w14:paraId="3162A1F3" w14:textId="77777777" w:rsidR="00C34CAD" w:rsidRPr="009B37C9" w:rsidRDefault="00C34CAD" w:rsidP="00C34CAD">
      <w:pPr>
        <w:pStyle w:val="ListParagraph"/>
        <w:autoSpaceDE w:val="0"/>
        <w:autoSpaceDN w:val="0"/>
        <w:rPr>
          <w:rFonts w:asciiTheme="minorHAnsi" w:hAnsiTheme="minorHAnsi" w:cstheme="minorHAnsi"/>
          <w:b/>
          <w:bCs/>
          <w:color w:val="000000"/>
        </w:rPr>
      </w:pPr>
    </w:p>
    <w:p w14:paraId="15623B1D" w14:textId="307F3D4E" w:rsidR="00875464" w:rsidRPr="009B37C9" w:rsidRDefault="00875464" w:rsidP="00875464">
      <w:pPr>
        <w:pStyle w:val="ListParagraph"/>
        <w:numPr>
          <w:ilvl w:val="0"/>
          <w:numId w:val="30"/>
        </w:numPr>
        <w:ind w:left="0" w:firstLine="0"/>
        <w:contextualSpacing w:val="0"/>
        <w:jc w:val="both"/>
        <w:rPr>
          <w:rFonts w:asciiTheme="minorHAnsi" w:hAnsiTheme="minorHAnsi" w:cstheme="minorHAnsi"/>
        </w:rPr>
      </w:pPr>
      <w:r w:rsidRPr="00196135">
        <w:rPr>
          <w:rFonts w:asciiTheme="minorHAnsi" w:hAnsiTheme="minorHAnsi" w:cstheme="minorHAnsi"/>
        </w:rPr>
        <w:t>The political and security situation in the West Bank and Gaza is very fragile. The highly</w:t>
      </w:r>
      <w:r w:rsidRPr="009B37C9">
        <w:rPr>
          <w:rFonts w:asciiTheme="minorHAnsi" w:hAnsiTheme="minorHAnsi" w:cstheme="minorHAnsi"/>
        </w:rPr>
        <w:t xml:space="preserve"> volatile political situation could deteriorate, with the consequence of stalled structural reforms. </w:t>
      </w:r>
      <w:r w:rsidRPr="009B37C9">
        <w:rPr>
          <w:rFonts w:asciiTheme="minorHAnsi" w:hAnsiTheme="minorHAnsi" w:cstheme="minorHAnsi"/>
          <w:bCs/>
          <w:iCs/>
        </w:rPr>
        <w:t xml:space="preserve">Risks include </w:t>
      </w:r>
      <w:r w:rsidRPr="009B37C9">
        <w:rPr>
          <w:rFonts w:asciiTheme="minorHAnsi" w:hAnsiTheme="minorHAnsi" w:cstheme="minorHAnsi"/>
        </w:rPr>
        <w:t>the resumption of armed conflict in Gaza, which if were to happen</w:t>
      </w:r>
      <w:r w:rsidR="0060312B">
        <w:rPr>
          <w:rFonts w:asciiTheme="minorHAnsi" w:hAnsiTheme="minorHAnsi" w:cstheme="minorHAnsi"/>
        </w:rPr>
        <w:t>, would most likely</w:t>
      </w:r>
      <w:r w:rsidR="0060312B" w:rsidRPr="009B37C9">
        <w:rPr>
          <w:rFonts w:asciiTheme="minorHAnsi" w:hAnsiTheme="minorHAnsi" w:cstheme="minorHAnsi"/>
        </w:rPr>
        <w:t xml:space="preserve"> </w:t>
      </w:r>
      <w:r w:rsidRPr="009B37C9">
        <w:rPr>
          <w:rFonts w:asciiTheme="minorHAnsi" w:hAnsiTheme="minorHAnsi" w:cstheme="minorHAnsi"/>
        </w:rPr>
        <w:t>to push Gaza’s economy back into recession</w:t>
      </w:r>
      <w:r w:rsidR="0060312B">
        <w:rPr>
          <w:rFonts w:asciiTheme="minorHAnsi" w:hAnsiTheme="minorHAnsi" w:cstheme="minorHAnsi"/>
        </w:rPr>
        <w:t xml:space="preserve">, cause </w:t>
      </w:r>
      <w:r w:rsidRPr="009B37C9">
        <w:rPr>
          <w:rFonts w:asciiTheme="minorHAnsi" w:hAnsiTheme="minorHAnsi" w:cstheme="minorHAnsi"/>
        </w:rPr>
        <w:t xml:space="preserve">poverty to rise further; and </w:t>
      </w:r>
      <w:r w:rsidR="0060312B">
        <w:rPr>
          <w:rFonts w:asciiTheme="minorHAnsi" w:hAnsiTheme="minorHAnsi" w:cstheme="minorHAnsi"/>
        </w:rPr>
        <w:t xml:space="preserve">lead to the </w:t>
      </w:r>
      <w:r w:rsidRPr="009B37C9">
        <w:rPr>
          <w:rFonts w:asciiTheme="minorHAnsi" w:hAnsiTheme="minorHAnsi" w:cstheme="minorHAnsi"/>
        </w:rPr>
        <w:t>return of tensions throughout the West Bank; these will result in elevated security risks that may negatively impact economic activity and poverty. If the security situation relapses, private sector confidence and investment will fall, which will lead to lower economic growth and public revenues, while unemployment rises even further. The international donor community is closely monitoring the economic activity in the West Bank and Gaza, and is supporting the PA with grants and technical assistance. The authorities’ strong commitment on the continued implementation of structural reforms despite the highly difficult economic environment and fiscal pressures will provide a basis of boosting private sector confidence and supports of development partners.</w:t>
      </w:r>
    </w:p>
    <w:p w14:paraId="748291B6" w14:textId="77777777" w:rsidR="00875464" w:rsidRPr="009B37C9" w:rsidRDefault="00875464" w:rsidP="00875464">
      <w:pPr>
        <w:pStyle w:val="ListParagraph"/>
        <w:rPr>
          <w:rFonts w:asciiTheme="minorHAnsi" w:hAnsiTheme="minorHAnsi" w:cstheme="minorHAnsi"/>
        </w:rPr>
      </w:pPr>
    </w:p>
    <w:p w14:paraId="019819F5" w14:textId="5FD118A4" w:rsidR="00816D92" w:rsidRPr="009B37C9" w:rsidRDefault="00875464" w:rsidP="00816D92">
      <w:pPr>
        <w:pStyle w:val="ListParagraph"/>
        <w:numPr>
          <w:ilvl w:val="0"/>
          <w:numId w:val="30"/>
        </w:numPr>
        <w:ind w:left="0" w:firstLine="0"/>
        <w:contextualSpacing w:val="0"/>
        <w:jc w:val="both"/>
        <w:rPr>
          <w:rFonts w:asciiTheme="minorHAnsi" w:hAnsiTheme="minorHAnsi" w:cstheme="minorHAnsi"/>
        </w:rPr>
      </w:pPr>
      <w:r w:rsidRPr="00196135">
        <w:rPr>
          <w:rFonts w:asciiTheme="minorHAnsi" w:hAnsiTheme="minorHAnsi" w:cstheme="minorHAnsi"/>
        </w:rPr>
        <w:t>The macroeconomic risk rating is high.</w:t>
      </w:r>
      <w:r w:rsidRPr="00196135">
        <w:rPr>
          <w:rFonts w:asciiTheme="minorHAnsi" w:hAnsiTheme="minorHAnsi" w:cstheme="minorHAnsi"/>
          <w:i/>
        </w:rPr>
        <w:t xml:space="preserve"> </w:t>
      </w:r>
      <w:r w:rsidRPr="00196135">
        <w:rPr>
          <w:rFonts w:asciiTheme="minorHAnsi" w:hAnsiTheme="minorHAnsi" w:cstheme="minorHAnsi"/>
          <w:bCs/>
          <w:iCs/>
        </w:rPr>
        <w:t>Not only is the baseline Palestinian macro-fiscal outlook worrisome, but it also contains significant downside risks</w:t>
      </w:r>
      <w:r w:rsidRPr="00196135">
        <w:rPr>
          <w:rFonts w:asciiTheme="minorHAnsi" w:hAnsiTheme="minorHAnsi" w:cstheme="minorHAnsi"/>
          <w:bCs/>
        </w:rPr>
        <w:t xml:space="preserve">. </w:t>
      </w:r>
      <w:r w:rsidRPr="00196135">
        <w:rPr>
          <w:rFonts w:asciiTheme="minorHAnsi" w:hAnsiTheme="minorHAnsi" w:cstheme="minorHAnsi"/>
        </w:rPr>
        <w:t>As</w:t>
      </w:r>
      <w:r w:rsidRPr="009B37C9">
        <w:rPr>
          <w:rFonts w:asciiTheme="minorHAnsi" w:hAnsiTheme="minorHAnsi" w:cstheme="minorHAnsi"/>
        </w:rPr>
        <w:t xml:space="preserve"> mentioned above, the possible outbreak of conflict in Gaza as well as the West Bank will affect the level of uncertainty and business confidence. On the fiscal side, </w:t>
      </w:r>
      <w:r w:rsidRPr="009B37C9">
        <w:rPr>
          <w:rFonts w:asciiTheme="minorHAnsi" w:hAnsiTheme="minorHAnsi" w:cstheme="minorHAnsi"/>
          <w:bCs/>
          <w:iCs/>
        </w:rPr>
        <w:t xml:space="preserve">should </w:t>
      </w:r>
      <w:r w:rsidR="005C45FB">
        <w:rPr>
          <w:rFonts w:asciiTheme="minorHAnsi" w:hAnsiTheme="minorHAnsi" w:cstheme="minorHAnsi"/>
          <w:bCs/>
          <w:iCs/>
        </w:rPr>
        <w:t>donor financing further decline</w:t>
      </w:r>
      <w:r w:rsidRPr="009B37C9">
        <w:rPr>
          <w:rFonts w:asciiTheme="minorHAnsi" w:hAnsiTheme="minorHAnsi" w:cstheme="minorHAnsi"/>
          <w:bCs/>
          <w:iCs/>
        </w:rPr>
        <w:t xml:space="preserve">, the economic outlook would, </w:t>
      </w:r>
      <w:r w:rsidRPr="009B37C9">
        <w:rPr>
          <w:rFonts w:asciiTheme="minorHAnsi" w:hAnsiTheme="minorHAnsi" w:cstheme="minorHAnsi"/>
          <w:bCs/>
          <w:i/>
          <w:iCs/>
        </w:rPr>
        <w:t>ceteris paribus</w:t>
      </w:r>
      <w:r w:rsidRPr="009B37C9">
        <w:rPr>
          <w:rFonts w:asciiTheme="minorHAnsi" w:hAnsiTheme="minorHAnsi" w:cstheme="minorHAnsi"/>
          <w:bCs/>
          <w:iCs/>
        </w:rPr>
        <w:t>, be</w:t>
      </w:r>
      <w:r w:rsidRPr="009B37C9">
        <w:rPr>
          <w:rFonts w:asciiTheme="minorHAnsi" w:hAnsiTheme="minorHAnsi" w:cstheme="minorHAnsi"/>
        </w:rPr>
        <w:t xml:space="preserve"> </w:t>
      </w:r>
      <w:r w:rsidRPr="009B37C9">
        <w:rPr>
          <w:rFonts w:asciiTheme="minorHAnsi" w:hAnsiTheme="minorHAnsi" w:cstheme="minorHAnsi"/>
          <w:bCs/>
          <w:iCs/>
        </w:rPr>
        <w:t xml:space="preserve">substantially worse. Public debt, which reached 36.1 percent of GDP at the end of 2016, remains </w:t>
      </w:r>
      <w:r w:rsidRPr="009B37C9">
        <w:rPr>
          <w:rFonts w:asciiTheme="minorHAnsi" w:hAnsiTheme="minorHAnsi" w:cstheme="minorHAnsi"/>
        </w:rPr>
        <w:t>susceptible to the downside risks related to growth and the primary balance. Given the Palestinian territories’ narrow tax base and lack of access to international financial markets, further declines in donor support and lower than expected economic growth pose additional risks to public debt sustainability. Further tightening of restrictions by Israel would have a devastating impact on the population in Gaza. This proposed DPG sends a strong signal that the World Bank supports the PA in implementing the NPA and that it needs continued donor support. Most importantly, the operation leverages around US$</w:t>
      </w:r>
      <w:r w:rsidR="00196135">
        <w:rPr>
          <w:rFonts w:asciiTheme="minorHAnsi" w:hAnsiTheme="minorHAnsi" w:cstheme="minorHAnsi"/>
        </w:rPr>
        <w:t>45</w:t>
      </w:r>
      <w:r w:rsidRPr="009B37C9">
        <w:rPr>
          <w:rFonts w:asciiTheme="minorHAnsi" w:hAnsiTheme="minorHAnsi" w:cstheme="minorHAnsi"/>
        </w:rPr>
        <w:t xml:space="preserve"> million per year through the PRDP Trust Fund, which the Bank administers. This is particularly important since a reduction in donor aid has been identified as one of the important risks to the success of the operation.</w:t>
      </w:r>
    </w:p>
    <w:p w14:paraId="447238DA" w14:textId="77777777" w:rsidR="00816D92" w:rsidRPr="009B37C9" w:rsidRDefault="00816D92" w:rsidP="00816D92">
      <w:pPr>
        <w:pStyle w:val="ListParagraph"/>
        <w:ind w:left="0"/>
        <w:contextualSpacing w:val="0"/>
        <w:jc w:val="both"/>
        <w:rPr>
          <w:rFonts w:asciiTheme="minorHAnsi" w:hAnsiTheme="minorHAnsi" w:cstheme="minorHAnsi"/>
        </w:rPr>
      </w:pPr>
    </w:p>
    <w:p w14:paraId="362241C7" w14:textId="1F307072" w:rsidR="00875464" w:rsidRPr="009B37C9" w:rsidRDefault="00875464" w:rsidP="00816D92">
      <w:pPr>
        <w:pStyle w:val="ListParagraph"/>
        <w:numPr>
          <w:ilvl w:val="0"/>
          <w:numId w:val="30"/>
        </w:numPr>
        <w:ind w:left="0" w:firstLine="0"/>
        <w:contextualSpacing w:val="0"/>
        <w:jc w:val="both"/>
        <w:rPr>
          <w:rFonts w:asciiTheme="minorHAnsi" w:hAnsiTheme="minorHAnsi" w:cstheme="minorHAnsi"/>
        </w:rPr>
      </w:pPr>
      <w:r w:rsidRPr="00196135">
        <w:rPr>
          <w:rFonts w:asciiTheme="minorHAnsi" w:hAnsiTheme="minorHAnsi" w:cstheme="minorHAnsi"/>
        </w:rPr>
        <w:t>The fiduciary ri</w:t>
      </w:r>
      <w:r w:rsidR="00816D92" w:rsidRPr="00196135">
        <w:rPr>
          <w:rFonts w:asciiTheme="minorHAnsi" w:hAnsiTheme="minorHAnsi" w:cstheme="minorHAnsi"/>
        </w:rPr>
        <w:t xml:space="preserve">sks are </w:t>
      </w:r>
      <w:r w:rsidRPr="00196135">
        <w:rPr>
          <w:rFonts w:asciiTheme="minorHAnsi" w:hAnsiTheme="minorHAnsi" w:cstheme="minorHAnsi"/>
        </w:rPr>
        <w:t>high. The PFM system</w:t>
      </w:r>
      <w:r w:rsidRPr="009B37C9">
        <w:rPr>
          <w:rFonts w:asciiTheme="minorHAnsi" w:hAnsiTheme="minorHAnsi" w:cstheme="minorHAnsi"/>
        </w:rPr>
        <w:t xml:space="preserve"> encloses significant weaknesses which materialize in weak budget execution and the continued accumulation of arrears, delays in the production of the audited annual accounts mainly due to the lack of timely preparation of the financial statements by the </w:t>
      </w:r>
      <w:proofErr w:type="spellStart"/>
      <w:r w:rsidRPr="009B37C9">
        <w:rPr>
          <w:rFonts w:asciiTheme="minorHAnsi" w:hAnsiTheme="minorHAnsi" w:cstheme="minorHAnsi"/>
        </w:rPr>
        <w:t>MoFP</w:t>
      </w:r>
      <w:proofErr w:type="spellEnd"/>
      <w:r w:rsidRPr="009B37C9">
        <w:rPr>
          <w:rFonts w:asciiTheme="minorHAnsi" w:hAnsiTheme="minorHAnsi" w:cstheme="minorHAnsi"/>
        </w:rPr>
        <w:t xml:space="preserve">. These deficiencies in the PFM system mainly stem from weak commitment and decision-making process at ministerial and managerial levels, in addition to a broader context of insufficient capacity at the </w:t>
      </w:r>
      <w:proofErr w:type="spellStart"/>
      <w:r w:rsidRPr="009B37C9">
        <w:rPr>
          <w:rFonts w:asciiTheme="minorHAnsi" w:hAnsiTheme="minorHAnsi" w:cstheme="minorHAnsi"/>
        </w:rPr>
        <w:t>MoFP</w:t>
      </w:r>
      <w:proofErr w:type="spellEnd"/>
      <w:r w:rsidRPr="009B37C9">
        <w:rPr>
          <w:rFonts w:asciiTheme="minorHAnsi" w:hAnsiTheme="minorHAnsi" w:cstheme="minorHAnsi"/>
        </w:rPr>
        <w:t xml:space="preserve">. In recent years, the Bank and other donors have been supporting the PA through various technical assistance to the </w:t>
      </w:r>
      <w:proofErr w:type="spellStart"/>
      <w:r w:rsidRPr="009B37C9">
        <w:rPr>
          <w:rFonts w:asciiTheme="minorHAnsi" w:hAnsiTheme="minorHAnsi" w:cstheme="minorHAnsi"/>
        </w:rPr>
        <w:t>MoFP</w:t>
      </w:r>
      <w:proofErr w:type="spellEnd"/>
      <w:r w:rsidRPr="009B37C9">
        <w:rPr>
          <w:rFonts w:asciiTheme="minorHAnsi" w:hAnsiTheme="minorHAnsi" w:cstheme="minorHAnsi"/>
        </w:rPr>
        <w:t xml:space="preserve"> aiming at </w:t>
      </w:r>
      <w:r w:rsidRPr="009B37C9">
        <w:rPr>
          <w:rFonts w:asciiTheme="minorHAnsi" w:hAnsiTheme="minorHAnsi" w:cstheme="minorHAnsi"/>
        </w:rPr>
        <w:lastRenderedPageBreak/>
        <w:t xml:space="preserve">strengthening the accountability of the PFM system. The PA recently issued a new PFM strategy (2017-2022) with the emphasis on expenditures management and control, accounting reporting and procurement. The Bank will support the implementation of the strategy through the new World Bank-financed PFM project under preparation to </w:t>
      </w:r>
      <w:r w:rsidRPr="009B37C9">
        <w:rPr>
          <w:rFonts w:asciiTheme="minorHAnsi" w:hAnsiTheme="minorHAnsi" w:cstheme="minorHAnsi"/>
          <w:color w:val="000000"/>
        </w:rPr>
        <w:t xml:space="preserve">build on the previous </w:t>
      </w:r>
      <w:r w:rsidRPr="009B37C9">
        <w:rPr>
          <w:rFonts w:asciiTheme="minorHAnsi" w:hAnsiTheme="minorHAnsi" w:cstheme="minorHAnsi"/>
        </w:rPr>
        <w:t xml:space="preserve">TA </w:t>
      </w:r>
      <w:r w:rsidRPr="009B37C9">
        <w:rPr>
          <w:rFonts w:asciiTheme="minorHAnsi" w:hAnsiTheme="minorHAnsi" w:cstheme="minorHAnsi"/>
          <w:color w:val="000000"/>
        </w:rPr>
        <w:t xml:space="preserve">activities with a </w:t>
      </w:r>
      <w:proofErr w:type="gramStart"/>
      <w:r w:rsidRPr="009B37C9">
        <w:rPr>
          <w:rFonts w:asciiTheme="minorHAnsi" w:hAnsiTheme="minorHAnsi" w:cstheme="minorHAnsi"/>
          <w:color w:val="000000"/>
        </w:rPr>
        <w:t>particular aim</w:t>
      </w:r>
      <w:proofErr w:type="gramEnd"/>
      <w:r w:rsidRPr="009B37C9">
        <w:rPr>
          <w:rFonts w:asciiTheme="minorHAnsi" w:hAnsiTheme="minorHAnsi" w:cstheme="minorHAnsi"/>
          <w:color w:val="000000"/>
        </w:rPr>
        <w:t xml:space="preserve"> of broadening its implementation to some line ministries such as Education, Health and Local Governments</w:t>
      </w:r>
      <w:r w:rsidRPr="009B37C9">
        <w:rPr>
          <w:rFonts w:asciiTheme="minorHAnsi" w:hAnsiTheme="minorHAnsi" w:cstheme="minorHAnsi"/>
        </w:rPr>
        <w:t xml:space="preserve">. The project will also assist the PA to improve the accuracy and timeliness in the final account preparation process which is crucial for the accountability of the PFM system. </w:t>
      </w:r>
    </w:p>
    <w:p w14:paraId="16A0869E" w14:textId="77777777" w:rsidR="00875464" w:rsidRPr="009B37C9" w:rsidRDefault="00875464" w:rsidP="00875464">
      <w:pPr>
        <w:pStyle w:val="ListParagraph"/>
        <w:autoSpaceDE w:val="0"/>
        <w:autoSpaceDN w:val="0"/>
        <w:rPr>
          <w:rFonts w:asciiTheme="minorHAnsi" w:hAnsiTheme="minorHAnsi" w:cstheme="minorHAnsi"/>
          <w:b/>
          <w:bCs/>
          <w:color w:val="000000"/>
        </w:rPr>
      </w:pPr>
    </w:p>
    <w:p w14:paraId="63F1EADB" w14:textId="0FF0740B" w:rsidR="00875464" w:rsidRPr="009B37C9" w:rsidRDefault="00875464" w:rsidP="00875464">
      <w:pPr>
        <w:pStyle w:val="ListParagraph"/>
        <w:numPr>
          <w:ilvl w:val="0"/>
          <w:numId w:val="24"/>
        </w:numPr>
        <w:autoSpaceDE w:val="0"/>
        <w:autoSpaceDN w:val="0"/>
        <w:rPr>
          <w:rFonts w:asciiTheme="minorHAnsi" w:hAnsiTheme="minorHAnsi" w:cstheme="minorHAnsi"/>
          <w:b/>
          <w:bCs/>
          <w:color w:val="000000"/>
        </w:rPr>
      </w:pPr>
      <w:r w:rsidRPr="009B37C9">
        <w:rPr>
          <w:rFonts w:asciiTheme="minorHAnsi" w:hAnsiTheme="minorHAnsi" w:cstheme="minorHAnsi"/>
          <w:b/>
          <w:bCs/>
          <w:color w:val="000000"/>
        </w:rPr>
        <w:t>Poverty and Social Impacts and Environment Aspects</w:t>
      </w:r>
    </w:p>
    <w:p w14:paraId="52CBD2C9" w14:textId="77777777" w:rsidR="00875464" w:rsidRPr="009B37C9" w:rsidRDefault="00875464" w:rsidP="00875464">
      <w:pPr>
        <w:pStyle w:val="ListParagraph"/>
        <w:ind w:left="90"/>
        <w:jc w:val="both"/>
        <w:rPr>
          <w:rFonts w:asciiTheme="minorHAnsi" w:hAnsiTheme="minorHAnsi" w:cstheme="minorHAnsi"/>
          <w:iCs/>
        </w:rPr>
      </w:pPr>
    </w:p>
    <w:p w14:paraId="70625331" w14:textId="77777777" w:rsidR="00875464" w:rsidRPr="009B37C9" w:rsidRDefault="00875464" w:rsidP="00875464">
      <w:pPr>
        <w:pStyle w:val="ListParagraph"/>
        <w:ind w:left="90"/>
        <w:jc w:val="both"/>
        <w:rPr>
          <w:rFonts w:asciiTheme="minorHAnsi" w:hAnsiTheme="minorHAnsi" w:cstheme="minorHAnsi"/>
          <w:i/>
          <w:iCs/>
          <w:color w:val="00007F"/>
        </w:rPr>
      </w:pPr>
      <w:r w:rsidRPr="009B37C9">
        <w:rPr>
          <w:rFonts w:asciiTheme="minorHAnsi" w:hAnsiTheme="minorHAnsi" w:cstheme="minorHAnsi"/>
          <w:i/>
          <w:iCs/>
          <w:color w:val="00007F"/>
        </w:rPr>
        <w:t xml:space="preserve">Poverty and Social Impacts </w:t>
      </w:r>
    </w:p>
    <w:p w14:paraId="071E6768" w14:textId="77777777" w:rsidR="00875464" w:rsidRPr="009B37C9" w:rsidRDefault="00875464" w:rsidP="00875464">
      <w:pPr>
        <w:pStyle w:val="ListParagraph"/>
        <w:ind w:left="90"/>
        <w:jc w:val="both"/>
        <w:rPr>
          <w:rFonts w:asciiTheme="minorHAnsi" w:eastAsia="Calibri" w:hAnsiTheme="minorHAnsi" w:cstheme="minorHAnsi"/>
          <w:lang w:eastAsia="ja-JP"/>
        </w:rPr>
      </w:pPr>
    </w:p>
    <w:p w14:paraId="6E52B9AF" w14:textId="3AABD13E" w:rsidR="004D1C74" w:rsidRPr="009B37C9" w:rsidRDefault="00875464" w:rsidP="004D1C74">
      <w:pPr>
        <w:numPr>
          <w:ilvl w:val="0"/>
          <w:numId w:val="30"/>
        </w:numPr>
        <w:ind w:left="0" w:firstLine="0"/>
        <w:jc w:val="both"/>
        <w:rPr>
          <w:rFonts w:asciiTheme="minorHAnsi" w:eastAsia="Calibri" w:hAnsiTheme="minorHAnsi" w:cstheme="minorHAnsi"/>
        </w:rPr>
      </w:pPr>
      <w:r w:rsidRPr="009B37C9">
        <w:rPr>
          <w:rFonts w:asciiTheme="minorHAnsi" w:eastAsia="Calibri" w:hAnsiTheme="minorHAnsi" w:cstheme="minorHAnsi"/>
          <w:lang w:eastAsia="ja-JP"/>
        </w:rPr>
        <w:t xml:space="preserve">The overall poverty and social impact of the policy measures supported under this operation is expected to be largely positive or neutral; </w:t>
      </w:r>
      <w:r w:rsidR="009A39D9" w:rsidRPr="009B37C9">
        <w:rPr>
          <w:rFonts w:asciiTheme="minorHAnsi" w:eastAsia="Calibri" w:hAnsiTheme="minorHAnsi" w:cstheme="minorHAnsi"/>
        </w:rPr>
        <w:t>p</w:t>
      </w:r>
      <w:r w:rsidR="004D1C74" w:rsidRPr="009B37C9">
        <w:rPr>
          <w:rFonts w:asciiTheme="minorHAnsi" w:eastAsia="Calibri" w:hAnsiTheme="minorHAnsi" w:cstheme="minorHAnsi"/>
        </w:rPr>
        <w:t xml:space="preserve">olicy measures supported under Pillar 1, </w:t>
      </w:r>
      <w:proofErr w:type="gramStart"/>
      <w:r w:rsidR="004D1C74" w:rsidRPr="009B37C9">
        <w:rPr>
          <w:rFonts w:asciiTheme="minorHAnsi" w:eastAsia="Calibri" w:hAnsiTheme="minorHAnsi" w:cstheme="minorHAnsi"/>
        </w:rPr>
        <w:t>in particular those</w:t>
      </w:r>
      <w:proofErr w:type="gramEnd"/>
      <w:r w:rsidR="004D1C74" w:rsidRPr="009B37C9">
        <w:rPr>
          <w:rFonts w:asciiTheme="minorHAnsi" w:eastAsia="Calibri" w:hAnsiTheme="minorHAnsi" w:cstheme="minorHAnsi"/>
        </w:rPr>
        <w:t xml:space="preserve"> related to utility sectors are expected to have a largely positive or neutral poverty and social impact. The proposed fiscal reform aims to improve fiscal viability of utility sectors with the aim to increase investments in those sectors over the medium and long term. It is critical that these reforms translate into improving the quality and reliability of service delivery </w:t>
      </w:r>
      <w:proofErr w:type="gramStart"/>
      <w:r w:rsidR="004D1C74" w:rsidRPr="009B37C9">
        <w:rPr>
          <w:rFonts w:asciiTheme="minorHAnsi" w:eastAsia="Calibri" w:hAnsiTheme="minorHAnsi" w:cstheme="minorHAnsi"/>
        </w:rPr>
        <w:t>in order to</w:t>
      </w:r>
      <w:proofErr w:type="gramEnd"/>
      <w:r w:rsidR="004D1C74" w:rsidRPr="009B37C9">
        <w:rPr>
          <w:rFonts w:asciiTheme="minorHAnsi" w:eastAsia="Calibri" w:hAnsiTheme="minorHAnsi" w:cstheme="minorHAnsi"/>
        </w:rPr>
        <w:t xml:space="preserve"> have a positive impact on the poor and vulnerable. In the electricity sector, if the reforms achieve the goal of increased power supply in the West Bank they can help address critical firm-level constraints</w:t>
      </w:r>
      <w:r w:rsidR="004D1C74" w:rsidRPr="009B37C9">
        <w:rPr>
          <w:rFonts w:asciiTheme="minorHAnsi" w:eastAsia="Calibri" w:hAnsiTheme="minorHAnsi" w:cstheme="minorHAnsi"/>
          <w:vertAlign w:val="superscript"/>
        </w:rPr>
        <w:footnoteReference w:id="3"/>
      </w:r>
      <w:r w:rsidR="004D1C74" w:rsidRPr="009B37C9">
        <w:rPr>
          <w:rFonts w:asciiTheme="minorHAnsi" w:eastAsia="Calibri" w:hAnsiTheme="minorHAnsi" w:cstheme="minorHAnsi"/>
        </w:rPr>
        <w:t xml:space="preserve"> to growth which can have a positive impact on poverty through increased employment opportunities</w:t>
      </w:r>
      <w:r w:rsidR="004D1C74" w:rsidRPr="009B37C9">
        <w:rPr>
          <w:rFonts w:asciiTheme="minorHAnsi" w:eastAsia="Calibri" w:hAnsiTheme="minorHAnsi" w:cstheme="minorHAnsi"/>
          <w:lang w:eastAsia="ja-JP"/>
        </w:rPr>
        <w:t>, in addition to better meeting household service delivery demand</w:t>
      </w:r>
      <w:r w:rsidR="004D1C74" w:rsidRPr="009B37C9">
        <w:rPr>
          <w:rFonts w:asciiTheme="minorHAnsi" w:eastAsia="Calibri" w:hAnsiTheme="minorHAnsi" w:cstheme="minorHAnsi"/>
        </w:rPr>
        <w:t xml:space="preserve">. </w:t>
      </w:r>
      <w:r w:rsidR="007C2084" w:rsidRPr="009B37C9">
        <w:rPr>
          <w:rFonts w:asciiTheme="minorHAnsi" w:hAnsiTheme="minorHAnsi" w:cstheme="minorHAnsi"/>
          <w:lang w:val="en"/>
        </w:rPr>
        <w:t xml:space="preserve">The </w:t>
      </w:r>
      <w:r w:rsidR="004D1C74" w:rsidRPr="009B37C9">
        <w:rPr>
          <w:rFonts w:asciiTheme="minorHAnsi" w:hAnsiTheme="minorHAnsi" w:cstheme="minorHAnsi"/>
          <w:color w:val="000000"/>
        </w:rPr>
        <w:t>fiscal reforms related to bill-collection efforts will focus on the fund transfers between LGUs and bulk service suppliers rather than on increasing payments from the end-consumers, and thereby this measure is not expected to have an adverse impact on poverty.</w:t>
      </w:r>
      <w:r w:rsidR="004D1C74" w:rsidRPr="009B37C9">
        <w:rPr>
          <w:rFonts w:asciiTheme="minorHAnsi" w:eastAsia="Calibri" w:hAnsiTheme="minorHAnsi" w:cstheme="minorHAnsi"/>
        </w:rPr>
        <w:t xml:space="preserve"> </w:t>
      </w:r>
    </w:p>
    <w:p w14:paraId="76AA548D" w14:textId="01FDC58D" w:rsidR="004D1C74" w:rsidRPr="009B37C9" w:rsidRDefault="004D1C74" w:rsidP="004D1C74">
      <w:pPr>
        <w:jc w:val="both"/>
        <w:rPr>
          <w:rFonts w:asciiTheme="minorHAnsi" w:eastAsia="Calibri" w:hAnsiTheme="minorHAnsi" w:cstheme="minorHAnsi"/>
        </w:rPr>
      </w:pPr>
    </w:p>
    <w:p w14:paraId="196CA25C" w14:textId="55D22D35" w:rsidR="00843D28" w:rsidRPr="009B37C9" w:rsidRDefault="004D1C74" w:rsidP="00843D28">
      <w:pPr>
        <w:numPr>
          <w:ilvl w:val="0"/>
          <w:numId w:val="30"/>
        </w:numPr>
        <w:ind w:left="0" w:firstLine="0"/>
        <w:jc w:val="both"/>
        <w:rPr>
          <w:rFonts w:asciiTheme="minorHAnsi" w:eastAsia="Calibri" w:hAnsiTheme="minorHAnsi" w:cstheme="minorHAnsi"/>
        </w:rPr>
      </w:pPr>
      <w:r w:rsidRPr="009B37C9">
        <w:rPr>
          <w:rFonts w:asciiTheme="minorHAnsi" w:eastAsia="Calibri" w:hAnsiTheme="minorHAnsi" w:cstheme="minorHAnsi"/>
        </w:rPr>
        <w:t xml:space="preserve">Reforms on the health referral system and intergovernmental fiscal transfers are unlikely to have negative poverty and social impact. The reforms that seek to improve fiscal stability of the health sector by reforming the referral system </w:t>
      </w:r>
      <w:r w:rsidR="00214BD9">
        <w:rPr>
          <w:rFonts w:asciiTheme="minorHAnsi" w:eastAsia="Calibri" w:hAnsiTheme="minorHAnsi" w:cstheme="minorHAnsi"/>
        </w:rPr>
        <w:t>are</w:t>
      </w:r>
      <w:r w:rsidRPr="009B37C9">
        <w:rPr>
          <w:rFonts w:asciiTheme="minorHAnsi" w:eastAsia="Calibri" w:hAnsiTheme="minorHAnsi" w:cstheme="minorHAnsi"/>
        </w:rPr>
        <w:t xml:space="preserve"> not expected to have a negative social and poverty impact, as they seek to lower the cost of certain health services through more efficient contracting with external healthcare providers. Measures that support harmonizing standard referral procedures can also improve the equity of access to health referral services for all segments of the Palestinian population. The effort to improve the predictability and transparency of intergovernmental fiscal transfers should contribute to increased fiscal space for capital investment and allow LGUs to deliver services to citizens in an accountable manner.</w:t>
      </w:r>
    </w:p>
    <w:p w14:paraId="602C47D4" w14:textId="77777777" w:rsidR="00843D28" w:rsidRPr="009B37C9" w:rsidRDefault="00843D28" w:rsidP="00843D28">
      <w:pPr>
        <w:pStyle w:val="ListParagraph"/>
        <w:rPr>
          <w:rFonts w:asciiTheme="minorHAnsi" w:eastAsia="Calibri" w:hAnsiTheme="minorHAnsi" w:cstheme="minorHAnsi"/>
        </w:rPr>
      </w:pPr>
    </w:p>
    <w:p w14:paraId="060A6449" w14:textId="79B11481" w:rsidR="00875464" w:rsidRPr="009B37C9" w:rsidRDefault="004D1C74" w:rsidP="00843D28">
      <w:pPr>
        <w:numPr>
          <w:ilvl w:val="0"/>
          <w:numId w:val="30"/>
        </w:numPr>
        <w:ind w:left="0" w:firstLine="0"/>
        <w:jc w:val="both"/>
        <w:rPr>
          <w:rFonts w:asciiTheme="minorHAnsi" w:eastAsia="Calibri" w:hAnsiTheme="minorHAnsi" w:cstheme="minorHAnsi"/>
        </w:rPr>
      </w:pPr>
      <w:r w:rsidRPr="009B37C9">
        <w:rPr>
          <w:rFonts w:asciiTheme="minorHAnsi" w:eastAsia="Calibri" w:hAnsiTheme="minorHAnsi" w:cstheme="minorHAnsi"/>
        </w:rPr>
        <w:t>The poverty and social impact of the reforms supported under Pillar 2 is expected to be positive</w:t>
      </w:r>
      <w:r w:rsidRPr="009B37C9">
        <w:rPr>
          <w:rFonts w:asciiTheme="minorHAnsi" w:eastAsia="Calibri" w:hAnsiTheme="minorHAnsi" w:cstheme="minorHAnsi"/>
          <w:color w:val="000000"/>
        </w:rPr>
        <w:t xml:space="preserve"> or neutral. </w:t>
      </w:r>
      <w:r w:rsidRPr="009B37C9">
        <w:rPr>
          <w:rFonts w:asciiTheme="minorHAnsi" w:eastAsia="Calibri" w:hAnsiTheme="minorHAnsi" w:cstheme="minorHAnsi"/>
        </w:rPr>
        <w:t xml:space="preserve">The regulatory and business climate reforms supported are critical to achieve the goal of enabling private sector growth, improving employment outcomes, and increasing government revenue. </w:t>
      </w:r>
      <w:r w:rsidRPr="009B37C9">
        <w:rPr>
          <w:rFonts w:asciiTheme="minorHAnsi" w:eastAsia="Yu Gothic" w:hAnsiTheme="minorHAnsi" w:cstheme="minorHAnsi"/>
          <w:lang w:eastAsia="ja-JP"/>
        </w:rPr>
        <w:t xml:space="preserve">The reform on establishing a collateral will benefit the Micro, Small, and Medium Enterprises (MSMEs), which are </w:t>
      </w:r>
      <w:r w:rsidRPr="009B37C9">
        <w:rPr>
          <w:rStyle w:val="st1"/>
          <w:rFonts w:asciiTheme="minorHAnsi" w:hAnsiTheme="minorHAnsi" w:cstheme="minorHAnsi"/>
        </w:rPr>
        <w:t xml:space="preserve">the driving force for innovations and the backbone of </w:t>
      </w:r>
      <w:r w:rsidRPr="009B37C9">
        <w:rPr>
          <w:rStyle w:val="st1"/>
          <w:rFonts w:asciiTheme="minorHAnsi" w:hAnsiTheme="minorHAnsi" w:cstheme="minorHAnsi"/>
        </w:rPr>
        <w:lastRenderedPageBreak/>
        <w:t>economic growth and job creation in the Palestinian economy</w:t>
      </w:r>
      <w:r w:rsidRPr="009B37C9">
        <w:rPr>
          <w:rFonts w:asciiTheme="minorHAnsi" w:eastAsia="Calibri" w:hAnsiTheme="minorHAnsi" w:cstheme="minorHAnsi"/>
        </w:rPr>
        <w:t xml:space="preserve"> </w:t>
      </w:r>
      <w:r w:rsidRPr="009B37C9">
        <w:rPr>
          <w:rFonts w:asciiTheme="minorHAnsi" w:eastAsia="Yu Gothic" w:hAnsiTheme="minorHAnsi" w:cstheme="minorHAnsi"/>
          <w:lang w:eastAsia="ja-JP"/>
        </w:rPr>
        <w:t xml:space="preserve">by supporting financial institutions to develop diversified financing products for MSMEs. In addition, both updating the old companies law and streamlining business registration and licensing processes will support the incorporation of small businesses, their growth and thereby formal sector job creation. At the same time, these businesses will be granted to better access to finance and markets, and legal protections. </w:t>
      </w:r>
      <w:r w:rsidRPr="009B37C9">
        <w:rPr>
          <w:rFonts w:asciiTheme="minorHAnsi" w:eastAsia="Calibri" w:hAnsiTheme="minorHAnsi" w:cstheme="minorHAnsi"/>
        </w:rPr>
        <w:t xml:space="preserve">Since unemployment is a key correlate of poverty, creating more formal private sector jobs through the enhanced business climate will have a positive impact on the economic welfare of the poor and vulnerable. </w:t>
      </w:r>
    </w:p>
    <w:p w14:paraId="57D1DA56" w14:textId="77777777" w:rsidR="00843D28" w:rsidRPr="009B37C9" w:rsidRDefault="00843D28" w:rsidP="00843D28">
      <w:pPr>
        <w:ind w:left="1080"/>
        <w:jc w:val="both"/>
        <w:rPr>
          <w:rFonts w:asciiTheme="minorHAnsi" w:eastAsia="Calibri" w:hAnsiTheme="minorHAnsi" w:cstheme="minorHAnsi"/>
          <w:lang w:eastAsia="ja-JP"/>
        </w:rPr>
      </w:pPr>
    </w:p>
    <w:p w14:paraId="57B5F167" w14:textId="77777777" w:rsidR="00875464" w:rsidRPr="009B37C9" w:rsidRDefault="00875464" w:rsidP="00875464">
      <w:pPr>
        <w:pStyle w:val="ListParagraph"/>
        <w:ind w:left="90"/>
        <w:jc w:val="both"/>
        <w:rPr>
          <w:rFonts w:asciiTheme="minorHAnsi" w:hAnsiTheme="minorHAnsi" w:cstheme="minorHAnsi"/>
          <w:i/>
          <w:iCs/>
          <w:color w:val="00007F"/>
        </w:rPr>
      </w:pPr>
      <w:r w:rsidRPr="009B37C9">
        <w:rPr>
          <w:rFonts w:asciiTheme="minorHAnsi" w:hAnsiTheme="minorHAnsi" w:cstheme="minorHAnsi"/>
          <w:i/>
          <w:iCs/>
          <w:color w:val="00007F"/>
        </w:rPr>
        <w:t xml:space="preserve">Environment Aspects </w:t>
      </w:r>
    </w:p>
    <w:p w14:paraId="79FACEB0" w14:textId="77777777" w:rsidR="00875464" w:rsidRPr="009B37C9" w:rsidRDefault="00875464" w:rsidP="00875464">
      <w:pPr>
        <w:pStyle w:val="ListParagraph"/>
        <w:ind w:left="90"/>
        <w:jc w:val="both"/>
        <w:rPr>
          <w:rFonts w:asciiTheme="minorHAnsi" w:eastAsia="Calibri" w:hAnsiTheme="minorHAnsi" w:cstheme="minorHAnsi"/>
          <w:lang w:eastAsia="ja-JP"/>
        </w:rPr>
      </w:pPr>
    </w:p>
    <w:p w14:paraId="35DBCABD" w14:textId="727D9D0A" w:rsidR="00DB45E4" w:rsidRPr="00DB45E4" w:rsidRDefault="004D1C74" w:rsidP="00DB45E4">
      <w:pPr>
        <w:pStyle w:val="ListParagraph"/>
        <w:numPr>
          <w:ilvl w:val="0"/>
          <w:numId w:val="30"/>
        </w:numPr>
        <w:ind w:left="0" w:firstLine="0"/>
        <w:contextualSpacing w:val="0"/>
        <w:jc w:val="both"/>
        <w:rPr>
          <w:rFonts w:asciiTheme="minorHAnsi" w:hAnsiTheme="minorHAnsi" w:cstheme="minorHAnsi"/>
        </w:rPr>
      </w:pPr>
      <w:r w:rsidRPr="009B37C9">
        <w:rPr>
          <w:rFonts w:asciiTheme="minorHAnsi" w:hAnsiTheme="minorHAnsi" w:cstheme="minorHAnsi"/>
        </w:rPr>
        <w:t xml:space="preserve">As per OP 8.60, the World Bank assessed whether specific measures in the PA supported by the DPG are likely to cause significant effects on its environment, forest, and other natural resources. Since the late 1990s, the Palestinian environmental legal and administrative framework has taken major steps towards protecting environmental resources and institutionalizing their sustainable management. The Palestinian Environment Law (PEL) of 1999 is a modern and comprehensive law regulating the environmental sector, covering the main issues relevant to environmental protection and law enforcement. </w:t>
      </w:r>
      <w:r w:rsidRPr="009B37C9">
        <w:rPr>
          <w:rFonts w:asciiTheme="minorHAnsi" w:hAnsiTheme="minorHAnsi" w:cstheme="minorHAnsi"/>
          <w:lang w:eastAsia="ja-JP"/>
        </w:rPr>
        <w:t xml:space="preserve">The PEL addresses various environmental issues including- Environmental Impact Assessment (EIA) and auditing, permitting of development projects, monitoring of environmental resources and their parameters. </w:t>
      </w:r>
      <w:r w:rsidRPr="009B37C9">
        <w:rPr>
          <w:rFonts w:asciiTheme="minorHAnsi" w:hAnsiTheme="minorHAnsi" w:cstheme="minorHAnsi"/>
        </w:rPr>
        <w:t xml:space="preserve">In addition, Palestinian Environmental Assessment Policy (PEAP) by-law approved by the Palestinian Ministerial Council in 2000 supports the sustainable economic and social development of the Palestinian people. As to the PEAP, there are three documents that represent sequential stages in the project life cycle and the Environment Approval (EA) review process: Application for EA; Initial Environmental Evaluation (IEE); and the Environment Impact Assessment (EIA). The Environmental Quality Authority </w:t>
      </w:r>
      <w:r w:rsidR="00DB45E4">
        <w:rPr>
          <w:rFonts w:asciiTheme="minorHAnsi" w:hAnsiTheme="minorHAnsi" w:cstheme="minorHAnsi"/>
        </w:rPr>
        <w:t xml:space="preserve">(EQA) </w:t>
      </w:r>
      <w:r w:rsidRPr="009B37C9">
        <w:rPr>
          <w:rFonts w:asciiTheme="minorHAnsi" w:hAnsiTheme="minorHAnsi" w:cstheme="minorHAnsi"/>
        </w:rPr>
        <w:t xml:space="preserve">established by President decree in 2002 provides guidance on the preparation of the EA reports and uses screening criteria to determine whether an IEE or an EIA is required for a project. An EIA is required for projects which are likely to have significant environmental impacts. An EA also specifies required measures to mitigate adverse environmental impacts. </w:t>
      </w:r>
      <w:r w:rsidR="00DB45E4" w:rsidRPr="00DB45E4">
        <w:rPr>
          <w:rFonts w:asciiTheme="minorHAnsi" w:hAnsiTheme="minorHAnsi" w:cstheme="minorHAnsi"/>
        </w:rPr>
        <w:t>The EQA is responsible for ensuring that development processes are undertaken in an ordinally manner and has capacity to implement, monitor, and report on mitigating measures.</w:t>
      </w:r>
    </w:p>
    <w:p w14:paraId="3BCC2FFB" w14:textId="77777777" w:rsidR="00DB45E4" w:rsidRPr="009B37C9" w:rsidRDefault="00DB45E4" w:rsidP="004D1C74">
      <w:pPr>
        <w:autoSpaceDE w:val="0"/>
        <w:autoSpaceDN w:val="0"/>
        <w:adjustRightInd w:val="0"/>
        <w:jc w:val="both"/>
        <w:rPr>
          <w:rFonts w:asciiTheme="minorHAnsi" w:hAnsiTheme="minorHAnsi" w:cstheme="minorHAnsi"/>
        </w:rPr>
      </w:pPr>
    </w:p>
    <w:p w14:paraId="6F6BB9CF" w14:textId="6BA0C09C" w:rsidR="00875464" w:rsidRPr="009B37C9" w:rsidRDefault="004D1C74" w:rsidP="004D1C74">
      <w:pPr>
        <w:pStyle w:val="ListParagraph"/>
        <w:numPr>
          <w:ilvl w:val="0"/>
          <w:numId w:val="30"/>
        </w:numPr>
        <w:ind w:left="0" w:firstLine="0"/>
        <w:contextualSpacing w:val="0"/>
        <w:jc w:val="both"/>
        <w:rPr>
          <w:rFonts w:asciiTheme="minorHAnsi" w:hAnsiTheme="minorHAnsi" w:cstheme="minorHAnsi"/>
        </w:rPr>
      </w:pPr>
      <w:r w:rsidRPr="009B37C9">
        <w:rPr>
          <w:rFonts w:asciiTheme="minorHAnsi" w:hAnsiTheme="minorHAnsi" w:cstheme="minorHAnsi"/>
        </w:rPr>
        <w:t>Reforms supported by this operation are unlikely to have significant negative environmental impact. Policy measures supported under the Pillar 1 will improve the fiscal sustainability of the PA’s finances while they are unlikely to have any direct and indirect environmental impact. In addition, measures under the Pillar 2 support the growth in MSMEs and expansion of their businesses, which could entail environmental risks. However, the environmental regulatory framework in the Palestinian territories mentioned above would ensure that the necessary mitigation measures are in place. Furthermore, these reforms not only promote the growth in MSMEs but also encourage them to officially register rather than operate in the informal sector. Given a significant share of the informal sector in the Palestinian economy, reducing the size of the informal sector and increasing the number of formal firms will result in reduced safety, health or environment risks, which will have a positive impact on the overall economy.</w:t>
      </w:r>
    </w:p>
    <w:p w14:paraId="12C43649" w14:textId="77777777" w:rsidR="00875464" w:rsidRPr="009B37C9" w:rsidRDefault="00875464" w:rsidP="00875464">
      <w:pPr>
        <w:ind w:left="720"/>
        <w:rPr>
          <w:rFonts w:asciiTheme="minorHAnsi" w:hAnsiTheme="minorHAnsi" w:cstheme="minorHAnsi"/>
          <w:b/>
        </w:rPr>
      </w:pPr>
    </w:p>
    <w:p w14:paraId="0C633A35" w14:textId="77777777" w:rsidR="00875464" w:rsidRPr="009B37C9" w:rsidRDefault="00875464" w:rsidP="00875464">
      <w:pPr>
        <w:pStyle w:val="ListParagraph"/>
        <w:numPr>
          <w:ilvl w:val="0"/>
          <w:numId w:val="24"/>
        </w:numPr>
        <w:autoSpaceDE w:val="0"/>
        <w:autoSpaceDN w:val="0"/>
        <w:rPr>
          <w:rFonts w:asciiTheme="minorHAnsi" w:hAnsiTheme="minorHAnsi" w:cstheme="minorHAnsi"/>
          <w:b/>
          <w:bCs/>
          <w:color w:val="000000"/>
        </w:rPr>
      </w:pPr>
      <w:r w:rsidRPr="009B37C9">
        <w:rPr>
          <w:rFonts w:asciiTheme="minorHAnsi" w:hAnsiTheme="minorHAnsi" w:cstheme="minorHAnsi"/>
          <w:b/>
          <w:bCs/>
          <w:color w:val="000000"/>
        </w:rPr>
        <w:t>Contact point</w:t>
      </w:r>
    </w:p>
    <w:p w14:paraId="55BCB2C2" w14:textId="77777777" w:rsidR="00875464" w:rsidRPr="009B37C9" w:rsidRDefault="00875464" w:rsidP="00875464">
      <w:pPr>
        <w:pStyle w:val="ListParagraph"/>
        <w:ind w:left="90"/>
        <w:jc w:val="both"/>
        <w:rPr>
          <w:rFonts w:asciiTheme="minorHAnsi" w:hAnsiTheme="minorHAnsi" w:cstheme="minorHAnsi"/>
          <w:b/>
          <w:bCs/>
          <w:color w:val="000000"/>
        </w:rPr>
      </w:pPr>
    </w:p>
    <w:p w14:paraId="43229C76" w14:textId="77777777" w:rsidR="00875464" w:rsidRPr="009B37C9" w:rsidRDefault="00875464" w:rsidP="00875464">
      <w:pPr>
        <w:pStyle w:val="ListParagraph"/>
        <w:ind w:left="90"/>
        <w:jc w:val="both"/>
        <w:rPr>
          <w:rFonts w:asciiTheme="minorHAnsi" w:hAnsiTheme="minorHAnsi" w:cstheme="minorHAnsi"/>
          <w:b/>
          <w:bCs/>
          <w:color w:val="000000"/>
        </w:rPr>
      </w:pPr>
      <w:r w:rsidRPr="009B37C9">
        <w:rPr>
          <w:rFonts w:asciiTheme="minorHAnsi" w:hAnsiTheme="minorHAnsi" w:cstheme="minorHAnsi"/>
          <w:b/>
          <w:bCs/>
          <w:color w:val="000000"/>
        </w:rPr>
        <w:t xml:space="preserve">World Bank </w:t>
      </w:r>
    </w:p>
    <w:p w14:paraId="21D9287F" w14:textId="77777777" w:rsidR="00875464" w:rsidRPr="009B37C9" w:rsidRDefault="00875464" w:rsidP="00875464">
      <w:pPr>
        <w:pStyle w:val="ListParagraph"/>
        <w:ind w:left="90"/>
        <w:jc w:val="both"/>
        <w:rPr>
          <w:rFonts w:asciiTheme="minorHAnsi" w:hAnsiTheme="minorHAnsi" w:cstheme="minorHAnsi"/>
        </w:rPr>
      </w:pPr>
      <w:bookmarkStart w:id="4" w:name="ContactInfo"/>
      <w:bookmarkEnd w:id="4"/>
    </w:p>
    <w:p w14:paraId="22F34A82" w14:textId="77777777" w:rsidR="00875464" w:rsidRPr="009B37C9" w:rsidRDefault="00875464" w:rsidP="00875464">
      <w:pPr>
        <w:pStyle w:val="ListParagraph"/>
        <w:ind w:left="90"/>
        <w:jc w:val="both"/>
        <w:rPr>
          <w:rFonts w:asciiTheme="minorHAnsi" w:hAnsiTheme="minorHAnsi" w:cstheme="minorHAnsi"/>
        </w:rPr>
      </w:pPr>
      <w:r w:rsidRPr="009B37C9">
        <w:rPr>
          <w:rFonts w:asciiTheme="minorHAnsi" w:hAnsiTheme="minorHAnsi" w:cstheme="minorHAnsi"/>
        </w:rPr>
        <w:t>Rei Odawara</w:t>
      </w:r>
    </w:p>
    <w:p w14:paraId="6A7E23CF" w14:textId="77777777" w:rsidR="00875464" w:rsidRPr="009B37C9" w:rsidRDefault="00875464" w:rsidP="00875464">
      <w:pPr>
        <w:pStyle w:val="ListParagraph"/>
        <w:ind w:left="90"/>
        <w:jc w:val="both"/>
        <w:rPr>
          <w:rFonts w:asciiTheme="minorHAnsi" w:hAnsiTheme="minorHAnsi" w:cstheme="minorHAnsi"/>
        </w:rPr>
      </w:pPr>
      <w:r w:rsidRPr="009B37C9">
        <w:rPr>
          <w:rFonts w:asciiTheme="minorHAnsi" w:hAnsiTheme="minorHAnsi" w:cstheme="minorHAnsi"/>
        </w:rPr>
        <w:t>Senior Economist</w:t>
      </w:r>
    </w:p>
    <w:p w14:paraId="04309A17" w14:textId="77777777" w:rsidR="00875464" w:rsidRPr="009B37C9" w:rsidRDefault="00875464" w:rsidP="00875464">
      <w:pPr>
        <w:pStyle w:val="ListParagraph"/>
        <w:ind w:left="90"/>
        <w:jc w:val="both"/>
        <w:rPr>
          <w:rFonts w:asciiTheme="minorHAnsi" w:hAnsiTheme="minorHAnsi" w:cstheme="minorHAnsi"/>
        </w:rPr>
      </w:pPr>
      <w:r w:rsidRPr="009B37C9">
        <w:rPr>
          <w:rFonts w:asciiTheme="minorHAnsi" w:hAnsiTheme="minorHAnsi" w:cstheme="minorHAnsi"/>
        </w:rPr>
        <w:t>Tel: (972-2) 236-6553</w:t>
      </w:r>
    </w:p>
    <w:p w14:paraId="57940852" w14:textId="77777777" w:rsidR="00875464" w:rsidRPr="009B37C9" w:rsidRDefault="00875464" w:rsidP="00875464">
      <w:pPr>
        <w:pStyle w:val="ListParagraph"/>
        <w:ind w:left="90"/>
        <w:jc w:val="both"/>
        <w:rPr>
          <w:rFonts w:asciiTheme="minorHAnsi" w:hAnsiTheme="minorHAnsi" w:cstheme="minorHAnsi"/>
        </w:rPr>
      </w:pPr>
      <w:r w:rsidRPr="009B37C9">
        <w:rPr>
          <w:rFonts w:asciiTheme="minorHAnsi" w:hAnsiTheme="minorHAnsi" w:cstheme="minorHAnsi"/>
        </w:rPr>
        <w:t xml:space="preserve">E-mail: </w:t>
      </w:r>
      <w:hyperlink r:id="rId8" w:history="1">
        <w:r w:rsidRPr="009B37C9">
          <w:rPr>
            <w:rStyle w:val="Hyperlink"/>
            <w:rFonts w:asciiTheme="minorHAnsi" w:hAnsiTheme="minorHAnsi" w:cstheme="minorHAnsi"/>
          </w:rPr>
          <w:t>rodawara@worldbank.org</w:t>
        </w:r>
      </w:hyperlink>
    </w:p>
    <w:p w14:paraId="651012D2" w14:textId="77777777" w:rsidR="00875464" w:rsidRPr="009B37C9" w:rsidRDefault="00875464" w:rsidP="00875464">
      <w:pPr>
        <w:pStyle w:val="ListParagraph"/>
        <w:ind w:left="90"/>
        <w:jc w:val="both"/>
        <w:rPr>
          <w:rFonts w:asciiTheme="minorHAnsi" w:hAnsiTheme="minorHAnsi" w:cstheme="minorHAnsi"/>
        </w:rPr>
      </w:pPr>
      <w:r w:rsidRPr="009B37C9">
        <w:rPr>
          <w:rFonts w:asciiTheme="minorHAnsi" w:hAnsiTheme="minorHAnsi" w:cstheme="minorHAnsi"/>
        </w:rPr>
        <w:t>Location: Gaza, West Bank and Gaza (IBRD)</w:t>
      </w:r>
    </w:p>
    <w:p w14:paraId="34AEE4BF" w14:textId="77777777" w:rsidR="00875464" w:rsidRPr="009B37C9" w:rsidRDefault="00875464" w:rsidP="00875464">
      <w:pPr>
        <w:pStyle w:val="ListParagraph"/>
        <w:ind w:left="90"/>
        <w:jc w:val="both"/>
        <w:rPr>
          <w:rFonts w:asciiTheme="minorHAnsi" w:hAnsiTheme="minorHAnsi" w:cstheme="minorHAnsi"/>
        </w:rPr>
      </w:pPr>
    </w:p>
    <w:p w14:paraId="348A40CA" w14:textId="77777777" w:rsidR="00875464" w:rsidRPr="009B37C9" w:rsidRDefault="00875464" w:rsidP="00875464">
      <w:pPr>
        <w:pStyle w:val="ListParagraph"/>
        <w:ind w:left="90"/>
        <w:jc w:val="both"/>
        <w:rPr>
          <w:rFonts w:asciiTheme="minorHAnsi" w:hAnsiTheme="minorHAnsi" w:cstheme="minorHAnsi"/>
          <w:b/>
          <w:bCs/>
          <w:color w:val="000000"/>
        </w:rPr>
      </w:pPr>
      <w:r w:rsidRPr="009B37C9">
        <w:rPr>
          <w:rFonts w:asciiTheme="minorHAnsi" w:hAnsiTheme="minorHAnsi" w:cstheme="minorHAnsi"/>
          <w:b/>
          <w:bCs/>
          <w:color w:val="000000"/>
        </w:rPr>
        <w:t>Borrower</w:t>
      </w:r>
    </w:p>
    <w:p w14:paraId="36E45136" w14:textId="77777777" w:rsidR="00875464" w:rsidRPr="009B37C9" w:rsidRDefault="00875464" w:rsidP="00875464">
      <w:pPr>
        <w:pStyle w:val="ListParagraph"/>
        <w:ind w:left="90"/>
        <w:jc w:val="both"/>
        <w:rPr>
          <w:rFonts w:asciiTheme="minorHAnsi" w:hAnsiTheme="minorHAnsi" w:cstheme="minorHAnsi"/>
        </w:rPr>
      </w:pPr>
    </w:p>
    <w:p w14:paraId="700C578F" w14:textId="77777777" w:rsidR="00875464" w:rsidRPr="009B37C9" w:rsidRDefault="00875464" w:rsidP="00875464">
      <w:pPr>
        <w:pStyle w:val="ListParagraph"/>
        <w:ind w:left="90"/>
        <w:jc w:val="both"/>
        <w:rPr>
          <w:rFonts w:asciiTheme="minorHAnsi" w:hAnsiTheme="minorHAnsi" w:cstheme="minorHAnsi"/>
        </w:rPr>
      </w:pPr>
      <w:r w:rsidRPr="009B37C9">
        <w:rPr>
          <w:rFonts w:asciiTheme="minorHAnsi" w:hAnsiTheme="minorHAnsi" w:cstheme="minorHAnsi"/>
        </w:rPr>
        <w:t>Ms. Laila Sbaih</w:t>
      </w:r>
    </w:p>
    <w:p w14:paraId="24880C13" w14:textId="77777777" w:rsidR="00875464" w:rsidRPr="009B37C9" w:rsidRDefault="00875464" w:rsidP="00875464">
      <w:pPr>
        <w:pStyle w:val="ListParagraph"/>
        <w:ind w:left="90"/>
        <w:jc w:val="both"/>
        <w:rPr>
          <w:rFonts w:asciiTheme="minorHAnsi" w:hAnsiTheme="minorHAnsi" w:cstheme="minorHAnsi"/>
        </w:rPr>
      </w:pPr>
      <w:r w:rsidRPr="009B37C9">
        <w:rPr>
          <w:rFonts w:asciiTheme="minorHAnsi" w:hAnsiTheme="minorHAnsi" w:cstheme="minorHAnsi"/>
        </w:rPr>
        <w:t>Director General, International Relations Department</w:t>
      </w:r>
    </w:p>
    <w:p w14:paraId="124409F3" w14:textId="1F07245C" w:rsidR="00875464" w:rsidRPr="009B37C9" w:rsidRDefault="00875464" w:rsidP="00875464">
      <w:pPr>
        <w:pStyle w:val="ListParagraph"/>
        <w:ind w:left="90"/>
        <w:jc w:val="both"/>
        <w:rPr>
          <w:rFonts w:asciiTheme="minorHAnsi" w:hAnsiTheme="minorHAnsi" w:cstheme="minorHAnsi"/>
        </w:rPr>
      </w:pPr>
      <w:r w:rsidRPr="009B37C9">
        <w:rPr>
          <w:rFonts w:asciiTheme="minorHAnsi" w:hAnsiTheme="minorHAnsi" w:cstheme="minorHAnsi"/>
        </w:rPr>
        <w:t xml:space="preserve">Ministry of Finance </w:t>
      </w:r>
      <w:r w:rsidR="009872BF">
        <w:rPr>
          <w:rFonts w:asciiTheme="minorHAnsi" w:hAnsiTheme="minorHAnsi" w:cstheme="minorHAnsi"/>
        </w:rPr>
        <w:t xml:space="preserve">and Planning </w:t>
      </w:r>
      <w:r w:rsidRPr="009B37C9">
        <w:rPr>
          <w:rFonts w:asciiTheme="minorHAnsi" w:hAnsiTheme="minorHAnsi" w:cstheme="minorHAnsi"/>
        </w:rPr>
        <w:t>of the Palestinian Authority</w:t>
      </w:r>
    </w:p>
    <w:p w14:paraId="573E68F9" w14:textId="77777777" w:rsidR="00875464" w:rsidRPr="009B37C9" w:rsidRDefault="00875464" w:rsidP="00875464">
      <w:pPr>
        <w:pStyle w:val="ListParagraph"/>
        <w:ind w:left="90"/>
        <w:jc w:val="both"/>
        <w:rPr>
          <w:rFonts w:asciiTheme="minorHAnsi" w:hAnsiTheme="minorHAnsi" w:cstheme="minorHAnsi"/>
        </w:rPr>
      </w:pPr>
      <w:r w:rsidRPr="009B37C9">
        <w:rPr>
          <w:rFonts w:asciiTheme="minorHAnsi" w:hAnsiTheme="minorHAnsi" w:cstheme="minorHAnsi"/>
        </w:rPr>
        <w:t>Ramallah, West Bank</w:t>
      </w:r>
    </w:p>
    <w:p w14:paraId="104DED0E" w14:textId="77777777" w:rsidR="00875464" w:rsidRPr="009B37C9" w:rsidRDefault="00875464" w:rsidP="00875464">
      <w:pPr>
        <w:pStyle w:val="ListParagraph"/>
        <w:ind w:left="90"/>
        <w:jc w:val="both"/>
        <w:rPr>
          <w:rFonts w:asciiTheme="minorHAnsi" w:hAnsiTheme="minorHAnsi" w:cstheme="minorHAnsi"/>
        </w:rPr>
      </w:pPr>
      <w:r w:rsidRPr="009B37C9">
        <w:rPr>
          <w:rFonts w:asciiTheme="minorHAnsi" w:hAnsiTheme="minorHAnsi" w:cstheme="minorHAnsi"/>
        </w:rPr>
        <w:t>West Bank and Gaza</w:t>
      </w:r>
    </w:p>
    <w:p w14:paraId="188BE856" w14:textId="77777777" w:rsidR="00875464" w:rsidRPr="009B37C9" w:rsidRDefault="00875464" w:rsidP="00875464">
      <w:pPr>
        <w:pStyle w:val="ListParagraph"/>
        <w:ind w:left="90"/>
        <w:jc w:val="both"/>
        <w:rPr>
          <w:rFonts w:asciiTheme="minorHAnsi" w:hAnsiTheme="minorHAnsi" w:cstheme="minorHAnsi"/>
        </w:rPr>
      </w:pPr>
      <w:r w:rsidRPr="009B37C9">
        <w:rPr>
          <w:rFonts w:asciiTheme="minorHAnsi" w:hAnsiTheme="minorHAnsi" w:cstheme="minorHAnsi"/>
        </w:rPr>
        <w:t>Tel: (970-2) 240-0650</w:t>
      </w:r>
      <w:r w:rsidRPr="009B37C9">
        <w:rPr>
          <w:rFonts w:asciiTheme="minorHAnsi" w:hAnsiTheme="minorHAnsi" w:cstheme="minorHAnsi"/>
        </w:rPr>
        <w:tab/>
      </w:r>
    </w:p>
    <w:p w14:paraId="4A5CF233" w14:textId="77777777" w:rsidR="00875464" w:rsidRPr="009B37C9" w:rsidRDefault="00875464" w:rsidP="00875464">
      <w:pPr>
        <w:pStyle w:val="ListParagraph"/>
        <w:ind w:left="90"/>
        <w:jc w:val="both"/>
        <w:rPr>
          <w:rFonts w:asciiTheme="minorHAnsi" w:hAnsiTheme="minorHAnsi" w:cstheme="minorHAnsi"/>
        </w:rPr>
      </w:pPr>
      <w:r w:rsidRPr="009B37C9">
        <w:rPr>
          <w:rFonts w:asciiTheme="minorHAnsi" w:hAnsiTheme="minorHAnsi" w:cstheme="minorHAnsi"/>
        </w:rPr>
        <w:t>Fax: (970-2) 240-0595</w:t>
      </w:r>
    </w:p>
    <w:p w14:paraId="6AC468E3" w14:textId="77777777" w:rsidR="00875464" w:rsidRPr="009B37C9" w:rsidRDefault="00875464" w:rsidP="00875464">
      <w:pPr>
        <w:pStyle w:val="ListParagraph"/>
        <w:ind w:left="90"/>
        <w:jc w:val="both"/>
        <w:rPr>
          <w:rFonts w:asciiTheme="minorHAnsi" w:hAnsiTheme="minorHAnsi" w:cstheme="minorHAnsi"/>
        </w:rPr>
      </w:pPr>
      <w:r w:rsidRPr="009B37C9">
        <w:rPr>
          <w:rFonts w:asciiTheme="minorHAnsi" w:hAnsiTheme="minorHAnsi" w:cstheme="minorHAnsi"/>
        </w:rPr>
        <w:t xml:space="preserve">E-mail: </w:t>
      </w:r>
      <w:hyperlink r:id="rId9" w:history="1">
        <w:r w:rsidRPr="009B37C9">
          <w:rPr>
            <w:rStyle w:val="Hyperlink"/>
            <w:rFonts w:asciiTheme="minorHAnsi" w:hAnsiTheme="minorHAnsi" w:cstheme="minorHAnsi"/>
          </w:rPr>
          <w:t>mofirdg@palnet.com</w:t>
        </w:r>
      </w:hyperlink>
    </w:p>
    <w:p w14:paraId="0BF8CEEB" w14:textId="77777777" w:rsidR="00875464" w:rsidRPr="009B37C9" w:rsidRDefault="00875464" w:rsidP="00875464">
      <w:pPr>
        <w:pStyle w:val="ListParagraph"/>
        <w:ind w:left="90"/>
        <w:jc w:val="both"/>
        <w:rPr>
          <w:rFonts w:asciiTheme="minorHAnsi" w:hAnsiTheme="minorHAnsi" w:cstheme="minorHAnsi"/>
        </w:rPr>
      </w:pPr>
    </w:p>
    <w:p w14:paraId="6326C9FC" w14:textId="77777777" w:rsidR="00875464" w:rsidRPr="009B37C9" w:rsidRDefault="00875464" w:rsidP="00875464">
      <w:pPr>
        <w:pStyle w:val="ListParagraph"/>
        <w:numPr>
          <w:ilvl w:val="0"/>
          <w:numId w:val="24"/>
        </w:numPr>
        <w:autoSpaceDE w:val="0"/>
        <w:autoSpaceDN w:val="0"/>
        <w:rPr>
          <w:rFonts w:asciiTheme="minorHAnsi" w:hAnsiTheme="minorHAnsi" w:cstheme="minorHAnsi"/>
          <w:b/>
          <w:bCs/>
          <w:color w:val="000000"/>
        </w:rPr>
      </w:pPr>
      <w:r w:rsidRPr="009B37C9">
        <w:rPr>
          <w:rFonts w:asciiTheme="minorHAnsi" w:hAnsiTheme="minorHAnsi" w:cstheme="minorHAnsi"/>
          <w:b/>
          <w:bCs/>
          <w:color w:val="000000"/>
        </w:rPr>
        <w:t>FOR MORE INFORMATION CONTACT</w:t>
      </w:r>
    </w:p>
    <w:p w14:paraId="621FC6B9" w14:textId="77777777" w:rsidR="00875464" w:rsidRPr="009B37C9" w:rsidRDefault="00875464" w:rsidP="00875464">
      <w:pPr>
        <w:pStyle w:val="ListParagraph"/>
        <w:ind w:left="90"/>
        <w:jc w:val="both"/>
        <w:rPr>
          <w:rFonts w:asciiTheme="minorHAnsi" w:hAnsiTheme="minorHAnsi" w:cstheme="minorHAnsi"/>
          <w:color w:val="0D0D0D"/>
        </w:rPr>
      </w:pPr>
    </w:p>
    <w:p w14:paraId="7817A2E9" w14:textId="77777777" w:rsidR="00875464" w:rsidRPr="009B37C9" w:rsidRDefault="00875464" w:rsidP="00875464">
      <w:pPr>
        <w:pStyle w:val="ListParagraph"/>
        <w:ind w:left="90"/>
        <w:jc w:val="both"/>
        <w:rPr>
          <w:rFonts w:asciiTheme="minorHAnsi" w:hAnsiTheme="minorHAnsi" w:cstheme="minorHAnsi"/>
          <w:color w:val="0D0D0D"/>
        </w:rPr>
      </w:pPr>
      <w:r w:rsidRPr="009B37C9">
        <w:rPr>
          <w:rFonts w:asciiTheme="minorHAnsi" w:hAnsiTheme="minorHAnsi" w:cstheme="minorHAnsi"/>
          <w:color w:val="0D0D0D"/>
        </w:rPr>
        <w:t>The World Bank</w:t>
      </w:r>
    </w:p>
    <w:p w14:paraId="3DD1C094" w14:textId="77777777" w:rsidR="00875464" w:rsidRPr="009B37C9" w:rsidRDefault="00875464" w:rsidP="00875464">
      <w:pPr>
        <w:pStyle w:val="ListParagraph"/>
        <w:ind w:left="90"/>
        <w:jc w:val="both"/>
        <w:rPr>
          <w:rFonts w:asciiTheme="minorHAnsi" w:hAnsiTheme="minorHAnsi" w:cstheme="minorHAnsi"/>
          <w:color w:val="0D0D0D"/>
        </w:rPr>
      </w:pPr>
      <w:r w:rsidRPr="009B37C9">
        <w:rPr>
          <w:rFonts w:asciiTheme="minorHAnsi" w:hAnsiTheme="minorHAnsi" w:cstheme="minorHAnsi"/>
          <w:color w:val="0D0D0D"/>
        </w:rPr>
        <w:t>1818 H Street, NW</w:t>
      </w:r>
    </w:p>
    <w:p w14:paraId="32D5B207" w14:textId="77777777" w:rsidR="00875464" w:rsidRPr="009B37C9" w:rsidRDefault="00875464" w:rsidP="00875464">
      <w:pPr>
        <w:pStyle w:val="ListParagraph"/>
        <w:ind w:left="90"/>
        <w:jc w:val="both"/>
        <w:rPr>
          <w:rFonts w:asciiTheme="minorHAnsi" w:hAnsiTheme="minorHAnsi" w:cstheme="minorHAnsi"/>
          <w:color w:val="0D0D0D"/>
        </w:rPr>
      </w:pPr>
      <w:r w:rsidRPr="009B37C9">
        <w:rPr>
          <w:rFonts w:asciiTheme="minorHAnsi" w:hAnsiTheme="minorHAnsi" w:cstheme="minorHAnsi"/>
          <w:color w:val="0D0D0D"/>
        </w:rPr>
        <w:t>Washington, D.C. 20433</w:t>
      </w:r>
    </w:p>
    <w:p w14:paraId="4B1B7C3A" w14:textId="77777777" w:rsidR="00875464" w:rsidRPr="009B37C9" w:rsidRDefault="00875464" w:rsidP="00875464">
      <w:pPr>
        <w:pStyle w:val="ListParagraph"/>
        <w:ind w:left="90"/>
        <w:jc w:val="both"/>
        <w:rPr>
          <w:rFonts w:asciiTheme="minorHAnsi" w:hAnsiTheme="minorHAnsi" w:cstheme="minorHAnsi"/>
          <w:color w:val="0D0D0D"/>
        </w:rPr>
      </w:pPr>
      <w:r w:rsidRPr="009B37C9">
        <w:rPr>
          <w:rFonts w:asciiTheme="minorHAnsi" w:hAnsiTheme="minorHAnsi" w:cstheme="minorHAnsi"/>
          <w:color w:val="0D0D0D"/>
        </w:rPr>
        <w:t>Telephone: (202) 473-1000</w:t>
      </w:r>
    </w:p>
    <w:p w14:paraId="7879940F" w14:textId="77777777" w:rsidR="00875464" w:rsidRPr="009B37C9" w:rsidRDefault="00875464" w:rsidP="00875464">
      <w:pPr>
        <w:pStyle w:val="ListParagraph"/>
        <w:ind w:left="90"/>
        <w:jc w:val="both"/>
        <w:rPr>
          <w:rFonts w:asciiTheme="minorHAnsi" w:hAnsiTheme="minorHAnsi" w:cstheme="minorHAnsi"/>
        </w:rPr>
      </w:pPr>
      <w:r w:rsidRPr="009B37C9">
        <w:rPr>
          <w:rFonts w:asciiTheme="minorHAnsi" w:hAnsiTheme="minorHAnsi" w:cstheme="minorHAnsi"/>
          <w:color w:val="0D0D0D"/>
        </w:rPr>
        <w:t xml:space="preserve">Web: </w:t>
      </w:r>
      <w:hyperlink r:id="rId10" w:history="1">
        <w:r w:rsidRPr="009B37C9">
          <w:rPr>
            <w:rStyle w:val="Hyperlink"/>
            <w:rFonts w:asciiTheme="minorHAnsi" w:hAnsiTheme="minorHAnsi" w:cstheme="minorHAnsi"/>
          </w:rPr>
          <w:t>http://www.worldbank.org/projects</w:t>
        </w:r>
      </w:hyperlink>
    </w:p>
    <w:p w14:paraId="2315C579" w14:textId="77777777" w:rsidR="00875464" w:rsidRPr="009B37C9" w:rsidRDefault="00875464" w:rsidP="00875464">
      <w:pPr>
        <w:pStyle w:val="ListParagraph"/>
        <w:ind w:left="0"/>
        <w:contextualSpacing w:val="0"/>
        <w:jc w:val="both"/>
        <w:rPr>
          <w:rFonts w:asciiTheme="minorHAnsi" w:hAnsiTheme="minorHAnsi" w:cstheme="minorHAnsi"/>
        </w:rPr>
      </w:pPr>
    </w:p>
    <w:p w14:paraId="709DC832" w14:textId="6B20FE91" w:rsidR="00055D5D" w:rsidRPr="009B37C9" w:rsidRDefault="00055D5D" w:rsidP="00875464">
      <w:pPr>
        <w:jc w:val="both"/>
        <w:rPr>
          <w:rFonts w:asciiTheme="minorHAnsi" w:hAnsiTheme="minorHAnsi" w:cstheme="minorHAnsi"/>
        </w:rPr>
      </w:pPr>
    </w:p>
    <w:sectPr w:rsidR="00055D5D" w:rsidRPr="009B37C9" w:rsidSect="00971136">
      <w:headerReference w:type="even" r:id="rId11"/>
      <w:headerReference w:type="default" r:id="rId12"/>
      <w:footerReference w:type="even" r:id="rId13"/>
      <w:footerReference w:type="default" r:id="rId14"/>
      <w:headerReference w:type="first" r:id="rId15"/>
      <w:footerReference w:type="first" r:id="rId16"/>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EEDB6" w14:textId="77777777" w:rsidR="00F05E30" w:rsidRDefault="00F05E30">
      <w:r>
        <w:separator/>
      </w:r>
    </w:p>
  </w:endnote>
  <w:endnote w:type="continuationSeparator" w:id="0">
    <w:p w14:paraId="63B26986" w14:textId="77777777" w:rsidR="00F05E30" w:rsidRDefault="00F05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035FD" w14:textId="77777777" w:rsidR="00745864" w:rsidRDefault="007458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9551920"/>
      <w:docPartObj>
        <w:docPartGallery w:val="Page Numbers (Bottom of Page)"/>
        <w:docPartUnique/>
      </w:docPartObj>
    </w:sdtPr>
    <w:sdtEndPr>
      <w:rPr>
        <w:rFonts w:asciiTheme="minorHAnsi" w:hAnsiTheme="minorHAnsi" w:cstheme="minorHAnsi"/>
        <w:noProof/>
        <w:sz w:val="22"/>
      </w:rPr>
    </w:sdtEndPr>
    <w:sdtContent>
      <w:p w14:paraId="6FD031D0" w14:textId="77777777" w:rsidR="00802F27" w:rsidRDefault="00802F27">
        <w:pPr>
          <w:pStyle w:val="Footer"/>
          <w:jc w:val="center"/>
        </w:pPr>
      </w:p>
      <w:p w14:paraId="2113EDFA" w14:textId="6F9E5F92" w:rsidR="00522761" w:rsidRPr="00522761" w:rsidRDefault="00522761">
        <w:pPr>
          <w:pStyle w:val="Footer"/>
          <w:jc w:val="center"/>
          <w:rPr>
            <w:rFonts w:asciiTheme="minorHAnsi" w:hAnsiTheme="minorHAnsi" w:cstheme="minorHAnsi"/>
            <w:sz w:val="22"/>
          </w:rPr>
        </w:pPr>
        <w:r w:rsidRPr="00522761">
          <w:rPr>
            <w:rFonts w:asciiTheme="minorHAnsi" w:hAnsiTheme="minorHAnsi" w:cstheme="minorHAnsi"/>
            <w:sz w:val="22"/>
          </w:rPr>
          <w:fldChar w:fldCharType="begin"/>
        </w:r>
        <w:r w:rsidRPr="00522761">
          <w:rPr>
            <w:rFonts w:asciiTheme="minorHAnsi" w:hAnsiTheme="minorHAnsi" w:cstheme="minorHAnsi"/>
            <w:sz w:val="22"/>
          </w:rPr>
          <w:instrText xml:space="preserve"> PAGE   \* MERGEFORMAT </w:instrText>
        </w:r>
        <w:r w:rsidRPr="00522761">
          <w:rPr>
            <w:rFonts w:asciiTheme="minorHAnsi" w:hAnsiTheme="minorHAnsi" w:cstheme="minorHAnsi"/>
            <w:sz w:val="22"/>
          </w:rPr>
          <w:fldChar w:fldCharType="separate"/>
        </w:r>
        <w:r w:rsidR="004409D4">
          <w:rPr>
            <w:rFonts w:asciiTheme="minorHAnsi" w:hAnsiTheme="minorHAnsi" w:cstheme="minorHAnsi"/>
            <w:noProof/>
            <w:sz w:val="22"/>
          </w:rPr>
          <w:t>7</w:t>
        </w:r>
        <w:r w:rsidRPr="00522761">
          <w:rPr>
            <w:rFonts w:asciiTheme="minorHAnsi" w:hAnsiTheme="minorHAnsi" w:cstheme="minorHAnsi"/>
            <w:noProof/>
            <w:sz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C6DDB" w14:textId="77777777" w:rsidR="00745864" w:rsidRDefault="00745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9BE4C" w14:textId="77777777" w:rsidR="00F05E30" w:rsidRDefault="00F05E30">
      <w:r>
        <w:separator/>
      </w:r>
    </w:p>
  </w:footnote>
  <w:footnote w:type="continuationSeparator" w:id="0">
    <w:p w14:paraId="171B9D69" w14:textId="77777777" w:rsidR="00F05E30" w:rsidRDefault="00F05E30">
      <w:r>
        <w:continuationSeparator/>
      </w:r>
    </w:p>
  </w:footnote>
  <w:footnote w:id="1">
    <w:p w14:paraId="6161C464" w14:textId="77777777" w:rsidR="00C077C6" w:rsidRPr="00FE77FA" w:rsidRDefault="00C077C6" w:rsidP="00C077C6">
      <w:pPr>
        <w:pStyle w:val="FootnoteText"/>
        <w:jc w:val="both"/>
        <w:rPr>
          <w:rFonts w:asciiTheme="minorHAnsi" w:hAnsiTheme="minorHAnsi" w:cstheme="minorHAnsi"/>
          <w:sz w:val="18"/>
          <w:szCs w:val="18"/>
        </w:rPr>
      </w:pPr>
      <w:r w:rsidRPr="00FE77FA">
        <w:rPr>
          <w:rStyle w:val="FootnoteReference"/>
          <w:rFonts w:asciiTheme="minorHAnsi" w:hAnsiTheme="minorHAnsi" w:cstheme="minorHAnsi"/>
          <w:sz w:val="18"/>
          <w:szCs w:val="18"/>
        </w:rPr>
        <w:footnoteRef/>
      </w:r>
      <w:r w:rsidRPr="00FE77FA">
        <w:rPr>
          <w:rFonts w:asciiTheme="minorHAnsi" w:hAnsiTheme="minorHAnsi" w:cstheme="minorHAnsi"/>
          <w:sz w:val="18"/>
          <w:szCs w:val="18"/>
        </w:rPr>
        <w:t xml:space="preserve"> </w:t>
      </w:r>
      <w:r w:rsidRPr="00FE77FA">
        <w:rPr>
          <w:rFonts w:asciiTheme="minorHAnsi" w:eastAsia="MS Mincho" w:hAnsiTheme="minorHAnsi" w:cstheme="minorHAnsi"/>
          <w:sz w:val="18"/>
          <w:szCs w:val="18"/>
        </w:rPr>
        <w:t>Restrictions on access to Area C have severely limited natural resources such as electricity and water, which are key to development of the productivity sectors.</w:t>
      </w:r>
    </w:p>
  </w:footnote>
  <w:footnote w:id="2">
    <w:p w14:paraId="75973576" w14:textId="77777777" w:rsidR="002A54C1" w:rsidRPr="00FE77FA" w:rsidRDefault="002A54C1" w:rsidP="002A54C1">
      <w:pPr>
        <w:pStyle w:val="FootnoteText"/>
        <w:jc w:val="both"/>
        <w:rPr>
          <w:rFonts w:asciiTheme="minorHAnsi" w:hAnsiTheme="minorHAnsi" w:cstheme="minorHAnsi"/>
          <w:sz w:val="18"/>
          <w:szCs w:val="18"/>
        </w:rPr>
      </w:pPr>
      <w:r w:rsidRPr="00FE77FA">
        <w:rPr>
          <w:rStyle w:val="FootnoteReference"/>
          <w:rFonts w:asciiTheme="minorHAnsi" w:hAnsiTheme="minorHAnsi" w:cstheme="minorHAnsi"/>
          <w:sz w:val="18"/>
          <w:szCs w:val="18"/>
        </w:rPr>
        <w:footnoteRef/>
      </w:r>
      <w:r w:rsidRPr="00FE77FA">
        <w:rPr>
          <w:rFonts w:asciiTheme="minorHAnsi" w:hAnsiTheme="minorHAnsi" w:cstheme="minorHAnsi"/>
          <w:sz w:val="18"/>
          <w:szCs w:val="18"/>
        </w:rPr>
        <w:t xml:space="preserve"> LGUs include distribution companies</w:t>
      </w:r>
      <w:r>
        <w:rPr>
          <w:rFonts w:asciiTheme="minorHAnsi" w:hAnsiTheme="minorHAnsi" w:cstheme="minorHAnsi"/>
          <w:sz w:val="18"/>
          <w:szCs w:val="18"/>
        </w:rPr>
        <w:t xml:space="preserve"> (for the electricity sector)</w:t>
      </w:r>
      <w:r w:rsidRPr="00FE77FA">
        <w:rPr>
          <w:rFonts w:asciiTheme="minorHAnsi" w:hAnsiTheme="minorHAnsi" w:cstheme="minorHAnsi"/>
          <w:sz w:val="18"/>
          <w:szCs w:val="18"/>
        </w:rPr>
        <w:t>, municipalities, and village councils.</w:t>
      </w:r>
    </w:p>
  </w:footnote>
  <w:footnote w:id="3">
    <w:p w14:paraId="4B51D506" w14:textId="77777777" w:rsidR="004D1C74" w:rsidRPr="00A56622" w:rsidRDefault="004D1C74" w:rsidP="004D1C74">
      <w:pPr>
        <w:pStyle w:val="FootnoteText"/>
        <w:jc w:val="both"/>
        <w:rPr>
          <w:rFonts w:asciiTheme="minorHAnsi" w:hAnsiTheme="minorHAnsi" w:cstheme="minorHAnsi"/>
          <w:sz w:val="18"/>
          <w:szCs w:val="18"/>
        </w:rPr>
      </w:pPr>
      <w:r w:rsidRPr="00A56622">
        <w:rPr>
          <w:rStyle w:val="FootnoteReference"/>
          <w:rFonts w:asciiTheme="minorHAnsi" w:hAnsiTheme="minorHAnsi" w:cstheme="minorHAnsi"/>
          <w:sz w:val="18"/>
          <w:szCs w:val="18"/>
        </w:rPr>
        <w:footnoteRef/>
      </w:r>
      <w:r w:rsidRPr="00A56622">
        <w:rPr>
          <w:rFonts w:asciiTheme="minorHAnsi" w:hAnsiTheme="minorHAnsi" w:cstheme="minorHAnsi"/>
          <w:sz w:val="18"/>
          <w:szCs w:val="18"/>
        </w:rPr>
        <w:t xml:space="preserve"> World Enterprise Survey (2013), where close to 13 percent of firms in </w:t>
      </w:r>
      <w:r>
        <w:rPr>
          <w:rFonts w:asciiTheme="minorHAnsi" w:hAnsiTheme="minorHAnsi" w:cstheme="minorHAnsi"/>
          <w:sz w:val="18"/>
          <w:szCs w:val="18"/>
        </w:rPr>
        <w:t xml:space="preserve">the Palestinian territories </w:t>
      </w:r>
      <w:r w:rsidRPr="00A56622">
        <w:rPr>
          <w:rFonts w:asciiTheme="minorHAnsi" w:hAnsiTheme="minorHAnsi" w:cstheme="minorHAnsi"/>
          <w:sz w:val="18"/>
          <w:szCs w:val="18"/>
        </w:rPr>
        <w:t>report electricity as their biggest obstacle. In four out five comparator countries, this figure is 5 percent or lower.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21CF1" w14:textId="77777777" w:rsidR="00745864" w:rsidRDefault="007458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1BABF" w14:textId="77777777" w:rsidR="00745864" w:rsidRDefault="007458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EE260" w14:textId="77777777" w:rsidR="00745864" w:rsidRDefault="007458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3240"/>
    <w:multiLevelType w:val="hybridMultilevel"/>
    <w:tmpl w:val="FC38B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C711D3"/>
    <w:multiLevelType w:val="hybridMultilevel"/>
    <w:tmpl w:val="5480384E"/>
    <w:lvl w:ilvl="0" w:tplc="638A15F8">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2F2C6D"/>
    <w:multiLevelType w:val="hybridMultilevel"/>
    <w:tmpl w:val="37648210"/>
    <w:lvl w:ilvl="0" w:tplc="516C19B2">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7E67DA"/>
    <w:multiLevelType w:val="hybridMultilevel"/>
    <w:tmpl w:val="CD48F9AA"/>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890280"/>
    <w:multiLevelType w:val="multilevel"/>
    <w:tmpl w:val="99CEE76E"/>
    <w:lvl w:ilvl="0">
      <w:start w:val="1"/>
      <w:numFmt w:val="upperRoman"/>
      <w:lvlText w:val="%1."/>
      <w:lvlJc w:val="left"/>
      <w:pPr>
        <w:tabs>
          <w:tab w:val="num" w:pos="720"/>
        </w:tabs>
        <w:ind w:left="720" w:hanging="720"/>
      </w:pPr>
      <w:rPr>
        <w:rFonts w:ascii="Times New Roman Bold" w:hAnsi="Times New Roman Bold" w:hint="default"/>
        <w:b/>
        <w:i w:val="0"/>
        <w:sz w:val="24"/>
        <w:szCs w:val="24"/>
      </w:rPr>
    </w:lvl>
    <w:lvl w:ilvl="1">
      <w:start w:val="1"/>
      <w:numFmt w:val="decimal"/>
      <w:lvlText w:val="%2."/>
      <w:lvlJc w:val="left"/>
      <w:pPr>
        <w:tabs>
          <w:tab w:val="num" w:pos="720"/>
        </w:tabs>
        <w:ind w:left="720" w:hanging="720"/>
      </w:pPr>
      <w:rPr>
        <w:rFonts w:hint="default"/>
        <w:b w:val="0"/>
        <w:i w:val="0"/>
        <w:sz w:val="24"/>
        <w:szCs w:val="24"/>
      </w:rPr>
    </w:lvl>
    <w:lvl w:ilvl="2">
      <w:start w:val="5"/>
      <w:numFmt w:val="decimal"/>
      <w:lvlText w:val="%3."/>
      <w:lvlJc w:val="left"/>
      <w:pPr>
        <w:tabs>
          <w:tab w:val="num" w:pos="720"/>
        </w:tabs>
        <w:ind w:left="720" w:hanging="720"/>
      </w:pPr>
      <w:rPr>
        <w:rFonts w:hint="default"/>
        <w:b w:val="0"/>
        <w:i w:val="0"/>
        <w:sz w:val="24"/>
        <w:szCs w:val="24"/>
      </w:rPr>
    </w:lvl>
    <w:lvl w:ilvl="3">
      <w:start w:val="1"/>
      <w:numFmt w:val="lowerLetter"/>
      <w:lvlText w:val="%4."/>
      <w:lvlJc w:val="left"/>
      <w:pPr>
        <w:tabs>
          <w:tab w:val="num" w:pos="1080"/>
        </w:tabs>
        <w:ind w:left="1080" w:hanging="360"/>
      </w:pPr>
      <w:rPr>
        <w:rFonts w:hint="default"/>
        <w:b w:val="0"/>
        <w:i w:val="0"/>
        <w:sz w:val="24"/>
        <w:szCs w:val="24"/>
      </w:rPr>
    </w:lvl>
    <w:lvl w:ilvl="4">
      <w:start w:val="1"/>
      <w:numFmt w:val="lowerRoman"/>
      <w:lvlText w:val="(%5)"/>
      <w:lvlJc w:val="left"/>
      <w:pPr>
        <w:tabs>
          <w:tab w:val="num" w:pos="2160"/>
        </w:tabs>
        <w:ind w:left="2160" w:hanging="720"/>
      </w:pPr>
      <w:rPr>
        <w:rFonts w:hint="default"/>
        <w:b w:val="0"/>
        <w:i w:val="0"/>
        <w:sz w:val="24"/>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78573C1"/>
    <w:multiLevelType w:val="hybridMultilevel"/>
    <w:tmpl w:val="FFA4E436"/>
    <w:lvl w:ilvl="0" w:tplc="F60248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0B0314"/>
    <w:multiLevelType w:val="hybridMultilevel"/>
    <w:tmpl w:val="EDFEC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B72C36"/>
    <w:multiLevelType w:val="hybridMultilevel"/>
    <w:tmpl w:val="95B816F8"/>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43649E"/>
    <w:multiLevelType w:val="hybridMultilevel"/>
    <w:tmpl w:val="7F660714"/>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1611BC"/>
    <w:multiLevelType w:val="hybridMultilevel"/>
    <w:tmpl w:val="332CA936"/>
    <w:lvl w:ilvl="0" w:tplc="C6D4694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4846D13"/>
    <w:multiLevelType w:val="hybridMultilevel"/>
    <w:tmpl w:val="7A1E68AA"/>
    <w:lvl w:ilvl="0" w:tplc="B066C178">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155CD0"/>
    <w:multiLevelType w:val="hybridMultilevel"/>
    <w:tmpl w:val="B0147E7C"/>
    <w:lvl w:ilvl="0" w:tplc="2A2E7AB6">
      <w:start w:val="1"/>
      <w:numFmt w:val="bullet"/>
      <w:lvlText w:val=""/>
      <w:lvlJc w:val="left"/>
      <w:pPr>
        <w:tabs>
          <w:tab w:val="num" w:pos="360"/>
        </w:tabs>
        <w:ind w:left="360" w:hanging="360"/>
      </w:pPr>
      <w:rPr>
        <w:rFonts w:ascii="Symbol" w:hAnsi="Symbol" w:hint="default"/>
      </w:rPr>
    </w:lvl>
    <w:lvl w:ilvl="1" w:tplc="121AB9A0">
      <w:start w:val="1"/>
      <w:numFmt w:val="lowerLetter"/>
      <w:lvlText w:val="%2."/>
      <w:lvlJc w:val="left"/>
      <w:pPr>
        <w:tabs>
          <w:tab w:val="num" w:pos="1440"/>
        </w:tabs>
        <w:ind w:left="1368" w:hanging="288"/>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1A317B"/>
    <w:multiLevelType w:val="hybridMultilevel"/>
    <w:tmpl w:val="27CE63EC"/>
    <w:lvl w:ilvl="0" w:tplc="7A464C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F80BE6"/>
    <w:multiLevelType w:val="hybridMultilevel"/>
    <w:tmpl w:val="5EAA3448"/>
    <w:lvl w:ilvl="0" w:tplc="38BCDD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626E03"/>
    <w:multiLevelType w:val="hybridMultilevel"/>
    <w:tmpl w:val="74B021AC"/>
    <w:lvl w:ilvl="0" w:tplc="BD46BA2E">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54FCD87A">
      <w:start w:val="1"/>
      <w:numFmt w:val="lowerLetter"/>
      <w:lvlText w:val="%2."/>
      <w:lvlJc w:val="left"/>
      <w:pPr>
        <w:tabs>
          <w:tab w:val="num" w:pos="1440"/>
        </w:tabs>
        <w:ind w:left="1440" w:hanging="72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990A89"/>
    <w:multiLevelType w:val="hybridMultilevel"/>
    <w:tmpl w:val="A7B8CFC4"/>
    <w:lvl w:ilvl="0" w:tplc="DA56D010">
      <w:start w:val="3"/>
      <w:numFmt w:val="decimal"/>
      <w:lvlText w:val="%1."/>
      <w:lvlJc w:val="left"/>
      <w:pPr>
        <w:tabs>
          <w:tab w:val="num" w:pos="360"/>
        </w:tabs>
        <w:ind w:left="288" w:hanging="288"/>
      </w:pPr>
      <w:rPr>
        <w:rFonts w:hint="default"/>
      </w:rPr>
    </w:lvl>
    <w:lvl w:ilvl="1" w:tplc="121AB9A0">
      <w:start w:val="1"/>
      <w:numFmt w:val="lowerLetter"/>
      <w:lvlText w:val="%2."/>
      <w:lvlJc w:val="left"/>
      <w:pPr>
        <w:tabs>
          <w:tab w:val="num" w:pos="1440"/>
        </w:tabs>
        <w:ind w:left="1368"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E92C30"/>
    <w:multiLevelType w:val="hybridMultilevel"/>
    <w:tmpl w:val="F49C954C"/>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3778CF"/>
    <w:multiLevelType w:val="hybridMultilevel"/>
    <w:tmpl w:val="61880A9C"/>
    <w:lvl w:ilvl="0" w:tplc="545E059A">
      <w:start w:val="12"/>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684E9D"/>
    <w:multiLevelType w:val="hybridMultilevel"/>
    <w:tmpl w:val="4ABC9A9C"/>
    <w:lvl w:ilvl="0" w:tplc="09AA25A8">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B150CF4"/>
    <w:multiLevelType w:val="hybridMultilevel"/>
    <w:tmpl w:val="52C84FC2"/>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8317971"/>
    <w:multiLevelType w:val="hybridMultilevel"/>
    <w:tmpl w:val="DBE0C900"/>
    <w:lvl w:ilvl="0" w:tplc="638A15F8">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E248C0"/>
    <w:multiLevelType w:val="hybridMultilevel"/>
    <w:tmpl w:val="8E2E2232"/>
    <w:lvl w:ilvl="0" w:tplc="801EA044">
      <w:start w:val="1"/>
      <w:numFmt w:val="decimal"/>
      <w:lvlText w:val="%1."/>
      <w:lvlJc w:val="left"/>
      <w:pPr>
        <w:ind w:left="540" w:hanging="360"/>
      </w:pPr>
      <w:rPr>
        <w:rFonts w:asciiTheme="minorHAnsi" w:hAnsiTheme="minorHAnsi" w:cstheme="minorHAnsi"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624AC9"/>
    <w:multiLevelType w:val="hybridMultilevel"/>
    <w:tmpl w:val="99CEE76E"/>
    <w:lvl w:ilvl="0" w:tplc="BE3EE3F6">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09AA25A8">
      <w:start w:val="1"/>
      <w:numFmt w:val="decimal"/>
      <w:lvlText w:val="%2."/>
      <w:lvlJc w:val="left"/>
      <w:pPr>
        <w:tabs>
          <w:tab w:val="num" w:pos="720"/>
        </w:tabs>
        <w:ind w:left="720" w:hanging="720"/>
      </w:pPr>
      <w:rPr>
        <w:rFonts w:hint="default"/>
        <w:b w:val="0"/>
        <w:i w:val="0"/>
        <w:sz w:val="24"/>
        <w:szCs w:val="24"/>
      </w:rPr>
    </w:lvl>
    <w:lvl w:ilvl="2" w:tplc="0CE071D6">
      <w:start w:val="5"/>
      <w:numFmt w:val="decimal"/>
      <w:lvlText w:val="%3."/>
      <w:lvlJc w:val="left"/>
      <w:pPr>
        <w:tabs>
          <w:tab w:val="num" w:pos="720"/>
        </w:tabs>
        <w:ind w:left="720" w:hanging="720"/>
      </w:pPr>
      <w:rPr>
        <w:rFonts w:hint="default"/>
        <w:b w:val="0"/>
        <w:i w:val="0"/>
        <w:sz w:val="24"/>
        <w:szCs w:val="24"/>
      </w:rPr>
    </w:lvl>
    <w:lvl w:ilvl="3" w:tplc="9210D27A">
      <w:start w:val="1"/>
      <w:numFmt w:val="lowerLetter"/>
      <w:lvlText w:val="%4."/>
      <w:lvlJc w:val="left"/>
      <w:pPr>
        <w:tabs>
          <w:tab w:val="num" w:pos="1080"/>
        </w:tabs>
        <w:ind w:left="1080" w:hanging="360"/>
      </w:pPr>
      <w:rPr>
        <w:rFonts w:hint="default"/>
        <w:b w:val="0"/>
        <w:i w:val="0"/>
        <w:sz w:val="24"/>
        <w:szCs w:val="24"/>
      </w:rPr>
    </w:lvl>
    <w:lvl w:ilvl="4" w:tplc="465A5734">
      <w:start w:val="1"/>
      <w:numFmt w:val="lowerRoman"/>
      <w:lvlText w:val="(%5)"/>
      <w:lvlJc w:val="left"/>
      <w:pPr>
        <w:tabs>
          <w:tab w:val="num" w:pos="2160"/>
        </w:tabs>
        <w:ind w:left="2160" w:hanging="720"/>
      </w:pPr>
      <w:rPr>
        <w:rFonts w:hint="default"/>
        <w:b w:val="0"/>
        <w:i w:val="0"/>
        <w:sz w:val="24"/>
        <w:szCs w:val="24"/>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3C11663"/>
    <w:multiLevelType w:val="multilevel"/>
    <w:tmpl w:val="94A882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29" w15:restartNumberingAfterBreak="0">
    <w:nsid w:val="773D2F0C"/>
    <w:multiLevelType w:val="hybridMultilevel"/>
    <w:tmpl w:val="E16680E6"/>
    <w:lvl w:ilvl="0" w:tplc="BD46BA2E">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54FCD87A">
      <w:start w:val="1"/>
      <w:numFmt w:val="lowerLetter"/>
      <w:lvlText w:val="%2."/>
      <w:lvlJc w:val="left"/>
      <w:pPr>
        <w:tabs>
          <w:tab w:val="num" w:pos="1440"/>
        </w:tabs>
        <w:ind w:left="1440" w:hanging="72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896538E"/>
    <w:multiLevelType w:val="hybridMultilevel"/>
    <w:tmpl w:val="6B90D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FE30505"/>
    <w:multiLevelType w:val="hybridMultilevel"/>
    <w:tmpl w:val="25E07446"/>
    <w:lvl w:ilvl="0" w:tplc="FFFFFFFF">
      <w:start w:val="1"/>
      <w:numFmt w:val="bullet"/>
      <w:pStyle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8"/>
  </w:num>
  <w:num w:numId="3">
    <w:abstractNumId w:val="31"/>
  </w:num>
  <w:num w:numId="4">
    <w:abstractNumId w:val="2"/>
  </w:num>
  <w:num w:numId="5">
    <w:abstractNumId w:val="16"/>
  </w:num>
  <w:num w:numId="6">
    <w:abstractNumId w:val="0"/>
  </w:num>
  <w:num w:numId="7">
    <w:abstractNumId w:val="24"/>
  </w:num>
  <w:num w:numId="8">
    <w:abstractNumId w:val="9"/>
  </w:num>
  <w:num w:numId="9">
    <w:abstractNumId w:val="20"/>
  </w:num>
  <w:num w:numId="10">
    <w:abstractNumId w:val="3"/>
  </w:num>
  <w:num w:numId="11">
    <w:abstractNumId w:val="13"/>
  </w:num>
  <w:num w:numId="12">
    <w:abstractNumId w:val="18"/>
  </w:num>
  <w:num w:numId="13">
    <w:abstractNumId w:val="12"/>
  </w:num>
  <w:num w:numId="14">
    <w:abstractNumId w:val="28"/>
  </w:num>
  <w:num w:numId="15">
    <w:abstractNumId w:val="32"/>
  </w:num>
  <w:num w:numId="16">
    <w:abstractNumId w:val="10"/>
  </w:num>
  <w:num w:numId="17">
    <w:abstractNumId w:val="14"/>
  </w:num>
  <w:num w:numId="18">
    <w:abstractNumId w:val="30"/>
  </w:num>
  <w:num w:numId="19">
    <w:abstractNumId w:val="21"/>
  </w:num>
  <w:num w:numId="20">
    <w:abstractNumId w:val="4"/>
  </w:num>
  <w:num w:numId="21">
    <w:abstractNumId w:val="27"/>
  </w:num>
  <w:num w:numId="22">
    <w:abstractNumId w:val="22"/>
  </w:num>
  <w:num w:numId="23">
    <w:abstractNumId w:val="6"/>
  </w:num>
  <w:num w:numId="24">
    <w:abstractNumId w:val="29"/>
  </w:num>
  <w:num w:numId="25">
    <w:abstractNumId w:val="23"/>
  </w:num>
  <w:num w:numId="26">
    <w:abstractNumId w:val="5"/>
  </w:num>
  <w:num w:numId="27">
    <w:abstractNumId w:val="7"/>
  </w:num>
  <w:num w:numId="28">
    <w:abstractNumId w:val="25"/>
  </w:num>
  <w:num w:numId="29">
    <w:abstractNumId w:val="19"/>
  </w:num>
  <w:num w:numId="30">
    <w:abstractNumId w:val="26"/>
  </w:num>
  <w:num w:numId="31">
    <w:abstractNumId w:val="1"/>
  </w:num>
  <w:num w:numId="32">
    <w:abstractNumId w:val="17"/>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6FA"/>
    <w:rsid w:val="00001919"/>
    <w:rsid w:val="00007917"/>
    <w:rsid w:val="0002193F"/>
    <w:rsid w:val="00023354"/>
    <w:rsid w:val="00030402"/>
    <w:rsid w:val="00055D5D"/>
    <w:rsid w:val="00071B65"/>
    <w:rsid w:val="000736A2"/>
    <w:rsid w:val="00086692"/>
    <w:rsid w:val="000C5B1D"/>
    <w:rsid w:val="000D2D1B"/>
    <w:rsid w:val="000F0426"/>
    <w:rsid w:val="000F2EB6"/>
    <w:rsid w:val="00101C42"/>
    <w:rsid w:val="00125161"/>
    <w:rsid w:val="001310E0"/>
    <w:rsid w:val="001527BE"/>
    <w:rsid w:val="00171E5D"/>
    <w:rsid w:val="00182A0D"/>
    <w:rsid w:val="001936A8"/>
    <w:rsid w:val="00196135"/>
    <w:rsid w:val="001A4469"/>
    <w:rsid w:val="001C4C28"/>
    <w:rsid w:val="001D607D"/>
    <w:rsid w:val="001E638A"/>
    <w:rsid w:val="00212F4E"/>
    <w:rsid w:val="00214BD9"/>
    <w:rsid w:val="002428DC"/>
    <w:rsid w:val="00283684"/>
    <w:rsid w:val="002A54C1"/>
    <w:rsid w:val="002C6701"/>
    <w:rsid w:val="002E7C94"/>
    <w:rsid w:val="003103C4"/>
    <w:rsid w:val="00335C23"/>
    <w:rsid w:val="00337CE7"/>
    <w:rsid w:val="00351EE7"/>
    <w:rsid w:val="00352A4C"/>
    <w:rsid w:val="0035364B"/>
    <w:rsid w:val="003723D9"/>
    <w:rsid w:val="00375D53"/>
    <w:rsid w:val="00383CBB"/>
    <w:rsid w:val="00386B08"/>
    <w:rsid w:val="003A4D2F"/>
    <w:rsid w:val="003C59A5"/>
    <w:rsid w:val="003E3E86"/>
    <w:rsid w:val="003F02CA"/>
    <w:rsid w:val="003F3DF1"/>
    <w:rsid w:val="00407C29"/>
    <w:rsid w:val="00413D8A"/>
    <w:rsid w:val="00423501"/>
    <w:rsid w:val="00437E88"/>
    <w:rsid w:val="004409D4"/>
    <w:rsid w:val="00460417"/>
    <w:rsid w:val="00461140"/>
    <w:rsid w:val="00465E35"/>
    <w:rsid w:val="004C6525"/>
    <w:rsid w:val="004D1C74"/>
    <w:rsid w:val="004D6196"/>
    <w:rsid w:val="004F09FA"/>
    <w:rsid w:val="004F0F64"/>
    <w:rsid w:val="004F28EF"/>
    <w:rsid w:val="00522761"/>
    <w:rsid w:val="00573D71"/>
    <w:rsid w:val="00577870"/>
    <w:rsid w:val="00586A53"/>
    <w:rsid w:val="00587BA3"/>
    <w:rsid w:val="00591341"/>
    <w:rsid w:val="0059349F"/>
    <w:rsid w:val="00595AF6"/>
    <w:rsid w:val="005C45FB"/>
    <w:rsid w:val="0060312B"/>
    <w:rsid w:val="00606C51"/>
    <w:rsid w:val="00663955"/>
    <w:rsid w:val="00671A99"/>
    <w:rsid w:val="00674243"/>
    <w:rsid w:val="0067697E"/>
    <w:rsid w:val="00690F9A"/>
    <w:rsid w:val="006C5D18"/>
    <w:rsid w:val="006D0291"/>
    <w:rsid w:val="006F3FC6"/>
    <w:rsid w:val="00701460"/>
    <w:rsid w:val="0071072F"/>
    <w:rsid w:val="007150F6"/>
    <w:rsid w:val="00731BC4"/>
    <w:rsid w:val="00745864"/>
    <w:rsid w:val="007479E7"/>
    <w:rsid w:val="007857E6"/>
    <w:rsid w:val="007863D3"/>
    <w:rsid w:val="00787B7C"/>
    <w:rsid w:val="00793D7D"/>
    <w:rsid w:val="007B7DB3"/>
    <w:rsid w:val="007C2084"/>
    <w:rsid w:val="007D56BA"/>
    <w:rsid w:val="007D6452"/>
    <w:rsid w:val="007E57D8"/>
    <w:rsid w:val="00802F27"/>
    <w:rsid w:val="00816D92"/>
    <w:rsid w:val="008435DF"/>
    <w:rsid w:val="00843D28"/>
    <w:rsid w:val="008451FE"/>
    <w:rsid w:val="00855605"/>
    <w:rsid w:val="00860592"/>
    <w:rsid w:val="00875464"/>
    <w:rsid w:val="008966EC"/>
    <w:rsid w:val="008B162D"/>
    <w:rsid w:val="008C05C6"/>
    <w:rsid w:val="008F0B46"/>
    <w:rsid w:val="00906046"/>
    <w:rsid w:val="00914E33"/>
    <w:rsid w:val="00915DAE"/>
    <w:rsid w:val="009176D8"/>
    <w:rsid w:val="00921E31"/>
    <w:rsid w:val="00923AC9"/>
    <w:rsid w:val="00963593"/>
    <w:rsid w:val="00971136"/>
    <w:rsid w:val="009872BF"/>
    <w:rsid w:val="00996EEB"/>
    <w:rsid w:val="009A2408"/>
    <w:rsid w:val="009A39D9"/>
    <w:rsid w:val="009B1BF2"/>
    <w:rsid w:val="009B37C9"/>
    <w:rsid w:val="009B6060"/>
    <w:rsid w:val="009F5E4D"/>
    <w:rsid w:val="00A042FF"/>
    <w:rsid w:val="00A05BC0"/>
    <w:rsid w:val="00A126FA"/>
    <w:rsid w:val="00A213B2"/>
    <w:rsid w:val="00A25C56"/>
    <w:rsid w:val="00AA5A30"/>
    <w:rsid w:val="00AB0F65"/>
    <w:rsid w:val="00AC707F"/>
    <w:rsid w:val="00AE20F3"/>
    <w:rsid w:val="00B17C5F"/>
    <w:rsid w:val="00B23656"/>
    <w:rsid w:val="00B677C4"/>
    <w:rsid w:val="00B76E4A"/>
    <w:rsid w:val="00BF6E7F"/>
    <w:rsid w:val="00C070C8"/>
    <w:rsid w:val="00C077C6"/>
    <w:rsid w:val="00C14603"/>
    <w:rsid w:val="00C14683"/>
    <w:rsid w:val="00C24B25"/>
    <w:rsid w:val="00C31277"/>
    <w:rsid w:val="00C34CAD"/>
    <w:rsid w:val="00C357C3"/>
    <w:rsid w:val="00C514C0"/>
    <w:rsid w:val="00C53196"/>
    <w:rsid w:val="00C63E52"/>
    <w:rsid w:val="00C67E15"/>
    <w:rsid w:val="00C96CBF"/>
    <w:rsid w:val="00CA1E70"/>
    <w:rsid w:val="00CC2BA0"/>
    <w:rsid w:val="00CD341E"/>
    <w:rsid w:val="00CE1DC8"/>
    <w:rsid w:val="00D2365D"/>
    <w:rsid w:val="00D545E4"/>
    <w:rsid w:val="00D83B03"/>
    <w:rsid w:val="00DB45E4"/>
    <w:rsid w:val="00DC1EC6"/>
    <w:rsid w:val="00DC4C6B"/>
    <w:rsid w:val="00DE739D"/>
    <w:rsid w:val="00E528E0"/>
    <w:rsid w:val="00E604ED"/>
    <w:rsid w:val="00E67477"/>
    <w:rsid w:val="00E941FA"/>
    <w:rsid w:val="00EC042A"/>
    <w:rsid w:val="00ED5A86"/>
    <w:rsid w:val="00F05E30"/>
    <w:rsid w:val="00F0622C"/>
    <w:rsid w:val="00F34A55"/>
    <w:rsid w:val="00F34B6F"/>
    <w:rsid w:val="00F41703"/>
    <w:rsid w:val="00F51890"/>
    <w:rsid w:val="00F7168A"/>
    <w:rsid w:val="00F72D13"/>
    <w:rsid w:val="00F825D0"/>
    <w:rsid w:val="00F82E4C"/>
    <w:rsid w:val="00FF23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64D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31BC4"/>
    <w:rPr>
      <w:sz w:val="24"/>
      <w:szCs w:val="24"/>
    </w:rPr>
  </w:style>
  <w:style w:type="paragraph" w:styleId="Heading1">
    <w:name w:val="heading 1"/>
    <w:basedOn w:val="Normal"/>
    <w:next w:val="Normal"/>
    <w:qFormat/>
    <w:rsid w:val="00731BC4"/>
    <w:pPr>
      <w:keepNext/>
      <w:outlineLvl w:val="0"/>
    </w:pPr>
    <w:rPr>
      <w:b/>
      <w:bCs/>
    </w:rPr>
  </w:style>
  <w:style w:type="paragraph" w:styleId="Heading2">
    <w:name w:val="heading 2"/>
    <w:basedOn w:val="Normal"/>
    <w:next w:val="Normal"/>
    <w:qFormat/>
    <w:rsid w:val="00731BC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1BC4"/>
    <w:pPr>
      <w:ind w:left="-108"/>
      <w:jc w:val="both"/>
    </w:pPr>
  </w:style>
  <w:style w:type="character" w:styleId="CommentReference">
    <w:name w:val="annotation reference"/>
    <w:basedOn w:val="DefaultParagraphFont"/>
    <w:semiHidden/>
    <w:rsid w:val="00731BC4"/>
    <w:rPr>
      <w:sz w:val="16"/>
      <w:szCs w:val="16"/>
    </w:rPr>
  </w:style>
  <w:style w:type="paragraph" w:styleId="CommentText">
    <w:name w:val="annotation text"/>
    <w:basedOn w:val="Normal"/>
    <w:link w:val="CommentTextChar"/>
    <w:semiHidden/>
    <w:rsid w:val="00731BC4"/>
    <w:rPr>
      <w:sz w:val="20"/>
      <w:szCs w:val="20"/>
    </w:rPr>
  </w:style>
  <w:style w:type="paragraph" w:styleId="BalloonText">
    <w:name w:val="Balloon Text"/>
    <w:basedOn w:val="Normal"/>
    <w:semiHidden/>
    <w:rsid w:val="00731BC4"/>
    <w:rPr>
      <w:rFonts w:ascii="Tahoma" w:hAnsi="Tahoma" w:cs="Tahoma"/>
      <w:sz w:val="16"/>
      <w:szCs w:val="16"/>
    </w:rPr>
  </w:style>
  <w:style w:type="paragraph" w:customStyle="1" w:styleId="Heading1a">
    <w:name w:val="Heading 1a"/>
    <w:basedOn w:val="Normal"/>
    <w:next w:val="Normal"/>
    <w:rsid w:val="00731BC4"/>
    <w:pPr>
      <w:keepNext/>
      <w:keepLines/>
      <w:numPr>
        <w:numId w:val="13"/>
      </w:numPr>
      <w:spacing w:before="1440" w:after="240"/>
      <w:jc w:val="center"/>
      <w:outlineLvl w:val="0"/>
    </w:pPr>
    <w:rPr>
      <w:b/>
      <w:caps/>
      <w:sz w:val="32"/>
    </w:rPr>
  </w:style>
  <w:style w:type="paragraph" w:customStyle="1" w:styleId="MainParanoChapter">
    <w:name w:val="Main Para no Chapter #"/>
    <w:basedOn w:val="Normal"/>
    <w:rsid w:val="00731BC4"/>
    <w:pPr>
      <w:spacing w:after="240"/>
      <w:outlineLvl w:val="1"/>
    </w:pPr>
  </w:style>
  <w:style w:type="paragraph" w:customStyle="1" w:styleId="Sub-Para1underX">
    <w:name w:val="Sub-Para 1 under X."/>
    <w:basedOn w:val="Normal"/>
    <w:rsid w:val="00731BC4"/>
    <w:pPr>
      <w:spacing w:after="240"/>
      <w:ind w:left="1440" w:hanging="720"/>
      <w:outlineLvl w:val="2"/>
    </w:pPr>
  </w:style>
  <w:style w:type="paragraph" w:customStyle="1" w:styleId="Sub-Para2underX">
    <w:name w:val="Sub-Para 2 under X."/>
    <w:basedOn w:val="Normal"/>
    <w:rsid w:val="00731BC4"/>
    <w:pPr>
      <w:spacing w:after="240"/>
      <w:ind w:left="2160" w:hanging="720"/>
      <w:outlineLvl w:val="3"/>
    </w:pPr>
  </w:style>
  <w:style w:type="paragraph" w:customStyle="1" w:styleId="Sub-Para3underX">
    <w:name w:val="Sub-Para 3 under X."/>
    <w:basedOn w:val="Normal"/>
    <w:rsid w:val="00731BC4"/>
    <w:pPr>
      <w:numPr>
        <w:ilvl w:val="4"/>
        <w:numId w:val="13"/>
      </w:numPr>
      <w:tabs>
        <w:tab w:val="clear" w:pos="1440"/>
      </w:tabs>
      <w:spacing w:after="240"/>
      <w:ind w:left="2880" w:hanging="720"/>
      <w:outlineLvl w:val="4"/>
    </w:pPr>
  </w:style>
  <w:style w:type="paragraph" w:customStyle="1" w:styleId="Sub-Para4underX">
    <w:name w:val="Sub-Para 4 under X."/>
    <w:basedOn w:val="Normal"/>
    <w:rsid w:val="00731BC4"/>
    <w:pPr>
      <w:numPr>
        <w:ilvl w:val="5"/>
        <w:numId w:val="13"/>
      </w:numPr>
      <w:tabs>
        <w:tab w:val="clear" w:pos="2160"/>
      </w:tabs>
      <w:spacing w:after="240"/>
      <w:ind w:left="3600" w:hanging="720"/>
      <w:outlineLvl w:val="5"/>
    </w:pPr>
  </w:style>
  <w:style w:type="paragraph" w:customStyle="1" w:styleId="Bullet">
    <w:name w:val="Bullet"/>
    <w:basedOn w:val="Normal"/>
    <w:rsid w:val="00731BC4"/>
    <w:pPr>
      <w:numPr>
        <w:numId w:val="15"/>
      </w:numPr>
      <w:tabs>
        <w:tab w:val="clear" w:pos="1440"/>
      </w:tabs>
    </w:pPr>
  </w:style>
  <w:style w:type="character" w:styleId="FootnoteReference">
    <w:name w:val="footnote reference"/>
    <w:aliases w:val="ftref,referencia nota al pie,Ref,de nota al pie,16 Point,Superscript 6 Point,Footnote Reference Number,fr,Footnote Reference_LVL6,Footnote Reference_LVL61,Footnote Reference_LVL62,Footnote Reference_LVL63,Footnote Reference_LVL64,R"/>
    <w:basedOn w:val="DefaultParagraphFont"/>
    <w:link w:val="Char2"/>
    <w:uiPriority w:val="99"/>
    <w:qFormat/>
    <w:rsid w:val="00731BC4"/>
    <w:rPr>
      <w:vertAlign w:val="superscript"/>
    </w:rPr>
  </w:style>
  <w:style w:type="paragraph" w:styleId="FootnoteText">
    <w:name w:val="footnote text"/>
    <w:aliases w:val="FOOTNOTES,fn,single space,footnote text,ADB,WB-Fußnotentext,Footnote,Fußnote,ft,Fußnotentextf,footnote text Char Char Char,footnote text Char Char,footnote text Char Char Char Char Char, Char Char Char,texto de nota al pie Car1, Char,text"/>
    <w:basedOn w:val="Normal"/>
    <w:link w:val="FootnoteTextChar"/>
    <w:uiPriority w:val="99"/>
    <w:qFormat/>
    <w:rsid w:val="00731BC4"/>
    <w:rPr>
      <w:sz w:val="20"/>
      <w:szCs w:val="20"/>
    </w:rPr>
  </w:style>
  <w:style w:type="table" w:styleId="TableGrid">
    <w:name w:val="Table Grid"/>
    <w:basedOn w:val="TableNormal"/>
    <w:rsid w:val="00A12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41703"/>
    <w:rPr>
      <w:color w:val="0000FF"/>
      <w:u w:val="single"/>
    </w:rPr>
  </w:style>
  <w:style w:type="character" w:customStyle="1" w:styleId="FootnoteTextChar">
    <w:name w:val="Footnote Text Char"/>
    <w:aliases w:val="FOOTNOTES Char,fn Char,single space Char,footnote text Char,ADB Char,WB-Fußnotentext Char,Footnote Char,Fußnote Char,ft Char,Fußnotentextf Char,footnote text Char Char Char Char,footnote text Char Char Char1, Char Char Char Char"/>
    <w:basedOn w:val="DefaultParagraphFont"/>
    <w:link w:val="FootnoteText"/>
    <w:uiPriority w:val="99"/>
    <w:rsid w:val="00F41703"/>
    <w:rPr>
      <w:lang w:val="en-US" w:eastAsia="en-US" w:bidi="ar-SA"/>
    </w:rPr>
  </w:style>
  <w:style w:type="character" w:styleId="FollowedHyperlink">
    <w:name w:val="FollowedHyperlink"/>
    <w:basedOn w:val="DefaultParagraphFont"/>
    <w:rsid w:val="001527BE"/>
    <w:rPr>
      <w:color w:val="800080"/>
      <w:u w:val="single"/>
    </w:rPr>
  </w:style>
  <w:style w:type="paragraph" w:styleId="ListParagraph">
    <w:name w:val="List Paragraph"/>
    <w:aliases w:val="List Paragraph (numbered (a)),List_Paragraph,Multilevel para_II,List Paragraph1,Numbered List Paragraph,Main numbered paragraph,Numbered Paragraph,Bullets,References,123 List Paragraph,List Paragraph nowy,Liste 1,Bullet paras,lp1,Bullet1"/>
    <w:basedOn w:val="Normal"/>
    <w:link w:val="ListParagraphChar"/>
    <w:uiPriority w:val="34"/>
    <w:qFormat/>
    <w:rsid w:val="00FF23CF"/>
    <w:pPr>
      <w:ind w:left="720"/>
      <w:contextualSpacing/>
    </w:pPr>
  </w:style>
  <w:style w:type="paragraph" w:customStyle="1" w:styleId="CM3">
    <w:name w:val="CM3"/>
    <w:basedOn w:val="Normal"/>
    <w:next w:val="Normal"/>
    <w:uiPriority w:val="99"/>
    <w:rsid w:val="00671A99"/>
    <w:pPr>
      <w:widowControl w:val="0"/>
      <w:autoSpaceDE w:val="0"/>
      <w:autoSpaceDN w:val="0"/>
      <w:adjustRightInd w:val="0"/>
    </w:pPr>
    <w:rPr>
      <w:rFonts w:eastAsiaTheme="minorEastAsia"/>
    </w:rPr>
  </w:style>
  <w:style w:type="paragraph" w:customStyle="1" w:styleId="CM1">
    <w:name w:val="CM1"/>
    <w:basedOn w:val="Normal"/>
    <w:next w:val="Normal"/>
    <w:uiPriority w:val="99"/>
    <w:rsid w:val="00671A99"/>
    <w:pPr>
      <w:widowControl w:val="0"/>
      <w:autoSpaceDE w:val="0"/>
      <w:autoSpaceDN w:val="0"/>
      <w:adjustRightInd w:val="0"/>
      <w:spacing w:line="253" w:lineRule="atLeast"/>
    </w:pPr>
    <w:rPr>
      <w:rFonts w:eastAsiaTheme="minorEastAsia"/>
    </w:rPr>
  </w:style>
  <w:style w:type="paragraph" w:customStyle="1" w:styleId="CM4">
    <w:name w:val="CM4"/>
    <w:basedOn w:val="Normal"/>
    <w:next w:val="Normal"/>
    <w:uiPriority w:val="99"/>
    <w:rsid w:val="00AA5A30"/>
    <w:pPr>
      <w:widowControl w:val="0"/>
      <w:autoSpaceDE w:val="0"/>
      <w:autoSpaceDN w:val="0"/>
      <w:adjustRightInd w:val="0"/>
    </w:pPr>
    <w:rPr>
      <w:rFonts w:eastAsiaTheme="minorEastAsia"/>
    </w:rPr>
  </w:style>
  <w:style w:type="character" w:customStyle="1" w:styleId="ListParagraphChar">
    <w:name w:val="List Paragraph Char"/>
    <w:aliases w:val="List Paragraph (numbered (a)) Char,List_Paragraph Char,Multilevel para_II Char,List Paragraph1 Char,Numbered List Paragraph Char,Main numbered paragraph Char,Numbered Paragraph Char,Bullets Char,References Char,Liste 1 Char,lp1 Char"/>
    <w:link w:val="ListParagraph"/>
    <w:uiPriority w:val="34"/>
    <w:locked/>
    <w:rsid w:val="00C357C3"/>
    <w:rPr>
      <w:sz w:val="24"/>
      <w:szCs w:val="24"/>
    </w:rPr>
  </w:style>
  <w:style w:type="paragraph" w:customStyle="1" w:styleId="Char2">
    <w:name w:val="Char2"/>
    <w:basedOn w:val="Normal"/>
    <w:link w:val="FootnoteReference"/>
    <w:uiPriority w:val="99"/>
    <w:rsid w:val="00C357C3"/>
    <w:pPr>
      <w:spacing w:after="160" w:line="240" w:lineRule="exact"/>
      <w:jc w:val="both"/>
    </w:pPr>
    <w:rPr>
      <w:sz w:val="20"/>
      <w:szCs w:val="20"/>
      <w:vertAlign w:val="superscript"/>
    </w:rPr>
  </w:style>
  <w:style w:type="character" w:styleId="Mention">
    <w:name w:val="Mention"/>
    <w:basedOn w:val="DefaultParagraphFont"/>
    <w:uiPriority w:val="99"/>
    <w:semiHidden/>
    <w:unhideWhenUsed/>
    <w:rsid w:val="00522761"/>
    <w:rPr>
      <w:color w:val="2B579A"/>
      <w:shd w:val="clear" w:color="auto" w:fill="E6E6E6"/>
    </w:rPr>
  </w:style>
  <w:style w:type="paragraph" w:styleId="Header">
    <w:name w:val="header"/>
    <w:basedOn w:val="Normal"/>
    <w:link w:val="HeaderChar"/>
    <w:unhideWhenUsed/>
    <w:rsid w:val="00522761"/>
    <w:pPr>
      <w:tabs>
        <w:tab w:val="center" w:pos="4680"/>
        <w:tab w:val="right" w:pos="9360"/>
      </w:tabs>
    </w:pPr>
  </w:style>
  <w:style w:type="character" w:customStyle="1" w:styleId="HeaderChar">
    <w:name w:val="Header Char"/>
    <w:basedOn w:val="DefaultParagraphFont"/>
    <w:link w:val="Header"/>
    <w:rsid w:val="00522761"/>
    <w:rPr>
      <w:sz w:val="24"/>
      <w:szCs w:val="24"/>
    </w:rPr>
  </w:style>
  <w:style w:type="paragraph" w:styleId="Footer">
    <w:name w:val="footer"/>
    <w:basedOn w:val="Normal"/>
    <w:link w:val="FooterChar"/>
    <w:uiPriority w:val="99"/>
    <w:unhideWhenUsed/>
    <w:rsid w:val="00522761"/>
    <w:pPr>
      <w:tabs>
        <w:tab w:val="center" w:pos="4680"/>
        <w:tab w:val="right" w:pos="9360"/>
      </w:tabs>
    </w:pPr>
  </w:style>
  <w:style w:type="character" w:customStyle="1" w:styleId="FooterChar">
    <w:name w:val="Footer Char"/>
    <w:basedOn w:val="DefaultParagraphFont"/>
    <w:link w:val="Footer"/>
    <w:uiPriority w:val="99"/>
    <w:rsid w:val="00522761"/>
    <w:rPr>
      <w:sz w:val="24"/>
      <w:szCs w:val="24"/>
    </w:rPr>
  </w:style>
  <w:style w:type="paragraph" w:styleId="CommentSubject">
    <w:name w:val="annotation subject"/>
    <w:basedOn w:val="CommentText"/>
    <w:next w:val="CommentText"/>
    <w:link w:val="CommentSubjectChar"/>
    <w:semiHidden/>
    <w:unhideWhenUsed/>
    <w:rsid w:val="00AE20F3"/>
    <w:rPr>
      <w:b/>
      <w:bCs/>
    </w:rPr>
  </w:style>
  <w:style w:type="character" w:customStyle="1" w:styleId="CommentTextChar">
    <w:name w:val="Comment Text Char"/>
    <w:basedOn w:val="DefaultParagraphFont"/>
    <w:link w:val="CommentText"/>
    <w:semiHidden/>
    <w:rsid w:val="00AE20F3"/>
  </w:style>
  <w:style w:type="character" w:customStyle="1" w:styleId="CommentSubjectChar">
    <w:name w:val="Comment Subject Char"/>
    <w:basedOn w:val="CommentTextChar"/>
    <w:link w:val="CommentSubject"/>
    <w:semiHidden/>
    <w:rsid w:val="00AE20F3"/>
    <w:rPr>
      <w:b/>
      <w:bCs/>
    </w:rPr>
  </w:style>
  <w:style w:type="character" w:customStyle="1" w:styleId="st1">
    <w:name w:val="st1"/>
    <w:basedOn w:val="DefaultParagraphFont"/>
    <w:rsid w:val="004D1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83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dawara@worldbank.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worldbank.org/projects" TargetMode="External"/><Relationship Id="rId4" Type="http://schemas.openxmlformats.org/officeDocument/2006/relationships/settings" Target="settings.xml"/><Relationship Id="rId9" Type="http://schemas.openxmlformats.org/officeDocument/2006/relationships/hyperlink" Target="mailto:mofirdg@palnet.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AE119-21F1-4BFE-BBA9-CC5E0CB07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2927</Words>
  <Characters>16852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19740</CharactersWithSpaces>
  <SharedDoc>false</SharedDoc>
  <HLinks>
    <vt:vector size="108" baseType="variant">
      <vt:variant>
        <vt:i4>3145827</vt:i4>
      </vt:variant>
      <vt:variant>
        <vt:i4>51</vt:i4>
      </vt:variant>
      <vt:variant>
        <vt:i4>0</vt:i4>
      </vt:variant>
      <vt:variant>
        <vt:i4>5</vt:i4>
      </vt:variant>
      <vt:variant>
        <vt:lpwstr>http://intresources.worldbank.org/INTSAFEPOL/Resources/Project0Inform1cument1Concept0Stage.doc</vt:lpwstr>
      </vt:variant>
      <vt:variant>
        <vt:lpwstr/>
      </vt:variant>
      <vt:variant>
        <vt:i4>3145827</vt:i4>
      </vt:variant>
      <vt:variant>
        <vt:i4>48</vt:i4>
      </vt:variant>
      <vt:variant>
        <vt:i4>0</vt:i4>
      </vt:variant>
      <vt:variant>
        <vt:i4>5</vt:i4>
      </vt:variant>
      <vt:variant>
        <vt:lpwstr>http://intresources.worldbank.org/INTSAFEPOL/Resources/Project0Inform1cument1Concept0Stage.doc</vt:lpwstr>
      </vt:variant>
      <vt:variant>
        <vt:lpwstr/>
      </vt:variant>
      <vt:variant>
        <vt:i4>4259851</vt:i4>
      </vt:variant>
      <vt:variant>
        <vt:i4>45</vt:i4>
      </vt:variant>
      <vt:variant>
        <vt:i4>0</vt:i4>
      </vt:variant>
      <vt:variant>
        <vt:i4>5</vt:i4>
      </vt:variant>
      <vt:variant>
        <vt:lpwstr>http://wbln0011.worldbank.org/Institutional/Manuals/OpManual.nsf/BProw/47D35C1186367F338525672C007D07AE?OpenDocument</vt:lpwstr>
      </vt:variant>
      <vt:variant>
        <vt:lpwstr/>
      </vt:variant>
      <vt:variant>
        <vt:i4>524300</vt:i4>
      </vt:variant>
      <vt:variant>
        <vt:i4>42</vt:i4>
      </vt:variant>
      <vt:variant>
        <vt:i4>0</vt:i4>
      </vt:variant>
      <vt:variant>
        <vt:i4>5</vt:i4>
      </vt:variant>
      <vt:variant>
        <vt:lpwstr>http://wbln0011.worldbank.org/Institutional/Manuals/OpManual.nsf/OPolw/5F511C57E7F3A3DD8525672C007D07A2?OpenDocument</vt:lpwstr>
      </vt:variant>
      <vt:variant>
        <vt:lpwstr/>
      </vt:variant>
      <vt:variant>
        <vt:i4>1310812</vt:i4>
      </vt:variant>
      <vt:variant>
        <vt:i4>39</vt:i4>
      </vt:variant>
      <vt:variant>
        <vt:i4>0</vt:i4>
      </vt:variant>
      <vt:variant>
        <vt:i4>5</vt:i4>
      </vt:variant>
      <vt:variant>
        <vt:lpwstr>http://wbln0011.worldbank.org/Institutional/Manuals/OpManual.nsf/BProw/5DB8B30312AD33108525672C007D0788?OpenDocument</vt:lpwstr>
      </vt:variant>
      <vt:variant>
        <vt:lpwstr/>
      </vt:variant>
      <vt:variant>
        <vt:i4>6160465</vt:i4>
      </vt:variant>
      <vt:variant>
        <vt:i4>36</vt:i4>
      </vt:variant>
      <vt:variant>
        <vt:i4>0</vt:i4>
      </vt:variant>
      <vt:variant>
        <vt:i4>5</vt:i4>
      </vt:variant>
      <vt:variant>
        <vt:lpwstr>http://wbln0011.worldbank.org/Institutional/Manuals/OpManual.nsf/OPolw/72CC6840FC533D508525672C007D076B?OpenDocument</vt:lpwstr>
      </vt:variant>
      <vt:variant>
        <vt:lpwstr/>
      </vt:variant>
      <vt:variant>
        <vt:i4>4718598</vt:i4>
      </vt:variant>
      <vt:variant>
        <vt:i4>33</vt:i4>
      </vt:variant>
      <vt:variant>
        <vt:i4>0</vt:i4>
      </vt:variant>
      <vt:variant>
        <vt:i4>5</vt:i4>
      </vt:variant>
      <vt:variant>
        <vt:lpwstr>http://wbln0011.worldbank.org/Institutional/Manuals/OpManual.nsf/BProw/D3448207C94C92628525672C007D0733?OpenDocument</vt:lpwstr>
      </vt:variant>
      <vt:variant>
        <vt:lpwstr/>
      </vt:variant>
      <vt:variant>
        <vt:i4>917588</vt:i4>
      </vt:variant>
      <vt:variant>
        <vt:i4>30</vt:i4>
      </vt:variant>
      <vt:variant>
        <vt:i4>0</vt:i4>
      </vt:variant>
      <vt:variant>
        <vt:i4>5</vt:i4>
      </vt:variant>
      <vt:variant>
        <vt:lpwstr>http://wbln0011.worldbank.org/Institutional/Manuals/OpManual.nsf/OPolw/C12766B6C9D109548525672C007D07B9?OpenDocument</vt:lpwstr>
      </vt:variant>
      <vt:variant>
        <vt:lpwstr/>
      </vt:variant>
      <vt:variant>
        <vt:i4>1507330</vt:i4>
      </vt:variant>
      <vt:variant>
        <vt:i4>27</vt:i4>
      </vt:variant>
      <vt:variant>
        <vt:i4>0</vt:i4>
      </vt:variant>
      <vt:variant>
        <vt:i4>5</vt:i4>
      </vt:variant>
      <vt:variant>
        <vt:lpwstr>http://wbln0011.worldbank.org/Institutional/Manuals/OpManual.nsf/GPraw/97FA41A3D754DE318525672C007D07EB?OpenDocument</vt:lpwstr>
      </vt:variant>
      <vt:variant>
        <vt:lpwstr/>
      </vt:variant>
      <vt:variant>
        <vt:i4>458833</vt:i4>
      </vt:variant>
      <vt:variant>
        <vt:i4>24</vt:i4>
      </vt:variant>
      <vt:variant>
        <vt:i4>0</vt:i4>
      </vt:variant>
      <vt:variant>
        <vt:i4>5</vt:i4>
      </vt:variant>
      <vt:variant>
        <vt:lpwstr>http://wbln0011.worldbank.org/Institutional/Manuals/OpManual.nsf/OPolw/C972D5438F4D1FB78525672C007D077A?OpenDocument</vt:lpwstr>
      </vt:variant>
      <vt:variant>
        <vt:lpwstr/>
      </vt:variant>
      <vt:variant>
        <vt:i4>2031707</vt:i4>
      </vt:variant>
      <vt:variant>
        <vt:i4>21</vt:i4>
      </vt:variant>
      <vt:variant>
        <vt:i4>0</vt:i4>
      </vt:variant>
      <vt:variant>
        <vt:i4>5</vt:i4>
      </vt:variant>
      <vt:variant>
        <vt:lpwstr>http://wbln0011.worldbank.org/Institutional/Manuals/OpManual.nsf/bytype/383197ED73D421A385256B180072D46D?OpenDocument</vt:lpwstr>
      </vt:variant>
      <vt:variant>
        <vt:lpwstr/>
      </vt:variant>
      <vt:variant>
        <vt:i4>4653139</vt:i4>
      </vt:variant>
      <vt:variant>
        <vt:i4>18</vt:i4>
      </vt:variant>
      <vt:variant>
        <vt:i4>0</vt:i4>
      </vt:variant>
      <vt:variant>
        <vt:i4>5</vt:i4>
      </vt:variant>
      <vt:variant>
        <vt:lpwstr>http://wbln0011.worldbank.org/Institutional/Manuals/OpManual.nsf/bytype/AA37778A8BCF64A585256B1800645AC5?OpenDocument</vt:lpwstr>
      </vt:variant>
      <vt:variant>
        <vt:lpwstr/>
      </vt:variant>
      <vt:variant>
        <vt:i4>852049</vt:i4>
      </vt:variant>
      <vt:variant>
        <vt:i4>15</vt:i4>
      </vt:variant>
      <vt:variant>
        <vt:i4>0</vt:i4>
      </vt:variant>
      <vt:variant>
        <vt:i4>5</vt:i4>
      </vt:variant>
      <vt:variant>
        <vt:lpwstr>http://wbln0011.worldbank.org/Institutional/Manuals/OpManual.nsf/OPolw/665DA6CA847982168525672C007D07A3?OpenDocument</vt:lpwstr>
      </vt:variant>
      <vt:variant>
        <vt:lpwstr/>
      </vt:variant>
      <vt:variant>
        <vt:i4>5177358</vt:i4>
      </vt:variant>
      <vt:variant>
        <vt:i4>12</vt:i4>
      </vt:variant>
      <vt:variant>
        <vt:i4>0</vt:i4>
      </vt:variant>
      <vt:variant>
        <vt:i4>5</vt:i4>
      </vt:variant>
      <vt:variant>
        <vt:lpwstr>http://wbln0011.worldbank.org/Institutional/Manuals/OpManual.nsf/BProw/62B0042EF3FBA64D8525672C007D0773?OpenDocument</vt:lpwstr>
      </vt:variant>
      <vt:variant>
        <vt:lpwstr/>
      </vt:variant>
      <vt:variant>
        <vt:i4>5898323</vt:i4>
      </vt:variant>
      <vt:variant>
        <vt:i4>9</vt:i4>
      </vt:variant>
      <vt:variant>
        <vt:i4>0</vt:i4>
      </vt:variant>
      <vt:variant>
        <vt:i4>5</vt:i4>
      </vt:variant>
      <vt:variant>
        <vt:lpwstr>http://wbln0011.worldbank.org/Institutional/Manuals/OpManual.nsf/OPolw/71432937FA0B753F8525672C007D07AA?OpenDocument</vt:lpwstr>
      </vt:variant>
      <vt:variant>
        <vt:lpwstr/>
      </vt:variant>
      <vt:variant>
        <vt:i4>4194313</vt:i4>
      </vt:variant>
      <vt:variant>
        <vt:i4>6</vt:i4>
      </vt:variant>
      <vt:variant>
        <vt:i4>0</vt:i4>
      </vt:variant>
      <vt:variant>
        <vt:i4>5</vt:i4>
      </vt:variant>
      <vt:variant>
        <vt:lpwstr>http://wbln0011.worldbank.org/Institutional/Manuals/OpManual.nsf/BProw/C4241D657823FD818525672C007D096E?OpenDocument</vt:lpwstr>
      </vt:variant>
      <vt:variant>
        <vt:lpwstr/>
      </vt:variant>
      <vt:variant>
        <vt:i4>5374035</vt:i4>
      </vt:variant>
      <vt:variant>
        <vt:i4>3</vt:i4>
      </vt:variant>
      <vt:variant>
        <vt:i4>0</vt:i4>
      </vt:variant>
      <vt:variant>
        <vt:i4>5</vt:i4>
      </vt:variant>
      <vt:variant>
        <vt:lpwstr>http://wbln0011.worldbank.org/Institutional/Manuals/OpManual.nsf/OPolw/9367A2A9D9DAEED38525672C007D0972?OpenDocument</vt:lpwstr>
      </vt:variant>
      <vt:variant>
        <vt:lpwstr/>
      </vt:variant>
      <vt:variant>
        <vt:i4>5111876</vt:i4>
      </vt:variant>
      <vt:variant>
        <vt:i4>0</vt:i4>
      </vt:variant>
      <vt:variant>
        <vt:i4>0</vt:i4>
      </vt:variant>
      <vt:variant>
        <vt:i4>5</vt:i4>
      </vt:variant>
      <vt:variant>
        <vt:lpwstr>http://www.worldbank.org/environmentalassessment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2017-10-10T15:02:00Z</dcterms:created>
  <dcterms:modified xsi:type="dcterms:W3CDTF">2017-10-10T15:05:00Z</dcterms:modified>
</cp:coreProperties>
</file>