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0148C" w14:textId="0BA54384" w:rsidR="001B6B76" w:rsidRDefault="001B6B76" w:rsidP="001B6B76">
      <w:pPr>
        <w:pStyle w:val="BodyText"/>
      </w:pPr>
    </w:p>
    <w:p w14:paraId="6AE10DE8" w14:textId="77777777" w:rsidR="001B6B76" w:rsidRDefault="001B6B76" w:rsidP="001B6B76"/>
    <w:p w14:paraId="56DF6F52" w14:textId="77777777" w:rsidR="001B6B76" w:rsidRDefault="001B6B76" w:rsidP="001B6B76"/>
    <w:p w14:paraId="54BE8829" w14:textId="77777777" w:rsidR="001B6B76" w:rsidRDefault="001B6B76" w:rsidP="001B6B76"/>
    <w:p w14:paraId="2C7A71E6" w14:textId="77777777" w:rsidR="001B6B76" w:rsidRDefault="001B6B76" w:rsidP="001B6B76"/>
    <w:p w14:paraId="2107A432" w14:textId="77777777" w:rsidR="001B6B76" w:rsidRDefault="001B6B76" w:rsidP="001B6B76"/>
    <w:p w14:paraId="3D32CB7C" w14:textId="77777777" w:rsidR="001B6B76" w:rsidRDefault="001B6B76" w:rsidP="001B6B76"/>
    <w:p w14:paraId="60B52C29" w14:textId="77777777" w:rsidR="001B6B76" w:rsidRDefault="001B6B76" w:rsidP="001B6B76"/>
    <w:p w14:paraId="216C121D" w14:textId="77777777" w:rsidR="001B6B76" w:rsidRDefault="001B6B76" w:rsidP="001B6B76"/>
    <w:p w14:paraId="49FFA79E" w14:textId="77777777" w:rsidR="001B6B76" w:rsidRDefault="001B6B76" w:rsidP="001B6B76"/>
    <w:p w14:paraId="6FCE445E" w14:textId="77777777" w:rsidR="001B6B76" w:rsidRDefault="001B6B76" w:rsidP="001B6B76"/>
    <w:p w14:paraId="5721C089" w14:textId="77777777" w:rsidR="001B6B76" w:rsidRDefault="001B6B76" w:rsidP="001B6B76"/>
    <w:p w14:paraId="28A4894E" w14:textId="22311092" w:rsidR="00A30AB8" w:rsidRDefault="007673DE" w:rsidP="007673DE">
      <w:pPr>
        <w:tabs>
          <w:tab w:val="left" w:pos="4881"/>
        </w:tabs>
      </w:pPr>
      <w:r>
        <w:tab/>
      </w:r>
    </w:p>
    <w:p w14:paraId="4B344728" w14:textId="1DB12597" w:rsidR="00A30AB8" w:rsidRDefault="00A30AB8" w:rsidP="00A30AB8">
      <w:pPr>
        <w:pStyle w:val="Title"/>
      </w:pPr>
      <w:r>
        <w:t xml:space="preserve">Evaluation of Rural Electrification Concessions in </w:t>
      </w:r>
      <w:r w:rsidR="00DB5EC6">
        <w:t xml:space="preserve">                                                                 </w:t>
      </w:r>
      <w:r>
        <w:t xml:space="preserve">sub-Saharan Africa </w:t>
      </w:r>
    </w:p>
    <w:p w14:paraId="44E4214F" w14:textId="77777777" w:rsidR="001B6B76" w:rsidRDefault="001B6B76" w:rsidP="001B6B76"/>
    <w:p w14:paraId="7EDEAFDC" w14:textId="77777777" w:rsidR="001B6B76" w:rsidRDefault="001B6B76" w:rsidP="001B6B76"/>
    <w:p w14:paraId="400D74CC" w14:textId="77777777" w:rsidR="001B6B76" w:rsidRDefault="00C14356" w:rsidP="001B6B76">
      <w:pPr>
        <w:pStyle w:val="Title"/>
      </w:pPr>
      <w:r>
        <w:t>Detailed Case Study:</w:t>
      </w:r>
    </w:p>
    <w:p w14:paraId="2F190574" w14:textId="1FE51A1D" w:rsidR="00C14356" w:rsidRDefault="007F418D" w:rsidP="001B6B76">
      <w:pPr>
        <w:pStyle w:val="Title"/>
      </w:pPr>
      <w:r>
        <w:t>Cameroon</w:t>
      </w:r>
    </w:p>
    <w:p w14:paraId="0B6836E2" w14:textId="77777777" w:rsidR="001B6B76" w:rsidRDefault="001B6B76" w:rsidP="001B6B76"/>
    <w:p w14:paraId="380E3340" w14:textId="77777777" w:rsidR="001B6B76" w:rsidRDefault="001B6B76" w:rsidP="001B6B76"/>
    <w:p w14:paraId="13D0EC1B" w14:textId="77777777" w:rsidR="001B6B76" w:rsidRDefault="001B6B76" w:rsidP="001B6B76"/>
    <w:p w14:paraId="50FE70B8" w14:textId="77777777" w:rsidR="001B6B76" w:rsidRDefault="001B6B76" w:rsidP="001B6B76"/>
    <w:p w14:paraId="4C37236D" w14:textId="77777777" w:rsidR="001B6B76" w:rsidRPr="001B6B76" w:rsidRDefault="001B6B76" w:rsidP="001B6B76">
      <w:pPr>
        <w:pStyle w:val="Title"/>
        <w:rPr>
          <w:sz w:val="36"/>
          <w:szCs w:val="36"/>
        </w:rPr>
      </w:pPr>
      <w:r w:rsidRPr="001B6B76">
        <w:rPr>
          <w:sz w:val="36"/>
          <w:szCs w:val="36"/>
        </w:rPr>
        <w:t xml:space="preserve">Report to </w:t>
      </w:r>
      <w:r w:rsidR="00C14356">
        <w:rPr>
          <w:sz w:val="36"/>
          <w:szCs w:val="36"/>
        </w:rPr>
        <w:t>World Bank</w:t>
      </w:r>
    </w:p>
    <w:p w14:paraId="7A56EB9A" w14:textId="77777777" w:rsidR="001B6B76" w:rsidRPr="001B6B76" w:rsidRDefault="001B6B76" w:rsidP="001B6B76">
      <w:pPr>
        <w:pStyle w:val="Title"/>
        <w:rPr>
          <w:sz w:val="36"/>
          <w:szCs w:val="36"/>
        </w:rPr>
      </w:pPr>
    </w:p>
    <w:p w14:paraId="73997F6F" w14:textId="17CCF350" w:rsidR="004D3633" w:rsidRDefault="0041266C" w:rsidP="00C14356">
      <w:pPr>
        <w:pStyle w:val="Title"/>
      </w:pPr>
      <w:r>
        <w:rPr>
          <w:sz w:val="36"/>
          <w:szCs w:val="36"/>
        </w:rPr>
        <w:t>December</w:t>
      </w:r>
      <w:r w:rsidR="001B6B76">
        <w:rPr>
          <w:sz w:val="36"/>
          <w:szCs w:val="36"/>
        </w:rPr>
        <w:br/>
      </w:r>
      <w:r w:rsidR="00C14356">
        <w:rPr>
          <w:sz w:val="36"/>
          <w:szCs w:val="36"/>
        </w:rPr>
        <w:t>2015</w:t>
      </w:r>
    </w:p>
    <w:p w14:paraId="62BAB557" w14:textId="77777777" w:rsidR="00752719" w:rsidRDefault="00752719" w:rsidP="005B689B">
      <w:pPr>
        <w:sectPr w:rsidR="00752719" w:rsidSect="001B3981">
          <w:footerReference w:type="even" r:id="rId11"/>
          <w:footerReference w:type="first" r:id="rId12"/>
          <w:pgSz w:w="12242" w:h="15842" w:code="1"/>
          <w:pgMar w:top="1440" w:right="1797" w:bottom="1440" w:left="1797" w:header="709" w:footer="709" w:gutter="0"/>
          <w:cols w:space="708"/>
          <w:titlePg/>
          <w:docGrid w:linePitch="360"/>
        </w:sectPr>
      </w:pPr>
    </w:p>
    <w:p w14:paraId="2FCBB9BA" w14:textId="77777777" w:rsidR="00186192" w:rsidRDefault="00186192" w:rsidP="00186192">
      <w:pPr>
        <w:pStyle w:val="BoldHeading"/>
      </w:pPr>
      <w:r>
        <w:lastRenderedPageBreak/>
        <w:t>Table of Contents</w:t>
      </w:r>
    </w:p>
    <w:p w14:paraId="35A0D65C" w14:textId="77777777" w:rsidR="008F0B3C" w:rsidRDefault="008F0B3C" w:rsidP="008F0B3C">
      <w:pPr>
        <w:pStyle w:val="TableText"/>
        <w:spacing w:before="0" w:after="0"/>
        <w:jc w:val="both"/>
      </w:pPr>
    </w:p>
    <w:p w14:paraId="253FE406" w14:textId="2F23075C" w:rsidR="0079328A" w:rsidRDefault="005B45D7">
      <w:pPr>
        <w:pStyle w:val="TOC1"/>
        <w:rPr>
          <w:rFonts w:asciiTheme="minorHAnsi" w:eastAsiaTheme="minorEastAsia" w:hAnsiTheme="minorHAnsi" w:cstheme="minorBidi"/>
          <w:b w:val="0"/>
          <w:noProof/>
          <w:sz w:val="22"/>
          <w:szCs w:val="22"/>
          <w:lang w:eastAsia="en-US"/>
        </w:rPr>
      </w:pPr>
      <w:r>
        <w:fldChar w:fldCharType="begin"/>
      </w:r>
      <w:r w:rsidR="00BC22A3">
        <w:instrText xml:space="preserve"> TOC \o "1-3" \f \h \z </w:instrText>
      </w:r>
      <w:r>
        <w:fldChar w:fldCharType="separate"/>
      </w:r>
      <w:hyperlink w:anchor="_Toc437034114" w:history="1">
        <w:r w:rsidR="0079328A" w:rsidRPr="001220B9">
          <w:rPr>
            <w:rStyle w:val="Hyperlink"/>
            <w:noProof/>
          </w:rPr>
          <w:t>Executive Summary</w:t>
        </w:r>
        <w:r w:rsidR="0079328A">
          <w:rPr>
            <w:noProof/>
            <w:webHidden/>
          </w:rPr>
          <w:tab/>
        </w:r>
        <w:r w:rsidR="0079328A">
          <w:rPr>
            <w:noProof/>
            <w:webHidden/>
          </w:rPr>
          <w:fldChar w:fldCharType="begin"/>
        </w:r>
        <w:r w:rsidR="0079328A">
          <w:rPr>
            <w:noProof/>
            <w:webHidden/>
          </w:rPr>
          <w:instrText xml:space="preserve"> PAGEREF _Toc437034114 \h </w:instrText>
        </w:r>
        <w:r w:rsidR="0079328A">
          <w:rPr>
            <w:noProof/>
            <w:webHidden/>
          </w:rPr>
        </w:r>
        <w:r w:rsidR="0079328A">
          <w:rPr>
            <w:noProof/>
            <w:webHidden/>
          </w:rPr>
          <w:fldChar w:fldCharType="separate"/>
        </w:r>
        <w:r w:rsidR="0079328A">
          <w:rPr>
            <w:noProof/>
            <w:webHidden/>
          </w:rPr>
          <w:t>i</w:t>
        </w:r>
        <w:r w:rsidR="0079328A">
          <w:rPr>
            <w:noProof/>
            <w:webHidden/>
          </w:rPr>
          <w:fldChar w:fldCharType="end"/>
        </w:r>
      </w:hyperlink>
    </w:p>
    <w:p w14:paraId="1F1B8A0E" w14:textId="775024CC" w:rsidR="0079328A" w:rsidRDefault="00C3093C">
      <w:pPr>
        <w:pStyle w:val="TOC1"/>
        <w:rPr>
          <w:rFonts w:asciiTheme="minorHAnsi" w:eastAsiaTheme="minorEastAsia" w:hAnsiTheme="minorHAnsi" w:cstheme="minorBidi"/>
          <w:b w:val="0"/>
          <w:noProof/>
          <w:sz w:val="22"/>
          <w:szCs w:val="22"/>
          <w:lang w:eastAsia="en-US"/>
        </w:rPr>
      </w:pPr>
      <w:hyperlink w:anchor="_Toc437034115" w:history="1">
        <w:r w:rsidR="0079328A" w:rsidRPr="001220B9">
          <w:rPr>
            <w:rStyle w:val="Hyperlink"/>
            <w:noProof/>
          </w:rPr>
          <w:t>1</w:t>
        </w:r>
        <w:r w:rsidR="0079328A">
          <w:rPr>
            <w:rFonts w:asciiTheme="minorHAnsi" w:eastAsiaTheme="minorEastAsia" w:hAnsiTheme="minorHAnsi" w:cstheme="minorBidi"/>
            <w:b w:val="0"/>
            <w:noProof/>
            <w:sz w:val="22"/>
            <w:szCs w:val="22"/>
            <w:lang w:eastAsia="en-US"/>
          </w:rPr>
          <w:tab/>
        </w:r>
        <w:r w:rsidR="0079328A" w:rsidRPr="001220B9">
          <w:rPr>
            <w:rStyle w:val="Hyperlink"/>
            <w:noProof/>
          </w:rPr>
          <w:t>Introduction</w:t>
        </w:r>
        <w:r w:rsidR="0079328A">
          <w:rPr>
            <w:noProof/>
            <w:webHidden/>
          </w:rPr>
          <w:tab/>
        </w:r>
        <w:r w:rsidR="0079328A">
          <w:rPr>
            <w:noProof/>
            <w:webHidden/>
          </w:rPr>
          <w:fldChar w:fldCharType="begin"/>
        </w:r>
        <w:r w:rsidR="0079328A">
          <w:rPr>
            <w:noProof/>
            <w:webHidden/>
          </w:rPr>
          <w:instrText xml:space="preserve"> PAGEREF _Toc437034115 \h </w:instrText>
        </w:r>
        <w:r w:rsidR="0079328A">
          <w:rPr>
            <w:noProof/>
            <w:webHidden/>
          </w:rPr>
        </w:r>
        <w:r w:rsidR="0079328A">
          <w:rPr>
            <w:noProof/>
            <w:webHidden/>
          </w:rPr>
          <w:fldChar w:fldCharType="separate"/>
        </w:r>
        <w:r w:rsidR="0079328A">
          <w:rPr>
            <w:noProof/>
            <w:webHidden/>
          </w:rPr>
          <w:t>1</w:t>
        </w:r>
        <w:r w:rsidR="0079328A">
          <w:rPr>
            <w:noProof/>
            <w:webHidden/>
          </w:rPr>
          <w:fldChar w:fldCharType="end"/>
        </w:r>
      </w:hyperlink>
    </w:p>
    <w:p w14:paraId="7E8C06AF" w14:textId="768A7453" w:rsidR="0079328A" w:rsidRDefault="00C3093C">
      <w:pPr>
        <w:pStyle w:val="TOC1"/>
        <w:rPr>
          <w:rFonts w:asciiTheme="minorHAnsi" w:eastAsiaTheme="minorEastAsia" w:hAnsiTheme="minorHAnsi" w:cstheme="minorBidi"/>
          <w:b w:val="0"/>
          <w:noProof/>
          <w:sz w:val="22"/>
          <w:szCs w:val="22"/>
          <w:lang w:eastAsia="en-US"/>
        </w:rPr>
      </w:pPr>
      <w:hyperlink w:anchor="_Toc437034116" w:history="1">
        <w:r w:rsidR="0079328A" w:rsidRPr="001220B9">
          <w:rPr>
            <w:rStyle w:val="Hyperlink"/>
            <w:noProof/>
          </w:rPr>
          <w:t>2</w:t>
        </w:r>
        <w:r w:rsidR="0079328A">
          <w:rPr>
            <w:rFonts w:asciiTheme="minorHAnsi" w:eastAsiaTheme="minorEastAsia" w:hAnsiTheme="minorHAnsi" w:cstheme="minorBidi"/>
            <w:b w:val="0"/>
            <w:noProof/>
            <w:sz w:val="22"/>
            <w:szCs w:val="22"/>
            <w:lang w:eastAsia="en-US"/>
          </w:rPr>
          <w:tab/>
        </w:r>
        <w:r w:rsidR="0079328A" w:rsidRPr="001220B9">
          <w:rPr>
            <w:rStyle w:val="Hyperlink"/>
            <w:noProof/>
          </w:rPr>
          <w:t>Cameroon Background</w:t>
        </w:r>
        <w:r w:rsidR="0079328A">
          <w:rPr>
            <w:noProof/>
            <w:webHidden/>
          </w:rPr>
          <w:tab/>
        </w:r>
        <w:r w:rsidR="0079328A">
          <w:rPr>
            <w:noProof/>
            <w:webHidden/>
          </w:rPr>
          <w:fldChar w:fldCharType="begin"/>
        </w:r>
        <w:r w:rsidR="0079328A">
          <w:rPr>
            <w:noProof/>
            <w:webHidden/>
          </w:rPr>
          <w:instrText xml:space="preserve"> PAGEREF _Toc437034116 \h </w:instrText>
        </w:r>
        <w:r w:rsidR="0079328A">
          <w:rPr>
            <w:noProof/>
            <w:webHidden/>
          </w:rPr>
        </w:r>
        <w:r w:rsidR="0079328A">
          <w:rPr>
            <w:noProof/>
            <w:webHidden/>
          </w:rPr>
          <w:fldChar w:fldCharType="separate"/>
        </w:r>
        <w:r w:rsidR="0079328A">
          <w:rPr>
            <w:noProof/>
            <w:webHidden/>
          </w:rPr>
          <w:t>2</w:t>
        </w:r>
        <w:r w:rsidR="0079328A">
          <w:rPr>
            <w:noProof/>
            <w:webHidden/>
          </w:rPr>
          <w:fldChar w:fldCharType="end"/>
        </w:r>
      </w:hyperlink>
    </w:p>
    <w:p w14:paraId="5CE97257" w14:textId="562F1878" w:rsidR="0079328A" w:rsidRDefault="00C3093C">
      <w:pPr>
        <w:pStyle w:val="TOC2"/>
        <w:tabs>
          <w:tab w:val="left" w:pos="1440"/>
        </w:tabs>
        <w:rPr>
          <w:rFonts w:asciiTheme="minorHAnsi" w:eastAsiaTheme="minorEastAsia" w:hAnsiTheme="minorHAnsi" w:cstheme="minorBidi"/>
          <w:noProof/>
          <w:sz w:val="22"/>
          <w:szCs w:val="22"/>
          <w:lang w:eastAsia="en-US"/>
        </w:rPr>
      </w:pPr>
      <w:hyperlink w:anchor="_Toc437034117" w:history="1">
        <w:r w:rsidR="0079328A" w:rsidRPr="001220B9">
          <w:rPr>
            <w:rStyle w:val="Hyperlink"/>
            <w:noProof/>
          </w:rPr>
          <w:t>2.1</w:t>
        </w:r>
        <w:r w:rsidR="0079328A">
          <w:rPr>
            <w:rFonts w:asciiTheme="minorHAnsi" w:eastAsiaTheme="minorEastAsia" w:hAnsiTheme="minorHAnsi" w:cstheme="minorBidi"/>
            <w:noProof/>
            <w:sz w:val="22"/>
            <w:szCs w:val="22"/>
            <w:lang w:eastAsia="en-US"/>
          </w:rPr>
          <w:tab/>
        </w:r>
        <w:r w:rsidR="0079328A" w:rsidRPr="001220B9">
          <w:rPr>
            <w:rStyle w:val="Hyperlink"/>
            <w:noProof/>
          </w:rPr>
          <w:t>Power Market Structure and Evolution</w:t>
        </w:r>
        <w:r w:rsidR="0079328A">
          <w:rPr>
            <w:noProof/>
            <w:webHidden/>
          </w:rPr>
          <w:tab/>
        </w:r>
        <w:r w:rsidR="0079328A">
          <w:rPr>
            <w:noProof/>
            <w:webHidden/>
          </w:rPr>
          <w:fldChar w:fldCharType="begin"/>
        </w:r>
        <w:r w:rsidR="0079328A">
          <w:rPr>
            <w:noProof/>
            <w:webHidden/>
          </w:rPr>
          <w:instrText xml:space="preserve"> PAGEREF _Toc437034117 \h </w:instrText>
        </w:r>
        <w:r w:rsidR="0079328A">
          <w:rPr>
            <w:noProof/>
            <w:webHidden/>
          </w:rPr>
        </w:r>
        <w:r w:rsidR="0079328A">
          <w:rPr>
            <w:noProof/>
            <w:webHidden/>
          </w:rPr>
          <w:fldChar w:fldCharType="separate"/>
        </w:r>
        <w:r w:rsidR="0079328A">
          <w:rPr>
            <w:noProof/>
            <w:webHidden/>
          </w:rPr>
          <w:t>3</w:t>
        </w:r>
        <w:r w:rsidR="0079328A">
          <w:rPr>
            <w:noProof/>
            <w:webHidden/>
          </w:rPr>
          <w:fldChar w:fldCharType="end"/>
        </w:r>
      </w:hyperlink>
    </w:p>
    <w:p w14:paraId="02D45CBC" w14:textId="2DFB0E1A" w:rsidR="0079328A" w:rsidRDefault="00C3093C">
      <w:pPr>
        <w:pStyle w:val="TOC2"/>
        <w:tabs>
          <w:tab w:val="left" w:pos="1440"/>
        </w:tabs>
        <w:rPr>
          <w:rFonts w:asciiTheme="minorHAnsi" w:eastAsiaTheme="minorEastAsia" w:hAnsiTheme="minorHAnsi" w:cstheme="minorBidi"/>
          <w:noProof/>
          <w:sz w:val="22"/>
          <w:szCs w:val="22"/>
          <w:lang w:eastAsia="en-US"/>
        </w:rPr>
      </w:pPr>
      <w:hyperlink w:anchor="_Toc437034118" w:history="1">
        <w:r w:rsidR="0079328A" w:rsidRPr="001220B9">
          <w:rPr>
            <w:rStyle w:val="Hyperlink"/>
            <w:noProof/>
          </w:rPr>
          <w:t>2.2</w:t>
        </w:r>
        <w:r w:rsidR="0079328A">
          <w:rPr>
            <w:rFonts w:asciiTheme="minorHAnsi" w:eastAsiaTheme="minorEastAsia" w:hAnsiTheme="minorHAnsi" w:cstheme="minorBidi"/>
            <w:noProof/>
            <w:sz w:val="22"/>
            <w:szCs w:val="22"/>
            <w:lang w:eastAsia="en-US"/>
          </w:rPr>
          <w:tab/>
        </w:r>
        <w:r w:rsidR="0079328A" w:rsidRPr="001220B9">
          <w:rPr>
            <w:rStyle w:val="Hyperlink"/>
            <w:noProof/>
          </w:rPr>
          <w:t>Rural Electrification Approach</w:t>
        </w:r>
        <w:r w:rsidR="0079328A">
          <w:rPr>
            <w:noProof/>
            <w:webHidden/>
          </w:rPr>
          <w:tab/>
        </w:r>
        <w:r w:rsidR="0079328A">
          <w:rPr>
            <w:noProof/>
            <w:webHidden/>
          </w:rPr>
          <w:fldChar w:fldCharType="begin"/>
        </w:r>
        <w:r w:rsidR="0079328A">
          <w:rPr>
            <w:noProof/>
            <w:webHidden/>
          </w:rPr>
          <w:instrText xml:space="preserve"> PAGEREF _Toc437034118 \h </w:instrText>
        </w:r>
        <w:r w:rsidR="0079328A">
          <w:rPr>
            <w:noProof/>
            <w:webHidden/>
          </w:rPr>
        </w:r>
        <w:r w:rsidR="0079328A">
          <w:rPr>
            <w:noProof/>
            <w:webHidden/>
          </w:rPr>
          <w:fldChar w:fldCharType="separate"/>
        </w:r>
        <w:r w:rsidR="0079328A">
          <w:rPr>
            <w:noProof/>
            <w:webHidden/>
          </w:rPr>
          <w:t>8</w:t>
        </w:r>
        <w:r w:rsidR="0079328A">
          <w:rPr>
            <w:noProof/>
            <w:webHidden/>
          </w:rPr>
          <w:fldChar w:fldCharType="end"/>
        </w:r>
      </w:hyperlink>
    </w:p>
    <w:p w14:paraId="27F645B5" w14:textId="6AFC98F4" w:rsidR="0079328A" w:rsidRDefault="00C3093C">
      <w:pPr>
        <w:pStyle w:val="TOC1"/>
        <w:rPr>
          <w:rFonts w:asciiTheme="minorHAnsi" w:eastAsiaTheme="minorEastAsia" w:hAnsiTheme="minorHAnsi" w:cstheme="minorBidi"/>
          <w:b w:val="0"/>
          <w:noProof/>
          <w:sz w:val="22"/>
          <w:szCs w:val="22"/>
          <w:lang w:eastAsia="en-US"/>
        </w:rPr>
      </w:pPr>
      <w:hyperlink w:anchor="_Toc437034119" w:history="1">
        <w:r w:rsidR="0079328A" w:rsidRPr="001220B9">
          <w:rPr>
            <w:rStyle w:val="Hyperlink"/>
            <w:noProof/>
          </w:rPr>
          <w:t>3</w:t>
        </w:r>
        <w:r w:rsidR="0079328A">
          <w:rPr>
            <w:rFonts w:asciiTheme="minorHAnsi" w:eastAsiaTheme="minorEastAsia" w:hAnsiTheme="minorHAnsi" w:cstheme="minorBidi"/>
            <w:b w:val="0"/>
            <w:noProof/>
            <w:sz w:val="22"/>
            <w:szCs w:val="22"/>
            <w:lang w:eastAsia="en-US"/>
          </w:rPr>
          <w:tab/>
        </w:r>
        <w:r w:rsidR="0079328A" w:rsidRPr="001220B9">
          <w:rPr>
            <w:rStyle w:val="Hyperlink"/>
            <w:noProof/>
          </w:rPr>
          <w:t>The ENEO Concession</w:t>
        </w:r>
        <w:r w:rsidR="0079328A">
          <w:rPr>
            <w:noProof/>
            <w:webHidden/>
          </w:rPr>
          <w:tab/>
        </w:r>
        <w:r w:rsidR="0079328A">
          <w:rPr>
            <w:noProof/>
            <w:webHidden/>
          </w:rPr>
          <w:fldChar w:fldCharType="begin"/>
        </w:r>
        <w:r w:rsidR="0079328A">
          <w:rPr>
            <w:noProof/>
            <w:webHidden/>
          </w:rPr>
          <w:instrText xml:space="preserve"> PAGEREF _Toc437034119 \h </w:instrText>
        </w:r>
        <w:r w:rsidR="0079328A">
          <w:rPr>
            <w:noProof/>
            <w:webHidden/>
          </w:rPr>
        </w:r>
        <w:r w:rsidR="0079328A">
          <w:rPr>
            <w:noProof/>
            <w:webHidden/>
          </w:rPr>
          <w:fldChar w:fldCharType="separate"/>
        </w:r>
        <w:r w:rsidR="0079328A">
          <w:rPr>
            <w:noProof/>
            <w:webHidden/>
          </w:rPr>
          <w:t>11</w:t>
        </w:r>
        <w:r w:rsidR="0079328A">
          <w:rPr>
            <w:noProof/>
            <w:webHidden/>
          </w:rPr>
          <w:fldChar w:fldCharType="end"/>
        </w:r>
      </w:hyperlink>
    </w:p>
    <w:p w14:paraId="2DDCE715" w14:textId="591DE922" w:rsidR="0079328A" w:rsidRDefault="00C3093C">
      <w:pPr>
        <w:pStyle w:val="TOC2"/>
        <w:tabs>
          <w:tab w:val="left" w:pos="1440"/>
        </w:tabs>
        <w:rPr>
          <w:rFonts w:asciiTheme="minorHAnsi" w:eastAsiaTheme="minorEastAsia" w:hAnsiTheme="minorHAnsi" w:cstheme="minorBidi"/>
          <w:noProof/>
          <w:sz w:val="22"/>
          <w:szCs w:val="22"/>
          <w:lang w:eastAsia="en-US"/>
        </w:rPr>
      </w:pPr>
      <w:hyperlink w:anchor="_Toc437034120" w:history="1">
        <w:r w:rsidR="0079328A" w:rsidRPr="001220B9">
          <w:rPr>
            <w:rStyle w:val="Hyperlink"/>
            <w:noProof/>
          </w:rPr>
          <w:t>3.1</w:t>
        </w:r>
        <w:r w:rsidR="0079328A">
          <w:rPr>
            <w:rFonts w:asciiTheme="minorHAnsi" w:eastAsiaTheme="minorEastAsia" w:hAnsiTheme="minorHAnsi" w:cstheme="minorBidi"/>
            <w:noProof/>
            <w:sz w:val="22"/>
            <w:szCs w:val="22"/>
            <w:lang w:eastAsia="en-US"/>
          </w:rPr>
          <w:tab/>
        </w:r>
        <w:r w:rsidR="0079328A" w:rsidRPr="001220B9">
          <w:rPr>
            <w:rStyle w:val="Hyperlink"/>
            <w:noProof/>
          </w:rPr>
          <w:t>Stages of Development</w:t>
        </w:r>
        <w:r w:rsidR="0079328A">
          <w:rPr>
            <w:noProof/>
            <w:webHidden/>
          </w:rPr>
          <w:tab/>
        </w:r>
        <w:r w:rsidR="0079328A">
          <w:rPr>
            <w:noProof/>
            <w:webHidden/>
          </w:rPr>
          <w:fldChar w:fldCharType="begin"/>
        </w:r>
        <w:r w:rsidR="0079328A">
          <w:rPr>
            <w:noProof/>
            <w:webHidden/>
          </w:rPr>
          <w:instrText xml:space="preserve"> PAGEREF _Toc437034120 \h </w:instrText>
        </w:r>
        <w:r w:rsidR="0079328A">
          <w:rPr>
            <w:noProof/>
            <w:webHidden/>
          </w:rPr>
        </w:r>
        <w:r w:rsidR="0079328A">
          <w:rPr>
            <w:noProof/>
            <w:webHidden/>
          </w:rPr>
          <w:fldChar w:fldCharType="separate"/>
        </w:r>
        <w:r w:rsidR="0079328A">
          <w:rPr>
            <w:noProof/>
            <w:webHidden/>
          </w:rPr>
          <w:t>11</w:t>
        </w:r>
        <w:r w:rsidR="0079328A">
          <w:rPr>
            <w:noProof/>
            <w:webHidden/>
          </w:rPr>
          <w:fldChar w:fldCharType="end"/>
        </w:r>
      </w:hyperlink>
    </w:p>
    <w:p w14:paraId="0E99CF33" w14:textId="18853EF8" w:rsidR="0079328A" w:rsidRDefault="00C3093C">
      <w:pPr>
        <w:pStyle w:val="TOC2"/>
        <w:tabs>
          <w:tab w:val="left" w:pos="1440"/>
        </w:tabs>
        <w:rPr>
          <w:rFonts w:asciiTheme="minorHAnsi" w:eastAsiaTheme="minorEastAsia" w:hAnsiTheme="minorHAnsi" w:cstheme="minorBidi"/>
          <w:noProof/>
          <w:sz w:val="22"/>
          <w:szCs w:val="22"/>
          <w:lang w:eastAsia="en-US"/>
        </w:rPr>
      </w:pPr>
      <w:hyperlink w:anchor="_Toc437034121" w:history="1">
        <w:r w:rsidR="0079328A" w:rsidRPr="001220B9">
          <w:rPr>
            <w:rStyle w:val="Hyperlink"/>
            <w:noProof/>
          </w:rPr>
          <w:t>3.2</w:t>
        </w:r>
        <w:r w:rsidR="0079328A">
          <w:rPr>
            <w:rFonts w:asciiTheme="minorHAnsi" w:eastAsiaTheme="minorEastAsia" w:hAnsiTheme="minorHAnsi" w:cstheme="minorBidi"/>
            <w:noProof/>
            <w:sz w:val="22"/>
            <w:szCs w:val="22"/>
            <w:lang w:eastAsia="en-US"/>
          </w:rPr>
          <w:tab/>
        </w:r>
        <w:r w:rsidR="0079328A" w:rsidRPr="001220B9">
          <w:rPr>
            <w:rStyle w:val="Hyperlink"/>
            <w:noProof/>
          </w:rPr>
          <w:t>Operations and Management</w:t>
        </w:r>
        <w:r w:rsidR="0079328A">
          <w:rPr>
            <w:noProof/>
            <w:webHidden/>
          </w:rPr>
          <w:tab/>
        </w:r>
        <w:r w:rsidR="0079328A">
          <w:rPr>
            <w:noProof/>
            <w:webHidden/>
          </w:rPr>
          <w:fldChar w:fldCharType="begin"/>
        </w:r>
        <w:r w:rsidR="0079328A">
          <w:rPr>
            <w:noProof/>
            <w:webHidden/>
          </w:rPr>
          <w:instrText xml:space="preserve"> PAGEREF _Toc437034121 \h </w:instrText>
        </w:r>
        <w:r w:rsidR="0079328A">
          <w:rPr>
            <w:noProof/>
            <w:webHidden/>
          </w:rPr>
        </w:r>
        <w:r w:rsidR="0079328A">
          <w:rPr>
            <w:noProof/>
            <w:webHidden/>
          </w:rPr>
          <w:fldChar w:fldCharType="separate"/>
        </w:r>
        <w:r w:rsidR="0079328A">
          <w:rPr>
            <w:noProof/>
            <w:webHidden/>
          </w:rPr>
          <w:t>12</w:t>
        </w:r>
        <w:r w:rsidR="0079328A">
          <w:rPr>
            <w:noProof/>
            <w:webHidden/>
          </w:rPr>
          <w:fldChar w:fldCharType="end"/>
        </w:r>
      </w:hyperlink>
    </w:p>
    <w:p w14:paraId="3DAE7E57" w14:textId="6339B96B" w:rsidR="0079328A" w:rsidRDefault="00C3093C">
      <w:pPr>
        <w:pStyle w:val="TOC2"/>
        <w:tabs>
          <w:tab w:val="left" w:pos="1440"/>
        </w:tabs>
        <w:rPr>
          <w:rFonts w:asciiTheme="minorHAnsi" w:eastAsiaTheme="minorEastAsia" w:hAnsiTheme="minorHAnsi" w:cstheme="minorBidi"/>
          <w:noProof/>
          <w:sz w:val="22"/>
          <w:szCs w:val="22"/>
          <w:lang w:eastAsia="en-US"/>
        </w:rPr>
      </w:pPr>
      <w:hyperlink w:anchor="_Toc437034122" w:history="1">
        <w:r w:rsidR="0079328A" w:rsidRPr="001220B9">
          <w:rPr>
            <w:rStyle w:val="Hyperlink"/>
            <w:noProof/>
          </w:rPr>
          <w:t>3.3</w:t>
        </w:r>
        <w:r w:rsidR="0079328A">
          <w:rPr>
            <w:rFonts w:asciiTheme="minorHAnsi" w:eastAsiaTheme="minorEastAsia" w:hAnsiTheme="minorHAnsi" w:cstheme="minorBidi"/>
            <w:noProof/>
            <w:sz w:val="22"/>
            <w:szCs w:val="22"/>
            <w:lang w:eastAsia="en-US"/>
          </w:rPr>
          <w:tab/>
        </w:r>
        <w:r w:rsidR="0079328A" w:rsidRPr="001220B9">
          <w:rPr>
            <w:rStyle w:val="Hyperlink"/>
            <w:noProof/>
          </w:rPr>
          <w:t>Financing Arrangements</w:t>
        </w:r>
        <w:r w:rsidR="0079328A">
          <w:rPr>
            <w:noProof/>
            <w:webHidden/>
          </w:rPr>
          <w:tab/>
        </w:r>
        <w:r w:rsidR="0079328A">
          <w:rPr>
            <w:noProof/>
            <w:webHidden/>
          </w:rPr>
          <w:fldChar w:fldCharType="begin"/>
        </w:r>
        <w:r w:rsidR="0079328A">
          <w:rPr>
            <w:noProof/>
            <w:webHidden/>
          </w:rPr>
          <w:instrText xml:space="preserve"> PAGEREF _Toc437034122 \h </w:instrText>
        </w:r>
        <w:r w:rsidR="0079328A">
          <w:rPr>
            <w:noProof/>
            <w:webHidden/>
          </w:rPr>
        </w:r>
        <w:r w:rsidR="0079328A">
          <w:rPr>
            <w:noProof/>
            <w:webHidden/>
          </w:rPr>
          <w:fldChar w:fldCharType="separate"/>
        </w:r>
        <w:r w:rsidR="0079328A">
          <w:rPr>
            <w:noProof/>
            <w:webHidden/>
          </w:rPr>
          <w:t>12</w:t>
        </w:r>
        <w:r w:rsidR="0079328A">
          <w:rPr>
            <w:noProof/>
            <w:webHidden/>
          </w:rPr>
          <w:fldChar w:fldCharType="end"/>
        </w:r>
      </w:hyperlink>
    </w:p>
    <w:p w14:paraId="6A31ACE4" w14:textId="192F328C" w:rsidR="0079328A" w:rsidRDefault="00C3093C">
      <w:pPr>
        <w:pStyle w:val="TOC2"/>
        <w:tabs>
          <w:tab w:val="left" w:pos="1440"/>
        </w:tabs>
        <w:rPr>
          <w:rFonts w:asciiTheme="minorHAnsi" w:eastAsiaTheme="minorEastAsia" w:hAnsiTheme="minorHAnsi" w:cstheme="minorBidi"/>
          <w:noProof/>
          <w:sz w:val="22"/>
          <w:szCs w:val="22"/>
          <w:lang w:eastAsia="en-US"/>
        </w:rPr>
      </w:pPr>
      <w:hyperlink w:anchor="_Toc437034123" w:history="1">
        <w:r w:rsidR="0079328A" w:rsidRPr="001220B9">
          <w:rPr>
            <w:rStyle w:val="Hyperlink"/>
            <w:noProof/>
          </w:rPr>
          <w:t>3.4</w:t>
        </w:r>
        <w:r w:rsidR="0079328A">
          <w:rPr>
            <w:rFonts w:asciiTheme="minorHAnsi" w:eastAsiaTheme="minorEastAsia" w:hAnsiTheme="minorHAnsi" w:cstheme="minorBidi"/>
            <w:noProof/>
            <w:sz w:val="22"/>
            <w:szCs w:val="22"/>
            <w:lang w:eastAsia="en-US"/>
          </w:rPr>
          <w:tab/>
        </w:r>
        <w:r w:rsidR="0079328A" w:rsidRPr="001220B9">
          <w:rPr>
            <w:rStyle w:val="Hyperlink"/>
            <w:noProof/>
          </w:rPr>
          <w:t>Contractual Arrangements</w:t>
        </w:r>
        <w:r w:rsidR="0079328A">
          <w:rPr>
            <w:noProof/>
            <w:webHidden/>
          </w:rPr>
          <w:tab/>
        </w:r>
        <w:r w:rsidR="0079328A">
          <w:rPr>
            <w:noProof/>
            <w:webHidden/>
          </w:rPr>
          <w:fldChar w:fldCharType="begin"/>
        </w:r>
        <w:r w:rsidR="0079328A">
          <w:rPr>
            <w:noProof/>
            <w:webHidden/>
          </w:rPr>
          <w:instrText xml:space="preserve"> PAGEREF _Toc437034123 \h </w:instrText>
        </w:r>
        <w:r w:rsidR="0079328A">
          <w:rPr>
            <w:noProof/>
            <w:webHidden/>
          </w:rPr>
        </w:r>
        <w:r w:rsidR="0079328A">
          <w:rPr>
            <w:noProof/>
            <w:webHidden/>
          </w:rPr>
          <w:fldChar w:fldCharType="separate"/>
        </w:r>
        <w:r w:rsidR="0079328A">
          <w:rPr>
            <w:noProof/>
            <w:webHidden/>
          </w:rPr>
          <w:t>13</w:t>
        </w:r>
        <w:r w:rsidR="0079328A">
          <w:rPr>
            <w:noProof/>
            <w:webHidden/>
          </w:rPr>
          <w:fldChar w:fldCharType="end"/>
        </w:r>
      </w:hyperlink>
    </w:p>
    <w:p w14:paraId="0EC28624" w14:textId="6164D46D" w:rsidR="0079328A" w:rsidRDefault="00C3093C">
      <w:pPr>
        <w:pStyle w:val="TOC2"/>
        <w:tabs>
          <w:tab w:val="left" w:pos="1440"/>
        </w:tabs>
        <w:rPr>
          <w:rFonts w:asciiTheme="minorHAnsi" w:eastAsiaTheme="minorEastAsia" w:hAnsiTheme="minorHAnsi" w:cstheme="minorBidi"/>
          <w:noProof/>
          <w:sz w:val="22"/>
          <w:szCs w:val="22"/>
          <w:lang w:eastAsia="en-US"/>
        </w:rPr>
      </w:pPr>
      <w:hyperlink w:anchor="_Toc437034124" w:history="1">
        <w:r w:rsidR="0079328A" w:rsidRPr="001220B9">
          <w:rPr>
            <w:rStyle w:val="Hyperlink"/>
            <w:noProof/>
          </w:rPr>
          <w:t>3.5</w:t>
        </w:r>
        <w:r w:rsidR="0079328A">
          <w:rPr>
            <w:rFonts w:asciiTheme="minorHAnsi" w:eastAsiaTheme="minorEastAsia" w:hAnsiTheme="minorHAnsi" w:cstheme="minorBidi"/>
            <w:noProof/>
            <w:sz w:val="22"/>
            <w:szCs w:val="22"/>
            <w:lang w:eastAsia="en-US"/>
          </w:rPr>
          <w:tab/>
        </w:r>
        <w:r w:rsidR="0079328A" w:rsidRPr="001220B9">
          <w:rPr>
            <w:rStyle w:val="Hyperlink"/>
            <w:noProof/>
          </w:rPr>
          <w:t>Technological Approach</w:t>
        </w:r>
        <w:r w:rsidR="0079328A">
          <w:rPr>
            <w:noProof/>
            <w:webHidden/>
          </w:rPr>
          <w:tab/>
        </w:r>
        <w:r w:rsidR="0079328A">
          <w:rPr>
            <w:noProof/>
            <w:webHidden/>
          </w:rPr>
          <w:fldChar w:fldCharType="begin"/>
        </w:r>
        <w:r w:rsidR="0079328A">
          <w:rPr>
            <w:noProof/>
            <w:webHidden/>
          </w:rPr>
          <w:instrText xml:space="preserve"> PAGEREF _Toc437034124 \h </w:instrText>
        </w:r>
        <w:r w:rsidR="0079328A">
          <w:rPr>
            <w:noProof/>
            <w:webHidden/>
          </w:rPr>
        </w:r>
        <w:r w:rsidR="0079328A">
          <w:rPr>
            <w:noProof/>
            <w:webHidden/>
          </w:rPr>
          <w:fldChar w:fldCharType="separate"/>
        </w:r>
        <w:r w:rsidR="0079328A">
          <w:rPr>
            <w:noProof/>
            <w:webHidden/>
          </w:rPr>
          <w:t>14</w:t>
        </w:r>
        <w:r w:rsidR="0079328A">
          <w:rPr>
            <w:noProof/>
            <w:webHidden/>
          </w:rPr>
          <w:fldChar w:fldCharType="end"/>
        </w:r>
      </w:hyperlink>
    </w:p>
    <w:p w14:paraId="57A0C85A" w14:textId="450D5697" w:rsidR="0079328A" w:rsidRDefault="00C3093C">
      <w:pPr>
        <w:pStyle w:val="TOC2"/>
        <w:tabs>
          <w:tab w:val="left" w:pos="1440"/>
        </w:tabs>
        <w:rPr>
          <w:rFonts w:asciiTheme="minorHAnsi" w:eastAsiaTheme="minorEastAsia" w:hAnsiTheme="minorHAnsi" w:cstheme="minorBidi"/>
          <w:noProof/>
          <w:sz w:val="22"/>
          <w:szCs w:val="22"/>
          <w:lang w:eastAsia="en-US"/>
        </w:rPr>
      </w:pPr>
      <w:hyperlink w:anchor="_Toc437034125" w:history="1">
        <w:r w:rsidR="0079328A" w:rsidRPr="001220B9">
          <w:rPr>
            <w:rStyle w:val="Hyperlink"/>
            <w:noProof/>
          </w:rPr>
          <w:t>3.6</w:t>
        </w:r>
        <w:r w:rsidR="0079328A">
          <w:rPr>
            <w:rFonts w:asciiTheme="minorHAnsi" w:eastAsiaTheme="minorEastAsia" w:hAnsiTheme="minorHAnsi" w:cstheme="minorBidi"/>
            <w:noProof/>
            <w:sz w:val="22"/>
            <w:szCs w:val="22"/>
            <w:lang w:eastAsia="en-US"/>
          </w:rPr>
          <w:tab/>
        </w:r>
        <w:r w:rsidR="0079328A" w:rsidRPr="001220B9">
          <w:rPr>
            <w:rStyle w:val="Hyperlink"/>
            <w:noProof/>
          </w:rPr>
          <w:t>Regulatory Arrangements</w:t>
        </w:r>
        <w:r w:rsidR="0079328A">
          <w:rPr>
            <w:noProof/>
            <w:webHidden/>
          </w:rPr>
          <w:tab/>
        </w:r>
        <w:r w:rsidR="0079328A">
          <w:rPr>
            <w:noProof/>
            <w:webHidden/>
          </w:rPr>
          <w:fldChar w:fldCharType="begin"/>
        </w:r>
        <w:r w:rsidR="0079328A">
          <w:rPr>
            <w:noProof/>
            <w:webHidden/>
          </w:rPr>
          <w:instrText xml:space="preserve"> PAGEREF _Toc437034125 \h </w:instrText>
        </w:r>
        <w:r w:rsidR="0079328A">
          <w:rPr>
            <w:noProof/>
            <w:webHidden/>
          </w:rPr>
        </w:r>
        <w:r w:rsidR="0079328A">
          <w:rPr>
            <w:noProof/>
            <w:webHidden/>
          </w:rPr>
          <w:fldChar w:fldCharType="separate"/>
        </w:r>
        <w:r w:rsidR="0079328A">
          <w:rPr>
            <w:noProof/>
            <w:webHidden/>
          </w:rPr>
          <w:t>15</w:t>
        </w:r>
        <w:r w:rsidR="0079328A">
          <w:rPr>
            <w:noProof/>
            <w:webHidden/>
          </w:rPr>
          <w:fldChar w:fldCharType="end"/>
        </w:r>
      </w:hyperlink>
    </w:p>
    <w:p w14:paraId="4E330427" w14:textId="2B7E965B" w:rsidR="0079328A" w:rsidRDefault="00C3093C">
      <w:pPr>
        <w:pStyle w:val="TOC1"/>
        <w:rPr>
          <w:rFonts w:asciiTheme="minorHAnsi" w:eastAsiaTheme="minorEastAsia" w:hAnsiTheme="minorHAnsi" w:cstheme="minorBidi"/>
          <w:b w:val="0"/>
          <w:noProof/>
          <w:sz w:val="22"/>
          <w:szCs w:val="22"/>
          <w:lang w:eastAsia="en-US"/>
        </w:rPr>
      </w:pPr>
      <w:hyperlink w:anchor="_Toc437034126" w:history="1">
        <w:r w:rsidR="0079328A" w:rsidRPr="001220B9">
          <w:rPr>
            <w:rStyle w:val="Hyperlink"/>
            <w:noProof/>
          </w:rPr>
          <w:t>4</w:t>
        </w:r>
        <w:r w:rsidR="0079328A">
          <w:rPr>
            <w:rFonts w:asciiTheme="minorHAnsi" w:eastAsiaTheme="minorEastAsia" w:hAnsiTheme="minorHAnsi" w:cstheme="minorBidi"/>
            <w:b w:val="0"/>
            <w:noProof/>
            <w:sz w:val="22"/>
            <w:szCs w:val="22"/>
            <w:lang w:eastAsia="en-US"/>
          </w:rPr>
          <w:tab/>
        </w:r>
        <w:r w:rsidR="0079328A" w:rsidRPr="001220B9">
          <w:rPr>
            <w:rStyle w:val="Hyperlink"/>
            <w:noProof/>
          </w:rPr>
          <w:t>Assessment of Concession</w:t>
        </w:r>
        <w:r w:rsidR="0079328A">
          <w:rPr>
            <w:noProof/>
            <w:webHidden/>
          </w:rPr>
          <w:tab/>
        </w:r>
        <w:r w:rsidR="0079328A">
          <w:rPr>
            <w:noProof/>
            <w:webHidden/>
          </w:rPr>
          <w:fldChar w:fldCharType="begin"/>
        </w:r>
        <w:r w:rsidR="0079328A">
          <w:rPr>
            <w:noProof/>
            <w:webHidden/>
          </w:rPr>
          <w:instrText xml:space="preserve"> PAGEREF _Toc437034126 \h </w:instrText>
        </w:r>
        <w:r w:rsidR="0079328A">
          <w:rPr>
            <w:noProof/>
            <w:webHidden/>
          </w:rPr>
        </w:r>
        <w:r w:rsidR="0079328A">
          <w:rPr>
            <w:noProof/>
            <w:webHidden/>
          </w:rPr>
          <w:fldChar w:fldCharType="separate"/>
        </w:r>
        <w:r w:rsidR="0079328A">
          <w:rPr>
            <w:noProof/>
            <w:webHidden/>
          </w:rPr>
          <w:t>16</w:t>
        </w:r>
        <w:r w:rsidR="0079328A">
          <w:rPr>
            <w:noProof/>
            <w:webHidden/>
          </w:rPr>
          <w:fldChar w:fldCharType="end"/>
        </w:r>
      </w:hyperlink>
    </w:p>
    <w:p w14:paraId="163335BF" w14:textId="1523EDF5" w:rsidR="0079328A" w:rsidRDefault="00C3093C">
      <w:pPr>
        <w:pStyle w:val="TOC2"/>
        <w:tabs>
          <w:tab w:val="left" w:pos="1440"/>
        </w:tabs>
        <w:rPr>
          <w:rFonts w:asciiTheme="minorHAnsi" w:eastAsiaTheme="minorEastAsia" w:hAnsiTheme="minorHAnsi" w:cstheme="minorBidi"/>
          <w:noProof/>
          <w:sz w:val="22"/>
          <w:szCs w:val="22"/>
          <w:lang w:eastAsia="en-US"/>
        </w:rPr>
      </w:pPr>
      <w:hyperlink w:anchor="_Toc437034127" w:history="1">
        <w:r w:rsidR="0079328A" w:rsidRPr="001220B9">
          <w:rPr>
            <w:rStyle w:val="Hyperlink"/>
            <w:noProof/>
          </w:rPr>
          <w:t>4.1</w:t>
        </w:r>
        <w:r w:rsidR="0079328A">
          <w:rPr>
            <w:rFonts w:asciiTheme="minorHAnsi" w:eastAsiaTheme="minorEastAsia" w:hAnsiTheme="minorHAnsi" w:cstheme="minorBidi"/>
            <w:noProof/>
            <w:sz w:val="22"/>
            <w:szCs w:val="22"/>
            <w:lang w:eastAsia="en-US"/>
          </w:rPr>
          <w:tab/>
        </w:r>
        <w:r w:rsidR="0079328A" w:rsidRPr="001220B9">
          <w:rPr>
            <w:rStyle w:val="Hyperlink"/>
            <w:noProof/>
          </w:rPr>
          <w:t>Evaluating Success of Concession</w:t>
        </w:r>
        <w:r w:rsidR="0079328A">
          <w:rPr>
            <w:noProof/>
            <w:webHidden/>
          </w:rPr>
          <w:tab/>
        </w:r>
        <w:r w:rsidR="0079328A">
          <w:rPr>
            <w:noProof/>
            <w:webHidden/>
          </w:rPr>
          <w:fldChar w:fldCharType="begin"/>
        </w:r>
        <w:r w:rsidR="0079328A">
          <w:rPr>
            <w:noProof/>
            <w:webHidden/>
          </w:rPr>
          <w:instrText xml:space="preserve"> PAGEREF _Toc437034127 \h </w:instrText>
        </w:r>
        <w:r w:rsidR="0079328A">
          <w:rPr>
            <w:noProof/>
            <w:webHidden/>
          </w:rPr>
        </w:r>
        <w:r w:rsidR="0079328A">
          <w:rPr>
            <w:noProof/>
            <w:webHidden/>
          </w:rPr>
          <w:fldChar w:fldCharType="separate"/>
        </w:r>
        <w:r w:rsidR="0079328A">
          <w:rPr>
            <w:noProof/>
            <w:webHidden/>
          </w:rPr>
          <w:t>16</w:t>
        </w:r>
        <w:r w:rsidR="0079328A">
          <w:rPr>
            <w:noProof/>
            <w:webHidden/>
          </w:rPr>
          <w:fldChar w:fldCharType="end"/>
        </w:r>
      </w:hyperlink>
    </w:p>
    <w:p w14:paraId="45A1913D" w14:textId="50214FBC" w:rsidR="0079328A" w:rsidRDefault="00C3093C">
      <w:pPr>
        <w:pStyle w:val="TOC3"/>
        <w:rPr>
          <w:rFonts w:asciiTheme="minorHAnsi" w:eastAsiaTheme="minorEastAsia" w:hAnsiTheme="minorHAnsi" w:cstheme="minorBidi"/>
          <w:noProof/>
          <w:sz w:val="22"/>
          <w:szCs w:val="22"/>
          <w:lang w:eastAsia="en-US"/>
        </w:rPr>
      </w:pPr>
      <w:hyperlink w:anchor="_Toc437034128" w:history="1">
        <w:r w:rsidR="0079328A" w:rsidRPr="001220B9">
          <w:rPr>
            <w:rStyle w:val="Hyperlink"/>
            <w:noProof/>
          </w:rPr>
          <w:t>4.1.1</w:t>
        </w:r>
        <w:r w:rsidR="0079328A">
          <w:rPr>
            <w:rFonts w:asciiTheme="minorHAnsi" w:eastAsiaTheme="minorEastAsia" w:hAnsiTheme="minorHAnsi" w:cstheme="minorBidi"/>
            <w:noProof/>
            <w:sz w:val="22"/>
            <w:szCs w:val="22"/>
            <w:lang w:eastAsia="en-US"/>
          </w:rPr>
          <w:tab/>
        </w:r>
        <w:r w:rsidR="0079328A" w:rsidRPr="001220B9">
          <w:rPr>
            <w:rStyle w:val="Hyperlink"/>
            <w:noProof/>
          </w:rPr>
          <w:t>Access</w:t>
        </w:r>
        <w:r w:rsidR="0079328A">
          <w:rPr>
            <w:noProof/>
            <w:webHidden/>
          </w:rPr>
          <w:tab/>
        </w:r>
        <w:r w:rsidR="0079328A">
          <w:rPr>
            <w:noProof/>
            <w:webHidden/>
          </w:rPr>
          <w:fldChar w:fldCharType="begin"/>
        </w:r>
        <w:r w:rsidR="0079328A">
          <w:rPr>
            <w:noProof/>
            <w:webHidden/>
          </w:rPr>
          <w:instrText xml:space="preserve"> PAGEREF _Toc437034128 \h </w:instrText>
        </w:r>
        <w:r w:rsidR="0079328A">
          <w:rPr>
            <w:noProof/>
            <w:webHidden/>
          </w:rPr>
        </w:r>
        <w:r w:rsidR="0079328A">
          <w:rPr>
            <w:noProof/>
            <w:webHidden/>
          </w:rPr>
          <w:fldChar w:fldCharType="separate"/>
        </w:r>
        <w:r w:rsidR="0079328A">
          <w:rPr>
            <w:noProof/>
            <w:webHidden/>
          </w:rPr>
          <w:t>16</w:t>
        </w:r>
        <w:r w:rsidR="0079328A">
          <w:rPr>
            <w:noProof/>
            <w:webHidden/>
          </w:rPr>
          <w:fldChar w:fldCharType="end"/>
        </w:r>
      </w:hyperlink>
    </w:p>
    <w:p w14:paraId="624DBB7B" w14:textId="4F88963A" w:rsidR="0079328A" w:rsidRDefault="00C3093C">
      <w:pPr>
        <w:pStyle w:val="TOC3"/>
        <w:rPr>
          <w:rFonts w:asciiTheme="minorHAnsi" w:eastAsiaTheme="minorEastAsia" w:hAnsiTheme="minorHAnsi" w:cstheme="minorBidi"/>
          <w:noProof/>
          <w:sz w:val="22"/>
          <w:szCs w:val="22"/>
          <w:lang w:eastAsia="en-US"/>
        </w:rPr>
      </w:pPr>
      <w:hyperlink w:anchor="_Toc437034129" w:history="1">
        <w:r w:rsidR="0079328A" w:rsidRPr="001220B9">
          <w:rPr>
            <w:rStyle w:val="Hyperlink"/>
            <w:noProof/>
          </w:rPr>
          <w:t>4.1.2</w:t>
        </w:r>
        <w:r w:rsidR="0079328A">
          <w:rPr>
            <w:rFonts w:asciiTheme="minorHAnsi" w:eastAsiaTheme="minorEastAsia" w:hAnsiTheme="minorHAnsi" w:cstheme="minorBidi"/>
            <w:noProof/>
            <w:sz w:val="22"/>
            <w:szCs w:val="22"/>
            <w:lang w:eastAsia="en-US"/>
          </w:rPr>
          <w:tab/>
        </w:r>
        <w:r w:rsidR="0079328A" w:rsidRPr="001220B9">
          <w:rPr>
            <w:rStyle w:val="Hyperlink"/>
            <w:noProof/>
          </w:rPr>
          <w:t>Quality of service</w:t>
        </w:r>
        <w:r w:rsidR="0079328A">
          <w:rPr>
            <w:noProof/>
            <w:webHidden/>
          </w:rPr>
          <w:tab/>
        </w:r>
        <w:r w:rsidR="0079328A">
          <w:rPr>
            <w:noProof/>
            <w:webHidden/>
          </w:rPr>
          <w:fldChar w:fldCharType="begin"/>
        </w:r>
        <w:r w:rsidR="0079328A">
          <w:rPr>
            <w:noProof/>
            <w:webHidden/>
          </w:rPr>
          <w:instrText xml:space="preserve"> PAGEREF _Toc437034129 \h </w:instrText>
        </w:r>
        <w:r w:rsidR="0079328A">
          <w:rPr>
            <w:noProof/>
            <w:webHidden/>
          </w:rPr>
        </w:r>
        <w:r w:rsidR="0079328A">
          <w:rPr>
            <w:noProof/>
            <w:webHidden/>
          </w:rPr>
          <w:fldChar w:fldCharType="separate"/>
        </w:r>
        <w:r w:rsidR="0079328A">
          <w:rPr>
            <w:noProof/>
            <w:webHidden/>
          </w:rPr>
          <w:t>16</w:t>
        </w:r>
        <w:r w:rsidR="0079328A">
          <w:rPr>
            <w:noProof/>
            <w:webHidden/>
          </w:rPr>
          <w:fldChar w:fldCharType="end"/>
        </w:r>
      </w:hyperlink>
    </w:p>
    <w:p w14:paraId="5B1E5438" w14:textId="299F4379" w:rsidR="0079328A" w:rsidRDefault="00C3093C">
      <w:pPr>
        <w:pStyle w:val="TOC3"/>
        <w:rPr>
          <w:rFonts w:asciiTheme="minorHAnsi" w:eastAsiaTheme="minorEastAsia" w:hAnsiTheme="minorHAnsi" w:cstheme="minorBidi"/>
          <w:noProof/>
          <w:sz w:val="22"/>
          <w:szCs w:val="22"/>
          <w:lang w:eastAsia="en-US"/>
        </w:rPr>
      </w:pPr>
      <w:hyperlink w:anchor="_Toc437034130" w:history="1">
        <w:r w:rsidR="0079328A" w:rsidRPr="001220B9">
          <w:rPr>
            <w:rStyle w:val="Hyperlink"/>
            <w:noProof/>
          </w:rPr>
          <w:t>4.1.3</w:t>
        </w:r>
        <w:r w:rsidR="0079328A">
          <w:rPr>
            <w:rFonts w:asciiTheme="minorHAnsi" w:eastAsiaTheme="minorEastAsia" w:hAnsiTheme="minorHAnsi" w:cstheme="minorBidi"/>
            <w:noProof/>
            <w:sz w:val="22"/>
            <w:szCs w:val="22"/>
            <w:lang w:eastAsia="en-US"/>
          </w:rPr>
          <w:tab/>
        </w:r>
        <w:r w:rsidR="0079328A" w:rsidRPr="001220B9">
          <w:rPr>
            <w:rStyle w:val="Hyperlink"/>
            <w:noProof/>
          </w:rPr>
          <w:t>Sustainability</w:t>
        </w:r>
        <w:r w:rsidR="0079328A">
          <w:rPr>
            <w:noProof/>
            <w:webHidden/>
          </w:rPr>
          <w:tab/>
        </w:r>
        <w:r w:rsidR="0079328A">
          <w:rPr>
            <w:noProof/>
            <w:webHidden/>
          </w:rPr>
          <w:fldChar w:fldCharType="begin"/>
        </w:r>
        <w:r w:rsidR="0079328A">
          <w:rPr>
            <w:noProof/>
            <w:webHidden/>
          </w:rPr>
          <w:instrText xml:space="preserve"> PAGEREF _Toc437034130 \h </w:instrText>
        </w:r>
        <w:r w:rsidR="0079328A">
          <w:rPr>
            <w:noProof/>
            <w:webHidden/>
          </w:rPr>
        </w:r>
        <w:r w:rsidR="0079328A">
          <w:rPr>
            <w:noProof/>
            <w:webHidden/>
          </w:rPr>
          <w:fldChar w:fldCharType="separate"/>
        </w:r>
        <w:r w:rsidR="0079328A">
          <w:rPr>
            <w:noProof/>
            <w:webHidden/>
          </w:rPr>
          <w:t>16</w:t>
        </w:r>
        <w:r w:rsidR="0079328A">
          <w:rPr>
            <w:noProof/>
            <w:webHidden/>
          </w:rPr>
          <w:fldChar w:fldCharType="end"/>
        </w:r>
      </w:hyperlink>
    </w:p>
    <w:p w14:paraId="3591CFD2" w14:textId="0E5A16AE" w:rsidR="0079328A" w:rsidRDefault="00C3093C">
      <w:pPr>
        <w:pStyle w:val="TOC2"/>
        <w:tabs>
          <w:tab w:val="left" w:pos="1440"/>
        </w:tabs>
        <w:rPr>
          <w:rFonts w:asciiTheme="minorHAnsi" w:eastAsiaTheme="minorEastAsia" w:hAnsiTheme="minorHAnsi" w:cstheme="minorBidi"/>
          <w:noProof/>
          <w:sz w:val="22"/>
          <w:szCs w:val="22"/>
          <w:lang w:eastAsia="en-US"/>
        </w:rPr>
      </w:pPr>
      <w:hyperlink w:anchor="_Toc437034131" w:history="1">
        <w:r w:rsidR="0079328A" w:rsidRPr="001220B9">
          <w:rPr>
            <w:rStyle w:val="Hyperlink"/>
            <w:noProof/>
          </w:rPr>
          <w:t>4.2</w:t>
        </w:r>
        <w:r w:rsidR="0079328A">
          <w:rPr>
            <w:rFonts w:asciiTheme="minorHAnsi" w:eastAsiaTheme="minorEastAsia" w:hAnsiTheme="minorHAnsi" w:cstheme="minorBidi"/>
            <w:noProof/>
            <w:sz w:val="22"/>
            <w:szCs w:val="22"/>
            <w:lang w:eastAsia="en-US"/>
          </w:rPr>
          <w:tab/>
        </w:r>
        <w:r w:rsidR="0079328A" w:rsidRPr="001220B9">
          <w:rPr>
            <w:rStyle w:val="Hyperlink"/>
            <w:noProof/>
          </w:rPr>
          <w:t>Arrangements that Could Have Delivered Better Results</w:t>
        </w:r>
        <w:r w:rsidR="0079328A">
          <w:rPr>
            <w:noProof/>
            <w:webHidden/>
          </w:rPr>
          <w:tab/>
        </w:r>
        <w:r w:rsidR="0079328A">
          <w:rPr>
            <w:noProof/>
            <w:webHidden/>
          </w:rPr>
          <w:fldChar w:fldCharType="begin"/>
        </w:r>
        <w:r w:rsidR="0079328A">
          <w:rPr>
            <w:noProof/>
            <w:webHidden/>
          </w:rPr>
          <w:instrText xml:space="preserve"> PAGEREF _Toc437034131 \h </w:instrText>
        </w:r>
        <w:r w:rsidR="0079328A">
          <w:rPr>
            <w:noProof/>
            <w:webHidden/>
          </w:rPr>
        </w:r>
        <w:r w:rsidR="0079328A">
          <w:rPr>
            <w:noProof/>
            <w:webHidden/>
          </w:rPr>
          <w:fldChar w:fldCharType="separate"/>
        </w:r>
        <w:r w:rsidR="0079328A">
          <w:rPr>
            <w:noProof/>
            <w:webHidden/>
          </w:rPr>
          <w:t>17</w:t>
        </w:r>
        <w:r w:rsidR="0079328A">
          <w:rPr>
            <w:noProof/>
            <w:webHidden/>
          </w:rPr>
          <w:fldChar w:fldCharType="end"/>
        </w:r>
      </w:hyperlink>
    </w:p>
    <w:p w14:paraId="35DE7F36" w14:textId="28100328" w:rsidR="0079328A" w:rsidRDefault="00C3093C">
      <w:pPr>
        <w:pStyle w:val="TOC2"/>
        <w:tabs>
          <w:tab w:val="left" w:pos="1440"/>
        </w:tabs>
        <w:rPr>
          <w:rFonts w:asciiTheme="minorHAnsi" w:eastAsiaTheme="minorEastAsia" w:hAnsiTheme="minorHAnsi" w:cstheme="minorBidi"/>
          <w:noProof/>
          <w:sz w:val="22"/>
          <w:szCs w:val="22"/>
          <w:lang w:eastAsia="en-US"/>
        </w:rPr>
      </w:pPr>
      <w:hyperlink w:anchor="_Toc437034132" w:history="1">
        <w:r w:rsidR="0079328A" w:rsidRPr="001220B9">
          <w:rPr>
            <w:rStyle w:val="Hyperlink"/>
            <w:noProof/>
          </w:rPr>
          <w:t>4.3</w:t>
        </w:r>
        <w:r w:rsidR="0079328A">
          <w:rPr>
            <w:rFonts w:asciiTheme="minorHAnsi" w:eastAsiaTheme="minorEastAsia" w:hAnsiTheme="minorHAnsi" w:cstheme="minorBidi"/>
            <w:noProof/>
            <w:sz w:val="22"/>
            <w:szCs w:val="22"/>
            <w:lang w:eastAsia="en-US"/>
          </w:rPr>
          <w:tab/>
        </w:r>
        <w:r w:rsidR="0079328A" w:rsidRPr="001220B9">
          <w:rPr>
            <w:rStyle w:val="Hyperlink"/>
            <w:noProof/>
          </w:rPr>
          <w:t>Reasons for Results</w:t>
        </w:r>
        <w:r w:rsidR="0079328A">
          <w:rPr>
            <w:noProof/>
            <w:webHidden/>
          </w:rPr>
          <w:tab/>
        </w:r>
        <w:r w:rsidR="0079328A">
          <w:rPr>
            <w:noProof/>
            <w:webHidden/>
          </w:rPr>
          <w:fldChar w:fldCharType="begin"/>
        </w:r>
        <w:r w:rsidR="0079328A">
          <w:rPr>
            <w:noProof/>
            <w:webHidden/>
          </w:rPr>
          <w:instrText xml:space="preserve"> PAGEREF _Toc437034132 \h </w:instrText>
        </w:r>
        <w:r w:rsidR="0079328A">
          <w:rPr>
            <w:noProof/>
            <w:webHidden/>
          </w:rPr>
        </w:r>
        <w:r w:rsidR="0079328A">
          <w:rPr>
            <w:noProof/>
            <w:webHidden/>
          </w:rPr>
          <w:fldChar w:fldCharType="separate"/>
        </w:r>
        <w:r w:rsidR="0079328A">
          <w:rPr>
            <w:noProof/>
            <w:webHidden/>
          </w:rPr>
          <w:t>17</w:t>
        </w:r>
        <w:r w:rsidR="0079328A">
          <w:rPr>
            <w:noProof/>
            <w:webHidden/>
          </w:rPr>
          <w:fldChar w:fldCharType="end"/>
        </w:r>
      </w:hyperlink>
    </w:p>
    <w:p w14:paraId="33C2FEE1" w14:textId="3B84A1C3" w:rsidR="0079328A" w:rsidRDefault="00C3093C">
      <w:pPr>
        <w:pStyle w:val="TOC2"/>
        <w:tabs>
          <w:tab w:val="left" w:pos="1440"/>
        </w:tabs>
        <w:rPr>
          <w:rFonts w:asciiTheme="minorHAnsi" w:eastAsiaTheme="minorEastAsia" w:hAnsiTheme="minorHAnsi" w:cstheme="minorBidi"/>
          <w:noProof/>
          <w:sz w:val="22"/>
          <w:szCs w:val="22"/>
          <w:lang w:eastAsia="en-US"/>
        </w:rPr>
      </w:pPr>
      <w:hyperlink w:anchor="_Toc437034133" w:history="1">
        <w:r w:rsidR="0079328A" w:rsidRPr="001220B9">
          <w:rPr>
            <w:rStyle w:val="Hyperlink"/>
            <w:noProof/>
          </w:rPr>
          <w:t>4.4</w:t>
        </w:r>
        <w:r w:rsidR="0079328A">
          <w:rPr>
            <w:rFonts w:asciiTheme="minorHAnsi" w:eastAsiaTheme="minorEastAsia" w:hAnsiTheme="minorHAnsi" w:cstheme="minorBidi"/>
            <w:noProof/>
            <w:sz w:val="22"/>
            <w:szCs w:val="22"/>
            <w:lang w:eastAsia="en-US"/>
          </w:rPr>
          <w:tab/>
        </w:r>
        <w:r w:rsidR="0079328A" w:rsidRPr="001220B9">
          <w:rPr>
            <w:rStyle w:val="Hyperlink"/>
            <w:noProof/>
          </w:rPr>
          <w:t>Replicability of Experience and Success</w:t>
        </w:r>
        <w:r w:rsidR="0079328A">
          <w:rPr>
            <w:noProof/>
            <w:webHidden/>
          </w:rPr>
          <w:tab/>
        </w:r>
        <w:r w:rsidR="0079328A">
          <w:rPr>
            <w:noProof/>
            <w:webHidden/>
          </w:rPr>
          <w:fldChar w:fldCharType="begin"/>
        </w:r>
        <w:r w:rsidR="0079328A">
          <w:rPr>
            <w:noProof/>
            <w:webHidden/>
          </w:rPr>
          <w:instrText xml:space="preserve"> PAGEREF _Toc437034133 \h </w:instrText>
        </w:r>
        <w:r w:rsidR="0079328A">
          <w:rPr>
            <w:noProof/>
            <w:webHidden/>
          </w:rPr>
        </w:r>
        <w:r w:rsidR="0079328A">
          <w:rPr>
            <w:noProof/>
            <w:webHidden/>
          </w:rPr>
          <w:fldChar w:fldCharType="separate"/>
        </w:r>
        <w:r w:rsidR="0079328A">
          <w:rPr>
            <w:noProof/>
            <w:webHidden/>
          </w:rPr>
          <w:t>17</w:t>
        </w:r>
        <w:r w:rsidR="0079328A">
          <w:rPr>
            <w:noProof/>
            <w:webHidden/>
          </w:rPr>
          <w:fldChar w:fldCharType="end"/>
        </w:r>
      </w:hyperlink>
    </w:p>
    <w:p w14:paraId="5AB8C36C" w14:textId="62CF7D21" w:rsidR="0079328A" w:rsidRDefault="00C3093C">
      <w:pPr>
        <w:pStyle w:val="TOC2"/>
        <w:tabs>
          <w:tab w:val="left" w:pos="1440"/>
        </w:tabs>
        <w:rPr>
          <w:rFonts w:asciiTheme="minorHAnsi" w:eastAsiaTheme="minorEastAsia" w:hAnsiTheme="minorHAnsi" w:cstheme="minorBidi"/>
          <w:noProof/>
          <w:sz w:val="22"/>
          <w:szCs w:val="22"/>
          <w:lang w:eastAsia="en-US"/>
        </w:rPr>
      </w:pPr>
      <w:hyperlink w:anchor="_Toc437034134" w:history="1">
        <w:r w:rsidR="0079328A" w:rsidRPr="001220B9">
          <w:rPr>
            <w:rStyle w:val="Hyperlink"/>
            <w:noProof/>
          </w:rPr>
          <w:t>4.5</w:t>
        </w:r>
        <w:r w:rsidR="0079328A">
          <w:rPr>
            <w:rFonts w:asciiTheme="minorHAnsi" w:eastAsiaTheme="minorEastAsia" w:hAnsiTheme="minorHAnsi" w:cstheme="minorBidi"/>
            <w:noProof/>
            <w:sz w:val="22"/>
            <w:szCs w:val="22"/>
            <w:lang w:eastAsia="en-US"/>
          </w:rPr>
          <w:tab/>
        </w:r>
        <w:r w:rsidR="0079328A" w:rsidRPr="001220B9">
          <w:rPr>
            <w:rStyle w:val="Hyperlink"/>
            <w:noProof/>
          </w:rPr>
          <w:t>Lessons for Future Concessions</w:t>
        </w:r>
        <w:r w:rsidR="0079328A">
          <w:rPr>
            <w:noProof/>
            <w:webHidden/>
          </w:rPr>
          <w:tab/>
        </w:r>
        <w:r w:rsidR="0079328A">
          <w:rPr>
            <w:noProof/>
            <w:webHidden/>
          </w:rPr>
          <w:fldChar w:fldCharType="begin"/>
        </w:r>
        <w:r w:rsidR="0079328A">
          <w:rPr>
            <w:noProof/>
            <w:webHidden/>
          </w:rPr>
          <w:instrText xml:space="preserve"> PAGEREF _Toc437034134 \h </w:instrText>
        </w:r>
        <w:r w:rsidR="0079328A">
          <w:rPr>
            <w:noProof/>
            <w:webHidden/>
          </w:rPr>
        </w:r>
        <w:r w:rsidR="0079328A">
          <w:rPr>
            <w:noProof/>
            <w:webHidden/>
          </w:rPr>
          <w:fldChar w:fldCharType="separate"/>
        </w:r>
        <w:r w:rsidR="0079328A">
          <w:rPr>
            <w:noProof/>
            <w:webHidden/>
          </w:rPr>
          <w:t>17</w:t>
        </w:r>
        <w:r w:rsidR="0079328A">
          <w:rPr>
            <w:noProof/>
            <w:webHidden/>
          </w:rPr>
          <w:fldChar w:fldCharType="end"/>
        </w:r>
      </w:hyperlink>
    </w:p>
    <w:p w14:paraId="666E5A90" w14:textId="3703BB94" w:rsidR="004E4BE2" w:rsidRPr="004E4BE2" w:rsidRDefault="005B45D7" w:rsidP="00BC22A3">
      <w:pPr>
        <w:pStyle w:val="TableText"/>
        <w:spacing w:before="0" w:after="0"/>
        <w:jc w:val="both"/>
      </w:pPr>
      <w:r>
        <w:fldChar w:fldCharType="end"/>
      </w:r>
    </w:p>
    <w:p w14:paraId="508E4EB4" w14:textId="77777777" w:rsidR="004E4BE2" w:rsidRDefault="004E4BE2" w:rsidP="004E4BE2">
      <w:pPr>
        <w:pStyle w:val="BoldHeading"/>
      </w:pPr>
      <w:r>
        <w:t>Tables</w:t>
      </w:r>
    </w:p>
    <w:p w14:paraId="2CFFAF86" w14:textId="08DD528D" w:rsidR="0079328A" w:rsidRDefault="005B45D7">
      <w:pPr>
        <w:pStyle w:val="TableofFigures"/>
        <w:rPr>
          <w:rFonts w:asciiTheme="minorHAnsi" w:eastAsiaTheme="minorEastAsia" w:hAnsiTheme="minorHAnsi" w:cstheme="minorBidi"/>
          <w:b w:val="0"/>
          <w:noProof/>
          <w:sz w:val="22"/>
          <w:szCs w:val="22"/>
          <w:lang w:eastAsia="en-US"/>
        </w:rPr>
      </w:pPr>
      <w:r>
        <w:fldChar w:fldCharType="begin"/>
      </w:r>
      <w:r w:rsidR="00083EBB">
        <w:instrText xml:space="preserve"> TOC \h \z \c "Table" </w:instrText>
      </w:r>
      <w:r>
        <w:fldChar w:fldCharType="separate"/>
      </w:r>
      <w:hyperlink w:anchor="_Toc437034135" w:history="1">
        <w:r w:rsidR="0079328A" w:rsidRPr="005258C8">
          <w:rPr>
            <w:rStyle w:val="Hyperlink"/>
            <w:noProof/>
          </w:rPr>
          <w:t>Table 2.1: Cameroon Summary Statistics</w:t>
        </w:r>
        <w:r w:rsidR="0079328A">
          <w:rPr>
            <w:noProof/>
            <w:webHidden/>
          </w:rPr>
          <w:tab/>
        </w:r>
        <w:r w:rsidR="0079328A">
          <w:rPr>
            <w:noProof/>
            <w:webHidden/>
          </w:rPr>
          <w:fldChar w:fldCharType="begin"/>
        </w:r>
        <w:r w:rsidR="0079328A">
          <w:rPr>
            <w:noProof/>
            <w:webHidden/>
          </w:rPr>
          <w:instrText xml:space="preserve"> PAGEREF _Toc437034135 \h </w:instrText>
        </w:r>
        <w:r w:rsidR="0079328A">
          <w:rPr>
            <w:noProof/>
            <w:webHidden/>
          </w:rPr>
        </w:r>
        <w:r w:rsidR="0079328A">
          <w:rPr>
            <w:noProof/>
            <w:webHidden/>
          </w:rPr>
          <w:fldChar w:fldCharType="separate"/>
        </w:r>
        <w:r w:rsidR="0079328A">
          <w:rPr>
            <w:noProof/>
            <w:webHidden/>
          </w:rPr>
          <w:t>2</w:t>
        </w:r>
        <w:r w:rsidR="0079328A">
          <w:rPr>
            <w:noProof/>
            <w:webHidden/>
          </w:rPr>
          <w:fldChar w:fldCharType="end"/>
        </w:r>
      </w:hyperlink>
    </w:p>
    <w:p w14:paraId="67FD76A7" w14:textId="2D442AB5" w:rsidR="0079328A" w:rsidRDefault="00C3093C">
      <w:pPr>
        <w:pStyle w:val="TableofFigures"/>
        <w:rPr>
          <w:rFonts w:asciiTheme="minorHAnsi" w:eastAsiaTheme="minorEastAsia" w:hAnsiTheme="minorHAnsi" w:cstheme="minorBidi"/>
          <w:b w:val="0"/>
          <w:noProof/>
          <w:sz w:val="22"/>
          <w:szCs w:val="22"/>
          <w:lang w:eastAsia="en-US"/>
        </w:rPr>
      </w:pPr>
      <w:hyperlink w:anchor="_Toc437034136" w:history="1">
        <w:r w:rsidR="0079328A" w:rsidRPr="005258C8">
          <w:rPr>
            <w:rStyle w:val="Hyperlink"/>
            <w:noProof/>
          </w:rPr>
          <w:t>Table 3.1: Stages of development of concession</w:t>
        </w:r>
        <w:r w:rsidR="0079328A">
          <w:rPr>
            <w:noProof/>
            <w:webHidden/>
          </w:rPr>
          <w:tab/>
        </w:r>
        <w:r w:rsidR="0079328A">
          <w:rPr>
            <w:noProof/>
            <w:webHidden/>
          </w:rPr>
          <w:fldChar w:fldCharType="begin"/>
        </w:r>
        <w:r w:rsidR="0079328A">
          <w:rPr>
            <w:noProof/>
            <w:webHidden/>
          </w:rPr>
          <w:instrText xml:space="preserve"> PAGEREF _Toc437034136 \h </w:instrText>
        </w:r>
        <w:r w:rsidR="0079328A">
          <w:rPr>
            <w:noProof/>
            <w:webHidden/>
          </w:rPr>
        </w:r>
        <w:r w:rsidR="0079328A">
          <w:rPr>
            <w:noProof/>
            <w:webHidden/>
          </w:rPr>
          <w:fldChar w:fldCharType="separate"/>
        </w:r>
        <w:r w:rsidR="0079328A">
          <w:rPr>
            <w:noProof/>
            <w:webHidden/>
          </w:rPr>
          <w:t>12</w:t>
        </w:r>
        <w:r w:rsidR="0079328A">
          <w:rPr>
            <w:noProof/>
            <w:webHidden/>
          </w:rPr>
          <w:fldChar w:fldCharType="end"/>
        </w:r>
      </w:hyperlink>
    </w:p>
    <w:p w14:paraId="01BDCFBF" w14:textId="535B3A1C" w:rsidR="0079328A" w:rsidRDefault="00C3093C">
      <w:pPr>
        <w:pStyle w:val="TableofFigures"/>
        <w:rPr>
          <w:rFonts w:asciiTheme="minorHAnsi" w:eastAsiaTheme="minorEastAsia" w:hAnsiTheme="minorHAnsi" w:cstheme="minorBidi"/>
          <w:b w:val="0"/>
          <w:noProof/>
          <w:sz w:val="22"/>
          <w:szCs w:val="22"/>
          <w:lang w:eastAsia="en-US"/>
        </w:rPr>
      </w:pPr>
      <w:hyperlink w:anchor="_Toc437034137" w:history="1">
        <w:r w:rsidR="0079328A" w:rsidRPr="005258C8">
          <w:rPr>
            <w:rStyle w:val="Hyperlink"/>
            <w:noProof/>
          </w:rPr>
          <w:t>Table 3.2: Low voltage tariff approved by ARSEL in May 2012</w:t>
        </w:r>
        <w:r w:rsidR="0079328A">
          <w:rPr>
            <w:noProof/>
            <w:webHidden/>
          </w:rPr>
          <w:tab/>
        </w:r>
        <w:r w:rsidR="0079328A">
          <w:rPr>
            <w:noProof/>
            <w:webHidden/>
          </w:rPr>
          <w:fldChar w:fldCharType="begin"/>
        </w:r>
        <w:r w:rsidR="0079328A">
          <w:rPr>
            <w:noProof/>
            <w:webHidden/>
          </w:rPr>
          <w:instrText xml:space="preserve"> PAGEREF _Toc437034137 \h </w:instrText>
        </w:r>
        <w:r w:rsidR="0079328A">
          <w:rPr>
            <w:noProof/>
            <w:webHidden/>
          </w:rPr>
        </w:r>
        <w:r w:rsidR="0079328A">
          <w:rPr>
            <w:noProof/>
            <w:webHidden/>
          </w:rPr>
          <w:fldChar w:fldCharType="separate"/>
        </w:r>
        <w:r w:rsidR="0079328A">
          <w:rPr>
            <w:noProof/>
            <w:webHidden/>
          </w:rPr>
          <w:t>15</w:t>
        </w:r>
        <w:r w:rsidR="0079328A">
          <w:rPr>
            <w:noProof/>
            <w:webHidden/>
          </w:rPr>
          <w:fldChar w:fldCharType="end"/>
        </w:r>
      </w:hyperlink>
    </w:p>
    <w:p w14:paraId="69D77527" w14:textId="5629B451" w:rsidR="0079328A" w:rsidRDefault="00C3093C">
      <w:pPr>
        <w:pStyle w:val="TableofFigures"/>
        <w:rPr>
          <w:rFonts w:asciiTheme="minorHAnsi" w:eastAsiaTheme="minorEastAsia" w:hAnsiTheme="minorHAnsi" w:cstheme="minorBidi"/>
          <w:b w:val="0"/>
          <w:noProof/>
          <w:sz w:val="22"/>
          <w:szCs w:val="22"/>
          <w:lang w:eastAsia="en-US"/>
        </w:rPr>
      </w:pPr>
      <w:hyperlink w:anchor="_Toc437034138" w:history="1">
        <w:r w:rsidR="0079328A" w:rsidRPr="005258C8">
          <w:rPr>
            <w:rStyle w:val="Hyperlink"/>
            <w:noProof/>
          </w:rPr>
          <w:t>Table 3.3: Compensation paid by government to ENEO for not applying revised tariff</w:t>
        </w:r>
        <w:r w:rsidR="0079328A">
          <w:rPr>
            <w:noProof/>
            <w:webHidden/>
          </w:rPr>
          <w:tab/>
        </w:r>
        <w:r w:rsidR="0079328A">
          <w:rPr>
            <w:noProof/>
            <w:webHidden/>
          </w:rPr>
          <w:fldChar w:fldCharType="begin"/>
        </w:r>
        <w:r w:rsidR="0079328A">
          <w:rPr>
            <w:noProof/>
            <w:webHidden/>
          </w:rPr>
          <w:instrText xml:space="preserve"> PAGEREF _Toc437034138 \h </w:instrText>
        </w:r>
        <w:r w:rsidR="0079328A">
          <w:rPr>
            <w:noProof/>
            <w:webHidden/>
          </w:rPr>
        </w:r>
        <w:r w:rsidR="0079328A">
          <w:rPr>
            <w:noProof/>
            <w:webHidden/>
          </w:rPr>
          <w:fldChar w:fldCharType="separate"/>
        </w:r>
        <w:r w:rsidR="0079328A">
          <w:rPr>
            <w:noProof/>
            <w:webHidden/>
          </w:rPr>
          <w:t>15</w:t>
        </w:r>
        <w:r w:rsidR="0079328A">
          <w:rPr>
            <w:noProof/>
            <w:webHidden/>
          </w:rPr>
          <w:fldChar w:fldCharType="end"/>
        </w:r>
      </w:hyperlink>
    </w:p>
    <w:p w14:paraId="62E8B156" w14:textId="69C7B1DF" w:rsidR="00083EBB" w:rsidRDefault="005B45D7" w:rsidP="00680DB2">
      <w:pPr>
        <w:pStyle w:val="TableofFigures"/>
      </w:pPr>
      <w:r>
        <w:fldChar w:fldCharType="end"/>
      </w:r>
    </w:p>
    <w:p w14:paraId="13E82402" w14:textId="77777777" w:rsidR="004E4BE2" w:rsidRDefault="004E4BE2" w:rsidP="004E4BE2">
      <w:pPr>
        <w:pStyle w:val="BoldHeading"/>
      </w:pPr>
      <w:r>
        <w:lastRenderedPageBreak/>
        <w:t>Figures</w:t>
      </w:r>
    </w:p>
    <w:p w14:paraId="08B6AA81" w14:textId="33EA2009" w:rsidR="0079328A" w:rsidRDefault="005B45D7">
      <w:pPr>
        <w:pStyle w:val="TableofFigures"/>
        <w:rPr>
          <w:rFonts w:asciiTheme="minorHAnsi" w:eastAsiaTheme="minorEastAsia" w:hAnsiTheme="minorHAnsi" w:cstheme="minorBidi"/>
          <w:b w:val="0"/>
          <w:noProof/>
          <w:sz w:val="22"/>
          <w:szCs w:val="22"/>
          <w:lang w:eastAsia="en-US"/>
        </w:rPr>
      </w:pPr>
      <w:r>
        <w:fldChar w:fldCharType="begin"/>
      </w:r>
      <w:r w:rsidR="00083EBB">
        <w:instrText xml:space="preserve"> TOC \h \z \c "Figure" </w:instrText>
      </w:r>
      <w:r>
        <w:fldChar w:fldCharType="separate"/>
      </w:r>
      <w:hyperlink w:anchor="_Toc437034139" w:history="1">
        <w:r w:rsidR="0079328A" w:rsidRPr="000C6E67">
          <w:rPr>
            <w:rStyle w:val="Hyperlink"/>
            <w:noProof/>
          </w:rPr>
          <w:t>Figure 2.1: Map of Cameroon Electricity Infrastructure</w:t>
        </w:r>
        <w:r w:rsidR="0079328A">
          <w:rPr>
            <w:noProof/>
            <w:webHidden/>
          </w:rPr>
          <w:tab/>
        </w:r>
        <w:r w:rsidR="0079328A">
          <w:rPr>
            <w:noProof/>
            <w:webHidden/>
          </w:rPr>
          <w:fldChar w:fldCharType="begin"/>
        </w:r>
        <w:r w:rsidR="0079328A">
          <w:rPr>
            <w:noProof/>
            <w:webHidden/>
          </w:rPr>
          <w:instrText xml:space="preserve"> PAGEREF _Toc437034139 \h </w:instrText>
        </w:r>
        <w:r w:rsidR="0079328A">
          <w:rPr>
            <w:noProof/>
            <w:webHidden/>
          </w:rPr>
        </w:r>
        <w:r w:rsidR="0079328A">
          <w:rPr>
            <w:noProof/>
            <w:webHidden/>
          </w:rPr>
          <w:fldChar w:fldCharType="separate"/>
        </w:r>
        <w:r w:rsidR="0079328A">
          <w:rPr>
            <w:noProof/>
            <w:webHidden/>
          </w:rPr>
          <w:t>5</w:t>
        </w:r>
        <w:r w:rsidR="0079328A">
          <w:rPr>
            <w:noProof/>
            <w:webHidden/>
          </w:rPr>
          <w:fldChar w:fldCharType="end"/>
        </w:r>
      </w:hyperlink>
    </w:p>
    <w:p w14:paraId="62B7DEDE" w14:textId="614C305F" w:rsidR="0079328A" w:rsidRDefault="00C3093C">
      <w:pPr>
        <w:pStyle w:val="TableofFigures"/>
        <w:rPr>
          <w:rFonts w:asciiTheme="minorHAnsi" w:eastAsiaTheme="minorEastAsia" w:hAnsiTheme="minorHAnsi" w:cstheme="minorBidi"/>
          <w:b w:val="0"/>
          <w:noProof/>
          <w:sz w:val="22"/>
          <w:szCs w:val="22"/>
          <w:lang w:eastAsia="en-US"/>
        </w:rPr>
      </w:pPr>
      <w:hyperlink w:anchor="_Toc437034140" w:history="1">
        <w:r w:rsidR="0079328A" w:rsidRPr="000C6E67">
          <w:rPr>
            <w:rStyle w:val="Hyperlink"/>
            <w:noProof/>
          </w:rPr>
          <w:t>Figure 2.2: Cameroon Power Market Structure</w:t>
        </w:r>
        <w:r w:rsidR="0079328A">
          <w:rPr>
            <w:noProof/>
            <w:webHidden/>
          </w:rPr>
          <w:tab/>
        </w:r>
        <w:r w:rsidR="0079328A">
          <w:rPr>
            <w:noProof/>
            <w:webHidden/>
          </w:rPr>
          <w:fldChar w:fldCharType="begin"/>
        </w:r>
        <w:r w:rsidR="0079328A">
          <w:rPr>
            <w:noProof/>
            <w:webHidden/>
          </w:rPr>
          <w:instrText xml:space="preserve"> PAGEREF _Toc437034140 \h </w:instrText>
        </w:r>
        <w:r w:rsidR="0079328A">
          <w:rPr>
            <w:noProof/>
            <w:webHidden/>
          </w:rPr>
        </w:r>
        <w:r w:rsidR="0079328A">
          <w:rPr>
            <w:noProof/>
            <w:webHidden/>
          </w:rPr>
          <w:fldChar w:fldCharType="separate"/>
        </w:r>
        <w:r w:rsidR="0079328A">
          <w:rPr>
            <w:noProof/>
            <w:webHidden/>
          </w:rPr>
          <w:t>7</w:t>
        </w:r>
        <w:r w:rsidR="0079328A">
          <w:rPr>
            <w:noProof/>
            <w:webHidden/>
          </w:rPr>
          <w:fldChar w:fldCharType="end"/>
        </w:r>
      </w:hyperlink>
    </w:p>
    <w:p w14:paraId="42EDD9D8" w14:textId="5EB0EBA9" w:rsidR="0079328A" w:rsidRDefault="00C3093C">
      <w:pPr>
        <w:pStyle w:val="TableofFigures"/>
        <w:rPr>
          <w:rFonts w:asciiTheme="minorHAnsi" w:eastAsiaTheme="minorEastAsia" w:hAnsiTheme="minorHAnsi" w:cstheme="minorBidi"/>
          <w:b w:val="0"/>
          <w:noProof/>
          <w:sz w:val="22"/>
          <w:szCs w:val="22"/>
          <w:lang w:eastAsia="en-US"/>
        </w:rPr>
      </w:pPr>
      <w:hyperlink w:anchor="_Toc437034141" w:history="1">
        <w:r w:rsidR="0079328A" w:rsidRPr="000C6E67">
          <w:rPr>
            <w:rStyle w:val="Hyperlink"/>
            <w:noProof/>
          </w:rPr>
          <w:t>Figure 2.3: Rural Electrification Rate in Cameroon (1990-2012)</w:t>
        </w:r>
        <w:r w:rsidR="0079328A">
          <w:rPr>
            <w:noProof/>
            <w:webHidden/>
          </w:rPr>
          <w:tab/>
        </w:r>
        <w:r w:rsidR="0079328A">
          <w:rPr>
            <w:noProof/>
            <w:webHidden/>
          </w:rPr>
          <w:fldChar w:fldCharType="begin"/>
        </w:r>
        <w:r w:rsidR="0079328A">
          <w:rPr>
            <w:noProof/>
            <w:webHidden/>
          </w:rPr>
          <w:instrText xml:space="preserve"> PAGEREF _Toc437034141 \h </w:instrText>
        </w:r>
        <w:r w:rsidR="0079328A">
          <w:rPr>
            <w:noProof/>
            <w:webHidden/>
          </w:rPr>
        </w:r>
        <w:r w:rsidR="0079328A">
          <w:rPr>
            <w:noProof/>
            <w:webHidden/>
          </w:rPr>
          <w:fldChar w:fldCharType="separate"/>
        </w:r>
        <w:r w:rsidR="0079328A">
          <w:rPr>
            <w:noProof/>
            <w:webHidden/>
          </w:rPr>
          <w:t>8</w:t>
        </w:r>
        <w:r w:rsidR="0079328A">
          <w:rPr>
            <w:noProof/>
            <w:webHidden/>
          </w:rPr>
          <w:fldChar w:fldCharType="end"/>
        </w:r>
      </w:hyperlink>
    </w:p>
    <w:p w14:paraId="39CAFC3A" w14:textId="6ED61D25" w:rsidR="0079328A" w:rsidRDefault="00C3093C">
      <w:pPr>
        <w:pStyle w:val="TableofFigures"/>
        <w:rPr>
          <w:rFonts w:asciiTheme="minorHAnsi" w:eastAsiaTheme="minorEastAsia" w:hAnsiTheme="minorHAnsi" w:cstheme="minorBidi"/>
          <w:b w:val="0"/>
          <w:noProof/>
          <w:sz w:val="22"/>
          <w:szCs w:val="22"/>
          <w:lang w:eastAsia="en-US"/>
        </w:rPr>
      </w:pPr>
      <w:hyperlink w:anchor="_Toc437034142" w:history="1">
        <w:r w:rsidR="0079328A" w:rsidRPr="000C6E67">
          <w:rPr>
            <w:rStyle w:val="Hyperlink"/>
            <w:noProof/>
          </w:rPr>
          <w:t>Figure 2.4: Population with Access to Electricity, Cameroon (1990-2012)</w:t>
        </w:r>
        <w:r w:rsidR="0079328A">
          <w:rPr>
            <w:noProof/>
            <w:webHidden/>
          </w:rPr>
          <w:tab/>
        </w:r>
        <w:r w:rsidR="0079328A">
          <w:rPr>
            <w:noProof/>
            <w:webHidden/>
          </w:rPr>
          <w:fldChar w:fldCharType="begin"/>
        </w:r>
        <w:r w:rsidR="0079328A">
          <w:rPr>
            <w:noProof/>
            <w:webHidden/>
          </w:rPr>
          <w:instrText xml:space="preserve"> PAGEREF _Toc437034142 \h </w:instrText>
        </w:r>
        <w:r w:rsidR="0079328A">
          <w:rPr>
            <w:noProof/>
            <w:webHidden/>
          </w:rPr>
        </w:r>
        <w:r w:rsidR="0079328A">
          <w:rPr>
            <w:noProof/>
            <w:webHidden/>
          </w:rPr>
          <w:fldChar w:fldCharType="separate"/>
        </w:r>
        <w:r w:rsidR="0079328A">
          <w:rPr>
            <w:noProof/>
            <w:webHidden/>
          </w:rPr>
          <w:t>8</w:t>
        </w:r>
        <w:r w:rsidR="0079328A">
          <w:rPr>
            <w:noProof/>
            <w:webHidden/>
          </w:rPr>
          <w:fldChar w:fldCharType="end"/>
        </w:r>
      </w:hyperlink>
    </w:p>
    <w:p w14:paraId="404C1688" w14:textId="57EF0C45" w:rsidR="004E4BE2" w:rsidRDefault="005B45D7" w:rsidP="00680DB2">
      <w:pPr>
        <w:pStyle w:val="TableofFigures"/>
      </w:pPr>
      <w:r>
        <w:fldChar w:fldCharType="end"/>
      </w:r>
    </w:p>
    <w:p w14:paraId="78A1C9BC" w14:textId="77777777" w:rsidR="00083EBB" w:rsidRDefault="00083EBB" w:rsidP="00083EBB">
      <w:pPr>
        <w:pStyle w:val="BodyText"/>
      </w:pPr>
    </w:p>
    <w:p w14:paraId="71C53385" w14:textId="77777777" w:rsidR="00083EBB" w:rsidRDefault="00083EBB" w:rsidP="00083EBB">
      <w:pPr>
        <w:pStyle w:val="BodyText"/>
        <w:sectPr w:rsidR="00083EBB" w:rsidSect="001B3981">
          <w:footerReference w:type="default" r:id="rId13"/>
          <w:pgSz w:w="12242" w:h="15842" w:code="1"/>
          <w:pgMar w:top="1440" w:right="1797" w:bottom="1440" w:left="1797" w:header="709" w:footer="709" w:gutter="0"/>
          <w:cols w:space="708"/>
          <w:docGrid w:linePitch="360"/>
        </w:sectPr>
      </w:pPr>
    </w:p>
    <w:p w14:paraId="355669AE" w14:textId="3EBA051C" w:rsidR="008F0B3C" w:rsidRDefault="008F0B3C" w:rsidP="009B6988">
      <w:pPr>
        <w:pStyle w:val="BoldHeading"/>
      </w:pPr>
      <w:bookmarkStart w:id="0" w:name="_Toc110929703"/>
      <w:r>
        <w:lastRenderedPageBreak/>
        <w:t>Executive Summary</w:t>
      </w:r>
    </w:p>
    <w:p w14:paraId="4F21157F" w14:textId="77777777" w:rsidR="00951DC7" w:rsidRDefault="00951DC7" w:rsidP="00951DC7">
      <w:pPr>
        <w:pStyle w:val="BodyText"/>
      </w:pPr>
    </w:p>
    <w:p w14:paraId="3D80AF12" w14:textId="77777777" w:rsidR="000320E4" w:rsidRDefault="000320E4" w:rsidP="000320E4">
      <w:pPr>
        <w:pStyle w:val="BodyText"/>
      </w:pPr>
      <w:r>
        <w:t xml:space="preserve">Although still low, Cameroon’s rural electrification rate has risen significantly, from around 11 percent in 2000, to 18 percent in 2012. </w:t>
      </w:r>
    </w:p>
    <w:p w14:paraId="0CC90801" w14:textId="1976CCD8" w:rsidR="000320E4" w:rsidRDefault="000320E4" w:rsidP="000320E4">
      <w:pPr>
        <w:pStyle w:val="BodyText"/>
      </w:pPr>
      <w:r>
        <w:t xml:space="preserve">Since 2001, a concession for the national electricity system has been used to extend connections to </w:t>
      </w:r>
      <w:r w:rsidR="00FA4943">
        <w:t>over 190,000 rural households. The</w:t>
      </w:r>
      <w:r>
        <w:t xml:space="preserve"> concession </w:t>
      </w:r>
      <w:r w:rsidR="007076F8">
        <w:t xml:space="preserve">was </w:t>
      </w:r>
      <w:r>
        <w:t xml:space="preserve">for the vertically-integrated </w:t>
      </w:r>
      <w:r w:rsidR="007076F8">
        <w:t>and</w:t>
      </w:r>
      <w:r>
        <w:t xml:space="preserve"> formerly state-owned national utility, SONEL</w:t>
      </w:r>
      <w:r w:rsidR="007076F8">
        <w:t>. From 2001 to 2014, this concession</w:t>
      </w:r>
      <w:r>
        <w:t xml:space="preserve"> </w:t>
      </w:r>
      <w:r w:rsidR="00893A11">
        <w:t>was</w:t>
      </w:r>
      <w:r>
        <w:t xml:space="preserve"> held by AES SONEL</w:t>
      </w:r>
      <w:r w:rsidR="007076F8">
        <w:t>. After 2014 ownership transferred to</w:t>
      </w:r>
      <w:r w:rsidR="00893A11">
        <w:t xml:space="preserve"> </w:t>
      </w:r>
      <w:r>
        <w:t>ENEO. Th</w:t>
      </w:r>
      <w:r w:rsidR="007076F8">
        <w:t>ese</w:t>
      </w:r>
      <w:r>
        <w:t xml:space="preserve"> concession</w:t>
      </w:r>
      <w:r w:rsidR="007076F8">
        <w:t>s</w:t>
      </w:r>
      <w:r>
        <w:t xml:space="preserve"> </w:t>
      </w:r>
      <w:r w:rsidR="00FA4943">
        <w:t>ha</w:t>
      </w:r>
      <w:r w:rsidR="007076F8">
        <w:t>ve</w:t>
      </w:r>
      <w:r w:rsidR="00FA4943">
        <w:t xml:space="preserve"> been</w:t>
      </w:r>
      <w:r>
        <w:t xml:space="preserve"> the </w:t>
      </w:r>
      <w:r w:rsidR="00FA4943">
        <w:t>main</w:t>
      </w:r>
      <w:r>
        <w:t xml:space="preserve"> driver of Cameroon’s electrification. </w:t>
      </w:r>
    </w:p>
    <w:p w14:paraId="1744C643" w14:textId="538402C3" w:rsidR="000320E4" w:rsidRDefault="000320E4" w:rsidP="000320E4">
      <w:pPr>
        <w:pStyle w:val="BodyText"/>
      </w:pPr>
      <w:r w:rsidRPr="000320E4">
        <w:rPr>
          <w:b/>
        </w:rPr>
        <w:t>History:</w:t>
      </w:r>
      <w:r>
        <w:t xml:space="preserve"> </w:t>
      </w:r>
      <w:r w:rsidR="007076F8">
        <w:t>In 1998, t</w:t>
      </w:r>
      <w:r>
        <w:t xml:space="preserve">he Government of Cameroon passed </w:t>
      </w:r>
      <w:r w:rsidR="007076F8">
        <w:t>the</w:t>
      </w:r>
      <w:r>
        <w:t xml:space="preserve"> Electricity Law</w:t>
      </w:r>
      <w:r w:rsidR="007076F8">
        <w:t>. This law established an electricity</w:t>
      </w:r>
      <w:r>
        <w:t xml:space="preserve"> sector regulator and a rural electrification agency. </w:t>
      </w:r>
      <w:r w:rsidR="007076F8">
        <w:t xml:space="preserve">It was designed </w:t>
      </w:r>
      <w:r>
        <w:t xml:space="preserve">to attract private sector </w:t>
      </w:r>
      <w:r w:rsidR="007076F8">
        <w:t>participation</w:t>
      </w:r>
      <w:r>
        <w:t xml:space="preserve">. In 2001 the Government privatized the state-owned electric utility SONEL through a 20-year concession to the American power company AES. AES SONEL was granted a monopoly over transmission and distribution and the right to own up to 1,000MW of generation capacity. In 2014, AES sold its stake in AES SONEL to Actis. The company was renamed ENEO. </w:t>
      </w:r>
    </w:p>
    <w:p w14:paraId="4476BF26" w14:textId="058838F3" w:rsidR="000320E4" w:rsidRDefault="000320E4" w:rsidP="000320E4">
      <w:pPr>
        <w:pStyle w:val="BodyText"/>
      </w:pPr>
      <w:r w:rsidRPr="000320E4">
        <w:rPr>
          <w:b/>
        </w:rPr>
        <w:t>ENEO:</w:t>
      </w:r>
      <w:r>
        <w:t xml:space="preserve"> ENEO </w:t>
      </w:r>
      <w:r w:rsidR="00682D46" w:rsidRPr="00682D46">
        <w:t xml:space="preserve">(formerly </w:t>
      </w:r>
      <w:r w:rsidR="00682D46">
        <w:t xml:space="preserve">known as </w:t>
      </w:r>
      <w:r w:rsidR="00682D46" w:rsidRPr="00682D46">
        <w:t>AES SONEL)</w:t>
      </w:r>
      <w:r w:rsidR="00682D46">
        <w:t xml:space="preserve"> </w:t>
      </w:r>
      <w:r>
        <w:t>has achieved over 500,000 new connections since entering private hands. The concession</w:t>
      </w:r>
      <w:r w:rsidR="002D28FC">
        <w:t xml:space="preserve"> agreement obligates ENEO </w:t>
      </w:r>
      <w:r>
        <w:t>to connect new customers—</w:t>
      </w:r>
      <w:r w:rsidR="00682D46">
        <w:t>the concessionaire</w:t>
      </w:r>
      <w:r>
        <w:t xml:space="preserve"> originally met this obligation by focusing on urban and peri-urban areas, to the detriment of rural areas. However, over time </w:t>
      </w:r>
      <w:r w:rsidR="002D28FC">
        <w:t>specific regional</w:t>
      </w:r>
      <w:r>
        <w:t xml:space="preserve"> access targets </w:t>
      </w:r>
      <w:r w:rsidR="00682D46">
        <w:t>were set</w:t>
      </w:r>
      <w:r>
        <w:t xml:space="preserve">. The Government of Cameroon and donors finance grid extension projects and then transfer them to ENEO, thereby extending ENEO’s service perimeter. Today, around 35 percent of ENEO’s one million connections are in rural areas. </w:t>
      </w:r>
    </w:p>
    <w:p w14:paraId="1A8FE13C" w14:textId="1047C3C9" w:rsidR="000320E4" w:rsidRDefault="000320E4" w:rsidP="000320E4">
      <w:pPr>
        <w:pStyle w:val="BodyText"/>
      </w:pPr>
      <w:r w:rsidRPr="000320E4">
        <w:rPr>
          <w:b/>
        </w:rPr>
        <w:t>Challenges:</w:t>
      </w:r>
      <w:r>
        <w:t xml:space="preserve"> The concession has not been without its challenges. The concession contract has been reopened for negotiations at least three times since 2001</w:t>
      </w:r>
      <w:r w:rsidR="00B42673">
        <w:t>–f</w:t>
      </w:r>
      <w:r>
        <w:t xml:space="preserve">irst in 2006, then in 2011, and </w:t>
      </w:r>
      <w:r w:rsidR="00893A11">
        <w:t>most recently</w:t>
      </w:r>
      <w:r>
        <w:t xml:space="preserve"> in 2015. A continuing challenge </w:t>
      </w:r>
      <w:r w:rsidR="00893A11">
        <w:t>is</w:t>
      </w:r>
      <w:r>
        <w:t xml:space="preserve"> the relatively high tariffs charged by ENEO. In 2011, the Government opted to freeze tariffs and to directly compensate the concessionaire. </w:t>
      </w:r>
    </w:p>
    <w:p w14:paraId="1CC078C4" w14:textId="6D7A773F" w:rsidR="000320E4" w:rsidRDefault="000320E4" w:rsidP="000320E4">
      <w:pPr>
        <w:pStyle w:val="BodyText"/>
      </w:pPr>
      <w:r w:rsidRPr="000320E4">
        <w:rPr>
          <w:b/>
        </w:rPr>
        <w:t>New Directions:</w:t>
      </w:r>
      <w:r>
        <w:t xml:space="preserve"> Going forward, the Government </w:t>
      </w:r>
      <w:r w:rsidR="002D28FC">
        <w:t>continues</w:t>
      </w:r>
      <w:r>
        <w:t xml:space="preserve"> to finance and build </w:t>
      </w:r>
      <w:r w:rsidR="002D28FC">
        <w:t xml:space="preserve">new </w:t>
      </w:r>
      <w:r>
        <w:t>grid extension</w:t>
      </w:r>
      <w:r w:rsidR="002D28FC">
        <w:t>s</w:t>
      </w:r>
      <w:r>
        <w:t xml:space="preserve"> with the intent to </w:t>
      </w:r>
      <w:r w:rsidR="002D28FC">
        <w:t xml:space="preserve">transfer them </w:t>
      </w:r>
      <w:r>
        <w:t xml:space="preserve">to ENEO. The Government has also been trying, mostly unsuccessfully, to attract private sector participation in projects outside the ENEO concession area. </w:t>
      </w:r>
    </w:p>
    <w:p w14:paraId="60E5F611" w14:textId="77777777" w:rsidR="000301E0" w:rsidRPr="000320E4" w:rsidRDefault="000320E4" w:rsidP="000320E4">
      <w:pPr>
        <w:pStyle w:val="BodyText"/>
        <w:rPr>
          <w:b/>
        </w:rPr>
      </w:pPr>
      <w:r w:rsidRPr="000320E4">
        <w:rPr>
          <w:b/>
        </w:rPr>
        <w:t>Key Lessons:</w:t>
      </w:r>
    </w:p>
    <w:p w14:paraId="678C6DA2" w14:textId="77777777" w:rsidR="00FA4943" w:rsidRDefault="00FA4943" w:rsidP="00FA4943">
      <w:pPr>
        <w:pStyle w:val="BodyText"/>
      </w:pPr>
      <w:r>
        <w:t>The concession illustrates lessons for governments considering using a concession approach to rural electrification:</w:t>
      </w:r>
    </w:p>
    <w:p w14:paraId="1156C648" w14:textId="49B8918A" w:rsidR="00FA4943" w:rsidRPr="006B551D" w:rsidRDefault="00FA4943" w:rsidP="00FA4943">
      <w:pPr>
        <w:pStyle w:val="ListBullet"/>
      </w:pPr>
      <w:r w:rsidRPr="006B551D">
        <w:t>National utility concessions can be powerful agents for change</w:t>
      </w:r>
    </w:p>
    <w:p w14:paraId="4901773F" w14:textId="330EBC20" w:rsidR="00FA4943" w:rsidRPr="006B551D" w:rsidRDefault="00FA4943" w:rsidP="00FA4943">
      <w:pPr>
        <w:pStyle w:val="ListBullet"/>
      </w:pPr>
      <w:r w:rsidRPr="006B551D">
        <w:t xml:space="preserve">Grid extension can be </w:t>
      </w:r>
      <w:r w:rsidR="00D00AF8">
        <w:t xml:space="preserve">implemented and </w:t>
      </w:r>
      <w:r w:rsidRPr="006B551D">
        <w:t>financed by a combination of private</w:t>
      </w:r>
      <w:r w:rsidR="00943D6B">
        <w:t xml:space="preserve"> enterprises</w:t>
      </w:r>
      <w:r w:rsidRPr="006B551D">
        <w:t>, public</w:t>
      </w:r>
      <w:r w:rsidR="00943D6B">
        <w:t xml:space="preserve"> actors</w:t>
      </w:r>
      <w:r w:rsidRPr="006B551D">
        <w:t xml:space="preserve"> and donor</w:t>
      </w:r>
      <w:r w:rsidR="00943D6B">
        <w:t>s</w:t>
      </w:r>
      <w:r w:rsidR="006B551D" w:rsidRPr="006B551D">
        <w:t>.</w:t>
      </w:r>
    </w:p>
    <w:p w14:paraId="0A96D049" w14:textId="77777777" w:rsidR="00FA4943" w:rsidRPr="00931A18" w:rsidRDefault="00FA4943" w:rsidP="000513B2">
      <w:pPr>
        <w:pStyle w:val="BodyText"/>
        <w:sectPr w:rsidR="00FA4943" w:rsidRPr="00931A18" w:rsidSect="001B3981">
          <w:footerReference w:type="default" r:id="rId14"/>
          <w:pgSz w:w="12242" w:h="15842" w:code="1"/>
          <w:pgMar w:top="1440" w:right="1797" w:bottom="1440" w:left="1797" w:header="709" w:footer="709" w:gutter="0"/>
          <w:pgNumType w:fmt="lowerRoman" w:start="1"/>
          <w:cols w:space="708"/>
          <w:docGrid w:linePitch="360"/>
        </w:sectPr>
      </w:pPr>
    </w:p>
    <w:p w14:paraId="388DBC87" w14:textId="3DF7D926" w:rsidR="00213EAA" w:rsidRDefault="00213EAA" w:rsidP="00213EAA">
      <w:pPr>
        <w:pStyle w:val="Heading1"/>
      </w:pPr>
      <w:bookmarkStart w:id="1" w:name="_Ref437033060"/>
      <w:bookmarkStart w:id="2" w:name="_Toc437034115"/>
      <w:bookmarkStart w:id="3" w:name="_Toc428279271"/>
      <w:bookmarkStart w:id="4" w:name="_Toc428378308"/>
      <w:bookmarkStart w:id="5" w:name="_Toc432608940"/>
      <w:bookmarkStart w:id="6" w:name="_Toc432619291"/>
      <w:bookmarkEnd w:id="0"/>
      <w:r>
        <w:lastRenderedPageBreak/>
        <w:t>Introduction</w:t>
      </w:r>
      <w:bookmarkEnd w:id="1"/>
      <w:bookmarkEnd w:id="2"/>
    </w:p>
    <w:p w14:paraId="07E328FA" w14:textId="79259AC4" w:rsidR="00213EAA" w:rsidRDefault="00213EAA" w:rsidP="00213EAA">
      <w:pPr>
        <w:pStyle w:val="BodyText"/>
      </w:pPr>
      <w:r>
        <w:t>The purpose of this report is to review Cameroon’s experience with rural electrification concessions.</w:t>
      </w:r>
      <w:r w:rsidR="0031291A">
        <w:t xml:space="preserve"> Since 2001, a </w:t>
      </w:r>
      <w:r w:rsidR="00AC7848">
        <w:t xml:space="preserve">private entity has </w:t>
      </w:r>
      <w:r w:rsidR="0079328A">
        <w:t>held</w:t>
      </w:r>
      <w:r w:rsidR="00AC7848">
        <w:t xml:space="preserve"> a concession to operate </w:t>
      </w:r>
      <w:r w:rsidR="0031291A">
        <w:t xml:space="preserve">the </w:t>
      </w:r>
      <w:r w:rsidR="00AC7848">
        <w:t xml:space="preserve">state-owned national electricity system. </w:t>
      </w:r>
      <w:r w:rsidR="0031291A">
        <w:t xml:space="preserve">Cameroon has also unsuccessfully tried to implement smaller concessions in rural areas. </w:t>
      </w:r>
      <w:r>
        <w:t xml:space="preserve">This case study is one of six detailed case studies that form a body of evidence on the experience and successes of rural electrification concessions across sub-Saharan Africa. </w:t>
      </w:r>
    </w:p>
    <w:p w14:paraId="30A7A70F" w14:textId="06EBD4CD" w:rsidR="00213EAA" w:rsidRDefault="00213EAA" w:rsidP="00213EAA">
      <w:pPr>
        <w:pStyle w:val="BodyText"/>
      </w:pPr>
      <w:r>
        <w:t>Background on the Cameroon power system and its approach to rural electrifi</w:t>
      </w:r>
      <w:r w:rsidR="0031291A">
        <w:t xml:space="preserve">cation is presented in Section </w:t>
      </w:r>
      <w:r w:rsidR="0031291A">
        <w:fldChar w:fldCharType="begin"/>
      </w:r>
      <w:r w:rsidR="0031291A">
        <w:instrText xml:space="preserve"> REF _Ref437032347 \r \h </w:instrText>
      </w:r>
      <w:r w:rsidR="0031291A">
        <w:fldChar w:fldCharType="separate"/>
      </w:r>
      <w:r w:rsidR="0079328A">
        <w:t>2</w:t>
      </w:r>
      <w:r w:rsidR="0031291A">
        <w:fldChar w:fldCharType="end"/>
      </w:r>
      <w:r w:rsidR="00AC7848">
        <w:t xml:space="preserve">. The implementation of the </w:t>
      </w:r>
      <w:r>
        <w:t>conces</w:t>
      </w:r>
      <w:r w:rsidR="00AC7848">
        <w:t>sion for the national utility—ENEO (formerly known as AES SONEL)—i</w:t>
      </w:r>
      <w:r>
        <w:t xml:space="preserve">s reviewed in detail in Section </w:t>
      </w:r>
      <w:r w:rsidR="00AC7848">
        <w:fldChar w:fldCharType="begin"/>
      </w:r>
      <w:r w:rsidR="00AC7848">
        <w:instrText xml:space="preserve"> REF _Ref437033051 \r \h </w:instrText>
      </w:r>
      <w:r w:rsidR="00AC7848">
        <w:fldChar w:fldCharType="separate"/>
      </w:r>
      <w:r w:rsidR="0079328A">
        <w:t>3</w:t>
      </w:r>
      <w:r w:rsidR="00AC7848">
        <w:fldChar w:fldCharType="end"/>
      </w:r>
      <w:r w:rsidR="00AC7848">
        <w:t xml:space="preserve">. </w:t>
      </w:r>
      <w:r>
        <w:t xml:space="preserve">The report concludes with an assessment of the concession model in </w:t>
      </w:r>
      <w:r w:rsidR="00AC7848">
        <w:t xml:space="preserve">Cameroon in Section </w:t>
      </w:r>
      <w:r w:rsidR="00AC7848">
        <w:fldChar w:fldCharType="begin"/>
      </w:r>
      <w:r w:rsidR="00AC7848">
        <w:instrText xml:space="preserve"> REF _Ref437033090 \r \h </w:instrText>
      </w:r>
      <w:r w:rsidR="00AC7848">
        <w:fldChar w:fldCharType="separate"/>
      </w:r>
      <w:r w:rsidR="0079328A">
        <w:t>4</w:t>
      </w:r>
      <w:r w:rsidR="00AC7848">
        <w:fldChar w:fldCharType="end"/>
      </w:r>
      <w:r w:rsidR="00AC7848">
        <w:t>.</w:t>
      </w:r>
      <w:r>
        <w:br w:type="page"/>
      </w:r>
    </w:p>
    <w:p w14:paraId="44D39E70" w14:textId="0D5246D3" w:rsidR="000301E0" w:rsidRDefault="007F418D" w:rsidP="000301E0">
      <w:pPr>
        <w:pStyle w:val="Heading1"/>
      </w:pPr>
      <w:bookmarkStart w:id="7" w:name="_Ref437032347"/>
      <w:bookmarkStart w:id="8" w:name="_Toc437034116"/>
      <w:r>
        <w:lastRenderedPageBreak/>
        <w:t>Cameroon</w:t>
      </w:r>
      <w:r w:rsidR="000301E0">
        <w:t xml:space="preserve"> Backgroun</w:t>
      </w:r>
      <w:bookmarkEnd w:id="3"/>
      <w:bookmarkEnd w:id="4"/>
      <w:r w:rsidR="009C0501">
        <w:t>d</w:t>
      </w:r>
      <w:bookmarkEnd w:id="5"/>
      <w:bookmarkEnd w:id="6"/>
      <w:bookmarkEnd w:id="7"/>
      <w:bookmarkEnd w:id="8"/>
      <w:r w:rsidR="000301E0">
        <w:t xml:space="preserve"> </w:t>
      </w:r>
    </w:p>
    <w:p w14:paraId="3A610570" w14:textId="77777777" w:rsidR="00FB5206" w:rsidRDefault="00FB5206" w:rsidP="00FB5206">
      <w:pPr>
        <w:pStyle w:val="BodyText"/>
      </w:pPr>
      <w:r>
        <w:t xml:space="preserve">To put Cameroon’s rural electrification concessions in context, we first present the historical, economic and political context. Reference statistics for Cameroon are presented below. </w:t>
      </w:r>
    </w:p>
    <w:p w14:paraId="3028DD19" w14:textId="67BE0D1A" w:rsidR="00FB5206" w:rsidRDefault="00FB5206">
      <w:pPr>
        <w:pStyle w:val="Caption"/>
      </w:pPr>
      <w:bookmarkStart w:id="9" w:name="_Toc437034135"/>
      <w:r>
        <w:t xml:space="preserve">Table </w:t>
      </w:r>
      <w:fldSimple w:instr=" STYLEREF 1 \s ">
        <w:r w:rsidR="0079328A">
          <w:rPr>
            <w:noProof/>
          </w:rPr>
          <w:t>2</w:t>
        </w:r>
      </w:fldSimple>
      <w:r>
        <w:t>.</w:t>
      </w:r>
      <w:fldSimple w:instr=" SEQ Table \* ARABIC \s 1 ">
        <w:r w:rsidR="0079328A">
          <w:rPr>
            <w:noProof/>
          </w:rPr>
          <w:t>1</w:t>
        </w:r>
      </w:fldSimple>
      <w:r>
        <w:t>: Cameroon Summary Statistics</w:t>
      </w:r>
      <w:bookmarkEnd w:id="9"/>
    </w:p>
    <w:tbl>
      <w:tblPr>
        <w:tblStyle w:val="TableGrid"/>
        <w:tblW w:w="0" w:type="auto"/>
        <w:tblLook w:val="04A0" w:firstRow="1" w:lastRow="0" w:firstColumn="1" w:lastColumn="0" w:noHBand="0" w:noVBand="1"/>
      </w:tblPr>
      <w:tblGrid>
        <w:gridCol w:w="5246"/>
        <w:gridCol w:w="1092"/>
      </w:tblGrid>
      <w:tr w:rsidR="00FB5206" w:rsidRPr="00680DB2" w14:paraId="0E98C286" w14:textId="77777777" w:rsidTr="00DA1F66">
        <w:trPr>
          <w:trHeight w:val="300"/>
        </w:trPr>
        <w:tc>
          <w:tcPr>
            <w:tcW w:w="5246" w:type="dxa"/>
            <w:shd w:val="clear" w:color="auto" w:fill="1F497D" w:themeFill="text2"/>
            <w:hideMark/>
          </w:tcPr>
          <w:p w14:paraId="51D3607C" w14:textId="77777777" w:rsidR="00FB5206" w:rsidRPr="00680DB2" w:rsidRDefault="00FB5206" w:rsidP="00DA1F66">
            <w:pPr>
              <w:pStyle w:val="TableText"/>
              <w:jc w:val="center"/>
              <w:rPr>
                <w:b/>
                <w:color w:val="FFFFFF" w:themeColor="background1"/>
              </w:rPr>
            </w:pPr>
            <w:r w:rsidRPr="00680DB2">
              <w:rPr>
                <w:b/>
                <w:color w:val="FFFFFF" w:themeColor="background1"/>
              </w:rPr>
              <w:t>Indicator</w:t>
            </w:r>
          </w:p>
        </w:tc>
        <w:tc>
          <w:tcPr>
            <w:tcW w:w="1092" w:type="dxa"/>
            <w:shd w:val="clear" w:color="auto" w:fill="1F497D" w:themeFill="text2"/>
            <w:hideMark/>
          </w:tcPr>
          <w:p w14:paraId="35295B1A" w14:textId="77777777" w:rsidR="00FB5206" w:rsidRPr="00680DB2" w:rsidRDefault="00FB5206" w:rsidP="00DA1F66">
            <w:pPr>
              <w:pStyle w:val="TableText"/>
              <w:jc w:val="center"/>
              <w:rPr>
                <w:b/>
                <w:color w:val="FFFFFF" w:themeColor="background1"/>
              </w:rPr>
            </w:pPr>
            <w:r w:rsidRPr="00680DB2">
              <w:rPr>
                <w:b/>
                <w:color w:val="FFFFFF" w:themeColor="background1"/>
              </w:rPr>
              <w:t>Value</w:t>
            </w:r>
          </w:p>
        </w:tc>
      </w:tr>
      <w:tr w:rsidR="00FB5206" w:rsidRPr="001B3F21" w14:paraId="5062785B" w14:textId="77777777" w:rsidTr="00DA1F66">
        <w:trPr>
          <w:trHeight w:val="300"/>
        </w:trPr>
        <w:tc>
          <w:tcPr>
            <w:tcW w:w="6338" w:type="dxa"/>
            <w:gridSpan w:val="2"/>
            <w:shd w:val="clear" w:color="auto" w:fill="D9D9D9" w:themeFill="background1" w:themeFillShade="D9"/>
            <w:hideMark/>
          </w:tcPr>
          <w:p w14:paraId="156B4C80" w14:textId="77777777" w:rsidR="00FB5206" w:rsidRPr="001B3F21" w:rsidRDefault="00FB5206" w:rsidP="00DA1F66">
            <w:pPr>
              <w:pStyle w:val="TableText"/>
            </w:pPr>
            <w:r w:rsidRPr="001B3F21">
              <w:t>Demographics</w:t>
            </w:r>
          </w:p>
        </w:tc>
      </w:tr>
      <w:tr w:rsidR="00FB5206" w:rsidRPr="001B3F21" w14:paraId="7037826C" w14:textId="77777777" w:rsidTr="00DA1F66">
        <w:trPr>
          <w:trHeight w:val="300"/>
        </w:trPr>
        <w:tc>
          <w:tcPr>
            <w:tcW w:w="5246" w:type="dxa"/>
            <w:hideMark/>
          </w:tcPr>
          <w:p w14:paraId="6CB01B30" w14:textId="77777777" w:rsidR="00FB5206" w:rsidRPr="001B3F21" w:rsidRDefault="00FB5206" w:rsidP="00DA1F66">
            <w:pPr>
              <w:pStyle w:val="TableText"/>
            </w:pPr>
            <w:r w:rsidRPr="001B3F21">
              <w:t>Population, total (2014)</w:t>
            </w:r>
          </w:p>
        </w:tc>
        <w:tc>
          <w:tcPr>
            <w:tcW w:w="1092" w:type="dxa"/>
            <w:hideMark/>
          </w:tcPr>
          <w:p w14:paraId="3B10025D" w14:textId="77777777" w:rsidR="00FB5206" w:rsidRPr="001B3F21" w:rsidRDefault="00FB5206" w:rsidP="00DA1F66">
            <w:pPr>
              <w:pStyle w:val="TableText"/>
              <w:jc w:val="right"/>
            </w:pPr>
            <w:r w:rsidRPr="001B3F21">
              <w:t xml:space="preserve">22,818,632 </w:t>
            </w:r>
          </w:p>
        </w:tc>
      </w:tr>
      <w:tr w:rsidR="00FB5206" w:rsidRPr="001B3F21" w14:paraId="2E388A39" w14:textId="77777777" w:rsidTr="00DA1F66">
        <w:trPr>
          <w:trHeight w:val="300"/>
        </w:trPr>
        <w:tc>
          <w:tcPr>
            <w:tcW w:w="5246" w:type="dxa"/>
            <w:hideMark/>
          </w:tcPr>
          <w:p w14:paraId="1C9364DE" w14:textId="77777777" w:rsidR="00FB5206" w:rsidRPr="001B3F21" w:rsidRDefault="00FB5206" w:rsidP="00DA1F66">
            <w:pPr>
              <w:pStyle w:val="TableText"/>
            </w:pPr>
            <w:r w:rsidRPr="001B3F21">
              <w:t>Population growth, 10-year average (2004-2014)</w:t>
            </w:r>
          </w:p>
        </w:tc>
        <w:tc>
          <w:tcPr>
            <w:tcW w:w="1092" w:type="dxa"/>
            <w:hideMark/>
          </w:tcPr>
          <w:p w14:paraId="5D916766" w14:textId="77777777" w:rsidR="00FB5206" w:rsidRPr="001B3F21" w:rsidRDefault="00FB5206" w:rsidP="00DA1F66">
            <w:pPr>
              <w:pStyle w:val="TableText"/>
              <w:jc w:val="right"/>
            </w:pPr>
            <w:r w:rsidRPr="001B3F21">
              <w:t>2.55%</w:t>
            </w:r>
          </w:p>
        </w:tc>
      </w:tr>
      <w:tr w:rsidR="00FB5206" w:rsidRPr="001B3F21" w14:paraId="7A468F22" w14:textId="77777777" w:rsidTr="00DA1F66">
        <w:trPr>
          <w:trHeight w:val="300"/>
        </w:trPr>
        <w:tc>
          <w:tcPr>
            <w:tcW w:w="5246" w:type="dxa"/>
            <w:hideMark/>
          </w:tcPr>
          <w:p w14:paraId="4A1B8233" w14:textId="77777777" w:rsidR="00FB5206" w:rsidRPr="001B3F21" w:rsidRDefault="00FB5206" w:rsidP="00DA1F66">
            <w:pPr>
              <w:pStyle w:val="TableText"/>
            </w:pPr>
            <w:r w:rsidRPr="001B3F21">
              <w:t>Rural population (% of total population) (2014)</w:t>
            </w:r>
          </w:p>
        </w:tc>
        <w:tc>
          <w:tcPr>
            <w:tcW w:w="1092" w:type="dxa"/>
            <w:hideMark/>
          </w:tcPr>
          <w:p w14:paraId="1C5EC209" w14:textId="77777777" w:rsidR="00FB5206" w:rsidRPr="001B3F21" w:rsidRDefault="00FB5206" w:rsidP="00DA1F66">
            <w:pPr>
              <w:pStyle w:val="TableText"/>
              <w:jc w:val="right"/>
            </w:pPr>
            <w:r w:rsidRPr="001B3F21">
              <w:t>46.20%</w:t>
            </w:r>
          </w:p>
        </w:tc>
      </w:tr>
      <w:tr w:rsidR="00FB5206" w:rsidRPr="001B3F21" w14:paraId="47A8EBDB" w14:textId="77777777" w:rsidTr="00DA1F66">
        <w:trPr>
          <w:trHeight w:val="300"/>
        </w:trPr>
        <w:tc>
          <w:tcPr>
            <w:tcW w:w="5246" w:type="dxa"/>
            <w:hideMark/>
          </w:tcPr>
          <w:p w14:paraId="7FEE1092" w14:textId="77777777" w:rsidR="00FB5206" w:rsidRPr="001B3F21" w:rsidRDefault="00FB5206" w:rsidP="00DA1F66">
            <w:pPr>
              <w:pStyle w:val="TableText"/>
            </w:pPr>
            <w:r w:rsidRPr="001B3F21">
              <w:t>Rural population growth, 10-year average (2004-2014)</w:t>
            </w:r>
          </w:p>
        </w:tc>
        <w:tc>
          <w:tcPr>
            <w:tcW w:w="1092" w:type="dxa"/>
            <w:hideMark/>
          </w:tcPr>
          <w:p w14:paraId="6AFEAFBE" w14:textId="77777777" w:rsidR="00FB5206" w:rsidRPr="001B3F21" w:rsidRDefault="00FB5206" w:rsidP="00DA1F66">
            <w:pPr>
              <w:pStyle w:val="TableText"/>
              <w:jc w:val="right"/>
            </w:pPr>
            <w:r w:rsidRPr="001B3F21">
              <w:t>1.36%</w:t>
            </w:r>
          </w:p>
        </w:tc>
      </w:tr>
      <w:tr w:rsidR="00FB5206" w:rsidRPr="001B3F21" w14:paraId="7754DB07" w14:textId="77777777" w:rsidTr="00DA1F66">
        <w:trPr>
          <w:trHeight w:val="300"/>
        </w:trPr>
        <w:tc>
          <w:tcPr>
            <w:tcW w:w="5246" w:type="dxa"/>
            <w:hideMark/>
          </w:tcPr>
          <w:p w14:paraId="366D16B0" w14:textId="77777777" w:rsidR="00FB5206" w:rsidRPr="001B3F21" w:rsidRDefault="00FB5206" w:rsidP="00DA1F66">
            <w:pPr>
              <w:pStyle w:val="TableText"/>
            </w:pPr>
            <w:r w:rsidRPr="001B3F21">
              <w:t>Population density (people per sq. km of land area) (2014)</w:t>
            </w:r>
          </w:p>
        </w:tc>
        <w:tc>
          <w:tcPr>
            <w:tcW w:w="1092" w:type="dxa"/>
            <w:hideMark/>
          </w:tcPr>
          <w:p w14:paraId="120C2785" w14:textId="77777777" w:rsidR="00FB5206" w:rsidRPr="001B3F21" w:rsidRDefault="00FB5206" w:rsidP="00DA1F66">
            <w:pPr>
              <w:pStyle w:val="TableText"/>
              <w:jc w:val="right"/>
            </w:pPr>
            <w:r w:rsidRPr="001B3F21">
              <w:t>48.3</w:t>
            </w:r>
          </w:p>
        </w:tc>
      </w:tr>
      <w:tr w:rsidR="00FB5206" w:rsidRPr="001B3F21" w14:paraId="3D52CE7D" w14:textId="77777777" w:rsidTr="00DA1F66">
        <w:trPr>
          <w:trHeight w:val="300"/>
        </w:trPr>
        <w:tc>
          <w:tcPr>
            <w:tcW w:w="6338" w:type="dxa"/>
            <w:gridSpan w:val="2"/>
            <w:shd w:val="clear" w:color="auto" w:fill="D9D9D9" w:themeFill="background1" w:themeFillShade="D9"/>
            <w:hideMark/>
          </w:tcPr>
          <w:p w14:paraId="0D6380D9" w14:textId="77777777" w:rsidR="00FB5206" w:rsidRPr="001B3F21" w:rsidRDefault="00FB5206" w:rsidP="00DA1F66">
            <w:pPr>
              <w:pStyle w:val="TableText"/>
            </w:pPr>
            <w:r w:rsidRPr="001B3F21">
              <w:t>Economy</w:t>
            </w:r>
          </w:p>
        </w:tc>
      </w:tr>
      <w:tr w:rsidR="00FB5206" w:rsidRPr="001B3F21" w14:paraId="1622492A" w14:textId="77777777" w:rsidTr="00DA1F66">
        <w:trPr>
          <w:trHeight w:val="300"/>
        </w:trPr>
        <w:tc>
          <w:tcPr>
            <w:tcW w:w="5246" w:type="dxa"/>
            <w:hideMark/>
          </w:tcPr>
          <w:p w14:paraId="2CC85A18" w14:textId="77777777" w:rsidR="00FB5206" w:rsidRPr="001B3F21" w:rsidRDefault="00FB5206" w:rsidP="00DA1F66">
            <w:pPr>
              <w:pStyle w:val="TableText"/>
            </w:pPr>
            <w:r w:rsidRPr="001B3F21">
              <w:t xml:space="preserve">GDP per capita (2014, current US$, market exchange rate) </w:t>
            </w:r>
          </w:p>
        </w:tc>
        <w:tc>
          <w:tcPr>
            <w:tcW w:w="1092" w:type="dxa"/>
            <w:hideMark/>
          </w:tcPr>
          <w:p w14:paraId="1D35058A" w14:textId="77777777" w:rsidR="00FB5206" w:rsidRPr="001B3F21" w:rsidRDefault="00FB5206" w:rsidP="00DA1F66">
            <w:pPr>
              <w:pStyle w:val="TableText"/>
              <w:jc w:val="right"/>
            </w:pPr>
            <w:r w:rsidRPr="001B3F21">
              <w:t xml:space="preserve">1,427 </w:t>
            </w:r>
          </w:p>
        </w:tc>
      </w:tr>
      <w:tr w:rsidR="00FB5206" w:rsidRPr="001B3F21" w14:paraId="63B065AE" w14:textId="77777777" w:rsidTr="00DA1F66">
        <w:trPr>
          <w:trHeight w:val="300"/>
        </w:trPr>
        <w:tc>
          <w:tcPr>
            <w:tcW w:w="5246" w:type="dxa"/>
            <w:hideMark/>
          </w:tcPr>
          <w:p w14:paraId="3C5D956B" w14:textId="77777777" w:rsidR="00FB5206" w:rsidRPr="001B3F21" w:rsidRDefault="00FB5206" w:rsidP="00DA1F66">
            <w:pPr>
              <w:pStyle w:val="TableText"/>
            </w:pPr>
            <w:r w:rsidRPr="001B3F21">
              <w:t>Real GDP per capita growth, 10-year average (2004-2014)</w:t>
            </w:r>
          </w:p>
        </w:tc>
        <w:tc>
          <w:tcPr>
            <w:tcW w:w="1092" w:type="dxa"/>
            <w:hideMark/>
          </w:tcPr>
          <w:p w14:paraId="6D39F672" w14:textId="77777777" w:rsidR="00FB5206" w:rsidRPr="001B3F21" w:rsidRDefault="00FB5206" w:rsidP="00DA1F66">
            <w:pPr>
              <w:pStyle w:val="TableText"/>
              <w:jc w:val="right"/>
            </w:pPr>
            <w:r w:rsidRPr="001B3F21">
              <w:t>1.08%</w:t>
            </w:r>
          </w:p>
        </w:tc>
      </w:tr>
      <w:tr w:rsidR="00FB5206" w:rsidRPr="001B3F21" w14:paraId="5F0111DD" w14:textId="77777777" w:rsidTr="00DA1F66">
        <w:trPr>
          <w:trHeight w:val="300"/>
        </w:trPr>
        <w:tc>
          <w:tcPr>
            <w:tcW w:w="5246" w:type="dxa"/>
            <w:hideMark/>
          </w:tcPr>
          <w:p w14:paraId="01399E34" w14:textId="77777777" w:rsidR="00FB5206" w:rsidRPr="001B3F21" w:rsidRDefault="00FB5206" w:rsidP="00DA1F66">
            <w:pPr>
              <w:pStyle w:val="TableText"/>
            </w:pPr>
            <w:r w:rsidRPr="001B3F21">
              <w:t>Debt to GDP (2014)</w:t>
            </w:r>
          </w:p>
        </w:tc>
        <w:tc>
          <w:tcPr>
            <w:tcW w:w="1092" w:type="dxa"/>
            <w:hideMark/>
          </w:tcPr>
          <w:p w14:paraId="1A76EA23" w14:textId="77777777" w:rsidR="00FB5206" w:rsidRPr="001B3F21" w:rsidRDefault="00FB5206" w:rsidP="00DA1F66">
            <w:pPr>
              <w:pStyle w:val="TableText"/>
              <w:jc w:val="right"/>
            </w:pPr>
            <w:r w:rsidRPr="001B3F21">
              <w:t>22.70%</w:t>
            </w:r>
          </w:p>
        </w:tc>
      </w:tr>
      <w:tr w:rsidR="00FB5206" w:rsidRPr="001B3F21" w14:paraId="5E107D29" w14:textId="77777777" w:rsidTr="00DA1F66">
        <w:trPr>
          <w:trHeight w:val="300"/>
        </w:trPr>
        <w:tc>
          <w:tcPr>
            <w:tcW w:w="6338" w:type="dxa"/>
            <w:gridSpan w:val="2"/>
            <w:shd w:val="clear" w:color="auto" w:fill="D9D9D9" w:themeFill="background1" w:themeFillShade="D9"/>
            <w:hideMark/>
          </w:tcPr>
          <w:p w14:paraId="471725C3" w14:textId="77777777" w:rsidR="00FB5206" w:rsidRPr="001B3F21" w:rsidRDefault="00FB5206" w:rsidP="00DA1F66">
            <w:pPr>
              <w:pStyle w:val="TableText"/>
            </w:pPr>
            <w:r w:rsidRPr="001B3F21">
              <w:t>Electricity Sector</w:t>
            </w:r>
          </w:p>
        </w:tc>
      </w:tr>
      <w:tr w:rsidR="00FB5206" w:rsidRPr="001B3F21" w14:paraId="24DA7C5C" w14:textId="77777777" w:rsidTr="00DA1F66">
        <w:trPr>
          <w:trHeight w:val="300"/>
        </w:trPr>
        <w:tc>
          <w:tcPr>
            <w:tcW w:w="5246" w:type="dxa"/>
            <w:hideMark/>
          </w:tcPr>
          <w:p w14:paraId="399E6723" w14:textId="77777777" w:rsidR="00FB5206" w:rsidRPr="001B3F21" w:rsidRDefault="00FB5206" w:rsidP="00DA1F66">
            <w:pPr>
              <w:pStyle w:val="TableText"/>
            </w:pPr>
            <w:r w:rsidRPr="001B3F21">
              <w:t>Access to electricity, rural (2012, % of rural population)</w:t>
            </w:r>
          </w:p>
        </w:tc>
        <w:tc>
          <w:tcPr>
            <w:tcW w:w="1092" w:type="dxa"/>
            <w:hideMark/>
          </w:tcPr>
          <w:p w14:paraId="0CE76A02" w14:textId="77777777" w:rsidR="00FB5206" w:rsidRPr="001B3F21" w:rsidRDefault="00FB5206" w:rsidP="00DA1F66">
            <w:pPr>
              <w:pStyle w:val="TableText"/>
              <w:jc w:val="right"/>
            </w:pPr>
            <w:r w:rsidRPr="001B3F21">
              <w:t>18.50%</w:t>
            </w:r>
          </w:p>
        </w:tc>
      </w:tr>
      <w:tr w:rsidR="00FB5206" w:rsidRPr="001B3F21" w14:paraId="03C5F6E1" w14:textId="77777777" w:rsidTr="00DA1F66">
        <w:trPr>
          <w:trHeight w:val="300"/>
        </w:trPr>
        <w:tc>
          <w:tcPr>
            <w:tcW w:w="5246" w:type="dxa"/>
            <w:hideMark/>
          </w:tcPr>
          <w:p w14:paraId="6CE1A0A6" w14:textId="77777777" w:rsidR="00FB5206" w:rsidRPr="001B3F21" w:rsidRDefault="00FB5206" w:rsidP="00DA1F66">
            <w:pPr>
              <w:pStyle w:val="TableText"/>
            </w:pPr>
            <w:r w:rsidRPr="001B3F21">
              <w:t>Access to electri</w:t>
            </w:r>
            <w:r>
              <w:t xml:space="preserve">city, national </w:t>
            </w:r>
            <w:r w:rsidRPr="001B3F21">
              <w:t>(2012, % of total population)</w:t>
            </w:r>
          </w:p>
        </w:tc>
        <w:tc>
          <w:tcPr>
            <w:tcW w:w="1092" w:type="dxa"/>
            <w:hideMark/>
          </w:tcPr>
          <w:p w14:paraId="26DCE83B" w14:textId="77777777" w:rsidR="00FB5206" w:rsidRPr="001B3F21" w:rsidRDefault="00FB5206" w:rsidP="00DA1F66">
            <w:pPr>
              <w:pStyle w:val="TableText"/>
              <w:jc w:val="right"/>
            </w:pPr>
            <w:r w:rsidRPr="001B3F21">
              <w:t>53.70%</w:t>
            </w:r>
          </w:p>
        </w:tc>
      </w:tr>
      <w:tr w:rsidR="00FB5206" w:rsidRPr="001B3F21" w14:paraId="66F1C37A" w14:textId="77777777" w:rsidTr="00DA1F66">
        <w:trPr>
          <w:trHeight w:val="300"/>
        </w:trPr>
        <w:tc>
          <w:tcPr>
            <w:tcW w:w="5246" w:type="dxa"/>
            <w:hideMark/>
          </w:tcPr>
          <w:p w14:paraId="5C9CC83D" w14:textId="77777777" w:rsidR="00FB5206" w:rsidRPr="001B3F21" w:rsidRDefault="00FB5206" w:rsidP="00DA1F66">
            <w:pPr>
              <w:pStyle w:val="TableText"/>
            </w:pPr>
            <w:r w:rsidRPr="001B3F21">
              <w:t>Electric power consumption (kWh per capita) (2012)</w:t>
            </w:r>
          </w:p>
        </w:tc>
        <w:tc>
          <w:tcPr>
            <w:tcW w:w="1092" w:type="dxa"/>
            <w:hideMark/>
          </w:tcPr>
          <w:p w14:paraId="05BAB656" w14:textId="77777777" w:rsidR="00FB5206" w:rsidRPr="001B3F21" w:rsidRDefault="00FB5206" w:rsidP="00DA1F66">
            <w:pPr>
              <w:pStyle w:val="TableText"/>
              <w:jc w:val="right"/>
            </w:pPr>
            <w:r w:rsidRPr="001B3F21">
              <w:t>262</w:t>
            </w:r>
          </w:p>
        </w:tc>
      </w:tr>
      <w:tr w:rsidR="00FB5206" w:rsidRPr="001B3F21" w14:paraId="657EC5CD" w14:textId="77777777" w:rsidTr="00DA1F66">
        <w:trPr>
          <w:trHeight w:val="300"/>
        </w:trPr>
        <w:tc>
          <w:tcPr>
            <w:tcW w:w="6338" w:type="dxa"/>
            <w:gridSpan w:val="2"/>
            <w:shd w:val="clear" w:color="auto" w:fill="D9D9D9" w:themeFill="background1" w:themeFillShade="D9"/>
            <w:hideMark/>
          </w:tcPr>
          <w:p w14:paraId="63E50F09" w14:textId="77777777" w:rsidR="00FB5206" w:rsidRPr="001B3F21" w:rsidRDefault="00FB5206" w:rsidP="00DA1F66">
            <w:pPr>
              <w:pStyle w:val="TableText"/>
            </w:pPr>
            <w:r w:rsidRPr="001B3F21">
              <w:t xml:space="preserve">Governance </w:t>
            </w:r>
          </w:p>
        </w:tc>
      </w:tr>
      <w:tr w:rsidR="00FB5206" w:rsidRPr="001B3F21" w14:paraId="6F98DFEA" w14:textId="77777777" w:rsidTr="00DA1F66">
        <w:trPr>
          <w:trHeight w:val="300"/>
        </w:trPr>
        <w:tc>
          <w:tcPr>
            <w:tcW w:w="5246" w:type="dxa"/>
            <w:hideMark/>
          </w:tcPr>
          <w:p w14:paraId="4B773B23" w14:textId="77777777" w:rsidR="00FB5206" w:rsidRPr="001B3F21" w:rsidRDefault="00FB5206" w:rsidP="00DA1F66">
            <w:pPr>
              <w:pStyle w:val="TableText"/>
            </w:pPr>
            <w:r w:rsidRPr="001B3F21">
              <w:t>Ease of Doing Business index (2015 ranking out of 189 countries)</w:t>
            </w:r>
          </w:p>
        </w:tc>
        <w:tc>
          <w:tcPr>
            <w:tcW w:w="1092" w:type="dxa"/>
            <w:hideMark/>
          </w:tcPr>
          <w:p w14:paraId="38249C9C" w14:textId="77777777" w:rsidR="00FB5206" w:rsidRPr="001B3F21" w:rsidRDefault="00FB5206" w:rsidP="00DA1F66">
            <w:pPr>
              <w:pStyle w:val="TableText"/>
              <w:jc w:val="right"/>
            </w:pPr>
            <w:r w:rsidRPr="001B3F21">
              <w:t>158</w:t>
            </w:r>
          </w:p>
        </w:tc>
      </w:tr>
      <w:tr w:rsidR="00FB5206" w:rsidRPr="001B3F21" w14:paraId="7803420E" w14:textId="77777777" w:rsidTr="00DA1F66">
        <w:trPr>
          <w:trHeight w:val="300"/>
        </w:trPr>
        <w:tc>
          <w:tcPr>
            <w:tcW w:w="5246" w:type="dxa"/>
            <w:hideMark/>
          </w:tcPr>
          <w:p w14:paraId="56D30CA4" w14:textId="77777777" w:rsidR="00FB5206" w:rsidRPr="001B3F21" w:rsidRDefault="00FB5206" w:rsidP="00DA1F66">
            <w:pPr>
              <w:pStyle w:val="TableText"/>
            </w:pPr>
            <w:r w:rsidRPr="001B3F21">
              <w:t>CPIA property rights and rule-based governance rating (2014); 1=low to 6=high</w:t>
            </w:r>
          </w:p>
        </w:tc>
        <w:tc>
          <w:tcPr>
            <w:tcW w:w="1092" w:type="dxa"/>
            <w:hideMark/>
          </w:tcPr>
          <w:p w14:paraId="7998DA7F" w14:textId="77777777" w:rsidR="00FB5206" w:rsidRPr="001B3F21" w:rsidRDefault="00FB5206" w:rsidP="00DA1F66">
            <w:pPr>
              <w:pStyle w:val="TableText"/>
              <w:jc w:val="right"/>
            </w:pPr>
            <w:r w:rsidRPr="001B3F21">
              <w:t>2.5</w:t>
            </w:r>
          </w:p>
        </w:tc>
      </w:tr>
      <w:tr w:rsidR="00FB5206" w:rsidRPr="001B3F21" w14:paraId="0DCA4FD7" w14:textId="77777777" w:rsidTr="00DA1F66">
        <w:trPr>
          <w:trHeight w:val="300"/>
        </w:trPr>
        <w:tc>
          <w:tcPr>
            <w:tcW w:w="5246" w:type="dxa"/>
            <w:hideMark/>
          </w:tcPr>
          <w:p w14:paraId="300A001C" w14:textId="77777777" w:rsidR="00FB5206" w:rsidRPr="001B3F21" w:rsidRDefault="00FB5206" w:rsidP="00DA1F66">
            <w:pPr>
              <w:pStyle w:val="TableText"/>
            </w:pPr>
            <w:r>
              <w:t>Government bond ratings</w:t>
            </w:r>
            <w:r w:rsidRPr="001B3F21">
              <w:t xml:space="preserve"> (S&amp;P Long-Term)</w:t>
            </w:r>
          </w:p>
        </w:tc>
        <w:tc>
          <w:tcPr>
            <w:tcW w:w="1092" w:type="dxa"/>
            <w:hideMark/>
          </w:tcPr>
          <w:p w14:paraId="0AB2F0BE" w14:textId="77777777" w:rsidR="00FB5206" w:rsidRPr="001B3F21" w:rsidRDefault="00FB5206" w:rsidP="00DA1F66">
            <w:pPr>
              <w:pStyle w:val="TableText"/>
              <w:jc w:val="right"/>
            </w:pPr>
            <w:r w:rsidRPr="001B3F21">
              <w:t>B (2007)</w:t>
            </w:r>
          </w:p>
        </w:tc>
      </w:tr>
      <w:tr w:rsidR="00FB5206" w:rsidRPr="001B3F21" w14:paraId="438417D5" w14:textId="77777777" w:rsidTr="00DA1F66">
        <w:trPr>
          <w:trHeight w:val="300"/>
        </w:trPr>
        <w:tc>
          <w:tcPr>
            <w:tcW w:w="5246" w:type="dxa"/>
            <w:hideMark/>
          </w:tcPr>
          <w:p w14:paraId="2565A208" w14:textId="77777777" w:rsidR="00FB5206" w:rsidRPr="001B3F21" w:rsidRDefault="00FB5206" w:rsidP="00DA1F66">
            <w:pPr>
              <w:pStyle w:val="TableText"/>
            </w:pPr>
            <w:r w:rsidRPr="001B3F21">
              <w:t xml:space="preserve">Corruption Perceptions Index (2014) - scale of 0 (highly corrupt) to 100 (very clean) </w:t>
            </w:r>
          </w:p>
        </w:tc>
        <w:tc>
          <w:tcPr>
            <w:tcW w:w="1092" w:type="dxa"/>
            <w:hideMark/>
          </w:tcPr>
          <w:p w14:paraId="4705C5DA" w14:textId="77777777" w:rsidR="00FB5206" w:rsidRPr="001B3F21" w:rsidRDefault="00FB5206" w:rsidP="00DA1F66">
            <w:pPr>
              <w:pStyle w:val="TableText"/>
              <w:jc w:val="right"/>
            </w:pPr>
            <w:r w:rsidRPr="001B3F21">
              <w:t>27</w:t>
            </w:r>
          </w:p>
        </w:tc>
      </w:tr>
      <w:tr w:rsidR="00FB5206" w:rsidRPr="001B3F21" w14:paraId="3D8B36A5" w14:textId="77777777" w:rsidTr="00DA1F66">
        <w:trPr>
          <w:trHeight w:val="300"/>
        </w:trPr>
        <w:tc>
          <w:tcPr>
            <w:tcW w:w="5246" w:type="dxa"/>
            <w:hideMark/>
          </w:tcPr>
          <w:p w14:paraId="3D9325D7" w14:textId="77777777" w:rsidR="00FB5206" w:rsidRPr="001B3F21" w:rsidRDefault="00FB5206" w:rsidP="00DA1F66">
            <w:pPr>
              <w:pStyle w:val="TableText"/>
            </w:pPr>
            <w:r w:rsidRPr="001B3F21">
              <w:t>Legal system</w:t>
            </w:r>
          </w:p>
        </w:tc>
        <w:tc>
          <w:tcPr>
            <w:tcW w:w="1092" w:type="dxa"/>
            <w:hideMark/>
          </w:tcPr>
          <w:p w14:paraId="511F6C51" w14:textId="77777777" w:rsidR="00FB5206" w:rsidRPr="001B3F21" w:rsidRDefault="00FB5206" w:rsidP="00DA1F66">
            <w:pPr>
              <w:pStyle w:val="TableText"/>
              <w:jc w:val="right"/>
            </w:pPr>
            <w:r w:rsidRPr="001B3F21">
              <w:t>Civil law</w:t>
            </w:r>
          </w:p>
        </w:tc>
      </w:tr>
      <w:tr w:rsidR="00FB5206" w:rsidRPr="001B3F21" w14:paraId="3E3F82D5" w14:textId="77777777" w:rsidTr="00DA1F66">
        <w:trPr>
          <w:trHeight w:val="300"/>
        </w:trPr>
        <w:tc>
          <w:tcPr>
            <w:tcW w:w="5246" w:type="dxa"/>
            <w:hideMark/>
          </w:tcPr>
          <w:p w14:paraId="20BC1BE7" w14:textId="77777777" w:rsidR="00FB5206" w:rsidRPr="001B3F21" w:rsidRDefault="00FB5206" w:rsidP="00DA1F66">
            <w:pPr>
              <w:pStyle w:val="TableText"/>
            </w:pPr>
            <w:r w:rsidRPr="001B3F21">
              <w:t>Administrative tradition</w:t>
            </w:r>
          </w:p>
        </w:tc>
        <w:tc>
          <w:tcPr>
            <w:tcW w:w="1092" w:type="dxa"/>
            <w:hideMark/>
          </w:tcPr>
          <w:p w14:paraId="6B873D17" w14:textId="77777777" w:rsidR="00FB5206" w:rsidRPr="001B3F21" w:rsidRDefault="00FB5206" w:rsidP="00DA1F66">
            <w:pPr>
              <w:pStyle w:val="TableText"/>
              <w:jc w:val="right"/>
            </w:pPr>
            <w:r w:rsidRPr="001B3F21">
              <w:t>French</w:t>
            </w:r>
          </w:p>
        </w:tc>
      </w:tr>
      <w:tr w:rsidR="00FB5206" w:rsidRPr="001B3F21" w14:paraId="57B7045F" w14:textId="77777777" w:rsidTr="00DA1F66">
        <w:trPr>
          <w:trHeight w:val="300"/>
        </w:trPr>
        <w:tc>
          <w:tcPr>
            <w:tcW w:w="5246" w:type="dxa"/>
            <w:hideMark/>
          </w:tcPr>
          <w:p w14:paraId="258AF960" w14:textId="77777777" w:rsidR="00FB5206" w:rsidRPr="001B3F21" w:rsidRDefault="00FB5206" w:rsidP="00DA1F66">
            <w:pPr>
              <w:pStyle w:val="TableText"/>
            </w:pPr>
            <w:r w:rsidRPr="001B3F21">
              <w:t>Fragile or conflict-affected state (any year, 1990-2015)</w:t>
            </w:r>
          </w:p>
        </w:tc>
        <w:tc>
          <w:tcPr>
            <w:tcW w:w="1092" w:type="dxa"/>
            <w:hideMark/>
          </w:tcPr>
          <w:p w14:paraId="5F8DA31A" w14:textId="77777777" w:rsidR="00FB5206" w:rsidRPr="001B3F21" w:rsidRDefault="00FB5206" w:rsidP="00DA1F66">
            <w:pPr>
              <w:pStyle w:val="TableText"/>
              <w:jc w:val="right"/>
            </w:pPr>
            <w:r>
              <w:t>Yes</w:t>
            </w:r>
          </w:p>
        </w:tc>
      </w:tr>
    </w:tbl>
    <w:p w14:paraId="430D7DDD" w14:textId="77777777" w:rsidR="00FB5206" w:rsidRDefault="00FB5206">
      <w:pPr>
        <w:pStyle w:val="TableorFigureEnd"/>
      </w:pPr>
    </w:p>
    <w:p w14:paraId="20555498" w14:textId="371A77F3" w:rsidR="00FB5206" w:rsidRDefault="00FB5206" w:rsidP="00FB5206">
      <w:pPr>
        <w:pStyle w:val="BodyText"/>
      </w:pPr>
      <w:r>
        <w:t xml:space="preserve"> </w:t>
      </w:r>
    </w:p>
    <w:p w14:paraId="3F80DDBF" w14:textId="77777777" w:rsidR="001E5F7F" w:rsidRDefault="001E5F7F" w:rsidP="000301E0">
      <w:pPr>
        <w:pStyle w:val="BodyText"/>
        <w:rPr>
          <w:b/>
          <w:bCs/>
          <w:szCs w:val="20"/>
        </w:rPr>
      </w:pPr>
    </w:p>
    <w:p w14:paraId="6FE360DA" w14:textId="77777777" w:rsidR="001A5898" w:rsidRDefault="001A5898" w:rsidP="001A5898">
      <w:pPr>
        <w:pStyle w:val="Subheading"/>
      </w:pPr>
      <w:r>
        <w:lastRenderedPageBreak/>
        <w:t>Economy and demographics</w:t>
      </w:r>
    </w:p>
    <w:p w14:paraId="45CFFF3C" w14:textId="623A420E" w:rsidR="001E5F7F" w:rsidRDefault="007F418D" w:rsidP="001E5F7F">
      <w:pPr>
        <w:pStyle w:val="BodyText"/>
      </w:pPr>
      <w:r>
        <w:t>Cameroon</w:t>
      </w:r>
      <w:r w:rsidR="001A5898">
        <w:t xml:space="preserve"> is a country of 22.8</w:t>
      </w:r>
      <w:r w:rsidR="001E5F7F">
        <w:t xml:space="preserve"> million people</w:t>
      </w:r>
      <w:r w:rsidR="00EF798A">
        <w:t xml:space="preserve"> with a</w:t>
      </w:r>
      <w:r w:rsidR="001A5898">
        <w:t xml:space="preserve">nnual GDP per capita </w:t>
      </w:r>
      <w:r w:rsidR="002D28FC">
        <w:t xml:space="preserve">of </w:t>
      </w:r>
      <w:r w:rsidR="00EF798A">
        <w:t>US</w:t>
      </w:r>
      <w:r w:rsidR="001A5898">
        <w:t>$1,426.</w:t>
      </w:r>
      <w:r w:rsidR="001E5F7F">
        <w:t xml:space="preserve"> Over the last 20 years</w:t>
      </w:r>
      <w:r w:rsidR="00682D46">
        <w:t>,</w:t>
      </w:r>
      <w:r w:rsidR="001E5F7F">
        <w:t xml:space="preserve"> population has </w:t>
      </w:r>
      <w:r w:rsidR="002D28FC">
        <w:t>grown</w:t>
      </w:r>
      <w:r w:rsidR="001E5F7F">
        <w:t xml:space="preserve"> at </w:t>
      </w:r>
      <w:r w:rsidR="00EF798A">
        <w:t xml:space="preserve">2.55 percent </w:t>
      </w:r>
      <w:r w:rsidR="001E5F7F">
        <w:t>per year</w:t>
      </w:r>
      <w:r w:rsidR="002D28FC">
        <w:t xml:space="preserve"> and </w:t>
      </w:r>
      <w:r w:rsidR="001E5F7F">
        <w:t xml:space="preserve">GDP per capita (in real PPP terms) </w:t>
      </w:r>
      <w:r w:rsidR="009C0501">
        <w:t>h</w:t>
      </w:r>
      <w:r w:rsidR="00EF798A">
        <w:t>as grown at 1.08 percent</w:t>
      </w:r>
      <w:r w:rsidR="001E5F7F">
        <w:t xml:space="preserve"> per year. </w:t>
      </w:r>
    </w:p>
    <w:p w14:paraId="2E3D3871" w14:textId="2A6862BD" w:rsidR="001A5898" w:rsidRDefault="00396369" w:rsidP="00396369">
      <w:pPr>
        <w:pStyle w:val="Subheading"/>
      </w:pPr>
      <w:r>
        <w:t>Politics and governance</w:t>
      </w:r>
    </w:p>
    <w:p w14:paraId="02A5FF8F" w14:textId="6AF7C31D" w:rsidR="004767F1" w:rsidRDefault="00894C01" w:rsidP="003220DF">
      <w:pPr>
        <w:pStyle w:val="BodyText"/>
      </w:pPr>
      <w:r>
        <w:t>Cameroon is a former</w:t>
      </w:r>
      <w:r w:rsidR="001E5F7F">
        <w:t xml:space="preserve"> </w:t>
      </w:r>
      <w:r w:rsidR="00EF798A">
        <w:t xml:space="preserve">colony </w:t>
      </w:r>
      <w:r w:rsidR="001E5F7F">
        <w:t xml:space="preserve">which gained independence </w:t>
      </w:r>
      <w:r>
        <w:t xml:space="preserve">from France </w:t>
      </w:r>
      <w:r w:rsidR="001E5F7F">
        <w:t xml:space="preserve">in </w:t>
      </w:r>
      <w:r>
        <w:t xml:space="preserve">1960 and was joined by British-controlled Northern Cameroon in 1961. The country has been ruled by one president, Paul Biya, and his </w:t>
      </w:r>
      <w:r w:rsidR="003220DF">
        <w:t xml:space="preserve">Rassemblement Démocratique du Peuple Camerounais (RDPC) </w:t>
      </w:r>
      <w:r>
        <w:t>party</w:t>
      </w:r>
      <w:r w:rsidR="003220DF">
        <w:t xml:space="preserve"> (formerly called Union Nationale Camerounaise-UNC) </w:t>
      </w:r>
      <w:r>
        <w:t>since 1982</w:t>
      </w:r>
      <w:r w:rsidR="003220DF">
        <w:t>. UNC was the only legal political party until 1990, when m</w:t>
      </w:r>
      <w:r w:rsidR="001E5F7F">
        <w:t xml:space="preserve">ulti-party democracy was </w:t>
      </w:r>
      <w:r w:rsidR="003220DF">
        <w:t xml:space="preserve">introduced. </w:t>
      </w:r>
      <w:r w:rsidR="001E5F7F">
        <w:t xml:space="preserve">Transparency International’s corruption perceptions index ranks </w:t>
      </w:r>
      <w:r w:rsidR="00CD2939">
        <w:t>Cameroon</w:t>
      </w:r>
      <w:r w:rsidR="001E5F7F">
        <w:t xml:space="preserve"> </w:t>
      </w:r>
      <w:r w:rsidR="00CD2939">
        <w:t xml:space="preserve">very poorly </w:t>
      </w:r>
      <w:r w:rsidR="001E5F7F">
        <w:t xml:space="preserve">at </w:t>
      </w:r>
      <w:r w:rsidR="00CD2939">
        <w:t>158</w:t>
      </w:r>
      <w:r w:rsidR="001E5F7F">
        <w:t xml:space="preserve"> out of </w:t>
      </w:r>
      <w:r w:rsidR="008E7C9B">
        <w:t>175 countries</w:t>
      </w:r>
      <w:r w:rsidR="002F505C">
        <w:t xml:space="preserve">. The legal system is based on both civil and common law: </w:t>
      </w:r>
      <w:r w:rsidR="002F505C" w:rsidRPr="002F505C">
        <w:t xml:space="preserve">Common </w:t>
      </w:r>
      <w:r w:rsidR="002F505C">
        <w:t>l</w:t>
      </w:r>
      <w:r w:rsidR="002F505C" w:rsidRPr="002F505C">
        <w:t xml:space="preserve">aw </w:t>
      </w:r>
      <w:r w:rsidR="002F505C">
        <w:t>operates</w:t>
      </w:r>
      <w:r w:rsidR="002F505C" w:rsidRPr="002F505C">
        <w:t xml:space="preserve"> in the two Anglophone regions </w:t>
      </w:r>
      <w:r w:rsidR="002F505C">
        <w:t>(</w:t>
      </w:r>
      <w:r w:rsidR="002F505C" w:rsidRPr="002F505C">
        <w:t>North West and South West</w:t>
      </w:r>
      <w:r w:rsidR="002F505C">
        <w:t>) and c</w:t>
      </w:r>
      <w:r w:rsidR="002F505C" w:rsidRPr="002F505C">
        <w:t xml:space="preserve">ivil </w:t>
      </w:r>
      <w:r w:rsidR="002F505C">
        <w:t>l</w:t>
      </w:r>
      <w:r w:rsidR="002F505C" w:rsidRPr="002F505C">
        <w:t xml:space="preserve">aw </w:t>
      </w:r>
      <w:r w:rsidR="00680DB2">
        <w:t>operates</w:t>
      </w:r>
      <w:r w:rsidR="002F505C" w:rsidRPr="002F505C">
        <w:t xml:space="preserve"> in the eight francophone regions </w:t>
      </w:r>
      <w:r w:rsidR="002F505C">
        <w:t>(</w:t>
      </w:r>
      <w:r w:rsidR="002F505C" w:rsidRPr="002F505C">
        <w:t>Adamaoua, Centre, East, Far North, Littoral, North, West and South</w:t>
      </w:r>
      <w:r w:rsidR="002F505C">
        <w:t>)</w:t>
      </w:r>
      <w:r w:rsidR="002F505C" w:rsidRPr="002F505C">
        <w:t xml:space="preserve">. These systems of law expanded to Cameroon through </w:t>
      </w:r>
      <w:r w:rsidR="00680DB2" w:rsidRPr="002F505C">
        <w:t>colonization</w:t>
      </w:r>
      <w:r w:rsidR="002F505C" w:rsidRPr="002F505C">
        <w:t xml:space="preserve"> by conquest.</w:t>
      </w:r>
      <w:r w:rsidR="001E5F7F">
        <w:t xml:space="preserve"> </w:t>
      </w:r>
      <w:bookmarkStart w:id="10" w:name="_Toc428279274"/>
      <w:r w:rsidR="004767F1">
        <w:t xml:space="preserve">The administrative tradition is </w:t>
      </w:r>
      <w:r w:rsidR="003220DF">
        <w:t xml:space="preserve">French and </w:t>
      </w:r>
      <w:r w:rsidR="00EF798A">
        <w:t>English</w:t>
      </w:r>
      <w:r w:rsidR="004767F1">
        <w:t>.</w:t>
      </w:r>
    </w:p>
    <w:bookmarkEnd w:id="10"/>
    <w:p w14:paraId="410639D7" w14:textId="3E052612" w:rsidR="00396369" w:rsidRDefault="00EF798A" w:rsidP="00AC1BE1">
      <w:pPr>
        <w:pStyle w:val="BodyText"/>
      </w:pPr>
      <w:r>
        <w:t>T</w:t>
      </w:r>
      <w:r w:rsidR="004767F1">
        <w:t xml:space="preserve">he security and humanitarian situation </w:t>
      </w:r>
      <w:r>
        <w:t xml:space="preserve">in Cameroon </w:t>
      </w:r>
      <w:r w:rsidR="004767F1">
        <w:t xml:space="preserve">has been </w:t>
      </w:r>
      <w:r>
        <w:t xml:space="preserve">mixed. </w:t>
      </w:r>
      <w:r w:rsidR="00396369">
        <w:t>Cameroon wa</w:t>
      </w:r>
      <w:r w:rsidR="00AC1BE1">
        <w:t xml:space="preserve">s </w:t>
      </w:r>
      <w:r w:rsidR="00396369">
        <w:t xml:space="preserve">classified by the World Bank as a </w:t>
      </w:r>
      <w:r w:rsidR="00AC1BE1">
        <w:t>fragile or conflict-affected state</w:t>
      </w:r>
      <w:r w:rsidR="00396369">
        <w:t xml:space="preserve"> (FCS) </w:t>
      </w:r>
      <w:r>
        <w:t>in 4 of the 12 years between 2001 and 2012</w:t>
      </w:r>
      <w:r w:rsidR="00AC1BE1">
        <w:t>.</w:t>
      </w:r>
      <w:r w:rsidR="00AC1BE1">
        <w:rPr>
          <w:rStyle w:val="FootnoteReference"/>
        </w:rPr>
        <w:footnoteReference w:id="2"/>
      </w:r>
      <w:r w:rsidR="00AC1BE1">
        <w:t xml:space="preserve"> </w:t>
      </w:r>
      <w:r w:rsidR="00396369">
        <w:t>In 2013, the Independent Evaluation Group of the World Bank found that:</w:t>
      </w:r>
    </w:p>
    <w:p w14:paraId="5C3FCF0F" w14:textId="4AC39DA3" w:rsidR="00396369" w:rsidRPr="00396369" w:rsidRDefault="00396369" w:rsidP="00396369">
      <w:pPr>
        <w:pStyle w:val="BodyText"/>
        <w:ind w:left="720"/>
        <w:rPr>
          <w:i/>
        </w:rPr>
      </w:pPr>
      <w:r w:rsidRPr="00396369">
        <w:rPr>
          <w:i/>
        </w:rPr>
        <w:t>“Cameroon shares some of the characteristics of fragile and conflict-affected states (FCS) including a conflict-affected neighborhood; the nontransparent use of revenues from its huge natural resource endowment; a dominant ruling party; an unwieldy, centralized government, delivering services poorly and unequally to its people; and increasing unemployment, particularly among the youth”</w:t>
      </w:r>
      <w:r w:rsidR="00680DB2">
        <w:rPr>
          <w:i/>
        </w:rPr>
        <w:t>.</w:t>
      </w:r>
      <w:r>
        <w:rPr>
          <w:rStyle w:val="FootnoteReference"/>
          <w:i/>
        </w:rPr>
        <w:footnoteReference w:id="3"/>
      </w:r>
    </w:p>
    <w:p w14:paraId="6E6CF027" w14:textId="0B263C0D" w:rsidR="000301E0" w:rsidRDefault="000301E0" w:rsidP="000301E0">
      <w:pPr>
        <w:pStyle w:val="Heading2"/>
      </w:pPr>
      <w:bookmarkStart w:id="11" w:name="_Toc432608941"/>
      <w:bookmarkStart w:id="12" w:name="_Toc432619292"/>
      <w:bookmarkStart w:id="13" w:name="_Toc437034117"/>
      <w:r>
        <w:t>Power Market Structure</w:t>
      </w:r>
      <w:r w:rsidR="00B42673">
        <w:t xml:space="preserve"> and </w:t>
      </w:r>
      <w:r>
        <w:t>Evolution</w:t>
      </w:r>
      <w:bookmarkEnd w:id="11"/>
      <w:bookmarkEnd w:id="12"/>
      <w:bookmarkEnd w:id="13"/>
      <w:r>
        <w:t xml:space="preserve"> </w:t>
      </w:r>
    </w:p>
    <w:p w14:paraId="1D9EA5F2" w14:textId="5B19F3EA" w:rsidR="008D4379" w:rsidRDefault="008D4379" w:rsidP="00396369">
      <w:pPr>
        <w:pStyle w:val="BodyText"/>
      </w:pPr>
      <w:r w:rsidRPr="008D4379">
        <w:t>The</w:t>
      </w:r>
      <w:r>
        <w:t xml:space="preserve"> current structure and legal framework of the electricity se</w:t>
      </w:r>
      <w:r w:rsidR="00D3492A">
        <w:t>ctor in Cameroon results from</w:t>
      </w:r>
      <w:r w:rsidR="007502A2">
        <w:t xml:space="preserve"> the successive</w:t>
      </w:r>
      <w:r>
        <w:t xml:space="preserve"> reforms</w:t>
      </w:r>
      <w:r w:rsidR="007502A2">
        <w:t xml:space="preserve"> of 1998 and 2011</w:t>
      </w:r>
      <w:r>
        <w:t>.</w:t>
      </w:r>
    </w:p>
    <w:p w14:paraId="55B8F898" w14:textId="16BCDB8A" w:rsidR="006447C5" w:rsidRDefault="006D47B8" w:rsidP="00396369">
      <w:pPr>
        <w:pStyle w:val="BodyText"/>
      </w:pPr>
      <w:r>
        <w:t xml:space="preserve">The </w:t>
      </w:r>
      <w:r w:rsidR="0059272C">
        <w:t xml:space="preserve">1998 Electricity </w:t>
      </w:r>
      <w:r w:rsidR="00EF798A">
        <w:t>L</w:t>
      </w:r>
      <w:r w:rsidR="0059272C">
        <w:t>aw</w:t>
      </w:r>
      <w:r w:rsidR="00EF798A">
        <w:rPr>
          <w:rStyle w:val="FootnoteReference"/>
        </w:rPr>
        <w:footnoteReference w:id="4"/>
      </w:r>
      <w:r w:rsidR="00EF798A">
        <w:t xml:space="preserve"> </w:t>
      </w:r>
      <w:r w:rsidR="00893A11">
        <w:t>preceded</w:t>
      </w:r>
      <w:r w:rsidR="00EF798A">
        <w:t xml:space="preserve"> a complementary Electricity D</w:t>
      </w:r>
      <w:r w:rsidR="008D4379" w:rsidRPr="008D4379">
        <w:t>ecree in 2000</w:t>
      </w:r>
      <w:r w:rsidR="006447C5">
        <w:t>.</w:t>
      </w:r>
      <w:r w:rsidR="00EF798A">
        <w:rPr>
          <w:rStyle w:val="FootnoteReference"/>
        </w:rPr>
        <w:footnoteReference w:id="5"/>
      </w:r>
      <w:r w:rsidR="006447C5">
        <w:t xml:space="preserve"> These </w:t>
      </w:r>
      <w:r w:rsidR="00EF798A">
        <w:t>laws enabled</w:t>
      </w:r>
      <w:r w:rsidR="008D4379" w:rsidRPr="008D4379">
        <w:t xml:space="preserve"> the </w:t>
      </w:r>
      <w:r w:rsidR="0068336B" w:rsidRPr="008D4379">
        <w:t>liberalization</w:t>
      </w:r>
      <w:r w:rsidR="008D4379" w:rsidRPr="008D4379">
        <w:t xml:space="preserve"> and </w:t>
      </w:r>
      <w:r w:rsidR="0068336B" w:rsidRPr="008D4379">
        <w:t>privatization</w:t>
      </w:r>
      <w:r w:rsidR="008D4379" w:rsidRPr="008D4379">
        <w:t xml:space="preserve"> of </w:t>
      </w:r>
      <w:r w:rsidR="006447C5" w:rsidRPr="008D4379">
        <w:t>SONEL</w:t>
      </w:r>
      <w:r w:rsidR="006447C5">
        <w:t>, t</w:t>
      </w:r>
      <w:r w:rsidR="008D4379" w:rsidRPr="008D4379">
        <w:t>he state-owned power utility</w:t>
      </w:r>
      <w:r w:rsidR="00D3492A">
        <w:t>.</w:t>
      </w:r>
      <w:r>
        <w:t xml:space="preserve"> </w:t>
      </w:r>
      <w:r w:rsidR="002D28FC">
        <w:t xml:space="preserve">In 2001, </w:t>
      </w:r>
      <w:r>
        <w:t>AES</w:t>
      </w:r>
      <w:r w:rsidRPr="008D4379">
        <w:t xml:space="preserve"> </w:t>
      </w:r>
      <w:r>
        <w:t xml:space="preserve">purchased </w:t>
      </w:r>
      <w:r w:rsidR="002D28FC">
        <w:t xml:space="preserve">a </w:t>
      </w:r>
      <w:r>
        <w:t xml:space="preserve">56 percent </w:t>
      </w:r>
      <w:r w:rsidR="002D28FC">
        <w:t xml:space="preserve">share </w:t>
      </w:r>
      <w:r w:rsidR="00682D46">
        <w:t>of SONEL</w:t>
      </w:r>
      <w:r>
        <w:t xml:space="preserve">, creating AES SONEL. As part of the privatization, </w:t>
      </w:r>
      <w:r w:rsidR="002D28FC">
        <w:t>AES SONEL and the Cameroon state signed a c</w:t>
      </w:r>
      <w:r>
        <w:t xml:space="preserve">oncession agreement. In </w:t>
      </w:r>
      <w:r w:rsidR="002D28FC">
        <w:t>2014</w:t>
      </w:r>
      <w:r>
        <w:t>, AES sold its interest in AES SONEL to Actis. The company was renamed ENEO</w:t>
      </w:r>
      <w:r w:rsidR="00227D9B">
        <w:t xml:space="preserve"> Cameroon</w:t>
      </w:r>
      <w:r>
        <w:t xml:space="preserve">. </w:t>
      </w:r>
    </w:p>
    <w:p w14:paraId="7B8AF2E3" w14:textId="77777777" w:rsidR="006D47B8" w:rsidRDefault="006D47B8" w:rsidP="006D47B8">
      <w:pPr>
        <w:pStyle w:val="BodyText"/>
      </w:pPr>
      <w:r>
        <w:t>ENEO Cameroun operates three distinct grids:</w:t>
      </w:r>
    </w:p>
    <w:p w14:paraId="1C94EDEC" w14:textId="3E9C170C" w:rsidR="006D47B8" w:rsidRDefault="006D47B8" w:rsidP="006D47B8">
      <w:pPr>
        <w:pStyle w:val="ListBullet"/>
      </w:pPr>
      <w:r>
        <w:t xml:space="preserve">The Southern Interconnected Grid: </w:t>
      </w:r>
      <w:r w:rsidR="002D28FC">
        <w:t xml:space="preserve">a </w:t>
      </w:r>
      <w:r>
        <w:t xml:space="preserve">225kV network connecting the major hydropower stations to </w:t>
      </w:r>
      <w:r w:rsidR="002D28FC">
        <w:t xml:space="preserve">large </w:t>
      </w:r>
      <w:r w:rsidR="00680DB2">
        <w:t>aluminum</w:t>
      </w:r>
      <w:r>
        <w:t xml:space="preserve"> </w:t>
      </w:r>
      <w:r w:rsidR="002D28FC">
        <w:t xml:space="preserve">factories </w:t>
      </w:r>
      <w:r w:rsidR="00682D46">
        <w:t>as well as</w:t>
      </w:r>
      <w:r>
        <w:t xml:space="preserve"> Yaoundé and</w:t>
      </w:r>
      <w:r w:rsidR="00680DB2">
        <w:t xml:space="preserve"> Douala, </w:t>
      </w:r>
      <w:r w:rsidR="00682D46">
        <w:t xml:space="preserve">the country’s largest cities and </w:t>
      </w:r>
      <w:r w:rsidR="00680DB2">
        <w:t>main consumption areas</w:t>
      </w:r>
    </w:p>
    <w:p w14:paraId="1878292A" w14:textId="30FF4E00" w:rsidR="006D47B8" w:rsidRDefault="006D47B8" w:rsidP="006D47B8">
      <w:pPr>
        <w:pStyle w:val="ListBullet"/>
      </w:pPr>
      <w:r>
        <w:lastRenderedPageBreak/>
        <w:t>The Northern Interconnected Grid: 110kV and 90kV structure</w:t>
      </w:r>
      <w:r w:rsidR="00B42673">
        <w:t>s</w:t>
      </w:r>
      <w:r>
        <w:t xml:space="preserve"> dispatching the power generated by Lagdo power station to c</w:t>
      </w:r>
      <w:r w:rsidR="00680DB2">
        <w:t>over the region’s modest demand</w:t>
      </w:r>
    </w:p>
    <w:p w14:paraId="1FD17C5A" w14:textId="2ADB4090" w:rsidR="006D47B8" w:rsidRDefault="006D47B8" w:rsidP="006D47B8">
      <w:pPr>
        <w:pStyle w:val="ListBullet"/>
      </w:pPr>
      <w:r>
        <w:t xml:space="preserve">The Eastern Interconnected Grid: </w:t>
      </w:r>
      <w:r w:rsidR="001E1D03">
        <w:t xml:space="preserve">a </w:t>
      </w:r>
      <w:r>
        <w:t>low voltage distribution grid of 30kV.</w:t>
      </w:r>
    </w:p>
    <w:p w14:paraId="626C9E8A" w14:textId="1A847EEE" w:rsidR="00401A51" w:rsidRDefault="00401A51" w:rsidP="00401A51">
      <w:pPr>
        <w:pStyle w:val="BodyText"/>
      </w:pPr>
      <w:r>
        <w:t>A map showing the major existing network and load cen</w:t>
      </w:r>
      <w:r w:rsidRPr="00CD2939">
        <w:t>t</w:t>
      </w:r>
      <w:r>
        <w:t xml:space="preserve">ers is presented in </w:t>
      </w:r>
      <w:r>
        <w:fldChar w:fldCharType="begin"/>
      </w:r>
      <w:r>
        <w:instrText xml:space="preserve"> REF _Ref428276003 \h </w:instrText>
      </w:r>
      <w:r>
        <w:fldChar w:fldCharType="separate"/>
      </w:r>
      <w:r w:rsidR="0079328A">
        <w:t xml:space="preserve">Figure </w:t>
      </w:r>
      <w:r w:rsidR="0079328A">
        <w:rPr>
          <w:noProof/>
        </w:rPr>
        <w:t>2</w:t>
      </w:r>
      <w:r w:rsidR="0079328A">
        <w:t>.</w:t>
      </w:r>
      <w:r w:rsidR="0079328A">
        <w:rPr>
          <w:noProof/>
        </w:rPr>
        <w:t>1</w:t>
      </w:r>
      <w:r w:rsidR="0079328A">
        <w:t>:</w:t>
      </w:r>
      <w:r>
        <w:fldChar w:fldCharType="end"/>
      </w:r>
    </w:p>
    <w:p w14:paraId="7C0AEDE5" w14:textId="0BB19E43" w:rsidR="00401A51" w:rsidRDefault="00401A51" w:rsidP="00401A51">
      <w:pPr>
        <w:pStyle w:val="Caption"/>
        <w:keepNext/>
      </w:pPr>
      <w:bookmarkStart w:id="14" w:name="_Ref428276003"/>
      <w:bookmarkStart w:id="15" w:name="_Toc432619282"/>
      <w:bookmarkStart w:id="16" w:name="_Toc437034139"/>
      <w:r>
        <w:t xml:space="preserve">Figure </w:t>
      </w:r>
      <w:fldSimple w:instr=" STYLEREF 1 \s ">
        <w:r w:rsidR="0079328A">
          <w:rPr>
            <w:noProof/>
          </w:rPr>
          <w:t>2</w:t>
        </w:r>
      </w:fldSimple>
      <w:r>
        <w:t>.</w:t>
      </w:r>
      <w:fldSimple w:instr=" SEQ Figure \* ARABIC \s 1 ">
        <w:r w:rsidR="0079328A">
          <w:rPr>
            <w:noProof/>
          </w:rPr>
          <w:t>1</w:t>
        </w:r>
      </w:fldSimple>
      <w:r>
        <w:t>:</w:t>
      </w:r>
      <w:bookmarkEnd w:id="14"/>
      <w:r>
        <w:t xml:space="preserve"> Map of Cameroon Electricity Infrastructure</w:t>
      </w:r>
      <w:bookmarkEnd w:id="15"/>
      <w:bookmarkEnd w:id="16"/>
      <w:r>
        <w:t xml:space="preserve">   </w:t>
      </w:r>
    </w:p>
    <w:p w14:paraId="4A555B42" w14:textId="77777777" w:rsidR="00401A51" w:rsidRDefault="00401A51" w:rsidP="00401A51">
      <w:pPr>
        <w:pStyle w:val="TableText"/>
        <w:keepNext/>
        <w:jc w:val="center"/>
      </w:pPr>
      <w:r>
        <w:rPr>
          <w:noProof/>
          <w:lang w:eastAsia="en-US"/>
        </w:rPr>
        <w:drawing>
          <wp:inline distT="0" distB="0" distL="0" distR="0" wp14:anchorId="46455881" wp14:editId="6D612DD1">
            <wp:extent cx="5238750" cy="6400800"/>
            <wp:effectExtent l="0" t="0" r="0" b="0"/>
            <wp:docPr id="5" name="Picture 5" descr="http://www.geni.org/globalenergy/library/national_energy_grid/cameroon/graphics/08-cameroon-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i.org/globalenergy/library/national_energy_grid/cameroon/graphics/08-cameroon-SM.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6400800"/>
                    </a:xfrm>
                    <a:prstGeom prst="rect">
                      <a:avLst/>
                    </a:prstGeom>
                    <a:noFill/>
                    <a:ln>
                      <a:noFill/>
                    </a:ln>
                  </pic:spPr>
                </pic:pic>
              </a:graphicData>
            </a:graphic>
          </wp:inline>
        </w:drawing>
      </w:r>
    </w:p>
    <w:p w14:paraId="479AD090" w14:textId="77777777" w:rsidR="00401A51" w:rsidRDefault="00401A51" w:rsidP="00401A51">
      <w:pPr>
        <w:pStyle w:val="SourceNoteText"/>
        <w:keepNext/>
      </w:pPr>
      <w:r>
        <w:t>Source:</w:t>
      </w:r>
      <w:r>
        <w:tab/>
        <w:t xml:space="preserve">Global Electricity Network Institute </w:t>
      </w:r>
    </w:p>
    <w:p w14:paraId="193FF922" w14:textId="77777777" w:rsidR="00401A51" w:rsidRDefault="00401A51" w:rsidP="00401A51">
      <w:pPr>
        <w:pStyle w:val="TableorFigureEnd"/>
        <w:pBdr>
          <w:top w:val="single" w:sz="4" w:space="0" w:color="auto"/>
        </w:pBdr>
      </w:pPr>
    </w:p>
    <w:p w14:paraId="4D36D9E9" w14:textId="28B7AF79" w:rsidR="006D47B8" w:rsidRDefault="00227D9B" w:rsidP="00227D9B">
      <w:pPr>
        <w:pStyle w:val="Subheading"/>
      </w:pPr>
      <w:r>
        <w:lastRenderedPageBreak/>
        <w:t>Other Important Electricity Sector Actors</w:t>
      </w:r>
    </w:p>
    <w:p w14:paraId="429440CC" w14:textId="26B33619" w:rsidR="00473F77" w:rsidRPr="00AC0A14" w:rsidRDefault="00227D9B" w:rsidP="00396369">
      <w:pPr>
        <w:pStyle w:val="BodyText"/>
      </w:pPr>
      <w:r>
        <w:t>Other than ENEO, th</w:t>
      </w:r>
      <w:r w:rsidR="00473F77" w:rsidRPr="00F44E6A">
        <w:t xml:space="preserve">e </w:t>
      </w:r>
      <w:r w:rsidR="00473F77" w:rsidRPr="00AC0A14">
        <w:t xml:space="preserve">main </w:t>
      </w:r>
      <w:r>
        <w:t>entities</w:t>
      </w:r>
      <w:r w:rsidR="00473F77" w:rsidRPr="00AC0A14">
        <w:t xml:space="preserve"> in the power sector in Cameroon</w:t>
      </w:r>
      <w:r w:rsidR="002C1515">
        <w:t xml:space="preserve"> </w:t>
      </w:r>
      <w:r w:rsidR="00814CFB">
        <w:t>include</w:t>
      </w:r>
      <w:r w:rsidR="00473F77" w:rsidRPr="00AC0A14">
        <w:t xml:space="preserve">: </w:t>
      </w:r>
    </w:p>
    <w:p w14:paraId="6F1951ED" w14:textId="10035A08" w:rsidR="00473F77" w:rsidRDefault="00473F77" w:rsidP="00814CFB">
      <w:pPr>
        <w:pStyle w:val="ListBullet"/>
      </w:pPr>
      <w:r w:rsidRPr="00227D9B">
        <w:rPr>
          <w:b/>
        </w:rPr>
        <w:t>Ministry of Energy and Water</w:t>
      </w:r>
      <w:r w:rsidRPr="00227D9B">
        <w:t xml:space="preserve"> (M</w:t>
      </w:r>
      <w:r w:rsidRPr="00B56417">
        <w:t>inistère de l’Eau et de l’Energie</w:t>
      </w:r>
      <w:r w:rsidRPr="00040338">
        <w:t>,</w:t>
      </w:r>
      <w:r w:rsidRPr="00227D9B">
        <w:rPr>
          <w:b/>
        </w:rPr>
        <w:t xml:space="preserve"> MINEE</w:t>
      </w:r>
      <w:r>
        <w:t>)</w:t>
      </w:r>
      <w:r w:rsidR="00227D9B">
        <w:t xml:space="preserve">: </w:t>
      </w:r>
      <w:r w:rsidR="00440AD4">
        <w:t>The MINEE is</w:t>
      </w:r>
      <w:r>
        <w:t xml:space="preserve"> responsible for implementing government action in the energy sector and</w:t>
      </w:r>
      <w:r w:rsidR="00440AD4">
        <w:t xml:space="preserve"> </w:t>
      </w:r>
      <w:r w:rsidR="00D45097">
        <w:t>monitoring energy</w:t>
      </w:r>
      <w:r w:rsidR="00680DB2">
        <w:t xml:space="preserve"> sector activities</w:t>
      </w:r>
    </w:p>
    <w:p w14:paraId="24BDD0A9" w14:textId="4CC086C3" w:rsidR="008C3D4B" w:rsidRDefault="00473F77" w:rsidP="000D01FA">
      <w:pPr>
        <w:pStyle w:val="ListBullet"/>
      </w:pPr>
      <w:r w:rsidRPr="00227D9B">
        <w:rPr>
          <w:b/>
        </w:rPr>
        <w:t xml:space="preserve">Rural Electrification Agency </w:t>
      </w:r>
      <w:r w:rsidRPr="00227D9B">
        <w:t>(</w:t>
      </w:r>
      <w:r w:rsidRPr="00B56417">
        <w:t>Agence d’Electrification Rurale</w:t>
      </w:r>
      <w:r w:rsidR="0025384D">
        <w:t>–</w:t>
      </w:r>
      <w:r w:rsidRPr="00227D9B">
        <w:rPr>
          <w:b/>
        </w:rPr>
        <w:t>AER</w:t>
      </w:r>
      <w:r w:rsidRPr="00227D9B">
        <w:t>)</w:t>
      </w:r>
      <w:r w:rsidR="00227D9B">
        <w:t>: AER promotes and develops</w:t>
      </w:r>
      <w:r w:rsidR="00227D9B" w:rsidRPr="00D90457">
        <w:t xml:space="preserve"> rural electrification </w:t>
      </w:r>
      <w:r w:rsidR="00227D9B">
        <w:t xml:space="preserve">projects </w:t>
      </w:r>
      <w:r w:rsidR="00227D9B" w:rsidRPr="00D90457">
        <w:t xml:space="preserve">across the </w:t>
      </w:r>
      <w:r w:rsidR="00227D9B">
        <w:t>country</w:t>
      </w:r>
      <w:r w:rsidR="00227D9B" w:rsidRPr="008A44B8">
        <w:t xml:space="preserve"> by providing financing to communities and operators</w:t>
      </w:r>
      <w:r w:rsidR="00227D9B">
        <w:t xml:space="preserve">. </w:t>
      </w:r>
      <w:r w:rsidR="00893A11">
        <w:t xml:space="preserve">AER </w:t>
      </w:r>
      <w:r w:rsidR="00893A11" w:rsidRPr="00E83DC2">
        <w:t>is a public institution</w:t>
      </w:r>
      <w:r w:rsidR="00893A11">
        <w:t xml:space="preserve"> established by Decree in 1999.</w:t>
      </w:r>
      <w:r w:rsidR="00893A11">
        <w:rPr>
          <w:rStyle w:val="FootnoteReference"/>
        </w:rPr>
        <w:footnoteReference w:id="6"/>
      </w:r>
      <w:r w:rsidR="00893A11">
        <w:t xml:space="preserve"> </w:t>
      </w:r>
      <w:r w:rsidR="00145BB7" w:rsidRPr="00145BB7">
        <w:t xml:space="preserve">AER </w:t>
      </w:r>
      <w:r w:rsidR="00145BB7">
        <w:t>is u</w:t>
      </w:r>
      <w:r w:rsidR="00145BB7" w:rsidRPr="00145BB7">
        <w:t xml:space="preserve">nder the technical authority of the </w:t>
      </w:r>
      <w:r w:rsidR="00145BB7">
        <w:t xml:space="preserve">MINEE </w:t>
      </w:r>
      <w:r w:rsidR="00145BB7" w:rsidRPr="00145BB7">
        <w:t>and the financial supervision of the Minister of Finance</w:t>
      </w:r>
      <w:r w:rsidR="007D6E85">
        <w:t>.</w:t>
      </w:r>
      <w:r w:rsidR="007D6E85">
        <w:rPr>
          <w:rStyle w:val="FootnoteReference"/>
        </w:rPr>
        <w:footnoteReference w:id="7"/>
      </w:r>
      <w:r w:rsidR="00227D9B">
        <w:t xml:space="preserve"> </w:t>
      </w:r>
      <w:r w:rsidR="008C3D4B">
        <w:t>In 2013, a</w:t>
      </w:r>
      <w:r w:rsidR="008C3D4B" w:rsidRPr="008C3D4B">
        <w:t xml:space="preserve"> Decree of the President of the Republic </w:t>
      </w:r>
      <w:r w:rsidR="00893A11" w:rsidRPr="008C3D4B">
        <w:t>reinforce</w:t>
      </w:r>
      <w:r w:rsidR="00893A11">
        <w:t>d the</w:t>
      </w:r>
      <w:r w:rsidR="00893A11" w:rsidRPr="008C3D4B">
        <w:t xml:space="preserve"> </w:t>
      </w:r>
      <w:r w:rsidR="00F821BC">
        <w:t xml:space="preserve">AER </w:t>
      </w:r>
      <w:r w:rsidR="008C3D4B" w:rsidRPr="008C3D4B">
        <w:t>mission</w:t>
      </w:r>
      <w:r w:rsidR="008C3D4B">
        <w:rPr>
          <w:rStyle w:val="FootnoteReference"/>
        </w:rPr>
        <w:footnoteReference w:id="8"/>
      </w:r>
      <w:r w:rsidR="00436B92">
        <w:t xml:space="preserve">. </w:t>
      </w:r>
      <w:r w:rsidR="00893A11">
        <w:t>AER’s t</w:t>
      </w:r>
      <w:r w:rsidR="00436B92">
        <w:t xml:space="preserve">asks and responsibilities </w:t>
      </w:r>
      <w:r w:rsidR="00893A11">
        <w:t>were</w:t>
      </w:r>
      <w:r w:rsidR="00436B92" w:rsidRPr="00436B92">
        <w:t xml:space="preserve"> identified more precisely in the </w:t>
      </w:r>
      <w:r w:rsidR="00F342F7">
        <w:t xml:space="preserve">decree’s </w:t>
      </w:r>
      <w:r w:rsidR="00436B92" w:rsidRPr="00436B92">
        <w:t>section on rural electrification</w:t>
      </w:r>
      <w:r w:rsidR="00227D9B">
        <w:t xml:space="preserve">. </w:t>
      </w:r>
    </w:p>
    <w:p w14:paraId="262A46DC" w14:textId="4701969B" w:rsidR="000D01FA" w:rsidRPr="00814CFB" w:rsidRDefault="000D01FA" w:rsidP="000D01FA">
      <w:pPr>
        <w:pStyle w:val="ListBullet"/>
      </w:pPr>
      <w:r>
        <w:rPr>
          <w:b/>
        </w:rPr>
        <w:t>Rural Energy F</w:t>
      </w:r>
      <w:r w:rsidR="00680DB2">
        <w:rPr>
          <w:b/>
        </w:rPr>
        <w:t>und (</w:t>
      </w:r>
      <w:r w:rsidR="00680DB2" w:rsidRPr="00B42673">
        <w:rPr>
          <w:lang w:val="en-NZ"/>
        </w:rPr>
        <w:t>Rural</w:t>
      </w:r>
      <w:r w:rsidR="00B42673" w:rsidRPr="00B42673">
        <w:rPr>
          <w:lang w:val="en-NZ"/>
        </w:rPr>
        <w:t>e</w:t>
      </w:r>
      <w:r w:rsidR="00680DB2" w:rsidRPr="00B42673">
        <w:rPr>
          <w:lang w:val="en-NZ"/>
        </w:rPr>
        <w:t xml:space="preserve"> </w:t>
      </w:r>
      <w:r w:rsidR="00B42673" w:rsidRPr="00CD2939">
        <w:rPr>
          <w:lang w:val="en-NZ"/>
        </w:rPr>
        <w:t>Énergie</w:t>
      </w:r>
      <w:r w:rsidR="00680DB2" w:rsidRPr="00B42673">
        <w:rPr>
          <w:lang w:val="en-NZ"/>
        </w:rPr>
        <w:t xml:space="preserve"> </w:t>
      </w:r>
      <w:r w:rsidR="00B42673">
        <w:rPr>
          <w:lang w:val="en-NZ"/>
        </w:rPr>
        <w:t>Fu</w:t>
      </w:r>
      <w:r w:rsidR="00B42673" w:rsidRPr="00B42673">
        <w:rPr>
          <w:lang w:val="en-NZ"/>
        </w:rPr>
        <w:t>nd</w:t>
      </w:r>
      <w:r w:rsidR="0025384D">
        <w:rPr>
          <w:b/>
        </w:rPr>
        <w:t>–</w:t>
      </w:r>
      <w:r w:rsidRPr="00814CFB">
        <w:rPr>
          <w:b/>
        </w:rPr>
        <w:t>FER):</w:t>
      </w:r>
      <w:r>
        <w:rPr>
          <w:b/>
        </w:rPr>
        <w:t xml:space="preserve"> </w:t>
      </w:r>
      <w:r>
        <w:t>FER</w:t>
      </w:r>
      <w:r w:rsidRPr="00814CFB">
        <w:t xml:space="preserve"> </w:t>
      </w:r>
      <w:r>
        <w:t>was</w:t>
      </w:r>
      <w:r w:rsidRPr="00814CFB">
        <w:t xml:space="preserve"> created by presidential decree in 2009. It is not a legal entity and is managed by AER. The main purpose of FER is to grant a partial subsidy to priority investment programs </w:t>
      </w:r>
      <w:r w:rsidR="001E1D03">
        <w:t>involving</w:t>
      </w:r>
      <w:r w:rsidRPr="00814CFB">
        <w:t xml:space="preserve"> rural electrification.</w:t>
      </w:r>
    </w:p>
    <w:p w14:paraId="118DB970" w14:textId="635B6F0E" w:rsidR="00227D9B" w:rsidRDefault="00473F77" w:rsidP="000D01FA">
      <w:pPr>
        <w:pStyle w:val="ListBullet"/>
      </w:pPr>
      <w:r w:rsidRPr="00227D9B">
        <w:rPr>
          <w:b/>
        </w:rPr>
        <w:t xml:space="preserve">Electric Sector Regulation Agency </w:t>
      </w:r>
      <w:r w:rsidRPr="00227D9B">
        <w:t>(Agence de Régulati</w:t>
      </w:r>
      <w:r w:rsidR="00680DB2">
        <w:t>on du Secteur de l’Electricité</w:t>
      </w:r>
      <w:r w:rsidR="007B0CF5">
        <w:t>–</w:t>
      </w:r>
      <w:r w:rsidRPr="00227D9B">
        <w:rPr>
          <w:b/>
        </w:rPr>
        <w:t>ARSEL</w:t>
      </w:r>
      <w:r w:rsidR="009E622D" w:rsidRPr="00227D9B">
        <w:t>)</w:t>
      </w:r>
      <w:r w:rsidR="00227D9B" w:rsidRPr="00227D9B">
        <w:t>:</w:t>
      </w:r>
      <w:r w:rsidR="00227D9B">
        <w:t xml:space="preserve"> </w:t>
      </w:r>
      <w:r w:rsidR="0059272C" w:rsidRPr="0059272C">
        <w:t xml:space="preserve">ARSEL was established by </w:t>
      </w:r>
      <w:r w:rsidR="0059272C">
        <w:t xml:space="preserve">the 1998 Electricity Law </w:t>
      </w:r>
      <w:r w:rsidR="0059272C" w:rsidRPr="0059272C">
        <w:t>governing the electricity sector</w:t>
      </w:r>
      <w:r w:rsidR="001124C3">
        <w:t>.</w:t>
      </w:r>
      <w:r w:rsidR="00227D9B">
        <w:rPr>
          <w:rStyle w:val="FootnoteReference"/>
        </w:rPr>
        <w:footnoteReference w:id="9"/>
      </w:r>
      <w:r w:rsidR="001124C3">
        <w:t xml:space="preserve"> </w:t>
      </w:r>
      <w:r w:rsidR="00227D9B" w:rsidRPr="00A06D34">
        <w:t xml:space="preserve">ARSEL </w:t>
      </w:r>
      <w:r w:rsidR="00227D9B">
        <w:t>regulates the electricity sector. its principal tasks are to:</w:t>
      </w:r>
    </w:p>
    <w:p w14:paraId="050FA58E" w14:textId="5B0F6DC2" w:rsidR="00227D9B" w:rsidRPr="00680DB2" w:rsidRDefault="00227D9B" w:rsidP="00D239A6">
      <w:pPr>
        <w:pStyle w:val="ListBullet2"/>
      </w:pPr>
      <w:r>
        <w:t xml:space="preserve">monitor </w:t>
      </w:r>
      <w:r w:rsidR="00D239A6">
        <w:t>the sector's activity</w:t>
      </w:r>
    </w:p>
    <w:p w14:paraId="444EDDFA" w14:textId="59F246B6" w:rsidR="00227D9B" w:rsidRPr="00680DB2" w:rsidRDefault="00227D9B" w:rsidP="00D239A6">
      <w:pPr>
        <w:pStyle w:val="ListBullet2"/>
      </w:pPr>
      <w:r w:rsidRPr="00680DB2">
        <w:t>approve tariffs and determine</w:t>
      </w:r>
      <w:r w:rsidR="00D239A6">
        <w:t xml:space="preserve"> electrical standards</w:t>
      </w:r>
    </w:p>
    <w:p w14:paraId="20A68BCD" w14:textId="39232AA6" w:rsidR="00227D9B" w:rsidRPr="00680DB2" w:rsidRDefault="00227D9B" w:rsidP="00D239A6">
      <w:pPr>
        <w:pStyle w:val="ListBullet2"/>
      </w:pPr>
      <w:r w:rsidRPr="00680DB2">
        <w:t>examine conc</w:t>
      </w:r>
      <w:r w:rsidR="00D239A6">
        <w:t>ession and license applications</w:t>
      </w:r>
    </w:p>
    <w:p w14:paraId="304DF1FE" w14:textId="67CA8138" w:rsidR="00227D9B" w:rsidRPr="00680DB2" w:rsidRDefault="00227D9B" w:rsidP="00D239A6">
      <w:pPr>
        <w:pStyle w:val="ListBullet2"/>
      </w:pPr>
      <w:r w:rsidRPr="00680DB2">
        <w:t>authorize electricity generati</w:t>
      </w:r>
      <w:r w:rsidR="007B0CF5">
        <w:t>o</w:t>
      </w:r>
      <w:r w:rsidRPr="00680DB2">
        <w:t xml:space="preserve">n </w:t>
      </w:r>
      <w:r w:rsidR="00D239A6">
        <w:t>and distribution</w:t>
      </w:r>
    </w:p>
    <w:p w14:paraId="66F44494" w14:textId="77777777" w:rsidR="007B0CF5" w:rsidRDefault="00227D9B" w:rsidP="00D239A6">
      <w:pPr>
        <w:pStyle w:val="ListBullet2"/>
      </w:pPr>
      <w:r w:rsidRPr="00680DB2">
        <w:t xml:space="preserve">protect consumers; and </w:t>
      </w:r>
    </w:p>
    <w:p w14:paraId="34EA3EA1" w14:textId="43F7D06F" w:rsidR="00227D9B" w:rsidRDefault="00227D9B" w:rsidP="00D239A6">
      <w:pPr>
        <w:pStyle w:val="ListBullet2"/>
      </w:pPr>
      <w:r w:rsidRPr="00680DB2">
        <w:t>promote competition and facilitate private sector involvement</w:t>
      </w:r>
      <w:r>
        <w:t xml:space="preserve"> in the sector.</w:t>
      </w:r>
    </w:p>
    <w:p w14:paraId="5DFB144E" w14:textId="611B8340" w:rsidR="00D45097" w:rsidRDefault="00473F77" w:rsidP="00814CFB">
      <w:pPr>
        <w:pStyle w:val="ListBullet"/>
      </w:pPr>
      <w:r w:rsidRPr="00401A51">
        <w:rPr>
          <w:b/>
        </w:rPr>
        <w:t>Electricity</w:t>
      </w:r>
      <w:r w:rsidR="00227D9B" w:rsidRPr="00401A51">
        <w:rPr>
          <w:b/>
        </w:rPr>
        <w:t xml:space="preserve"> Development Corporation </w:t>
      </w:r>
      <w:r w:rsidR="00227D9B" w:rsidRPr="00227D9B">
        <w:t>(</w:t>
      </w:r>
      <w:r w:rsidR="00227D9B" w:rsidRPr="00401A51">
        <w:rPr>
          <w:b/>
        </w:rPr>
        <w:t>EDC</w:t>
      </w:r>
      <w:r w:rsidR="00227D9B" w:rsidRPr="00227D9B">
        <w:t xml:space="preserve">): </w:t>
      </w:r>
      <w:r w:rsidR="00E945B9">
        <w:t xml:space="preserve">EDC is </w:t>
      </w:r>
      <w:r>
        <w:t>a state</w:t>
      </w:r>
      <w:r w:rsidR="00D239A6">
        <w:t>-owned</w:t>
      </w:r>
      <w:r>
        <w:t xml:space="preserve"> company </w:t>
      </w:r>
      <w:r w:rsidR="00E945B9">
        <w:t xml:space="preserve">created by </w:t>
      </w:r>
      <w:r w:rsidR="00401A51">
        <w:t>d</w:t>
      </w:r>
      <w:r w:rsidR="00E945B9">
        <w:t>ecree</w:t>
      </w:r>
      <w:r w:rsidR="00E945B9">
        <w:rPr>
          <w:rStyle w:val="FootnoteReference"/>
        </w:rPr>
        <w:footnoteReference w:id="10"/>
      </w:r>
      <w:r w:rsidR="00E945B9">
        <w:t xml:space="preserve"> </w:t>
      </w:r>
      <w:r>
        <w:t>that develops the electricity sector including all hydroelectric projects in the country.</w:t>
      </w:r>
      <w:r w:rsidR="00401A51">
        <w:t xml:space="preserve"> </w:t>
      </w:r>
      <w:r w:rsidR="00401A51" w:rsidRPr="00843FC6">
        <w:t xml:space="preserve">EDC </w:t>
      </w:r>
      <w:r w:rsidR="00401A51">
        <w:t xml:space="preserve">is mainly </w:t>
      </w:r>
      <w:r w:rsidR="00401A51" w:rsidRPr="00843FC6">
        <w:t>in charge of build</w:t>
      </w:r>
      <w:r w:rsidR="00401A51">
        <w:t>ing</w:t>
      </w:r>
      <w:r w:rsidR="00401A51" w:rsidRPr="00843FC6">
        <w:t xml:space="preserve"> and operati</w:t>
      </w:r>
      <w:r w:rsidR="00401A51">
        <w:t xml:space="preserve">ng of dams as well as </w:t>
      </w:r>
      <w:r w:rsidR="00401A51" w:rsidRPr="00C558ED">
        <w:t>operation and maintenance of</w:t>
      </w:r>
      <w:r w:rsidR="00401A51">
        <w:t xml:space="preserve"> storage dams (barrage-réservoirs). </w:t>
      </w:r>
      <w:r w:rsidR="00D45097">
        <w:t>The purposes of EDC</w:t>
      </w:r>
      <w:r w:rsidR="00EA33E9">
        <w:t xml:space="preserve"> </w:t>
      </w:r>
      <w:r w:rsidR="00401A51">
        <w:t>are to</w:t>
      </w:r>
      <w:r w:rsidR="00D45097">
        <w:t xml:space="preserve">: </w:t>
      </w:r>
    </w:p>
    <w:p w14:paraId="450ABDD2" w14:textId="540E354B" w:rsidR="00B36323" w:rsidRDefault="00401A51" w:rsidP="00D239A6">
      <w:pPr>
        <w:pStyle w:val="ListBullet2"/>
      </w:pPr>
      <w:r>
        <w:t>manage</w:t>
      </w:r>
      <w:r w:rsidR="00B36323" w:rsidRPr="00B36323">
        <w:t>, on behalf of the State, public ass</w:t>
      </w:r>
      <w:r w:rsidR="00B36323">
        <w:t xml:space="preserve">ets in the electricity sector; </w:t>
      </w:r>
    </w:p>
    <w:p w14:paraId="2CFD7DD8" w14:textId="0E52315B" w:rsidR="00B36323" w:rsidRDefault="00B36323" w:rsidP="00D239A6">
      <w:pPr>
        <w:pStyle w:val="ListBullet2"/>
      </w:pPr>
      <w:r w:rsidRPr="00B36323">
        <w:lastRenderedPageBreak/>
        <w:t xml:space="preserve">study, </w:t>
      </w:r>
      <w:r w:rsidR="00401A51">
        <w:t>prepare</w:t>
      </w:r>
      <w:r w:rsidRPr="00B36323">
        <w:t xml:space="preserve"> </w:t>
      </w:r>
      <w:r w:rsidR="00401A51">
        <w:t>or implement</w:t>
      </w:r>
      <w:r w:rsidRPr="00B36323">
        <w:t xml:space="preserve"> any infrastructure project in the electricity sector </w:t>
      </w:r>
      <w:r>
        <w:t xml:space="preserve">assigned </w:t>
      </w:r>
      <w:r w:rsidR="00D239A6">
        <w:t>by the State</w:t>
      </w:r>
    </w:p>
    <w:p w14:paraId="702802D7" w14:textId="1D8786E1" w:rsidR="00D45097" w:rsidRDefault="00B36323" w:rsidP="00D239A6">
      <w:pPr>
        <w:pStyle w:val="ListBullet2"/>
      </w:pPr>
      <w:r w:rsidRPr="00B36323">
        <w:t>promot</w:t>
      </w:r>
      <w:r w:rsidR="007B0CF5">
        <w:t>e</w:t>
      </w:r>
      <w:r w:rsidRPr="00B36323">
        <w:t xml:space="preserve"> and develop public and private investment in the electricity sector.</w:t>
      </w:r>
    </w:p>
    <w:p w14:paraId="22167371" w14:textId="13DADA2F" w:rsidR="00814CFB" w:rsidRPr="00814CFB" w:rsidRDefault="00814CFB" w:rsidP="00D239A6">
      <w:pPr>
        <w:pStyle w:val="ListBullet"/>
      </w:pPr>
      <w:r w:rsidRPr="000D01FA">
        <w:rPr>
          <w:b/>
        </w:rPr>
        <w:t>The Committee of</w:t>
      </w:r>
      <w:r w:rsidRPr="00814CFB">
        <w:rPr>
          <w:b/>
        </w:rPr>
        <w:t xml:space="preserve"> Planning and Programming of Rural Energy (COPPER): </w:t>
      </w:r>
      <w:r w:rsidRPr="00814CFB">
        <w:t xml:space="preserve">The Committee of Planning and Programming of Rural Energy (Comité de Planification et Programmation de l’Energie Rurale) was established by presidential decree in 2009. </w:t>
      </w:r>
      <w:r w:rsidR="00893A11">
        <w:t>The committee’s main purpose is to ensure the proper allocation of resources and subsidies administered by the FER</w:t>
      </w:r>
      <w:r w:rsidRPr="00814CFB">
        <w:t>. The COPPER is chaired by the Minister of Water and Energy.</w:t>
      </w:r>
    </w:p>
    <w:p w14:paraId="64460BAA" w14:textId="77C70A01" w:rsidR="000301E0" w:rsidRDefault="000301E0" w:rsidP="000301E0">
      <w:pPr>
        <w:pStyle w:val="BodyText"/>
      </w:pPr>
      <w:r>
        <w:t xml:space="preserve">The power market </w:t>
      </w:r>
      <w:r w:rsidR="005D339A">
        <w:t xml:space="preserve">structure in Cameroon is presented in </w:t>
      </w:r>
      <w:r w:rsidR="005D339A">
        <w:fldChar w:fldCharType="begin"/>
      </w:r>
      <w:r w:rsidR="005D339A">
        <w:instrText xml:space="preserve"> REF _Ref429585619 \h </w:instrText>
      </w:r>
      <w:r w:rsidR="005D339A">
        <w:fldChar w:fldCharType="separate"/>
      </w:r>
      <w:r w:rsidR="0079328A">
        <w:t xml:space="preserve">Figure </w:t>
      </w:r>
      <w:r w:rsidR="0079328A">
        <w:rPr>
          <w:noProof/>
        </w:rPr>
        <w:t>2</w:t>
      </w:r>
      <w:r w:rsidR="0079328A">
        <w:t>.</w:t>
      </w:r>
      <w:r w:rsidR="0079328A">
        <w:rPr>
          <w:noProof/>
        </w:rPr>
        <w:t>2</w:t>
      </w:r>
      <w:r w:rsidR="005D339A">
        <w:fldChar w:fldCharType="end"/>
      </w:r>
      <w:r w:rsidR="005D339A">
        <w:t>.</w:t>
      </w:r>
    </w:p>
    <w:p w14:paraId="39AD32A1" w14:textId="39F487E2" w:rsidR="009570D7" w:rsidRDefault="009570D7">
      <w:pPr>
        <w:pStyle w:val="Caption"/>
        <w:keepNext/>
      </w:pPr>
      <w:bookmarkStart w:id="17" w:name="_Ref429585619"/>
      <w:bookmarkStart w:id="18" w:name="_Toc432619283"/>
      <w:bookmarkStart w:id="19" w:name="_Toc437034140"/>
      <w:r>
        <w:t xml:space="preserve">Figure </w:t>
      </w:r>
      <w:fldSimple w:instr=" STYLEREF 1 \s ">
        <w:r w:rsidR="0079328A">
          <w:rPr>
            <w:noProof/>
          </w:rPr>
          <w:t>2</w:t>
        </w:r>
      </w:fldSimple>
      <w:r>
        <w:t>.</w:t>
      </w:r>
      <w:fldSimple w:instr=" SEQ Figure \* ARABIC \s 1 ">
        <w:r w:rsidR="0079328A">
          <w:rPr>
            <w:noProof/>
          </w:rPr>
          <w:t>2</w:t>
        </w:r>
      </w:fldSimple>
      <w:bookmarkEnd w:id="17"/>
      <w:r>
        <w:t xml:space="preserve">: </w:t>
      </w:r>
      <w:r w:rsidR="005D339A">
        <w:t>Cameroon Power Market Structure</w:t>
      </w:r>
      <w:bookmarkEnd w:id="18"/>
      <w:bookmarkEnd w:id="19"/>
    </w:p>
    <w:p w14:paraId="51C74B2B" w14:textId="31BF4C6B" w:rsidR="009570D7" w:rsidRDefault="00F37309">
      <w:pPr>
        <w:pStyle w:val="SourceNoteText"/>
        <w:keepNext/>
      </w:pPr>
      <w:r>
        <w:rPr>
          <w:noProof/>
          <w:lang w:eastAsia="en-US"/>
        </w:rPr>
        <w:drawing>
          <wp:inline distT="0" distB="0" distL="0" distR="0" wp14:anchorId="12E38049" wp14:editId="59C50369">
            <wp:extent cx="5408762" cy="3389654"/>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8210" t="55566" r="12402" b="6893"/>
                    <a:stretch/>
                  </pic:blipFill>
                  <pic:spPr bwMode="auto">
                    <a:xfrm>
                      <a:off x="0" y="0"/>
                      <a:ext cx="5405272" cy="3387467"/>
                    </a:xfrm>
                    <a:prstGeom prst="rect">
                      <a:avLst/>
                    </a:prstGeom>
                    <a:ln>
                      <a:noFill/>
                    </a:ln>
                    <a:extLst>
                      <a:ext uri="{53640926-AAD7-44D8-BBD7-CCE9431645EC}">
                        <a14:shadowObscured xmlns:a14="http://schemas.microsoft.com/office/drawing/2010/main"/>
                      </a:ext>
                    </a:extLst>
                  </pic:spPr>
                </pic:pic>
              </a:graphicData>
            </a:graphic>
          </wp:inline>
        </w:drawing>
      </w:r>
    </w:p>
    <w:p w14:paraId="66D2BE0D" w14:textId="77777777" w:rsidR="009570D7" w:rsidRDefault="009570D7">
      <w:pPr>
        <w:pStyle w:val="TableorFigureEnd"/>
        <w:pBdr>
          <w:top w:val="single" w:sz="4" w:space="0" w:color="auto"/>
        </w:pBdr>
      </w:pPr>
    </w:p>
    <w:p w14:paraId="6E3A7091" w14:textId="6C717A44" w:rsidR="000301E0" w:rsidRDefault="000301E0" w:rsidP="000301E0">
      <w:pPr>
        <w:pStyle w:val="BodyText"/>
      </w:pPr>
      <w:r>
        <w:t xml:space="preserve">The </w:t>
      </w:r>
      <w:r w:rsidR="005D339A">
        <w:t xml:space="preserve">rural </w:t>
      </w:r>
      <w:r>
        <w:t xml:space="preserve">electrification rate </w:t>
      </w:r>
      <w:r w:rsidR="009570D7">
        <w:t xml:space="preserve">in the country </w:t>
      </w:r>
      <w:r w:rsidR="005D339A">
        <w:t xml:space="preserve">was reported to be 18.5 </w:t>
      </w:r>
      <w:r w:rsidR="009570D7">
        <w:t>percent</w:t>
      </w:r>
      <w:r w:rsidR="005D339A">
        <w:t xml:space="preserve"> in 2012</w:t>
      </w:r>
      <w:r w:rsidR="009570D7">
        <w:t xml:space="preserve"> and has changed over time as follows:</w:t>
      </w:r>
    </w:p>
    <w:p w14:paraId="293EA1C6" w14:textId="26F5A5EF" w:rsidR="00EE644D" w:rsidRDefault="00EE644D" w:rsidP="005D339A">
      <w:pPr>
        <w:pStyle w:val="Caption"/>
        <w:keepNext/>
        <w:pBdr>
          <w:bottom w:val="single" w:sz="4" w:space="0" w:color="auto"/>
        </w:pBdr>
      </w:pPr>
      <w:bookmarkStart w:id="20" w:name="_Toc432619284"/>
      <w:bookmarkStart w:id="21" w:name="_Toc437034141"/>
      <w:r>
        <w:lastRenderedPageBreak/>
        <w:t xml:space="preserve">Figure </w:t>
      </w:r>
      <w:fldSimple w:instr=" STYLEREF 1 \s ">
        <w:r w:rsidR="0079328A">
          <w:rPr>
            <w:noProof/>
          </w:rPr>
          <w:t>2</w:t>
        </w:r>
      </w:fldSimple>
      <w:r>
        <w:t>.</w:t>
      </w:r>
      <w:fldSimple w:instr=" SEQ Figure \* ARABIC \s 1 ">
        <w:r w:rsidR="0079328A">
          <w:rPr>
            <w:noProof/>
          </w:rPr>
          <w:t>3</w:t>
        </w:r>
      </w:fldSimple>
      <w:r>
        <w:t xml:space="preserve">: </w:t>
      </w:r>
      <w:r w:rsidR="005D339A">
        <w:t>Rural Electrification Rate in Cameroon (1990-2012)</w:t>
      </w:r>
      <w:bookmarkEnd w:id="20"/>
      <w:bookmarkEnd w:id="21"/>
    </w:p>
    <w:p w14:paraId="6A33D922" w14:textId="4C4EAB59" w:rsidR="00EE644D" w:rsidRDefault="00666EA6" w:rsidP="00D239A6">
      <w:pPr>
        <w:pStyle w:val="TableText"/>
        <w:jc w:val="center"/>
      </w:pPr>
      <w:r>
        <w:rPr>
          <w:noProof/>
          <w:lang w:eastAsia="en-US"/>
        </w:rPr>
        <w:drawing>
          <wp:inline distT="0" distB="0" distL="0" distR="0" wp14:anchorId="0365802F" wp14:editId="766BB75A">
            <wp:extent cx="5624097" cy="24029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4412" cy="2420184"/>
                    </a:xfrm>
                    <a:prstGeom prst="rect">
                      <a:avLst/>
                    </a:prstGeom>
                    <a:noFill/>
                  </pic:spPr>
                </pic:pic>
              </a:graphicData>
            </a:graphic>
          </wp:inline>
        </w:drawing>
      </w:r>
    </w:p>
    <w:p w14:paraId="621DEEFA" w14:textId="453BBE91" w:rsidR="00EE644D" w:rsidRDefault="00EE644D" w:rsidP="00D239A6">
      <w:pPr>
        <w:pStyle w:val="SourceNoteText"/>
      </w:pPr>
      <w:r>
        <w:t>Source:</w:t>
      </w:r>
      <w:r>
        <w:tab/>
      </w:r>
      <w:r w:rsidR="005D339A">
        <w:t>World Bank</w:t>
      </w:r>
    </w:p>
    <w:p w14:paraId="3165CFCD" w14:textId="77777777" w:rsidR="00EE644D" w:rsidRDefault="00EE644D">
      <w:pPr>
        <w:pStyle w:val="TableorFigureEnd"/>
        <w:pBdr>
          <w:top w:val="single" w:sz="4" w:space="0" w:color="auto"/>
        </w:pBdr>
      </w:pPr>
    </w:p>
    <w:p w14:paraId="4BE38670" w14:textId="3D62D059" w:rsidR="00DC256B" w:rsidRPr="009F1C14" w:rsidRDefault="00DC256B" w:rsidP="00DC256B">
      <w:pPr>
        <w:pStyle w:val="Caption"/>
        <w:keepNext/>
      </w:pPr>
      <w:bookmarkStart w:id="22" w:name="_Toc432597185"/>
      <w:bookmarkStart w:id="23" w:name="_Toc432619285"/>
      <w:bookmarkStart w:id="24" w:name="_Toc437034142"/>
      <w:bookmarkStart w:id="25" w:name="_Toc428279273"/>
      <w:bookmarkStart w:id="26" w:name="_Toc428378310"/>
      <w:r w:rsidRPr="009F1C14">
        <w:t xml:space="preserve">Figure </w:t>
      </w:r>
      <w:fldSimple w:instr=" STYLEREF 1 \s ">
        <w:r w:rsidR="0079328A">
          <w:rPr>
            <w:noProof/>
          </w:rPr>
          <w:t>2</w:t>
        </w:r>
      </w:fldSimple>
      <w:r w:rsidRPr="009F1C14">
        <w:t>.</w:t>
      </w:r>
      <w:fldSimple w:instr=" SEQ Figure \* ARABIC \s 1 ">
        <w:r w:rsidR="0079328A">
          <w:rPr>
            <w:noProof/>
          </w:rPr>
          <w:t>4</w:t>
        </w:r>
      </w:fldSimple>
      <w:r w:rsidRPr="009F1C14">
        <w:t xml:space="preserve">: Population with Access to Electricity, </w:t>
      </w:r>
      <w:r>
        <w:t>Cameroon</w:t>
      </w:r>
      <w:r w:rsidRPr="009F1C14">
        <w:t xml:space="preserve"> (1990-2012)</w:t>
      </w:r>
      <w:bookmarkEnd w:id="22"/>
      <w:bookmarkEnd w:id="23"/>
      <w:bookmarkEnd w:id="24"/>
    </w:p>
    <w:p w14:paraId="72A95847" w14:textId="1A9FE82B" w:rsidR="00DC256B" w:rsidRPr="009F1C14" w:rsidRDefault="00DC256B" w:rsidP="00D239A6">
      <w:pPr>
        <w:pStyle w:val="TableText"/>
        <w:jc w:val="center"/>
      </w:pPr>
      <w:r>
        <w:rPr>
          <w:noProof/>
          <w:lang w:eastAsia="en-US"/>
        </w:rPr>
        <w:drawing>
          <wp:inline distT="0" distB="0" distL="0" distR="0" wp14:anchorId="039A7A83" wp14:editId="100EF45F">
            <wp:extent cx="4565140" cy="2743200"/>
            <wp:effectExtent l="0" t="0" r="698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AC9F5D" w14:textId="77777777" w:rsidR="00DC256B" w:rsidRPr="009F1C14" w:rsidRDefault="00DC256B" w:rsidP="00DC256B">
      <w:pPr>
        <w:pStyle w:val="SourceNoteText"/>
      </w:pPr>
      <w:r w:rsidRPr="009F1C14">
        <w:t>Source:</w:t>
      </w:r>
      <w:r w:rsidRPr="009F1C14">
        <w:tab/>
        <w:t>World Bank Open Data</w:t>
      </w:r>
    </w:p>
    <w:p w14:paraId="2A6AB17E" w14:textId="77777777" w:rsidR="00DC256B" w:rsidRPr="009F1C14" w:rsidRDefault="00DC256B" w:rsidP="00DC256B">
      <w:pPr>
        <w:pStyle w:val="TableorFigureEnd"/>
        <w:pBdr>
          <w:top w:val="single" w:sz="4" w:space="0" w:color="auto"/>
        </w:pBdr>
      </w:pPr>
    </w:p>
    <w:p w14:paraId="490E2E0E" w14:textId="77777777" w:rsidR="000301E0" w:rsidRDefault="000301E0" w:rsidP="000301E0">
      <w:pPr>
        <w:pStyle w:val="Heading2"/>
      </w:pPr>
      <w:bookmarkStart w:id="27" w:name="_Toc432608942"/>
      <w:bookmarkStart w:id="28" w:name="_Toc432619293"/>
      <w:bookmarkStart w:id="29" w:name="_Toc437034118"/>
      <w:r>
        <w:t>Rural Electrification Approach</w:t>
      </w:r>
      <w:bookmarkEnd w:id="25"/>
      <w:bookmarkEnd w:id="26"/>
      <w:bookmarkEnd w:id="27"/>
      <w:bookmarkEnd w:id="28"/>
      <w:bookmarkEnd w:id="29"/>
    </w:p>
    <w:p w14:paraId="608677DA" w14:textId="09DAAEB3" w:rsidR="00814CFB" w:rsidRDefault="00814CFB" w:rsidP="00814CFB">
      <w:pPr>
        <w:pStyle w:val="BodyText"/>
      </w:pPr>
      <w:r>
        <w:t xml:space="preserve">Under the </w:t>
      </w:r>
      <w:r w:rsidR="00893A11">
        <w:t xml:space="preserve">new </w:t>
      </w:r>
      <w:r w:rsidR="00D239A6">
        <w:t xml:space="preserve">2011 </w:t>
      </w:r>
      <w:r>
        <w:t xml:space="preserve">Electricity Law, </w:t>
      </w:r>
      <w:r w:rsidR="00D239A6">
        <w:t>similar to the 1998 Electricity</w:t>
      </w:r>
      <w:r>
        <w:t xml:space="preserve"> Law, </w:t>
      </w:r>
      <w:r w:rsidR="00893A11">
        <w:t>rural electrification projects are governed by a regime of licenses and authorization distinct from the main concession. ARSEL is the granting authority</w:t>
      </w:r>
      <w:r w:rsidR="001E1D03">
        <w:t xml:space="preserve"> for these license</w:t>
      </w:r>
      <w:r w:rsidR="00893A11">
        <w:t>, not the Minister upon the regulator’s recommendation as is common elsewhere in Cameroon’s power sector.</w:t>
      </w:r>
      <w:r>
        <w:t xml:space="preserve"> </w:t>
      </w:r>
      <w:r w:rsidR="007B0CF5">
        <w:t>D</w:t>
      </w:r>
      <w:r>
        <w:t xml:space="preserve">istribution </w:t>
      </w:r>
      <w:r w:rsidR="00682D46">
        <w:t>projects</w:t>
      </w:r>
      <w:r>
        <w:t xml:space="preserve"> in rural areas with </w:t>
      </w:r>
      <w:r w:rsidR="00682D46">
        <w:t>capacity below</w:t>
      </w:r>
      <w:r>
        <w:t xml:space="preserve"> 1MW </w:t>
      </w:r>
      <w:r w:rsidR="00682D46">
        <w:t>can be</w:t>
      </w:r>
      <w:r>
        <w:t xml:space="preserve"> granted authorization</w:t>
      </w:r>
      <w:r w:rsidR="00682D46">
        <w:t>s by ARSEL</w:t>
      </w:r>
      <w:r>
        <w:t>; there is no requirement for an international call for bids.</w:t>
      </w:r>
    </w:p>
    <w:p w14:paraId="79169BC7" w14:textId="55EDC57F" w:rsidR="00934324" w:rsidRPr="00934324" w:rsidRDefault="00934324" w:rsidP="00934324">
      <w:pPr>
        <w:pStyle w:val="BodyText"/>
      </w:pPr>
      <w:r w:rsidRPr="00934324">
        <w:lastRenderedPageBreak/>
        <w:t>In addition</w:t>
      </w:r>
      <w:r w:rsidR="001E1D03">
        <w:t>,</w:t>
      </w:r>
      <w:r w:rsidRPr="00934324">
        <w:t xml:space="preserve"> the 2011 Electricity Law provides for specific provisions related to renewable </w:t>
      </w:r>
      <w:r w:rsidR="001E1D03" w:rsidRPr="00934324">
        <w:t>energ</w:t>
      </w:r>
      <w:r w:rsidR="001E1D03">
        <w:t>y</w:t>
      </w:r>
      <w:r w:rsidRPr="00934324">
        <w:t>, which are particularly relevant for rural electrification</w:t>
      </w:r>
      <w:r w:rsidR="000E53F2">
        <w:t>. The law:</w:t>
      </w:r>
    </w:p>
    <w:p w14:paraId="73630758" w14:textId="732D8BAD" w:rsidR="00934324" w:rsidRDefault="00934324" w:rsidP="00934324">
      <w:pPr>
        <w:rPr>
          <w:rFonts w:ascii="Times New Roman" w:hAnsi="Times New Roman"/>
        </w:rPr>
      </w:pPr>
      <w:r>
        <w:rPr>
          <w:rFonts w:ascii="Times New Roman" w:hAnsi="Times New Roman"/>
        </w:rPr>
        <w:t xml:space="preserve">. </w:t>
      </w:r>
    </w:p>
    <w:p w14:paraId="2A120E29" w14:textId="1F7E0B6A" w:rsidR="00934324" w:rsidRPr="00934324" w:rsidRDefault="000E53F2" w:rsidP="00934324">
      <w:pPr>
        <w:pStyle w:val="ListBullet"/>
      </w:pPr>
      <w:r>
        <w:t>Specifies the term “renewable energy,” including:</w:t>
      </w:r>
      <w:r w:rsidR="00934324" w:rsidRPr="00934324">
        <w:t xml:space="preserve"> solar and photovoltaic energy, wind power; hydro power, biomass energy</w:t>
      </w:r>
      <w:r w:rsidR="00934324">
        <w:t xml:space="preserve"> regardless of capacity</w:t>
      </w:r>
      <w:r w:rsidR="00934324" w:rsidRPr="00934324">
        <w:t>, geothermal energy and marine origin energy</w:t>
      </w:r>
      <w:r w:rsidR="00934324">
        <w:t>;</w:t>
      </w:r>
    </w:p>
    <w:p w14:paraId="412740D3" w14:textId="7A8458DF" w:rsidR="00934324" w:rsidRPr="00934324" w:rsidRDefault="000E53F2" w:rsidP="00934324">
      <w:pPr>
        <w:pStyle w:val="ListBullet"/>
      </w:pPr>
      <w:r>
        <w:t>Increases the t</w:t>
      </w:r>
      <w:r w:rsidR="00934324" w:rsidRPr="00934324">
        <w:t xml:space="preserve">hreshold of exploitable </w:t>
      </w:r>
      <w:r w:rsidR="00893A11">
        <w:t xml:space="preserve">river-based </w:t>
      </w:r>
      <w:r w:rsidR="00934324" w:rsidRPr="00934324">
        <w:t>hydro power to 5MW;</w:t>
      </w:r>
    </w:p>
    <w:p w14:paraId="731D8E7D" w14:textId="4FD95659" w:rsidR="00934324" w:rsidRPr="00934324" w:rsidRDefault="000E53F2" w:rsidP="00934324">
      <w:pPr>
        <w:pStyle w:val="ListBullet"/>
      </w:pPr>
      <w:r>
        <w:t xml:space="preserve">Requires </w:t>
      </w:r>
      <w:r w:rsidR="00934324" w:rsidRPr="00934324">
        <w:t xml:space="preserve">electric utility </w:t>
      </w:r>
      <w:r>
        <w:t xml:space="preserve">operators </w:t>
      </w:r>
      <w:r w:rsidR="00934324" w:rsidRPr="00934324">
        <w:t xml:space="preserve">to connect </w:t>
      </w:r>
      <w:r>
        <w:t>any renewable energy producer (who applies) to the grid</w:t>
      </w:r>
      <w:r w:rsidR="00934324" w:rsidRPr="00934324">
        <w:t xml:space="preserve">. Connection costs shall be paid by the applicant; </w:t>
      </w:r>
    </w:p>
    <w:p w14:paraId="4FF0556F" w14:textId="310C190D" w:rsidR="00934324" w:rsidRPr="00934324" w:rsidRDefault="000E53F2" w:rsidP="00934324">
      <w:pPr>
        <w:pStyle w:val="ListBullet"/>
      </w:pPr>
      <w:r>
        <w:t>Promises the establishment of a</w:t>
      </w:r>
      <w:r w:rsidR="00934324" w:rsidRPr="00934324">
        <w:t>n agency responsible for the promotion and development of renewable energy</w:t>
      </w:r>
      <w:r w:rsidR="00682D46">
        <w:t>;</w:t>
      </w:r>
    </w:p>
    <w:p w14:paraId="520A5F1C" w14:textId="2CBED211" w:rsidR="00934324" w:rsidRPr="00934324" w:rsidRDefault="000E53F2" w:rsidP="00934324">
      <w:pPr>
        <w:pStyle w:val="ListBullet"/>
      </w:pPr>
      <w:r>
        <w:t xml:space="preserve">Clarifies by regulation </w:t>
      </w:r>
      <w:r w:rsidR="00934324" w:rsidRPr="00934324">
        <w:t>the terms</w:t>
      </w:r>
      <w:r w:rsidR="00682D46">
        <w:t xml:space="preserve"> under which</w:t>
      </w:r>
      <w:r w:rsidR="00934324" w:rsidRPr="00934324">
        <w:t xml:space="preserve"> </w:t>
      </w:r>
      <w:r>
        <w:t xml:space="preserve">renewable </w:t>
      </w:r>
      <w:r w:rsidR="00934324" w:rsidRPr="00934324">
        <w:t xml:space="preserve">energy </w:t>
      </w:r>
      <w:r>
        <w:t xml:space="preserve">purchases </w:t>
      </w:r>
      <w:r w:rsidR="00682D46">
        <w:t xml:space="preserve">will be made </w:t>
      </w:r>
      <w:r w:rsidR="00934324" w:rsidRPr="00934324">
        <w:t xml:space="preserve">by the public service operator, </w:t>
      </w:r>
      <w:r>
        <w:t xml:space="preserve">including </w:t>
      </w:r>
      <w:r w:rsidR="00934324" w:rsidRPr="00934324">
        <w:t xml:space="preserve">the volume and </w:t>
      </w:r>
      <w:r>
        <w:t xml:space="preserve">price of said purchases </w:t>
      </w:r>
      <w:r w:rsidR="00934324" w:rsidRPr="00934324">
        <w:t>(feed-in tariff).</w:t>
      </w:r>
    </w:p>
    <w:p w14:paraId="169E359B" w14:textId="578F8046" w:rsidR="00814CFB" w:rsidRDefault="00814CFB" w:rsidP="00814CFB">
      <w:pPr>
        <w:pStyle w:val="BodyText"/>
      </w:pPr>
      <w:r>
        <w:t xml:space="preserve">The rural electrification approach in Cameroon </w:t>
      </w:r>
      <w:r w:rsidR="007510AE">
        <w:t>is</w:t>
      </w:r>
      <w:r>
        <w:t xml:space="preserve"> electrification through grid extension</w:t>
      </w:r>
      <w:r w:rsidR="000E53F2">
        <w:t>.</w:t>
      </w:r>
      <w:r>
        <w:t xml:space="preserve"> </w:t>
      </w:r>
      <w:r w:rsidR="000E53F2">
        <w:t xml:space="preserve">The government finances </w:t>
      </w:r>
      <w:r w:rsidR="00D151EF">
        <w:t>these extensions</w:t>
      </w:r>
      <w:r>
        <w:t xml:space="preserve"> and hand</w:t>
      </w:r>
      <w:r w:rsidR="00D151EF">
        <w:t>s</w:t>
      </w:r>
      <w:r>
        <w:t xml:space="preserve"> off newly electrified areas to the national concessionaire ENEO. </w:t>
      </w:r>
    </w:p>
    <w:p w14:paraId="4E7B38E6" w14:textId="3D78A798" w:rsidR="00814CFB" w:rsidRDefault="00814CFB" w:rsidP="00814CFB">
      <w:pPr>
        <w:pStyle w:val="BodyText"/>
      </w:pPr>
      <w:r>
        <w:t>The ENEO concession</w:t>
      </w:r>
      <w:r w:rsidR="00D151EF">
        <w:t xml:space="preserve">’s </w:t>
      </w:r>
      <w:r>
        <w:t xml:space="preserve">primary responsibility </w:t>
      </w:r>
      <w:r w:rsidR="00D151EF">
        <w:t>is not rural electrification</w:t>
      </w:r>
      <w:r>
        <w:t xml:space="preserve">. </w:t>
      </w:r>
      <w:r w:rsidR="00682D46">
        <w:t>T</w:t>
      </w:r>
      <w:r w:rsidR="00D151EF">
        <w:t>he 2001 concession</w:t>
      </w:r>
      <w:r w:rsidR="00682D46">
        <w:t xml:space="preserve"> agreement did set global</w:t>
      </w:r>
      <w:r w:rsidR="00D151EF">
        <w:t xml:space="preserve"> o</w:t>
      </w:r>
      <w:r>
        <w:t xml:space="preserve">bjectives for extending electricity access </w:t>
      </w:r>
      <w:r w:rsidR="00682D46">
        <w:t xml:space="preserve">in rural areas, </w:t>
      </w:r>
      <w:r w:rsidR="00D151EF">
        <w:t>but this is no longer the case</w:t>
      </w:r>
      <w:r>
        <w:t>. Instead</w:t>
      </w:r>
      <w:r w:rsidR="00D151EF">
        <w:t>,</w:t>
      </w:r>
      <w:r>
        <w:t xml:space="preserve"> ENEO</w:t>
      </w:r>
      <w:r w:rsidR="00D151EF">
        <w:t>’s ele</w:t>
      </w:r>
      <w:r w:rsidR="007510AE">
        <w:t xml:space="preserve">ctricity access </w:t>
      </w:r>
      <w:r>
        <w:t xml:space="preserve">objectives </w:t>
      </w:r>
      <w:r w:rsidR="00D151EF">
        <w:t xml:space="preserve">are </w:t>
      </w:r>
      <w:r>
        <w:t xml:space="preserve">broken down by region. ENEO participates </w:t>
      </w:r>
      <w:r w:rsidR="006D1D2C">
        <w:t xml:space="preserve">in </w:t>
      </w:r>
      <w:r>
        <w:t xml:space="preserve">electrification of rural areas through the extension of its grid and the </w:t>
      </w:r>
      <w:r w:rsidR="00D239A6">
        <w:t>operation of 26 small (from 250kW to 1</w:t>
      </w:r>
      <w:r>
        <w:t>MW) diesel power plants. The number of clients in rural areas is estimated at 35</w:t>
      </w:r>
      <w:r w:rsidR="00D239A6">
        <w:t xml:space="preserve"> percent</w:t>
      </w:r>
      <w:r>
        <w:t xml:space="preserve"> of the total number of subscribers (</w:t>
      </w:r>
      <w:r w:rsidR="00D239A6">
        <w:t>that is</w:t>
      </w:r>
      <w:r w:rsidR="00682D46">
        <w:t>,</w:t>
      </w:r>
      <w:r>
        <w:t xml:space="preserve"> about 350,000)</w:t>
      </w:r>
      <w:r w:rsidR="00D239A6">
        <w:t>.</w:t>
      </w:r>
      <w:r>
        <w:rPr>
          <w:rStyle w:val="FootnoteReference"/>
        </w:rPr>
        <w:footnoteReference w:id="11"/>
      </w:r>
      <w:r>
        <w:t xml:space="preserve"> </w:t>
      </w:r>
    </w:p>
    <w:p w14:paraId="6842B53B" w14:textId="32A753C7" w:rsidR="00814CFB" w:rsidRDefault="00814CFB" w:rsidP="00814CFB">
      <w:pPr>
        <w:pStyle w:val="BodyText"/>
      </w:pPr>
      <w:r>
        <w:t xml:space="preserve">According to the Electricity </w:t>
      </w:r>
      <w:r w:rsidR="00682D46">
        <w:t xml:space="preserve">Law, </w:t>
      </w:r>
      <w:r>
        <w:t xml:space="preserve">the MINEE is responsible for establishing and updating </w:t>
      </w:r>
      <w:r w:rsidR="00AC0F81">
        <w:t xml:space="preserve">an </w:t>
      </w:r>
      <w:r w:rsidR="00D21821">
        <w:t xml:space="preserve">annual </w:t>
      </w:r>
      <w:r>
        <w:t>rural energy program (Programme Annuel d’Energie Rurale–PAER).</w:t>
      </w:r>
    </w:p>
    <w:p w14:paraId="540B78E6" w14:textId="7E7B50DF" w:rsidR="00814CFB" w:rsidRDefault="00814CFB" w:rsidP="00814CFB">
      <w:pPr>
        <w:pStyle w:val="BodyText"/>
      </w:pPr>
      <w:r>
        <w:t xml:space="preserve">Responsibility for rural electrification in the country lies </w:t>
      </w:r>
      <w:r w:rsidR="002A7C21">
        <w:t>in principle</w:t>
      </w:r>
      <w:r>
        <w:t xml:space="preserve"> with AER, which </w:t>
      </w:r>
      <w:r w:rsidR="00AC0F81">
        <w:t>manages (</w:t>
      </w:r>
      <w:r>
        <w:t xml:space="preserve">in conjunction with </w:t>
      </w:r>
      <w:r w:rsidR="00AC0F81">
        <w:t>relevant entities)</w:t>
      </w:r>
      <w:r>
        <w:t>:</w:t>
      </w:r>
    </w:p>
    <w:p w14:paraId="5729F29C" w14:textId="141A95BC" w:rsidR="00814CFB" w:rsidRPr="00D239A6" w:rsidRDefault="00814CFB" w:rsidP="00D239A6">
      <w:pPr>
        <w:pStyle w:val="ListBullet"/>
      </w:pPr>
      <w:r>
        <w:t xml:space="preserve">Contributing to the elaboration and implementation of Government policy in the </w:t>
      </w:r>
      <w:r w:rsidR="00A00DFE">
        <w:t>domain of rural electrification</w:t>
      </w:r>
    </w:p>
    <w:p w14:paraId="7F4D2974" w14:textId="76B6834D" w:rsidR="00814CFB" w:rsidRDefault="00814CFB" w:rsidP="00D239A6">
      <w:pPr>
        <w:pStyle w:val="ListBullet"/>
      </w:pPr>
      <w:r>
        <w:t>Conducting surveys and studies with a view to providing technical and economic solu</w:t>
      </w:r>
      <w:r w:rsidR="00A00DFE">
        <w:t>tions for rural electrification</w:t>
      </w:r>
    </w:p>
    <w:p w14:paraId="4E3C3EBA" w14:textId="5F5DCC11" w:rsidR="00814CFB" w:rsidRDefault="00D151EF" w:rsidP="00D239A6">
      <w:pPr>
        <w:pStyle w:val="ListBullet"/>
      </w:pPr>
      <w:r>
        <w:t>Assisting</w:t>
      </w:r>
      <w:r w:rsidR="00814CFB">
        <w:t xml:space="preserve"> rural communities and operators </w:t>
      </w:r>
      <w:r>
        <w:t>to prepare for rollout of</w:t>
      </w:r>
      <w:r w:rsidR="00AC0F81">
        <w:t xml:space="preserve"> </w:t>
      </w:r>
      <w:r w:rsidR="00814CFB">
        <w:t xml:space="preserve">rural electrification projects. </w:t>
      </w:r>
    </w:p>
    <w:p w14:paraId="2CDAF78B" w14:textId="02CDF45A" w:rsidR="00814CFB" w:rsidRDefault="00814CFB" w:rsidP="00814CFB">
      <w:pPr>
        <w:pStyle w:val="BodyText"/>
      </w:pPr>
      <w:r>
        <w:t>AER has tried to develop competitive bidding programs for concession in rural areas. However</w:t>
      </w:r>
      <w:r w:rsidR="00682D46">
        <w:t>,</w:t>
      </w:r>
      <w:r>
        <w:t xml:space="preserve"> these programs have not </w:t>
      </w:r>
      <w:r w:rsidR="00682D46">
        <w:t xml:space="preserve">yet </w:t>
      </w:r>
      <w:r>
        <w:t>started</w:t>
      </w:r>
      <w:r w:rsidR="00682D46">
        <w:t>,</w:t>
      </w:r>
      <w:r>
        <w:t xml:space="preserve"> for various reasons. When the first</w:t>
      </w:r>
      <w:r w:rsidR="00682D46">
        <w:t xml:space="preserve"> concession</w:t>
      </w:r>
      <w:r>
        <w:t xml:space="preserve"> progra</w:t>
      </w:r>
      <w:r w:rsidR="00682D46">
        <w:t xml:space="preserve">ms were designed, </w:t>
      </w:r>
      <w:r w:rsidR="00770237">
        <w:t xml:space="preserve">no financing </w:t>
      </w:r>
      <w:r w:rsidR="00682D46">
        <w:t>was available</w:t>
      </w:r>
      <w:r w:rsidR="00770237">
        <w:t xml:space="preserve"> to provide the proposed subsidies</w:t>
      </w:r>
      <w:r w:rsidR="00682D46">
        <w:t xml:space="preserve"> to attract private operators to rural areas</w:t>
      </w:r>
      <w:r>
        <w:t xml:space="preserve">. </w:t>
      </w:r>
    </w:p>
    <w:p w14:paraId="7A6A56DF" w14:textId="77777777" w:rsidR="002A7C21" w:rsidRDefault="00814CFB" w:rsidP="00814CFB">
      <w:pPr>
        <w:pStyle w:val="BodyText"/>
      </w:pPr>
      <w:r>
        <w:lastRenderedPageBreak/>
        <w:t>The Fund for Rural Electrification was established in December 2009 as a department of AER in order to mobilize financing and grant subsidies to eligible projects. Its management was appointed in June 2011.</w:t>
      </w:r>
    </w:p>
    <w:p w14:paraId="67575900" w14:textId="6787064A" w:rsidR="00814CFB" w:rsidRDefault="002A7C21" w:rsidP="00814CFB">
      <w:pPr>
        <w:pStyle w:val="BodyText"/>
      </w:pPr>
      <w:r>
        <w:t xml:space="preserve">Currently AER </w:t>
      </w:r>
      <w:r w:rsidR="00E34A54">
        <w:t>mainly contributes</w:t>
      </w:r>
      <w:r>
        <w:t xml:space="preserve"> to rural electrification by implementing grid extension projects financed by donors, which are then transferred to ENEO</w:t>
      </w:r>
      <w:r w:rsidR="00E34A54">
        <w:t>.</w:t>
      </w:r>
      <w:r w:rsidR="00814CFB">
        <w:t xml:space="preserve"> </w:t>
      </w:r>
    </w:p>
    <w:p w14:paraId="7E0FB0DB" w14:textId="5691D000" w:rsidR="008C553E" w:rsidRDefault="00CD2939" w:rsidP="008C553E">
      <w:pPr>
        <w:pStyle w:val="Subheading"/>
      </w:pPr>
      <w:r>
        <w:t>Private Sector Participation Outside the ENEO C</w:t>
      </w:r>
      <w:r w:rsidR="008C553E">
        <w:t>oncession</w:t>
      </w:r>
    </w:p>
    <w:p w14:paraId="1CFE361C" w14:textId="2375954C" w:rsidR="00814CFB" w:rsidRDefault="00814CFB" w:rsidP="00814CFB">
      <w:pPr>
        <w:pStyle w:val="BodyText"/>
      </w:pPr>
      <w:r>
        <w:t>In 2012</w:t>
      </w:r>
      <w:r w:rsidR="00AC7848">
        <w:t>,</w:t>
      </w:r>
      <w:r>
        <w:t xml:space="preserve"> a </w:t>
      </w:r>
      <w:r w:rsidR="008C553E">
        <w:t>z</w:t>
      </w:r>
      <w:r>
        <w:t xml:space="preserve">onal concession program with 3 zones was designed by a consultant </w:t>
      </w:r>
      <w:r w:rsidR="00144D98">
        <w:t>working as part of</w:t>
      </w:r>
      <w:r>
        <w:t xml:space="preserve"> the World Bank PDSEN project (Projet de Développement de l’Energie Rurale). However</w:t>
      </w:r>
      <w:r w:rsidR="007673DE">
        <w:t>,</w:t>
      </w:r>
      <w:r>
        <w:t xml:space="preserve"> the concession program was not implemented due to </w:t>
      </w:r>
      <w:r w:rsidR="00E34A54">
        <w:t>poor</w:t>
      </w:r>
      <w:r>
        <w:t xml:space="preserve"> preparation, the risk of </w:t>
      </w:r>
      <w:r w:rsidR="00E34A54">
        <w:t>available funding expiring,</w:t>
      </w:r>
      <w:r>
        <w:t xml:space="preserve"> and the </w:t>
      </w:r>
      <w:r w:rsidR="008C553E">
        <w:t>G</w:t>
      </w:r>
      <w:r>
        <w:t>overnment</w:t>
      </w:r>
      <w:r w:rsidR="008C553E">
        <w:t>’s desires</w:t>
      </w:r>
      <w:r>
        <w:t xml:space="preserve"> to </w:t>
      </w:r>
      <w:r w:rsidR="008C553E">
        <w:t>use a faster method of increasing access</w:t>
      </w:r>
      <w:r>
        <w:t xml:space="preserve">. </w:t>
      </w:r>
      <w:r w:rsidR="00144D98">
        <w:t>Instead, t</w:t>
      </w:r>
      <w:r>
        <w:t xml:space="preserve">he World Bank PDSEN project was redirected towards </w:t>
      </w:r>
      <w:r w:rsidR="00E34A54">
        <w:t xml:space="preserve">a </w:t>
      </w:r>
      <w:r>
        <w:t>grid extension project to be implemented by AER (Projets d’Electrification Rurale Par Extension Des Reseaux Interconnectés Nord et Sud–PERENNIS).</w:t>
      </w:r>
    </w:p>
    <w:p w14:paraId="5F6E933B" w14:textId="5B1D08AE" w:rsidR="00814CFB" w:rsidRDefault="00814CFB" w:rsidP="00814CFB">
      <w:pPr>
        <w:pStyle w:val="BodyText"/>
      </w:pPr>
      <w:r>
        <w:t>AER is supposed to promote</w:t>
      </w:r>
      <w:r w:rsidDel="00F272C0">
        <w:t xml:space="preserve"> </w:t>
      </w:r>
      <w:r w:rsidR="00144D98">
        <w:t>Local Initiative Projects for</w:t>
      </w:r>
      <w:r>
        <w:t xml:space="preserve"> Rural Energy (Projets d’Initiative L</w:t>
      </w:r>
      <w:r w:rsidR="00144D98">
        <w:t>ocale d’Energie Rurale–PILER) by</w:t>
      </w:r>
      <w:r>
        <w:t xml:space="preserve"> launching one or two call</w:t>
      </w:r>
      <w:r w:rsidR="00292320">
        <w:t>s</w:t>
      </w:r>
      <w:r>
        <w:t xml:space="preserve"> for projects per year. PILER projects </w:t>
      </w:r>
      <w:r w:rsidR="00144D98">
        <w:t>can</w:t>
      </w:r>
      <w:r>
        <w:t xml:space="preserve"> benefit from subsidies from the FER </w:t>
      </w:r>
      <w:r w:rsidR="00144D98">
        <w:t xml:space="preserve">to cover </w:t>
      </w:r>
      <w:r>
        <w:t>up to 80</w:t>
      </w:r>
      <w:r w:rsidR="00F272C0">
        <w:t xml:space="preserve"> percent</w:t>
      </w:r>
      <w:r>
        <w:t xml:space="preserve"> of the costs of studies and 70</w:t>
      </w:r>
      <w:r w:rsidR="00F272C0">
        <w:t xml:space="preserve"> percent</w:t>
      </w:r>
      <w:r>
        <w:t xml:space="preserve"> of the investment costs</w:t>
      </w:r>
      <w:r w:rsidR="00144D98">
        <w:t xml:space="preserve"> of the project</w:t>
      </w:r>
      <w:r>
        <w:t>.</w:t>
      </w:r>
    </w:p>
    <w:p w14:paraId="30132E14" w14:textId="3F7C4BF8" w:rsidR="00814CFB" w:rsidRDefault="00AC7848" w:rsidP="00814CFB">
      <w:pPr>
        <w:pStyle w:val="BodyText"/>
      </w:pPr>
      <w:r>
        <w:t>The PILER local initiative projects have failed to develop. This</w:t>
      </w:r>
      <w:r w:rsidR="00390225">
        <w:t xml:space="preserve"> failure </w:t>
      </w:r>
      <w:r w:rsidR="00814CFB">
        <w:t>may be explained by the following</w:t>
      </w:r>
      <w:r>
        <w:t xml:space="preserve"> reasons</w:t>
      </w:r>
      <w:r w:rsidR="00814CFB">
        <w:t>:</w:t>
      </w:r>
    </w:p>
    <w:p w14:paraId="0E5AAFE3" w14:textId="1BE269A5" w:rsidR="004850B0" w:rsidRDefault="00E34A54" w:rsidP="00390225">
      <w:pPr>
        <w:pStyle w:val="ListBullet"/>
      </w:pPr>
      <w:r>
        <w:t>T</w:t>
      </w:r>
      <w:r w:rsidR="004850B0">
        <w:t>he sale of electricity by small private operators of grid extension</w:t>
      </w:r>
      <w:r w:rsidR="00AC7848">
        <w:t xml:space="preserve"> projects</w:t>
      </w:r>
      <w:r w:rsidR="004850B0">
        <w:t xml:space="preserve"> </w:t>
      </w:r>
      <w:r>
        <w:t>are not cost competitive with the low</w:t>
      </w:r>
      <w:r w:rsidR="00AC7848">
        <w:t>,</w:t>
      </w:r>
      <w:r>
        <w:t xml:space="preserve"> equalized ENEO tariff.</w:t>
      </w:r>
      <w:r w:rsidR="007673DE">
        <w:t xml:space="preserve"> Similarly, </w:t>
      </w:r>
      <w:r w:rsidR="004850B0">
        <w:t xml:space="preserve">decentralized production </w:t>
      </w:r>
      <w:r w:rsidR="00AC7848">
        <w:t>can</w:t>
      </w:r>
      <w:r w:rsidR="00390225">
        <w:t xml:space="preserve"> </w:t>
      </w:r>
      <w:r w:rsidR="004850B0">
        <w:t xml:space="preserve">compete with </w:t>
      </w:r>
      <w:r w:rsidR="00AC7848">
        <w:t xml:space="preserve">the national </w:t>
      </w:r>
      <w:r w:rsidR="004850B0">
        <w:t xml:space="preserve">ENEO tariff </w:t>
      </w:r>
      <w:r w:rsidR="00390225">
        <w:t xml:space="preserve">only </w:t>
      </w:r>
      <w:r w:rsidR="004850B0">
        <w:t xml:space="preserve">in </w:t>
      </w:r>
      <w:r w:rsidR="00AC7848">
        <w:t>rare</w:t>
      </w:r>
      <w:r w:rsidR="004850B0">
        <w:t xml:space="preserve"> circumstances (</w:t>
      </w:r>
      <w:r w:rsidR="00C31B53">
        <w:t>for instance</w:t>
      </w:r>
      <w:r w:rsidR="00AC7848">
        <w:t>, in</w:t>
      </w:r>
      <w:r w:rsidR="00C31B53">
        <w:t xml:space="preserve"> </w:t>
      </w:r>
      <w:r w:rsidR="004850B0">
        <w:t xml:space="preserve">remote areas </w:t>
      </w:r>
      <w:r w:rsidR="00C31B53">
        <w:t xml:space="preserve">with </w:t>
      </w:r>
      <w:r w:rsidR="00AC7848">
        <w:t>econ</w:t>
      </w:r>
      <w:r w:rsidR="004850B0">
        <w:t xml:space="preserve"> hydropower plant</w:t>
      </w:r>
      <w:r w:rsidR="00F342F7">
        <w:t>s</w:t>
      </w:r>
      <w:r w:rsidR="004850B0">
        <w:t>).</w:t>
      </w:r>
    </w:p>
    <w:p w14:paraId="3A10E786" w14:textId="1359AA44" w:rsidR="004850B0" w:rsidRDefault="00C31B53" w:rsidP="00390225">
      <w:pPr>
        <w:pStyle w:val="ListBullet"/>
      </w:pPr>
      <w:r>
        <w:t>P</w:t>
      </w:r>
      <w:r w:rsidR="004850B0">
        <w:t xml:space="preserve">rivate promoters </w:t>
      </w:r>
      <w:r>
        <w:t>struggle to overcome</w:t>
      </w:r>
      <w:r w:rsidR="004850B0">
        <w:t xml:space="preserve"> administrative red tape</w:t>
      </w:r>
      <w:r w:rsidR="00FA6B28">
        <w:t xml:space="preserve">. Promoters cite receiving little </w:t>
      </w:r>
      <w:r w:rsidR="004850B0">
        <w:t>support from AER</w:t>
      </w:r>
      <w:r w:rsidR="00390225">
        <w:t xml:space="preserve"> </w:t>
      </w:r>
      <w:r w:rsidR="00FA6B28">
        <w:t xml:space="preserve">to prepare feasibility studies or to respond to permit </w:t>
      </w:r>
      <w:r w:rsidR="00390225">
        <w:t>applications to obtain permits</w:t>
      </w:r>
      <w:r>
        <w:t>.</w:t>
      </w:r>
      <w:r w:rsidR="00390225" w:rsidRPr="00F342F7">
        <w:rPr>
          <w:vertAlign w:val="superscript"/>
        </w:rPr>
        <w:footnoteReference w:id="12"/>
      </w:r>
      <w:r w:rsidR="00985F06">
        <w:t>An example is given by the Mbakaou project, which includes a hydroelectric power plant of 1.22MW and its associated electrical grid of approximately 70km of low and medium voltage network to connect 2800 subscribers across eight locations. The first application to ARSEL for a provisional authorization was made in 2009, the land attributed in 2011 and, the final ARSEL approval obtained in February 2015.</w:t>
      </w:r>
      <w:r w:rsidR="00985F06">
        <w:rPr>
          <w:rStyle w:val="FootnoteReference"/>
        </w:rPr>
        <w:footnoteReference w:id="13"/>
      </w:r>
    </w:p>
    <w:p w14:paraId="4FD55339" w14:textId="2FC520E1" w:rsidR="00D84188" w:rsidRDefault="00985F06" w:rsidP="00814CFB">
      <w:pPr>
        <w:pStyle w:val="BodyText"/>
      </w:pPr>
      <w:r>
        <w:t xml:space="preserve">Cameroon </w:t>
      </w:r>
      <w:r w:rsidR="00FA6B28">
        <w:t xml:space="preserve">has large potential for </w:t>
      </w:r>
      <w:r>
        <w:t xml:space="preserve">decentralized hydropower and biofuel power plants. </w:t>
      </w:r>
      <w:r w:rsidR="00FA6B28">
        <w:t>An EU</w:t>
      </w:r>
      <w:r>
        <w:t xml:space="preserve"> project</w:t>
      </w:r>
      <w:r w:rsidR="00FA6B28">
        <w:t xml:space="preserve"> monitored by ARSEL</w:t>
      </w:r>
      <w:r>
        <w:t xml:space="preserve"> called </w:t>
      </w:r>
      <w:r w:rsidR="00555571">
        <w:t>“</w:t>
      </w:r>
      <w:r>
        <w:t>Investelec</w:t>
      </w:r>
      <w:r w:rsidR="00555571">
        <w:t>”</w:t>
      </w:r>
      <w:r>
        <w:t xml:space="preserve"> has identified 100 sites </w:t>
      </w:r>
      <w:r w:rsidR="00360E0B">
        <w:t>showing potential for installing power production.</w:t>
      </w:r>
      <w:r>
        <w:t xml:space="preserve"> </w:t>
      </w:r>
      <w:r w:rsidR="00FA6B28">
        <w:t xml:space="preserve">AER is now hoping to </w:t>
      </w:r>
      <w:r w:rsidR="00555571">
        <w:t>facilitate initiatives in th</w:t>
      </w:r>
      <w:r w:rsidR="00B20BF1">
        <w:t>is</w:t>
      </w:r>
      <w:r w:rsidR="00555571">
        <w:t xml:space="preserve"> area </w:t>
      </w:r>
      <w:r w:rsidR="00FA6B28">
        <w:t>by</w:t>
      </w:r>
      <w:r w:rsidR="00555571">
        <w:t xml:space="preserve"> </w:t>
      </w:r>
      <w:r w:rsidR="00B20BF1">
        <w:t>relax</w:t>
      </w:r>
      <w:r w:rsidR="00FA6B28">
        <w:t>ing</w:t>
      </w:r>
      <w:r w:rsidR="00555571">
        <w:t xml:space="preserve"> administrative requirements, strengthen</w:t>
      </w:r>
      <w:r w:rsidR="00FA6B28">
        <w:t>ing</w:t>
      </w:r>
      <w:r w:rsidR="00555571">
        <w:t xml:space="preserve"> AER</w:t>
      </w:r>
      <w:r w:rsidR="00FA6B28">
        <w:t>’s</w:t>
      </w:r>
      <w:r w:rsidR="00555571">
        <w:t xml:space="preserve"> capacities to support promoters, </w:t>
      </w:r>
      <w:r w:rsidR="00B20BF1">
        <w:t xml:space="preserve">and </w:t>
      </w:r>
      <w:r w:rsidR="00FA6B28">
        <w:t>preparing</w:t>
      </w:r>
      <w:r w:rsidR="00555571">
        <w:t xml:space="preserve"> standar</w:t>
      </w:r>
      <w:r w:rsidR="00B20BF1">
        <w:t>d</w:t>
      </w:r>
      <w:r w:rsidR="00555571">
        <w:t xml:space="preserve"> documents </w:t>
      </w:r>
      <w:r w:rsidR="00B20BF1">
        <w:t>(</w:t>
      </w:r>
      <w:r w:rsidR="00555571">
        <w:t>including power purchase agreement</w:t>
      </w:r>
      <w:r w:rsidR="00B20BF1">
        <w:t>s</w:t>
      </w:r>
      <w:r w:rsidR="00555571">
        <w:t xml:space="preserve"> in cooperation with ENEO and standard arrangements for accessing the grid</w:t>
      </w:r>
      <w:r w:rsidR="00B20BF1">
        <w:t>)</w:t>
      </w:r>
      <w:r w:rsidR="00D84188">
        <w:t>.</w:t>
      </w:r>
    </w:p>
    <w:p w14:paraId="006BB4D8" w14:textId="110C2F90" w:rsidR="00D84188" w:rsidRDefault="00D84188" w:rsidP="00D84188">
      <w:pPr>
        <w:pStyle w:val="Subheading"/>
      </w:pPr>
      <w:r>
        <w:lastRenderedPageBreak/>
        <w:t xml:space="preserve">Building publicly financed grid extensions </w:t>
      </w:r>
    </w:p>
    <w:p w14:paraId="76AEFA95" w14:textId="595C528E" w:rsidR="00814CFB" w:rsidRDefault="00FA6B28" w:rsidP="00814CFB">
      <w:pPr>
        <w:pStyle w:val="BodyText"/>
      </w:pPr>
      <w:r>
        <w:t>Several other public institutions other than</w:t>
      </w:r>
      <w:r w:rsidR="00D84188">
        <w:t xml:space="preserve"> AER</w:t>
      </w:r>
      <w:r>
        <w:t xml:space="preserve"> </w:t>
      </w:r>
      <w:r w:rsidR="00DC434E">
        <w:t>participate</w:t>
      </w:r>
      <w:r w:rsidR="00814CFB">
        <w:t xml:space="preserve"> </w:t>
      </w:r>
      <w:r w:rsidR="00F272C0">
        <w:t>in</w:t>
      </w:r>
      <w:r w:rsidR="00814CFB">
        <w:t xml:space="preserve"> rural electrification projects financed through public aid</w:t>
      </w:r>
      <w:r w:rsidR="00DC434E">
        <w:t>. Occasionally these entities lack competence or are otherwise uncoordinated in their efforts.</w:t>
      </w:r>
      <w:r>
        <w:t xml:space="preserve"> </w:t>
      </w:r>
      <w:r w:rsidR="00814CFB">
        <w:t xml:space="preserve">FEICOM, </w:t>
      </w:r>
      <w:r w:rsidR="00565706">
        <w:t>T</w:t>
      </w:r>
      <w:r w:rsidR="00814CFB">
        <w:t xml:space="preserve">he Special Fund for </w:t>
      </w:r>
      <w:r w:rsidR="00565706">
        <w:t xml:space="preserve">Equipment and </w:t>
      </w:r>
      <w:r w:rsidR="00814CFB">
        <w:t>Mutual Assistance (Fonds Spécial d’Equipement et d’Intervention Intercommunale)</w:t>
      </w:r>
      <w:r w:rsidR="00FE47C0">
        <w:t>, was</w:t>
      </w:r>
      <w:r w:rsidR="00814CFB">
        <w:t xml:space="preserve"> created in 1974</w:t>
      </w:r>
      <w:r w:rsidR="00814CFB">
        <w:rPr>
          <w:rStyle w:val="FootnoteReference"/>
        </w:rPr>
        <w:footnoteReference w:id="14"/>
      </w:r>
      <w:r w:rsidR="00FE47C0">
        <w:t xml:space="preserve"> and supports regional </w:t>
      </w:r>
      <w:r w:rsidR="00814CFB">
        <w:t xml:space="preserve">and </w:t>
      </w:r>
      <w:r w:rsidR="00FE47C0">
        <w:t xml:space="preserve">local authorities </w:t>
      </w:r>
      <w:r w:rsidR="00814CFB">
        <w:t>in their development process including the development of electricity grid extensions in conjunction with AER. This seems to be a good example of cooperation.</w:t>
      </w:r>
    </w:p>
    <w:p w14:paraId="75D7A8CD" w14:textId="3756D0FA" w:rsidR="00F37309" w:rsidRPr="009F1C14" w:rsidRDefault="00A41F63" w:rsidP="00FA6B28">
      <w:pPr>
        <w:pStyle w:val="BodyText"/>
      </w:pPr>
      <w:r>
        <w:t xml:space="preserve">The EDC’s efforts in grid extension are more controversial. </w:t>
      </w:r>
      <w:r w:rsidR="00E456CC">
        <w:t>Its managerial and technical experience is</w:t>
      </w:r>
      <w:r>
        <w:t xml:space="preserve"> in </w:t>
      </w:r>
      <w:r w:rsidR="00E456CC">
        <w:t xml:space="preserve">managing hydro plant assets. </w:t>
      </w:r>
      <w:r w:rsidR="00FA6B28">
        <w:t>However, it has undertaken rural electrification projects. Constructing grid extension projects</w:t>
      </w:r>
      <w:r w:rsidR="00E456CC">
        <w:t xml:space="preserve"> seems remote from the main purpose of the company and the technical skills of its personnel. Its rural electrification efforts are performed without coordination between other relevant bodies and the AER in particular.</w:t>
      </w:r>
      <w:r w:rsidR="00E456CC">
        <w:rPr>
          <w:rStyle w:val="FootnoteReference"/>
        </w:rPr>
        <w:footnoteReference w:id="15"/>
      </w:r>
      <w:bookmarkStart w:id="30" w:name="_Toc428279275"/>
      <w:bookmarkStart w:id="31" w:name="_Toc428378314"/>
      <w:bookmarkStart w:id="32" w:name="_Toc432608943"/>
      <w:bookmarkStart w:id="33" w:name="_Toc432619294"/>
    </w:p>
    <w:p w14:paraId="41223C9A" w14:textId="2ACCAFA5" w:rsidR="000301E0" w:rsidRDefault="00EE644D" w:rsidP="000301E0">
      <w:pPr>
        <w:pStyle w:val="Heading1"/>
      </w:pPr>
      <w:bookmarkStart w:id="34" w:name="_Ref437033051"/>
      <w:bookmarkStart w:id="35" w:name="_Toc437034119"/>
      <w:r>
        <w:t xml:space="preserve">The </w:t>
      </w:r>
      <w:r w:rsidR="00396369">
        <w:t>ENEO</w:t>
      </w:r>
      <w:r>
        <w:t xml:space="preserve"> </w:t>
      </w:r>
      <w:r w:rsidR="000301E0">
        <w:t>Concession</w:t>
      </w:r>
      <w:bookmarkEnd w:id="30"/>
      <w:bookmarkEnd w:id="31"/>
      <w:bookmarkEnd w:id="32"/>
      <w:bookmarkEnd w:id="33"/>
      <w:bookmarkEnd w:id="34"/>
      <w:bookmarkEnd w:id="35"/>
    </w:p>
    <w:p w14:paraId="4CE00A89" w14:textId="77777777" w:rsidR="00FA6B28" w:rsidRDefault="00334D6D" w:rsidP="00FA6B28">
      <w:pPr>
        <w:pStyle w:val="BodyText"/>
      </w:pPr>
      <w:r>
        <w:t>In July 2001, AES Corporation acquired a 56 percent stake in state</w:t>
      </w:r>
      <w:r w:rsidR="006A09C4">
        <w:t>-owned</w:t>
      </w:r>
      <w:r>
        <w:t xml:space="preserve"> power utility company Société Nationale d’Electricité (SONEL) and entered into a 20-year concession to generate, transmit and distribute electricity in Cameroon. </w:t>
      </w:r>
      <w:r w:rsidR="00FA6B28">
        <w:t>The government’s objectives for the SONEL concession were:</w:t>
      </w:r>
    </w:p>
    <w:p w14:paraId="4A00FEBD" w14:textId="77777777" w:rsidR="00FA6B28" w:rsidRDefault="00FA6B28" w:rsidP="00FA6B28">
      <w:pPr>
        <w:pStyle w:val="ListBullet"/>
      </w:pPr>
      <w:r>
        <w:t>To promote effectiveness and efficient operation of the power sector</w:t>
      </w:r>
    </w:p>
    <w:p w14:paraId="233971C1" w14:textId="77777777" w:rsidR="00FA6B28" w:rsidRDefault="00FA6B28" w:rsidP="00FA6B28">
      <w:pPr>
        <w:pStyle w:val="ListBullet"/>
      </w:pPr>
      <w:r>
        <w:t>To increase private sector participation in the power sector</w:t>
      </w:r>
    </w:p>
    <w:p w14:paraId="2DACCCE8" w14:textId="1E03A0DD" w:rsidR="00390E2D" w:rsidRDefault="00334D6D" w:rsidP="00FA6B28">
      <w:pPr>
        <w:pStyle w:val="BodyText"/>
      </w:pPr>
      <w:r>
        <w:t xml:space="preserve">In June 2014 </w:t>
      </w:r>
      <w:r w:rsidR="00FA6B28">
        <w:t>Actis</w:t>
      </w:r>
      <w:r>
        <w:t xml:space="preserve"> acquired from AES the 56</w:t>
      </w:r>
      <w:r w:rsidR="006A09C4">
        <w:t xml:space="preserve"> percent</w:t>
      </w:r>
      <w:r>
        <w:t xml:space="preserve"> interest in AES SONEL, renamed ENEO (for Energy of Cameroon) in September 2014</w:t>
      </w:r>
      <w:r>
        <w:rPr>
          <w:rStyle w:val="FootnoteReference"/>
        </w:rPr>
        <w:footnoteReference w:id="16"/>
      </w:r>
      <w:r>
        <w:t>. In accordance with the provisions governing the privatization, 5</w:t>
      </w:r>
      <w:r w:rsidR="006A09C4">
        <w:t xml:space="preserve"> percent</w:t>
      </w:r>
      <w:r>
        <w:t xml:space="preserve"> of the share capital should be transferred to the employees.</w:t>
      </w:r>
      <w:r w:rsidR="00FA6B28">
        <w:t xml:space="preserve"> </w:t>
      </w:r>
      <w:r>
        <w:t>E</w:t>
      </w:r>
      <w:r w:rsidR="006A09C4">
        <w:t>NEO</w:t>
      </w:r>
      <w:r>
        <w:t xml:space="preserve"> has over 973,250 customers of which approximately 45</w:t>
      </w:r>
      <w:r w:rsidR="006A09C4">
        <w:t xml:space="preserve"> percent</w:t>
      </w:r>
      <w:r>
        <w:t xml:space="preserve"> live in the cities of Douala </w:t>
      </w:r>
      <w:r w:rsidRPr="00390E2D">
        <w:t>and Yaoundé.</w:t>
      </w:r>
    </w:p>
    <w:p w14:paraId="421B0D96" w14:textId="593DAE81" w:rsidR="00390E2D" w:rsidRDefault="00334D6D" w:rsidP="00390E2D">
      <w:r w:rsidRPr="00390E2D">
        <w:t xml:space="preserve">ENEO has presented an investment program amounting to </w:t>
      </w:r>
      <w:r w:rsidR="006A09C4" w:rsidRPr="00390E2D">
        <w:t>XOF</w:t>
      </w:r>
      <w:r w:rsidRPr="00390E2D">
        <w:t>421 billion</w:t>
      </w:r>
      <w:r w:rsidRPr="00390E2D" w:rsidDel="006A09C4">
        <w:t xml:space="preserve"> </w:t>
      </w:r>
      <w:r w:rsidRPr="00390E2D">
        <w:t xml:space="preserve">by 2024 and </w:t>
      </w:r>
      <w:r w:rsidR="006A09C4" w:rsidRPr="00390E2D">
        <w:t>XOF</w:t>
      </w:r>
      <w:r>
        <w:t>902 billion</w:t>
      </w:r>
      <w:r w:rsidDel="006A09C4">
        <w:t xml:space="preserve"> </w:t>
      </w:r>
      <w:r>
        <w:t xml:space="preserve">by 2031, </w:t>
      </w:r>
      <w:r w:rsidR="006A09C4">
        <w:t>that</w:t>
      </w:r>
      <w:r>
        <w:t xml:space="preserve"> impl</w:t>
      </w:r>
      <w:r w:rsidR="006A09C4">
        <w:t>ies</w:t>
      </w:r>
      <w:r>
        <w:t xml:space="preserve"> that the term of the concession</w:t>
      </w:r>
      <w:r w:rsidR="006A09C4">
        <w:t>–</w:t>
      </w:r>
      <w:r>
        <w:t>which is supposed to end in 2021</w:t>
      </w:r>
      <w:r w:rsidR="006A09C4">
        <w:t>–</w:t>
      </w:r>
      <w:r>
        <w:t xml:space="preserve">would be extended. </w:t>
      </w:r>
      <w:bookmarkStart w:id="36" w:name="_Toc428378316"/>
      <w:bookmarkStart w:id="37" w:name="_Toc432608944"/>
      <w:bookmarkStart w:id="38" w:name="_Toc432619295"/>
    </w:p>
    <w:p w14:paraId="7EB97354" w14:textId="77777777" w:rsidR="000301E0" w:rsidRDefault="000301E0" w:rsidP="000301E0">
      <w:pPr>
        <w:pStyle w:val="Heading2"/>
      </w:pPr>
      <w:bookmarkStart w:id="39" w:name="_Toc428378318"/>
      <w:bookmarkStart w:id="40" w:name="_Toc432608945"/>
      <w:bookmarkStart w:id="41" w:name="_Toc432619296"/>
      <w:bookmarkStart w:id="42" w:name="_Toc437034120"/>
      <w:bookmarkStart w:id="43" w:name="_Toc428279276"/>
      <w:bookmarkEnd w:id="36"/>
      <w:bookmarkEnd w:id="37"/>
      <w:bookmarkEnd w:id="38"/>
      <w:r>
        <w:t>Stages of Development</w:t>
      </w:r>
      <w:bookmarkEnd w:id="39"/>
      <w:bookmarkEnd w:id="40"/>
      <w:bookmarkEnd w:id="41"/>
      <w:bookmarkEnd w:id="42"/>
      <w:r>
        <w:t xml:space="preserve"> </w:t>
      </w:r>
      <w:bookmarkEnd w:id="43"/>
    </w:p>
    <w:p w14:paraId="2DE4715B" w14:textId="7AB6B2EC" w:rsidR="000301E0" w:rsidRDefault="000301E0" w:rsidP="000301E0">
      <w:pPr>
        <w:pStyle w:val="BodyText"/>
      </w:pPr>
      <w:r>
        <w:t xml:space="preserve">The concession began operations in </w:t>
      </w:r>
      <w:r w:rsidR="009A7F56">
        <w:t>2001</w:t>
      </w:r>
      <w:r>
        <w:t xml:space="preserve">. A timeline showing the major stages of development </w:t>
      </w:r>
      <w:r w:rsidR="00451A97">
        <w:t>around</w:t>
      </w:r>
      <w:r>
        <w:t xml:space="preserve"> the concession</w:t>
      </w:r>
      <w:r w:rsidR="00451A97">
        <w:t xml:space="preserve"> </w:t>
      </w:r>
      <w:r>
        <w:t xml:space="preserve">is presented in </w:t>
      </w:r>
      <w:r>
        <w:fldChar w:fldCharType="begin"/>
      </w:r>
      <w:r>
        <w:instrText xml:space="preserve"> REF _Ref428275302 \h </w:instrText>
      </w:r>
      <w:r>
        <w:fldChar w:fldCharType="separate"/>
      </w:r>
      <w:r w:rsidR="0079328A">
        <w:t xml:space="preserve">Table </w:t>
      </w:r>
      <w:r w:rsidR="0079328A">
        <w:rPr>
          <w:noProof/>
        </w:rPr>
        <w:t>3</w:t>
      </w:r>
      <w:r w:rsidR="0079328A">
        <w:t>.</w:t>
      </w:r>
      <w:r w:rsidR="0079328A">
        <w:rPr>
          <w:noProof/>
        </w:rPr>
        <w:t>1</w:t>
      </w:r>
      <w:r>
        <w:fldChar w:fldCharType="end"/>
      </w:r>
      <w:r>
        <w:t xml:space="preserve">. </w:t>
      </w:r>
    </w:p>
    <w:p w14:paraId="2FDD83AE" w14:textId="12DA770B" w:rsidR="000301E0" w:rsidRDefault="000301E0" w:rsidP="009F3463">
      <w:pPr>
        <w:pStyle w:val="Caption"/>
        <w:keepNext/>
      </w:pPr>
      <w:bookmarkStart w:id="44" w:name="_Ref428275302"/>
      <w:bookmarkStart w:id="45" w:name="_Toc432608937"/>
      <w:bookmarkStart w:id="46" w:name="_Toc432619287"/>
      <w:bookmarkStart w:id="47" w:name="_Toc437034136"/>
      <w:r>
        <w:lastRenderedPageBreak/>
        <w:t xml:space="preserve">Table </w:t>
      </w:r>
      <w:fldSimple w:instr=" STYLEREF 1 \s ">
        <w:r w:rsidR="0079328A">
          <w:rPr>
            <w:noProof/>
          </w:rPr>
          <w:t>3</w:t>
        </w:r>
      </w:fldSimple>
      <w:r>
        <w:t>.</w:t>
      </w:r>
      <w:fldSimple w:instr=" SEQ Table \* ARABIC \s 1 ">
        <w:r w:rsidR="0079328A">
          <w:rPr>
            <w:noProof/>
          </w:rPr>
          <w:t>1</w:t>
        </w:r>
      </w:fldSimple>
      <w:bookmarkEnd w:id="44"/>
      <w:r>
        <w:t>: Stages of development of concession</w:t>
      </w:r>
      <w:bookmarkEnd w:id="45"/>
      <w:bookmarkEnd w:id="46"/>
      <w:bookmarkEnd w:id="47"/>
      <w:r>
        <w:t xml:space="preserve"> </w:t>
      </w:r>
    </w:p>
    <w:p w14:paraId="3599992B" w14:textId="08428423" w:rsidR="000301E0" w:rsidRPr="00BF79E8" w:rsidRDefault="003F23CD" w:rsidP="009F3463">
      <w:pPr>
        <w:pStyle w:val="TableText"/>
        <w:keepNext/>
        <w:jc w:val="center"/>
      </w:pPr>
      <w:r>
        <w:rPr>
          <w:noProof/>
          <w:lang w:eastAsia="en-US"/>
        </w:rPr>
        <w:drawing>
          <wp:inline distT="0" distB="0" distL="0" distR="0" wp14:anchorId="7AD3DC4C" wp14:editId="767315D9">
            <wp:extent cx="4838153" cy="2104846"/>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14756" t="61258" r="9105" b="10146"/>
                    <a:stretch/>
                  </pic:blipFill>
                  <pic:spPr bwMode="auto">
                    <a:xfrm>
                      <a:off x="0" y="0"/>
                      <a:ext cx="4835030" cy="2103487"/>
                    </a:xfrm>
                    <a:prstGeom prst="rect">
                      <a:avLst/>
                    </a:prstGeom>
                    <a:ln>
                      <a:noFill/>
                    </a:ln>
                    <a:extLst>
                      <a:ext uri="{53640926-AAD7-44D8-BBD7-CCE9431645EC}">
                        <a14:shadowObscured xmlns:a14="http://schemas.microsoft.com/office/drawing/2010/main"/>
                      </a:ext>
                    </a:extLst>
                  </pic:spPr>
                </pic:pic>
              </a:graphicData>
            </a:graphic>
          </wp:inline>
        </w:drawing>
      </w:r>
    </w:p>
    <w:p w14:paraId="6095CD6D" w14:textId="77777777" w:rsidR="000301E0" w:rsidRDefault="000301E0" w:rsidP="009F3463">
      <w:pPr>
        <w:pStyle w:val="TableorFigureEnd"/>
        <w:keepNext/>
      </w:pPr>
    </w:p>
    <w:p w14:paraId="6DF6C163" w14:textId="77777777" w:rsidR="000301E0" w:rsidRDefault="000301E0" w:rsidP="000301E0">
      <w:pPr>
        <w:pStyle w:val="Heading2"/>
      </w:pPr>
      <w:bookmarkStart w:id="48" w:name="_Toc428378319"/>
      <w:bookmarkStart w:id="49" w:name="_Toc432608946"/>
      <w:bookmarkStart w:id="50" w:name="_Toc432619297"/>
      <w:bookmarkStart w:id="51" w:name="_Toc437034121"/>
      <w:r>
        <w:t>Operations and Management</w:t>
      </w:r>
      <w:bookmarkEnd w:id="48"/>
      <w:bookmarkEnd w:id="49"/>
      <w:bookmarkEnd w:id="50"/>
      <w:bookmarkEnd w:id="51"/>
      <w:r>
        <w:t xml:space="preserve"> </w:t>
      </w:r>
    </w:p>
    <w:p w14:paraId="007698C7" w14:textId="77777777" w:rsidR="00292089" w:rsidRDefault="00292089" w:rsidP="000301E0">
      <w:pPr>
        <w:pStyle w:val="BodyText"/>
      </w:pPr>
      <w:r>
        <w:t>The concessionaire has adequate</w:t>
      </w:r>
      <w:r w:rsidR="000301E0">
        <w:t xml:space="preserve"> </w:t>
      </w:r>
      <w:r>
        <w:t xml:space="preserve">capacity to operate and manage the concession. </w:t>
      </w:r>
    </w:p>
    <w:p w14:paraId="6505C033" w14:textId="26FCADD0" w:rsidR="00292089" w:rsidRDefault="00292089" w:rsidP="000301E0">
      <w:pPr>
        <w:pStyle w:val="BodyText"/>
      </w:pPr>
      <w:r>
        <w:t xml:space="preserve">We met ENEO managers in </w:t>
      </w:r>
      <w:r w:rsidR="00D84188">
        <w:t>Douala</w:t>
      </w:r>
      <w:r w:rsidR="00F342F7">
        <w:t>.</w:t>
      </w:r>
      <w:r w:rsidR="00D84188">
        <w:t xml:space="preserve"> </w:t>
      </w:r>
      <w:r>
        <w:t xml:space="preserve">They are competent and </w:t>
      </w:r>
      <w:r w:rsidR="00E456CC">
        <w:t xml:space="preserve">have </w:t>
      </w:r>
      <w:r>
        <w:t>experience managing similar electricity sector assets</w:t>
      </w:r>
      <w:r w:rsidR="00E456CC">
        <w:t>. Several of the managers formerly worked at the main Uganda concession, Umeme.</w:t>
      </w:r>
    </w:p>
    <w:p w14:paraId="14013A7B" w14:textId="4368DA8E" w:rsidR="000301E0" w:rsidRDefault="00292089" w:rsidP="000301E0">
      <w:pPr>
        <w:pStyle w:val="BodyText"/>
      </w:pPr>
      <w:r>
        <w:t>Actis is very involved in the management and strategic direction of ENEO and the concession’s ongoing contract negotiations.</w:t>
      </w:r>
    </w:p>
    <w:p w14:paraId="0E2D392F" w14:textId="77777777" w:rsidR="000301E0" w:rsidRDefault="000301E0" w:rsidP="000301E0">
      <w:pPr>
        <w:pStyle w:val="Heading2"/>
      </w:pPr>
      <w:bookmarkStart w:id="52" w:name="_Toc428378320"/>
      <w:bookmarkStart w:id="53" w:name="_Toc432608947"/>
      <w:bookmarkStart w:id="54" w:name="_Toc432619298"/>
      <w:bookmarkStart w:id="55" w:name="_Toc437034122"/>
      <w:bookmarkStart w:id="56" w:name="_Toc428279278"/>
      <w:r>
        <w:t>Financing Arrangements</w:t>
      </w:r>
      <w:bookmarkEnd w:id="52"/>
      <w:bookmarkEnd w:id="53"/>
      <w:bookmarkEnd w:id="54"/>
      <w:bookmarkEnd w:id="55"/>
      <w:r>
        <w:t xml:space="preserve"> </w:t>
      </w:r>
      <w:bookmarkEnd w:id="56"/>
    </w:p>
    <w:p w14:paraId="7626007D" w14:textId="77777777" w:rsidR="002634C3" w:rsidRDefault="00831E53" w:rsidP="00831E53">
      <w:pPr>
        <w:pStyle w:val="BodyText"/>
      </w:pPr>
      <w:r>
        <w:t xml:space="preserve">ENEO’s capital funding strategy relies on private, public and donor money. </w:t>
      </w:r>
    </w:p>
    <w:p w14:paraId="649E2076" w14:textId="51232E3F" w:rsidR="00490688" w:rsidRDefault="00831E53" w:rsidP="00831E53">
      <w:pPr>
        <w:pStyle w:val="BodyText"/>
      </w:pPr>
      <w:r>
        <w:t xml:space="preserve">AES paid </w:t>
      </w:r>
      <w:r w:rsidR="00344BB9">
        <w:t>US$</w:t>
      </w:r>
      <w:r>
        <w:t xml:space="preserve">71 million </w:t>
      </w:r>
      <w:r w:rsidR="00490688">
        <w:t>to the Government of Cameroon to</w:t>
      </w:r>
      <w:r>
        <w:t xml:space="preserve"> acquire a 56 percent stake in SONEL. </w:t>
      </w:r>
      <w:r w:rsidR="00490688">
        <w:t>IFC was Cameroon’s lead advisor on the transaction.</w:t>
      </w:r>
      <w:r w:rsidR="00490688">
        <w:rPr>
          <w:rStyle w:val="FootnoteReference"/>
        </w:rPr>
        <w:footnoteReference w:id="17"/>
      </w:r>
      <w:r w:rsidR="00490688">
        <w:t xml:space="preserve"> </w:t>
      </w:r>
      <w:r w:rsidR="00FA6B28">
        <w:t xml:space="preserve">AES sold its 56 percent stake in SONEL to Actis for </w:t>
      </w:r>
      <w:r w:rsidR="00FA6B28" w:rsidRPr="00DE60F9">
        <w:t xml:space="preserve">US$220 million </w:t>
      </w:r>
      <w:r w:rsidR="00FA6B28">
        <w:t>(or about CFAF110 billion).</w:t>
      </w:r>
      <w:r w:rsidR="00FA6B28">
        <w:rPr>
          <w:rStyle w:val="FootnoteReference"/>
        </w:rPr>
        <w:footnoteReference w:id="18"/>
      </w:r>
      <w:r w:rsidR="00FA6B28">
        <w:t xml:space="preserve"> </w:t>
      </w:r>
      <w:r w:rsidR="002B3029">
        <w:t>The utility was concessioned via a</w:t>
      </w:r>
      <w:r w:rsidR="00490688">
        <w:t>n international public tender. Five consortia pre-qualified, but two of the five withdrew before bidding was launched. The Government</w:t>
      </w:r>
      <w:r w:rsidR="00490688" w:rsidRPr="00451A97">
        <w:t xml:space="preserve"> </w:t>
      </w:r>
      <w:r w:rsidR="00490688">
        <w:t xml:space="preserve">made the </w:t>
      </w:r>
      <w:r w:rsidR="00490688" w:rsidRPr="00451A97">
        <w:t>deal</w:t>
      </w:r>
      <w:r w:rsidR="00490688">
        <w:t xml:space="preserve"> more attractive</w:t>
      </w:r>
      <w:r w:rsidR="00490688" w:rsidRPr="00451A97">
        <w:t xml:space="preserve"> to potential investors by guaranteeing 50 percent of the purchase price against </w:t>
      </w:r>
      <w:r w:rsidR="00490688">
        <w:t xml:space="preserve">a number of </w:t>
      </w:r>
      <w:r w:rsidR="00490688" w:rsidRPr="00451A97">
        <w:t xml:space="preserve">risks </w:t>
      </w:r>
      <w:r w:rsidR="00490688">
        <w:t xml:space="preserve">including: </w:t>
      </w:r>
    </w:p>
    <w:p w14:paraId="665AB94B" w14:textId="2F4695E9" w:rsidR="00490688" w:rsidRDefault="00E44220" w:rsidP="00E44220">
      <w:pPr>
        <w:pStyle w:val="ListBullet"/>
      </w:pPr>
      <w:r>
        <w:t>A</w:t>
      </w:r>
      <w:r w:rsidR="00490688" w:rsidRPr="00451A97">
        <w:t>ccurac</w:t>
      </w:r>
      <w:r>
        <w:t>y of financial accounting data</w:t>
      </w:r>
    </w:p>
    <w:p w14:paraId="6AA23942" w14:textId="56DB448D" w:rsidR="00490688" w:rsidRDefault="00E44220" w:rsidP="00E44220">
      <w:pPr>
        <w:pStyle w:val="ListBullet"/>
      </w:pPr>
      <w:r>
        <w:t>T</w:t>
      </w:r>
      <w:r w:rsidR="00490688" w:rsidRPr="00451A97">
        <w:t>he net book</w:t>
      </w:r>
      <w:r>
        <w:t xml:space="preserve"> value of shareholders’ equity</w:t>
      </w:r>
    </w:p>
    <w:p w14:paraId="2D163CF5" w14:textId="0D3E6BCD" w:rsidR="00490688" w:rsidRDefault="00E44220" w:rsidP="00E44220">
      <w:pPr>
        <w:pStyle w:val="ListBullet"/>
      </w:pPr>
      <w:r>
        <w:t>A</w:t>
      </w:r>
      <w:r w:rsidR="00490688">
        <w:t>ccuracy of asset lists.</w:t>
      </w:r>
    </w:p>
    <w:p w14:paraId="43884FDE" w14:textId="01B6A417" w:rsidR="00490688" w:rsidRDefault="00490688" w:rsidP="00490688">
      <w:pPr>
        <w:pStyle w:val="ListBullet"/>
        <w:numPr>
          <w:ilvl w:val="0"/>
          <w:numId w:val="0"/>
        </w:numPr>
      </w:pPr>
      <w:r w:rsidRPr="00451A97">
        <w:t>AES Corporation</w:t>
      </w:r>
      <w:r>
        <w:t xml:space="preserve"> was the only company to submit a bid that </w:t>
      </w:r>
      <w:r w:rsidRPr="00451A97">
        <w:t xml:space="preserve">met </w:t>
      </w:r>
      <w:r>
        <w:t xml:space="preserve">the </w:t>
      </w:r>
      <w:r w:rsidRPr="00451A97">
        <w:t xml:space="preserve">technical and financial requirements. </w:t>
      </w:r>
    </w:p>
    <w:p w14:paraId="30D7198D" w14:textId="67ABA8B2" w:rsidR="00490688" w:rsidRDefault="00490688" w:rsidP="00490688">
      <w:pPr>
        <w:pStyle w:val="BodyText"/>
      </w:pPr>
      <w:r>
        <w:lastRenderedPageBreak/>
        <w:t>In terms of donor money, AES SONEL received €240 million in loans from a group of development finance institutions in 2006 to support its investment plans.</w:t>
      </w:r>
      <w:r>
        <w:rPr>
          <w:rStyle w:val="FootnoteReference"/>
        </w:rPr>
        <w:footnoteReference w:id="19"/>
      </w:r>
      <w:r>
        <w:t xml:space="preserve"> </w:t>
      </w:r>
      <w:r w:rsidRPr="003110F9">
        <w:t>IFC provide</w:t>
      </w:r>
      <w:r w:rsidR="00E44220">
        <w:t>d a corporate loan of up to €</w:t>
      </w:r>
      <w:r w:rsidRPr="003110F9">
        <w:t xml:space="preserve">70 million as part of </w:t>
      </w:r>
      <w:r>
        <w:t>that package.</w:t>
      </w:r>
      <w:r>
        <w:rPr>
          <w:rStyle w:val="FootnoteReference"/>
        </w:rPr>
        <w:footnoteReference w:id="20"/>
      </w:r>
      <w:r w:rsidRPr="003110F9">
        <w:t xml:space="preserve"> </w:t>
      </w:r>
      <w:r w:rsidR="00F929BE">
        <w:t>15.7 percent of this came from the African Development Fund (ADF).</w:t>
      </w:r>
      <w:r w:rsidR="00F929BE">
        <w:rPr>
          <w:rStyle w:val="FootnoteReference"/>
        </w:rPr>
        <w:footnoteReference w:id="21"/>
      </w:r>
      <w:r w:rsidR="00F929BE">
        <w:t xml:space="preserve">  </w:t>
      </w:r>
    </w:p>
    <w:p w14:paraId="75392141" w14:textId="7B2380AE" w:rsidR="002634C3" w:rsidRDefault="00831E53" w:rsidP="00831E53">
      <w:pPr>
        <w:pStyle w:val="BodyText"/>
      </w:pPr>
      <w:r>
        <w:t xml:space="preserve">Revenues are generated through cost-reflective tariffs, which have been </w:t>
      </w:r>
      <w:r w:rsidR="00344BB9">
        <w:t xml:space="preserve">the subject of recurrent negotiations between the State of Cameroon and AES </w:t>
      </w:r>
      <w:r w:rsidR="003110F9">
        <w:t xml:space="preserve">(later Actis) several times. </w:t>
      </w:r>
      <w:r>
        <w:t xml:space="preserve">In addition, </w:t>
      </w:r>
      <w:r w:rsidR="002634C3">
        <w:t>ENEO</w:t>
      </w:r>
      <w:r>
        <w:t xml:space="preserve"> also has access to </w:t>
      </w:r>
      <w:r w:rsidR="002634C3">
        <w:t xml:space="preserve">government and donor subsidies for new </w:t>
      </w:r>
      <w:r>
        <w:t xml:space="preserve">connections for customers farther from distribution lines. </w:t>
      </w:r>
    </w:p>
    <w:p w14:paraId="273D0601" w14:textId="2F5B9751" w:rsidR="00831E53" w:rsidRDefault="002634C3" w:rsidP="00831E53">
      <w:pPr>
        <w:pStyle w:val="BodyText"/>
      </w:pPr>
      <w:r>
        <w:t>ENEO</w:t>
      </w:r>
      <w:r w:rsidR="00831E53">
        <w:t xml:space="preserve"> </w:t>
      </w:r>
      <w:r w:rsidR="00F342F7">
        <w:t>currently receives</w:t>
      </w:r>
      <w:r w:rsidR="00831E53">
        <w:t xml:space="preserve"> subsidies from the </w:t>
      </w:r>
      <w:r>
        <w:t>Government of Cameroon</w:t>
      </w:r>
      <w:r w:rsidR="008521B0">
        <w:t xml:space="preserve"> to compensate for not applying the revised tariff approved in accordance with the concession (see section </w:t>
      </w:r>
      <w:r w:rsidR="00FA6B28">
        <w:fldChar w:fldCharType="begin"/>
      </w:r>
      <w:r w:rsidR="00FA6B28">
        <w:instrText xml:space="preserve"> REF _Ref437033829 \r \h </w:instrText>
      </w:r>
      <w:r w:rsidR="00FA6B28">
        <w:fldChar w:fldCharType="separate"/>
      </w:r>
      <w:r w:rsidR="0079328A">
        <w:t>3.6</w:t>
      </w:r>
      <w:r w:rsidR="00FA6B28">
        <w:fldChar w:fldCharType="end"/>
      </w:r>
      <w:r w:rsidR="00FA6B28">
        <w:t xml:space="preserve"> </w:t>
      </w:r>
      <w:r w:rsidR="008521B0">
        <w:t>below)</w:t>
      </w:r>
      <w:r w:rsidR="00831E53">
        <w:t xml:space="preserve">. </w:t>
      </w:r>
    </w:p>
    <w:p w14:paraId="10F0C0F9" w14:textId="77777777" w:rsidR="000301E0" w:rsidRDefault="000301E0" w:rsidP="000301E0">
      <w:pPr>
        <w:pStyle w:val="Heading2"/>
      </w:pPr>
      <w:bookmarkStart w:id="57" w:name="_Toc428378321"/>
      <w:bookmarkStart w:id="58" w:name="_Toc432608948"/>
      <w:bookmarkStart w:id="59" w:name="_Toc432619299"/>
      <w:bookmarkStart w:id="60" w:name="_Toc437034123"/>
      <w:r>
        <w:t>Contractual Arrangements</w:t>
      </w:r>
      <w:bookmarkEnd w:id="57"/>
      <w:bookmarkEnd w:id="58"/>
      <w:bookmarkEnd w:id="59"/>
      <w:bookmarkEnd w:id="60"/>
      <w:r>
        <w:t xml:space="preserve"> </w:t>
      </w:r>
    </w:p>
    <w:p w14:paraId="7D76F0E0" w14:textId="3BF75ED2" w:rsidR="00135AD3" w:rsidRDefault="00135AD3" w:rsidP="000301E0">
      <w:pPr>
        <w:pStyle w:val="BodyText"/>
      </w:pPr>
      <w:r w:rsidRPr="00135AD3">
        <w:t xml:space="preserve">The </w:t>
      </w:r>
      <w:r>
        <w:t>2001 c</w:t>
      </w:r>
      <w:r w:rsidRPr="00135AD3">
        <w:t xml:space="preserve">oncession agreement between the Republic </w:t>
      </w:r>
      <w:r>
        <w:t>of Cameroon and AES SONEL covers</w:t>
      </w:r>
      <w:r w:rsidRPr="00135AD3">
        <w:t xml:space="preserve"> a </w:t>
      </w:r>
      <w:r w:rsidR="00E44220">
        <w:t>20</w:t>
      </w:r>
      <w:r w:rsidRPr="00135AD3">
        <w:t>-year period</w:t>
      </w:r>
      <w:r>
        <w:t>. T</w:t>
      </w:r>
      <w:r w:rsidRPr="00135AD3">
        <w:t>he first three years constitute</w:t>
      </w:r>
      <w:r>
        <w:t>d</w:t>
      </w:r>
      <w:r w:rsidRPr="00135AD3">
        <w:t xml:space="preserve"> a grace period to permit resolution of </w:t>
      </w:r>
      <w:r>
        <w:t xml:space="preserve">any </w:t>
      </w:r>
      <w:r w:rsidRPr="00135AD3">
        <w:t xml:space="preserve">issues </w:t>
      </w:r>
      <w:r>
        <w:t>arising from the privatization.</w:t>
      </w:r>
      <w:r>
        <w:rPr>
          <w:rStyle w:val="FootnoteReference"/>
        </w:rPr>
        <w:footnoteReference w:id="22"/>
      </w:r>
    </w:p>
    <w:p w14:paraId="2FC18EB8" w14:textId="171A3C5F" w:rsidR="00135AD3" w:rsidRDefault="00135AD3" w:rsidP="000301E0">
      <w:pPr>
        <w:pStyle w:val="BodyText"/>
      </w:pPr>
      <w:r w:rsidRPr="00135AD3">
        <w:t xml:space="preserve">In 2004, the Cameroonian Government </w:t>
      </w:r>
      <w:r>
        <w:t xml:space="preserve">and AES SONEL started renegotiations around the </w:t>
      </w:r>
      <w:r w:rsidRPr="00135AD3">
        <w:t xml:space="preserve">concession contract. The issues included in this renegotiation process are: </w:t>
      </w:r>
      <w:r w:rsidR="001F073A">
        <w:t>service quality requirements, connection targets, tariff formulation, the obligation to develop new generation capacity,</w:t>
      </w:r>
      <w:r w:rsidR="001C2C67">
        <w:t xml:space="preserve"> </w:t>
      </w:r>
      <w:r w:rsidR="001F073A">
        <w:t>and the penalties regime.</w:t>
      </w:r>
      <w:r>
        <w:rPr>
          <w:rStyle w:val="FootnoteReference"/>
        </w:rPr>
        <w:footnoteReference w:id="23"/>
      </w:r>
    </w:p>
    <w:p w14:paraId="041225E3" w14:textId="597D2963" w:rsidR="00CE43AC" w:rsidRDefault="00CE43AC" w:rsidP="00CE43AC">
      <w:pPr>
        <w:pStyle w:val="BodyText"/>
      </w:pPr>
      <w:r>
        <w:t>AES SONEL and the State of Cameroon have entered into four concession agreements, relating respectively to a</w:t>
      </w:r>
      <w:r w:rsidR="00BB5353">
        <w:t>greements for the</w:t>
      </w:r>
      <w:r>
        <w:t xml:space="preserve"> concession</w:t>
      </w:r>
      <w:r w:rsidR="00BB5353">
        <w:t>’s framework</w:t>
      </w:r>
      <w:r>
        <w:t>, electricity production, transmission, distribution</w:t>
      </w:r>
      <w:r w:rsidR="00BB5353">
        <w:t xml:space="preserve"> and</w:t>
      </w:r>
      <w:r>
        <w:t xml:space="preserve"> licens</w:t>
      </w:r>
      <w:r w:rsidR="00A64CA5">
        <w:t>ing</w:t>
      </w:r>
      <w:r>
        <w:t xml:space="preserve"> for the sale of electricity.</w:t>
      </w:r>
    </w:p>
    <w:p w14:paraId="4744317B" w14:textId="77777777" w:rsidR="00CE43AC" w:rsidRDefault="00CE43AC" w:rsidP="00CE43AC">
      <w:pPr>
        <w:pStyle w:val="BodyText"/>
      </w:pPr>
      <w:r>
        <w:t>These concessions and license have been amended in December 2006 in view, in particular to provide for:</w:t>
      </w:r>
    </w:p>
    <w:p w14:paraId="1E2B287B" w14:textId="08A8ACFB" w:rsidR="00CE43AC" w:rsidRDefault="00CE43AC" w:rsidP="00E44220">
      <w:pPr>
        <w:pStyle w:val="ListBullet"/>
      </w:pPr>
      <w:r>
        <w:t xml:space="preserve">A reduction </w:t>
      </w:r>
      <w:r w:rsidR="001E6A59">
        <w:t xml:space="preserve">in </w:t>
      </w:r>
      <w:r>
        <w:t xml:space="preserve">of the cost of a connection, which was considered as an obstacle to the development of electricity access for households (before SONEL privatization, users </w:t>
      </w:r>
      <w:r w:rsidR="001E6A59">
        <w:t>did not pay</w:t>
      </w:r>
      <w:r>
        <w:t xml:space="preserve"> for connections) and </w:t>
      </w:r>
      <w:r w:rsidR="001E6A59">
        <w:t>a provision</w:t>
      </w:r>
      <w:r>
        <w:t xml:space="preserve"> for pay</w:t>
      </w:r>
      <w:r w:rsidR="00E44220">
        <w:t>ment facilities for subscribers</w:t>
      </w:r>
    </w:p>
    <w:p w14:paraId="78BCC6A1" w14:textId="77777777" w:rsidR="00CE43AC" w:rsidRDefault="00CE43AC" w:rsidP="00E44220">
      <w:pPr>
        <w:pStyle w:val="ListBullet"/>
      </w:pPr>
      <w:r>
        <w:t>A revision of the objectives set forth in 2001 in replacing the breakdown of these objectives by size of cities (large cities, medium cities and rural areas) by a breakdown by regions; the global objective set to ENEO would be 70,000 new connections per year.</w:t>
      </w:r>
    </w:p>
    <w:p w14:paraId="0D17AF26" w14:textId="4A3DC0A1" w:rsidR="00CE43AC" w:rsidRDefault="00CE43AC" w:rsidP="00CE43AC">
      <w:pPr>
        <w:pStyle w:val="BodyText"/>
      </w:pPr>
      <w:r>
        <w:t xml:space="preserve">In 2012, AES SONEL and the Ministry of Energy and Water started a process of "re-reading" the </w:t>
      </w:r>
      <w:r w:rsidR="001E6A59">
        <w:t>concession contracts to assess</w:t>
      </w:r>
      <w:r>
        <w:t xml:space="preserve"> their compliance with the Electricity Law of 2011 and with the new tariff principles</w:t>
      </w:r>
      <w:r w:rsidR="00325CF0">
        <w:t>.</w:t>
      </w:r>
      <w:r>
        <w:t xml:space="preserve">This process led to the signing in December 2013 of a Protocol </w:t>
      </w:r>
      <w:r>
        <w:lastRenderedPageBreak/>
        <w:t xml:space="preserve">summarizing the principles of agreements between the Parties, to be formalized in an amendment to the concessions. A second amendment to the concessions was signed on 7 August 2015 between ENEO and the </w:t>
      </w:r>
      <w:r w:rsidR="00E44220" w:rsidRPr="00E44220">
        <w:t>Government</w:t>
      </w:r>
      <w:r>
        <w:t xml:space="preserve"> of Cameroon on the basis of these principles. This amendment include</w:t>
      </w:r>
      <w:r w:rsidR="00564B9C">
        <w:t>s</w:t>
      </w:r>
      <w:r>
        <w:t xml:space="preserve"> provisions </w:t>
      </w:r>
      <w:r w:rsidR="00564B9C">
        <w:t>for</w:t>
      </w:r>
      <w:r>
        <w:t xml:space="preserve">: </w:t>
      </w:r>
    </w:p>
    <w:p w14:paraId="60A6F355" w14:textId="25FD5D50" w:rsidR="00CE43AC" w:rsidRDefault="00CE43AC" w:rsidP="00CE43AC">
      <w:pPr>
        <w:pStyle w:val="ListBullet"/>
      </w:pPr>
      <w:r>
        <w:t>The rehabi</w:t>
      </w:r>
      <w:r w:rsidR="00E44220">
        <w:t>litation of the Song Loulou dam</w:t>
      </w:r>
    </w:p>
    <w:p w14:paraId="7FD1FC5C" w14:textId="5AF314AD" w:rsidR="00CE43AC" w:rsidRDefault="00CE43AC" w:rsidP="00CE43AC">
      <w:pPr>
        <w:pStyle w:val="ListBullet"/>
      </w:pPr>
      <w:r>
        <w:t>The transfer of storage dams to EDC (as already provided for b</w:t>
      </w:r>
      <w:r w:rsidR="00E44220">
        <w:t>y amendment n°1 signed in 2006)</w:t>
      </w:r>
    </w:p>
    <w:p w14:paraId="35CB589F" w14:textId="0DE1352C" w:rsidR="00CE43AC" w:rsidRDefault="00CE43AC" w:rsidP="00CE43AC">
      <w:pPr>
        <w:pStyle w:val="ListBullet"/>
      </w:pPr>
      <w:r>
        <w:t>The transfer of the activity of transmission and management of the transmission grid to a Transmission System Operator, Société nationale de transport d’électricité – Sonatrel, established b</w:t>
      </w:r>
      <w:r w:rsidR="00E44220">
        <w:t>y a Decree dated 8 October 2015</w:t>
      </w:r>
    </w:p>
    <w:p w14:paraId="5513A7B3" w14:textId="57C15402" w:rsidR="00CE43AC" w:rsidRDefault="00CE43AC" w:rsidP="00CE43AC">
      <w:pPr>
        <w:pStyle w:val="ListBullet"/>
      </w:pPr>
      <w:r>
        <w:t xml:space="preserve">The definition of new service quality standards and new indices for measuring the quality of service and the design of an appropriate tool to identify and track the link between the level of investment and the maintenance and service quality standards, together with the investments required, to be </w:t>
      </w:r>
      <w:r w:rsidR="00E44220">
        <w:t>submitted for approval to ARSEL</w:t>
      </w:r>
    </w:p>
    <w:p w14:paraId="6E1552FE" w14:textId="0A097E51" w:rsidR="00CE43AC" w:rsidRDefault="00CE43AC" w:rsidP="00CE43AC">
      <w:pPr>
        <w:pStyle w:val="ListBullet"/>
      </w:pPr>
      <w:r>
        <w:t>Connecting objectives, which are broken down by region and should now be included in the annual business plan submitted to ARSEL together with a detailed report on the implementation of new connections</w:t>
      </w:r>
    </w:p>
    <w:p w14:paraId="431DD9BA" w14:textId="77777777" w:rsidR="00CE43AC" w:rsidRDefault="00CE43AC" w:rsidP="00CE43AC">
      <w:pPr>
        <w:pStyle w:val="ListBullet"/>
      </w:pPr>
      <w:r>
        <w:t>Update of the tariff formula and the possibility to implement a multi-year tariff increase mechanism, which will replace the current mechanism of annual increase.</w:t>
      </w:r>
    </w:p>
    <w:p w14:paraId="1DD9F680" w14:textId="77777777" w:rsidR="000301E0" w:rsidRDefault="000301E0" w:rsidP="000301E0">
      <w:pPr>
        <w:pStyle w:val="Heading2"/>
      </w:pPr>
      <w:bookmarkStart w:id="61" w:name="_Toc428279279"/>
      <w:bookmarkStart w:id="62" w:name="_Toc428378322"/>
      <w:bookmarkStart w:id="63" w:name="_Toc432608949"/>
      <w:bookmarkStart w:id="64" w:name="_Toc432619300"/>
      <w:bookmarkStart w:id="65" w:name="_Toc437034124"/>
      <w:r>
        <w:t>Technological Approach</w:t>
      </w:r>
      <w:bookmarkEnd w:id="61"/>
      <w:bookmarkEnd w:id="62"/>
      <w:bookmarkEnd w:id="63"/>
      <w:bookmarkEnd w:id="64"/>
      <w:bookmarkEnd w:id="65"/>
    </w:p>
    <w:p w14:paraId="3EAA3C51" w14:textId="512A935B" w:rsidR="00390E2D" w:rsidRDefault="00564B9C" w:rsidP="00F103E9">
      <w:pPr>
        <w:pStyle w:val="BodyText"/>
      </w:pPr>
      <w:r>
        <w:t xml:space="preserve">ENEO is a national vertically-integrated utility that operates the majority of the generation, transmission and distribution systems in the country. ENEO manages three separate grids. </w:t>
      </w:r>
      <w:r w:rsidR="00F103E9">
        <w:t>New</w:t>
      </w:r>
      <w:r>
        <w:t xml:space="preserve"> connections are achieved primarily through </w:t>
      </w:r>
      <w:r w:rsidR="000301E0">
        <w:t>grid extension</w:t>
      </w:r>
      <w:r>
        <w:t>s.</w:t>
      </w:r>
      <w:r w:rsidR="00F103E9">
        <w:t xml:space="preserve"> </w:t>
      </w:r>
      <w:r>
        <w:t xml:space="preserve">However, ENEO </w:t>
      </w:r>
      <w:r w:rsidR="00F103E9">
        <w:t>has also deployed</w:t>
      </w:r>
      <w:r>
        <w:t xml:space="preserve"> independent </w:t>
      </w:r>
      <w:r w:rsidR="00325CF0">
        <w:t xml:space="preserve">26 </w:t>
      </w:r>
      <w:r w:rsidR="008521B0">
        <w:t xml:space="preserve">diesel </w:t>
      </w:r>
      <w:r>
        <w:t>generators for mini-grids in certain parts of the country.</w:t>
      </w:r>
      <w:r w:rsidR="008521B0">
        <w:t xml:space="preserve"> The production costs of electricity from these generators is approximately the double than the equalized tariff applied (170 </w:t>
      </w:r>
      <w:r w:rsidR="00390E2D">
        <w:t>CFA Francs/kWh).</w:t>
      </w:r>
      <w:r w:rsidR="008521B0">
        <w:rPr>
          <w:rStyle w:val="FootnoteReference"/>
        </w:rPr>
        <w:footnoteReference w:id="24"/>
      </w:r>
    </w:p>
    <w:p w14:paraId="10FED6BD" w14:textId="23D8BF00" w:rsidR="00F103E9" w:rsidRDefault="00F103E9" w:rsidP="00F103E9">
      <w:pPr>
        <w:pStyle w:val="BodyText"/>
      </w:pPr>
      <w:r>
        <w:t xml:space="preserve">Until recently, ENEO had an installed production capacity of 999MW, with 39 production plants, of which 13 are interconnected and 26 are small isolated power stations. Seventy-four percent of production </w:t>
      </w:r>
      <w:r w:rsidR="001C2C67">
        <w:t xml:space="preserve">is </w:t>
      </w:r>
      <w:r>
        <w:t>from hydraulic source</w:t>
      </w:r>
      <w:r w:rsidR="00B626A5">
        <w:t>s</w:t>
      </w:r>
      <w:r>
        <w:t xml:space="preserve">. </w:t>
      </w:r>
      <w:r w:rsidRPr="007120E0">
        <w:t>In September 2015, Actis sold its stakes in two large thermal generators</w:t>
      </w:r>
      <w:r>
        <w:t xml:space="preserve"> with a combined capacity of 302MW for US$227 million (XOF125 billion)</w:t>
      </w:r>
      <w:r w:rsidRPr="007120E0">
        <w:t>.</w:t>
      </w:r>
      <w:r>
        <w:rPr>
          <w:rStyle w:val="FootnoteReference"/>
        </w:rPr>
        <w:footnoteReference w:id="25"/>
      </w:r>
      <w:r w:rsidRPr="007120E0">
        <w:t xml:space="preserve"> </w:t>
      </w:r>
    </w:p>
    <w:p w14:paraId="16A24359" w14:textId="6A931E99" w:rsidR="000301E0" w:rsidRPr="00DE60F9" w:rsidRDefault="00F103E9" w:rsidP="000301E0">
      <w:pPr>
        <w:pStyle w:val="BodyText"/>
      </w:pPr>
      <w:r>
        <w:t>The transmission network connects 24 stations and includes 1944.29km of high voltage lines, 15,081.48km of medium voltage lines and 15,209.25km of low voltage lines. The distribution network consists of 11,450km of lines from 5.5</w:t>
      </w:r>
      <w:r w:rsidR="008C6722">
        <w:t>k</w:t>
      </w:r>
      <w:r>
        <w:t>V to 33</w:t>
      </w:r>
      <w:r w:rsidR="008C6722">
        <w:t>k</w:t>
      </w:r>
      <w:r>
        <w:t xml:space="preserve">V, and </w:t>
      </w:r>
      <w:r w:rsidR="00FC3FAA">
        <w:t>11,</w:t>
      </w:r>
      <w:r>
        <w:t>158km of lines of 220</w:t>
      </w:r>
      <w:r w:rsidR="008C6722">
        <w:t>k</w:t>
      </w:r>
      <w:r>
        <w:t>V to 380</w:t>
      </w:r>
      <w:r w:rsidR="008C6722">
        <w:t>k</w:t>
      </w:r>
      <w:r>
        <w:t xml:space="preserve">V. </w:t>
      </w:r>
    </w:p>
    <w:p w14:paraId="60198841" w14:textId="77777777" w:rsidR="000301E0" w:rsidRDefault="000301E0" w:rsidP="000301E0">
      <w:pPr>
        <w:pStyle w:val="Heading2"/>
      </w:pPr>
      <w:bookmarkStart w:id="66" w:name="_Toc428378323"/>
      <w:bookmarkStart w:id="67" w:name="_Toc432608950"/>
      <w:bookmarkStart w:id="68" w:name="_Toc432619301"/>
      <w:bookmarkStart w:id="69" w:name="_Ref437033829"/>
      <w:bookmarkStart w:id="70" w:name="_Toc437034125"/>
      <w:r>
        <w:lastRenderedPageBreak/>
        <w:t>Regulatory Arrangements</w:t>
      </w:r>
      <w:bookmarkEnd w:id="66"/>
      <w:bookmarkEnd w:id="67"/>
      <w:bookmarkEnd w:id="68"/>
      <w:bookmarkEnd w:id="69"/>
      <w:bookmarkEnd w:id="70"/>
      <w:r>
        <w:t xml:space="preserve"> </w:t>
      </w:r>
    </w:p>
    <w:p w14:paraId="4B90F71B" w14:textId="44E1AA25" w:rsidR="00425B17" w:rsidRPr="00A06D34" w:rsidRDefault="00425B17" w:rsidP="00425B17">
      <w:pPr>
        <w:pStyle w:val="BodyText"/>
      </w:pPr>
      <w:r w:rsidRPr="00A06D34">
        <w:t xml:space="preserve">Tariffs are set by the MINEE upon ARSEL’s </w:t>
      </w:r>
      <w:r w:rsidR="003C111F" w:rsidRPr="00A06D34">
        <w:t>recommendation</w:t>
      </w:r>
      <w:r w:rsidRPr="00A06D34">
        <w:t>.</w:t>
      </w:r>
    </w:p>
    <w:p w14:paraId="1364A73F" w14:textId="7A881C8F" w:rsidR="00425B17" w:rsidRDefault="00425B17" w:rsidP="00425B17">
      <w:pPr>
        <w:pStyle w:val="BodyText"/>
      </w:pPr>
      <w:r w:rsidRPr="00A06D34">
        <w:t xml:space="preserve">Both </w:t>
      </w:r>
      <w:r w:rsidR="00FC3FAA">
        <w:t xml:space="preserve">the </w:t>
      </w:r>
      <w:r w:rsidRPr="00A06D34">
        <w:t>concession and license provide terms and conditions of periodic modifications of the tariff. The tariffs are in any case reviewed every five years, or in the event of any material changes which substantially affect the economic, financial and technical environment in which the contracts had been granted.</w:t>
      </w:r>
      <w:r w:rsidRPr="00A06D34">
        <w:rPr>
          <w:rStyle w:val="FootnoteReference"/>
        </w:rPr>
        <w:footnoteReference w:id="26"/>
      </w:r>
    </w:p>
    <w:p w14:paraId="1C14C990" w14:textId="0884C60B" w:rsidR="00425B17" w:rsidRDefault="00FC3FAA" w:rsidP="00425B17">
      <w:pPr>
        <w:pStyle w:val="BodyText"/>
      </w:pPr>
      <w:r>
        <w:t xml:space="preserve">ENEO’s electricity tariff is equalized and applicable </w:t>
      </w:r>
      <w:r w:rsidR="00FA6B28">
        <w:t>countrywide.</w:t>
      </w:r>
      <w:r w:rsidR="00425B17">
        <w:t xml:space="preserve"> It may be revised annually on the basis of a revenue cap formula. The tariff which currently applies has been set in 2012, as follows regarding low voltage.</w:t>
      </w:r>
      <w:r w:rsidR="00FA6B28">
        <w:t xml:space="preserve"> </w:t>
      </w:r>
      <w:r w:rsidR="00425B17">
        <w:t xml:space="preserve">Since 2012, the </w:t>
      </w:r>
      <w:r w:rsidR="00425B17" w:rsidRPr="00F16DB8">
        <w:t xml:space="preserve">electricity </w:t>
      </w:r>
      <w:r w:rsidR="00425B17">
        <w:t xml:space="preserve">tariffs </w:t>
      </w:r>
      <w:r w:rsidR="00425B17" w:rsidRPr="00F16DB8">
        <w:t>applicable by AES SONEL are fixed as follows</w:t>
      </w:r>
      <w:r w:rsidR="00425B17">
        <w:t xml:space="preserve">: </w:t>
      </w:r>
    </w:p>
    <w:p w14:paraId="0A80CF41" w14:textId="096CFC66" w:rsidR="003C111F" w:rsidRDefault="003C111F" w:rsidP="008C6722">
      <w:pPr>
        <w:pStyle w:val="Caption"/>
        <w:keepNext/>
      </w:pPr>
      <w:bookmarkStart w:id="71" w:name="_Toc432619288"/>
      <w:bookmarkStart w:id="72" w:name="_Toc437034137"/>
      <w:r>
        <w:t xml:space="preserve">Table </w:t>
      </w:r>
      <w:fldSimple w:instr=" STYLEREF 1 \s ">
        <w:r w:rsidR="0079328A">
          <w:rPr>
            <w:noProof/>
          </w:rPr>
          <w:t>3</w:t>
        </w:r>
      </w:fldSimple>
      <w:r>
        <w:t>.</w:t>
      </w:r>
      <w:fldSimple w:instr=" SEQ Table \* ARABIC \s 1 ">
        <w:r w:rsidR="0079328A">
          <w:rPr>
            <w:noProof/>
          </w:rPr>
          <w:t>2</w:t>
        </w:r>
      </w:fldSimple>
      <w:r>
        <w:t xml:space="preserve">: </w:t>
      </w:r>
      <w:bookmarkEnd w:id="71"/>
      <w:r w:rsidR="008521B0">
        <w:t>Low voltage tariff approved by ARSEL in May 2012</w:t>
      </w:r>
      <w:bookmarkEnd w:id="72"/>
    </w:p>
    <w:tbl>
      <w:tblPr>
        <w:tblStyle w:val="TableContemporary"/>
        <w:tblW w:w="0" w:type="auto"/>
        <w:tblLook w:val="04A0" w:firstRow="1" w:lastRow="0" w:firstColumn="1" w:lastColumn="0" w:noHBand="0" w:noVBand="1"/>
      </w:tblPr>
      <w:tblGrid>
        <w:gridCol w:w="807"/>
        <w:gridCol w:w="4958"/>
        <w:gridCol w:w="2883"/>
      </w:tblGrid>
      <w:tr w:rsidR="003C111F" w14:paraId="52C00F52" w14:textId="77777777" w:rsidTr="00CF7CF8">
        <w:trPr>
          <w:cnfStyle w:val="100000000000" w:firstRow="1" w:lastRow="0" w:firstColumn="0" w:lastColumn="0" w:oddVBand="0" w:evenVBand="0" w:oddHBand="0" w:evenHBand="0" w:firstRowFirstColumn="0" w:firstRowLastColumn="0" w:lastRowFirstColumn="0" w:lastRowLastColumn="0"/>
        </w:trPr>
        <w:tc>
          <w:tcPr>
            <w:tcW w:w="8788" w:type="dxa"/>
            <w:gridSpan w:val="3"/>
            <w:shd w:val="clear" w:color="auto" w:fill="002060"/>
          </w:tcPr>
          <w:p w14:paraId="40E600F8" w14:textId="77777777" w:rsidR="003C111F" w:rsidRDefault="003C111F" w:rsidP="008C6722">
            <w:pPr>
              <w:pStyle w:val="TableText"/>
              <w:jc w:val="center"/>
            </w:pPr>
            <w:r>
              <w:t>Residential subscribers</w:t>
            </w:r>
          </w:p>
        </w:tc>
      </w:tr>
      <w:tr w:rsidR="003C111F" w14:paraId="3D8C8DE8" w14:textId="77777777" w:rsidTr="008C6722">
        <w:trPr>
          <w:cnfStyle w:val="000000100000" w:firstRow="0" w:lastRow="0" w:firstColumn="0" w:lastColumn="0" w:oddVBand="0" w:evenVBand="0" w:oddHBand="1" w:evenHBand="0" w:firstRowFirstColumn="0" w:firstRowLastColumn="0" w:lastRowFirstColumn="0" w:lastRowLastColumn="0"/>
        </w:trPr>
        <w:tc>
          <w:tcPr>
            <w:tcW w:w="817" w:type="dxa"/>
            <w:tcBorders>
              <w:top w:val="single" w:sz="18" w:space="0" w:color="FFFFFF"/>
              <w:bottom w:val="single" w:sz="18" w:space="0" w:color="FFFFFF"/>
            </w:tcBorders>
            <w:shd w:val="clear" w:color="auto" w:fill="D9D9D9" w:themeFill="background1" w:themeFillShade="D9"/>
          </w:tcPr>
          <w:p w14:paraId="2D18A5D7" w14:textId="77777777" w:rsidR="003C111F" w:rsidRDefault="003C111F" w:rsidP="008C6722">
            <w:pPr>
              <w:pStyle w:val="TableText"/>
              <w:jc w:val="center"/>
            </w:pPr>
          </w:p>
        </w:tc>
        <w:tc>
          <w:tcPr>
            <w:tcW w:w="5041" w:type="dxa"/>
            <w:shd w:val="clear" w:color="auto" w:fill="D9D9D9" w:themeFill="background1" w:themeFillShade="D9"/>
          </w:tcPr>
          <w:p w14:paraId="259EF5E9" w14:textId="6663C038" w:rsidR="003C111F" w:rsidRDefault="003C111F" w:rsidP="008C6722">
            <w:pPr>
              <w:pStyle w:val="TableText"/>
              <w:jc w:val="center"/>
            </w:pPr>
            <w:r w:rsidRPr="00150E43">
              <w:t>monthly consumption</w:t>
            </w:r>
            <w:r>
              <w:t xml:space="preserve"> insta</w:t>
            </w:r>
            <w:r w:rsidR="00F20B7D">
              <w:t>l</w:t>
            </w:r>
            <w:r>
              <w:t>lment</w:t>
            </w:r>
          </w:p>
        </w:tc>
        <w:tc>
          <w:tcPr>
            <w:tcW w:w="2930" w:type="dxa"/>
            <w:shd w:val="clear" w:color="auto" w:fill="D9D9D9" w:themeFill="background1" w:themeFillShade="D9"/>
          </w:tcPr>
          <w:p w14:paraId="5E4CA616" w14:textId="3B8A324B" w:rsidR="003C111F" w:rsidRDefault="003C111F" w:rsidP="008C6722">
            <w:pPr>
              <w:pStyle w:val="TableText"/>
              <w:jc w:val="center"/>
            </w:pPr>
            <w:r>
              <w:t>Tariffs</w:t>
            </w:r>
          </w:p>
        </w:tc>
      </w:tr>
      <w:tr w:rsidR="003C111F" w14:paraId="425E5701" w14:textId="77777777" w:rsidTr="008C6722">
        <w:trPr>
          <w:cnfStyle w:val="000000010000" w:firstRow="0" w:lastRow="0" w:firstColumn="0" w:lastColumn="0" w:oddVBand="0" w:evenVBand="0" w:oddHBand="0" w:evenHBand="1" w:firstRowFirstColumn="0" w:firstRowLastColumn="0" w:lastRowFirstColumn="0" w:lastRowLastColumn="0"/>
        </w:trPr>
        <w:tc>
          <w:tcPr>
            <w:tcW w:w="817" w:type="dxa"/>
            <w:tcBorders>
              <w:top w:val="single" w:sz="18" w:space="0" w:color="FFFFFF"/>
              <w:bottom w:val="single" w:sz="18" w:space="0" w:color="FFFFFF"/>
            </w:tcBorders>
            <w:shd w:val="clear" w:color="auto" w:fill="D9D9D9" w:themeFill="background1" w:themeFillShade="D9"/>
          </w:tcPr>
          <w:p w14:paraId="542CD70B" w14:textId="77777777" w:rsidR="003C111F" w:rsidRDefault="003C111F" w:rsidP="008C6722">
            <w:pPr>
              <w:pStyle w:val="TableText"/>
              <w:jc w:val="center"/>
            </w:pPr>
            <w:r>
              <w:t>1</w:t>
            </w:r>
          </w:p>
        </w:tc>
        <w:tc>
          <w:tcPr>
            <w:tcW w:w="5041" w:type="dxa"/>
            <w:shd w:val="clear" w:color="auto" w:fill="D9D9D9" w:themeFill="background1" w:themeFillShade="D9"/>
          </w:tcPr>
          <w:p w14:paraId="5742B210" w14:textId="76DB230C" w:rsidR="003C111F" w:rsidRDefault="003C111F" w:rsidP="008C6722">
            <w:pPr>
              <w:pStyle w:val="TableText"/>
              <w:jc w:val="center"/>
            </w:pPr>
            <w:r>
              <w:t xml:space="preserve">Consumption </w:t>
            </w:r>
            <w:r w:rsidRPr="0088514B">
              <w:t>less than or equal to</w:t>
            </w:r>
            <w:r>
              <w:t>110</w:t>
            </w:r>
            <w:r w:rsidRPr="00492354">
              <w:t>kWh</w:t>
            </w:r>
          </w:p>
        </w:tc>
        <w:tc>
          <w:tcPr>
            <w:tcW w:w="2930" w:type="dxa"/>
            <w:shd w:val="clear" w:color="auto" w:fill="D9D9D9" w:themeFill="background1" w:themeFillShade="D9"/>
          </w:tcPr>
          <w:p w14:paraId="34B5ED53" w14:textId="77777777" w:rsidR="003C111F" w:rsidRDefault="003C111F" w:rsidP="008C6722">
            <w:pPr>
              <w:pStyle w:val="TableText"/>
              <w:jc w:val="center"/>
            </w:pPr>
            <w:r>
              <w:t>50 FCFA/kWh</w:t>
            </w:r>
          </w:p>
        </w:tc>
      </w:tr>
      <w:tr w:rsidR="003C111F" w14:paraId="5370B706" w14:textId="77777777" w:rsidTr="008C6722">
        <w:trPr>
          <w:cnfStyle w:val="000000100000" w:firstRow="0" w:lastRow="0" w:firstColumn="0" w:lastColumn="0" w:oddVBand="0" w:evenVBand="0" w:oddHBand="1" w:evenHBand="0" w:firstRowFirstColumn="0" w:firstRowLastColumn="0" w:lastRowFirstColumn="0" w:lastRowLastColumn="0"/>
        </w:trPr>
        <w:tc>
          <w:tcPr>
            <w:tcW w:w="817" w:type="dxa"/>
            <w:tcBorders>
              <w:top w:val="single" w:sz="18" w:space="0" w:color="FFFFFF"/>
              <w:bottom w:val="single" w:sz="18" w:space="0" w:color="FFFFFF"/>
            </w:tcBorders>
            <w:shd w:val="clear" w:color="auto" w:fill="D9D9D9" w:themeFill="background1" w:themeFillShade="D9"/>
          </w:tcPr>
          <w:p w14:paraId="383C90A3" w14:textId="77777777" w:rsidR="003C111F" w:rsidRDefault="003C111F" w:rsidP="008C6722">
            <w:pPr>
              <w:pStyle w:val="TableText"/>
              <w:jc w:val="center"/>
            </w:pPr>
            <w:r>
              <w:t>2</w:t>
            </w:r>
          </w:p>
        </w:tc>
        <w:tc>
          <w:tcPr>
            <w:tcW w:w="5041" w:type="dxa"/>
            <w:shd w:val="clear" w:color="auto" w:fill="D9D9D9" w:themeFill="background1" w:themeFillShade="D9"/>
          </w:tcPr>
          <w:p w14:paraId="06859DCD" w14:textId="463FEE78" w:rsidR="003C111F" w:rsidRDefault="003C111F" w:rsidP="008C6722">
            <w:pPr>
              <w:pStyle w:val="TableText"/>
              <w:jc w:val="center"/>
            </w:pPr>
            <w:r>
              <w:t>Consumption of 111</w:t>
            </w:r>
            <w:r w:rsidRPr="00492354">
              <w:t>kWh</w:t>
            </w:r>
            <w:r>
              <w:t xml:space="preserve"> to 400</w:t>
            </w:r>
            <w:r w:rsidRPr="00492354">
              <w:t>kWh</w:t>
            </w:r>
          </w:p>
        </w:tc>
        <w:tc>
          <w:tcPr>
            <w:tcW w:w="2930" w:type="dxa"/>
            <w:shd w:val="clear" w:color="auto" w:fill="D9D9D9" w:themeFill="background1" w:themeFillShade="D9"/>
          </w:tcPr>
          <w:p w14:paraId="4F037A1E" w14:textId="77777777" w:rsidR="003C111F" w:rsidRDefault="003C111F" w:rsidP="008C6722">
            <w:pPr>
              <w:pStyle w:val="TableText"/>
              <w:jc w:val="center"/>
            </w:pPr>
            <w:r>
              <w:t xml:space="preserve">79 </w:t>
            </w:r>
            <w:r w:rsidRPr="007421BF">
              <w:t>FCFA/kWh</w:t>
            </w:r>
          </w:p>
        </w:tc>
      </w:tr>
      <w:tr w:rsidR="003C111F" w14:paraId="412BB684" w14:textId="77777777" w:rsidTr="008C6722">
        <w:trPr>
          <w:cnfStyle w:val="000000010000" w:firstRow="0" w:lastRow="0" w:firstColumn="0" w:lastColumn="0" w:oddVBand="0" w:evenVBand="0" w:oddHBand="0" w:evenHBand="1" w:firstRowFirstColumn="0" w:firstRowLastColumn="0" w:lastRowFirstColumn="0" w:lastRowLastColumn="0"/>
        </w:trPr>
        <w:tc>
          <w:tcPr>
            <w:tcW w:w="817" w:type="dxa"/>
            <w:tcBorders>
              <w:top w:val="single" w:sz="18" w:space="0" w:color="FFFFFF"/>
              <w:bottom w:val="single" w:sz="18" w:space="0" w:color="FFFFFF"/>
            </w:tcBorders>
            <w:shd w:val="clear" w:color="auto" w:fill="D9D9D9" w:themeFill="background1" w:themeFillShade="D9"/>
          </w:tcPr>
          <w:p w14:paraId="262A5120" w14:textId="77777777" w:rsidR="003C111F" w:rsidRDefault="003C111F" w:rsidP="008C6722">
            <w:pPr>
              <w:pStyle w:val="TableText"/>
              <w:jc w:val="center"/>
            </w:pPr>
            <w:r>
              <w:t>3</w:t>
            </w:r>
          </w:p>
        </w:tc>
        <w:tc>
          <w:tcPr>
            <w:tcW w:w="5041" w:type="dxa"/>
            <w:shd w:val="clear" w:color="auto" w:fill="D9D9D9" w:themeFill="background1" w:themeFillShade="D9"/>
          </w:tcPr>
          <w:p w14:paraId="4076FA56" w14:textId="3A61589F" w:rsidR="003C111F" w:rsidRDefault="003C111F" w:rsidP="008C6722">
            <w:pPr>
              <w:pStyle w:val="TableText"/>
              <w:jc w:val="center"/>
            </w:pPr>
            <w:r>
              <w:t>Consumption of 401</w:t>
            </w:r>
            <w:r w:rsidRPr="00492354">
              <w:t>kWh</w:t>
            </w:r>
            <w:r>
              <w:t xml:space="preserve"> to 800</w:t>
            </w:r>
            <w:r w:rsidRPr="00492354">
              <w:t>kWh</w:t>
            </w:r>
          </w:p>
        </w:tc>
        <w:tc>
          <w:tcPr>
            <w:tcW w:w="2930" w:type="dxa"/>
            <w:shd w:val="clear" w:color="auto" w:fill="D9D9D9" w:themeFill="background1" w:themeFillShade="D9"/>
          </w:tcPr>
          <w:p w14:paraId="2F6E9A8C" w14:textId="77777777" w:rsidR="003C111F" w:rsidRDefault="003C111F" w:rsidP="008C6722">
            <w:pPr>
              <w:pStyle w:val="TableText"/>
              <w:jc w:val="center"/>
            </w:pPr>
            <w:r>
              <w:t xml:space="preserve">94 </w:t>
            </w:r>
            <w:r w:rsidRPr="007421BF">
              <w:t>FCFA/kWh</w:t>
            </w:r>
          </w:p>
        </w:tc>
      </w:tr>
      <w:tr w:rsidR="003C111F" w14:paraId="522DD421" w14:textId="77777777" w:rsidTr="008C6722">
        <w:trPr>
          <w:cnfStyle w:val="000000100000" w:firstRow="0" w:lastRow="0" w:firstColumn="0" w:lastColumn="0" w:oddVBand="0" w:evenVBand="0" w:oddHBand="1" w:evenHBand="0" w:firstRowFirstColumn="0" w:firstRowLastColumn="0" w:lastRowFirstColumn="0" w:lastRowLastColumn="0"/>
        </w:trPr>
        <w:tc>
          <w:tcPr>
            <w:tcW w:w="817" w:type="dxa"/>
            <w:tcBorders>
              <w:top w:val="single" w:sz="18" w:space="0" w:color="FFFFFF"/>
              <w:bottom w:val="single" w:sz="18" w:space="0" w:color="FFFFFF"/>
            </w:tcBorders>
            <w:shd w:val="clear" w:color="auto" w:fill="D9D9D9" w:themeFill="background1" w:themeFillShade="D9"/>
          </w:tcPr>
          <w:p w14:paraId="4505AEA2" w14:textId="77777777" w:rsidR="003C111F" w:rsidRDefault="003C111F" w:rsidP="008C6722">
            <w:pPr>
              <w:pStyle w:val="TableText"/>
              <w:jc w:val="center"/>
            </w:pPr>
            <w:r>
              <w:t>4</w:t>
            </w:r>
          </w:p>
        </w:tc>
        <w:tc>
          <w:tcPr>
            <w:tcW w:w="5041" w:type="dxa"/>
            <w:shd w:val="clear" w:color="auto" w:fill="D9D9D9" w:themeFill="background1" w:themeFillShade="D9"/>
          </w:tcPr>
          <w:p w14:paraId="06095E0A" w14:textId="088CAB9F" w:rsidR="003C111F" w:rsidRDefault="003C111F" w:rsidP="008C6722">
            <w:pPr>
              <w:pStyle w:val="TableText"/>
              <w:jc w:val="center"/>
            </w:pPr>
            <w:r>
              <w:t>Consumption higher than 801</w:t>
            </w:r>
            <w:r w:rsidRPr="000E4BE2">
              <w:t>kWh</w:t>
            </w:r>
          </w:p>
        </w:tc>
        <w:tc>
          <w:tcPr>
            <w:tcW w:w="2930" w:type="dxa"/>
            <w:shd w:val="clear" w:color="auto" w:fill="D9D9D9" w:themeFill="background1" w:themeFillShade="D9"/>
          </w:tcPr>
          <w:p w14:paraId="3069494D" w14:textId="77777777" w:rsidR="003C111F" w:rsidRDefault="003C111F" w:rsidP="008C6722">
            <w:pPr>
              <w:pStyle w:val="TableText"/>
              <w:jc w:val="center"/>
            </w:pPr>
            <w:r>
              <w:t xml:space="preserve">99 </w:t>
            </w:r>
            <w:r w:rsidRPr="007421BF">
              <w:t>FCFA/kWh</w:t>
            </w:r>
          </w:p>
        </w:tc>
      </w:tr>
      <w:tr w:rsidR="003C111F" w14:paraId="2007BE5E" w14:textId="77777777" w:rsidTr="008C6722">
        <w:trPr>
          <w:cnfStyle w:val="000000010000" w:firstRow="0" w:lastRow="0" w:firstColumn="0" w:lastColumn="0" w:oddVBand="0" w:evenVBand="0" w:oddHBand="0" w:evenHBand="1" w:firstRowFirstColumn="0" w:firstRowLastColumn="0" w:lastRowFirstColumn="0" w:lastRowLastColumn="0"/>
        </w:trPr>
        <w:tc>
          <w:tcPr>
            <w:tcW w:w="8788" w:type="dxa"/>
            <w:gridSpan w:val="3"/>
            <w:tcBorders>
              <w:top w:val="single" w:sz="18" w:space="0" w:color="FFFFFF"/>
              <w:bottom w:val="single" w:sz="18" w:space="0" w:color="FFFFFF"/>
            </w:tcBorders>
            <w:shd w:val="clear" w:color="auto" w:fill="002060"/>
            <w:noWrap/>
          </w:tcPr>
          <w:p w14:paraId="432FE8EE" w14:textId="438753BD" w:rsidR="003C111F" w:rsidRPr="00D6329B" w:rsidRDefault="003C111F" w:rsidP="008C6722">
            <w:pPr>
              <w:pStyle w:val="TableText"/>
              <w:jc w:val="center"/>
              <w:rPr>
                <w:b/>
              </w:rPr>
            </w:pPr>
            <w:r w:rsidRPr="00D6329B">
              <w:rPr>
                <w:b/>
              </w:rPr>
              <w:t>Other subscribers</w:t>
            </w:r>
          </w:p>
        </w:tc>
      </w:tr>
      <w:tr w:rsidR="003C111F" w14:paraId="012899EF" w14:textId="77777777" w:rsidTr="008C6722">
        <w:trPr>
          <w:cnfStyle w:val="000000100000" w:firstRow="0" w:lastRow="0" w:firstColumn="0" w:lastColumn="0" w:oddVBand="0" w:evenVBand="0" w:oddHBand="1" w:evenHBand="0" w:firstRowFirstColumn="0" w:firstRowLastColumn="0" w:lastRowFirstColumn="0" w:lastRowLastColumn="0"/>
        </w:trPr>
        <w:tc>
          <w:tcPr>
            <w:tcW w:w="817" w:type="dxa"/>
            <w:tcBorders>
              <w:top w:val="single" w:sz="18" w:space="0" w:color="FFFFFF"/>
              <w:bottom w:val="single" w:sz="18" w:space="0" w:color="FFFFFF"/>
            </w:tcBorders>
            <w:shd w:val="clear" w:color="auto" w:fill="D9D9D9" w:themeFill="background1" w:themeFillShade="D9"/>
            <w:noWrap/>
          </w:tcPr>
          <w:p w14:paraId="641ECFB2" w14:textId="77777777" w:rsidR="003C111F" w:rsidRDefault="003C111F" w:rsidP="008C6722">
            <w:pPr>
              <w:pStyle w:val="TableText"/>
              <w:jc w:val="center"/>
            </w:pPr>
          </w:p>
        </w:tc>
        <w:tc>
          <w:tcPr>
            <w:tcW w:w="5041" w:type="dxa"/>
            <w:shd w:val="clear" w:color="auto" w:fill="D9D9D9" w:themeFill="background1" w:themeFillShade="D9"/>
            <w:noWrap/>
          </w:tcPr>
          <w:p w14:paraId="0D12DEAC" w14:textId="1BD2144A" w:rsidR="003C111F" w:rsidRDefault="003C111F" w:rsidP="008C6722">
            <w:pPr>
              <w:pStyle w:val="TableText"/>
              <w:jc w:val="center"/>
            </w:pPr>
            <w:r w:rsidRPr="00150E43">
              <w:t>monthly consumption</w:t>
            </w:r>
            <w:r>
              <w:t xml:space="preserve"> instal</w:t>
            </w:r>
            <w:r w:rsidR="00F20B7D">
              <w:t>l</w:t>
            </w:r>
            <w:r>
              <w:t>ment</w:t>
            </w:r>
          </w:p>
        </w:tc>
        <w:tc>
          <w:tcPr>
            <w:tcW w:w="2930" w:type="dxa"/>
            <w:shd w:val="clear" w:color="auto" w:fill="D9D9D9" w:themeFill="background1" w:themeFillShade="D9"/>
            <w:noWrap/>
          </w:tcPr>
          <w:p w14:paraId="27F51B64" w14:textId="04C16785" w:rsidR="003C111F" w:rsidRDefault="003C111F" w:rsidP="008C6722">
            <w:pPr>
              <w:pStyle w:val="TableText"/>
              <w:jc w:val="center"/>
            </w:pPr>
            <w:r>
              <w:t>Tariffs</w:t>
            </w:r>
          </w:p>
        </w:tc>
      </w:tr>
      <w:tr w:rsidR="003C111F" w14:paraId="4F527EA4" w14:textId="77777777" w:rsidTr="008C6722">
        <w:trPr>
          <w:cnfStyle w:val="000000010000" w:firstRow="0" w:lastRow="0" w:firstColumn="0" w:lastColumn="0" w:oddVBand="0" w:evenVBand="0" w:oddHBand="0" w:evenHBand="1" w:firstRowFirstColumn="0" w:firstRowLastColumn="0" w:lastRowFirstColumn="0" w:lastRowLastColumn="0"/>
        </w:trPr>
        <w:tc>
          <w:tcPr>
            <w:tcW w:w="817" w:type="dxa"/>
            <w:tcBorders>
              <w:top w:val="single" w:sz="18" w:space="0" w:color="FFFFFF"/>
              <w:bottom w:val="single" w:sz="18" w:space="0" w:color="FFFFFF"/>
            </w:tcBorders>
            <w:shd w:val="clear" w:color="auto" w:fill="D9D9D9" w:themeFill="background1" w:themeFillShade="D9"/>
            <w:noWrap/>
          </w:tcPr>
          <w:p w14:paraId="0DA607B2" w14:textId="77777777" w:rsidR="003C111F" w:rsidRDefault="003C111F" w:rsidP="008C6722">
            <w:pPr>
              <w:pStyle w:val="TableText"/>
              <w:jc w:val="center"/>
            </w:pPr>
            <w:r>
              <w:t>1</w:t>
            </w:r>
          </w:p>
        </w:tc>
        <w:tc>
          <w:tcPr>
            <w:tcW w:w="5041" w:type="dxa"/>
            <w:shd w:val="clear" w:color="auto" w:fill="D9D9D9" w:themeFill="background1" w:themeFillShade="D9"/>
            <w:noWrap/>
          </w:tcPr>
          <w:p w14:paraId="3581EF0A" w14:textId="07FF7061" w:rsidR="003C111F" w:rsidRDefault="003C111F" w:rsidP="008C6722">
            <w:pPr>
              <w:pStyle w:val="TableText"/>
              <w:jc w:val="center"/>
            </w:pPr>
            <w:r>
              <w:t xml:space="preserve">Consumption </w:t>
            </w:r>
            <w:r w:rsidRPr="0088514B">
              <w:t>less than or equal to</w:t>
            </w:r>
            <w:r>
              <w:t>110</w:t>
            </w:r>
            <w:r w:rsidRPr="00492354">
              <w:t>kWh</w:t>
            </w:r>
          </w:p>
        </w:tc>
        <w:tc>
          <w:tcPr>
            <w:tcW w:w="2930" w:type="dxa"/>
            <w:shd w:val="clear" w:color="auto" w:fill="D9D9D9" w:themeFill="background1" w:themeFillShade="D9"/>
            <w:noWrap/>
          </w:tcPr>
          <w:p w14:paraId="54BC1A87" w14:textId="77777777" w:rsidR="003C111F" w:rsidRDefault="003C111F" w:rsidP="008C6722">
            <w:pPr>
              <w:pStyle w:val="TableText"/>
              <w:jc w:val="center"/>
            </w:pPr>
            <w:r>
              <w:t>84 FCFA/kWh</w:t>
            </w:r>
          </w:p>
        </w:tc>
      </w:tr>
      <w:tr w:rsidR="003C111F" w14:paraId="3B1CD09E" w14:textId="77777777" w:rsidTr="008C6722">
        <w:trPr>
          <w:cnfStyle w:val="000000100000" w:firstRow="0" w:lastRow="0" w:firstColumn="0" w:lastColumn="0" w:oddVBand="0" w:evenVBand="0" w:oddHBand="1" w:evenHBand="0" w:firstRowFirstColumn="0" w:firstRowLastColumn="0" w:lastRowFirstColumn="0" w:lastRowLastColumn="0"/>
        </w:trPr>
        <w:tc>
          <w:tcPr>
            <w:tcW w:w="817" w:type="dxa"/>
            <w:tcBorders>
              <w:top w:val="single" w:sz="18" w:space="0" w:color="FFFFFF"/>
              <w:bottom w:val="single" w:sz="18" w:space="0" w:color="FFFFFF"/>
            </w:tcBorders>
            <w:shd w:val="clear" w:color="auto" w:fill="D9D9D9" w:themeFill="background1" w:themeFillShade="D9"/>
            <w:noWrap/>
          </w:tcPr>
          <w:p w14:paraId="2AD12C00" w14:textId="77777777" w:rsidR="003C111F" w:rsidRDefault="003C111F" w:rsidP="008C6722">
            <w:pPr>
              <w:pStyle w:val="TableText"/>
              <w:jc w:val="center"/>
            </w:pPr>
            <w:r>
              <w:t>2</w:t>
            </w:r>
          </w:p>
        </w:tc>
        <w:tc>
          <w:tcPr>
            <w:tcW w:w="5041" w:type="dxa"/>
            <w:shd w:val="clear" w:color="auto" w:fill="D9D9D9" w:themeFill="background1" w:themeFillShade="D9"/>
            <w:noWrap/>
          </w:tcPr>
          <w:p w14:paraId="3591CE59" w14:textId="418CD7F6" w:rsidR="003C111F" w:rsidRDefault="003C111F" w:rsidP="008C6722">
            <w:pPr>
              <w:pStyle w:val="TableText"/>
              <w:jc w:val="center"/>
            </w:pPr>
            <w:r>
              <w:t>Consumption of 111</w:t>
            </w:r>
            <w:r w:rsidRPr="00492354">
              <w:t>kWh</w:t>
            </w:r>
            <w:r>
              <w:t xml:space="preserve"> to 400</w:t>
            </w:r>
            <w:r w:rsidRPr="00492354">
              <w:t>kWh</w:t>
            </w:r>
          </w:p>
        </w:tc>
        <w:tc>
          <w:tcPr>
            <w:tcW w:w="2930" w:type="dxa"/>
            <w:shd w:val="clear" w:color="auto" w:fill="D9D9D9" w:themeFill="background1" w:themeFillShade="D9"/>
            <w:noWrap/>
          </w:tcPr>
          <w:p w14:paraId="35A5F7B6" w14:textId="77777777" w:rsidR="003C111F" w:rsidRDefault="003C111F" w:rsidP="008C6722">
            <w:pPr>
              <w:pStyle w:val="TableText"/>
              <w:jc w:val="center"/>
            </w:pPr>
            <w:r>
              <w:t xml:space="preserve">92 </w:t>
            </w:r>
            <w:r w:rsidRPr="007421BF">
              <w:t>FCFA/kWh</w:t>
            </w:r>
          </w:p>
        </w:tc>
      </w:tr>
      <w:tr w:rsidR="003C111F" w14:paraId="3D678ACC" w14:textId="77777777" w:rsidTr="008C6722">
        <w:trPr>
          <w:cnfStyle w:val="000000010000" w:firstRow="0" w:lastRow="0" w:firstColumn="0" w:lastColumn="0" w:oddVBand="0" w:evenVBand="0" w:oddHBand="0" w:evenHBand="1" w:firstRowFirstColumn="0" w:firstRowLastColumn="0" w:lastRowFirstColumn="0" w:lastRowLastColumn="0"/>
        </w:trPr>
        <w:tc>
          <w:tcPr>
            <w:tcW w:w="817" w:type="dxa"/>
            <w:tcBorders>
              <w:top w:val="single" w:sz="18" w:space="0" w:color="FFFFFF"/>
              <w:bottom w:val="single" w:sz="4" w:space="0" w:color="auto"/>
            </w:tcBorders>
            <w:shd w:val="clear" w:color="auto" w:fill="D9D9D9" w:themeFill="background1" w:themeFillShade="D9"/>
            <w:noWrap/>
          </w:tcPr>
          <w:p w14:paraId="5B7C0C85" w14:textId="77777777" w:rsidR="003C111F" w:rsidRDefault="003C111F" w:rsidP="008C6722">
            <w:pPr>
              <w:pStyle w:val="TableText"/>
              <w:jc w:val="center"/>
            </w:pPr>
            <w:r>
              <w:t>3</w:t>
            </w:r>
          </w:p>
        </w:tc>
        <w:tc>
          <w:tcPr>
            <w:tcW w:w="5041" w:type="dxa"/>
            <w:shd w:val="clear" w:color="auto" w:fill="D9D9D9" w:themeFill="background1" w:themeFillShade="D9"/>
            <w:noWrap/>
          </w:tcPr>
          <w:p w14:paraId="40F94353" w14:textId="3ED9D334" w:rsidR="003C111F" w:rsidRDefault="003C111F" w:rsidP="008C6722">
            <w:pPr>
              <w:pStyle w:val="TableText"/>
              <w:jc w:val="center"/>
            </w:pPr>
            <w:r>
              <w:t>Consumption higher than 401</w:t>
            </w:r>
            <w:r w:rsidRPr="00ED1F61">
              <w:t>kWh</w:t>
            </w:r>
          </w:p>
        </w:tc>
        <w:tc>
          <w:tcPr>
            <w:tcW w:w="2930" w:type="dxa"/>
            <w:shd w:val="clear" w:color="auto" w:fill="D9D9D9" w:themeFill="background1" w:themeFillShade="D9"/>
            <w:noWrap/>
          </w:tcPr>
          <w:p w14:paraId="3598AE68" w14:textId="77777777" w:rsidR="003C111F" w:rsidRDefault="003C111F" w:rsidP="008C6722">
            <w:pPr>
              <w:pStyle w:val="TableText"/>
              <w:jc w:val="center"/>
            </w:pPr>
            <w:r w:rsidRPr="00ED1F61">
              <w:t>99 FCFA/kWh</w:t>
            </w:r>
          </w:p>
        </w:tc>
      </w:tr>
    </w:tbl>
    <w:p w14:paraId="0D8BB3B5" w14:textId="708BFD60" w:rsidR="003C111F" w:rsidRDefault="003C111F">
      <w:pPr>
        <w:pStyle w:val="SourceNoteText"/>
        <w:keepNext/>
      </w:pPr>
      <w:r>
        <w:t>Source:</w:t>
      </w:r>
      <w:r>
        <w:tab/>
        <w:t>Decision no.00000096/ARSEL/DG/DCEC/SDTC dated 28 May 2012</w:t>
      </w:r>
    </w:p>
    <w:p w14:paraId="2142D9D8" w14:textId="77777777" w:rsidR="003C111F" w:rsidRDefault="003C111F">
      <w:pPr>
        <w:pStyle w:val="TableorFigureEnd"/>
      </w:pPr>
    </w:p>
    <w:p w14:paraId="78CEB70D" w14:textId="349063F2" w:rsidR="00425B17" w:rsidRDefault="00425B17" w:rsidP="00425B17">
      <w:pPr>
        <w:pStyle w:val="BodyText"/>
      </w:pPr>
      <w:r>
        <w:t xml:space="preserve">AES SONEL and ENEO have presented requests for revising the tariff to the Regulator. </w:t>
      </w:r>
      <w:r w:rsidR="00FA6B28">
        <w:t>T</w:t>
      </w:r>
      <w:r>
        <w:t xml:space="preserve">he </w:t>
      </w:r>
      <w:r w:rsidR="003C111F">
        <w:t>G</w:t>
      </w:r>
      <w:r>
        <w:t xml:space="preserve">overnment </w:t>
      </w:r>
      <w:r w:rsidR="00FA6B28">
        <w:t xml:space="preserve">has </w:t>
      </w:r>
      <w:r>
        <w:t xml:space="preserve">decided to compensate the concessionaire for the amount of the approved increase instead of revising the tariff. Compensations paid in this respect are as follows: </w:t>
      </w:r>
    </w:p>
    <w:p w14:paraId="1C799681" w14:textId="2D30E4A1" w:rsidR="003C111F" w:rsidRDefault="003C111F" w:rsidP="008C6722">
      <w:pPr>
        <w:pStyle w:val="Caption"/>
        <w:keepNext/>
      </w:pPr>
      <w:bookmarkStart w:id="73" w:name="_Toc432619289"/>
      <w:bookmarkStart w:id="74" w:name="_Toc437034138"/>
      <w:r>
        <w:t xml:space="preserve">Table </w:t>
      </w:r>
      <w:fldSimple w:instr=" STYLEREF 1 \s ">
        <w:r w:rsidR="0079328A">
          <w:rPr>
            <w:noProof/>
          </w:rPr>
          <w:t>3</w:t>
        </w:r>
      </w:fldSimple>
      <w:r>
        <w:t>.</w:t>
      </w:r>
      <w:fldSimple w:instr=" SEQ Table \* ARABIC \s 1 ">
        <w:r w:rsidR="0079328A">
          <w:rPr>
            <w:noProof/>
          </w:rPr>
          <w:t>3</w:t>
        </w:r>
      </w:fldSimple>
      <w:r>
        <w:t xml:space="preserve">: </w:t>
      </w:r>
      <w:bookmarkEnd w:id="73"/>
      <w:r w:rsidR="008521B0">
        <w:t xml:space="preserve">Compensation paid </w:t>
      </w:r>
      <w:r w:rsidR="00934324">
        <w:t xml:space="preserve">by government </w:t>
      </w:r>
      <w:r w:rsidR="008521B0">
        <w:t>to ENEO for not applying revised tariff</w:t>
      </w:r>
      <w:bookmarkEnd w:id="74"/>
    </w:p>
    <w:tbl>
      <w:tblPr>
        <w:tblStyle w:val="TableContemporary"/>
        <w:tblW w:w="0" w:type="auto"/>
        <w:jc w:val="center"/>
        <w:tblLook w:val="04A0" w:firstRow="1" w:lastRow="0" w:firstColumn="1" w:lastColumn="0" w:noHBand="0" w:noVBand="1"/>
      </w:tblPr>
      <w:tblGrid>
        <w:gridCol w:w="817"/>
        <w:gridCol w:w="2467"/>
      </w:tblGrid>
      <w:tr w:rsidR="003C111F" w14:paraId="362FDF60" w14:textId="77777777" w:rsidTr="003C111F">
        <w:trPr>
          <w:cnfStyle w:val="100000000000" w:firstRow="1" w:lastRow="0" w:firstColumn="0" w:lastColumn="0" w:oddVBand="0" w:evenVBand="0" w:oddHBand="0" w:evenHBand="0" w:firstRowFirstColumn="0" w:firstRowLastColumn="0" w:lastRowFirstColumn="0" w:lastRowLastColumn="0"/>
          <w:trHeight w:val="454"/>
          <w:jc w:val="center"/>
        </w:trPr>
        <w:tc>
          <w:tcPr>
            <w:tcW w:w="817" w:type="dxa"/>
            <w:shd w:val="clear" w:color="auto" w:fill="17365D" w:themeFill="text2" w:themeFillShade="BF"/>
            <w:noWrap/>
          </w:tcPr>
          <w:p w14:paraId="64F0C223" w14:textId="6FD8B004" w:rsidR="003C111F" w:rsidRDefault="003C111F" w:rsidP="003C111F">
            <w:pPr>
              <w:pStyle w:val="TableText"/>
              <w:jc w:val="center"/>
            </w:pPr>
            <w:r>
              <w:t>Year</w:t>
            </w:r>
          </w:p>
        </w:tc>
        <w:tc>
          <w:tcPr>
            <w:tcW w:w="2467" w:type="dxa"/>
            <w:shd w:val="clear" w:color="auto" w:fill="17365D" w:themeFill="text2" w:themeFillShade="BF"/>
          </w:tcPr>
          <w:p w14:paraId="0354A0F2" w14:textId="77777777" w:rsidR="003C111F" w:rsidRDefault="003C111F" w:rsidP="003C111F">
            <w:pPr>
              <w:pStyle w:val="TableText"/>
              <w:jc w:val="center"/>
            </w:pPr>
            <w:r>
              <w:t>Compensation amount</w:t>
            </w:r>
          </w:p>
          <w:p w14:paraId="60AF0A6D" w14:textId="77777777" w:rsidR="003C111F" w:rsidRDefault="003C111F" w:rsidP="003C111F">
            <w:pPr>
              <w:pStyle w:val="TableText"/>
              <w:jc w:val="center"/>
            </w:pPr>
            <w:r>
              <w:t>(Billion XOF)</w:t>
            </w:r>
          </w:p>
        </w:tc>
      </w:tr>
      <w:tr w:rsidR="003C111F" w14:paraId="43EF14F0" w14:textId="77777777" w:rsidTr="003C111F">
        <w:trPr>
          <w:cnfStyle w:val="000000100000" w:firstRow="0" w:lastRow="0" w:firstColumn="0" w:lastColumn="0" w:oddVBand="0" w:evenVBand="0" w:oddHBand="1" w:evenHBand="0" w:firstRowFirstColumn="0" w:firstRowLastColumn="0" w:lastRowFirstColumn="0" w:lastRowLastColumn="0"/>
          <w:trHeight w:val="230"/>
          <w:jc w:val="center"/>
        </w:trPr>
        <w:tc>
          <w:tcPr>
            <w:tcW w:w="817" w:type="dxa"/>
            <w:shd w:val="clear" w:color="auto" w:fill="D9D9D9" w:themeFill="background1" w:themeFillShade="D9"/>
            <w:noWrap/>
          </w:tcPr>
          <w:p w14:paraId="6599464E" w14:textId="77777777" w:rsidR="003C111F" w:rsidRDefault="003C111F" w:rsidP="003C111F">
            <w:pPr>
              <w:pStyle w:val="TableText"/>
              <w:jc w:val="center"/>
            </w:pPr>
            <w:r>
              <w:t>2010</w:t>
            </w:r>
          </w:p>
        </w:tc>
        <w:tc>
          <w:tcPr>
            <w:tcW w:w="2467" w:type="dxa"/>
            <w:shd w:val="clear" w:color="auto" w:fill="D9D9D9" w:themeFill="background1" w:themeFillShade="D9"/>
          </w:tcPr>
          <w:p w14:paraId="442B15C6" w14:textId="77777777" w:rsidR="003C111F" w:rsidRDefault="003C111F" w:rsidP="003C111F">
            <w:pPr>
              <w:pStyle w:val="TableText"/>
              <w:jc w:val="center"/>
            </w:pPr>
            <w:r>
              <w:t>10,109</w:t>
            </w:r>
          </w:p>
        </w:tc>
      </w:tr>
      <w:tr w:rsidR="003C111F" w14:paraId="1F8F5531" w14:textId="77777777" w:rsidTr="003C111F">
        <w:trPr>
          <w:cnfStyle w:val="000000010000" w:firstRow="0" w:lastRow="0" w:firstColumn="0" w:lastColumn="0" w:oddVBand="0" w:evenVBand="0" w:oddHBand="0" w:evenHBand="1" w:firstRowFirstColumn="0" w:firstRowLastColumn="0" w:lastRowFirstColumn="0" w:lastRowLastColumn="0"/>
          <w:trHeight w:val="230"/>
          <w:jc w:val="center"/>
        </w:trPr>
        <w:tc>
          <w:tcPr>
            <w:tcW w:w="817" w:type="dxa"/>
            <w:shd w:val="clear" w:color="auto" w:fill="D9D9D9" w:themeFill="background1" w:themeFillShade="D9"/>
            <w:noWrap/>
          </w:tcPr>
          <w:p w14:paraId="46030405" w14:textId="77777777" w:rsidR="003C111F" w:rsidRDefault="003C111F" w:rsidP="003C111F">
            <w:pPr>
              <w:pStyle w:val="TableText"/>
              <w:jc w:val="center"/>
            </w:pPr>
            <w:r>
              <w:t>2011</w:t>
            </w:r>
          </w:p>
        </w:tc>
        <w:tc>
          <w:tcPr>
            <w:tcW w:w="2467" w:type="dxa"/>
            <w:shd w:val="clear" w:color="auto" w:fill="D9D9D9" w:themeFill="background1" w:themeFillShade="D9"/>
          </w:tcPr>
          <w:p w14:paraId="7CBDFC92" w14:textId="77777777" w:rsidR="003C111F" w:rsidRDefault="003C111F" w:rsidP="003C111F">
            <w:pPr>
              <w:pStyle w:val="TableText"/>
              <w:jc w:val="center"/>
            </w:pPr>
            <w:r>
              <w:t>18,258</w:t>
            </w:r>
          </w:p>
        </w:tc>
      </w:tr>
      <w:tr w:rsidR="003C111F" w14:paraId="50BC3CB9" w14:textId="77777777" w:rsidTr="003C111F">
        <w:trPr>
          <w:cnfStyle w:val="000000100000" w:firstRow="0" w:lastRow="0" w:firstColumn="0" w:lastColumn="0" w:oddVBand="0" w:evenVBand="0" w:oddHBand="1" w:evenHBand="0" w:firstRowFirstColumn="0" w:firstRowLastColumn="0" w:lastRowFirstColumn="0" w:lastRowLastColumn="0"/>
          <w:trHeight w:val="230"/>
          <w:jc w:val="center"/>
        </w:trPr>
        <w:tc>
          <w:tcPr>
            <w:tcW w:w="817" w:type="dxa"/>
            <w:shd w:val="clear" w:color="auto" w:fill="D9D9D9" w:themeFill="background1" w:themeFillShade="D9"/>
            <w:noWrap/>
          </w:tcPr>
          <w:p w14:paraId="58C3FEB5" w14:textId="77777777" w:rsidR="003C111F" w:rsidRDefault="003C111F" w:rsidP="003C111F">
            <w:pPr>
              <w:pStyle w:val="TableText"/>
              <w:jc w:val="center"/>
            </w:pPr>
            <w:r>
              <w:t>2012</w:t>
            </w:r>
          </w:p>
        </w:tc>
        <w:tc>
          <w:tcPr>
            <w:tcW w:w="2467" w:type="dxa"/>
            <w:shd w:val="clear" w:color="auto" w:fill="D9D9D9" w:themeFill="background1" w:themeFillShade="D9"/>
          </w:tcPr>
          <w:p w14:paraId="720F51A6" w14:textId="77777777" w:rsidR="003C111F" w:rsidRDefault="003C111F" w:rsidP="003C111F">
            <w:pPr>
              <w:pStyle w:val="TableText"/>
              <w:jc w:val="center"/>
            </w:pPr>
            <w:r>
              <w:t>8,612</w:t>
            </w:r>
          </w:p>
        </w:tc>
      </w:tr>
      <w:tr w:rsidR="003C111F" w14:paraId="0C0E8B9D" w14:textId="77777777" w:rsidTr="003C111F">
        <w:trPr>
          <w:cnfStyle w:val="000000010000" w:firstRow="0" w:lastRow="0" w:firstColumn="0" w:lastColumn="0" w:oddVBand="0" w:evenVBand="0" w:oddHBand="0" w:evenHBand="1" w:firstRowFirstColumn="0" w:firstRowLastColumn="0" w:lastRowFirstColumn="0" w:lastRowLastColumn="0"/>
          <w:trHeight w:val="230"/>
          <w:jc w:val="center"/>
        </w:trPr>
        <w:tc>
          <w:tcPr>
            <w:tcW w:w="817" w:type="dxa"/>
            <w:shd w:val="clear" w:color="auto" w:fill="D9D9D9" w:themeFill="background1" w:themeFillShade="D9"/>
            <w:noWrap/>
          </w:tcPr>
          <w:p w14:paraId="607262F1" w14:textId="77777777" w:rsidR="003C111F" w:rsidRDefault="003C111F" w:rsidP="003C111F">
            <w:pPr>
              <w:pStyle w:val="TableText"/>
              <w:jc w:val="center"/>
            </w:pPr>
            <w:r>
              <w:t>2013</w:t>
            </w:r>
          </w:p>
        </w:tc>
        <w:tc>
          <w:tcPr>
            <w:tcW w:w="2467" w:type="dxa"/>
            <w:shd w:val="clear" w:color="auto" w:fill="D9D9D9" w:themeFill="background1" w:themeFillShade="D9"/>
          </w:tcPr>
          <w:p w14:paraId="1F4A9A4F" w14:textId="47848625" w:rsidR="003C111F" w:rsidRDefault="00390E2D" w:rsidP="003C111F">
            <w:pPr>
              <w:pStyle w:val="TableText"/>
              <w:jc w:val="center"/>
            </w:pPr>
            <w:r>
              <w:t>0</w:t>
            </w:r>
          </w:p>
        </w:tc>
      </w:tr>
      <w:tr w:rsidR="003C111F" w14:paraId="7FF85A3F" w14:textId="77777777" w:rsidTr="003C111F">
        <w:trPr>
          <w:cnfStyle w:val="000000100000" w:firstRow="0" w:lastRow="0" w:firstColumn="0" w:lastColumn="0" w:oddVBand="0" w:evenVBand="0" w:oddHBand="1" w:evenHBand="0" w:firstRowFirstColumn="0" w:firstRowLastColumn="0" w:lastRowFirstColumn="0" w:lastRowLastColumn="0"/>
          <w:trHeight w:val="230"/>
          <w:jc w:val="center"/>
        </w:trPr>
        <w:tc>
          <w:tcPr>
            <w:tcW w:w="817" w:type="dxa"/>
            <w:shd w:val="clear" w:color="auto" w:fill="D9D9D9" w:themeFill="background1" w:themeFillShade="D9"/>
            <w:noWrap/>
          </w:tcPr>
          <w:p w14:paraId="250EC161" w14:textId="77777777" w:rsidR="003C111F" w:rsidRDefault="003C111F" w:rsidP="003C111F">
            <w:pPr>
              <w:pStyle w:val="TableText"/>
              <w:jc w:val="center"/>
            </w:pPr>
            <w:r>
              <w:t>2014</w:t>
            </w:r>
          </w:p>
        </w:tc>
        <w:tc>
          <w:tcPr>
            <w:tcW w:w="2467" w:type="dxa"/>
            <w:shd w:val="clear" w:color="auto" w:fill="D9D9D9" w:themeFill="background1" w:themeFillShade="D9"/>
          </w:tcPr>
          <w:p w14:paraId="421D7AAF" w14:textId="77777777" w:rsidR="003C111F" w:rsidRDefault="003C111F" w:rsidP="003C111F">
            <w:pPr>
              <w:pStyle w:val="TableText"/>
              <w:jc w:val="center"/>
            </w:pPr>
            <w:r>
              <w:t>17,493</w:t>
            </w:r>
          </w:p>
        </w:tc>
      </w:tr>
      <w:tr w:rsidR="003C111F" w14:paraId="08383868" w14:textId="77777777" w:rsidTr="003C111F">
        <w:trPr>
          <w:cnfStyle w:val="000000010000" w:firstRow="0" w:lastRow="0" w:firstColumn="0" w:lastColumn="0" w:oddVBand="0" w:evenVBand="0" w:oddHBand="0" w:evenHBand="1" w:firstRowFirstColumn="0" w:firstRowLastColumn="0" w:lastRowFirstColumn="0" w:lastRowLastColumn="0"/>
          <w:trHeight w:val="223"/>
          <w:jc w:val="center"/>
        </w:trPr>
        <w:tc>
          <w:tcPr>
            <w:tcW w:w="817" w:type="dxa"/>
            <w:noWrap/>
          </w:tcPr>
          <w:p w14:paraId="75AB1872" w14:textId="77777777" w:rsidR="003C111F" w:rsidRPr="00D6329B" w:rsidRDefault="003C111F" w:rsidP="003C111F">
            <w:pPr>
              <w:pStyle w:val="TableText"/>
              <w:jc w:val="center"/>
            </w:pPr>
            <w:r w:rsidRPr="00D6329B">
              <w:t>Total</w:t>
            </w:r>
          </w:p>
        </w:tc>
        <w:tc>
          <w:tcPr>
            <w:tcW w:w="2467" w:type="dxa"/>
          </w:tcPr>
          <w:p w14:paraId="3FD5CD78" w14:textId="77777777" w:rsidR="003C111F" w:rsidRPr="00D6329B" w:rsidRDefault="003C111F" w:rsidP="003C111F">
            <w:pPr>
              <w:pStyle w:val="TableText"/>
              <w:jc w:val="center"/>
            </w:pPr>
            <w:r w:rsidRPr="00D6329B">
              <w:t>54,472</w:t>
            </w:r>
          </w:p>
        </w:tc>
      </w:tr>
    </w:tbl>
    <w:p w14:paraId="444ED92B" w14:textId="766B1614" w:rsidR="003C111F" w:rsidRDefault="003C111F">
      <w:pPr>
        <w:pStyle w:val="SourceNoteText"/>
        <w:keepNext/>
      </w:pPr>
      <w:r>
        <w:lastRenderedPageBreak/>
        <w:t>Source:</w:t>
      </w:r>
      <w:r>
        <w:tab/>
      </w:r>
      <w:r w:rsidR="008521B0">
        <w:t>ARSEL</w:t>
      </w:r>
      <w:r>
        <w:t xml:space="preserve"> </w:t>
      </w:r>
    </w:p>
    <w:p w14:paraId="1FEE2183" w14:textId="77777777" w:rsidR="003C111F" w:rsidRDefault="003C111F">
      <w:pPr>
        <w:pStyle w:val="TableorFigureEnd"/>
      </w:pPr>
    </w:p>
    <w:p w14:paraId="141C631F" w14:textId="77777777" w:rsidR="000301E0" w:rsidRDefault="000301E0" w:rsidP="000301E0">
      <w:pPr>
        <w:pStyle w:val="Heading1"/>
      </w:pPr>
      <w:bookmarkStart w:id="75" w:name="_Toc428279280"/>
      <w:bookmarkStart w:id="76" w:name="_Toc428378325"/>
      <w:bookmarkStart w:id="77" w:name="_Toc432608953"/>
      <w:bookmarkStart w:id="78" w:name="_Toc432619303"/>
      <w:bookmarkStart w:id="79" w:name="_Ref437033090"/>
      <w:bookmarkStart w:id="80" w:name="_Toc437034126"/>
      <w:r>
        <w:t>Assessment of Concession</w:t>
      </w:r>
      <w:bookmarkEnd w:id="75"/>
      <w:bookmarkEnd w:id="76"/>
      <w:bookmarkEnd w:id="77"/>
      <w:bookmarkEnd w:id="78"/>
      <w:bookmarkEnd w:id="79"/>
      <w:bookmarkEnd w:id="80"/>
    </w:p>
    <w:p w14:paraId="20136B17" w14:textId="77777777" w:rsidR="000301E0" w:rsidRDefault="000301E0" w:rsidP="000301E0">
      <w:pPr>
        <w:pStyle w:val="Heading2"/>
      </w:pPr>
      <w:bookmarkStart w:id="81" w:name="_Toc428279281"/>
      <w:bookmarkStart w:id="82" w:name="_Toc428378326"/>
      <w:bookmarkStart w:id="83" w:name="_Toc432608954"/>
      <w:bookmarkStart w:id="84" w:name="_Toc432619304"/>
      <w:bookmarkStart w:id="85" w:name="_Toc437034127"/>
      <w:r>
        <w:t>Evaluating Success of Concession</w:t>
      </w:r>
      <w:bookmarkEnd w:id="81"/>
      <w:bookmarkEnd w:id="82"/>
      <w:bookmarkEnd w:id="83"/>
      <w:bookmarkEnd w:id="84"/>
      <w:bookmarkEnd w:id="85"/>
      <w:r>
        <w:t xml:space="preserve"> </w:t>
      </w:r>
    </w:p>
    <w:p w14:paraId="24000821" w14:textId="053B0663" w:rsidR="000301E0" w:rsidRDefault="000301E0" w:rsidP="000301E0">
      <w:pPr>
        <w:pStyle w:val="ListBullet"/>
        <w:numPr>
          <w:ilvl w:val="0"/>
          <w:numId w:val="0"/>
        </w:numPr>
      </w:pPr>
      <w:r>
        <w:t xml:space="preserve">The </w:t>
      </w:r>
      <w:r w:rsidR="00451A97">
        <w:t xml:space="preserve">ENEO </w:t>
      </w:r>
      <w:r>
        <w:t xml:space="preserve">concession </w:t>
      </w:r>
      <w:r w:rsidR="00451A97">
        <w:t>has been considered relatively</w:t>
      </w:r>
      <w:r>
        <w:t xml:space="preserve"> successful</w:t>
      </w:r>
      <w:r w:rsidR="00451A97">
        <w:t xml:space="preserve"> in terms of increasing access in Cameroon, improving service quality</w:t>
      </w:r>
      <w:r w:rsidR="00F20B7D">
        <w:t>,</w:t>
      </w:r>
      <w:r w:rsidR="00451A97">
        <w:t xml:space="preserve"> and making the utility financially sustainable. </w:t>
      </w:r>
    </w:p>
    <w:p w14:paraId="3044AB5D" w14:textId="77777777" w:rsidR="000301E0" w:rsidRDefault="000301E0" w:rsidP="000301E0">
      <w:pPr>
        <w:pStyle w:val="Heading3"/>
      </w:pPr>
      <w:bookmarkStart w:id="86" w:name="_Toc432608955"/>
      <w:bookmarkStart w:id="87" w:name="_Toc432619305"/>
      <w:bookmarkStart w:id="88" w:name="_Toc437034128"/>
      <w:r w:rsidRPr="00CA322D">
        <w:t>Access</w:t>
      </w:r>
      <w:bookmarkEnd w:id="86"/>
      <w:bookmarkEnd w:id="87"/>
      <w:bookmarkEnd w:id="88"/>
    </w:p>
    <w:p w14:paraId="5F00A156" w14:textId="79B73797" w:rsidR="00CB5216" w:rsidRDefault="00CB5216" w:rsidP="00401A51">
      <w:pPr>
        <w:pStyle w:val="BodyText"/>
      </w:pPr>
      <w:r>
        <w:t xml:space="preserve">Since 2001, ENEO has extended around 570,000 household connections since 2001. 190,000 of these connections are with rural households. </w:t>
      </w:r>
    </w:p>
    <w:p w14:paraId="13A57023" w14:textId="3D25D8A7" w:rsidR="00002D1F" w:rsidRDefault="00451A97" w:rsidP="00401A51">
      <w:pPr>
        <w:pStyle w:val="BodyText"/>
      </w:pPr>
      <w:r>
        <w:t xml:space="preserve">When </w:t>
      </w:r>
      <w:r w:rsidR="00401A51">
        <w:t xml:space="preserve">AES SONEL </w:t>
      </w:r>
      <w:r>
        <w:t xml:space="preserve">took over SONEL in 2001, the company </w:t>
      </w:r>
      <w:r w:rsidR="00401A51">
        <w:t>had 427,000 customers.</w:t>
      </w:r>
      <w:r>
        <w:rPr>
          <w:rStyle w:val="FootnoteReference"/>
        </w:rPr>
        <w:footnoteReference w:id="27"/>
      </w:r>
      <w:r w:rsidR="00401A51">
        <w:t xml:space="preserve"> </w:t>
      </w:r>
      <w:r w:rsidR="00A1113C">
        <w:t>The concession agreement obligated AES SONEL to add at least 50,000 connections per year.</w:t>
      </w:r>
      <w:r w:rsidR="00002D1F">
        <w:rPr>
          <w:rStyle w:val="FootnoteReference"/>
        </w:rPr>
        <w:footnoteReference w:id="28"/>
      </w:r>
      <w:r w:rsidR="00A1113C">
        <w:t xml:space="preserve"> However, </w:t>
      </w:r>
      <w:r w:rsidR="00002D1F">
        <w:t>during the first five years, AES SONEL fell short of this obligation, adding only about 20,000 connections per year on average. In 2006, the company nonetheless</w:t>
      </w:r>
      <w:r w:rsidR="00401A51">
        <w:t xml:space="preserve"> expected to “add approximately 750,000 new electricity connections throughout the country by 2021 by adding approximately 50,000 new electricity connections each year over the next 15 years”</w:t>
      </w:r>
      <w:r w:rsidR="00CF7CF8">
        <w:t>.</w:t>
      </w:r>
      <w:r w:rsidR="00401A51">
        <w:rPr>
          <w:rStyle w:val="FootnoteReference"/>
        </w:rPr>
        <w:footnoteReference w:id="29"/>
      </w:r>
      <w:r w:rsidR="009436D0">
        <w:t xml:space="preserve"> </w:t>
      </w:r>
    </w:p>
    <w:p w14:paraId="3E1980F1" w14:textId="21360F4D" w:rsidR="00002D1F" w:rsidRDefault="00401A51" w:rsidP="00401A51">
      <w:pPr>
        <w:pStyle w:val="BodyText"/>
      </w:pPr>
      <w:r>
        <w:t>In 2012, AES SONEL reported having 780,000 customers.</w:t>
      </w:r>
      <w:r>
        <w:rPr>
          <w:rStyle w:val="FootnoteReference"/>
        </w:rPr>
        <w:footnoteReference w:id="30"/>
      </w:r>
      <w:r>
        <w:t xml:space="preserve"> This implies an increase in 353,000 customers between 2001 and 2012. Most new customers were the result of grid densification, as opposed to grid expansion</w:t>
      </w:r>
      <w:r w:rsidR="00002D1F">
        <w:t>.</w:t>
      </w:r>
    </w:p>
    <w:p w14:paraId="3D1C3BBE" w14:textId="358A6115" w:rsidR="00401A51" w:rsidRDefault="00002D1F" w:rsidP="00401A51">
      <w:pPr>
        <w:pStyle w:val="BodyText"/>
      </w:pPr>
      <w:r>
        <w:t xml:space="preserve">ENEO’s most recent official figures list </w:t>
      </w:r>
      <w:r w:rsidR="00401A51">
        <w:t>973,250 customers</w:t>
      </w:r>
      <w:r>
        <w:t>,</w:t>
      </w:r>
      <w:r w:rsidR="00401A51">
        <w:t xml:space="preserve"> of which approximately 45</w:t>
      </w:r>
      <w:r w:rsidR="00E22BA8">
        <w:t xml:space="preserve"> percent</w:t>
      </w:r>
      <w:r w:rsidR="00401A51">
        <w:t xml:space="preserve"> live in the cities of Douala and Yaoundé.</w:t>
      </w:r>
      <w:r>
        <w:t xml:space="preserve"> </w:t>
      </w:r>
      <w:r w:rsidR="007A7601">
        <w:t xml:space="preserve">A </w:t>
      </w:r>
      <w:r>
        <w:t xml:space="preserve">company representative said they expected ENEO to reach 1 million customers by the end of September 2015. </w:t>
      </w:r>
    </w:p>
    <w:p w14:paraId="4DB4D45D" w14:textId="77777777" w:rsidR="000301E0" w:rsidRDefault="000301E0" w:rsidP="000301E0">
      <w:pPr>
        <w:pStyle w:val="Heading3"/>
      </w:pPr>
      <w:bookmarkStart w:id="89" w:name="_Toc432608956"/>
      <w:bookmarkStart w:id="90" w:name="_Toc432619306"/>
      <w:bookmarkStart w:id="91" w:name="_Toc437034129"/>
      <w:r>
        <w:t>Quality of service</w:t>
      </w:r>
      <w:bookmarkEnd w:id="89"/>
      <w:bookmarkEnd w:id="90"/>
      <w:bookmarkEnd w:id="91"/>
    </w:p>
    <w:p w14:paraId="0F21C13C" w14:textId="77777777" w:rsidR="0036290B" w:rsidRDefault="000301E0" w:rsidP="000301E0">
      <w:pPr>
        <w:pStyle w:val="BodyText"/>
      </w:pPr>
      <w:r>
        <w:t xml:space="preserve">The quality of service from the concession </w:t>
      </w:r>
      <w:r w:rsidR="0036290B">
        <w:t xml:space="preserve">has been mixed. </w:t>
      </w:r>
    </w:p>
    <w:p w14:paraId="2D43CDC7" w14:textId="0A617620" w:rsidR="000301E0" w:rsidRDefault="0036290B" w:rsidP="000301E0">
      <w:pPr>
        <w:pStyle w:val="BodyText"/>
      </w:pPr>
      <w:r>
        <w:t>In its first years, the concession did not significantly improve service quality.</w:t>
      </w:r>
      <w:r>
        <w:rPr>
          <w:rStyle w:val="FootnoteReference"/>
        </w:rPr>
        <w:footnoteReference w:id="31"/>
      </w:r>
      <w:r>
        <w:t xml:space="preserve"> </w:t>
      </w:r>
      <w:r w:rsidR="00B77D23">
        <w:t xml:space="preserve">This was partly attributed to a lack of capacity at the sector regulator ARSEL. </w:t>
      </w:r>
    </w:p>
    <w:p w14:paraId="1D3A048A" w14:textId="77777777" w:rsidR="000301E0" w:rsidRDefault="000301E0" w:rsidP="000301E0">
      <w:pPr>
        <w:pStyle w:val="Heading3"/>
      </w:pPr>
      <w:bookmarkStart w:id="92" w:name="_Toc432608957"/>
      <w:bookmarkStart w:id="93" w:name="_Toc432619307"/>
      <w:bookmarkStart w:id="94" w:name="_Toc437034130"/>
      <w:r>
        <w:t>Sustainability</w:t>
      </w:r>
      <w:bookmarkEnd w:id="92"/>
      <w:bookmarkEnd w:id="93"/>
      <w:bookmarkEnd w:id="94"/>
    </w:p>
    <w:p w14:paraId="17547733" w14:textId="77777777" w:rsidR="00B77D23" w:rsidRDefault="00B77D23" w:rsidP="000301E0">
      <w:pPr>
        <w:pStyle w:val="BodyText"/>
      </w:pPr>
      <w:r>
        <w:t xml:space="preserve">In our assessment, the concession is relatively financially sustainable. The 56 percent equity stake in the company has increased in value from US$71 million to US$220 million between 2001 and 2014. </w:t>
      </w:r>
    </w:p>
    <w:p w14:paraId="55CCF347" w14:textId="50E0D925" w:rsidR="000301E0" w:rsidRDefault="00B77D23" w:rsidP="000301E0">
      <w:pPr>
        <w:pStyle w:val="BodyText"/>
      </w:pPr>
      <w:r>
        <w:t xml:space="preserve">The concession has not been recovering its costs since 2010 as a result of the tariff freeze. Instead the Government has been subsidizing the company. However, in our assessment this is due to political reasons rather than economic reasons. </w:t>
      </w:r>
    </w:p>
    <w:p w14:paraId="001764F0" w14:textId="77777777" w:rsidR="000301E0" w:rsidRDefault="000301E0" w:rsidP="000301E0">
      <w:pPr>
        <w:pStyle w:val="Heading2"/>
      </w:pPr>
      <w:bookmarkStart w:id="95" w:name="_Toc428378327"/>
      <w:bookmarkStart w:id="96" w:name="_Toc432608960"/>
      <w:bookmarkStart w:id="97" w:name="_Toc437034131"/>
      <w:bookmarkStart w:id="98" w:name="_Toc432619309"/>
      <w:bookmarkStart w:id="99" w:name="_Toc428279282"/>
      <w:r>
        <w:lastRenderedPageBreak/>
        <w:t>Arrangements that Could Have Delivered Better Results</w:t>
      </w:r>
      <w:bookmarkEnd w:id="95"/>
      <w:bookmarkEnd w:id="96"/>
      <w:bookmarkEnd w:id="97"/>
      <w:r>
        <w:t xml:space="preserve"> </w:t>
      </w:r>
      <w:bookmarkEnd w:id="98"/>
    </w:p>
    <w:p w14:paraId="28025447" w14:textId="0B504ACD" w:rsidR="000301E0" w:rsidRPr="00AE2329" w:rsidRDefault="000301E0" w:rsidP="000301E0">
      <w:pPr>
        <w:pStyle w:val="BodyText"/>
      </w:pPr>
      <w:r>
        <w:t xml:space="preserve">Ex-post, we </w:t>
      </w:r>
      <w:r w:rsidR="00586F0C">
        <w:t>can</w:t>
      </w:r>
      <w:r>
        <w:t xml:space="preserve"> say that alternative arrangements would have delivered better results. We would improve this arrangement by doing the following</w:t>
      </w:r>
      <w:r w:rsidR="00586F0C">
        <w:t>:</w:t>
      </w:r>
      <w:r>
        <w:t xml:space="preserve"> </w:t>
      </w:r>
    </w:p>
    <w:p w14:paraId="1E4D01F1" w14:textId="0FC552E5" w:rsidR="00586F0C" w:rsidRDefault="00E16AFC" w:rsidP="00586F0C">
      <w:pPr>
        <w:pStyle w:val="ListBullet"/>
      </w:pPr>
      <w:bookmarkStart w:id="100" w:name="_Toc428378328"/>
      <w:bookmarkStart w:id="101" w:name="_Toc432608961"/>
      <w:r w:rsidRPr="00E16AFC">
        <w:rPr>
          <w:b/>
        </w:rPr>
        <w:t>Coordinating grid extension efforts.</w:t>
      </w:r>
      <w:r>
        <w:t xml:space="preserve"> </w:t>
      </w:r>
      <w:r w:rsidR="00B56CD7">
        <w:t>Construction of publicly financed grid extension would have been more efficient if made in a more coordinated manne</w:t>
      </w:r>
      <w:r>
        <w:t xml:space="preserve">r. </w:t>
      </w:r>
    </w:p>
    <w:p w14:paraId="4B88827A" w14:textId="24ABB183" w:rsidR="00B56CD7" w:rsidRPr="00AE2329" w:rsidRDefault="00E16AFC" w:rsidP="00586F0C">
      <w:pPr>
        <w:pStyle w:val="ListBullet"/>
      </w:pPr>
      <w:r w:rsidRPr="00E16AFC">
        <w:rPr>
          <w:b/>
        </w:rPr>
        <w:t>Improving capacity at AER and FER.</w:t>
      </w:r>
      <w:r>
        <w:t xml:space="preserve"> </w:t>
      </w:r>
      <w:r w:rsidR="00B56CD7">
        <w:t xml:space="preserve">Expansion of distribution may have been more successful if appropriate measures </w:t>
      </w:r>
      <w:r>
        <w:t>were taken to enable the AER and FER to meet the expectations set in policy. Specifically, these measures include</w:t>
      </w:r>
      <w:r w:rsidR="00B56CD7">
        <w:t xml:space="preserve">: </w:t>
      </w:r>
      <w:r w:rsidR="007A7601">
        <w:t>coordinating</w:t>
      </w:r>
      <w:r w:rsidR="00B56CD7">
        <w:t xml:space="preserve"> with publicly funded grid extension</w:t>
      </w:r>
      <w:r>
        <w:t xml:space="preserve"> efforts;</w:t>
      </w:r>
      <w:r w:rsidR="00B56CD7">
        <w:t xml:space="preserve"> </w:t>
      </w:r>
      <w:r w:rsidR="007A7601">
        <w:t>establishing</w:t>
      </w:r>
      <w:r w:rsidR="00B56CD7">
        <w:t xml:space="preserve"> </w:t>
      </w:r>
      <w:r w:rsidR="007A7601">
        <w:t xml:space="preserve">the </w:t>
      </w:r>
      <w:r w:rsidR="00B56CD7">
        <w:t>FER earlier</w:t>
      </w:r>
      <w:r>
        <w:t>;</w:t>
      </w:r>
      <w:r w:rsidR="00B56CD7">
        <w:t xml:space="preserve"> </w:t>
      </w:r>
      <w:r>
        <w:t xml:space="preserve">and </w:t>
      </w:r>
      <w:r w:rsidR="00B56CD7">
        <w:t>strengthening AER</w:t>
      </w:r>
      <w:r>
        <w:t>’s</w:t>
      </w:r>
      <w:r w:rsidR="00B56CD7">
        <w:t xml:space="preserve"> </w:t>
      </w:r>
      <w:r>
        <w:t>capacity</w:t>
      </w:r>
      <w:r w:rsidR="00B56CD7">
        <w:t xml:space="preserve"> to provide assistance to private promoters</w:t>
      </w:r>
      <w:r>
        <w:t>. AER could have facilitated</w:t>
      </w:r>
      <w:r w:rsidR="00B56CD7">
        <w:t xml:space="preserve"> AES SONEL/ENEO power purchase conditions and </w:t>
      </w:r>
      <w:r>
        <w:t xml:space="preserve">conditions for </w:t>
      </w:r>
      <w:r w:rsidR="00B56CD7">
        <w:t>access</w:t>
      </w:r>
      <w:r>
        <w:t>ing the</w:t>
      </w:r>
      <w:r w:rsidR="00B56CD7">
        <w:t xml:space="preserve"> grid</w:t>
      </w:r>
      <w:r>
        <w:t xml:space="preserve">. AER could have also prepared </w:t>
      </w:r>
      <w:r w:rsidR="00B56CD7">
        <w:t xml:space="preserve">standard documents, </w:t>
      </w:r>
      <w:r>
        <w:t xml:space="preserve">cut some </w:t>
      </w:r>
      <w:r w:rsidR="00B56CD7">
        <w:t xml:space="preserve">administrative red tape, </w:t>
      </w:r>
      <w:r>
        <w:t xml:space="preserve">and coordinated more with </w:t>
      </w:r>
      <w:r w:rsidR="00B56CD7">
        <w:t xml:space="preserve">ARSEL. </w:t>
      </w:r>
    </w:p>
    <w:p w14:paraId="7C67F664" w14:textId="77777777" w:rsidR="000301E0" w:rsidRDefault="000301E0" w:rsidP="000301E0">
      <w:pPr>
        <w:pStyle w:val="Heading2"/>
      </w:pPr>
      <w:bookmarkStart w:id="102" w:name="_Toc432619310"/>
      <w:bookmarkStart w:id="103" w:name="_Toc437034132"/>
      <w:r>
        <w:t>Reasons for Results</w:t>
      </w:r>
      <w:bookmarkEnd w:id="99"/>
      <w:bookmarkEnd w:id="100"/>
      <w:bookmarkEnd w:id="101"/>
      <w:bookmarkEnd w:id="102"/>
      <w:bookmarkEnd w:id="103"/>
    </w:p>
    <w:p w14:paraId="3B6448EC" w14:textId="77C73A14" w:rsidR="000301E0" w:rsidRDefault="000301E0" w:rsidP="00586F0C">
      <w:pPr>
        <w:pStyle w:val="BodyText"/>
      </w:pPr>
      <w:r>
        <w:t xml:space="preserve">The </w:t>
      </w:r>
      <w:r w:rsidR="00586F0C">
        <w:t>success</w:t>
      </w:r>
      <w:r>
        <w:t xml:space="preserve"> of the concession </w:t>
      </w:r>
      <w:r w:rsidR="00586F0C">
        <w:t>can be</w:t>
      </w:r>
      <w:r>
        <w:t xml:space="preserve"> explained by the following key factors</w:t>
      </w:r>
      <w:r w:rsidR="00586F0C">
        <w:t>:</w:t>
      </w:r>
    </w:p>
    <w:p w14:paraId="2DFF2098" w14:textId="69C76FE3" w:rsidR="00586F0C" w:rsidRDefault="00586F0C" w:rsidP="00586F0C">
      <w:pPr>
        <w:pStyle w:val="ListBullet"/>
      </w:pPr>
      <w:r>
        <w:t>There was a political commitment to making the concession work</w:t>
      </w:r>
    </w:p>
    <w:p w14:paraId="114E6379" w14:textId="2C58F147" w:rsidR="000301E0" w:rsidRDefault="00586F0C" w:rsidP="000301E0">
      <w:pPr>
        <w:pStyle w:val="ListBullet"/>
      </w:pPr>
      <w:r>
        <w:t>ENEO and the Government of Cameroon were successfully able to renegotiate and adapt to unforeseen changes in the sector and the economic environment</w:t>
      </w:r>
      <w:r w:rsidR="0025384D">
        <w:t>.</w:t>
      </w:r>
      <w:r>
        <w:t xml:space="preserve"> </w:t>
      </w:r>
    </w:p>
    <w:p w14:paraId="074AD55A" w14:textId="77777777" w:rsidR="000301E0" w:rsidRDefault="000301E0" w:rsidP="000301E0">
      <w:pPr>
        <w:pStyle w:val="Heading2"/>
      </w:pPr>
      <w:bookmarkStart w:id="104" w:name="_Toc428279283"/>
      <w:bookmarkStart w:id="105" w:name="_Toc428378329"/>
      <w:bookmarkStart w:id="106" w:name="_Toc432608962"/>
      <w:bookmarkStart w:id="107" w:name="_Toc432619311"/>
      <w:bookmarkStart w:id="108" w:name="_Toc437034133"/>
      <w:r>
        <w:t>Replicability of Experience and Success</w:t>
      </w:r>
      <w:bookmarkEnd w:id="104"/>
      <w:bookmarkEnd w:id="105"/>
      <w:bookmarkEnd w:id="106"/>
      <w:bookmarkEnd w:id="107"/>
      <w:bookmarkEnd w:id="108"/>
    </w:p>
    <w:p w14:paraId="3D093C04" w14:textId="4BB85E7F" w:rsidR="000301E0" w:rsidRDefault="000301E0" w:rsidP="000301E0">
      <w:pPr>
        <w:pStyle w:val="BodyText"/>
      </w:pPr>
      <w:r>
        <w:t xml:space="preserve">The concession model used in </w:t>
      </w:r>
      <w:r w:rsidR="00586F0C">
        <w:t>Cameroon</w:t>
      </w:r>
      <w:r>
        <w:t xml:space="preserve"> and its success can be replicated </w:t>
      </w:r>
      <w:r w:rsidR="00586F0C">
        <w:t>elsewhere in Africa. Cameroon</w:t>
      </w:r>
      <w:r>
        <w:t xml:space="preserve"> </w:t>
      </w:r>
      <w:r w:rsidR="00586F0C">
        <w:t xml:space="preserve">remains one of the poorest countries in the world and a difficult place to do business. Despite these challenges, the concession was generally successfully at putting the </w:t>
      </w:r>
      <w:r w:rsidR="00117DEE">
        <w:t xml:space="preserve">concession on solid footing. A commitment on the part of the Government of Cameroon to make the concession work appears to be a key success factor. </w:t>
      </w:r>
    </w:p>
    <w:p w14:paraId="265039E6" w14:textId="77777777" w:rsidR="000301E0" w:rsidRDefault="000301E0" w:rsidP="000301E0">
      <w:pPr>
        <w:pStyle w:val="Heading2"/>
      </w:pPr>
      <w:bookmarkStart w:id="109" w:name="_Toc428279284"/>
      <w:bookmarkStart w:id="110" w:name="_Toc428378330"/>
      <w:bookmarkStart w:id="111" w:name="_Toc432608963"/>
      <w:bookmarkStart w:id="112" w:name="_Toc432619312"/>
      <w:bookmarkStart w:id="113" w:name="_Toc437034134"/>
      <w:r>
        <w:t>Lessons for Future Concessions</w:t>
      </w:r>
      <w:bookmarkEnd w:id="109"/>
      <w:bookmarkEnd w:id="110"/>
      <w:bookmarkEnd w:id="111"/>
      <w:bookmarkEnd w:id="112"/>
      <w:bookmarkEnd w:id="113"/>
      <w:r>
        <w:t xml:space="preserve"> </w:t>
      </w:r>
    </w:p>
    <w:p w14:paraId="6EC9FB3A" w14:textId="77777777" w:rsidR="000301E0" w:rsidRDefault="000301E0" w:rsidP="000301E0">
      <w:pPr>
        <w:pStyle w:val="BodyText"/>
      </w:pPr>
      <w:r>
        <w:t>The concession illustrates lessons for governments considering using a concession approach to rural electrification:</w:t>
      </w:r>
    </w:p>
    <w:p w14:paraId="55B7D5A2" w14:textId="33AAF934" w:rsidR="000301E0" w:rsidRDefault="00117DEE" w:rsidP="000301E0">
      <w:pPr>
        <w:pStyle w:val="ListBullet"/>
      </w:pPr>
      <w:r w:rsidRPr="00522050">
        <w:rPr>
          <w:b/>
        </w:rPr>
        <w:t>National utility concessions can be powerful agents for change</w:t>
      </w:r>
      <w:r w:rsidR="00CB5216">
        <w:t>. The ENEO concession</w:t>
      </w:r>
      <w:r w:rsidR="00522050">
        <w:t xml:space="preserve"> added almost 600,000 connections between 2001 and 2015. </w:t>
      </w:r>
    </w:p>
    <w:p w14:paraId="2D888C40" w14:textId="5A461B0D" w:rsidR="00117DEE" w:rsidRDefault="00522050" w:rsidP="000301E0">
      <w:pPr>
        <w:pStyle w:val="ListBullet"/>
      </w:pPr>
      <w:r w:rsidRPr="00522050">
        <w:rPr>
          <w:b/>
        </w:rPr>
        <w:t>G</w:t>
      </w:r>
      <w:r w:rsidR="00117DEE" w:rsidRPr="00522050">
        <w:rPr>
          <w:b/>
        </w:rPr>
        <w:t xml:space="preserve">rid extension </w:t>
      </w:r>
      <w:r w:rsidRPr="00522050">
        <w:rPr>
          <w:b/>
        </w:rPr>
        <w:t xml:space="preserve">can be </w:t>
      </w:r>
      <w:r w:rsidR="00117DEE" w:rsidRPr="00522050">
        <w:rPr>
          <w:b/>
        </w:rPr>
        <w:t>financed by a combination of private, public and donor funding.</w:t>
      </w:r>
      <w:r w:rsidR="00117DEE">
        <w:t xml:space="preserve"> </w:t>
      </w:r>
      <w:r>
        <w:t>A range of different actors and financing sources in Cameroon are contributing to ENEO’s grid extension efforts.</w:t>
      </w:r>
    </w:p>
    <w:p w14:paraId="1F33E29F" w14:textId="77777777" w:rsidR="00965235" w:rsidRPr="00965235" w:rsidRDefault="00965235" w:rsidP="00965235">
      <w:pPr>
        <w:pStyle w:val="BodyText"/>
      </w:pPr>
    </w:p>
    <w:p w14:paraId="1EB7E541" w14:textId="19E9D52D" w:rsidR="00E2045A" w:rsidRDefault="00E2045A" w:rsidP="00E2045A">
      <w:pPr>
        <w:pStyle w:val="BodyText"/>
        <w:tabs>
          <w:tab w:val="left" w:pos="1290"/>
        </w:tabs>
      </w:pPr>
      <w:r>
        <w:tab/>
      </w:r>
      <w:bookmarkStart w:id="114" w:name="_GoBack"/>
      <w:bookmarkEnd w:id="114"/>
    </w:p>
    <w:sectPr w:rsidR="00E2045A" w:rsidSect="001B3981">
      <w:headerReference w:type="default" r:id="rId20"/>
      <w:footerReference w:type="default" r:id="rId21"/>
      <w:pgSz w:w="12242" w:h="15842"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3F7E5" w14:textId="77777777" w:rsidR="002D5E36" w:rsidRDefault="002D5E36">
      <w:r>
        <w:separator/>
      </w:r>
    </w:p>
  </w:endnote>
  <w:endnote w:type="continuationSeparator" w:id="0">
    <w:p w14:paraId="3027810C" w14:textId="77777777" w:rsidR="002D5E36" w:rsidRDefault="002D5E36">
      <w:r>
        <w:continuationSeparator/>
      </w:r>
    </w:p>
  </w:endnote>
  <w:endnote w:type="continuationNotice" w:id="1">
    <w:p w14:paraId="536BD749" w14:textId="77777777" w:rsidR="002D5E36" w:rsidRDefault="002D5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7AC0" w14:textId="1E2F5208" w:rsidR="00C3093C" w:rsidRDefault="00C3093C" w:rsidP="00A30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F800DC4" w14:textId="77777777" w:rsidR="00C3093C" w:rsidRDefault="00C30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FD02B" w14:textId="77777777" w:rsidR="00C3093C" w:rsidRDefault="00C3093C" w:rsidP="007B5A0E">
    <w:pPr>
      <w:pStyle w:val="Footer"/>
      <w:jc w:val="center"/>
    </w:pPr>
    <w:r>
      <w:t xml:space="preserve">Copyright World Bank. All rights reserved. </w:t>
    </w:r>
  </w:p>
  <w:p w14:paraId="09EFCCFA" w14:textId="0371C5B3" w:rsidR="00C3093C" w:rsidRDefault="00C3093C" w:rsidP="007B5A0E">
    <w:pPr>
      <w:pStyle w:val="Footer"/>
      <w:jc w:val="center"/>
    </w:pPr>
    <w:r>
      <w:t xml:space="preserve">Report was prepared by </w:t>
    </w:r>
    <w:r w:rsidRPr="006240FC">
      <w:t>Castalia</w:t>
    </w:r>
    <w:r>
      <w:t xml:space="preserve">, </w:t>
    </w:r>
    <w:r w:rsidRPr="006240FC">
      <w:t>a part of the worldwide Castalia Advisory Group.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94D4B" w14:textId="77777777" w:rsidR="00C3093C" w:rsidRDefault="00C309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E3DA1" w14:textId="256BAD00" w:rsidR="00C3093C" w:rsidRDefault="00C3093C" w:rsidP="00A30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45A">
      <w:rPr>
        <w:rStyle w:val="PageNumber"/>
        <w:noProof/>
      </w:rPr>
      <w:t>i</w:t>
    </w:r>
    <w:r>
      <w:rPr>
        <w:rStyle w:val="PageNumber"/>
      </w:rPr>
      <w:fldChar w:fldCharType="end"/>
    </w:r>
  </w:p>
  <w:p w14:paraId="6E6F2B58" w14:textId="77777777" w:rsidR="00C3093C" w:rsidRDefault="00C309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760A7" w14:textId="240A74D6" w:rsidR="00C3093C" w:rsidRPr="00E2045A" w:rsidRDefault="00C3093C" w:rsidP="00E20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DBFC" w14:textId="77777777" w:rsidR="002D5E36" w:rsidRDefault="002D5E36">
      <w:r>
        <w:separator/>
      </w:r>
    </w:p>
  </w:footnote>
  <w:footnote w:type="continuationSeparator" w:id="0">
    <w:p w14:paraId="7827AFF0" w14:textId="77777777" w:rsidR="002D5E36" w:rsidRDefault="002D5E36">
      <w:r>
        <w:continuationSeparator/>
      </w:r>
    </w:p>
  </w:footnote>
  <w:footnote w:type="continuationNotice" w:id="1">
    <w:p w14:paraId="714799F9" w14:textId="77777777" w:rsidR="002D5E36" w:rsidRDefault="002D5E36"/>
  </w:footnote>
  <w:footnote w:id="2">
    <w:p w14:paraId="310481DC" w14:textId="47BFB7EC" w:rsidR="00C3093C" w:rsidRDefault="00C3093C" w:rsidP="00AC1BE1">
      <w:pPr>
        <w:pStyle w:val="FootnoteText"/>
      </w:pPr>
      <w:r>
        <w:rPr>
          <w:rStyle w:val="FootnoteReference"/>
        </w:rPr>
        <w:footnoteRef/>
      </w:r>
      <w:r>
        <w:tab/>
        <w:t xml:space="preserve">According to the World Bank’s Harmonized List of Fragile Situations for Fiscal Year 2015, available online at: </w:t>
      </w:r>
      <w:hyperlink r:id="rId1" w:history="1">
        <w:r w:rsidRPr="00CA1FDA">
          <w:rPr>
            <w:rStyle w:val="Hyperlink"/>
          </w:rPr>
          <w:t>http://www.worldbank.org/content/dam/Worldbank/document/FY15%20Fragile%20states%20list.pdf</w:t>
        </w:r>
      </w:hyperlink>
      <w:r>
        <w:t xml:space="preserve"> </w:t>
      </w:r>
    </w:p>
  </w:footnote>
  <w:footnote w:id="3">
    <w:p w14:paraId="1D1D985F" w14:textId="05600DD5" w:rsidR="00C3093C" w:rsidRDefault="00C3093C">
      <w:pPr>
        <w:pStyle w:val="FootnoteText"/>
      </w:pPr>
      <w:r>
        <w:rPr>
          <w:rStyle w:val="FootnoteReference"/>
        </w:rPr>
        <w:footnoteRef/>
      </w:r>
      <w:r>
        <w:tab/>
        <w:t>World Bank Independent Evaluation Group</w:t>
      </w:r>
    </w:p>
  </w:footnote>
  <w:footnote w:id="4">
    <w:p w14:paraId="029E6B2D" w14:textId="25BDC95D" w:rsidR="00C3093C" w:rsidRPr="008D4379" w:rsidRDefault="00C3093C" w:rsidP="00EF798A">
      <w:pPr>
        <w:pStyle w:val="FootnoteText"/>
      </w:pPr>
      <w:r>
        <w:rPr>
          <w:rStyle w:val="FootnoteReference"/>
        </w:rPr>
        <w:footnoteRef/>
      </w:r>
      <w:r>
        <w:tab/>
      </w:r>
      <w:r w:rsidRPr="00A06D34">
        <w:t xml:space="preserve">Law no.98-22 dated </w:t>
      </w:r>
      <w:r>
        <w:t xml:space="preserve">24 </w:t>
      </w:r>
      <w:r w:rsidRPr="00A06D34">
        <w:t>December 1998 governing the electricity sector</w:t>
      </w:r>
    </w:p>
  </w:footnote>
  <w:footnote w:id="5">
    <w:p w14:paraId="16C6B41B" w14:textId="79BD22CA" w:rsidR="00C3093C" w:rsidRPr="008D4379" w:rsidRDefault="00C3093C" w:rsidP="00EF798A">
      <w:pPr>
        <w:pStyle w:val="FootnoteText"/>
      </w:pPr>
      <w:r>
        <w:rPr>
          <w:rStyle w:val="FootnoteReference"/>
        </w:rPr>
        <w:footnoteRef/>
      </w:r>
      <w:r>
        <w:tab/>
      </w:r>
      <w:r w:rsidRPr="00A06D34">
        <w:t xml:space="preserve">Decree no. 2000/464 PM dated </w:t>
      </w:r>
      <w:r>
        <w:t>30 June</w:t>
      </w:r>
      <w:r w:rsidRPr="00A06D34">
        <w:t xml:space="preserve"> 2000 governing the electricity sector</w:t>
      </w:r>
    </w:p>
  </w:footnote>
  <w:footnote w:id="6">
    <w:p w14:paraId="775BA609" w14:textId="77777777" w:rsidR="00C3093C" w:rsidRPr="00E16AFC" w:rsidRDefault="00C3093C" w:rsidP="00893A11">
      <w:pPr>
        <w:pStyle w:val="FootnoteText"/>
        <w:rPr>
          <w:lang w:val="fr-FR"/>
        </w:rPr>
      </w:pPr>
      <w:r>
        <w:rPr>
          <w:rStyle w:val="FootnoteReference"/>
        </w:rPr>
        <w:footnoteRef/>
      </w:r>
      <w:r w:rsidRPr="00E16AFC">
        <w:rPr>
          <w:lang w:val="fr-FR"/>
        </w:rPr>
        <w:tab/>
        <w:t>Decree 99/193 dated 8 September 1999</w:t>
      </w:r>
    </w:p>
  </w:footnote>
  <w:footnote w:id="7">
    <w:p w14:paraId="3CE55962" w14:textId="20FFC4DC" w:rsidR="00C3093C" w:rsidRPr="005D339A" w:rsidRDefault="00C3093C" w:rsidP="007D6E85">
      <w:pPr>
        <w:pStyle w:val="FootnoteText"/>
        <w:rPr>
          <w:lang w:val="fr-FR"/>
        </w:rPr>
      </w:pPr>
      <w:r>
        <w:rPr>
          <w:rStyle w:val="FootnoteReference"/>
        </w:rPr>
        <w:footnoteRef/>
      </w:r>
      <w:r>
        <w:rPr>
          <w:lang w:val="fr-FR"/>
        </w:rPr>
        <w:tab/>
      </w:r>
      <w:r w:rsidRPr="005D339A">
        <w:rPr>
          <w:lang w:val="fr-FR"/>
        </w:rPr>
        <w:t>Ministère de l'Energie et de l'Eau (MINEE)</w:t>
      </w:r>
      <w:r>
        <w:rPr>
          <w:lang w:val="fr-FR"/>
        </w:rPr>
        <w:t xml:space="preserve"> « </w:t>
      </w:r>
      <w:r w:rsidRPr="005D339A">
        <w:rPr>
          <w:lang w:val="fr-FR"/>
        </w:rPr>
        <w:t>Présentation de AER</w:t>
      </w:r>
      <w:r>
        <w:rPr>
          <w:lang w:val="fr-FR"/>
        </w:rPr>
        <w:t> » (</w:t>
      </w:r>
      <w:hyperlink r:id="rId2" w:history="1">
        <w:r w:rsidRPr="006A4D8D">
          <w:rPr>
            <w:rStyle w:val="Hyperlink"/>
            <w:lang w:val="fr-FR"/>
          </w:rPr>
          <w:t>http://www.minee.cm/index.php?page=aer</w:t>
        </w:r>
      </w:hyperlink>
      <w:r>
        <w:rPr>
          <w:lang w:val="fr-FR"/>
        </w:rPr>
        <w:t xml:space="preserve">) </w:t>
      </w:r>
    </w:p>
  </w:footnote>
  <w:footnote w:id="8">
    <w:p w14:paraId="7C614B88" w14:textId="1DD0C8D9" w:rsidR="00C3093C" w:rsidRPr="008C3D4B" w:rsidRDefault="00C3093C">
      <w:pPr>
        <w:pStyle w:val="FootnoteText"/>
      </w:pPr>
      <w:r>
        <w:rPr>
          <w:rStyle w:val="FootnoteReference"/>
        </w:rPr>
        <w:footnoteRef/>
      </w:r>
      <w:r>
        <w:tab/>
        <w:t>Decree n</w:t>
      </w:r>
      <w:r w:rsidRPr="008C3D4B">
        <w:t xml:space="preserve">o. 2013/204 of </w:t>
      </w:r>
      <w:r>
        <w:t xml:space="preserve">28 </w:t>
      </w:r>
      <w:r w:rsidRPr="008C3D4B">
        <w:t>June 2013</w:t>
      </w:r>
    </w:p>
  </w:footnote>
  <w:footnote w:id="9">
    <w:p w14:paraId="1FB5F79F" w14:textId="6968A1F7" w:rsidR="00C3093C" w:rsidRPr="002D77F6" w:rsidRDefault="00C3093C" w:rsidP="00227D9B">
      <w:pPr>
        <w:pStyle w:val="FootnoteText"/>
      </w:pPr>
      <w:r>
        <w:rPr>
          <w:rStyle w:val="FootnoteReference"/>
        </w:rPr>
        <w:footnoteRef/>
      </w:r>
      <w:r>
        <w:tab/>
        <w:t>A Decree of 1999 (Decree no. 99/125 dated 15 June</w:t>
      </w:r>
      <w:r w:rsidRPr="002D77F6">
        <w:t xml:space="preserve"> 1999</w:t>
      </w:r>
      <w:r>
        <w:t xml:space="preserve">) </w:t>
      </w:r>
      <w:r w:rsidRPr="004B57E2">
        <w:t xml:space="preserve">determines </w:t>
      </w:r>
      <w:r>
        <w:t xml:space="preserve">its </w:t>
      </w:r>
      <w:r w:rsidRPr="004B57E2">
        <w:t>composition, structure and operation</w:t>
      </w:r>
      <w:r w:rsidRPr="0059272C">
        <w:t xml:space="preserve">. </w:t>
      </w:r>
      <w:r>
        <w:t xml:space="preserve">ARSEL </w:t>
      </w:r>
      <w:r w:rsidRPr="0059272C">
        <w:t xml:space="preserve">has the status of a public administrative establishment </w:t>
      </w:r>
      <w:r>
        <w:t xml:space="preserve">in accordance to the law </w:t>
      </w:r>
      <w:r w:rsidRPr="0059272C">
        <w:t>on the general status of public and para</w:t>
      </w:r>
      <w:r>
        <w:t>-</w:t>
      </w:r>
      <w:r w:rsidRPr="0059272C">
        <w:t>public institutions and public sector companies</w:t>
      </w:r>
      <w:r>
        <w:t xml:space="preserve"> (</w:t>
      </w:r>
      <w:r w:rsidRPr="0059272C">
        <w:t xml:space="preserve">Law no. 99/016 of </w:t>
      </w:r>
      <w:r>
        <w:t xml:space="preserve">22 </w:t>
      </w:r>
      <w:r w:rsidRPr="0059272C">
        <w:t>December 1999</w:t>
      </w:r>
      <w:r>
        <w:t xml:space="preserve">). </w:t>
      </w:r>
    </w:p>
  </w:footnote>
  <w:footnote w:id="10">
    <w:p w14:paraId="5C0C001B" w14:textId="5D7DFFE3" w:rsidR="00C3093C" w:rsidRPr="004D6D04" w:rsidRDefault="00C3093C">
      <w:pPr>
        <w:pStyle w:val="FootnoteText"/>
      </w:pPr>
      <w:r>
        <w:rPr>
          <w:rStyle w:val="FootnoteReference"/>
        </w:rPr>
        <w:footnoteRef/>
      </w:r>
      <w:r>
        <w:tab/>
      </w:r>
      <w:r w:rsidRPr="00A06D34">
        <w:t>Decree no.2006/406 dated</w:t>
      </w:r>
      <w:r w:rsidRPr="00815F7D">
        <w:t xml:space="preserve"> </w:t>
      </w:r>
      <w:r>
        <w:t xml:space="preserve">29 </w:t>
      </w:r>
      <w:r w:rsidRPr="00A06D34">
        <w:t xml:space="preserve">November </w:t>
      </w:r>
      <w:r w:rsidRPr="004D6D04">
        <w:t>2006,</w:t>
      </w:r>
    </w:p>
  </w:footnote>
  <w:footnote w:id="11">
    <w:p w14:paraId="6FF8F6D6" w14:textId="1F26F7DD" w:rsidR="00C3093C" w:rsidRDefault="00C3093C" w:rsidP="00814CFB">
      <w:pPr>
        <w:pStyle w:val="FootnoteText"/>
      </w:pPr>
      <w:r>
        <w:rPr>
          <w:rStyle w:val="FootnoteReference"/>
        </w:rPr>
        <w:footnoteRef/>
      </w:r>
      <w:r>
        <w:tab/>
        <w:t>ENEO interview</w:t>
      </w:r>
    </w:p>
  </w:footnote>
  <w:footnote w:id="12">
    <w:p w14:paraId="3287F33F" w14:textId="26C0D45F" w:rsidR="00C3093C" w:rsidRPr="00390225" w:rsidRDefault="00C3093C">
      <w:pPr>
        <w:pStyle w:val="FootnoteText"/>
      </w:pPr>
      <w:r>
        <w:rPr>
          <w:rStyle w:val="FootnoteReference"/>
        </w:rPr>
        <w:footnoteRef/>
      </w:r>
      <w:r>
        <w:t xml:space="preserve"> </w:t>
      </w:r>
      <w:r w:rsidRPr="001C2C67">
        <w:t>Workshop on the barriers to SMEs participation in rural electrification sector, held on 7 November 2013</w:t>
      </w:r>
    </w:p>
  </w:footnote>
  <w:footnote w:id="13">
    <w:p w14:paraId="76C99CCF" w14:textId="0417E1ED" w:rsidR="00C3093C" w:rsidRDefault="00C3093C" w:rsidP="00985F06">
      <w:pPr>
        <w:pStyle w:val="FootnoteText"/>
      </w:pPr>
      <w:r>
        <w:rPr>
          <w:rStyle w:val="FootnoteReference"/>
        </w:rPr>
        <w:footnoteRef/>
      </w:r>
      <w:r>
        <w:tab/>
      </w:r>
      <w:r w:rsidRPr="00814CFB">
        <w:t>Interview</w:t>
      </w:r>
      <w:r>
        <w:t xml:space="preserve"> of the promoter.</w:t>
      </w:r>
    </w:p>
  </w:footnote>
  <w:footnote w:id="14">
    <w:p w14:paraId="6CF9AAFC" w14:textId="4282ACCA" w:rsidR="00C3093C" w:rsidRDefault="00C3093C" w:rsidP="00814CFB">
      <w:pPr>
        <w:pStyle w:val="FootnoteText"/>
      </w:pPr>
      <w:r>
        <w:rPr>
          <w:rStyle w:val="FootnoteReference"/>
        </w:rPr>
        <w:footnoteRef/>
      </w:r>
      <w:r>
        <w:tab/>
        <w:t xml:space="preserve">By Law no. 74/23 of 5 December 1974 on communal organization in Cameroon and the implementing decree no. 77/85 of 22 March 1977 </w:t>
      </w:r>
    </w:p>
  </w:footnote>
  <w:footnote w:id="15">
    <w:p w14:paraId="2A6489D8" w14:textId="77777777" w:rsidR="00C3093C" w:rsidRPr="00985F06" w:rsidRDefault="00C3093C" w:rsidP="00E456CC">
      <w:pPr>
        <w:pStyle w:val="FootnoteText"/>
      </w:pPr>
      <w:r>
        <w:rPr>
          <w:rStyle w:val="FootnoteReference"/>
        </w:rPr>
        <w:footnoteRef/>
      </w:r>
      <w:r>
        <w:t xml:space="preserve"> </w:t>
      </w:r>
      <w:r w:rsidRPr="00FB7D88">
        <w:t>World Bank and IED interviews</w:t>
      </w:r>
    </w:p>
  </w:footnote>
  <w:footnote w:id="16">
    <w:p w14:paraId="7F33D5BF" w14:textId="79081D1B" w:rsidR="00C3093C" w:rsidRPr="001C2C67" w:rsidRDefault="00C3093C">
      <w:pPr>
        <w:pStyle w:val="FootnoteText"/>
      </w:pPr>
      <w:r>
        <w:rPr>
          <w:rStyle w:val="FootnoteReference"/>
        </w:rPr>
        <w:footnoteRef/>
      </w:r>
      <w:r w:rsidRPr="001C2C67">
        <w:tab/>
        <w:t xml:space="preserve">Jeune Afrique (12 September 2014) Sonel devient ENEO Cameroon. </w:t>
      </w:r>
    </w:p>
  </w:footnote>
  <w:footnote w:id="17">
    <w:p w14:paraId="0B628D83" w14:textId="42B8188B" w:rsidR="00C3093C" w:rsidRDefault="00C3093C" w:rsidP="00490688">
      <w:pPr>
        <w:pStyle w:val="FootnoteText"/>
      </w:pPr>
      <w:r>
        <w:rPr>
          <w:rStyle w:val="FootnoteReference"/>
        </w:rPr>
        <w:footnoteRef/>
      </w:r>
      <w:r>
        <w:tab/>
        <w:t>IFC, “Public-Private Partnership Stories, Cameroon: SONEL,” January 2012</w:t>
      </w:r>
    </w:p>
  </w:footnote>
  <w:footnote w:id="18">
    <w:p w14:paraId="4DB201A0" w14:textId="0F2FE386" w:rsidR="00C3093C" w:rsidRPr="00831E53" w:rsidRDefault="00C3093C" w:rsidP="00FA6B28">
      <w:pPr>
        <w:pStyle w:val="FootnoteText"/>
      </w:pPr>
      <w:r>
        <w:rPr>
          <w:rStyle w:val="FootnoteReference"/>
        </w:rPr>
        <w:footnoteRef/>
      </w:r>
      <w:r>
        <w:tab/>
        <w:t xml:space="preserve">Eugene Nforngwa (The Standard Tribune), “Cameroon Approves Sale of Sonel,” available at </w:t>
      </w:r>
      <w:hyperlink r:id="rId3" w:history="1">
        <w:r w:rsidRPr="00831E53">
          <w:rPr>
            <w:rStyle w:val="Hyperlink"/>
          </w:rPr>
          <w:t>http://www.standard-tribune.com/?p=331</w:t>
        </w:r>
      </w:hyperlink>
      <w:r w:rsidRPr="00831E53">
        <w:t xml:space="preserve"> (accessed</w:t>
      </w:r>
      <w:r>
        <w:t xml:space="preserve"> 7 October 2015). </w:t>
      </w:r>
    </w:p>
  </w:footnote>
  <w:footnote w:id="19">
    <w:p w14:paraId="46FC075F" w14:textId="33B1849D" w:rsidR="00C3093C" w:rsidRDefault="00C3093C" w:rsidP="00490688">
      <w:pPr>
        <w:pStyle w:val="FootnoteText"/>
      </w:pPr>
      <w:r>
        <w:rPr>
          <w:rStyle w:val="FootnoteReference"/>
        </w:rPr>
        <w:footnoteRef/>
      </w:r>
      <w:r>
        <w:tab/>
        <w:t>International Finance Corporation Office of the Compliance Advisor, “ASSESSMENT REPORT: Complaint Regarding the AES SONEL Project (IFC Project #11579) Cameroon,” July 2013.</w:t>
      </w:r>
    </w:p>
  </w:footnote>
  <w:footnote w:id="20">
    <w:p w14:paraId="4DB3967C" w14:textId="7F09A094" w:rsidR="00C3093C" w:rsidRDefault="00C3093C" w:rsidP="00490688">
      <w:pPr>
        <w:pStyle w:val="FootnoteText"/>
      </w:pPr>
      <w:r>
        <w:rPr>
          <w:rStyle w:val="FootnoteReference"/>
        </w:rPr>
        <w:footnoteRef/>
      </w:r>
      <w:r>
        <w:tab/>
        <w:t>International Finance Corporation Office of the Compliance Advisor, “ASSESSMENT REPORT: Complaint Regarding the AES SONEL Project (IFC Project #11579) Cameroon,” July 2013.</w:t>
      </w:r>
    </w:p>
  </w:footnote>
  <w:footnote w:id="21">
    <w:p w14:paraId="7ACCF65B" w14:textId="7F844828" w:rsidR="00C3093C" w:rsidRDefault="00C3093C" w:rsidP="00F929BE">
      <w:pPr>
        <w:pStyle w:val="FootnoteText"/>
      </w:pPr>
      <w:r>
        <w:rPr>
          <w:rStyle w:val="FootnoteReference"/>
        </w:rPr>
        <w:footnoteRef/>
      </w:r>
      <w:r>
        <w:tab/>
        <w:t>AfDB, “</w:t>
      </w:r>
      <w:r>
        <w:rPr>
          <w:lang w:val="en"/>
        </w:rPr>
        <w:t xml:space="preserve">Cameroon: Bank Group Supports Investment in Power Sector,” 10 May 2006. </w:t>
      </w:r>
    </w:p>
  </w:footnote>
  <w:footnote w:id="22">
    <w:p w14:paraId="0F791074" w14:textId="4F169E6E" w:rsidR="00C3093C" w:rsidRDefault="00C3093C" w:rsidP="00135AD3">
      <w:pPr>
        <w:pStyle w:val="FootnoteText"/>
      </w:pPr>
      <w:r>
        <w:rPr>
          <w:rStyle w:val="FootnoteReference"/>
        </w:rPr>
        <w:footnoteRef/>
      </w:r>
      <w:r>
        <w:tab/>
      </w:r>
      <w:r w:rsidRPr="00135AD3">
        <w:t>AES</w:t>
      </w:r>
      <w:r>
        <w:t>,</w:t>
      </w:r>
      <w:r w:rsidRPr="00135AD3">
        <w:t xml:space="preserve"> 10-K</w:t>
      </w:r>
      <w:r>
        <w:t xml:space="preserve">, 4 </w:t>
      </w:r>
      <w:r w:rsidRPr="00135AD3">
        <w:t>Apr</w:t>
      </w:r>
      <w:r>
        <w:t>il</w:t>
      </w:r>
      <w:r w:rsidRPr="00135AD3">
        <w:t xml:space="preserve"> 2006</w:t>
      </w:r>
    </w:p>
  </w:footnote>
  <w:footnote w:id="23">
    <w:p w14:paraId="30AD6BA4" w14:textId="57FB20E6" w:rsidR="00C3093C" w:rsidRDefault="00C3093C">
      <w:pPr>
        <w:pStyle w:val="FootnoteText"/>
      </w:pPr>
      <w:r>
        <w:rPr>
          <w:rStyle w:val="FootnoteReference"/>
        </w:rPr>
        <w:footnoteRef/>
      </w:r>
      <w:r>
        <w:tab/>
      </w:r>
      <w:r w:rsidRPr="00135AD3">
        <w:t>AES</w:t>
      </w:r>
      <w:r>
        <w:t>,</w:t>
      </w:r>
      <w:r w:rsidRPr="00135AD3">
        <w:t xml:space="preserve"> 10-K</w:t>
      </w:r>
      <w:r>
        <w:t xml:space="preserve">, 4 </w:t>
      </w:r>
      <w:r w:rsidRPr="00135AD3">
        <w:t>Apr</w:t>
      </w:r>
      <w:r>
        <w:t>il</w:t>
      </w:r>
      <w:r w:rsidRPr="00135AD3">
        <w:t xml:space="preserve"> 2006</w:t>
      </w:r>
    </w:p>
  </w:footnote>
  <w:footnote w:id="24">
    <w:p w14:paraId="40CD8084" w14:textId="77777777" w:rsidR="00C3093C" w:rsidRPr="001C2C67" w:rsidRDefault="00C3093C">
      <w:pPr>
        <w:pStyle w:val="FootnoteText"/>
        <w:rPr>
          <w:lang w:val="fr-FR"/>
        </w:rPr>
      </w:pPr>
      <w:r>
        <w:rPr>
          <w:rStyle w:val="FootnoteReference"/>
        </w:rPr>
        <w:footnoteRef/>
      </w:r>
      <w:r w:rsidRPr="001C2C67">
        <w:rPr>
          <w:lang w:val="fr-FR"/>
        </w:rPr>
        <w:t xml:space="preserve"> </w:t>
      </w:r>
      <w:r>
        <w:rPr>
          <w:lang w:val="fr-FR"/>
        </w:rPr>
        <w:t>ENEO interview</w:t>
      </w:r>
    </w:p>
  </w:footnote>
  <w:footnote w:id="25">
    <w:p w14:paraId="345ED67E" w14:textId="77777777" w:rsidR="00C3093C" w:rsidRPr="0073591E" w:rsidRDefault="00C3093C" w:rsidP="00F103E9">
      <w:pPr>
        <w:pStyle w:val="FootnoteText"/>
      </w:pPr>
      <w:r>
        <w:rPr>
          <w:rStyle w:val="FootnoteReference"/>
        </w:rPr>
        <w:footnoteRef/>
      </w:r>
      <w:r w:rsidRPr="007120E0">
        <w:rPr>
          <w:lang w:val="fr-FR"/>
        </w:rPr>
        <w:t xml:space="preserve"> </w:t>
      </w:r>
      <w:r>
        <w:rPr>
          <w:lang w:val="fr-FR"/>
        </w:rPr>
        <w:t>Camerounlink, « </w:t>
      </w:r>
      <w:r w:rsidRPr="007120E0">
        <w:rPr>
          <w:lang w:val="fr-FR"/>
        </w:rPr>
        <w:t xml:space="preserve">Un consortium anglo-norvégien rachète les centrales de Dibamba et Kribi. </w:t>
      </w:r>
      <w:r w:rsidRPr="0073591E">
        <w:t xml:space="preserve">Montant de la transaction : 125 milliards F CFA », September 9th 2015. </w:t>
      </w:r>
    </w:p>
  </w:footnote>
  <w:footnote w:id="26">
    <w:p w14:paraId="1CABF542" w14:textId="361C5069" w:rsidR="00C3093C" w:rsidRPr="003B249C" w:rsidRDefault="00C3093C" w:rsidP="00425B17">
      <w:pPr>
        <w:pStyle w:val="FootnoteText"/>
      </w:pPr>
      <w:r>
        <w:rPr>
          <w:rStyle w:val="FootnoteReference"/>
        </w:rPr>
        <w:footnoteRef/>
      </w:r>
      <w:r>
        <w:tab/>
      </w:r>
      <w:r w:rsidRPr="003B249C">
        <w:t xml:space="preserve">Article 82 of the </w:t>
      </w:r>
      <w:r>
        <w:t>2011El</w:t>
      </w:r>
      <w:r w:rsidRPr="003B249C">
        <w:t>ectricity Law</w:t>
      </w:r>
    </w:p>
  </w:footnote>
  <w:footnote w:id="27">
    <w:p w14:paraId="7A9F6F62" w14:textId="386720FC" w:rsidR="00C3093C" w:rsidRPr="007C3915" w:rsidRDefault="00C3093C" w:rsidP="003906AA">
      <w:pPr>
        <w:pStyle w:val="FootnoteText"/>
      </w:pPr>
      <w:r w:rsidRPr="00E22BA8">
        <w:rPr>
          <w:rStyle w:val="FootnoteReference"/>
        </w:rPr>
        <w:footnoteRef/>
      </w:r>
      <w:r w:rsidRPr="00E22BA8">
        <w:tab/>
        <w:t>IFC, “Public-Private Partnership Stories, Cameroon: SONEL,” January 2012</w:t>
      </w:r>
    </w:p>
  </w:footnote>
  <w:footnote w:id="28">
    <w:p w14:paraId="626F2E5E" w14:textId="23BEAB9D" w:rsidR="00C3093C" w:rsidRDefault="00C3093C">
      <w:pPr>
        <w:pStyle w:val="FootnoteText"/>
      </w:pPr>
      <w:r>
        <w:rPr>
          <w:rStyle w:val="FootnoteReference"/>
        </w:rPr>
        <w:footnoteRef/>
      </w:r>
      <w:r>
        <w:tab/>
        <w:t>British High Commission Yaoundé, “The Power and Energy Sector in Cameroon,” 2012</w:t>
      </w:r>
    </w:p>
  </w:footnote>
  <w:footnote w:id="29">
    <w:p w14:paraId="74B3FA55" w14:textId="06E9184E" w:rsidR="00C3093C" w:rsidRPr="007C3915" w:rsidRDefault="00C3093C" w:rsidP="00401A51">
      <w:pPr>
        <w:pStyle w:val="FootnoteText"/>
      </w:pPr>
      <w:r>
        <w:rPr>
          <w:rStyle w:val="FootnoteReference"/>
        </w:rPr>
        <w:footnoteRef/>
      </w:r>
      <w:r>
        <w:tab/>
      </w:r>
      <w:r w:rsidRPr="007C3915">
        <w:t>AES Corporation Fact Sheet: Cameroon</w:t>
      </w:r>
    </w:p>
  </w:footnote>
  <w:footnote w:id="30">
    <w:p w14:paraId="37977CA6" w14:textId="144C299E" w:rsidR="00C3093C" w:rsidRPr="000C2CA5" w:rsidRDefault="00C3093C" w:rsidP="00401A51">
      <w:pPr>
        <w:pStyle w:val="FootnoteText"/>
      </w:pPr>
      <w:r>
        <w:rPr>
          <w:rStyle w:val="FootnoteReference"/>
        </w:rPr>
        <w:footnoteRef/>
      </w:r>
      <w:r>
        <w:tab/>
      </w:r>
      <w:r w:rsidRPr="000C2CA5">
        <w:t>CFAF 40 billion to export electricity to Nigeria (22 August 2012) in Business in Cameroon</w:t>
      </w:r>
    </w:p>
  </w:footnote>
  <w:footnote w:id="31">
    <w:p w14:paraId="555DC4A3" w14:textId="44C4C1F8" w:rsidR="00C3093C" w:rsidRDefault="00C3093C">
      <w:pPr>
        <w:pStyle w:val="FootnoteText"/>
      </w:pPr>
      <w:r>
        <w:rPr>
          <w:rStyle w:val="FootnoteReference"/>
        </w:rPr>
        <w:footnoteRef/>
      </w:r>
      <w:r>
        <w:tab/>
        <w:t xml:space="preserve">World Bank, “Cameroon Energy Sector Development Project,” Project Appraisal Document, 29 May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9034" w14:textId="7FF17A7C" w:rsidR="00C3093C" w:rsidRPr="00E2045A" w:rsidRDefault="00C3093C" w:rsidP="00E20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9C48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5C7F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4860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0224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7E0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531A5D08"/>
    <w:lvl w:ilvl="0">
      <w:start w:val="1"/>
      <w:numFmt w:val="decimal"/>
      <w:lvlText w:val="%1."/>
      <w:lvlJc w:val="left"/>
      <w:pPr>
        <w:tabs>
          <w:tab w:val="num" w:pos="360"/>
        </w:tabs>
        <w:ind w:left="360" w:hanging="360"/>
      </w:pPr>
    </w:lvl>
  </w:abstractNum>
  <w:abstractNum w:abstractNumId="6" w15:restartNumberingAfterBreak="0">
    <w:nsid w:val="028724AA"/>
    <w:multiLevelType w:val="hybridMultilevel"/>
    <w:tmpl w:val="81ECA55E"/>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31B3F17"/>
    <w:multiLevelType w:val="hybridMultilevel"/>
    <w:tmpl w:val="0D26DE6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7E92F6E"/>
    <w:multiLevelType w:val="hybridMultilevel"/>
    <w:tmpl w:val="820222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87"/>
        </w:tabs>
        <w:ind w:left="1287"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10" w15:restartNumberingAfterBreak="0">
    <w:nsid w:val="0D12197C"/>
    <w:multiLevelType w:val="hybridMultilevel"/>
    <w:tmpl w:val="DF50ADBC"/>
    <w:lvl w:ilvl="0" w:tplc="6E6A6C54">
      <w:start w:val="1"/>
      <w:numFmt w:val="bullet"/>
      <w:lvlText w:val="-"/>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D383C64"/>
    <w:multiLevelType w:val="hybridMultilevel"/>
    <w:tmpl w:val="85F819EC"/>
    <w:lvl w:ilvl="0" w:tplc="FDE29376">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4026"/>
    <w:multiLevelType w:val="hybridMultilevel"/>
    <w:tmpl w:val="588A19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4" w15:restartNumberingAfterBreak="0">
    <w:nsid w:val="15FF1380"/>
    <w:multiLevelType w:val="hybridMultilevel"/>
    <w:tmpl w:val="A1724150"/>
    <w:lvl w:ilvl="0" w:tplc="040C0005">
      <w:start w:val="1"/>
      <w:numFmt w:val="bullet"/>
      <w:lvlText w:val=""/>
      <w:lvlJc w:val="left"/>
      <w:pPr>
        <w:ind w:left="720" w:hanging="360"/>
      </w:pPr>
      <w:rPr>
        <w:rFonts w:ascii="Wingdings" w:hAnsi="Wingdings" w:hint="default"/>
      </w:rPr>
    </w:lvl>
    <w:lvl w:ilvl="1" w:tplc="FFDA06C0">
      <w:numFmt w:val="bullet"/>
      <w:lvlText w:val=""/>
      <w:lvlJc w:val="left"/>
      <w:pPr>
        <w:ind w:left="1440" w:hanging="360"/>
      </w:pPr>
      <w:rPr>
        <w:rFonts w:ascii="Garamond" w:eastAsia="Times New Roman" w:hAnsi="Garamond"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4B0338"/>
    <w:multiLevelType w:val="multilevel"/>
    <w:tmpl w:val="F8DA5E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6" w15:restartNumberingAfterBreak="0">
    <w:nsid w:val="176C3068"/>
    <w:multiLevelType w:val="hybridMultilevel"/>
    <w:tmpl w:val="942CEF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08631C"/>
    <w:multiLevelType w:val="hybridMultilevel"/>
    <w:tmpl w:val="D804B0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16135FB"/>
    <w:multiLevelType w:val="hybridMultilevel"/>
    <w:tmpl w:val="461CF3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D71A2A"/>
    <w:multiLevelType w:val="hybridMultilevel"/>
    <w:tmpl w:val="C9D23B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9B11A9"/>
    <w:multiLevelType w:val="hybridMultilevel"/>
    <w:tmpl w:val="58BA55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15:restartNumberingAfterBreak="0">
    <w:nsid w:val="415B7DE0"/>
    <w:multiLevelType w:val="hybridMultilevel"/>
    <w:tmpl w:val="B4F222E8"/>
    <w:lvl w:ilvl="0" w:tplc="040C0005">
      <w:start w:val="1"/>
      <w:numFmt w:val="bullet"/>
      <w:lvlText w:val=""/>
      <w:lvlJc w:val="left"/>
      <w:pPr>
        <w:ind w:left="778" w:hanging="360"/>
      </w:pPr>
      <w:rPr>
        <w:rFonts w:ascii="Wingdings" w:hAnsi="Wingdings"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3" w15:restartNumberingAfterBreak="0">
    <w:nsid w:val="4BC9211F"/>
    <w:multiLevelType w:val="hybridMultilevel"/>
    <w:tmpl w:val="9B4E8194"/>
    <w:lvl w:ilvl="0" w:tplc="8BBC4684">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7693B"/>
    <w:multiLevelType w:val="hybridMultilevel"/>
    <w:tmpl w:val="62E8D750"/>
    <w:lvl w:ilvl="0" w:tplc="FAD4540A">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575CB"/>
    <w:multiLevelType w:val="hybridMultilevel"/>
    <w:tmpl w:val="8514D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331407"/>
    <w:multiLevelType w:val="multilevel"/>
    <w:tmpl w:val="321CE36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3981"/>
        </w:tabs>
        <w:ind w:left="3981"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upperLetter"/>
      <w:pStyle w:val="Heading4"/>
      <w:suff w:val="nothing"/>
      <w:lvlText w:val="Appendix %4"/>
      <w:lvlJc w:val="left"/>
      <w:pPr>
        <w:ind w:left="720" w:hanging="720"/>
      </w:pPr>
      <w:rPr>
        <w:rFonts w:hint="default"/>
      </w:rPr>
    </w:lvl>
    <w:lvl w:ilvl="4">
      <w:start w:val="1"/>
      <w:numFmt w:val="decimal"/>
      <w:pStyle w:val="Heading5"/>
      <w:lvlText w:val="%4.%5"/>
      <w:lvlJc w:val="left"/>
      <w:pPr>
        <w:tabs>
          <w:tab w:val="num" w:pos="720"/>
        </w:tabs>
        <w:ind w:left="720" w:hanging="720"/>
      </w:pPr>
      <w:rPr>
        <w:rFonts w:hint="default"/>
      </w:rPr>
    </w:lvl>
    <w:lvl w:ilvl="5">
      <w:start w:val="1"/>
      <w:numFmt w:val="decimal"/>
      <w:pStyle w:val="Heading6"/>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27" w15:restartNumberingAfterBreak="0">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abstractNum w:abstractNumId="28"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29" w15:restartNumberingAfterBreak="0">
    <w:nsid w:val="5E49733E"/>
    <w:multiLevelType w:val="multilevel"/>
    <w:tmpl w:val="8DF204F0"/>
    <w:lvl w:ilvl="0">
      <w:start w:val="1"/>
      <w:numFmt w:val="decimal"/>
      <w:pStyle w:val="Table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15:restartNumberingAfterBreak="0">
    <w:nsid w:val="65F06962"/>
    <w:multiLevelType w:val="hybridMultilevel"/>
    <w:tmpl w:val="28E6592C"/>
    <w:lvl w:ilvl="0" w:tplc="040C0005">
      <w:start w:val="1"/>
      <w:numFmt w:val="bullet"/>
      <w:lvlText w:val=""/>
      <w:lvlJc w:val="left"/>
      <w:pPr>
        <w:ind w:left="144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81B817D0">
      <w:numFmt w:val="bullet"/>
      <w:lvlText w:val="-"/>
      <w:lvlJc w:val="left"/>
      <w:pPr>
        <w:ind w:left="3240" w:hanging="720"/>
      </w:pPr>
      <w:rPr>
        <w:rFonts w:ascii="Garamond" w:eastAsia="Times New Roman" w:hAnsi="Garamond" w:cs="Times New Roman"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89E4F6C"/>
    <w:multiLevelType w:val="multilevel"/>
    <w:tmpl w:val="5A7484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32" w15:restartNumberingAfterBreak="0">
    <w:nsid w:val="708F7426"/>
    <w:multiLevelType w:val="hybridMultilevel"/>
    <w:tmpl w:val="6F3CC0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1DC4E6C"/>
    <w:multiLevelType w:val="hybridMultilevel"/>
    <w:tmpl w:val="7EB8FAB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D736967"/>
    <w:multiLevelType w:val="hybridMultilevel"/>
    <w:tmpl w:val="E0604A22"/>
    <w:lvl w:ilvl="0" w:tplc="6E6A6C54">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6"/>
  </w:num>
  <w:num w:numId="4">
    <w:abstractNumId w:val="9"/>
  </w:num>
  <w:num w:numId="5">
    <w:abstractNumId w:val="28"/>
  </w:num>
  <w:num w:numId="6">
    <w:abstractNumId w:val="21"/>
  </w:num>
  <w:num w:numId="7">
    <w:abstractNumId w:val="29"/>
  </w:num>
  <w:num w:numId="8">
    <w:abstractNumId w:val="15"/>
  </w:num>
  <w:num w:numId="9">
    <w:abstractNumId w:val="31"/>
  </w:num>
  <w:num w:numId="10">
    <w:abstractNumId w:val="4"/>
  </w:num>
  <w:num w:numId="11">
    <w:abstractNumId w:val="5"/>
  </w:num>
  <w:num w:numId="12">
    <w:abstractNumId w:val="3"/>
  </w:num>
  <w:num w:numId="13">
    <w:abstractNumId w:val="2"/>
  </w:num>
  <w:num w:numId="14">
    <w:abstractNumId w:val="1"/>
  </w:num>
  <w:num w:numId="15">
    <w:abstractNumId w:val="0"/>
  </w:num>
  <w:num w:numId="16">
    <w:abstractNumId w:val="24"/>
  </w:num>
  <w:num w:numId="17">
    <w:abstractNumId w:val="23"/>
  </w:num>
  <w:num w:numId="18">
    <w:abstractNumId w:val="11"/>
  </w:num>
  <w:num w:numId="19">
    <w:abstractNumId w:val="25"/>
  </w:num>
  <w:num w:numId="20">
    <w:abstractNumId w:val="20"/>
  </w:num>
  <w:num w:numId="21">
    <w:abstractNumId w:val="14"/>
  </w:num>
  <w:num w:numId="22">
    <w:abstractNumId w:val="22"/>
  </w:num>
  <w:num w:numId="23">
    <w:abstractNumId w:val="6"/>
  </w:num>
  <w:num w:numId="24">
    <w:abstractNumId w:val="30"/>
  </w:num>
  <w:num w:numId="25">
    <w:abstractNumId w:val="7"/>
  </w:num>
  <w:num w:numId="26">
    <w:abstractNumId w:val="19"/>
  </w:num>
  <w:num w:numId="27">
    <w:abstractNumId w:val="33"/>
  </w:num>
  <w:num w:numId="28">
    <w:abstractNumId w:val="16"/>
  </w:num>
  <w:num w:numId="29">
    <w:abstractNumId w:val="12"/>
  </w:num>
  <w:num w:numId="30">
    <w:abstractNumId w:val="8"/>
  </w:num>
  <w:num w:numId="31">
    <w:abstractNumId w:val="32"/>
  </w:num>
  <w:num w:numId="32">
    <w:abstractNumId w:val="17"/>
  </w:num>
  <w:num w:numId="33">
    <w:abstractNumId w:val="10"/>
  </w:num>
  <w:num w:numId="34">
    <w:abstractNumId w:val="32"/>
  </w:num>
  <w:num w:numId="35">
    <w:abstractNumId w:val="17"/>
  </w:num>
  <w:num w:numId="36">
    <w:abstractNumId w:val="10"/>
  </w:num>
  <w:num w:numId="37">
    <w:abstractNumId w:val="9"/>
  </w:num>
  <w:num w:numId="38">
    <w:abstractNumId w:val="34"/>
  </w:num>
  <w:num w:numId="39">
    <w:abstractNumId w:val="9"/>
  </w:num>
  <w:num w:numId="40">
    <w:abstractNumId w:val="18"/>
  </w:num>
  <w:num w:numId="4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56"/>
    <w:rsid w:val="0000126C"/>
    <w:rsid w:val="00002D1F"/>
    <w:rsid w:val="000056E0"/>
    <w:rsid w:val="000106E1"/>
    <w:rsid w:val="000251D2"/>
    <w:rsid w:val="000271E6"/>
    <w:rsid w:val="000301E0"/>
    <w:rsid w:val="000320E4"/>
    <w:rsid w:val="00040338"/>
    <w:rsid w:val="0004738E"/>
    <w:rsid w:val="000513B2"/>
    <w:rsid w:val="00052B32"/>
    <w:rsid w:val="00053F02"/>
    <w:rsid w:val="0006372E"/>
    <w:rsid w:val="00065138"/>
    <w:rsid w:val="00070D1A"/>
    <w:rsid w:val="00072897"/>
    <w:rsid w:val="00076491"/>
    <w:rsid w:val="00083EBB"/>
    <w:rsid w:val="0009144F"/>
    <w:rsid w:val="000A4C28"/>
    <w:rsid w:val="000B1A50"/>
    <w:rsid w:val="000C29BE"/>
    <w:rsid w:val="000C2CA5"/>
    <w:rsid w:val="000C5F47"/>
    <w:rsid w:val="000D01FA"/>
    <w:rsid w:val="000E1E52"/>
    <w:rsid w:val="000E2A9B"/>
    <w:rsid w:val="000E53F2"/>
    <w:rsid w:val="000F70E7"/>
    <w:rsid w:val="001124C3"/>
    <w:rsid w:val="001136A2"/>
    <w:rsid w:val="00117DEE"/>
    <w:rsid w:val="0012618C"/>
    <w:rsid w:val="00127F05"/>
    <w:rsid w:val="00130D69"/>
    <w:rsid w:val="00131E69"/>
    <w:rsid w:val="00135AD3"/>
    <w:rsid w:val="001361CF"/>
    <w:rsid w:val="00137F7E"/>
    <w:rsid w:val="00144D98"/>
    <w:rsid w:val="00145BB7"/>
    <w:rsid w:val="00157DBF"/>
    <w:rsid w:val="00162D34"/>
    <w:rsid w:val="001668AF"/>
    <w:rsid w:val="00166969"/>
    <w:rsid w:val="0017167C"/>
    <w:rsid w:val="00186192"/>
    <w:rsid w:val="00193EF7"/>
    <w:rsid w:val="00196C58"/>
    <w:rsid w:val="001A5898"/>
    <w:rsid w:val="001B3981"/>
    <w:rsid w:val="001B3F21"/>
    <w:rsid w:val="001B6B76"/>
    <w:rsid w:val="001C2C67"/>
    <w:rsid w:val="001C2E99"/>
    <w:rsid w:val="001D09DC"/>
    <w:rsid w:val="001D6F80"/>
    <w:rsid w:val="001E0584"/>
    <w:rsid w:val="001E0E6A"/>
    <w:rsid w:val="001E1D03"/>
    <w:rsid w:val="001E5F7F"/>
    <w:rsid w:val="001E69DA"/>
    <w:rsid w:val="001E6A59"/>
    <w:rsid w:val="001F073A"/>
    <w:rsid w:val="0020556E"/>
    <w:rsid w:val="00213D81"/>
    <w:rsid w:val="00213EAA"/>
    <w:rsid w:val="00227D9B"/>
    <w:rsid w:val="00235A36"/>
    <w:rsid w:val="002377A8"/>
    <w:rsid w:val="00245156"/>
    <w:rsid w:val="00247FF3"/>
    <w:rsid w:val="00251BC1"/>
    <w:rsid w:val="0025384D"/>
    <w:rsid w:val="0025731C"/>
    <w:rsid w:val="0026063E"/>
    <w:rsid w:val="002634C3"/>
    <w:rsid w:val="00265644"/>
    <w:rsid w:val="00273841"/>
    <w:rsid w:val="002739BE"/>
    <w:rsid w:val="00282B8B"/>
    <w:rsid w:val="00282DB3"/>
    <w:rsid w:val="00286CBA"/>
    <w:rsid w:val="00292089"/>
    <w:rsid w:val="00292320"/>
    <w:rsid w:val="002A5C34"/>
    <w:rsid w:val="002A721A"/>
    <w:rsid w:val="002A7C21"/>
    <w:rsid w:val="002B3029"/>
    <w:rsid w:val="002B74F7"/>
    <w:rsid w:val="002C0A0C"/>
    <w:rsid w:val="002C1515"/>
    <w:rsid w:val="002C3D88"/>
    <w:rsid w:val="002C7939"/>
    <w:rsid w:val="002D28FC"/>
    <w:rsid w:val="002D5E36"/>
    <w:rsid w:val="002D77F6"/>
    <w:rsid w:val="002E004D"/>
    <w:rsid w:val="002E30C0"/>
    <w:rsid w:val="002E65F2"/>
    <w:rsid w:val="002E7D7E"/>
    <w:rsid w:val="002F23E3"/>
    <w:rsid w:val="002F505C"/>
    <w:rsid w:val="002F6787"/>
    <w:rsid w:val="002F7E2E"/>
    <w:rsid w:val="0030282E"/>
    <w:rsid w:val="00302CC0"/>
    <w:rsid w:val="00304F3D"/>
    <w:rsid w:val="00305A66"/>
    <w:rsid w:val="00307BBB"/>
    <w:rsid w:val="003110F9"/>
    <w:rsid w:val="0031291A"/>
    <w:rsid w:val="003174FF"/>
    <w:rsid w:val="003220DF"/>
    <w:rsid w:val="003228DD"/>
    <w:rsid w:val="00325CF0"/>
    <w:rsid w:val="00334D6D"/>
    <w:rsid w:val="00344BB9"/>
    <w:rsid w:val="00344DE9"/>
    <w:rsid w:val="0035663F"/>
    <w:rsid w:val="00360E0B"/>
    <w:rsid w:val="0036290B"/>
    <w:rsid w:val="00372D2F"/>
    <w:rsid w:val="00382C9B"/>
    <w:rsid w:val="00385882"/>
    <w:rsid w:val="00390225"/>
    <w:rsid w:val="003906AA"/>
    <w:rsid w:val="00390E2D"/>
    <w:rsid w:val="00393B3B"/>
    <w:rsid w:val="00394ACC"/>
    <w:rsid w:val="00396369"/>
    <w:rsid w:val="003B7E5E"/>
    <w:rsid w:val="003C05FE"/>
    <w:rsid w:val="003C111F"/>
    <w:rsid w:val="003D4732"/>
    <w:rsid w:val="003E57BC"/>
    <w:rsid w:val="003F23CD"/>
    <w:rsid w:val="003F647F"/>
    <w:rsid w:val="00400BEE"/>
    <w:rsid w:val="00401A51"/>
    <w:rsid w:val="00402FEA"/>
    <w:rsid w:val="004041DB"/>
    <w:rsid w:val="0041266C"/>
    <w:rsid w:val="0041426E"/>
    <w:rsid w:val="00425B17"/>
    <w:rsid w:val="00427566"/>
    <w:rsid w:val="00436B92"/>
    <w:rsid w:val="00440AD4"/>
    <w:rsid w:val="004415BE"/>
    <w:rsid w:val="00444E2D"/>
    <w:rsid w:val="004455AA"/>
    <w:rsid w:val="00451A97"/>
    <w:rsid w:val="0045774C"/>
    <w:rsid w:val="00466069"/>
    <w:rsid w:val="00473F77"/>
    <w:rsid w:val="00474088"/>
    <w:rsid w:val="004767F1"/>
    <w:rsid w:val="004850B0"/>
    <w:rsid w:val="00485B58"/>
    <w:rsid w:val="00485B59"/>
    <w:rsid w:val="00490688"/>
    <w:rsid w:val="004916E3"/>
    <w:rsid w:val="0049382F"/>
    <w:rsid w:val="00493A04"/>
    <w:rsid w:val="0049485F"/>
    <w:rsid w:val="004A28F2"/>
    <w:rsid w:val="004A601B"/>
    <w:rsid w:val="004B57E2"/>
    <w:rsid w:val="004D11CF"/>
    <w:rsid w:val="004D3633"/>
    <w:rsid w:val="004D39E6"/>
    <w:rsid w:val="004D6D04"/>
    <w:rsid w:val="004E3905"/>
    <w:rsid w:val="004E4BE2"/>
    <w:rsid w:val="004F44C2"/>
    <w:rsid w:val="0051033A"/>
    <w:rsid w:val="005120AD"/>
    <w:rsid w:val="00512C8E"/>
    <w:rsid w:val="00514BFF"/>
    <w:rsid w:val="005204BB"/>
    <w:rsid w:val="00521C50"/>
    <w:rsid w:val="00522050"/>
    <w:rsid w:val="00533C05"/>
    <w:rsid w:val="005356BF"/>
    <w:rsid w:val="00542227"/>
    <w:rsid w:val="00542C94"/>
    <w:rsid w:val="00552CE2"/>
    <w:rsid w:val="00553864"/>
    <w:rsid w:val="00555571"/>
    <w:rsid w:val="00564B9C"/>
    <w:rsid w:val="00565706"/>
    <w:rsid w:val="005850F0"/>
    <w:rsid w:val="00586F0C"/>
    <w:rsid w:val="0058748D"/>
    <w:rsid w:val="0059272C"/>
    <w:rsid w:val="00596E36"/>
    <w:rsid w:val="005A33C8"/>
    <w:rsid w:val="005A4541"/>
    <w:rsid w:val="005A6BC0"/>
    <w:rsid w:val="005B45D7"/>
    <w:rsid w:val="005B4B4F"/>
    <w:rsid w:val="005B689B"/>
    <w:rsid w:val="005C0402"/>
    <w:rsid w:val="005D339A"/>
    <w:rsid w:val="005D37CF"/>
    <w:rsid w:val="005D52E4"/>
    <w:rsid w:val="005F3C4B"/>
    <w:rsid w:val="00601E8E"/>
    <w:rsid w:val="006072B1"/>
    <w:rsid w:val="00614596"/>
    <w:rsid w:val="006216CA"/>
    <w:rsid w:val="006271CA"/>
    <w:rsid w:val="006411F1"/>
    <w:rsid w:val="006447C5"/>
    <w:rsid w:val="00661CD5"/>
    <w:rsid w:val="00666EA6"/>
    <w:rsid w:val="006673E9"/>
    <w:rsid w:val="0067128E"/>
    <w:rsid w:val="00671521"/>
    <w:rsid w:val="006770BB"/>
    <w:rsid w:val="00680DB2"/>
    <w:rsid w:val="00682D46"/>
    <w:rsid w:val="0068336B"/>
    <w:rsid w:val="0068749B"/>
    <w:rsid w:val="006902FF"/>
    <w:rsid w:val="006A09C4"/>
    <w:rsid w:val="006A6CC5"/>
    <w:rsid w:val="006B551D"/>
    <w:rsid w:val="006C31E8"/>
    <w:rsid w:val="006D1D2C"/>
    <w:rsid w:val="006D47B8"/>
    <w:rsid w:val="006D5712"/>
    <w:rsid w:val="006D5E25"/>
    <w:rsid w:val="006D6606"/>
    <w:rsid w:val="006E0046"/>
    <w:rsid w:val="006E1AC2"/>
    <w:rsid w:val="006E5419"/>
    <w:rsid w:val="006F18F7"/>
    <w:rsid w:val="007076F8"/>
    <w:rsid w:val="007103C3"/>
    <w:rsid w:val="007120E0"/>
    <w:rsid w:val="007154F2"/>
    <w:rsid w:val="0072321A"/>
    <w:rsid w:val="00730F68"/>
    <w:rsid w:val="0073591E"/>
    <w:rsid w:val="007502A2"/>
    <w:rsid w:val="007510AE"/>
    <w:rsid w:val="00752719"/>
    <w:rsid w:val="00752C91"/>
    <w:rsid w:val="0075681C"/>
    <w:rsid w:val="007625CF"/>
    <w:rsid w:val="00764142"/>
    <w:rsid w:val="007673DE"/>
    <w:rsid w:val="00770237"/>
    <w:rsid w:val="00784717"/>
    <w:rsid w:val="0079328A"/>
    <w:rsid w:val="007960F3"/>
    <w:rsid w:val="007A0BDD"/>
    <w:rsid w:val="007A0C6B"/>
    <w:rsid w:val="007A1856"/>
    <w:rsid w:val="007A7601"/>
    <w:rsid w:val="007B0CF5"/>
    <w:rsid w:val="007B5A0E"/>
    <w:rsid w:val="007C072A"/>
    <w:rsid w:val="007C3915"/>
    <w:rsid w:val="007C63E5"/>
    <w:rsid w:val="007D3168"/>
    <w:rsid w:val="007D4DD3"/>
    <w:rsid w:val="007D6E85"/>
    <w:rsid w:val="007D7981"/>
    <w:rsid w:val="007E01BE"/>
    <w:rsid w:val="007E0437"/>
    <w:rsid w:val="007E5134"/>
    <w:rsid w:val="007E7DB5"/>
    <w:rsid w:val="007F043E"/>
    <w:rsid w:val="007F418D"/>
    <w:rsid w:val="007F4249"/>
    <w:rsid w:val="007F4C5C"/>
    <w:rsid w:val="00802CC3"/>
    <w:rsid w:val="00814CFB"/>
    <w:rsid w:val="00815F7D"/>
    <w:rsid w:val="0082640A"/>
    <w:rsid w:val="00831E53"/>
    <w:rsid w:val="00832A58"/>
    <w:rsid w:val="00843FC6"/>
    <w:rsid w:val="008521B0"/>
    <w:rsid w:val="008539BC"/>
    <w:rsid w:val="008552E7"/>
    <w:rsid w:val="00861566"/>
    <w:rsid w:val="00872501"/>
    <w:rsid w:val="0087416A"/>
    <w:rsid w:val="0087461C"/>
    <w:rsid w:val="00893A11"/>
    <w:rsid w:val="00894C01"/>
    <w:rsid w:val="008A1640"/>
    <w:rsid w:val="008A17F0"/>
    <w:rsid w:val="008A388D"/>
    <w:rsid w:val="008A44B8"/>
    <w:rsid w:val="008B07AC"/>
    <w:rsid w:val="008B0DCF"/>
    <w:rsid w:val="008B2A82"/>
    <w:rsid w:val="008B2C87"/>
    <w:rsid w:val="008B4B36"/>
    <w:rsid w:val="008C058D"/>
    <w:rsid w:val="008C3D4B"/>
    <w:rsid w:val="008C4A1A"/>
    <w:rsid w:val="008C553E"/>
    <w:rsid w:val="008C6722"/>
    <w:rsid w:val="008D2791"/>
    <w:rsid w:val="008D4240"/>
    <w:rsid w:val="008D4379"/>
    <w:rsid w:val="008E2758"/>
    <w:rsid w:val="008E7C9B"/>
    <w:rsid w:val="008F0B3C"/>
    <w:rsid w:val="008F135B"/>
    <w:rsid w:val="00910913"/>
    <w:rsid w:val="00911862"/>
    <w:rsid w:val="00913A28"/>
    <w:rsid w:val="00925C16"/>
    <w:rsid w:val="00931A18"/>
    <w:rsid w:val="00934324"/>
    <w:rsid w:val="009352FD"/>
    <w:rsid w:val="0094115D"/>
    <w:rsid w:val="0094311B"/>
    <w:rsid w:val="009436D0"/>
    <w:rsid w:val="00943D6B"/>
    <w:rsid w:val="00951DC7"/>
    <w:rsid w:val="0095374C"/>
    <w:rsid w:val="00954EBF"/>
    <w:rsid w:val="009570D7"/>
    <w:rsid w:val="00965235"/>
    <w:rsid w:val="00985F06"/>
    <w:rsid w:val="00990FB4"/>
    <w:rsid w:val="009911AB"/>
    <w:rsid w:val="00994481"/>
    <w:rsid w:val="00995D3B"/>
    <w:rsid w:val="00997BFA"/>
    <w:rsid w:val="009A7F56"/>
    <w:rsid w:val="009B351F"/>
    <w:rsid w:val="009B6988"/>
    <w:rsid w:val="009C04EE"/>
    <w:rsid w:val="009C0501"/>
    <w:rsid w:val="009D1919"/>
    <w:rsid w:val="009D3550"/>
    <w:rsid w:val="009E622D"/>
    <w:rsid w:val="009E6BA4"/>
    <w:rsid w:val="009F3463"/>
    <w:rsid w:val="009F3D25"/>
    <w:rsid w:val="009F43C9"/>
    <w:rsid w:val="00A00DFE"/>
    <w:rsid w:val="00A03500"/>
    <w:rsid w:val="00A06D34"/>
    <w:rsid w:val="00A073CC"/>
    <w:rsid w:val="00A1113C"/>
    <w:rsid w:val="00A22DCD"/>
    <w:rsid w:val="00A308BC"/>
    <w:rsid w:val="00A30AB8"/>
    <w:rsid w:val="00A31C53"/>
    <w:rsid w:val="00A41F63"/>
    <w:rsid w:val="00A42A82"/>
    <w:rsid w:val="00A44B06"/>
    <w:rsid w:val="00A47BBB"/>
    <w:rsid w:val="00A51242"/>
    <w:rsid w:val="00A525EB"/>
    <w:rsid w:val="00A64CA5"/>
    <w:rsid w:val="00A832DD"/>
    <w:rsid w:val="00A84FC9"/>
    <w:rsid w:val="00A8753C"/>
    <w:rsid w:val="00A90ED0"/>
    <w:rsid w:val="00AA0E32"/>
    <w:rsid w:val="00AB6804"/>
    <w:rsid w:val="00AC0A14"/>
    <w:rsid w:val="00AC0F81"/>
    <w:rsid w:val="00AC1BE1"/>
    <w:rsid w:val="00AC4215"/>
    <w:rsid w:val="00AC7848"/>
    <w:rsid w:val="00AE2073"/>
    <w:rsid w:val="00AF5A1D"/>
    <w:rsid w:val="00AF6BCD"/>
    <w:rsid w:val="00B0057E"/>
    <w:rsid w:val="00B0341D"/>
    <w:rsid w:val="00B06480"/>
    <w:rsid w:val="00B15E94"/>
    <w:rsid w:val="00B1769E"/>
    <w:rsid w:val="00B17E10"/>
    <w:rsid w:val="00B203F1"/>
    <w:rsid w:val="00B20BF1"/>
    <w:rsid w:val="00B23AE9"/>
    <w:rsid w:val="00B25762"/>
    <w:rsid w:val="00B36323"/>
    <w:rsid w:val="00B37587"/>
    <w:rsid w:val="00B37F59"/>
    <w:rsid w:val="00B42673"/>
    <w:rsid w:val="00B56417"/>
    <w:rsid w:val="00B56CD7"/>
    <w:rsid w:val="00B626A5"/>
    <w:rsid w:val="00B650F4"/>
    <w:rsid w:val="00B678F3"/>
    <w:rsid w:val="00B76A01"/>
    <w:rsid w:val="00B77D23"/>
    <w:rsid w:val="00BA1C5E"/>
    <w:rsid w:val="00BB432D"/>
    <w:rsid w:val="00BB5353"/>
    <w:rsid w:val="00BC064E"/>
    <w:rsid w:val="00BC1B9E"/>
    <w:rsid w:val="00BC22A3"/>
    <w:rsid w:val="00BD1DB6"/>
    <w:rsid w:val="00BE0CCF"/>
    <w:rsid w:val="00BE48BC"/>
    <w:rsid w:val="00BE586C"/>
    <w:rsid w:val="00BE67D9"/>
    <w:rsid w:val="00BF5D1E"/>
    <w:rsid w:val="00BF79E8"/>
    <w:rsid w:val="00C110A1"/>
    <w:rsid w:val="00C14356"/>
    <w:rsid w:val="00C25DD6"/>
    <w:rsid w:val="00C26C33"/>
    <w:rsid w:val="00C2784D"/>
    <w:rsid w:val="00C301CE"/>
    <w:rsid w:val="00C3093C"/>
    <w:rsid w:val="00C31521"/>
    <w:rsid w:val="00C31B53"/>
    <w:rsid w:val="00C452A3"/>
    <w:rsid w:val="00C558ED"/>
    <w:rsid w:val="00C75DDD"/>
    <w:rsid w:val="00C87017"/>
    <w:rsid w:val="00C91CC7"/>
    <w:rsid w:val="00C970CF"/>
    <w:rsid w:val="00CA036E"/>
    <w:rsid w:val="00CA5BF0"/>
    <w:rsid w:val="00CB5216"/>
    <w:rsid w:val="00CC047E"/>
    <w:rsid w:val="00CD2939"/>
    <w:rsid w:val="00CD6687"/>
    <w:rsid w:val="00CE43AC"/>
    <w:rsid w:val="00CF7CF8"/>
    <w:rsid w:val="00D00AF8"/>
    <w:rsid w:val="00D01119"/>
    <w:rsid w:val="00D1090B"/>
    <w:rsid w:val="00D151EF"/>
    <w:rsid w:val="00D154F4"/>
    <w:rsid w:val="00D162F0"/>
    <w:rsid w:val="00D16A12"/>
    <w:rsid w:val="00D21821"/>
    <w:rsid w:val="00D239A6"/>
    <w:rsid w:val="00D25813"/>
    <w:rsid w:val="00D3492A"/>
    <w:rsid w:val="00D40F5B"/>
    <w:rsid w:val="00D425C3"/>
    <w:rsid w:val="00D42832"/>
    <w:rsid w:val="00D45097"/>
    <w:rsid w:val="00D50AF1"/>
    <w:rsid w:val="00D51277"/>
    <w:rsid w:val="00D519DE"/>
    <w:rsid w:val="00D726C0"/>
    <w:rsid w:val="00D758FC"/>
    <w:rsid w:val="00D82634"/>
    <w:rsid w:val="00D84188"/>
    <w:rsid w:val="00D90457"/>
    <w:rsid w:val="00D97E11"/>
    <w:rsid w:val="00DA1F66"/>
    <w:rsid w:val="00DA4127"/>
    <w:rsid w:val="00DB0D90"/>
    <w:rsid w:val="00DB17F0"/>
    <w:rsid w:val="00DB2316"/>
    <w:rsid w:val="00DB438F"/>
    <w:rsid w:val="00DB5EC6"/>
    <w:rsid w:val="00DB5EE6"/>
    <w:rsid w:val="00DB6CE9"/>
    <w:rsid w:val="00DC256B"/>
    <w:rsid w:val="00DC434E"/>
    <w:rsid w:val="00DD0701"/>
    <w:rsid w:val="00DD172D"/>
    <w:rsid w:val="00DD2847"/>
    <w:rsid w:val="00DD323C"/>
    <w:rsid w:val="00DD4BEB"/>
    <w:rsid w:val="00DE0086"/>
    <w:rsid w:val="00DE2526"/>
    <w:rsid w:val="00DE60F9"/>
    <w:rsid w:val="00DF7D23"/>
    <w:rsid w:val="00E068F6"/>
    <w:rsid w:val="00E16AFC"/>
    <w:rsid w:val="00E2045A"/>
    <w:rsid w:val="00E22BA8"/>
    <w:rsid w:val="00E33525"/>
    <w:rsid w:val="00E34A54"/>
    <w:rsid w:val="00E416AB"/>
    <w:rsid w:val="00E41CA3"/>
    <w:rsid w:val="00E44220"/>
    <w:rsid w:val="00E456CC"/>
    <w:rsid w:val="00E50063"/>
    <w:rsid w:val="00E51416"/>
    <w:rsid w:val="00E56283"/>
    <w:rsid w:val="00E62223"/>
    <w:rsid w:val="00E65FB4"/>
    <w:rsid w:val="00E662A6"/>
    <w:rsid w:val="00E6739C"/>
    <w:rsid w:val="00E74AE2"/>
    <w:rsid w:val="00E83DC2"/>
    <w:rsid w:val="00E94578"/>
    <w:rsid w:val="00E945B9"/>
    <w:rsid w:val="00EA16A5"/>
    <w:rsid w:val="00EA33E9"/>
    <w:rsid w:val="00EA5BAC"/>
    <w:rsid w:val="00EB58C6"/>
    <w:rsid w:val="00EC41D7"/>
    <w:rsid w:val="00EE292E"/>
    <w:rsid w:val="00EE56DC"/>
    <w:rsid w:val="00EE644D"/>
    <w:rsid w:val="00EF1EBF"/>
    <w:rsid w:val="00EF6159"/>
    <w:rsid w:val="00EF798A"/>
    <w:rsid w:val="00F103E9"/>
    <w:rsid w:val="00F20004"/>
    <w:rsid w:val="00F20B7D"/>
    <w:rsid w:val="00F23C0A"/>
    <w:rsid w:val="00F272C0"/>
    <w:rsid w:val="00F332DE"/>
    <w:rsid w:val="00F342F7"/>
    <w:rsid w:val="00F34585"/>
    <w:rsid w:val="00F34AEB"/>
    <w:rsid w:val="00F37309"/>
    <w:rsid w:val="00F44E6A"/>
    <w:rsid w:val="00F547E9"/>
    <w:rsid w:val="00F558E0"/>
    <w:rsid w:val="00F60902"/>
    <w:rsid w:val="00F6464E"/>
    <w:rsid w:val="00F67D76"/>
    <w:rsid w:val="00F821BC"/>
    <w:rsid w:val="00F929BE"/>
    <w:rsid w:val="00FA2CA6"/>
    <w:rsid w:val="00FA4943"/>
    <w:rsid w:val="00FA6B28"/>
    <w:rsid w:val="00FB5206"/>
    <w:rsid w:val="00FB7A0A"/>
    <w:rsid w:val="00FB7E7C"/>
    <w:rsid w:val="00FC3FAA"/>
    <w:rsid w:val="00FD32B9"/>
    <w:rsid w:val="00FE1869"/>
    <w:rsid w:val="00FE47C0"/>
    <w:rsid w:val="00FF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0EE0B"/>
  <w15:docId w15:val="{A2912833-C77E-4F03-9FA9-49689C7C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A1D"/>
    <w:pPr>
      <w:jc w:val="both"/>
    </w:pPr>
    <w:rPr>
      <w:rFonts w:ascii="Garamond" w:hAnsi="Garamond"/>
      <w:sz w:val="24"/>
      <w:szCs w:val="24"/>
      <w:lang w:eastAsia="en-NZ"/>
    </w:rPr>
  </w:style>
  <w:style w:type="paragraph" w:styleId="Heading1">
    <w:name w:val="heading 1"/>
    <w:basedOn w:val="Normal"/>
    <w:next w:val="BodyText"/>
    <w:qFormat/>
    <w:rsid w:val="008C4A1A"/>
    <w:pPr>
      <w:keepNext/>
      <w:numPr>
        <w:numId w:val="3"/>
      </w:numPr>
      <w:spacing w:before="240" w:after="120"/>
      <w:jc w:val="left"/>
      <w:outlineLvl w:val="0"/>
    </w:pPr>
    <w:rPr>
      <w:rFonts w:cs="Arial"/>
      <w:b/>
      <w:bCs/>
      <w:kern w:val="28"/>
      <w:sz w:val="36"/>
      <w:szCs w:val="36"/>
    </w:rPr>
  </w:style>
  <w:style w:type="paragraph" w:styleId="Heading2">
    <w:name w:val="heading 2"/>
    <w:basedOn w:val="Normal"/>
    <w:next w:val="BodyText"/>
    <w:qFormat/>
    <w:rsid w:val="008C4A1A"/>
    <w:pPr>
      <w:keepNext/>
      <w:numPr>
        <w:ilvl w:val="1"/>
        <w:numId w:val="3"/>
      </w:numPr>
      <w:tabs>
        <w:tab w:val="clear" w:pos="3981"/>
        <w:tab w:val="num" w:pos="720"/>
      </w:tabs>
      <w:spacing w:before="120" w:after="80"/>
      <w:ind w:left="720"/>
      <w:jc w:val="left"/>
      <w:outlineLvl w:val="1"/>
    </w:pPr>
    <w:rPr>
      <w:rFonts w:cs="Arial"/>
      <w:b/>
      <w:bCs/>
      <w:iCs/>
      <w:kern w:val="28"/>
      <w:sz w:val="28"/>
      <w:szCs w:val="28"/>
    </w:rPr>
  </w:style>
  <w:style w:type="paragraph" w:styleId="Heading3">
    <w:name w:val="heading 3"/>
    <w:basedOn w:val="Normal"/>
    <w:next w:val="BodyText"/>
    <w:qFormat/>
    <w:rsid w:val="008C4A1A"/>
    <w:pPr>
      <w:keepNext/>
      <w:numPr>
        <w:ilvl w:val="2"/>
        <w:numId w:val="3"/>
      </w:numPr>
      <w:spacing w:after="80"/>
      <w:jc w:val="left"/>
      <w:outlineLvl w:val="2"/>
    </w:pPr>
    <w:rPr>
      <w:rFonts w:cs="Arial"/>
      <w:b/>
      <w:bCs/>
      <w:szCs w:val="26"/>
    </w:rPr>
  </w:style>
  <w:style w:type="paragraph" w:styleId="Heading4">
    <w:name w:val="heading 4"/>
    <w:basedOn w:val="Heading1"/>
    <w:next w:val="BodyText"/>
    <w:qFormat/>
    <w:rsid w:val="00965235"/>
    <w:pPr>
      <w:numPr>
        <w:ilvl w:val="3"/>
      </w:numPr>
      <w:ind w:left="0" w:firstLine="0"/>
      <w:outlineLvl w:val="3"/>
    </w:pPr>
    <w:rPr>
      <w:bCs w:val="0"/>
    </w:rPr>
  </w:style>
  <w:style w:type="paragraph" w:styleId="Heading5">
    <w:name w:val="heading 5"/>
    <w:basedOn w:val="Heading2"/>
    <w:next w:val="BodyText"/>
    <w:qFormat/>
    <w:rsid w:val="008C4A1A"/>
    <w:pPr>
      <w:numPr>
        <w:ilvl w:val="4"/>
      </w:numPr>
      <w:outlineLvl w:val="4"/>
    </w:pPr>
    <w:rPr>
      <w:bCs w:val="0"/>
      <w:iCs w:val="0"/>
    </w:rPr>
  </w:style>
  <w:style w:type="paragraph" w:styleId="Heading6">
    <w:name w:val="heading 6"/>
    <w:basedOn w:val="Heading3"/>
    <w:next w:val="BodyText"/>
    <w:qFormat/>
    <w:rsid w:val="008C4A1A"/>
    <w:pPr>
      <w:numPr>
        <w:ilvl w:val="5"/>
      </w:numPr>
      <w:outlineLvl w:val="5"/>
    </w:pPr>
    <w:rPr>
      <w:bCs w:val="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Body Text Char Char Char Char,Body Text Char Char Char,Body Text Char Char,1body,BodText,bt,body text,Body Txt,heading3,3 indent,heading31,body text1,3 indent1,heading32,body text2,3 indent2,b,heading33,B.,su"/>
    <w:basedOn w:val="Normal"/>
    <w:link w:val="BodyTextChar"/>
    <w:qFormat/>
    <w:rsid w:val="00AF5A1D"/>
    <w:pPr>
      <w:spacing w:after="120"/>
    </w:pPr>
  </w:style>
  <w:style w:type="paragraph" w:customStyle="1" w:styleId="BlockQuotation">
    <w:name w:val="Block Quotation"/>
    <w:basedOn w:val="BodyText"/>
    <w:next w:val="BodyText"/>
    <w:rsid w:val="00AF5A1D"/>
    <w:pPr>
      <w:keepLines/>
      <w:spacing w:line="280" w:lineRule="atLeast"/>
      <w:ind w:left="720" w:right="720"/>
    </w:pPr>
    <w:rPr>
      <w:i/>
    </w:rPr>
  </w:style>
  <w:style w:type="paragraph" w:customStyle="1" w:styleId="Subheading">
    <w:name w:val="Subheading"/>
    <w:basedOn w:val="BodyText"/>
    <w:next w:val="BodyText"/>
    <w:rsid w:val="000513B2"/>
    <w:pPr>
      <w:keepNext/>
      <w:spacing w:after="80"/>
      <w:jc w:val="left"/>
    </w:pPr>
    <w:rPr>
      <w:b/>
      <w:kern w:val="28"/>
    </w:r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List Bullet2"/>
    <w:basedOn w:val="BodyText"/>
    <w:link w:val="ListBulletChar"/>
    <w:qFormat/>
    <w:rsid w:val="00AF5A1D"/>
    <w:pPr>
      <w:numPr>
        <w:numId w:val="4"/>
      </w:numPr>
    </w:pPr>
  </w:style>
  <w:style w:type="paragraph" w:styleId="ListContinue">
    <w:name w:val="List Continue"/>
    <w:basedOn w:val="BodyText"/>
    <w:rsid w:val="00AF5A1D"/>
    <w:pPr>
      <w:ind w:left="1004"/>
    </w:pPr>
  </w:style>
  <w:style w:type="paragraph" w:styleId="ListBullet2">
    <w:name w:val="List Bullet 2"/>
    <w:aliases w:val="List Bullet 2 Char Char Char"/>
    <w:basedOn w:val="BodyText"/>
    <w:qFormat/>
    <w:rsid w:val="00AF5A1D"/>
    <w:pPr>
      <w:numPr>
        <w:ilvl w:val="1"/>
        <w:numId w:val="4"/>
      </w:numPr>
    </w:pPr>
  </w:style>
  <w:style w:type="paragraph" w:styleId="ListBullet3">
    <w:name w:val="List Bullet 3"/>
    <w:basedOn w:val="BodyText"/>
    <w:rsid w:val="00AF5A1D"/>
    <w:pPr>
      <w:numPr>
        <w:ilvl w:val="2"/>
        <w:numId w:val="4"/>
      </w:numPr>
    </w:pPr>
  </w:style>
  <w:style w:type="paragraph" w:styleId="ListBullet4">
    <w:name w:val="List Bullet 4"/>
    <w:basedOn w:val="BodyText"/>
    <w:rsid w:val="00AF5A1D"/>
    <w:pPr>
      <w:numPr>
        <w:ilvl w:val="3"/>
        <w:numId w:val="4"/>
      </w:numPr>
    </w:pPr>
  </w:style>
  <w:style w:type="paragraph" w:styleId="ListContinue2">
    <w:name w:val="List Continue 2"/>
    <w:basedOn w:val="BodyText"/>
    <w:rsid w:val="00AF5A1D"/>
    <w:pPr>
      <w:ind w:left="1287"/>
    </w:pPr>
  </w:style>
  <w:style w:type="paragraph" w:customStyle="1" w:styleId="Numberedtext">
    <w:name w:val="Numbered text"/>
    <w:basedOn w:val="BodyText"/>
    <w:rsid w:val="00AF5A1D"/>
    <w:pPr>
      <w:numPr>
        <w:numId w:val="5"/>
      </w:numPr>
    </w:pPr>
  </w:style>
  <w:style w:type="paragraph" w:customStyle="1" w:styleId="BoxText">
    <w:name w:val="Box Text"/>
    <w:basedOn w:val="Normal"/>
    <w:rsid w:val="00AF5A1D"/>
    <w:pPr>
      <w:spacing w:before="30" w:after="30"/>
    </w:pPr>
    <w:rPr>
      <w:sz w:val="22"/>
    </w:rPr>
  </w:style>
  <w:style w:type="paragraph" w:customStyle="1" w:styleId="BoxBullet1">
    <w:name w:val="Box Bullet 1"/>
    <w:basedOn w:val="BoxText"/>
    <w:rsid w:val="00AF5A1D"/>
    <w:pPr>
      <w:numPr>
        <w:numId w:val="1"/>
      </w:numPr>
    </w:pPr>
  </w:style>
  <w:style w:type="paragraph" w:customStyle="1" w:styleId="BoxBullet2">
    <w:name w:val="Box Bullet 2"/>
    <w:basedOn w:val="BoxText"/>
    <w:rsid w:val="00AF5A1D"/>
    <w:pPr>
      <w:numPr>
        <w:ilvl w:val="1"/>
        <w:numId w:val="1"/>
      </w:numPr>
    </w:pPr>
  </w:style>
  <w:style w:type="paragraph" w:customStyle="1" w:styleId="TableText">
    <w:name w:val="Table Text"/>
    <w:basedOn w:val="Normal"/>
    <w:rsid w:val="00AF5A1D"/>
    <w:pPr>
      <w:spacing w:before="30" w:after="30"/>
      <w:jc w:val="left"/>
    </w:pPr>
    <w:rPr>
      <w:sz w:val="22"/>
    </w:rPr>
  </w:style>
  <w:style w:type="paragraph" w:customStyle="1" w:styleId="TableBullet1">
    <w:name w:val="Table Bullet 1"/>
    <w:basedOn w:val="TableText"/>
    <w:rsid w:val="00AF5A1D"/>
    <w:pPr>
      <w:numPr>
        <w:numId w:val="6"/>
      </w:numPr>
    </w:pPr>
  </w:style>
  <w:style w:type="paragraph" w:customStyle="1" w:styleId="TableBullet2">
    <w:name w:val="Table Bullet 2"/>
    <w:basedOn w:val="TableText"/>
    <w:rsid w:val="00AF5A1D"/>
    <w:pPr>
      <w:numPr>
        <w:ilvl w:val="1"/>
        <w:numId w:val="6"/>
      </w:numPr>
    </w:pPr>
  </w:style>
  <w:style w:type="paragraph" w:customStyle="1" w:styleId="BoldHeading">
    <w:name w:val="Bold Heading"/>
    <w:basedOn w:val="Heading1"/>
    <w:next w:val="BodyText"/>
    <w:rsid w:val="002F23E3"/>
    <w:pPr>
      <w:numPr>
        <w:numId w:val="0"/>
      </w:numPr>
      <w:outlineLvl w:val="9"/>
    </w:pPr>
  </w:style>
  <w:style w:type="paragraph" w:styleId="Caption">
    <w:name w:val="caption"/>
    <w:basedOn w:val="Normal"/>
    <w:next w:val="TableText"/>
    <w:link w:val="CaptionChar"/>
    <w:qFormat/>
    <w:rsid w:val="000513B2"/>
    <w:pPr>
      <w:pBdr>
        <w:bottom w:val="single" w:sz="4" w:space="1" w:color="auto"/>
      </w:pBdr>
      <w:spacing w:after="120" w:line="240" w:lineRule="atLeast"/>
      <w:ind w:left="-57" w:right="-57"/>
      <w:jc w:val="left"/>
    </w:pPr>
    <w:rPr>
      <w:b/>
      <w:bCs/>
      <w:szCs w:val="20"/>
    </w:rPr>
  </w:style>
  <w:style w:type="paragraph" w:customStyle="1" w:styleId="BoxNumberedText">
    <w:name w:val="Box Numbered Text"/>
    <w:basedOn w:val="BoxText"/>
    <w:rsid w:val="00AF5A1D"/>
    <w:pPr>
      <w:numPr>
        <w:numId w:val="2"/>
      </w:numPr>
    </w:pPr>
  </w:style>
  <w:style w:type="paragraph" w:styleId="Footer">
    <w:name w:val="footer"/>
    <w:basedOn w:val="Normal"/>
    <w:rsid w:val="002F23E3"/>
    <w:pPr>
      <w:tabs>
        <w:tab w:val="right" w:pos="8505"/>
      </w:tabs>
    </w:pPr>
    <w:rPr>
      <w:sz w:val="20"/>
    </w:rPr>
  </w:style>
  <w:style w:type="character" w:styleId="CommentReference">
    <w:name w:val="annotation reference"/>
    <w:basedOn w:val="DefaultParagraphFont"/>
    <w:semiHidden/>
    <w:rsid w:val="00AF5A1D"/>
    <w:rPr>
      <w:sz w:val="16"/>
      <w:szCs w:val="16"/>
    </w:rPr>
  </w:style>
  <w:style w:type="paragraph" w:styleId="FootnoteText">
    <w:name w:val="footnote text"/>
    <w:basedOn w:val="Normal"/>
    <w:link w:val="FootnoteTextChar"/>
    <w:rsid w:val="00AF5A1D"/>
    <w:pPr>
      <w:tabs>
        <w:tab w:val="left" w:pos="187"/>
      </w:tabs>
      <w:spacing w:after="120"/>
      <w:ind w:left="187" w:hanging="187"/>
    </w:pPr>
    <w:rPr>
      <w:sz w:val="18"/>
      <w:szCs w:val="20"/>
    </w:rPr>
  </w:style>
  <w:style w:type="character" w:styleId="FootnoteReference">
    <w:name w:val="footnote reference"/>
    <w:basedOn w:val="DefaultParagraphFont"/>
    <w:rsid w:val="002F23E3"/>
    <w:rPr>
      <w:rFonts w:ascii="Garamond" w:hAnsi="Garamond"/>
      <w:sz w:val="18"/>
      <w:szCs w:val="18"/>
      <w:vertAlign w:val="superscript"/>
      <w:lang w:val="en-US"/>
    </w:rPr>
  </w:style>
  <w:style w:type="paragraph" w:styleId="CommentText">
    <w:name w:val="annotation text"/>
    <w:basedOn w:val="Normal"/>
    <w:semiHidden/>
    <w:rsid w:val="00AF5A1D"/>
    <w:rPr>
      <w:sz w:val="20"/>
      <w:szCs w:val="20"/>
    </w:rPr>
  </w:style>
  <w:style w:type="paragraph" w:styleId="CommentSubject">
    <w:name w:val="annotation subject"/>
    <w:basedOn w:val="CommentText"/>
    <w:next w:val="CommentText"/>
    <w:semiHidden/>
    <w:rsid w:val="00AF5A1D"/>
    <w:rPr>
      <w:b/>
      <w:bCs/>
    </w:rPr>
  </w:style>
  <w:style w:type="paragraph" w:styleId="BalloonText">
    <w:name w:val="Balloon Text"/>
    <w:basedOn w:val="Normal"/>
    <w:rsid w:val="0026063E"/>
    <w:rPr>
      <w:rFonts w:cs="Tahoma"/>
      <w:sz w:val="16"/>
      <w:szCs w:val="16"/>
    </w:rPr>
  </w:style>
  <w:style w:type="paragraph" w:styleId="Header">
    <w:name w:val="header"/>
    <w:basedOn w:val="Normal"/>
    <w:rsid w:val="00AF5A1D"/>
    <w:pPr>
      <w:keepLines/>
      <w:tabs>
        <w:tab w:val="center" w:pos="4153"/>
        <w:tab w:val="right" w:pos="8306"/>
      </w:tabs>
      <w:jc w:val="center"/>
    </w:pPr>
    <w:rPr>
      <w:sz w:val="20"/>
    </w:rPr>
  </w:style>
  <w:style w:type="character" w:styleId="PageNumber">
    <w:name w:val="page number"/>
    <w:basedOn w:val="DefaultParagraphFont"/>
    <w:rsid w:val="00AF5A1D"/>
    <w:rPr>
      <w:rFonts w:ascii="Garamond" w:hAnsi="Garamond"/>
      <w:sz w:val="18"/>
      <w:lang w:val="en-US"/>
    </w:rPr>
  </w:style>
  <w:style w:type="paragraph" w:customStyle="1" w:styleId="SourceNoteText">
    <w:name w:val="Source/Note Text"/>
    <w:basedOn w:val="Normal"/>
    <w:rsid w:val="00AF5A1D"/>
    <w:pPr>
      <w:tabs>
        <w:tab w:val="left" w:pos="743"/>
        <w:tab w:val="left" w:pos="1168"/>
      </w:tabs>
      <w:spacing w:before="120" w:after="30"/>
      <w:ind w:left="743" w:hanging="743"/>
      <w:jc w:val="left"/>
    </w:pPr>
    <w:rPr>
      <w:sz w:val="20"/>
    </w:rPr>
  </w:style>
  <w:style w:type="table" w:styleId="TableGrid">
    <w:name w:val="Table Grid"/>
    <w:basedOn w:val="TableNormal"/>
    <w:rsid w:val="00AF5A1D"/>
    <w:pPr>
      <w:tabs>
        <w:tab w:val="left" w:pos="284"/>
        <w:tab w:val="left" w:pos="567"/>
      </w:tabs>
      <w:spacing w:before="30" w:after="30"/>
    </w:pPr>
    <w:rPr>
      <w:rFonts w:ascii="Garamond" w:hAnsi="Garamond"/>
      <w:sz w:val="22"/>
      <w:szCs w:val="22"/>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customStyle="1" w:styleId="TableNumberedText">
    <w:name w:val="Table Numbered Text"/>
    <w:basedOn w:val="TableText"/>
    <w:rsid w:val="00AF5A1D"/>
    <w:pPr>
      <w:numPr>
        <w:numId w:val="7"/>
      </w:numPr>
    </w:pPr>
  </w:style>
  <w:style w:type="paragraph" w:styleId="TOC1">
    <w:name w:val="toc 1"/>
    <w:basedOn w:val="Normal"/>
    <w:next w:val="Normal"/>
    <w:uiPriority w:val="39"/>
    <w:rsid w:val="00052B32"/>
    <w:pPr>
      <w:tabs>
        <w:tab w:val="right" w:pos="7655"/>
      </w:tabs>
      <w:spacing w:before="60" w:after="120"/>
      <w:ind w:left="720" w:right="1588" w:hanging="720"/>
      <w:jc w:val="left"/>
    </w:pPr>
    <w:rPr>
      <w:b/>
    </w:rPr>
  </w:style>
  <w:style w:type="paragraph" w:styleId="TOC2">
    <w:name w:val="toc 2"/>
    <w:basedOn w:val="Normal"/>
    <w:next w:val="Normal"/>
    <w:uiPriority w:val="39"/>
    <w:rsid w:val="00052B32"/>
    <w:pPr>
      <w:tabs>
        <w:tab w:val="right" w:pos="7655"/>
      </w:tabs>
      <w:spacing w:after="120"/>
      <w:ind w:left="1440" w:right="1588" w:hanging="720"/>
      <w:jc w:val="left"/>
    </w:pPr>
  </w:style>
  <w:style w:type="paragraph" w:styleId="TOC3">
    <w:name w:val="toc 3"/>
    <w:basedOn w:val="Normal"/>
    <w:next w:val="Normal"/>
    <w:uiPriority w:val="39"/>
    <w:rsid w:val="00052B32"/>
    <w:pPr>
      <w:tabs>
        <w:tab w:val="left" w:pos="1440"/>
        <w:tab w:val="left" w:pos="2160"/>
        <w:tab w:val="right" w:pos="7655"/>
      </w:tabs>
      <w:spacing w:after="120"/>
      <w:ind w:left="2160" w:right="1588" w:hanging="720"/>
      <w:jc w:val="left"/>
    </w:pPr>
  </w:style>
  <w:style w:type="paragraph" w:styleId="TableofFigures">
    <w:name w:val="table of figures"/>
    <w:basedOn w:val="TOC1"/>
    <w:next w:val="Normal"/>
    <w:uiPriority w:val="99"/>
    <w:rsid w:val="00A03500"/>
    <w:pPr>
      <w:ind w:left="0" w:firstLine="0"/>
    </w:pPr>
  </w:style>
  <w:style w:type="character" w:styleId="Hyperlink">
    <w:name w:val="Hyperlink"/>
    <w:basedOn w:val="DefaultParagraphFont"/>
    <w:uiPriority w:val="99"/>
    <w:rsid w:val="00AF5A1D"/>
    <w:rPr>
      <w:color w:val="0000FF"/>
      <w:u w:val="single"/>
      <w:lang w:val="en-US"/>
    </w:rPr>
  </w:style>
  <w:style w:type="paragraph" w:customStyle="1" w:styleId="TableorFigureEnd">
    <w:name w:val="Table or Figure End"/>
    <w:basedOn w:val="Normal"/>
    <w:next w:val="BodyText"/>
    <w:rsid w:val="00AF5A1D"/>
    <w:pPr>
      <w:pBdr>
        <w:top w:val="single" w:sz="4" w:space="1" w:color="auto"/>
      </w:pBdr>
      <w:tabs>
        <w:tab w:val="right" w:leader="dot" w:pos="8296"/>
      </w:tabs>
      <w:spacing w:before="90"/>
      <w:ind w:left="-57" w:right="-57"/>
    </w:pPr>
  </w:style>
  <w:style w:type="paragraph" w:styleId="Title">
    <w:name w:val="Title"/>
    <w:basedOn w:val="Normal"/>
    <w:link w:val="TitleChar"/>
    <w:qFormat/>
    <w:rsid w:val="00AF5A1D"/>
    <w:pPr>
      <w:spacing w:after="240"/>
      <w:ind w:left="1134" w:right="1134"/>
      <w:jc w:val="center"/>
    </w:pPr>
    <w:rPr>
      <w:rFonts w:cs="Arial"/>
      <w:b/>
      <w:bCs/>
      <w:kern w:val="28"/>
      <w:sz w:val="48"/>
      <w:szCs w:val="48"/>
    </w:rPr>
  </w:style>
  <w:style w:type="paragraph" w:styleId="TOC4">
    <w:name w:val="toc 4"/>
    <w:basedOn w:val="Normal"/>
    <w:next w:val="Normal"/>
    <w:rsid w:val="009911AB"/>
    <w:pPr>
      <w:spacing w:before="60" w:after="120"/>
      <w:ind w:right="1588"/>
      <w:jc w:val="left"/>
    </w:pPr>
    <w:rPr>
      <w:b/>
    </w:rPr>
  </w:style>
  <w:style w:type="character" w:customStyle="1" w:styleId="BodyTextChar">
    <w:name w:val="Body Text Char"/>
    <w:aliases w:val="Body Text Char Char Char Char Char Char,Body Text Char Char Char Char Char1,Body Text Char Char Char Char1,Body Text Char Char Char1,1body Char,BodText Char,bt Char,body text Char,Body Txt Char,heading3 Char,3 indent Char,heading31 Char"/>
    <w:basedOn w:val="DefaultParagraphFont"/>
    <w:link w:val="BodyText"/>
    <w:rsid w:val="000301E0"/>
    <w:rPr>
      <w:rFonts w:ascii="Garamond" w:hAnsi="Garamond"/>
      <w:sz w:val="24"/>
      <w:szCs w:val="24"/>
      <w:lang w:eastAsia="en-NZ"/>
    </w:rPr>
  </w:style>
  <w:style w:type="character" w:customStyle="1" w:styleId="FootnoteTextChar">
    <w:name w:val="Footnote Text Char"/>
    <w:basedOn w:val="DefaultParagraphFont"/>
    <w:link w:val="FootnoteText"/>
    <w:rsid w:val="000301E0"/>
    <w:rPr>
      <w:rFonts w:ascii="Garamond" w:hAnsi="Garamond"/>
      <w:sz w:val="18"/>
      <w:lang w:eastAsia="en-NZ"/>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List Bullet2 Char"/>
    <w:basedOn w:val="DefaultParagraphFont"/>
    <w:link w:val="ListBullet"/>
    <w:rsid w:val="000301E0"/>
    <w:rPr>
      <w:rFonts w:ascii="Garamond" w:hAnsi="Garamond"/>
      <w:sz w:val="24"/>
      <w:szCs w:val="24"/>
      <w:lang w:eastAsia="en-NZ"/>
    </w:rPr>
  </w:style>
  <w:style w:type="table" w:styleId="TableElegant">
    <w:name w:val="Table Elegant"/>
    <w:basedOn w:val="TableNormal"/>
    <w:rsid w:val="000301E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gitemdatecreated">
    <w:name w:val="tagitemdatecreated"/>
    <w:basedOn w:val="DefaultParagraphFont"/>
    <w:rsid w:val="00396369"/>
  </w:style>
  <w:style w:type="table" w:styleId="TableContemporary">
    <w:name w:val="Table Contemporary"/>
    <w:basedOn w:val="TableNormal"/>
    <w:rsid w:val="002A5C3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aptionChar">
    <w:name w:val="Caption Char"/>
    <w:link w:val="Caption"/>
    <w:rsid w:val="00DC256B"/>
    <w:rPr>
      <w:rFonts w:ascii="Garamond" w:hAnsi="Garamond"/>
      <w:b/>
      <w:bCs/>
      <w:sz w:val="24"/>
      <w:lang w:eastAsia="en-NZ"/>
    </w:rPr>
  </w:style>
  <w:style w:type="paragraph" w:styleId="Revision">
    <w:name w:val="Revision"/>
    <w:hidden/>
    <w:uiPriority w:val="99"/>
    <w:semiHidden/>
    <w:rsid w:val="006E5419"/>
    <w:rPr>
      <w:rFonts w:ascii="Garamond" w:hAnsi="Garamond"/>
      <w:sz w:val="24"/>
      <w:szCs w:val="24"/>
      <w:lang w:eastAsia="en-NZ"/>
    </w:rPr>
  </w:style>
  <w:style w:type="paragraph" w:styleId="ListParagraph">
    <w:name w:val="List Paragraph"/>
    <w:basedOn w:val="Normal"/>
    <w:uiPriority w:val="34"/>
    <w:qFormat/>
    <w:rsid w:val="00934324"/>
    <w:pPr>
      <w:spacing w:after="200" w:line="276" w:lineRule="auto"/>
      <w:ind w:left="720"/>
      <w:contextualSpacing/>
      <w:jc w:val="left"/>
    </w:pPr>
    <w:rPr>
      <w:rFonts w:asciiTheme="minorHAnsi" w:eastAsiaTheme="minorHAnsi" w:hAnsiTheme="minorHAnsi" w:cstheme="minorBidi"/>
      <w:sz w:val="22"/>
      <w:szCs w:val="22"/>
      <w:lang w:val="fr-FR" w:eastAsia="en-US"/>
    </w:rPr>
  </w:style>
  <w:style w:type="character" w:customStyle="1" w:styleId="TitleChar">
    <w:name w:val="Title Char"/>
    <w:basedOn w:val="DefaultParagraphFont"/>
    <w:link w:val="Title"/>
    <w:rsid w:val="00A30AB8"/>
    <w:rPr>
      <w:rFonts w:ascii="Garamond" w:hAnsi="Garamond" w:cs="Arial"/>
      <w:b/>
      <w:bCs/>
      <w:kern w:val="28"/>
      <w:sz w:val="48"/>
      <w:szCs w:val="4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990">
      <w:bodyDiv w:val="1"/>
      <w:marLeft w:val="0"/>
      <w:marRight w:val="0"/>
      <w:marTop w:val="0"/>
      <w:marBottom w:val="0"/>
      <w:divBdr>
        <w:top w:val="none" w:sz="0" w:space="0" w:color="auto"/>
        <w:left w:val="none" w:sz="0" w:space="0" w:color="auto"/>
        <w:bottom w:val="none" w:sz="0" w:space="0" w:color="auto"/>
        <w:right w:val="none" w:sz="0" w:space="0" w:color="auto"/>
      </w:divBdr>
      <w:divsChild>
        <w:div w:id="1651327367">
          <w:marLeft w:val="0"/>
          <w:marRight w:val="0"/>
          <w:marTop w:val="0"/>
          <w:marBottom w:val="0"/>
          <w:divBdr>
            <w:top w:val="none" w:sz="0" w:space="0" w:color="auto"/>
            <w:left w:val="none" w:sz="0" w:space="0" w:color="auto"/>
            <w:bottom w:val="none" w:sz="0" w:space="0" w:color="auto"/>
            <w:right w:val="none" w:sz="0" w:space="0" w:color="auto"/>
          </w:divBdr>
          <w:divsChild>
            <w:div w:id="63531241">
              <w:marLeft w:val="0"/>
              <w:marRight w:val="0"/>
              <w:marTop w:val="0"/>
              <w:marBottom w:val="0"/>
              <w:divBdr>
                <w:top w:val="none" w:sz="0" w:space="0" w:color="auto"/>
                <w:left w:val="none" w:sz="0" w:space="0" w:color="auto"/>
                <w:bottom w:val="none" w:sz="0" w:space="0" w:color="auto"/>
                <w:right w:val="none" w:sz="0" w:space="0" w:color="auto"/>
              </w:divBdr>
              <w:divsChild>
                <w:div w:id="191461177">
                  <w:marLeft w:val="0"/>
                  <w:marRight w:val="0"/>
                  <w:marTop w:val="0"/>
                  <w:marBottom w:val="0"/>
                  <w:divBdr>
                    <w:top w:val="none" w:sz="0" w:space="0" w:color="auto"/>
                    <w:left w:val="none" w:sz="0" w:space="0" w:color="auto"/>
                    <w:bottom w:val="none" w:sz="0" w:space="0" w:color="auto"/>
                    <w:right w:val="none" w:sz="0" w:space="0" w:color="auto"/>
                  </w:divBdr>
                  <w:divsChild>
                    <w:div w:id="1118643026">
                      <w:marLeft w:val="0"/>
                      <w:marRight w:val="0"/>
                      <w:marTop w:val="0"/>
                      <w:marBottom w:val="0"/>
                      <w:divBdr>
                        <w:top w:val="none" w:sz="0" w:space="0" w:color="auto"/>
                        <w:left w:val="none" w:sz="0" w:space="0" w:color="auto"/>
                        <w:bottom w:val="none" w:sz="0" w:space="0" w:color="auto"/>
                        <w:right w:val="none" w:sz="0" w:space="0" w:color="auto"/>
                      </w:divBdr>
                      <w:divsChild>
                        <w:div w:id="2030570859">
                          <w:marLeft w:val="0"/>
                          <w:marRight w:val="0"/>
                          <w:marTop w:val="0"/>
                          <w:marBottom w:val="0"/>
                          <w:divBdr>
                            <w:top w:val="none" w:sz="0" w:space="0" w:color="auto"/>
                            <w:left w:val="none" w:sz="0" w:space="0" w:color="auto"/>
                            <w:bottom w:val="none" w:sz="0" w:space="0" w:color="auto"/>
                            <w:right w:val="none" w:sz="0" w:space="0" w:color="auto"/>
                          </w:divBdr>
                          <w:divsChild>
                            <w:div w:id="11900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65997">
      <w:bodyDiv w:val="1"/>
      <w:marLeft w:val="0"/>
      <w:marRight w:val="0"/>
      <w:marTop w:val="0"/>
      <w:marBottom w:val="0"/>
      <w:divBdr>
        <w:top w:val="none" w:sz="0" w:space="0" w:color="auto"/>
        <w:left w:val="none" w:sz="0" w:space="0" w:color="auto"/>
        <w:bottom w:val="none" w:sz="0" w:space="0" w:color="auto"/>
        <w:right w:val="none" w:sz="0" w:space="0" w:color="auto"/>
      </w:divBdr>
    </w:div>
    <w:div w:id="159197770">
      <w:bodyDiv w:val="1"/>
      <w:marLeft w:val="0"/>
      <w:marRight w:val="0"/>
      <w:marTop w:val="0"/>
      <w:marBottom w:val="0"/>
      <w:divBdr>
        <w:top w:val="none" w:sz="0" w:space="0" w:color="auto"/>
        <w:left w:val="none" w:sz="0" w:space="0" w:color="auto"/>
        <w:bottom w:val="none" w:sz="0" w:space="0" w:color="auto"/>
        <w:right w:val="none" w:sz="0" w:space="0" w:color="auto"/>
      </w:divBdr>
    </w:div>
    <w:div w:id="280037844">
      <w:bodyDiv w:val="1"/>
      <w:marLeft w:val="0"/>
      <w:marRight w:val="0"/>
      <w:marTop w:val="0"/>
      <w:marBottom w:val="0"/>
      <w:divBdr>
        <w:top w:val="none" w:sz="0" w:space="0" w:color="auto"/>
        <w:left w:val="none" w:sz="0" w:space="0" w:color="auto"/>
        <w:bottom w:val="none" w:sz="0" w:space="0" w:color="auto"/>
        <w:right w:val="none" w:sz="0" w:space="0" w:color="auto"/>
      </w:divBdr>
      <w:divsChild>
        <w:div w:id="31078988">
          <w:marLeft w:val="0"/>
          <w:marRight w:val="0"/>
          <w:marTop w:val="0"/>
          <w:marBottom w:val="0"/>
          <w:divBdr>
            <w:top w:val="none" w:sz="0" w:space="0" w:color="auto"/>
            <w:left w:val="none" w:sz="0" w:space="0" w:color="auto"/>
            <w:bottom w:val="none" w:sz="0" w:space="0" w:color="auto"/>
            <w:right w:val="none" w:sz="0" w:space="0" w:color="auto"/>
          </w:divBdr>
          <w:divsChild>
            <w:div w:id="2146048766">
              <w:marLeft w:val="0"/>
              <w:marRight w:val="0"/>
              <w:marTop w:val="0"/>
              <w:marBottom w:val="0"/>
              <w:divBdr>
                <w:top w:val="none" w:sz="0" w:space="0" w:color="auto"/>
                <w:left w:val="none" w:sz="0" w:space="0" w:color="auto"/>
                <w:bottom w:val="none" w:sz="0" w:space="0" w:color="auto"/>
                <w:right w:val="none" w:sz="0" w:space="0" w:color="auto"/>
              </w:divBdr>
              <w:divsChild>
                <w:div w:id="2325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8356">
      <w:bodyDiv w:val="1"/>
      <w:marLeft w:val="0"/>
      <w:marRight w:val="0"/>
      <w:marTop w:val="0"/>
      <w:marBottom w:val="0"/>
      <w:divBdr>
        <w:top w:val="none" w:sz="0" w:space="0" w:color="auto"/>
        <w:left w:val="none" w:sz="0" w:space="0" w:color="auto"/>
        <w:bottom w:val="none" w:sz="0" w:space="0" w:color="auto"/>
        <w:right w:val="none" w:sz="0" w:space="0" w:color="auto"/>
      </w:divBdr>
    </w:div>
    <w:div w:id="515579445">
      <w:bodyDiv w:val="1"/>
      <w:marLeft w:val="0"/>
      <w:marRight w:val="0"/>
      <w:marTop w:val="0"/>
      <w:marBottom w:val="0"/>
      <w:divBdr>
        <w:top w:val="none" w:sz="0" w:space="0" w:color="auto"/>
        <w:left w:val="none" w:sz="0" w:space="0" w:color="auto"/>
        <w:bottom w:val="none" w:sz="0" w:space="0" w:color="auto"/>
        <w:right w:val="none" w:sz="0" w:space="0" w:color="auto"/>
      </w:divBdr>
    </w:div>
    <w:div w:id="622543179">
      <w:bodyDiv w:val="1"/>
      <w:marLeft w:val="0"/>
      <w:marRight w:val="0"/>
      <w:marTop w:val="0"/>
      <w:marBottom w:val="0"/>
      <w:divBdr>
        <w:top w:val="none" w:sz="0" w:space="0" w:color="auto"/>
        <w:left w:val="none" w:sz="0" w:space="0" w:color="auto"/>
        <w:bottom w:val="none" w:sz="0" w:space="0" w:color="auto"/>
        <w:right w:val="none" w:sz="0" w:space="0" w:color="auto"/>
      </w:divBdr>
    </w:div>
    <w:div w:id="741179269">
      <w:bodyDiv w:val="1"/>
      <w:marLeft w:val="0"/>
      <w:marRight w:val="0"/>
      <w:marTop w:val="0"/>
      <w:marBottom w:val="0"/>
      <w:divBdr>
        <w:top w:val="none" w:sz="0" w:space="0" w:color="auto"/>
        <w:left w:val="none" w:sz="0" w:space="0" w:color="auto"/>
        <w:bottom w:val="none" w:sz="0" w:space="0" w:color="auto"/>
        <w:right w:val="none" w:sz="0" w:space="0" w:color="auto"/>
      </w:divBdr>
    </w:div>
    <w:div w:id="784470813">
      <w:bodyDiv w:val="1"/>
      <w:marLeft w:val="0"/>
      <w:marRight w:val="0"/>
      <w:marTop w:val="0"/>
      <w:marBottom w:val="0"/>
      <w:divBdr>
        <w:top w:val="none" w:sz="0" w:space="0" w:color="auto"/>
        <w:left w:val="none" w:sz="0" w:space="0" w:color="auto"/>
        <w:bottom w:val="none" w:sz="0" w:space="0" w:color="auto"/>
        <w:right w:val="none" w:sz="0" w:space="0" w:color="auto"/>
      </w:divBdr>
    </w:div>
    <w:div w:id="880477701">
      <w:bodyDiv w:val="1"/>
      <w:marLeft w:val="0"/>
      <w:marRight w:val="0"/>
      <w:marTop w:val="0"/>
      <w:marBottom w:val="0"/>
      <w:divBdr>
        <w:top w:val="none" w:sz="0" w:space="0" w:color="auto"/>
        <w:left w:val="none" w:sz="0" w:space="0" w:color="auto"/>
        <w:bottom w:val="none" w:sz="0" w:space="0" w:color="auto"/>
        <w:right w:val="none" w:sz="0" w:space="0" w:color="auto"/>
      </w:divBdr>
    </w:div>
    <w:div w:id="974794587">
      <w:bodyDiv w:val="1"/>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596983035">
              <w:marLeft w:val="0"/>
              <w:marRight w:val="0"/>
              <w:marTop w:val="0"/>
              <w:marBottom w:val="0"/>
              <w:divBdr>
                <w:top w:val="none" w:sz="0" w:space="0" w:color="auto"/>
                <w:left w:val="none" w:sz="0" w:space="0" w:color="auto"/>
                <w:bottom w:val="none" w:sz="0" w:space="0" w:color="auto"/>
                <w:right w:val="none" w:sz="0" w:space="0" w:color="auto"/>
              </w:divBdr>
              <w:divsChild>
                <w:div w:id="6959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89853">
      <w:bodyDiv w:val="1"/>
      <w:marLeft w:val="0"/>
      <w:marRight w:val="0"/>
      <w:marTop w:val="0"/>
      <w:marBottom w:val="0"/>
      <w:divBdr>
        <w:top w:val="none" w:sz="0" w:space="0" w:color="auto"/>
        <w:left w:val="none" w:sz="0" w:space="0" w:color="auto"/>
        <w:bottom w:val="none" w:sz="0" w:space="0" w:color="auto"/>
        <w:right w:val="none" w:sz="0" w:space="0" w:color="auto"/>
      </w:divBdr>
      <w:divsChild>
        <w:div w:id="1011103045">
          <w:marLeft w:val="0"/>
          <w:marRight w:val="0"/>
          <w:marTop w:val="0"/>
          <w:marBottom w:val="0"/>
          <w:divBdr>
            <w:top w:val="none" w:sz="0" w:space="0" w:color="auto"/>
            <w:left w:val="none" w:sz="0" w:space="0" w:color="auto"/>
            <w:bottom w:val="none" w:sz="0" w:space="0" w:color="auto"/>
            <w:right w:val="none" w:sz="0" w:space="0" w:color="auto"/>
          </w:divBdr>
          <w:divsChild>
            <w:div w:id="1591348883">
              <w:marLeft w:val="0"/>
              <w:marRight w:val="0"/>
              <w:marTop w:val="0"/>
              <w:marBottom w:val="0"/>
              <w:divBdr>
                <w:top w:val="none" w:sz="0" w:space="0" w:color="auto"/>
                <w:left w:val="none" w:sz="0" w:space="0" w:color="auto"/>
                <w:bottom w:val="none" w:sz="0" w:space="0" w:color="auto"/>
                <w:right w:val="none" w:sz="0" w:space="0" w:color="auto"/>
              </w:divBdr>
              <w:divsChild>
                <w:div w:id="1251282163">
                  <w:marLeft w:val="0"/>
                  <w:marRight w:val="0"/>
                  <w:marTop w:val="0"/>
                  <w:marBottom w:val="0"/>
                  <w:divBdr>
                    <w:top w:val="none" w:sz="0" w:space="0" w:color="auto"/>
                    <w:left w:val="none" w:sz="0" w:space="0" w:color="auto"/>
                    <w:bottom w:val="none" w:sz="0" w:space="0" w:color="auto"/>
                    <w:right w:val="none" w:sz="0" w:space="0" w:color="auto"/>
                  </w:divBdr>
                  <w:divsChild>
                    <w:div w:id="2101287773">
                      <w:marLeft w:val="0"/>
                      <w:marRight w:val="0"/>
                      <w:marTop w:val="0"/>
                      <w:marBottom w:val="0"/>
                      <w:divBdr>
                        <w:top w:val="none" w:sz="0" w:space="0" w:color="auto"/>
                        <w:left w:val="none" w:sz="0" w:space="0" w:color="auto"/>
                        <w:bottom w:val="none" w:sz="0" w:space="0" w:color="auto"/>
                        <w:right w:val="none" w:sz="0" w:space="0" w:color="auto"/>
                      </w:divBdr>
                      <w:divsChild>
                        <w:div w:id="2054958276">
                          <w:marLeft w:val="0"/>
                          <w:marRight w:val="0"/>
                          <w:marTop w:val="0"/>
                          <w:marBottom w:val="0"/>
                          <w:divBdr>
                            <w:top w:val="none" w:sz="0" w:space="0" w:color="auto"/>
                            <w:left w:val="none" w:sz="0" w:space="0" w:color="auto"/>
                            <w:bottom w:val="none" w:sz="0" w:space="0" w:color="auto"/>
                            <w:right w:val="none" w:sz="0" w:space="0" w:color="auto"/>
                          </w:divBdr>
                          <w:divsChild>
                            <w:div w:id="9902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040982">
      <w:bodyDiv w:val="1"/>
      <w:marLeft w:val="0"/>
      <w:marRight w:val="0"/>
      <w:marTop w:val="0"/>
      <w:marBottom w:val="0"/>
      <w:divBdr>
        <w:top w:val="none" w:sz="0" w:space="0" w:color="auto"/>
        <w:left w:val="none" w:sz="0" w:space="0" w:color="auto"/>
        <w:bottom w:val="none" w:sz="0" w:space="0" w:color="auto"/>
        <w:right w:val="none" w:sz="0" w:space="0" w:color="auto"/>
      </w:divBdr>
    </w:div>
    <w:div w:id="1253465896">
      <w:bodyDiv w:val="1"/>
      <w:marLeft w:val="0"/>
      <w:marRight w:val="0"/>
      <w:marTop w:val="0"/>
      <w:marBottom w:val="0"/>
      <w:divBdr>
        <w:top w:val="none" w:sz="0" w:space="0" w:color="auto"/>
        <w:left w:val="none" w:sz="0" w:space="0" w:color="auto"/>
        <w:bottom w:val="none" w:sz="0" w:space="0" w:color="auto"/>
        <w:right w:val="none" w:sz="0" w:space="0" w:color="auto"/>
      </w:divBdr>
    </w:div>
    <w:div w:id="1275286319">
      <w:bodyDiv w:val="1"/>
      <w:marLeft w:val="0"/>
      <w:marRight w:val="0"/>
      <w:marTop w:val="0"/>
      <w:marBottom w:val="0"/>
      <w:divBdr>
        <w:top w:val="none" w:sz="0" w:space="0" w:color="auto"/>
        <w:left w:val="none" w:sz="0" w:space="0" w:color="auto"/>
        <w:bottom w:val="none" w:sz="0" w:space="0" w:color="auto"/>
        <w:right w:val="none" w:sz="0" w:space="0" w:color="auto"/>
      </w:divBdr>
    </w:div>
    <w:div w:id="20949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gi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ndard-tribune.com/?p=331" TargetMode="External"/><Relationship Id="rId2" Type="http://schemas.openxmlformats.org/officeDocument/2006/relationships/hyperlink" Target="http://www.minee.cm/index.php?page=aer" TargetMode="External"/><Relationship Id="rId1" Type="http://schemas.openxmlformats.org/officeDocument/2006/relationships/hyperlink" Target="http://www.worldbank.org/content/dam/Worldbank/document/FY15%20Fragile%20states%20li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astalia%20report%20US\Castalia%20Report%20US.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castalia.sharepoint.com/sites/work/projects/C15040/Documents/Work/3%20-%20Detailed%20Case%20Studies/Cameroon%20acce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3"/>
          <c:order val="0"/>
          <c:tx>
            <c:v>Rural population without access to electricity</c:v>
          </c:tx>
          <c:spPr>
            <a:solidFill>
              <a:schemeClr val="accent2">
                <a:lumMod val="20000"/>
                <a:lumOff val="80000"/>
              </a:schemeClr>
            </a:solidFill>
            <a:ln>
              <a:noFill/>
            </a:ln>
            <a:effectLst/>
          </c:spPr>
          <c:invertIfNegative val="0"/>
          <c:cat>
            <c:numRef>
              <c:f>Cameroon!$B$41:$L$41</c:f>
              <c:numCache>
                <c:formatCode>General</c:formatCode>
                <c:ptCount val="11"/>
                <c:pt idx="0">
                  <c:v>1990</c:v>
                </c:pt>
                <c:pt idx="3">
                  <c:v>2000</c:v>
                </c:pt>
                <c:pt idx="6">
                  <c:v>2010</c:v>
                </c:pt>
                <c:pt idx="9">
                  <c:v>2012</c:v>
                </c:pt>
              </c:numCache>
            </c:numRef>
          </c:cat>
          <c:val>
            <c:numRef>
              <c:f>Cameroon!$B$45:$L$45</c:f>
              <c:numCache>
                <c:formatCode>_(* #,##0_);_(* \(#,##0\);_(* "-"??_);_(@_)</c:formatCode>
                <c:ptCount val="11"/>
                <c:pt idx="1">
                  <c:v>6649942.3210000005</c:v>
                </c:pt>
                <c:pt idx="4">
                  <c:v>7724068.3735159999</c:v>
                </c:pt>
                <c:pt idx="7">
                  <c:v>8585533.9399999995</c:v>
                </c:pt>
                <c:pt idx="10">
                  <c:v>8353684.7999999998</c:v>
                </c:pt>
              </c:numCache>
            </c:numRef>
          </c:val>
          <c:extLst xmlns:c16r2="http://schemas.microsoft.com/office/drawing/2015/06/chart">
            <c:ext xmlns:c16="http://schemas.microsoft.com/office/drawing/2014/chart" uri="{C3380CC4-5D6E-409C-BE32-E72D297353CC}">
              <c16:uniqueId val="{00000000-8E15-43CB-99AE-7E1D617ED4F2}"/>
            </c:ext>
          </c:extLst>
        </c:ser>
        <c:ser>
          <c:idx val="2"/>
          <c:order val="1"/>
          <c:tx>
            <c:v>Rural population with access to electricity</c:v>
          </c:tx>
          <c:spPr>
            <a:solidFill>
              <a:schemeClr val="accent2"/>
            </a:solidFill>
            <a:ln>
              <a:noFill/>
            </a:ln>
            <a:effectLst/>
          </c:spPr>
          <c:invertIfNegative val="0"/>
          <c:cat>
            <c:numRef>
              <c:f>Cameroon!$B$41:$L$41</c:f>
              <c:numCache>
                <c:formatCode>General</c:formatCode>
                <c:ptCount val="11"/>
                <c:pt idx="0">
                  <c:v>1990</c:v>
                </c:pt>
                <c:pt idx="3">
                  <c:v>2000</c:v>
                </c:pt>
                <c:pt idx="6">
                  <c:v>2010</c:v>
                </c:pt>
                <c:pt idx="9">
                  <c:v>2012</c:v>
                </c:pt>
              </c:numCache>
            </c:numRef>
          </c:cat>
          <c:val>
            <c:numRef>
              <c:f>Cameroon!$B$44:$L$44</c:f>
              <c:numCache>
                <c:formatCode>_(* #,##0_);_(* \(#,##0\);_(* "-"??_);_(@_)</c:formatCode>
                <c:ptCount val="11"/>
                <c:pt idx="1">
                  <c:v>633674.679</c:v>
                </c:pt>
                <c:pt idx="4">
                  <c:v>949845.62648399989</c:v>
                </c:pt>
                <c:pt idx="7">
                  <c:v>1397645.06</c:v>
                </c:pt>
                <c:pt idx="10">
                  <c:v>1896235.2</c:v>
                </c:pt>
              </c:numCache>
            </c:numRef>
          </c:val>
          <c:extLst xmlns:c16r2="http://schemas.microsoft.com/office/drawing/2015/06/chart">
            <c:ext xmlns:c16="http://schemas.microsoft.com/office/drawing/2014/chart" uri="{C3380CC4-5D6E-409C-BE32-E72D297353CC}">
              <c16:uniqueId val="{00000001-8E15-43CB-99AE-7E1D617ED4F2}"/>
            </c:ext>
          </c:extLst>
        </c:ser>
        <c:ser>
          <c:idx val="1"/>
          <c:order val="2"/>
          <c:tx>
            <c:v>Total population without access to electricity</c:v>
          </c:tx>
          <c:spPr>
            <a:solidFill>
              <a:schemeClr val="tx2">
                <a:lumMod val="20000"/>
                <a:lumOff val="80000"/>
              </a:schemeClr>
            </a:solidFill>
            <a:ln>
              <a:noFill/>
            </a:ln>
            <a:effectLst/>
          </c:spPr>
          <c:invertIfNegative val="0"/>
          <c:cat>
            <c:numRef>
              <c:f>Cameroon!$B$41:$L$41</c:f>
              <c:numCache>
                <c:formatCode>General</c:formatCode>
                <c:ptCount val="11"/>
                <c:pt idx="0">
                  <c:v>1990</c:v>
                </c:pt>
                <c:pt idx="3">
                  <c:v>2000</c:v>
                </c:pt>
                <c:pt idx="6">
                  <c:v>2010</c:v>
                </c:pt>
                <c:pt idx="9">
                  <c:v>2012</c:v>
                </c:pt>
              </c:numCache>
            </c:numRef>
          </c:cat>
          <c:val>
            <c:numRef>
              <c:f>Cameroon!$B$43:$L$43</c:f>
              <c:numCache>
                <c:formatCode>General</c:formatCode>
                <c:ptCount val="11"/>
                <c:pt idx="0" formatCode="_(* #,##0_);_(* \(#,##0\);_(* &quot;-&quot;??_);_(@_)">
                  <c:v>8569954.8900000006</c:v>
                </c:pt>
                <c:pt idx="3" formatCode="_(* #,##0_);_(* \(#,##0\);_(* &quot;-&quot;??_);_(@_)">
                  <c:v>8600965.0199999996</c:v>
                </c:pt>
                <c:pt idx="6" formatCode="_(* #,##0_);_(* \(#,##0\);_(* &quot;-&quot;??_);_(@_)">
                  <c:v>10501239.66</c:v>
                </c:pt>
                <c:pt idx="9" formatCode="_(* #,##0_);_(* \(#,##0\);_(* &quot;-&quot;??_);_(@_)">
                  <c:v>9963364.4799999986</c:v>
                </c:pt>
              </c:numCache>
            </c:numRef>
          </c:val>
          <c:extLst xmlns:c16r2="http://schemas.microsoft.com/office/drawing/2015/06/chart">
            <c:ext xmlns:c16="http://schemas.microsoft.com/office/drawing/2014/chart" uri="{C3380CC4-5D6E-409C-BE32-E72D297353CC}">
              <c16:uniqueId val="{00000002-8E15-43CB-99AE-7E1D617ED4F2}"/>
            </c:ext>
          </c:extLst>
        </c:ser>
        <c:ser>
          <c:idx val="0"/>
          <c:order val="3"/>
          <c:tx>
            <c:v>Total population with access to electricity</c:v>
          </c:tx>
          <c:spPr>
            <a:solidFill>
              <a:schemeClr val="tx2"/>
            </a:solidFill>
            <a:ln>
              <a:noFill/>
            </a:ln>
            <a:effectLst/>
          </c:spPr>
          <c:invertIfNegative val="0"/>
          <c:cat>
            <c:numRef>
              <c:f>Cameroon!$B$41:$L$41</c:f>
              <c:numCache>
                <c:formatCode>General</c:formatCode>
                <c:ptCount val="11"/>
                <c:pt idx="0">
                  <c:v>1990</c:v>
                </c:pt>
                <c:pt idx="3">
                  <c:v>2000</c:v>
                </c:pt>
                <c:pt idx="6">
                  <c:v>2010</c:v>
                </c:pt>
                <c:pt idx="9">
                  <c:v>2012</c:v>
                </c:pt>
              </c:numCache>
            </c:numRef>
          </c:cat>
          <c:val>
            <c:numRef>
              <c:f>Cameroon!$B$42:$L$42</c:f>
              <c:numCache>
                <c:formatCode>General</c:formatCode>
                <c:ptCount val="11"/>
                <c:pt idx="0" formatCode="_(* #,##0_);_(* \(#,##0\);_(* &quot;-&quot;??_);_(@_)">
                  <c:v>3500404.11</c:v>
                </c:pt>
                <c:pt idx="3" formatCode="_(* #,##0_);_(* \(#,##0\);_(* &quot;-&quot;??_);_(@_)">
                  <c:v>7326747.9800000004</c:v>
                </c:pt>
                <c:pt idx="6" formatCode="_(* #,##0_);_(* \(#,##0\);_(* &quot;-&quot;??_);_(@_)">
                  <c:v>10089426.34</c:v>
                </c:pt>
                <c:pt idx="9" formatCode="_(* #,##0_);_(* \(#,##0\);_(* &quot;-&quot;??_);_(@_)">
                  <c:v>11696123.520000001</c:v>
                </c:pt>
              </c:numCache>
            </c:numRef>
          </c:val>
          <c:extLst xmlns:c16r2="http://schemas.microsoft.com/office/drawing/2015/06/chart">
            <c:ext xmlns:c16="http://schemas.microsoft.com/office/drawing/2014/chart" uri="{C3380CC4-5D6E-409C-BE32-E72D297353CC}">
              <c16:uniqueId val="{00000003-8E15-43CB-99AE-7E1D617ED4F2}"/>
            </c:ext>
          </c:extLst>
        </c:ser>
        <c:dLbls>
          <c:showLegendKey val="0"/>
          <c:showVal val="0"/>
          <c:showCatName val="0"/>
          <c:showSerName val="0"/>
          <c:showPercent val="0"/>
          <c:showBubbleSize val="0"/>
        </c:dLbls>
        <c:gapWidth val="0"/>
        <c:overlap val="100"/>
        <c:axId val="589702440"/>
        <c:axId val="589702832"/>
      </c:barChart>
      <c:catAx>
        <c:axId val="58970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702832"/>
        <c:crosses val="autoZero"/>
        <c:auto val="1"/>
        <c:lblAlgn val="ctr"/>
        <c:lblOffset val="100"/>
        <c:noMultiLvlLbl val="0"/>
      </c:catAx>
      <c:valAx>
        <c:axId val="589702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a:t>
                </a:r>
              </a:p>
            </c:rich>
          </c:tx>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702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5B1FE00FEEB4A9F65290068982F2B" ma:contentTypeVersion="2" ma:contentTypeDescription="Create a new document." ma:contentTypeScope="" ma:versionID="667f7941762030e4920c82c9d6eb8614">
  <xsd:schema xmlns:xsd="http://www.w3.org/2001/XMLSchema" xmlns:xs="http://www.w3.org/2001/XMLSchema" xmlns:p="http://schemas.microsoft.com/office/2006/metadata/properties" xmlns:ns2="2a965387-0272-4dd9-b11f-423753277a10" xmlns:ns3="be332c2e-ee5e-467f-8e5c-d8c48ed72e22" targetNamespace="http://schemas.microsoft.com/office/2006/metadata/properties" ma:root="true" ma:fieldsID="dbf32c7ca03bca78865e978dcbd8aca2" ns2:_="" ns3:_="">
    <xsd:import namespace="2a965387-0272-4dd9-b11f-423753277a10"/>
    <xsd:import namespace="be332c2e-ee5e-467f-8e5c-d8c48ed72e22"/>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65387-0272-4dd9-b11f-423753277a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332c2e-ee5e-467f-8e5c-d8c48ed72e2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ADBC-D883-4804-B07A-72E8C85D0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65387-0272-4dd9-b11f-423753277a10"/>
    <ds:schemaRef ds:uri="be332c2e-ee5e-467f-8e5c-d8c48ed72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D3DA9-CB40-4195-90F6-A9ECDF26A58A}">
  <ds:schemaRefs>
    <ds:schemaRef ds:uri="http://schemas.microsoft.com/sharepoint/v3/contenttype/forms"/>
  </ds:schemaRefs>
</ds:datastoreItem>
</file>

<file path=customXml/itemProps3.xml><?xml version="1.0" encoding="utf-8"?>
<ds:datastoreItem xmlns:ds="http://schemas.openxmlformats.org/officeDocument/2006/customXml" ds:itemID="{450CF2B3-A260-417E-86FF-1ADF294840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D23631-1AA0-46AA-A176-296F2C6F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Castalia Report US.dotm</Template>
  <TotalTime>17</TotalTime>
  <Pages>20</Pages>
  <Words>5328</Words>
  <Characters>30374</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Castalia Limited</Company>
  <LinksUpToDate>false</LinksUpToDate>
  <CharactersWithSpaces>35631</CharactersWithSpaces>
  <SharedDoc>false</SharedDoc>
  <HLinks>
    <vt:vector size="12" baseType="variant">
      <vt:variant>
        <vt:i4>1900603</vt:i4>
      </vt:variant>
      <vt:variant>
        <vt:i4>16</vt:i4>
      </vt:variant>
      <vt:variant>
        <vt:i4>0</vt:i4>
      </vt:variant>
      <vt:variant>
        <vt:i4>5</vt:i4>
      </vt:variant>
      <vt:variant>
        <vt:lpwstr/>
      </vt:variant>
      <vt:variant>
        <vt:lpwstr>_Toc254881566</vt:lpwstr>
      </vt:variant>
      <vt:variant>
        <vt:i4>1900603</vt:i4>
      </vt:variant>
      <vt:variant>
        <vt:i4>10</vt:i4>
      </vt:variant>
      <vt:variant>
        <vt:i4>0</vt:i4>
      </vt:variant>
      <vt:variant>
        <vt:i4>5</vt:i4>
      </vt:variant>
      <vt:variant>
        <vt:lpwstr/>
      </vt:variant>
      <vt:variant>
        <vt:lpwstr>_Toc254881565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Pickering</dc:creator>
  <dc:description>Release date:  13 July 2010</dc:description>
  <cp:lastModifiedBy>Richard H. Hosier</cp:lastModifiedBy>
  <cp:revision>3</cp:revision>
  <cp:lastPrinted>2015-12-05T04:13:00Z</cp:lastPrinted>
  <dcterms:created xsi:type="dcterms:W3CDTF">2017-04-13T20:08:00Z</dcterms:created>
  <dcterms:modified xsi:type="dcterms:W3CDTF">2017-04-13T20:24:00Z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0x010100EA05B1FE00FEEB4A9F65290068982F2B</vt:lpwstr>
  </property>
</Properties>
</file>