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29FE38" w14:textId="77777777" w:rsidR="00F97291" w:rsidRPr="00770296" w:rsidRDefault="00F97291">
      <w:bookmarkStart w:id="0" w:name="_Hlk524658125"/>
      <w:bookmarkEnd w:id="0"/>
    </w:p>
    <w:p w14:paraId="1F0A5F05" w14:textId="77777777" w:rsidR="00F97291" w:rsidRPr="00770296" w:rsidRDefault="00F97291"/>
    <w:tbl>
      <w:tblPr>
        <w:tblW w:w="0" w:type="auto"/>
        <w:tblLook w:val="0000" w:firstRow="0" w:lastRow="0" w:firstColumn="0" w:lastColumn="0" w:noHBand="0" w:noVBand="0"/>
      </w:tblPr>
      <w:tblGrid>
        <w:gridCol w:w="4219"/>
      </w:tblGrid>
      <w:tr w:rsidR="006343F4" w:rsidRPr="00770296" w14:paraId="5A50DF02" w14:textId="77777777">
        <w:tc>
          <w:tcPr>
            <w:tcW w:w="4219" w:type="dxa"/>
          </w:tcPr>
          <w:p w14:paraId="6BEC10E4" w14:textId="77B59B01" w:rsidR="006343F4" w:rsidRPr="00770296" w:rsidRDefault="00B16DAD" w:rsidP="00B001B6">
            <w:pPr>
              <w:pStyle w:val="TableText"/>
            </w:pPr>
            <w:fldSimple w:instr=" DOCPROPERTY &quot;Status&quot;  \* MERGEFORMAT ">
              <w:r w:rsidR="00D5794B">
                <w:t>Final Draft</w:t>
              </w:r>
            </w:fldSimple>
          </w:p>
        </w:tc>
      </w:tr>
      <w:tr w:rsidR="006343F4" w:rsidRPr="00770296" w14:paraId="60DABAEB" w14:textId="77777777">
        <w:tc>
          <w:tcPr>
            <w:tcW w:w="4219" w:type="dxa"/>
          </w:tcPr>
          <w:p w14:paraId="6B882405" w14:textId="77777777" w:rsidR="006343F4" w:rsidRPr="00770296" w:rsidRDefault="006343F4" w:rsidP="00B001B6">
            <w:pPr>
              <w:pStyle w:val="TableText"/>
            </w:pPr>
          </w:p>
        </w:tc>
      </w:tr>
      <w:tr w:rsidR="006343F4" w:rsidRPr="00770296" w14:paraId="6AC3246D" w14:textId="77777777">
        <w:tc>
          <w:tcPr>
            <w:tcW w:w="4219" w:type="dxa"/>
          </w:tcPr>
          <w:p w14:paraId="4241A0D0" w14:textId="77777777" w:rsidR="006343F4" w:rsidRPr="00770296" w:rsidRDefault="006343F4" w:rsidP="00B001B6">
            <w:pPr>
              <w:pStyle w:val="TableText"/>
              <w:rPr>
                <w:rFonts w:cs="Arial"/>
              </w:rPr>
            </w:pPr>
            <w:r w:rsidRPr="00770296">
              <w:t>Prepared For:</w:t>
            </w:r>
            <w:r w:rsidR="006F570D" w:rsidRPr="00770296">
              <w:t xml:space="preserve">  </w:t>
            </w:r>
          </w:p>
        </w:tc>
      </w:tr>
      <w:tr w:rsidR="006343F4" w:rsidRPr="00770296" w14:paraId="0CEF952B" w14:textId="77777777">
        <w:tc>
          <w:tcPr>
            <w:tcW w:w="4219" w:type="dxa"/>
          </w:tcPr>
          <w:p w14:paraId="5B5953C5" w14:textId="183431C5" w:rsidR="006343F4" w:rsidRPr="00770296" w:rsidRDefault="00B16DAD" w:rsidP="002F07A4">
            <w:pPr>
              <w:pStyle w:val="TableText"/>
              <w:spacing w:line="240" w:lineRule="atLeast"/>
            </w:pPr>
            <w:fldSimple w:instr=" DOCPROPERTY &quot;Client&quot;  \* MERGEFORMAT ">
              <w:r w:rsidR="00D5794B">
                <w:t>The World Bank</w:t>
              </w:r>
            </w:fldSimple>
            <w:r w:rsidR="006D5F92">
              <w:br/>
            </w:r>
          </w:p>
        </w:tc>
      </w:tr>
    </w:tbl>
    <w:p w14:paraId="5E3A5BF9" w14:textId="77777777" w:rsidR="006343F4" w:rsidRPr="00770296" w:rsidRDefault="006343F4"/>
    <w:p w14:paraId="7FE758FD" w14:textId="77777777" w:rsidR="006343F4" w:rsidRPr="00770296" w:rsidRDefault="006343F4">
      <w:pPr>
        <w:pStyle w:val="BodyText"/>
        <w:rPr>
          <w:rStyle w:val="Hyperlink"/>
        </w:rPr>
      </w:pPr>
    </w:p>
    <w:p w14:paraId="694DD393" w14:textId="77777777" w:rsidR="006343F4" w:rsidRPr="00770296" w:rsidRDefault="006343F4">
      <w:pPr>
        <w:pStyle w:val="BodyText"/>
      </w:pPr>
    </w:p>
    <w:p w14:paraId="69BA9D5E" w14:textId="77777777" w:rsidR="003371C2" w:rsidRDefault="003371C2" w:rsidP="006D5F92">
      <w:pPr>
        <w:pStyle w:val="ReportName"/>
      </w:pPr>
      <w:r>
        <w:t xml:space="preserve">Executive Summary Report </w:t>
      </w:r>
    </w:p>
    <w:p w14:paraId="37341FBA" w14:textId="6044E58C" w:rsidR="003371C2" w:rsidRPr="003371C2" w:rsidRDefault="004A2BA8" w:rsidP="006D5F92">
      <w:pPr>
        <w:pStyle w:val="ReportName"/>
        <w:rPr>
          <w:sz w:val="36"/>
        </w:rPr>
      </w:pPr>
      <w:r>
        <w:rPr>
          <w:sz w:val="36"/>
        </w:rPr>
        <w:t xml:space="preserve">Phase 1: </w:t>
      </w:r>
      <w:r w:rsidR="003371C2" w:rsidRPr="003371C2">
        <w:rPr>
          <w:sz w:val="36"/>
        </w:rPr>
        <w:t xml:space="preserve">Legal and Regulatory </w:t>
      </w:r>
      <w:r w:rsidR="0088502E">
        <w:rPr>
          <w:sz w:val="36"/>
        </w:rPr>
        <w:t xml:space="preserve">Framework </w:t>
      </w:r>
      <w:r w:rsidR="003371C2" w:rsidRPr="003371C2">
        <w:rPr>
          <w:sz w:val="36"/>
        </w:rPr>
        <w:t>for LNG</w:t>
      </w:r>
      <w:r w:rsidR="0088502E">
        <w:rPr>
          <w:sz w:val="36"/>
        </w:rPr>
        <w:t xml:space="preserve">-to-Power </w:t>
      </w:r>
      <w:r w:rsidR="003371C2" w:rsidRPr="003371C2">
        <w:rPr>
          <w:sz w:val="36"/>
        </w:rPr>
        <w:t>development</w:t>
      </w:r>
      <w:r w:rsidR="0088502E">
        <w:rPr>
          <w:sz w:val="36"/>
        </w:rPr>
        <w:t xml:space="preserve"> in Vietnam</w:t>
      </w:r>
    </w:p>
    <w:p w14:paraId="65B1F0B8" w14:textId="77777777" w:rsidR="009C2118" w:rsidRPr="009C2118" w:rsidRDefault="009C2118" w:rsidP="009C2118">
      <w:pPr>
        <w:pStyle w:val="BodyText"/>
      </w:pPr>
    </w:p>
    <w:tbl>
      <w:tblPr>
        <w:tblpPr w:leftFromText="180" w:rightFromText="180" w:vertAnchor="text" w:horzAnchor="margin" w:tblpXSpec="right" w:tblpY="245"/>
        <w:tblW w:w="0" w:type="auto"/>
        <w:tblLook w:val="0000" w:firstRow="0" w:lastRow="0" w:firstColumn="0" w:lastColumn="0" w:noHBand="0" w:noVBand="0"/>
      </w:tblPr>
      <w:tblGrid>
        <w:gridCol w:w="2700"/>
        <w:gridCol w:w="3240"/>
      </w:tblGrid>
      <w:tr w:rsidR="009C2118" w:rsidRPr="009C2118" w14:paraId="53E35218" w14:textId="77777777" w:rsidTr="009C2118">
        <w:tc>
          <w:tcPr>
            <w:tcW w:w="2700" w:type="dxa"/>
          </w:tcPr>
          <w:p w14:paraId="766CADFD" w14:textId="77777777" w:rsidR="009C2118" w:rsidRPr="009C2118" w:rsidRDefault="009C2118" w:rsidP="009C2118">
            <w:pPr>
              <w:pStyle w:val="BodyText"/>
              <w:rPr>
                <w:sz w:val="16"/>
                <w:szCs w:val="16"/>
              </w:rPr>
            </w:pPr>
            <w:r w:rsidRPr="009C2118">
              <w:rPr>
                <w:sz w:val="16"/>
                <w:szCs w:val="16"/>
              </w:rPr>
              <w:t>Prepared By:</w:t>
            </w:r>
          </w:p>
        </w:tc>
        <w:tc>
          <w:tcPr>
            <w:tcW w:w="3240" w:type="dxa"/>
          </w:tcPr>
          <w:p w14:paraId="425BB95F" w14:textId="77777777" w:rsidR="009C2118" w:rsidRPr="009C2118" w:rsidRDefault="009C2118" w:rsidP="009C2118">
            <w:pPr>
              <w:pStyle w:val="BodyText"/>
              <w:rPr>
                <w:sz w:val="16"/>
                <w:szCs w:val="16"/>
              </w:rPr>
            </w:pPr>
          </w:p>
        </w:tc>
      </w:tr>
      <w:tr w:rsidR="009C2118" w:rsidRPr="009C2118" w14:paraId="087E369C" w14:textId="77777777" w:rsidTr="009C2118">
        <w:tc>
          <w:tcPr>
            <w:tcW w:w="2700" w:type="dxa"/>
            <w:tcBorders>
              <w:bottom w:val="single" w:sz="4" w:space="0" w:color="auto"/>
            </w:tcBorders>
          </w:tcPr>
          <w:p w14:paraId="52D141BA" w14:textId="77777777" w:rsidR="009C2118" w:rsidRPr="009C2118" w:rsidRDefault="009C2118" w:rsidP="009C2118">
            <w:pPr>
              <w:pStyle w:val="BodyText"/>
              <w:rPr>
                <w:sz w:val="16"/>
                <w:szCs w:val="16"/>
              </w:rPr>
            </w:pPr>
            <w:r w:rsidRPr="009C2118">
              <w:rPr>
                <w:b/>
                <w:sz w:val="16"/>
                <w:szCs w:val="16"/>
              </w:rPr>
              <w:t>The Lantau Group (HK) Limited</w:t>
            </w:r>
            <w:r w:rsidRPr="009C2118">
              <w:rPr>
                <w:sz w:val="16"/>
                <w:szCs w:val="16"/>
              </w:rPr>
              <w:t xml:space="preserve"> </w:t>
            </w:r>
            <w:r w:rsidRPr="009C2118">
              <w:rPr>
                <w:sz w:val="16"/>
                <w:szCs w:val="16"/>
              </w:rPr>
              <w:br/>
              <w:t>4602-4606 Tower 1, Metroplaza</w:t>
            </w:r>
            <w:r w:rsidRPr="009C2118">
              <w:rPr>
                <w:sz w:val="16"/>
                <w:szCs w:val="16"/>
              </w:rPr>
              <w:br/>
              <w:t>223 Hing Fong Road</w:t>
            </w:r>
            <w:r w:rsidRPr="009C2118">
              <w:rPr>
                <w:sz w:val="16"/>
                <w:szCs w:val="16"/>
              </w:rPr>
              <w:br/>
              <w:t>Kwai Fong</w:t>
            </w:r>
            <w:r w:rsidRPr="009C2118">
              <w:rPr>
                <w:sz w:val="16"/>
                <w:szCs w:val="16"/>
              </w:rPr>
              <w:br/>
              <w:t>Hong Kong</w:t>
            </w:r>
          </w:p>
        </w:tc>
        <w:tc>
          <w:tcPr>
            <w:tcW w:w="3240" w:type="dxa"/>
            <w:tcBorders>
              <w:bottom w:val="single" w:sz="4" w:space="0" w:color="auto"/>
            </w:tcBorders>
          </w:tcPr>
          <w:p w14:paraId="40D362B3" w14:textId="77777777" w:rsidR="009C2118" w:rsidRPr="009C2118" w:rsidRDefault="009C2118" w:rsidP="009C2118">
            <w:pPr>
              <w:pStyle w:val="BodyText"/>
              <w:rPr>
                <w:sz w:val="16"/>
                <w:szCs w:val="16"/>
              </w:rPr>
            </w:pPr>
            <w:r w:rsidRPr="009C2118">
              <w:rPr>
                <w:b/>
                <w:sz w:val="16"/>
                <w:szCs w:val="16"/>
              </w:rPr>
              <w:t>The Lantau Group (Singapore) Pte Ltd</w:t>
            </w:r>
            <w:r w:rsidRPr="009C2118">
              <w:rPr>
                <w:sz w:val="16"/>
                <w:szCs w:val="16"/>
              </w:rPr>
              <w:br/>
              <w:t>Level 39</w:t>
            </w:r>
            <w:r w:rsidRPr="009C2118">
              <w:rPr>
                <w:sz w:val="16"/>
                <w:szCs w:val="16"/>
              </w:rPr>
              <w:br/>
              <w:t xml:space="preserve">Marina Bay Financial Centre Tower 2 </w:t>
            </w:r>
            <w:r w:rsidRPr="009C2118">
              <w:rPr>
                <w:sz w:val="16"/>
                <w:szCs w:val="16"/>
              </w:rPr>
              <w:br/>
              <w:t>10 Mari</w:t>
            </w:r>
            <w:r w:rsidR="000236EB">
              <w:rPr>
                <w:sz w:val="16"/>
                <w:szCs w:val="16"/>
              </w:rPr>
              <w:t xml:space="preserve">na Boulevard </w:t>
            </w:r>
            <w:r w:rsidR="000236EB">
              <w:rPr>
                <w:sz w:val="16"/>
                <w:szCs w:val="16"/>
              </w:rPr>
              <w:br/>
              <w:t>Singapore 018983</w:t>
            </w:r>
          </w:p>
        </w:tc>
      </w:tr>
      <w:tr w:rsidR="009C2118" w:rsidRPr="009C2118" w14:paraId="773E54E7" w14:textId="77777777" w:rsidTr="00181B09">
        <w:tc>
          <w:tcPr>
            <w:tcW w:w="5940" w:type="dxa"/>
            <w:gridSpan w:val="2"/>
            <w:tcBorders>
              <w:top w:val="single" w:sz="4" w:space="0" w:color="auto"/>
            </w:tcBorders>
          </w:tcPr>
          <w:p w14:paraId="6D01C062" w14:textId="556A4C85" w:rsidR="009C2118" w:rsidRPr="009C2118" w:rsidRDefault="009C2118" w:rsidP="009C2118">
            <w:pPr>
              <w:pStyle w:val="BodyText"/>
              <w:rPr>
                <w:sz w:val="16"/>
                <w:szCs w:val="16"/>
              </w:rPr>
            </w:pPr>
            <w:r w:rsidRPr="009C2118">
              <w:rPr>
                <w:sz w:val="16"/>
                <w:szCs w:val="16"/>
              </w:rPr>
              <w:t xml:space="preserve">Date:  </w:t>
            </w:r>
            <w:r w:rsidRPr="009C2118">
              <w:rPr>
                <w:sz w:val="16"/>
                <w:szCs w:val="16"/>
              </w:rPr>
              <w:fldChar w:fldCharType="begin"/>
            </w:r>
            <w:r w:rsidRPr="009C2118">
              <w:rPr>
                <w:sz w:val="16"/>
                <w:szCs w:val="16"/>
              </w:rPr>
              <w:instrText xml:space="preserve"> DOCPROPERTY "Date"  \* MERGEFORMAT </w:instrText>
            </w:r>
            <w:r w:rsidRPr="009C2118">
              <w:rPr>
                <w:sz w:val="16"/>
                <w:szCs w:val="16"/>
              </w:rPr>
              <w:fldChar w:fldCharType="separate"/>
            </w:r>
            <w:r w:rsidR="00D5794B">
              <w:rPr>
                <w:sz w:val="16"/>
                <w:szCs w:val="16"/>
              </w:rPr>
              <w:t>September 2018</w:t>
            </w:r>
            <w:r w:rsidRPr="009C2118">
              <w:rPr>
                <w:sz w:val="16"/>
                <w:szCs w:val="16"/>
              </w:rPr>
              <w:fldChar w:fldCharType="end"/>
            </w:r>
          </w:p>
        </w:tc>
      </w:tr>
    </w:tbl>
    <w:p w14:paraId="2D4C11F0" w14:textId="77777777" w:rsidR="009C2118" w:rsidRPr="009C2118" w:rsidRDefault="009C2118" w:rsidP="009C2118">
      <w:pPr>
        <w:pStyle w:val="BodyText"/>
      </w:pPr>
    </w:p>
    <w:p w14:paraId="5A58ECF1" w14:textId="77777777" w:rsidR="009C2118" w:rsidRPr="009C2118" w:rsidRDefault="009C2118" w:rsidP="009C2118">
      <w:pPr>
        <w:pStyle w:val="BodyText"/>
      </w:pPr>
    </w:p>
    <w:p w14:paraId="2086C1B4" w14:textId="77777777" w:rsidR="009C2118" w:rsidRPr="009C2118" w:rsidRDefault="009C2118" w:rsidP="009C2118">
      <w:pPr>
        <w:pStyle w:val="BodyText"/>
      </w:pPr>
    </w:p>
    <w:p w14:paraId="6CC1DC4C" w14:textId="77777777" w:rsidR="006343F4" w:rsidRPr="00770296" w:rsidRDefault="006343F4">
      <w:pPr>
        <w:pStyle w:val="BodyText"/>
      </w:pPr>
    </w:p>
    <w:p w14:paraId="642D3B81" w14:textId="77777777" w:rsidR="006343F4" w:rsidRPr="00770296" w:rsidRDefault="006343F4">
      <w:pPr>
        <w:pStyle w:val="BodyText"/>
        <w:sectPr w:rsidR="006343F4" w:rsidRPr="00770296">
          <w:footerReference w:type="even" r:id="rId8"/>
          <w:footerReference w:type="default" r:id="rId9"/>
          <w:headerReference w:type="first" r:id="rId10"/>
          <w:footerReference w:type="first" r:id="rId11"/>
          <w:pgSz w:w="11907" w:h="16840" w:code="9"/>
          <w:pgMar w:top="1440" w:right="1440" w:bottom="1440" w:left="1440" w:header="578" w:footer="431" w:gutter="1077"/>
          <w:cols w:space="720"/>
          <w:titlePg/>
        </w:sectPr>
      </w:pPr>
    </w:p>
    <w:p w14:paraId="3650B348" w14:textId="77777777" w:rsidR="006343F4" w:rsidRPr="00770296" w:rsidRDefault="006343F4">
      <w:pPr>
        <w:pStyle w:val="SectionHeading"/>
      </w:pPr>
      <w:r w:rsidRPr="00770296">
        <w:lastRenderedPageBreak/>
        <w:t>CONFIDENTIAL MATERIAL</w:t>
      </w:r>
    </w:p>
    <w:p w14:paraId="50FAAED1" w14:textId="241DC723" w:rsidR="006343F4" w:rsidRPr="00770296" w:rsidRDefault="006343F4">
      <w:pPr>
        <w:pStyle w:val="Disclaimer"/>
      </w:pPr>
      <w:r w:rsidRPr="00770296">
        <w:t xml:space="preserve">Please note that this document contains proprietary and confidential information provided to </w:t>
      </w:r>
      <w:fldSimple w:instr=" DOCPROPERTY &quot;Client&quot;  \* MERGEFORMAT ">
        <w:r w:rsidR="00D5794B">
          <w:t>The World Bank</w:t>
        </w:r>
      </w:fldSimple>
      <w:r w:rsidRPr="00770296">
        <w:t xml:space="preserve"> solely for the purpose of evaluating our proposal to provide consulting services to </w:t>
      </w:r>
      <w:fldSimple w:instr=" DOCPROPERTY &quot;Client&quot;  \* MERGEFORMAT ">
        <w:r w:rsidR="00D5794B">
          <w:t>The World Bank</w:t>
        </w:r>
      </w:fldSimple>
      <w:r w:rsidRPr="00770296">
        <w:t>.  The information contained in the document is not intended to be, nor should it be, used otherwise, nor should it be disclosed to other parties.</w:t>
      </w:r>
      <w:r w:rsidR="00332AC1" w:rsidRPr="00332AC1">
        <w:t xml:space="preserve"> </w:t>
      </w:r>
      <w:r w:rsidR="00332AC1" w:rsidRPr="00770296">
        <w:t>Neither the author(s), nor The Lantau Group make any representation or warranty as to the accuracy or completeness of this document, or accept any liability for any errors or omissions, or for statements, opinions, information or matters arising out of, contained in or derived from this document, or related communications, or for any actions taken on such a basis.  The views expressed in this report are those of the authors and do not necessarily reflect the views of other TLG staff.</w:t>
      </w:r>
    </w:p>
    <w:p w14:paraId="3C1163B7" w14:textId="77777777" w:rsidR="006343F4" w:rsidRPr="00770296" w:rsidRDefault="006343F4">
      <w:pPr>
        <w:pStyle w:val="BodyText"/>
        <w:rPr>
          <w:i/>
          <w:iCs/>
        </w:rPr>
      </w:pPr>
    </w:p>
    <w:p w14:paraId="022B2A84" w14:textId="77777777" w:rsidR="002F01B5" w:rsidRPr="00770296" w:rsidRDefault="006343F4" w:rsidP="003C1647">
      <w:pPr>
        <w:pStyle w:val="Disclaimer"/>
        <w:rPr>
          <w:i w:val="0"/>
          <w:iCs w:val="0"/>
        </w:rPr>
      </w:pPr>
      <w:r w:rsidRPr="00770296">
        <w:t xml:space="preserve"> </w:t>
      </w:r>
    </w:p>
    <w:p w14:paraId="4D0AC4EC" w14:textId="77777777" w:rsidR="006343F4" w:rsidRPr="00770296" w:rsidRDefault="006343F4" w:rsidP="002F01B5">
      <w:pPr>
        <w:pStyle w:val="SectionHeading"/>
      </w:pPr>
      <w:r w:rsidRPr="00770296">
        <w:br w:type="page"/>
      </w:r>
      <w:r w:rsidRPr="00770296">
        <w:lastRenderedPageBreak/>
        <w:t>Table of contents</w:t>
      </w:r>
    </w:p>
    <w:p w14:paraId="76FE3764" w14:textId="7A602178" w:rsidR="00FF540D" w:rsidRDefault="00CA5EEE">
      <w:pPr>
        <w:pStyle w:val="TOC1"/>
        <w:rPr>
          <w:rFonts w:asciiTheme="minorHAnsi" w:eastAsiaTheme="minorEastAsia" w:hAnsiTheme="minorHAnsi" w:cstheme="minorBidi"/>
          <w:caps w:val="0"/>
          <w:noProof/>
          <w:szCs w:val="22"/>
          <w:lang w:val="en-HK" w:eastAsia="en-HK"/>
        </w:rPr>
      </w:pPr>
      <w:r w:rsidRPr="00770296">
        <w:rPr>
          <w:b/>
          <w:caps w:val="0"/>
        </w:rPr>
        <w:fldChar w:fldCharType="begin"/>
      </w:r>
      <w:r w:rsidRPr="00770296">
        <w:rPr>
          <w:b/>
          <w:caps w:val="0"/>
        </w:rPr>
        <w:instrText xml:space="preserve"> TOC \o "1-1" \h \z \t "Heading 2,2,Heading 3,3,Appendix 1,1,Appendix 2,2,Appendix 3,3,CVHeading1,2" </w:instrText>
      </w:r>
      <w:r w:rsidRPr="00770296">
        <w:rPr>
          <w:b/>
          <w:caps w:val="0"/>
        </w:rPr>
        <w:fldChar w:fldCharType="separate"/>
      </w:r>
      <w:hyperlink w:anchor="_Toc524653549" w:history="1">
        <w:r w:rsidR="00FF540D" w:rsidRPr="00AD6684">
          <w:rPr>
            <w:rStyle w:val="Hyperlink"/>
            <w:noProof/>
          </w:rPr>
          <w:t>1.</w:t>
        </w:r>
        <w:r w:rsidR="00FF540D">
          <w:rPr>
            <w:rFonts w:asciiTheme="minorHAnsi" w:eastAsiaTheme="minorEastAsia" w:hAnsiTheme="minorHAnsi" w:cstheme="minorBidi"/>
            <w:caps w:val="0"/>
            <w:noProof/>
            <w:szCs w:val="22"/>
            <w:lang w:val="en-HK" w:eastAsia="en-HK"/>
          </w:rPr>
          <w:tab/>
        </w:r>
        <w:r w:rsidR="00FF540D" w:rsidRPr="00AD6684">
          <w:rPr>
            <w:rStyle w:val="Hyperlink"/>
            <w:noProof/>
          </w:rPr>
          <w:t>Executive summary</w:t>
        </w:r>
        <w:r w:rsidR="00FF540D">
          <w:rPr>
            <w:noProof/>
            <w:webHidden/>
          </w:rPr>
          <w:tab/>
        </w:r>
        <w:r w:rsidR="00FF540D">
          <w:rPr>
            <w:noProof/>
            <w:webHidden/>
          </w:rPr>
          <w:fldChar w:fldCharType="begin"/>
        </w:r>
        <w:r w:rsidR="00FF540D">
          <w:rPr>
            <w:noProof/>
            <w:webHidden/>
          </w:rPr>
          <w:instrText xml:space="preserve"> PAGEREF _Toc524653549 \h </w:instrText>
        </w:r>
        <w:r w:rsidR="00FF540D">
          <w:rPr>
            <w:noProof/>
            <w:webHidden/>
          </w:rPr>
        </w:r>
        <w:r w:rsidR="00FF540D">
          <w:rPr>
            <w:noProof/>
            <w:webHidden/>
          </w:rPr>
          <w:fldChar w:fldCharType="separate"/>
        </w:r>
        <w:r w:rsidR="006F531A">
          <w:rPr>
            <w:noProof/>
            <w:webHidden/>
          </w:rPr>
          <w:t>1</w:t>
        </w:r>
        <w:r w:rsidR="00FF540D">
          <w:rPr>
            <w:noProof/>
            <w:webHidden/>
          </w:rPr>
          <w:fldChar w:fldCharType="end"/>
        </w:r>
      </w:hyperlink>
    </w:p>
    <w:p w14:paraId="119FE447" w14:textId="377C3451" w:rsidR="00FF540D" w:rsidRDefault="00B16DAD">
      <w:pPr>
        <w:pStyle w:val="TOC2"/>
        <w:rPr>
          <w:rFonts w:asciiTheme="minorHAnsi" w:eastAsiaTheme="minorEastAsia" w:hAnsiTheme="minorHAnsi" w:cstheme="minorBidi"/>
          <w:smallCaps w:val="0"/>
          <w:noProof/>
          <w:sz w:val="22"/>
          <w:szCs w:val="22"/>
          <w:lang w:val="en-HK" w:eastAsia="en-HK"/>
        </w:rPr>
      </w:pPr>
      <w:hyperlink w:anchor="_Toc524653550" w:history="1">
        <w:r w:rsidR="00FF540D" w:rsidRPr="00AD6684">
          <w:rPr>
            <w:rStyle w:val="Hyperlink"/>
            <w:noProof/>
          </w:rPr>
          <w:t>1.1.</w:t>
        </w:r>
        <w:r w:rsidR="00FF540D">
          <w:rPr>
            <w:rFonts w:asciiTheme="minorHAnsi" w:eastAsiaTheme="minorEastAsia" w:hAnsiTheme="minorHAnsi" w:cstheme="minorBidi"/>
            <w:smallCaps w:val="0"/>
            <w:noProof/>
            <w:sz w:val="22"/>
            <w:szCs w:val="22"/>
            <w:lang w:val="en-HK" w:eastAsia="en-HK"/>
          </w:rPr>
          <w:tab/>
        </w:r>
        <w:r w:rsidR="00FF540D" w:rsidRPr="00AD6684">
          <w:rPr>
            <w:rStyle w:val="Hyperlink"/>
            <w:noProof/>
          </w:rPr>
          <w:t>Purpose of this Document</w:t>
        </w:r>
        <w:r w:rsidR="00FF540D">
          <w:rPr>
            <w:noProof/>
            <w:webHidden/>
          </w:rPr>
          <w:tab/>
        </w:r>
        <w:r w:rsidR="00FF540D">
          <w:rPr>
            <w:noProof/>
            <w:webHidden/>
          </w:rPr>
          <w:fldChar w:fldCharType="begin"/>
        </w:r>
        <w:r w:rsidR="00FF540D">
          <w:rPr>
            <w:noProof/>
            <w:webHidden/>
          </w:rPr>
          <w:instrText xml:space="preserve"> PAGEREF _Toc524653550 \h </w:instrText>
        </w:r>
        <w:r w:rsidR="00FF540D">
          <w:rPr>
            <w:noProof/>
            <w:webHidden/>
          </w:rPr>
        </w:r>
        <w:r w:rsidR="00FF540D">
          <w:rPr>
            <w:noProof/>
            <w:webHidden/>
          </w:rPr>
          <w:fldChar w:fldCharType="separate"/>
        </w:r>
        <w:r w:rsidR="006F531A">
          <w:rPr>
            <w:noProof/>
            <w:webHidden/>
          </w:rPr>
          <w:t>1</w:t>
        </w:r>
        <w:r w:rsidR="00FF540D">
          <w:rPr>
            <w:noProof/>
            <w:webHidden/>
          </w:rPr>
          <w:fldChar w:fldCharType="end"/>
        </w:r>
      </w:hyperlink>
    </w:p>
    <w:p w14:paraId="3E052F77" w14:textId="35DE73AE" w:rsidR="00FF540D" w:rsidRDefault="00B16DAD">
      <w:pPr>
        <w:pStyle w:val="TOC2"/>
        <w:rPr>
          <w:rFonts w:asciiTheme="minorHAnsi" w:eastAsiaTheme="minorEastAsia" w:hAnsiTheme="minorHAnsi" w:cstheme="minorBidi"/>
          <w:smallCaps w:val="0"/>
          <w:noProof/>
          <w:sz w:val="22"/>
          <w:szCs w:val="22"/>
          <w:lang w:val="en-HK" w:eastAsia="en-HK"/>
        </w:rPr>
      </w:pPr>
      <w:hyperlink w:anchor="_Toc524653551" w:history="1">
        <w:r w:rsidR="00FF540D" w:rsidRPr="00AD6684">
          <w:rPr>
            <w:rStyle w:val="Hyperlink"/>
            <w:noProof/>
          </w:rPr>
          <w:t>1.2.</w:t>
        </w:r>
        <w:r w:rsidR="00FF540D">
          <w:rPr>
            <w:rFonts w:asciiTheme="minorHAnsi" w:eastAsiaTheme="minorEastAsia" w:hAnsiTheme="minorHAnsi" w:cstheme="minorBidi"/>
            <w:smallCaps w:val="0"/>
            <w:noProof/>
            <w:sz w:val="22"/>
            <w:szCs w:val="22"/>
            <w:lang w:val="en-HK" w:eastAsia="en-HK"/>
          </w:rPr>
          <w:tab/>
        </w:r>
        <w:r w:rsidR="00FF540D" w:rsidRPr="00AD6684">
          <w:rPr>
            <w:rStyle w:val="Hyperlink"/>
            <w:noProof/>
          </w:rPr>
          <w:t>Key Findings</w:t>
        </w:r>
        <w:r w:rsidR="00FF540D">
          <w:rPr>
            <w:noProof/>
            <w:webHidden/>
          </w:rPr>
          <w:tab/>
        </w:r>
        <w:r w:rsidR="00FF540D">
          <w:rPr>
            <w:noProof/>
            <w:webHidden/>
          </w:rPr>
          <w:fldChar w:fldCharType="begin"/>
        </w:r>
        <w:r w:rsidR="00FF540D">
          <w:rPr>
            <w:noProof/>
            <w:webHidden/>
          </w:rPr>
          <w:instrText xml:space="preserve"> PAGEREF _Toc524653551 \h </w:instrText>
        </w:r>
        <w:r w:rsidR="00FF540D">
          <w:rPr>
            <w:noProof/>
            <w:webHidden/>
          </w:rPr>
        </w:r>
        <w:r w:rsidR="00FF540D">
          <w:rPr>
            <w:noProof/>
            <w:webHidden/>
          </w:rPr>
          <w:fldChar w:fldCharType="separate"/>
        </w:r>
        <w:r w:rsidR="006F531A">
          <w:rPr>
            <w:noProof/>
            <w:webHidden/>
          </w:rPr>
          <w:t>1</w:t>
        </w:r>
        <w:r w:rsidR="00FF540D">
          <w:rPr>
            <w:noProof/>
            <w:webHidden/>
          </w:rPr>
          <w:fldChar w:fldCharType="end"/>
        </w:r>
      </w:hyperlink>
    </w:p>
    <w:p w14:paraId="67FAC07E" w14:textId="12189219" w:rsidR="00FF540D" w:rsidRDefault="00B16DAD">
      <w:pPr>
        <w:pStyle w:val="TOC2"/>
        <w:rPr>
          <w:rFonts w:asciiTheme="minorHAnsi" w:eastAsiaTheme="minorEastAsia" w:hAnsiTheme="minorHAnsi" w:cstheme="minorBidi"/>
          <w:smallCaps w:val="0"/>
          <w:noProof/>
          <w:sz w:val="22"/>
          <w:szCs w:val="22"/>
          <w:lang w:val="en-HK" w:eastAsia="en-HK"/>
        </w:rPr>
      </w:pPr>
      <w:hyperlink w:anchor="_Toc524653552" w:history="1">
        <w:r w:rsidR="00FF540D" w:rsidRPr="00AD6684">
          <w:rPr>
            <w:rStyle w:val="Hyperlink"/>
            <w:noProof/>
          </w:rPr>
          <w:t>1.3.</w:t>
        </w:r>
        <w:r w:rsidR="00FF540D">
          <w:rPr>
            <w:rFonts w:asciiTheme="minorHAnsi" w:eastAsiaTheme="minorEastAsia" w:hAnsiTheme="minorHAnsi" w:cstheme="minorBidi"/>
            <w:smallCaps w:val="0"/>
            <w:noProof/>
            <w:sz w:val="22"/>
            <w:szCs w:val="22"/>
            <w:lang w:val="en-HK" w:eastAsia="en-HK"/>
          </w:rPr>
          <w:tab/>
        </w:r>
        <w:r w:rsidR="00FF540D" w:rsidRPr="00AD6684">
          <w:rPr>
            <w:rStyle w:val="Hyperlink"/>
            <w:noProof/>
          </w:rPr>
          <w:t>Key Recommendations</w:t>
        </w:r>
        <w:r w:rsidR="00FF540D">
          <w:rPr>
            <w:noProof/>
            <w:webHidden/>
          </w:rPr>
          <w:tab/>
        </w:r>
        <w:r w:rsidR="00FF540D">
          <w:rPr>
            <w:noProof/>
            <w:webHidden/>
          </w:rPr>
          <w:fldChar w:fldCharType="begin"/>
        </w:r>
        <w:r w:rsidR="00FF540D">
          <w:rPr>
            <w:noProof/>
            <w:webHidden/>
          </w:rPr>
          <w:instrText xml:space="preserve"> PAGEREF _Toc524653552 \h </w:instrText>
        </w:r>
        <w:r w:rsidR="00FF540D">
          <w:rPr>
            <w:noProof/>
            <w:webHidden/>
          </w:rPr>
        </w:r>
        <w:r w:rsidR="00FF540D">
          <w:rPr>
            <w:noProof/>
            <w:webHidden/>
          </w:rPr>
          <w:fldChar w:fldCharType="separate"/>
        </w:r>
        <w:r w:rsidR="006F531A">
          <w:rPr>
            <w:noProof/>
            <w:webHidden/>
          </w:rPr>
          <w:t>2</w:t>
        </w:r>
        <w:r w:rsidR="00FF540D">
          <w:rPr>
            <w:noProof/>
            <w:webHidden/>
          </w:rPr>
          <w:fldChar w:fldCharType="end"/>
        </w:r>
      </w:hyperlink>
    </w:p>
    <w:p w14:paraId="19B7A0EE" w14:textId="285E68A6" w:rsidR="00FF540D" w:rsidRDefault="00B16DAD">
      <w:pPr>
        <w:pStyle w:val="TOC1"/>
        <w:rPr>
          <w:rFonts w:asciiTheme="minorHAnsi" w:eastAsiaTheme="minorEastAsia" w:hAnsiTheme="minorHAnsi" w:cstheme="minorBidi"/>
          <w:caps w:val="0"/>
          <w:noProof/>
          <w:szCs w:val="22"/>
          <w:lang w:val="en-HK" w:eastAsia="en-HK"/>
        </w:rPr>
      </w:pPr>
      <w:hyperlink w:anchor="_Toc524653553" w:history="1">
        <w:r w:rsidR="00FF540D" w:rsidRPr="00AD6684">
          <w:rPr>
            <w:rStyle w:val="Hyperlink"/>
            <w:noProof/>
          </w:rPr>
          <w:t>2.</w:t>
        </w:r>
        <w:r w:rsidR="00FF540D">
          <w:rPr>
            <w:rFonts w:asciiTheme="minorHAnsi" w:eastAsiaTheme="minorEastAsia" w:hAnsiTheme="minorHAnsi" w:cstheme="minorBidi"/>
            <w:caps w:val="0"/>
            <w:noProof/>
            <w:szCs w:val="22"/>
            <w:lang w:val="en-HK" w:eastAsia="en-HK"/>
          </w:rPr>
          <w:tab/>
        </w:r>
        <w:r w:rsidR="00FF540D" w:rsidRPr="00AD6684">
          <w:rPr>
            <w:rStyle w:val="Hyperlink"/>
            <w:noProof/>
          </w:rPr>
          <w:t>Role of Gas in Vietnam</w:t>
        </w:r>
        <w:r w:rsidR="00FF540D">
          <w:rPr>
            <w:noProof/>
            <w:webHidden/>
          </w:rPr>
          <w:tab/>
        </w:r>
        <w:r w:rsidR="00FF540D">
          <w:rPr>
            <w:noProof/>
            <w:webHidden/>
          </w:rPr>
          <w:fldChar w:fldCharType="begin"/>
        </w:r>
        <w:r w:rsidR="00FF540D">
          <w:rPr>
            <w:noProof/>
            <w:webHidden/>
          </w:rPr>
          <w:instrText xml:space="preserve"> PAGEREF _Toc524653553 \h </w:instrText>
        </w:r>
        <w:r w:rsidR="00FF540D">
          <w:rPr>
            <w:noProof/>
            <w:webHidden/>
          </w:rPr>
        </w:r>
        <w:r w:rsidR="00FF540D">
          <w:rPr>
            <w:noProof/>
            <w:webHidden/>
          </w:rPr>
          <w:fldChar w:fldCharType="separate"/>
        </w:r>
        <w:r w:rsidR="006F531A">
          <w:rPr>
            <w:noProof/>
            <w:webHidden/>
          </w:rPr>
          <w:t>4</w:t>
        </w:r>
        <w:r w:rsidR="00FF540D">
          <w:rPr>
            <w:noProof/>
            <w:webHidden/>
          </w:rPr>
          <w:fldChar w:fldCharType="end"/>
        </w:r>
      </w:hyperlink>
    </w:p>
    <w:p w14:paraId="34A5874E" w14:textId="0B84970F" w:rsidR="00FF540D" w:rsidRDefault="00B16DAD">
      <w:pPr>
        <w:pStyle w:val="TOC2"/>
        <w:rPr>
          <w:rFonts w:asciiTheme="minorHAnsi" w:eastAsiaTheme="minorEastAsia" w:hAnsiTheme="minorHAnsi" w:cstheme="minorBidi"/>
          <w:smallCaps w:val="0"/>
          <w:noProof/>
          <w:sz w:val="22"/>
          <w:szCs w:val="22"/>
          <w:lang w:val="en-HK" w:eastAsia="en-HK"/>
        </w:rPr>
      </w:pPr>
      <w:hyperlink w:anchor="_Toc524653554" w:history="1">
        <w:r w:rsidR="00FF540D" w:rsidRPr="00AD6684">
          <w:rPr>
            <w:rStyle w:val="Hyperlink"/>
            <w:noProof/>
          </w:rPr>
          <w:t>2.1.</w:t>
        </w:r>
        <w:r w:rsidR="00FF540D">
          <w:rPr>
            <w:rFonts w:asciiTheme="minorHAnsi" w:eastAsiaTheme="minorEastAsia" w:hAnsiTheme="minorHAnsi" w:cstheme="minorBidi"/>
            <w:smallCaps w:val="0"/>
            <w:noProof/>
            <w:sz w:val="22"/>
            <w:szCs w:val="22"/>
            <w:lang w:val="en-HK" w:eastAsia="en-HK"/>
          </w:rPr>
          <w:tab/>
        </w:r>
        <w:r w:rsidR="00FF540D" w:rsidRPr="00AD6684">
          <w:rPr>
            <w:rStyle w:val="Hyperlink"/>
            <w:noProof/>
          </w:rPr>
          <w:t>Overview of Vietnam’s Energy Policy Position</w:t>
        </w:r>
        <w:r w:rsidR="00FF540D">
          <w:rPr>
            <w:noProof/>
            <w:webHidden/>
          </w:rPr>
          <w:tab/>
        </w:r>
        <w:r w:rsidR="00FF540D">
          <w:rPr>
            <w:noProof/>
            <w:webHidden/>
          </w:rPr>
          <w:fldChar w:fldCharType="begin"/>
        </w:r>
        <w:r w:rsidR="00FF540D">
          <w:rPr>
            <w:noProof/>
            <w:webHidden/>
          </w:rPr>
          <w:instrText xml:space="preserve"> PAGEREF _Toc524653554 \h </w:instrText>
        </w:r>
        <w:r w:rsidR="00FF540D">
          <w:rPr>
            <w:noProof/>
            <w:webHidden/>
          </w:rPr>
        </w:r>
        <w:r w:rsidR="00FF540D">
          <w:rPr>
            <w:noProof/>
            <w:webHidden/>
          </w:rPr>
          <w:fldChar w:fldCharType="separate"/>
        </w:r>
        <w:r w:rsidR="006F531A">
          <w:rPr>
            <w:noProof/>
            <w:webHidden/>
          </w:rPr>
          <w:t>4</w:t>
        </w:r>
        <w:r w:rsidR="00FF540D">
          <w:rPr>
            <w:noProof/>
            <w:webHidden/>
          </w:rPr>
          <w:fldChar w:fldCharType="end"/>
        </w:r>
      </w:hyperlink>
    </w:p>
    <w:p w14:paraId="4D4481B1" w14:textId="421F4C3D" w:rsidR="00FF540D" w:rsidRDefault="00B16DAD">
      <w:pPr>
        <w:pStyle w:val="TOC3"/>
        <w:rPr>
          <w:rFonts w:asciiTheme="minorHAnsi" w:eastAsiaTheme="minorEastAsia" w:hAnsiTheme="minorHAnsi" w:cstheme="minorBidi"/>
          <w:noProof/>
          <w:sz w:val="22"/>
          <w:szCs w:val="22"/>
          <w:lang w:val="en-HK" w:eastAsia="en-HK"/>
        </w:rPr>
      </w:pPr>
      <w:hyperlink w:anchor="_Toc524653555" w:history="1">
        <w:r w:rsidR="00FF540D" w:rsidRPr="00AD6684">
          <w:rPr>
            <w:rStyle w:val="Hyperlink"/>
            <w:noProof/>
          </w:rPr>
          <w:t>2.1.1.</w:t>
        </w:r>
        <w:r w:rsidR="00FF540D">
          <w:rPr>
            <w:rFonts w:asciiTheme="minorHAnsi" w:eastAsiaTheme="minorEastAsia" w:hAnsiTheme="minorHAnsi" w:cstheme="minorBidi"/>
            <w:noProof/>
            <w:sz w:val="22"/>
            <w:szCs w:val="22"/>
            <w:lang w:val="en-HK" w:eastAsia="en-HK"/>
          </w:rPr>
          <w:tab/>
        </w:r>
        <w:r w:rsidR="00FF540D" w:rsidRPr="00AD6684">
          <w:rPr>
            <w:rStyle w:val="Hyperlink"/>
            <w:noProof/>
          </w:rPr>
          <w:t>The Role of Gas, Fuel Diversification, and Emissions Targets</w:t>
        </w:r>
        <w:r w:rsidR="00FF540D">
          <w:rPr>
            <w:noProof/>
            <w:webHidden/>
          </w:rPr>
          <w:tab/>
        </w:r>
        <w:r w:rsidR="00FF540D">
          <w:rPr>
            <w:noProof/>
            <w:webHidden/>
          </w:rPr>
          <w:fldChar w:fldCharType="begin"/>
        </w:r>
        <w:r w:rsidR="00FF540D">
          <w:rPr>
            <w:noProof/>
            <w:webHidden/>
          </w:rPr>
          <w:instrText xml:space="preserve"> PAGEREF _Toc524653555 \h </w:instrText>
        </w:r>
        <w:r w:rsidR="00FF540D">
          <w:rPr>
            <w:noProof/>
            <w:webHidden/>
          </w:rPr>
        </w:r>
        <w:r w:rsidR="00FF540D">
          <w:rPr>
            <w:noProof/>
            <w:webHidden/>
          </w:rPr>
          <w:fldChar w:fldCharType="separate"/>
        </w:r>
        <w:r w:rsidR="006F531A">
          <w:rPr>
            <w:noProof/>
            <w:webHidden/>
          </w:rPr>
          <w:t>4</w:t>
        </w:r>
        <w:r w:rsidR="00FF540D">
          <w:rPr>
            <w:noProof/>
            <w:webHidden/>
          </w:rPr>
          <w:fldChar w:fldCharType="end"/>
        </w:r>
      </w:hyperlink>
    </w:p>
    <w:p w14:paraId="583052A5" w14:textId="7132EF3C" w:rsidR="00FF540D" w:rsidRDefault="00B16DAD">
      <w:pPr>
        <w:pStyle w:val="TOC3"/>
        <w:rPr>
          <w:rFonts w:asciiTheme="minorHAnsi" w:eastAsiaTheme="minorEastAsia" w:hAnsiTheme="minorHAnsi" w:cstheme="minorBidi"/>
          <w:noProof/>
          <w:sz w:val="22"/>
          <w:szCs w:val="22"/>
          <w:lang w:val="en-HK" w:eastAsia="en-HK"/>
        </w:rPr>
      </w:pPr>
      <w:hyperlink w:anchor="_Toc524653556" w:history="1">
        <w:r w:rsidR="00FF540D" w:rsidRPr="00AD6684">
          <w:rPr>
            <w:rStyle w:val="Hyperlink"/>
            <w:noProof/>
          </w:rPr>
          <w:t>2.1.2.</w:t>
        </w:r>
        <w:r w:rsidR="00FF540D">
          <w:rPr>
            <w:rFonts w:asciiTheme="minorHAnsi" w:eastAsiaTheme="minorEastAsia" w:hAnsiTheme="minorHAnsi" w:cstheme="minorBidi"/>
            <w:noProof/>
            <w:sz w:val="22"/>
            <w:szCs w:val="22"/>
            <w:lang w:val="en-HK" w:eastAsia="en-HK"/>
          </w:rPr>
          <w:tab/>
        </w:r>
        <w:r w:rsidR="00FF540D" w:rsidRPr="00AD6684">
          <w:rPr>
            <w:rStyle w:val="Hyperlink"/>
            <w:noProof/>
          </w:rPr>
          <w:t>Market Liberalization</w:t>
        </w:r>
        <w:r w:rsidR="00FF540D">
          <w:rPr>
            <w:noProof/>
            <w:webHidden/>
          </w:rPr>
          <w:tab/>
        </w:r>
        <w:r w:rsidR="00FF540D">
          <w:rPr>
            <w:noProof/>
            <w:webHidden/>
          </w:rPr>
          <w:fldChar w:fldCharType="begin"/>
        </w:r>
        <w:r w:rsidR="00FF540D">
          <w:rPr>
            <w:noProof/>
            <w:webHidden/>
          </w:rPr>
          <w:instrText xml:space="preserve"> PAGEREF _Toc524653556 \h </w:instrText>
        </w:r>
        <w:r w:rsidR="00FF540D">
          <w:rPr>
            <w:noProof/>
            <w:webHidden/>
          </w:rPr>
        </w:r>
        <w:r w:rsidR="00FF540D">
          <w:rPr>
            <w:noProof/>
            <w:webHidden/>
          </w:rPr>
          <w:fldChar w:fldCharType="separate"/>
        </w:r>
        <w:r w:rsidR="006F531A">
          <w:rPr>
            <w:noProof/>
            <w:webHidden/>
          </w:rPr>
          <w:t>5</w:t>
        </w:r>
        <w:r w:rsidR="00FF540D">
          <w:rPr>
            <w:noProof/>
            <w:webHidden/>
          </w:rPr>
          <w:fldChar w:fldCharType="end"/>
        </w:r>
      </w:hyperlink>
    </w:p>
    <w:p w14:paraId="50DF5AA2" w14:textId="0245BDB7" w:rsidR="00FF540D" w:rsidRDefault="00B16DAD">
      <w:pPr>
        <w:pStyle w:val="TOC2"/>
        <w:rPr>
          <w:rFonts w:asciiTheme="minorHAnsi" w:eastAsiaTheme="minorEastAsia" w:hAnsiTheme="minorHAnsi" w:cstheme="minorBidi"/>
          <w:smallCaps w:val="0"/>
          <w:noProof/>
          <w:sz w:val="22"/>
          <w:szCs w:val="22"/>
          <w:lang w:val="en-HK" w:eastAsia="en-HK"/>
        </w:rPr>
      </w:pPr>
      <w:hyperlink w:anchor="_Toc524653557" w:history="1">
        <w:r w:rsidR="00FF540D" w:rsidRPr="00AD6684">
          <w:rPr>
            <w:rStyle w:val="Hyperlink"/>
            <w:noProof/>
          </w:rPr>
          <w:t>2.2.</w:t>
        </w:r>
        <w:r w:rsidR="00FF540D">
          <w:rPr>
            <w:rFonts w:asciiTheme="minorHAnsi" w:eastAsiaTheme="minorEastAsia" w:hAnsiTheme="minorHAnsi" w:cstheme="minorBidi"/>
            <w:smallCaps w:val="0"/>
            <w:noProof/>
            <w:sz w:val="22"/>
            <w:szCs w:val="22"/>
            <w:lang w:val="en-HK" w:eastAsia="en-HK"/>
          </w:rPr>
          <w:tab/>
        </w:r>
        <w:r w:rsidR="00FF540D" w:rsidRPr="00AD6684">
          <w:rPr>
            <w:rStyle w:val="Hyperlink"/>
            <w:noProof/>
          </w:rPr>
          <w:t>Quantifying the gas supply gap</w:t>
        </w:r>
        <w:r w:rsidR="00FF540D">
          <w:rPr>
            <w:noProof/>
            <w:webHidden/>
          </w:rPr>
          <w:tab/>
        </w:r>
        <w:r w:rsidR="00FF540D">
          <w:rPr>
            <w:noProof/>
            <w:webHidden/>
          </w:rPr>
          <w:fldChar w:fldCharType="begin"/>
        </w:r>
        <w:r w:rsidR="00FF540D">
          <w:rPr>
            <w:noProof/>
            <w:webHidden/>
          </w:rPr>
          <w:instrText xml:space="preserve"> PAGEREF _Toc524653557 \h </w:instrText>
        </w:r>
        <w:r w:rsidR="00FF540D">
          <w:rPr>
            <w:noProof/>
            <w:webHidden/>
          </w:rPr>
        </w:r>
        <w:r w:rsidR="00FF540D">
          <w:rPr>
            <w:noProof/>
            <w:webHidden/>
          </w:rPr>
          <w:fldChar w:fldCharType="separate"/>
        </w:r>
        <w:r w:rsidR="006F531A">
          <w:rPr>
            <w:noProof/>
            <w:webHidden/>
          </w:rPr>
          <w:t>6</w:t>
        </w:r>
        <w:r w:rsidR="00FF540D">
          <w:rPr>
            <w:noProof/>
            <w:webHidden/>
          </w:rPr>
          <w:fldChar w:fldCharType="end"/>
        </w:r>
      </w:hyperlink>
    </w:p>
    <w:p w14:paraId="23A4D8C3" w14:textId="37723C1E" w:rsidR="00FF540D" w:rsidRDefault="00B16DAD">
      <w:pPr>
        <w:pStyle w:val="TOC2"/>
        <w:rPr>
          <w:rFonts w:asciiTheme="minorHAnsi" w:eastAsiaTheme="minorEastAsia" w:hAnsiTheme="minorHAnsi" w:cstheme="minorBidi"/>
          <w:smallCaps w:val="0"/>
          <w:noProof/>
          <w:sz w:val="22"/>
          <w:szCs w:val="22"/>
          <w:lang w:val="en-HK" w:eastAsia="en-HK"/>
        </w:rPr>
      </w:pPr>
      <w:hyperlink w:anchor="_Toc524653558" w:history="1">
        <w:r w:rsidR="00FF540D" w:rsidRPr="00AD6684">
          <w:rPr>
            <w:rStyle w:val="Hyperlink"/>
            <w:noProof/>
          </w:rPr>
          <w:t>2.3.</w:t>
        </w:r>
        <w:r w:rsidR="00FF540D">
          <w:rPr>
            <w:rFonts w:asciiTheme="minorHAnsi" w:eastAsiaTheme="minorEastAsia" w:hAnsiTheme="minorHAnsi" w:cstheme="minorBidi"/>
            <w:smallCaps w:val="0"/>
            <w:noProof/>
            <w:sz w:val="22"/>
            <w:szCs w:val="22"/>
            <w:lang w:val="en-HK" w:eastAsia="en-HK"/>
          </w:rPr>
          <w:tab/>
        </w:r>
        <w:r w:rsidR="00FF540D" w:rsidRPr="00AD6684">
          <w:rPr>
            <w:rStyle w:val="Hyperlink"/>
            <w:noProof/>
          </w:rPr>
          <w:t>Confirmation of LNG volumes required based on TLG modelling</w:t>
        </w:r>
        <w:r w:rsidR="00FF540D">
          <w:rPr>
            <w:noProof/>
            <w:webHidden/>
          </w:rPr>
          <w:tab/>
        </w:r>
        <w:r w:rsidR="00FF540D">
          <w:rPr>
            <w:noProof/>
            <w:webHidden/>
          </w:rPr>
          <w:fldChar w:fldCharType="begin"/>
        </w:r>
        <w:r w:rsidR="00FF540D">
          <w:rPr>
            <w:noProof/>
            <w:webHidden/>
          </w:rPr>
          <w:instrText xml:space="preserve"> PAGEREF _Toc524653558 \h </w:instrText>
        </w:r>
        <w:r w:rsidR="00FF540D">
          <w:rPr>
            <w:noProof/>
            <w:webHidden/>
          </w:rPr>
        </w:r>
        <w:r w:rsidR="00FF540D">
          <w:rPr>
            <w:noProof/>
            <w:webHidden/>
          </w:rPr>
          <w:fldChar w:fldCharType="separate"/>
        </w:r>
        <w:r w:rsidR="006F531A">
          <w:rPr>
            <w:noProof/>
            <w:webHidden/>
          </w:rPr>
          <w:t>7</w:t>
        </w:r>
        <w:r w:rsidR="00FF540D">
          <w:rPr>
            <w:noProof/>
            <w:webHidden/>
          </w:rPr>
          <w:fldChar w:fldCharType="end"/>
        </w:r>
      </w:hyperlink>
    </w:p>
    <w:p w14:paraId="061C7780" w14:textId="23AED8ED" w:rsidR="00FF540D" w:rsidRDefault="00B16DAD">
      <w:pPr>
        <w:pStyle w:val="TOC2"/>
        <w:rPr>
          <w:rFonts w:asciiTheme="minorHAnsi" w:eastAsiaTheme="minorEastAsia" w:hAnsiTheme="minorHAnsi" w:cstheme="minorBidi"/>
          <w:smallCaps w:val="0"/>
          <w:noProof/>
          <w:sz w:val="22"/>
          <w:szCs w:val="22"/>
          <w:lang w:val="en-HK" w:eastAsia="en-HK"/>
        </w:rPr>
      </w:pPr>
      <w:hyperlink w:anchor="_Toc524653559" w:history="1">
        <w:r w:rsidR="00FF540D" w:rsidRPr="00AD6684">
          <w:rPr>
            <w:rStyle w:val="Hyperlink"/>
            <w:noProof/>
          </w:rPr>
          <w:t>2.4.</w:t>
        </w:r>
        <w:r w:rsidR="00FF540D">
          <w:rPr>
            <w:rFonts w:asciiTheme="minorHAnsi" w:eastAsiaTheme="minorEastAsia" w:hAnsiTheme="minorHAnsi" w:cstheme="minorBidi"/>
            <w:smallCaps w:val="0"/>
            <w:noProof/>
            <w:sz w:val="22"/>
            <w:szCs w:val="22"/>
            <w:lang w:val="en-HK" w:eastAsia="en-HK"/>
          </w:rPr>
          <w:tab/>
        </w:r>
        <w:r w:rsidR="00FF540D" w:rsidRPr="00AD6684">
          <w:rPr>
            <w:rStyle w:val="Hyperlink"/>
            <w:noProof/>
          </w:rPr>
          <w:t>Characteristics of Optimum Supply (balancing the need for dispatch flexibility with the need to assure security of fuel supply for the power plants)</w:t>
        </w:r>
        <w:r w:rsidR="00FF540D">
          <w:rPr>
            <w:noProof/>
            <w:webHidden/>
          </w:rPr>
          <w:tab/>
        </w:r>
        <w:r w:rsidR="00FF540D">
          <w:rPr>
            <w:noProof/>
            <w:webHidden/>
          </w:rPr>
          <w:fldChar w:fldCharType="begin"/>
        </w:r>
        <w:r w:rsidR="00FF540D">
          <w:rPr>
            <w:noProof/>
            <w:webHidden/>
          </w:rPr>
          <w:instrText xml:space="preserve"> PAGEREF _Toc524653559 \h </w:instrText>
        </w:r>
        <w:r w:rsidR="00FF540D">
          <w:rPr>
            <w:noProof/>
            <w:webHidden/>
          </w:rPr>
        </w:r>
        <w:r w:rsidR="00FF540D">
          <w:rPr>
            <w:noProof/>
            <w:webHidden/>
          </w:rPr>
          <w:fldChar w:fldCharType="separate"/>
        </w:r>
        <w:r w:rsidR="006F531A">
          <w:rPr>
            <w:noProof/>
            <w:webHidden/>
          </w:rPr>
          <w:t>9</w:t>
        </w:r>
        <w:r w:rsidR="00FF540D">
          <w:rPr>
            <w:noProof/>
            <w:webHidden/>
          </w:rPr>
          <w:fldChar w:fldCharType="end"/>
        </w:r>
      </w:hyperlink>
    </w:p>
    <w:p w14:paraId="0D2127FE" w14:textId="65E6A831" w:rsidR="00FF540D" w:rsidRDefault="00B16DAD">
      <w:pPr>
        <w:pStyle w:val="TOC2"/>
        <w:rPr>
          <w:rFonts w:asciiTheme="minorHAnsi" w:eastAsiaTheme="minorEastAsia" w:hAnsiTheme="minorHAnsi" w:cstheme="minorBidi"/>
          <w:smallCaps w:val="0"/>
          <w:noProof/>
          <w:sz w:val="22"/>
          <w:szCs w:val="22"/>
          <w:lang w:val="en-HK" w:eastAsia="en-HK"/>
        </w:rPr>
      </w:pPr>
      <w:hyperlink w:anchor="_Toc524653560" w:history="1">
        <w:r w:rsidR="00FF540D" w:rsidRPr="00AD6684">
          <w:rPr>
            <w:rStyle w:val="Hyperlink"/>
            <w:noProof/>
          </w:rPr>
          <w:t>2.5.</w:t>
        </w:r>
        <w:r w:rsidR="00FF540D">
          <w:rPr>
            <w:rFonts w:asciiTheme="minorHAnsi" w:eastAsiaTheme="minorEastAsia" w:hAnsiTheme="minorHAnsi" w:cstheme="minorBidi"/>
            <w:smallCaps w:val="0"/>
            <w:noProof/>
            <w:sz w:val="22"/>
            <w:szCs w:val="22"/>
            <w:lang w:val="en-HK" w:eastAsia="en-HK"/>
          </w:rPr>
          <w:tab/>
        </w:r>
        <w:r w:rsidR="00FF540D" w:rsidRPr="00AD6684">
          <w:rPr>
            <w:rStyle w:val="Hyperlink"/>
            <w:noProof/>
          </w:rPr>
          <w:t>Value of Gas Flexibility in Vietnam</w:t>
        </w:r>
        <w:r w:rsidR="00FF540D">
          <w:rPr>
            <w:noProof/>
            <w:webHidden/>
          </w:rPr>
          <w:tab/>
        </w:r>
        <w:r w:rsidR="00FF540D">
          <w:rPr>
            <w:noProof/>
            <w:webHidden/>
          </w:rPr>
          <w:fldChar w:fldCharType="begin"/>
        </w:r>
        <w:r w:rsidR="00FF540D">
          <w:rPr>
            <w:noProof/>
            <w:webHidden/>
          </w:rPr>
          <w:instrText xml:space="preserve"> PAGEREF _Toc524653560 \h </w:instrText>
        </w:r>
        <w:r w:rsidR="00FF540D">
          <w:rPr>
            <w:noProof/>
            <w:webHidden/>
          </w:rPr>
        </w:r>
        <w:r w:rsidR="00FF540D">
          <w:rPr>
            <w:noProof/>
            <w:webHidden/>
          </w:rPr>
          <w:fldChar w:fldCharType="separate"/>
        </w:r>
        <w:r w:rsidR="006F531A">
          <w:rPr>
            <w:noProof/>
            <w:webHidden/>
          </w:rPr>
          <w:t>10</w:t>
        </w:r>
        <w:r w:rsidR="00FF540D">
          <w:rPr>
            <w:noProof/>
            <w:webHidden/>
          </w:rPr>
          <w:fldChar w:fldCharType="end"/>
        </w:r>
      </w:hyperlink>
    </w:p>
    <w:p w14:paraId="4C08017B" w14:textId="1949E78F" w:rsidR="00FF540D" w:rsidRDefault="00B16DAD">
      <w:pPr>
        <w:pStyle w:val="TOC1"/>
        <w:rPr>
          <w:rFonts w:asciiTheme="minorHAnsi" w:eastAsiaTheme="minorEastAsia" w:hAnsiTheme="minorHAnsi" w:cstheme="minorBidi"/>
          <w:caps w:val="0"/>
          <w:noProof/>
          <w:szCs w:val="22"/>
          <w:lang w:val="en-HK" w:eastAsia="en-HK"/>
        </w:rPr>
      </w:pPr>
      <w:hyperlink w:anchor="_Toc524653561" w:history="1">
        <w:r w:rsidR="00FF540D" w:rsidRPr="00AD6684">
          <w:rPr>
            <w:rStyle w:val="Hyperlink"/>
            <w:noProof/>
          </w:rPr>
          <w:t>3.</w:t>
        </w:r>
        <w:r w:rsidR="00FF540D">
          <w:rPr>
            <w:rFonts w:asciiTheme="minorHAnsi" w:eastAsiaTheme="minorEastAsia" w:hAnsiTheme="minorHAnsi" w:cstheme="minorBidi"/>
            <w:caps w:val="0"/>
            <w:noProof/>
            <w:szCs w:val="22"/>
            <w:lang w:val="en-HK" w:eastAsia="en-HK"/>
          </w:rPr>
          <w:tab/>
        </w:r>
        <w:r w:rsidR="00FF540D" w:rsidRPr="00AD6684">
          <w:rPr>
            <w:rStyle w:val="Hyperlink"/>
            <w:noProof/>
          </w:rPr>
          <w:t>Lessons from International Experience</w:t>
        </w:r>
        <w:r w:rsidR="00FF540D">
          <w:rPr>
            <w:noProof/>
            <w:webHidden/>
          </w:rPr>
          <w:tab/>
        </w:r>
        <w:r w:rsidR="00FF540D">
          <w:rPr>
            <w:noProof/>
            <w:webHidden/>
          </w:rPr>
          <w:fldChar w:fldCharType="begin"/>
        </w:r>
        <w:r w:rsidR="00FF540D">
          <w:rPr>
            <w:noProof/>
            <w:webHidden/>
          </w:rPr>
          <w:instrText xml:space="preserve"> PAGEREF _Toc524653561 \h </w:instrText>
        </w:r>
        <w:r w:rsidR="00FF540D">
          <w:rPr>
            <w:noProof/>
            <w:webHidden/>
          </w:rPr>
        </w:r>
        <w:r w:rsidR="00FF540D">
          <w:rPr>
            <w:noProof/>
            <w:webHidden/>
          </w:rPr>
          <w:fldChar w:fldCharType="separate"/>
        </w:r>
        <w:r w:rsidR="006F531A">
          <w:rPr>
            <w:noProof/>
            <w:webHidden/>
          </w:rPr>
          <w:t>12</w:t>
        </w:r>
        <w:r w:rsidR="00FF540D">
          <w:rPr>
            <w:noProof/>
            <w:webHidden/>
          </w:rPr>
          <w:fldChar w:fldCharType="end"/>
        </w:r>
      </w:hyperlink>
    </w:p>
    <w:p w14:paraId="6A2DAD17" w14:textId="4A484B4A" w:rsidR="00FF540D" w:rsidRDefault="00B16DAD">
      <w:pPr>
        <w:pStyle w:val="TOC2"/>
        <w:rPr>
          <w:rFonts w:asciiTheme="minorHAnsi" w:eastAsiaTheme="minorEastAsia" w:hAnsiTheme="minorHAnsi" w:cstheme="minorBidi"/>
          <w:smallCaps w:val="0"/>
          <w:noProof/>
          <w:sz w:val="22"/>
          <w:szCs w:val="22"/>
          <w:lang w:val="en-HK" w:eastAsia="en-HK"/>
        </w:rPr>
      </w:pPr>
      <w:hyperlink w:anchor="_Toc524653562" w:history="1">
        <w:r w:rsidR="00FF540D" w:rsidRPr="00AD6684">
          <w:rPr>
            <w:rStyle w:val="Hyperlink"/>
            <w:noProof/>
          </w:rPr>
          <w:t>3.1.</w:t>
        </w:r>
        <w:r w:rsidR="00FF540D">
          <w:rPr>
            <w:rFonts w:asciiTheme="minorHAnsi" w:eastAsiaTheme="minorEastAsia" w:hAnsiTheme="minorHAnsi" w:cstheme="minorBidi"/>
            <w:smallCaps w:val="0"/>
            <w:noProof/>
            <w:sz w:val="22"/>
            <w:szCs w:val="22"/>
            <w:lang w:val="en-HK" w:eastAsia="en-HK"/>
          </w:rPr>
          <w:tab/>
        </w:r>
        <w:r w:rsidR="00FF540D" w:rsidRPr="00AD6684">
          <w:rPr>
            <w:rStyle w:val="Hyperlink"/>
            <w:noProof/>
          </w:rPr>
          <w:t>Brief History and Status of New Asian LNG Importers</w:t>
        </w:r>
        <w:r w:rsidR="00FF540D">
          <w:rPr>
            <w:noProof/>
            <w:webHidden/>
          </w:rPr>
          <w:tab/>
        </w:r>
        <w:r w:rsidR="00FF540D">
          <w:rPr>
            <w:noProof/>
            <w:webHidden/>
          </w:rPr>
          <w:fldChar w:fldCharType="begin"/>
        </w:r>
        <w:r w:rsidR="00FF540D">
          <w:rPr>
            <w:noProof/>
            <w:webHidden/>
          </w:rPr>
          <w:instrText xml:space="preserve"> PAGEREF _Toc524653562 \h </w:instrText>
        </w:r>
        <w:r w:rsidR="00FF540D">
          <w:rPr>
            <w:noProof/>
            <w:webHidden/>
          </w:rPr>
        </w:r>
        <w:r w:rsidR="00FF540D">
          <w:rPr>
            <w:noProof/>
            <w:webHidden/>
          </w:rPr>
          <w:fldChar w:fldCharType="separate"/>
        </w:r>
        <w:r w:rsidR="006F531A">
          <w:rPr>
            <w:noProof/>
            <w:webHidden/>
          </w:rPr>
          <w:t>12</w:t>
        </w:r>
        <w:r w:rsidR="00FF540D">
          <w:rPr>
            <w:noProof/>
            <w:webHidden/>
          </w:rPr>
          <w:fldChar w:fldCharType="end"/>
        </w:r>
      </w:hyperlink>
    </w:p>
    <w:p w14:paraId="75562A49" w14:textId="25973529" w:rsidR="00FF540D" w:rsidRDefault="00B16DAD">
      <w:pPr>
        <w:pStyle w:val="TOC2"/>
        <w:rPr>
          <w:rFonts w:asciiTheme="minorHAnsi" w:eastAsiaTheme="minorEastAsia" w:hAnsiTheme="minorHAnsi" w:cstheme="minorBidi"/>
          <w:smallCaps w:val="0"/>
          <w:noProof/>
          <w:sz w:val="22"/>
          <w:szCs w:val="22"/>
          <w:lang w:val="en-HK" w:eastAsia="en-HK"/>
        </w:rPr>
      </w:pPr>
      <w:hyperlink w:anchor="_Toc524653563" w:history="1">
        <w:r w:rsidR="00FF540D" w:rsidRPr="00AD6684">
          <w:rPr>
            <w:rStyle w:val="Hyperlink"/>
            <w:noProof/>
          </w:rPr>
          <w:t>3.2.</w:t>
        </w:r>
        <w:r w:rsidR="00FF540D">
          <w:rPr>
            <w:rFonts w:asciiTheme="minorHAnsi" w:eastAsiaTheme="minorEastAsia" w:hAnsiTheme="minorHAnsi" w:cstheme="minorBidi"/>
            <w:smallCaps w:val="0"/>
            <w:noProof/>
            <w:sz w:val="22"/>
            <w:szCs w:val="22"/>
            <w:lang w:val="en-HK" w:eastAsia="en-HK"/>
          </w:rPr>
          <w:tab/>
        </w:r>
        <w:r w:rsidR="00FF540D" w:rsidRPr="00AD6684">
          <w:rPr>
            <w:rStyle w:val="Hyperlink"/>
            <w:noProof/>
          </w:rPr>
          <w:t>Drivers of LNG demand</w:t>
        </w:r>
        <w:r w:rsidR="00FF540D">
          <w:rPr>
            <w:noProof/>
            <w:webHidden/>
          </w:rPr>
          <w:tab/>
        </w:r>
        <w:r w:rsidR="00FF540D">
          <w:rPr>
            <w:noProof/>
            <w:webHidden/>
          </w:rPr>
          <w:fldChar w:fldCharType="begin"/>
        </w:r>
        <w:r w:rsidR="00FF540D">
          <w:rPr>
            <w:noProof/>
            <w:webHidden/>
          </w:rPr>
          <w:instrText xml:space="preserve"> PAGEREF _Toc524653563 \h </w:instrText>
        </w:r>
        <w:r w:rsidR="00FF540D">
          <w:rPr>
            <w:noProof/>
            <w:webHidden/>
          </w:rPr>
        </w:r>
        <w:r w:rsidR="00FF540D">
          <w:rPr>
            <w:noProof/>
            <w:webHidden/>
          </w:rPr>
          <w:fldChar w:fldCharType="separate"/>
        </w:r>
        <w:r w:rsidR="006F531A">
          <w:rPr>
            <w:noProof/>
            <w:webHidden/>
          </w:rPr>
          <w:t>13</w:t>
        </w:r>
        <w:r w:rsidR="00FF540D">
          <w:rPr>
            <w:noProof/>
            <w:webHidden/>
          </w:rPr>
          <w:fldChar w:fldCharType="end"/>
        </w:r>
      </w:hyperlink>
    </w:p>
    <w:p w14:paraId="05A1380C" w14:textId="6FBA4DB6" w:rsidR="00FF540D" w:rsidRDefault="00B16DAD">
      <w:pPr>
        <w:pStyle w:val="TOC2"/>
        <w:rPr>
          <w:rFonts w:asciiTheme="minorHAnsi" w:eastAsiaTheme="minorEastAsia" w:hAnsiTheme="minorHAnsi" w:cstheme="minorBidi"/>
          <w:smallCaps w:val="0"/>
          <w:noProof/>
          <w:sz w:val="22"/>
          <w:szCs w:val="22"/>
          <w:lang w:val="en-HK" w:eastAsia="en-HK"/>
        </w:rPr>
      </w:pPr>
      <w:hyperlink w:anchor="_Toc524653564" w:history="1">
        <w:r w:rsidR="00FF540D" w:rsidRPr="00AD6684">
          <w:rPr>
            <w:rStyle w:val="Hyperlink"/>
            <w:noProof/>
          </w:rPr>
          <w:t>3.3.</w:t>
        </w:r>
        <w:r w:rsidR="00FF540D">
          <w:rPr>
            <w:rFonts w:asciiTheme="minorHAnsi" w:eastAsiaTheme="minorEastAsia" w:hAnsiTheme="minorHAnsi" w:cstheme="minorBidi"/>
            <w:smallCaps w:val="0"/>
            <w:noProof/>
            <w:sz w:val="22"/>
            <w:szCs w:val="22"/>
            <w:lang w:val="en-HK" w:eastAsia="en-HK"/>
          </w:rPr>
          <w:tab/>
        </w:r>
        <w:r w:rsidR="00FF540D" w:rsidRPr="00AD6684">
          <w:rPr>
            <w:rStyle w:val="Hyperlink"/>
            <w:noProof/>
          </w:rPr>
          <w:t>Key Drivers and Risk Factors</w:t>
        </w:r>
        <w:r w:rsidR="00FF540D">
          <w:rPr>
            <w:noProof/>
            <w:webHidden/>
          </w:rPr>
          <w:tab/>
        </w:r>
        <w:r w:rsidR="00FF540D">
          <w:rPr>
            <w:noProof/>
            <w:webHidden/>
          </w:rPr>
          <w:fldChar w:fldCharType="begin"/>
        </w:r>
        <w:r w:rsidR="00FF540D">
          <w:rPr>
            <w:noProof/>
            <w:webHidden/>
          </w:rPr>
          <w:instrText xml:space="preserve"> PAGEREF _Toc524653564 \h </w:instrText>
        </w:r>
        <w:r w:rsidR="00FF540D">
          <w:rPr>
            <w:noProof/>
            <w:webHidden/>
          </w:rPr>
        </w:r>
        <w:r w:rsidR="00FF540D">
          <w:rPr>
            <w:noProof/>
            <w:webHidden/>
          </w:rPr>
          <w:fldChar w:fldCharType="separate"/>
        </w:r>
        <w:r w:rsidR="006F531A">
          <w:rPr>
            <w:noProof/>
            <w:webHidden/>
          </w:rPr>
          <w:t>16</w:t>
        </w:r>
        <w:r w:rsidR="00FF540D">
          <w:rPr>
            <w:noProof/>
            <w:webHidden/>
          </w:rPr>
          <w:fldChar w:fldCharType="end"/>
        </w:r>
      </w:hyperlink>
    </w:p>
    <w:p w14:paraId="14EFCBD9" w14:textId="2B23F431" w:rsidR="00FF540D" w:rsidRDefault="00B16DAD">
      <w:pPr>
        <w:pStyle w:val="TOC2"/>
        <w:rPr>
          <w:rFonts w:asciiTheme="minorHAnsi" w:eastAsiaTheme="minorEastAsia" w:hAnsiTheme="minorHAnsi" w:cstheme="minorBidi"/>
          <w:smallCaps w:val="0"/>
          <w:noProof/>
          <w:sz w:val="22"/>
          <w:szCs w:val="22"/>
          <w:lang w:val="en-HK" w:eastAsia="en-HK"/>
        </w:rPr>
      </w:pPr>
      <w:hyperlink w:anchor="_Toc524653565" w:history="1">
        <w:r w:rsidR="00FF540D" w:rsidRPr="00AD6684">
          <w:rPr>
            <w:rStyle w:val="Hyperlink"/>
            <w:noProof/>
          </w:rPr>
          <w:t>3.4.</w:t>
        </w:r>
        <w:r w:rsidR="00FF540D">
          <w:rPr>
            <w:rFonts w:asciiTheme="minorHAnsi" w:eastAsiaTheme="minorEastAsia" w:hAnsiTheme="minorHAnsi" w:cstheme="minorBidi"/>
            <w:smallCaps w:val="0"/>
            <w:noProof/>
            <w:sz w:val="22"/>
            <w:szCs w:val="22"/>
            <w:lang w:val="en-HK" w:eastAsia="en-HK"/>
          </w:rPr>
          <w:tab/>
        </w:r>
        <w:r w:rsidR="00FF540D" w:rsidRPr="00AD6684">
          <w:rPr>
            <w:rStyle w:val="Hyperlink"/>
            <w:noProof/>
          </w:rPr>
          <w:t>Structures and Regulatory Framework Being Used</w:t>
        </w:r>
        <w:r w:rsidR="00FF540D">
          <w:rPr>
            <w:noProof/>
            <w:webHidden/>
          </w:rPr>
          <w:tab/>
        </w:r>
        <w:r w:rsidR="00FF540D">
          <w:rPr>
            <w:noProof/>
            <w:webHidden/>
          </w:rPr>
          <w:fldChar w:fldCharType="begin"/>
        </w:r>
        <w:r w:rsidR="00FF540D">
          <w:rPr>
            <w:noProof/>
            <w:webHidden/>
          </w:rPr>
          <w:instrText xml:space="preserve"> PAGEREF _Toc524653565 \h </w:instrText>
        </w:r>
        <w:r w:rsidR="00FF540D">
          <w:rPr>
            <w:noProof/>
            <w:webHidden/>
          </w:rPr>
        </w:r>
        <w:r w:rsidR="00FF540D">
          <w:rPr>
            <w:noProof/>
            <w:webHidden/>
          </w:rPr>
          <w:fldChar w:fldCharType="separate"/>
        </w:r>
        <w:r w:rsidR="006F531A">
          <w:rPr>
            <w:noProof/>
            <w:webHidden/>
          </w:rPr>
          <w:t>22</w:t>
        </w:r>
        <w:r w:rsidR="00FF540D">
          <w:rPr>
            <w:noProof/>
            <w:webHidden/>
          </w:rPr>
          <w:fldChar w:fldCharType="end"/>
        </w:r>
      </w:hyperlink>
    </w:p>
    <w:p w14:paraId="4E6C131B" w14:textId="64B00250" w:rsidR="00FF540D" w:rsidRDefault="00B16DAD">
      <w:pPr>
        <w:pStyle w:val="TOC1"/>
        <w:rPr>
          <w:rFonts w:asciiTheme="minorHAnsi" w:eastAsiaTheme="minorEastAsia" w:hAnsiTheme="minorHAnsi" w:cstheme="minorBidi"/>
          <w:caps w:val="0"/>
          <w:noProof/>
          <w:szCs w:val="22"/>
          <w:lang w:val="en-HK" w:eastAsia="en-HK"/>
        </w:rPr>
      </w:pPr>
      <w:hyperlink w:anchor="_Toc524653566" w:history="1">
        <w:r w:rsidR="00FF540D" w:rsidRPr="00AD6684">
          <w:rPr>
            <w:rStyle w:val="Hyperlink"/>
            <w:noProof/>
          </w:rPr>
          <w:t>4.</w:t>
        </w:r>
        <w:r w:rsidR="00FF540D">
          <w:rPr>
            <w:rFonts w:asciiTheme="minorHAnsi" w:eastAsiaTheme="minorEastAsia" w:hAnsiTheme="minorHAnsi" w:cstheme="minorBidi"/>
            <w:caps w:val="0"/>
            <w:noProof/>
            <w:szCs w:val="22"/>
            <w:lang w:val="en-HK" w:eastAsia="en-HK"/>
          </w:rPr>
          <w:tab/>
        </w:r>
        <w:r w:rsidR="00FF540D" w:rsidRPr="00AD6684">
          <w:rPr>
            <w:rStyle w:val="Hyperlink"/>
            <w:noProof/>
          </w:rPr>
          <w:t>Tolling Model as a Recommended Framework</w:t>
        </w:r>
        <w:r w:rsidR="00FF540D">
          <w:rPr>
            <w:noProof/>
            <w:webHidden/>
          </w:rPr>
          <w:tab/>
        </w:r>
        <w:r w:rsidR="00FF540D">
          <w:rPr>
            <w:noProof/>
            <w:webHidden/>
          </w:rPr>
          <w:fldChar w:fldCharType="begin"/>
        </w:r>
        <w:r w:rsidR="00FF540D">
          <w:rPr>
            <w:noProof/>
            <w:webHidden/>
          </w:rPr>
          <w:instrText xml:space="preserve"> PAGEREF _Toc524653566 \h </w:instrText>
        </w:r>
        <w:r w:rsidR="00FF540D">
          <w:rPr>
            <w:noProof/>
            <w:webHidden/>
          </w:rPr>
        </w:r>
        <w:r w:rsidR="00FF540D">
          <w:rPr>
            <w:noProof/>
            <w:webHidden/>
          </w:rPr>
          <w:fldChar w:fldCharType="separate"/>
        </w:r>
        <w:r w:rsidR="006F531A">
          <w:rPr>
            <w:noProof/>
            <w:webHidden/>
          </w:rPr>
          <w:t>28</w:t>
        </w:r>
        <w:r w:rsidR="00FF540D">
          <w:rPr>
            <w:noProof/>
            <w:webHidden/>
          </w:rPr>
          <w:fldChar w:fldCharType="end"/>
        </w:r>
      </w:hyperlink>
    </w:p>
    <w:p w14:paraId="2325D365" w14:textId="225C8BCE" w:rsidR="00FF540D" w:rsidRDefault="00B16DAD">
      <w:pPr>
        <w:pStyle w:val="TOC2"/>
        <w:rPr>
          <w:rFonts w:asciiTheme="minorHAnsi" w:eastAsiaTheme="minorEastAsia" w:hAnsiTheme="minorHAnsi" w:cstheme="minorBidi"/>
          <w:smallCaps w:val="0"/>
          <w:noProof/>
          <w:sz w:val="22"/>
          <w:szCs w:val="22"/>
          <w:lang w:val="en-HK" w:eastAsia="en-HK"/>
        </w:rPr>
      </w:pPr>
      <w:hyperlink w:anchor="_Toc524653567" w:history="1">
        <w:r w:rsidR="00FF540D" w:rsidRPr="00AD6684">
          <w:rPr>
            <w:rStyle w:val="Hyperlink"/>
            <w:noProof/>
          </w:rPr>
          <w:t>4.1.</w:t>
        </w:r>
        <w:r w:rsidR="00FF540D">
          <w:rPr>
            <w:rFonts w:asciiTheme="minorHAnsi" w:eastAsiaTheme="minorEastAsia" w:hAnsiTheme="minorHAnsi" w:cstheme="minorBidi"/>
            <w:smallCaps w:val="0"/>
            <w:noProof/>
            <w:sz w:val="22"/>
            <w:szCs w:val="22"/>
            <w:lang w:val="en-HK" w:eastAsia="en-HK"/>
          </w:rPr>
          <w:tab/>
        </w:r>
        <w:r w:rsidR="00FF540D" w:rsidRPr="00AD6684">
          <w:rPr>
            <w:rStyle w:val="Hyperlink"/>
            <w:noProof/>
          </w:rPr>
          <w:t>Structure of LNG Tolling Model</w:t>
        </w:r>
        <w:r w:rsidR="00FF540D">
          <w:rPr>
            <w:noProof/>
            <w:webHidden/>
          </w:rPr>
          <w:tab/>
        </w:r>
        <w:r w:rsidR="00FF540D">
          <w:rPr>
            <w:noProof/>
            <w:webHidden/>
          </w:rPr>
          <w:fldChar w:fldCharType="begin"/>
        </w:r>
        <w:r w:rsidR="00FF540D">
          <w:rPr>
            <w:noProof/>
            <w:webHidden/>
          </w:rPr>
          <w:instrText xml:space="preserve"> PAGEREF _Toc524653567 \h </w:instrText>
        </w:r>
        <w:r w:rsidR="00FF540D">
          <w:rPr>
            <w:noProof/>
            <w:webHidden/>
          </w:rPr>
        </w:r>
        <w:r w:rsidR="00FF540D">
          <w:rPr>
            <w:noProof/>
            <w:webHidden/>
          </w:rPr>
          <w:fldChar w:fldCharType="separate"/>
        </w:r>
        <w:r w:rsidR="006F531A">
          <w:rPr>
            <w:noProof/>
            <w:webHidden/>
          </w:rPr>
          <w:t>28</w:t>
        </w:r>
        <w:r w:rsidR="00FF540D">
          <w:rPr>
            <w:noProof/>
            <w:webHidden/>
          </w:rPr>
          <w:fldChar w:fldCharType="end"/>
        </w:r>
      </w:hyperlink>
    </w:p>
    <w:p w14:paraId="7D2B8255" w14:textId="770E7722" w:rsidR="00FF540D" w:rsidRDefault="00B16DAD">
      <w:pPr>
        <w:pStyle w:val="TOC2"/>
        <w:rPr>
          <w:rFonts w:asciiTheme="minorHAnsi" w:eastAsiaTheme="minorEastAsia" w:hAnsiTheme="minorHAnsi" w:cstheme="minorBidi"/>
          <w:smallCaps w:val="0"/>
          <w:noProof/>
          <w:sz w:val="22"/>
          <w:szCs w:val="22"/>
          <w:lang w:val="en-HK" w:eastAsia="en-HK"/>
        </w:rPr>
      </w:pPr>
      <w:hyperlink w:anchor="_Toc524653568" w:history="1">
        <w:r w:rsidR="00FF540D" w:rsidRPr="00AD6684">
          <w:rPr>
            <w:rStyle w:val="Hyperlink"/>
            <w:noProof/>
          </w:rPr>
          <w:t>4.2.</w:t>
        </w:r>
        <w:r w:rsidR="00FF540D">
          <w:rPr>
            <w:rFonts w:asciiTheme="minorHAnsi" w:eastAsiaTheme="minorEastAsia" w:hAnsiTheme="minorHAnsi" w:cstheme="minorBidi"/>
            <w:smallCaps w:val="0"/>
            <w:noProof/>
            <w:sz w:val="22"/>
            <w:szCs w:val="22"/>
            <w:lang w:val="en-HK" w:eastAsia="en-HK"/>
          </w:rPr>
          <w:tab/>
        </w:r>
        <w:r w:rsidR="00FF540D" w:rsidRPr="00AD6684">
          <w:rPr>
            <w:rStyle w:val="Hyperlink"/>
            <w:noProof/>
          </w:rPr>
          <w:t>Rationale For Implementing The LNG Private Public Tolling Model in Vietnam</w:t>
        </w:r>
        <w:r w:rsidR="00FF540D">
          <w:rPr>
            <w:noProof/>
            <w:webHidden/>
          </w:rPr>
          <w:tab/>
        </w:r>
        <w:r w:rsidR="00FF540D">
          <w:rPr>
            <w:noProof/>
            <w:webHidden/>
          </w:rPr>
          <w:fldChar w:fldCharType="begin"/>
        </w:r>
        <w:r w:rsidR="00FF540D">
          <w:rPr>
            <w:noProof/>
            <w:webHidden/>
          </w:rPr>
          <w:instrText xml:space="preserve"> PAGEREF _Toc524653568 \h </w:instrText>
        </w:r>
        <w:r w:rsidR="00FF540D">
          <w:rPr>
            <w:noProof/>
            <w:webHidden/>
          </w:rPr>
        </w:r>
        <w:r w:rsidR="00FF540D">
          <w:rPr>
            <w:noProof/>
            <w:webHidden/>
          </w:rPr>
          <w:fldChar w:fldCharType="separate"/>
        </w:r>
        <w:r w:rsidR="006F531A">
          <w:rPr>
            <w:noProof/>
            <w:webHidden/>
          </w:rPr>
          <w:t>29</w:t>
        </w:r>
        <w:r w:rsidR="00FF540D">
          <w:rPr>
            <w:noProof/>
            <w:webHidden/>
          </w:rPr>
          <w:fldChar w:fldCharType="end"/>
        </w:r>
      </w:hyperlink>
    </w:p>
    <w:p w14:paraId="09340360" w14:textId="0F1CBB8D" w:rsidR="00FF540D" w:rsidRDefault="00B16DAD">
      <w:pPr>
        <w:pStyle w:val="TOC2"/>
        <w:rPr>
          <w:rFonts w:asciiTheme="minorHAnsi" w:eastAsiaTheme="minorEastAsia" w:hAnsiTheme="minorHAnsi" w:cstheme="minorBidi"/>
          <w:smallCaps w:val="0"/>
          <w:noProof/>
          <w:sz w:val="22"/>
          <w:szCs w:val="22"/>
          <w:lang w:val="en-HK" w:eastAsia="en-HK"/>
        </w:rPr>
      </w:pPr>
      <w:hyperlink w:anchor="_Toc524653569" w:history="1">
        <w:r w:rsidR="00FF540D" w:rsidRPr="00AD6684">
          <w:rPr>
            <w:rStyle w:val="Hyperlink"/>
            <w:noProof/>
          </w:rPr>
          <w:t>4.3.</w:t>
        </w:r>
        <w:r w:rsidR="00FF540D">
          <w:rPr>
            <w:rFonts w:asciiTheme="minorHAnsi" w:eastAsiaTheme="minorEastAsia" w:hAnsiTheme="minorHAnsi" w:cstheme="minorBidi"/>
            <w:smallCaps w:val="0"/>
            <w:noProof/>
            <w:sz w:val="22"/>
            <w:szCs w:val="22"/>
            <w:lang w:val="en-HK" w:eastAsia="en-HK"/>
          </w:rPr>
          <w:tab/>
        </w:r>
        <w:r w:rsidR="00FF540D" w:rsidRPr="00AD6684">
          <w:rPr>
            <w:rStyle w:val="Hyperlink"/>
            <w:noProof/>
          </w:rPr>
          <w:t>Challenges that Vietnam will have to address via policy and regulation</w:t>
        </w:r>
        <w:r w:rsidR="00FF540D">
          <w:rPr>
            <w:noProof/>
            <w:webHidden/>
          </w:rPr>
          <w:tab/>
        </w:r>
        <w:r w:rsidR="00FF540D">
          <w:rPr>
            <w:noProof/>
            <w:webHidden/>
          </w:rPr>
          <w:fldChar w:fldCharType="begin"/>
        </w:r>
        <w:r w:rsidR="00FF540D">
          <w:rPr>
            <w:noProof/>
            <w:webHidden/>
          </w:rPr>
          <w:instrText xml:space="preserve"> PAGEREF _Toc524653569 \h </w:instrText>
        </w:r>
        <w:r w:rsidR="00FF540D">
          <w:rPr>
            <w:noProof/>
            <w:webHidden/>
          </w:rPr>
        </w:r>
        <w:r w:rsidR="00FF540D">
          <w:rPr>
            <w:noProof/>
            <w:webHidden/>
          </w:rPr>
          <w:fldChar w:fldCharType="separate"/>
        </w:r>
        <w:r w:rsidR="006F531A">
          <w:rPr>
            <w:noProof/>
            <w:webHidden/>
          </w:rPr>
          <w:t>30</w:t>
        </w:r>
        <w:r w:rsidR="00FF540D">
          <w:rPr>
            <w:noProof/>
            <w:webHidden/>
          </w:rPr>
          <w:fldChar w:fldCharType="end"/>
        </w:r>
      </w:hyperlink>
    </w:p>
    <w:p w14:paraId="2B721D2B" w14:textId="128ABE18" w:rsidR="00FF540D" w:rsidRDefault="00B16DAD">
      <w:pPr>
        <w:pStyle w:val="TOC1"/>
        <w:rPr>
          <w:rFonts w:asciiTheme="minorHAnsi" w:eastAsiaTheme="minorEastAsia" w:hAnsiTheme="minorHAnsi" w:cstheme="minorBidi"/>
          <w:caps w:val="0"/>
          <w:noProof/>
          <w:szCs w:val="22"/>
          <w:lang w:val="en-HK" w:eastAsia="en-HK"/>
        </w:rPr>
      </w:pPr>
      <w:hyperlink w:anchor="_Toc524653570" w:history="1">
        <w:r w:rsidR="00FF540D" w:rsidRPr="00AD6684">
          <w:rPr>
            <w:rStyle w:val="Hyperlink"/>
            <w:noProof/>
          </w:rPr>
          <w:t>5.</w:t>
        </w:r>
        <w:r w:rsidR="00FF540D">
          <w:rPr>
            <w:rFonts w:asciiTheme="minorHAnsi" w:eastAsiaTheme="minorEastAsia" w:hAnsiTheme="minorHAnsi" w:cstheme="minorBidi"/>
            <w:caps w:val="0"/>
            <w:noProof/>
            <w:szCs w:val="22"/>
            <w:lang w:val="en-HK" w:eastAsia="en-HK"/>
          </w:rPr>
          <w:tab/>
        </w:r>
        <w:r w:rsidR="00FF540D" w:rsidRPr="00AD6684">
          <w:rPr>
            <w:rStyle w:val="Hyperlink"/>
            <w:noProof/>
          </w:rPr>
          <w:t>Legal/Regulatory Framework for LNG-to-Power Development in Vietnam</w:t>
        </w:r>
        <w:r w:rsidR="00FF540D">
          <w:rPr>
            <w:noProof/>
            <w:webHidden/>
          </w:rPr>
          <w:tab/>
        </w:r>
        <w:r w:rsidR="00FF540D">
          <w:rPr>
            <w:noProof/>
            <w:webHidden/>
          </w:rPr>
          <w:fldChar w:fldCharType="begin"/>
        </w:r>
        <w:r w:rsidR="00FF540D">
          <w:rPr>
            <w:noProof/>
            <w:webHidden/>
          </w:rPr>
          <w:instrText xml:space="preserve"> PAGEREF _Toc524653570 \h </w:instrText>
        </w:r>
        <w:r w:rsidR="00FF540D">
          <w:rPr>
            <w:noProof/>
            <w:webHidden/>
          </w:rPr>
        </w:r>
        <w:r w:rsidR="00FF540D">
          <w:rPr>
            <w:noProof/>
            <w:webHidden/>
          </w:rPr>
          <w:fldChar w:fldCharType="separate"/>
        </w:r>
        <w:r w:rsidR="006F531A">
          <w:rPr>
            <w:noProof/>
            <w:webHidden/>
          </w:rPr>
          <w:t>32</w:t>
        </w:r>
        <w:r w:rsidR="00FF540D">
          <w:rPr>
            <w:noProof/>
            <w:webHidden/>
          </w:rPr>
          <w:fldChar w:fldCharType="end"/>
        </w:r>
      </w:hyperlink>
    </w:p>
    <w:p w14:paraId="53D5C34D" w14:textId="1CB3605C" w:rsidR="00FF540D" w:rsidRDefault="00B16DAD">
      <w:pPr>
        <w:pStyle w:val="TOC2"/>
        <w:rPr>
          <w:rFonts w:asciiTheme="minorHAnsi" w:eastAsiaTheme="minorEastAsia" w:hAnsiTheme="minorHAnsi" w:cstheme="minorBidi"/>
          <w:smallCaps w:val="0"/>
          <w:noProof/>
          <w:sz w:val="22"/>
          <w:szCs w:val="22"/>
          <w:lang w:val="en-HK" w:eastAsia="en-HK"/>
        </w:rPr>
      </w:pPr>
      <w:hyperlink w:anchor="_Toc524653571" w:history="1">
        <w:r w:rsidR="00FF540D" w:rsidRPr="00AD6684">
          <w:rPr>
            <w:rStyle w:val="Hyperlink"/>
            <w:noProof/>
          </w:rPr>
          <w:t>5.1.</w:t>
        </w:r>
        <w:r w:rsidR="00FF540D">
          <w:rPr>
            <w:rFonts w:asciiTheme="minorHAnsi" w:eastAsiaTheme="minorEastAsia" w:hAnsiTheme="minorHAnsi" w:cstheme="minorBidi"/>
            <w:smallCaps w:val="0"/>
            <w:noProof/>
            <w:sz w:val="22"/>
            <w:szCs w:val="22"/>
            <w:lang w:val="en-HK" w:eastAsia="en-HK"/>
          </w:rPr>
          <w:tab/>
        </w:r>
        <w:r w:rsidR="00FF540D" w:rsidRPr="00AD6684">
          <w:rPr>
            <w:rStyle w:val="Hyperlink"/>
            <w:noProof/>
          </w:rPr>
          <w:t>What does the existing law say about the ability to implement the recommended structure?</w:t>
        </w:r>
        <w:r w:rsidR="00FF540D">
          <w:rPr>
            <w:noProof/>
            <w:webHidden/>
          </w:rPr>
          <w:tab/>
        </w:r>
        <w:r w:rsidR="00FF540D">
          <w:rPr>
            <w:noProof/>
            <w:webHidden/>
          </w:rPr>
          <w:fldChar w:fldCharType="begin"/>
        </w:r>
        <w:r w:rsidR="00FF540D">
          <w:rPr>
            <w:noProof/>
            <w:webHidden/>
          </w:rPr>
          <w:instrText xml:space="preserve"> PAGEREF _Toc524653571 \h </w:instrText>
        </w:r>
        <w:r w:rsidR="00FF540D">
          <w:rPr>
            <w:noProof/>
            <w:webHidden/>
          </w:rPr>
        </w:r>
        <w:r w:rsidR="00FF540D">
          <w:rPr>
            <w:noProof/>
            <w:webHidden/>
          </w:rPr>
          <w:fldChar w:fldCharType="separate"/>
        </w:r>
        <w:r w:rsidR="006F531A">
          <w:rPr>
            <w:noProof/>
            <w:webHidden/>
          </w:rPr>
          <w:t>32</w:t>
        </w:r>
        <w:r w:rsidR="00FF540D">
          <w:rPr>
            <w:noProof/>
            <w:webHidden/>
          </w:rPr>
          <w:fldChar w:fldCharType="end"/>
        </w:r>
      </w:hyperlink>
    </w:p>
    <w:p w14:paraId="4AB24228" w14:textId="7DAF7E64" w:rsidR="00FF540D" w:rsidRDefault="00B16DAD">
      <w:pPr>
        <w:pStyle w:val="TOC2"/>
        <w:rPr>
          <w:rFonts w:asciiTheme="minorHAnsi" w:eastAsiaTheme="minorEastAsia" w:hAnsiTheme="minorHAnsi" w:cstheme="minorBidi"/>
          <w:smallCaps w:val="0"/>
          <w:noProof/>
          <w:sz w:val="22"/>
          <w:szCs w:val="22"/>
          <w:lang w:val="en-HK" w:eastAsia="en-HK"/>
        </w:rPr>
      </w:pPr>
      <w:hyperlink w:anchor="_Toc524653572" w:history="1">
        <w:r w:rsidR="00FF540D" w:rsidRPr="00AD6684">
          <w:rPr>
            <w:rStyle w:val="Hyperlink"/>
            <w:noProof/>
          </w:rPr>
          <w:t>5.2.</w:t>
        </w:r>
        <w:r w:rsidR="00FF540D">
          <w:rPr>
            <w:rFonts w:asciiTheme="minorHAnsi" w:eastAsiaTheme="minorEastAsia" w:hAnsiTheme="minorHAnsi" w:cstheme="minorBidi"/>
            <w:smallCaps w:val="0"/>
            <w:noProof/>
            <w:sz w:val="22"/>
            <w:szCs w:val="22"/>
            <w:lang w:val="en-HK" w:eastAsia="en-HK"/>
          </w:rPr>
          <w:tab/>
        </w:r>
        <w:r w:rsidR="00FF540D" w:rsidRPr="00AD6684">
          <w:rPr>
            <w:rStyle w:val="Hyperlink"/>
            <w:noProof/>
          </w:rPr>
          <w:t>What Changes are Needed in the Short-Term in order to make the tolling structure a Workable Solution?</w:t>
        </w:r>
        <w:r w:rsidR="00FF540D">
          <w:rPr>
            <w:noProof/>
            <w:webHidden/>
          </w:rPr>
          <w:tab/>
        </w:r>
        <w:r w:rsidR="00FF540D">
          <w:rPr>
            <w:noProof/>
            <w:webHidden/>
          </w:rPr>
          <w:fldChar w:fldCharType="begin"/>
        </w:r>
        <w:r w:rsidR="00FF540D">
          <w:rPr>
            <w:noProof/>
            <w:webHidden/>
          </w:rPr>
          <w:instrText xml:space="preserve"> PAGEREF _Toc524653572 \h </w:instrText>
        </w:r>
        <w:r w:rsidR="00FF540D">
          <w:rPr>
            <w:noProof/>
            <w:webHidden/>
          </w:rPr>
        </w:r>
        <w:r w:rsidR="00FF540D">
          <w:rPr>
            <w:noProof/>
            <w:webHidden/>
          </w:rPr>
          <w:fldChar w:fldCharType="separate"/>
        </w:r>
        <w:r w:rsidR="006F531A">
          <w:rPr>
            <w:noProof/>
            <w:webHidden/>
          </w:rPr>
          <w:t>34</w:t>
        </w:r>
        <w:r w:rsidR="00FF540D">
          <w:rPr>
            <w:noProof/>
            <w:webHidden/>
          </w:rPr>
          <w:fldChar w:fldCharType="end"/>
        </w:r>
      </w:hyperlink>
    </w:p>
    <w:p w14:paraId="33A0C290" w14:textId="594D9224" w:rsidR="00FF540D" w:rsidRDefault="00B16DAD">
      <w:pPr>
        <w:pStyle w:val="TOC2"/>
        <w:rPr>
          <w:rFonts w:asciiTheme="minorHAnsi" w:eastAsiaTheme="minorEastAsia" w:hAnsiTheme="minorHAnsi" w:cstheme="minorBidi"/>
          <w:smallCaps w:val="0"/>
          <w:noProof/>
          <w:sz w:val="22"/>
          <w:szCs w:val="22"/>
          <w:lang w:val="en-HK" w:eastAsia="en-HK"/>
        </w:rPr>
      </w:pPr>
      <w:hyperlink w:anchor="_Toc524653573" w:history="1">
        <w:r w:rsidR="00FF540D" w:rsidRPr="00AD6684">
          <w:rPr>
            <w:rStyle w:val="Hyperlink"/>
            <w:noProof/>
          </w:rPr>
          <w:t>5.3.</w:t>
        </w:r>
        <w:r w:rsidR="00FF540D">
          <w:rPr>
            <w:rFonts w:asciiTheme="minorHAnsi" w:eastAsiaTheme="minorEastAsia" w:hAnsiTheme="minorHAnsi" w:cstheme="minorBidi"/>
            <w:smallCaps w:val="0"/>
            <w:noProof/>
            <w:sz w:val="22"/>
            <w:szCs w:val="22"/>
            <w:lang w:val="en-HK" w:eastAsia="en-HK"/>
          </w:rPr>
          <w:tab/>
        </w:r>
        <w:r w:rsidR="00FF540D" w:rsidRPr="00AD6684">
          <w:rPr>
            <w:rStyle w:val="Hyperlink"/>
            <w:noProof/>
          </w:rPr>
          <w:t>What changes are needed in the long term in order to be consistent with competitive gas market?</w:t>
        </w:r>
        <w:r w:rsidR="00FF540D">
          <w:rPr>
            <w:noProof/>
            <w:webHidden/>
          </w:rPr>
          <w:tab/>
        </w:r>
        <w:r w:rsidR="00FF540D">
          <w:rPr>
            <w:noProof/>
            <w:webHidden/>
          </w:rPr>
          <w:fldChar w:fldCharType="begin"/>
        </w:r>
        <w:r w:rsidR="00FF540D">
          <w:rPr>
            <w:noProof/>
            <w:webHidden/>
          </w:rPr>
          <w:instrText xml:space="preserve"> PAGEREF _Toc524653573 \h </w:instrText>
        </w:r>
        <w:r w:rsidR="00FF540D">
          <w:rPr>
            <w:noProof/>
            <w:webHidden/>
          </w:rPr>
        </w:r>
        <w:r w:rsidR="00FF540D">
          <w:rPr>
            <w:noProof/>
            <w:webHidden/>
          </w:rPr>
          <w:fldChar w:fldCharType="separate"/>
        </w:r>
        <w:r w:rsidR="006F531A">
          <w:rPr>
            <w:noProof/>
            <w:webHidden/>
          </w:rPr>
          <w:t>35</w:t>
        </w:r>
        <w:r w:rsidR="00FF540D">
          <w:rPr>
            <w:noProof/>
            <w:webHidden/>
          </w:rPr>
          <w:fldChar w:fldCharType="end"/>
        </w:r>
      </w:hyperlink>
    </w:p>
    <w:p w14:paraId="3954D379" w14:textId="76181827" w:rsidR="00FF540D" w:rsidRDefault="00B16DAD">
      <w:pPr>
        <w:pStyle w:val="TOC2"/>
        <w:rPr>
          <w:rFonts w:asciiTheme="minorHAnsi" w:eastAsiaTheme="minorEastAsia" w:hAnsiTheme="minorHAnsi" w:cstheme="minorBidi"/>
          <w:smallCaps w:val="0"/>
          <w:noProof/>
          <w:sz w:val="22"/>
          <w:szCs w:val="22"/>
          <w:lang w:val="en-HK" w:eastAsia="en-HK"/>
        </w:rPr>
      </w:pPr>
      <w:hyperlink w:anchor="_Toc524653574" w:history="1">
        <w:r w:rsidR="00FF540D" w:rsidRPr="00AD6684">
          <w:rPr>
            <w:rStyle w:val="Hyperlink"/>
            <w:noProof/>
          </w:rPr>
          <w:t>5.4.</w:t>
        </w:r>
        <w:r w:rsidR="00FF540D">
          <w:rPr>
            <w:rFonts w:asciiTheme="minorHAnsi" w:eastAsiaTheme="minorEastAsia" w:hAnsiTheme="minorHAnsi" w:cstheme="minorBidi"/>
            <w:smallCaps w:val="0"/>
            <w:noProof/>
            <w:sz w:val="22"/>
            <w:szCs w:val="22"/>
            <w:lang w:val="en-HK" w:eastAsia="en-HK"/>
          </w:rPr>
          <w:tab/>
        </w:r>
        <w:r w:rsidR="00FF540D" w:rsidRPr="00AD6684">
          <w:rPr>
            <w:rStyle w:val="Hyperlink"/>
            <w:noProof/>
          </w:rPr>
          <w:t>How will the pass-through mechanism be implemented and to what extent will LNG-fired power plants be inside or outside the competitive power market?</w:t>
        </w:r>
        <w:r w:rsidR="00FF540D">
          <w:rPr>
            <w:noProof/>
            <w:webHidden/>
          </w:rPr>
          <w:tab/>
        </w:r>
        <w:r w:rsidR="00FF540D">
          <w:rPr>
            <w:noProof/>
            <w:webHidden/>
          </w:rPr>
          <w:fldChar w:fldCharType="begin"/>
        </w:r>
        <w:r w:rsidR="00FF540D">
          <w:rPr>
            <w:noProof/>
            <w:webHidden/>
          </w:rPr>
          <w:instrText xml:space="preserve"> PAGEREF _Toc524653574 \h </w:instrText>
        </w:r>
        <w:r w:rsidR="00FF540D">
          <w:rPr>
            <w:noProof/>
            <w:webHidden/>
          </w:rPr>
        </w:r>
        <w:r w:rsidR="00FF540D">
          <w:rPr>
            <w:noProof/>
            <w:webHidden/>
          </w:rPr>
          <w:fldChar w:fldCharType="separate"/>
        </w:r>
        <w:r w:rsidR="006F531A">
          <w:rPr>
            <w:noProof/>
            <w:webHidden/>
          </w:rPr>
          <w:t>35</w:t>
        </w:r>
        <w:r w:rsidR="00FF540D">
          <w:rPr>
            <w:noProof/>
            <w:webHidden/>
          </w:rPr>
          <w:fldChar w:fldCharType="end"/>
        </w:r>
      </w:hyperlink>
    </w:p>
    <w:p w14:paraId="0641958A" w14:textId="270E0531" w:rsidR="00FF540D" w:rsidRDefault="00B16DAD">
      <w:pPr>
        <w:pStyle w:val="TOC2"/>
        <w:rPr>
          <w:rFonts w:asciiTheme="minorHAnsi" w:eastAsiaTheme="minorEastAsia" w:hAnsiTheme="minorHAnsi" w:cstheme="minorBidi"/>
          <w:smallCaps w:val="0"/>
          <w:noProof/>
          <w:sz w:val="22"/>
          <w:szCs w:val="22"/>
          <w:lang w:val="en-HK" w:eastAsia="en-HK"/>
        </w:rPr>
      </w:pPr>
      <w:hyperlink w:anchor="_Toc524653575" w:history="1">
        <w:r w:rsidR="00FF540D" w:rsidRPr="00AD6684">
          <w:rPr>
            <w:rStyle w:val="Hyperlink"/>
            <w:noProof/>
          </w:rPr>
          <w:t>5.5.</w:t>
        </w:r>
        <w:r w:rsidR="00FF540D">
          <w:rPr>
            <w:rFonts w:asciiTheme="minorHAnsi" w:eastAsiaTheme="minorEastAsia" w:hAnsiTheme="minorHAnsi" w:cstheme="minorBidi"/>
            <w:smallCaps w:val="0"/>
            <w:noProof/>
            <w:sz w:val="22"/>
            <w:szCs w:val="22"/>
            <w:lang w:val="en-HK" w:eastAsia="en-HK"/>
          </w:rPr>
          <w:tab/>
        </w:r>
        <w:r w:rsidR="00FF540D" w:rsidRPr="00AD6684">
          <w:rPr>
            <w:rStyle w:val="Hyperlink"/>
            <w:noProof/>
          </w:rPr>
          <w:t>Other key questions identified by TLG/WFW</w:t>
        </w:r>
        <w:r w:rsidR="00FF540D">
          <w:rPr>
            <w:noProof/>
            <w:webHidden/>
          </w:rPr>
          <w:tab/>
        </w:r>
        <w:r w:rsidR="00FF540D">
          <w:rPr>
            <w:noProof/>
            <w:webHidden/>
          </w:rPr>
          <w:fldChar w:fldCharType="begin"/>
        </w:r>
        <w:r w:rsidR="00FF540D">
          <w:rPr>
            <w:noProof/>
            <w:webHidden/>
          </w:rPr>
          <w:instrText xml:space="preserve"> PAGEREF _Toc524653575 \h </w:instrText>
        </w:r>
        <w:r w:rsidR="00FF540D">
          <w:rPr>
            <w:noProof/>
            <w:webHidden/>
          </w:rPr>
        </w:r>
        <w:r w:rsidR="00FF540D">
          <w:rPr>
            <w:noProof/>
            <w:webHidden/>
          </w:rPr>
          <w:fldChar w:fldCharType="separate"/>
        </w:r>
        <w:r w:rsidR="006F531A">
          <w:rPr>
            <w:noProof/>
            <w:webHidden/>
          </w:rPr>
          <w:t>37</w:t>
        </w:r>
        <w:r w:rsidR="00FF540D">
          <w:rPr>
            <w:noProof/>
            <w:webHidden/>
          </w:rPr>
          <w:fldChar w:fldCharType="end"/>
        </w:r>
      </w:hyperlink>
    </w:p>
    <w:p w14:paraId="16DF3B8E" w14:textId="4B50D4BD" w:rsidR="00893C32" w:rsidRPr="00A822B6" w:rsidRDefault="00CA5EEE" w:rsidP="00A822B6">
      <w:pPr>
        <w:pStyle w:val="BodyText"/>
      </w:pPr>
      <w:r w:rsidRPr="00770296">
        <w:rPr>
          <w:b/>
          <w:caps/>
          <w:sz w:val="22"/>
        </w:rPr>
        <w:fldChar w:fldCharType="end"/>
      </w:r>
    </w:p>
    <w:p w14:paraId="0CFC742E" w14:textId="77777777" w:rsidR="006343F4" w:rsidRPr="00770296" w:rsidRDefault="006343F4" w:rsidP="00FE26FB"/>
    <w:p w14:paraId="4C01C806" w14:textId="77777777" w:rsidR="006343F4" w:rsidRPr="00770296" w:rsidRDefault="006343F4" w:rsidP="00FE26FB">
      <w:pPr>
        <w:sectPr w:rsidR="006343F4" w:rsidRPr="00770296">
          <w:headerReference w:type="default" r:id="rId12"/>
          <w:footerReference w:type="default" r:id="rId13"/>
          <w:headerReference w:type="first" r:id="rId14"/>
          <w:footerReference w:type="first" r:id="rId15"/>
          <w:pgSz w:w="11907" w:h="16840" w:code="9"/>
          <w:pgMar w:top="1440" w:right="1440" w:bottom="1440" w:left="1440" w:header="578" w:footer="431" w:gutter="1077"/>
          <w:pgNumType w:fmt="lowerRoman" w:start="1"/>
          <w:cols w:space="720"/>
        </w:sectPr>
      </w:pPr>
    </w:p>
    <w:p w14:paraId="7B637AAC" w14:textId="4AEA6ACA" w:rsidR="00A36AEC" w:rsidRDefault="00A822B6" w:rsidP="00A36AEC">
      <w:pPr>
        <w:pStyle w:val="Heading1"/>
      </w:pPr>
      <w:bookmarkStart w:id="1" w:name="_Toc524653549"/>
      <w:bookmarkStart w:id="2" w:name="_Toc104118478"/>
      <w:bookmarkStart w:id="3" w:name="OLE_LINK3"/>
      <w:bookmarkStart w:id="4" w:name="OLE_LINK4"/>
      <w:r>
        <w:lastRenderedPageBreak/>
        <w:t>Executive summary</w:t>
      </w:r>
      <w:bookmarkEnd w:id="1"/>
    </w:p>
    <w:p w14:paraId="7844CE38" w14:textId="2EBCEEC5" w:rsidR="00E56312" w:rsidRDefault="00E56312" w:rsidP="00E56312">
      <w:pPr>
        <w:pStyle w:val="Heading2"/>
      </w:pPr>
      <w:bookmarkStart w:id="5" w:name="_Toc524653550"/>
      <w:r>
        <w:t xml:space="preserve">Purpose of this </w:t>
      </w:r>
      <w:r w:rsidR="00D14644">
        <w:t>D</w:t>
      </w:r>
      <w:r>
        <w:t>ocument</w:t>
      </w:r>
      <w:bookmarkEnd w:id="5"/>
    </w:p>
    <w:p w14:paraId="02A83F32" w14:textId="77777777" w:rsidR="00E56312" w:rsidRDefault="00E56312" w:rsidP="00E56312">
      <w:pPr>
        <w:pStyle w:val="BodyText"/>
      </w:pPr>
      <w:r>
        <w:t xml:space="preserve">The Lantau Group (TLG) has been appointed by the World Bank to provide technical assistance to facilitate LNG-to-power developments in Vietnam (“the Project”).  Phase 1 of the Project entailed reviewing and recommending a legal and regulatory framework for LNG-to-power developments, whilst Phase 2 involved designing an LNG procurement and risk mitigation strategy that fits with the Vietnamese context and requirements.  </w:t>
      </w:r>
    </w:p>
    <w:p w14:paraId="0B8D1697" w14:textId="77777777" w:rsidR="00E56312" w:rsidRDefault="00E56312" w:rsidP="00E56312">
      <w:pPr>
        <w:pStyle w:val="BodyText"/>
      </w:pPr>
      <w:r>
        <w:t>A workshop was held in Hanoi on 26</w:t>
      </w:r>
      <w:r>
        <w:rPr>
          <w:vertAlign w:val="superscript"/>
        </w:rPr>
        <w:t>th</w:t>
      </w:r>
      <w:r>
        <w:t xml:space="preserve"> of June 2018 to present the findings of the Project to the key gas stakeholders in Vietnam comprising of the Ministry of Industry and Trade (MOIT), state-owned enterprises (SOE) such as PetroVietnam (PVN), PetroVietNam Gas (PVGas), and Vietnam Electricity Corporation (EVN), as well as private sector participants.  </w:t>
      </w:r>
    </w:p>
    <w:p w14:paraId="3EA865E4" w14:textId="77777777" w:rsidR="00E56312" w:rsidRDefault="00E56312" w:rsidP="00E56312">
      <w:pPr>
        <w:pStyle w:val="BodyText"/>
      </w:pPr>
      <w:r>
        <w:t xml:space="preserve">This report is an executive summary of the findings and recommendations for Phase 1 of the Project. </w:t>
      </w:r>
    </w:p>
    <w:p w14:paraId="5D59ADCA" w14:textId="77777777" w:rsidR="00E56312" w:rsidRDefault="00E56312" w:rsidP="00E56312">
      <w:pPr>
        <w:pStyle w:val="Heading2"/>
      </w:pPr>
      <w:bookmarkStart w:id="6" w:name="_Toc524653551"/>
      <w:r>
        <w:t>Key Findings</w:t>
      </w:r>
      <w:bookmarkEnd w:id="6"/>
    </w:p>
    <w:p w14:paraId="3E0A13F1" w14:textId="77777777" w:rsidR="00994DB7" w:rsidRPr="00994DB7" w:rsidRDefault="00994DB7" w:rsidP="009E7445">
      <w:pPr>
        <w:pStyle w:val="ListBullet"/>
      </w:pPr>
      <w:r w:rsidRPr="00994DB7">
        <w:rPr>
          <w:b/>
        </w:rPr>
        <w:t>Vietnam’s rapid economic growth requires significant investments in the power and fuel sectors.</w:t>
      </w:r>
      <w:r w:rsidRPr="00994DB7">
        <w:t xml:space="preserve"> Vietnam’s power</w:t>
      </w:r>
      <w:r>
        <w:t xml:space="preserve"> </w:t>
      </w:r>
      <w:r w:rsidRPr="00994DB7">
        <w:t>consumption has grown by a compounded annual growth rate of 12%, increasing from ~ 35 TWh in 2003 to ~174 TWh in</w:t>
      </w:r>
      <w:r>
        <w:t xml:space="preserve"> </w:t>
      </w:r>
      <w:r w:rsidRPr="00994DB7">
        <w:t xml:space="preserve">2017. TLG projects this growth to be sustained at an average rate of 8.0% per annum in the period between 2021 and 2030.  </w:t>
      </w:r>
      <w:r w:rsidRPr="00994DB7">
        <w:rPr>
          <w:lang w:val="en-HK"/>
        </w:rPr>
        <w:t>Invariably, Vietnam will require a reliable, secure, diversified and cost-effective fuel supplies for its power sector.</w:t>
      </w:r>
    </w:p>
    <w:p w14:paraId="2ABB88EB" w14:textId="48BCDEB1" w:rsidR="00E56312" w:rsidRDefault="00994DB7" w:rsidP="00994DB7">
      <w:pPr>
        <w:pStyle w:val="ListBullet"/>
      </w:pPr>
      <w:r w:rsidRPr="00994DB7">
        <w:rPr>
          <w:b/>
        </w:rPr>
        <w:t>Gas has an important role in Vietnam’s future energy landscape, with LNG importation now being key feature of Vietnam’s energy policy.</w:t>
      </w:r>
      <w:r w:rsidRPr="00994DB7">
        <w:t xml:space="preserve"> </w:t>
      </w:r>
      <w:r>
        <w:t xml:space="preserve"> </w:t>
      </w:r>
      <w:r w:rsidRPr="00994DB7">
        <w:t xml:space="preserve">Domestic gas will continue to play an important role in Vietnam’s energy future, with Block B and Ca Voi Xanh (CVX) expected to be delivered on time (2021 and 2023 respectively). </w:t>
      </w:r>
      <w:r>
        <w:t xml:space="preserve"> </w:t>
      </w:r>
      <w:r w:rsidRPr="00994DB7">
        <w:t>Yet with domestic gas production set to peak in 2026, TLG expects a significant gas supply gas to emerge beyond 2026, with LNG imports increasingly required to supplement depleting upstream gas resources. Indeed, Vietnam’s Gas Master Plan indicates that multiple LNG terminals will be required to import between 0.7 and 3.0 million tonnes per annum (mtpa) of LNG between 2021 and 2025, with volumes to rise significantly to between 4.5 and 7.4 mtpa by 2035.</w:t>
      </w:r>
      <w:r w:rsidR="00E56312">
        <w:br w:type="page"/>
      </w:r>
    </w:p>
    <w:p w14:paraId="5D20CA01" w14:textId="7FDB57D7" w:rsidR="00994DB7" w:rsidRPr="00994DB7" w:rsidRDefault="00994DB7" w:rsidP="009E7445">
      <w:pPr>
        <w:pStyle w:val="ListBullet"/>
      </w:pPr>
      <w:r w:rsidRPr="00994DB7">
        <w:rPr>
          <w:b/>
        </w:rPr>
        <w:lastRenderedPageBreak/>
        <w:t xml:space="preserve">The Public-Private model is the most commonly pursued model in new LNG importing markets. </w:t>
      </w:r>
      <w:r>
        <w:rPr>
          <w:b/>
        </w:rPr>
        <w:t xml:space="preserve"> </w:t>
      </w:r>
      <w:r w:rsidRPr="00994DB7">
        <w:t>In this model, the power project will be owned by BOT Company (foreign owned) under the BOT scheme, whilst LNG terminal infrastructure will be owned by the State-Owned-Entity (national utility or national oil company) under a joint venture structure with foreign participation. The Public-Private model, such as that implemented in emerging LNG importing nations such as Bangladesh, has proved particularly attractive owing to the fact that it tends to provide the most flexibility in terms of LNG supply, technological innovation, and control over cost.</w:t>
      </w:r>
    </w:p>
    <w:p w14:paraId="25EDD3E1" w14:textId="2B6904D8" w:rsidR="00994DB7" w:rsidRDefault="00706280" w:rsidP="004F40CE">
      <w:pPr>
        <w:pStyle w:val="ListBullet"/>
        <w:rPr>
          <w:b/>
        </w:rPr>
      </w:pPr>
      <w:bookmarkStart w:id="7" w:name="_Hlk524695116"/>
      <w:r w:rsidRPr="005D6224">
        <w:rPr>
          <w:b/>
        </w:rPr>
        <w:t>SOEs can</w:t>
      </w:r>
      <w:r w:rsidR="004F40CE">
        <w:rPr>
          <w:b/>
        </w:rPr>
        <w:t xml:space="preserve"> </w:t>
      </w:r>
      <w:r w:rsidR="004F40CE" w:rsidRPr="004F40CE">
        <w:rPr>
          <w:b/>
        </w:rPr>
        <w:t>play important, coordinated roles in the initial development of LNG infrastructure</w:t>
      </w:r>
      <w:r w:rsidR="00994DB7" w:rsidRPr="00994DB7">
        <w:rPr>
          <w:b/>
        </w:rPr>
        <w:t xml:space="preserve">. </w:t>
      </w:r>
      <w:r w:rsidR="00994DB7">
        <w:rPr>
          <w:b/>
        </w:rPr>
        <w:t xml:space="preserve"> </w:t>
      </w:r>
      <w:r w:rsidR="00994DB7" w:rsidRPr="00994DB7">
        <w:t xml:space="preserve">Experience from emerging LNG markets in the region, namely Bangladesh, Pakistan, Malaysia, Thailand, and Singapore, </w:t>
      </w:r>
      <w:r w:rsidR="003F7C04" w:rsidRPr="003F7C04">
        <w:rPr>
          <w:iCs/>
        </w:rPr>
        <w:t>highlights the manner in which state-owned national champions acting as LNG aggregators have managed LNG supply sourcing and offtake risks at the portfolio level in order to secure LNG flows</w:t>
      </w:r>
      <w:r w:rsidR="005245CA">
        <w:t>.</w:t>
      </w:r>
      <w:r w:rsidR="002C7B9D">
        <w:t xml:space="preserve"> </w:t>
      </w:r>
      <w:r w:rsidR="00AE62B6" w:rsidRPr="00AE62B6">
        <w:t xml:space="preserve">In almost all the peer countries, the SOE was the LNG buyer for the maiden projects. Subsequent projects saw increased foreign participation as allowed and encouraged by </w:t>
      </w:r>
      <w:r w:rsidR="00556E00">
        <w:t xml:space="preserve">their </w:t>
      </w:r>
      <w:r w:rsidR="00AE62B6" w:rsidRPr="00AE62B6">
        <w:t>respective LNG regulatory frameworks.</w:t>
      </w:r>
    </w:p>
    <w:p w14:paraId="22F7F007" w14:textId="3A2B89E7" w:rsidR="00994DB7" w:rsidRPr="00994DB7" w:rsidRDefault="00994DB7" w:rsidP="00994DB7">
      <w:pPr>
        <w:pStyle w:val="ListBullet"/>
      </w:pPr>
      <w:bookmarkStart w:id="8" w:name="_Toc523400712"/>
      <w:bookmarkEnd w:id="7"/>
      <w:r w:rsidRPr="00994DB7">
        <w:rPr>
          <w:b/>
        </w:rPr>
        <w:t>The use of Floating Storage and Regasification Units (FSRUs) has grown rapidly because of the distinct benefits it</w:t>
      </w:r>
      <w:r w:rsidRPr="00994DB7">
        <w:rPr>
          <w:b/>
          <w:smallCaps/>
        </w:rPr>
        <w:t xml:space="preserve"> </w:t>
      </w:r>
      <w:r w:rsidRPr="00994DB7">
        <w:rPr>
          <w:b/>
        </w:rPr>
        <w:t>provides.</w:t>
      </w:r>
      <w:r>
        <w:t xml:space="preserve">  </w:t>
      </w:r>
      <w:r w:rsidRPr="00994DB7">
        <w:t>FSRUs have been successfully deployed in many new LNG markets, offering faster deployment being less capital intensive than land-based terminals. FSRUs</w:t>
      </w:r>
      <w:r>
        <w:t xml:space="preserve"> also</w:t>
      </w:r>
      <w:r w:rsidRPr="00994DB7">
        <w:t xml:space="preserve"> provide the advantage of being modular and are therefore able to scale in markets that are experiencing significant demand growth.</w:t>
      </w:r>
    </w:p>
    <w:p w14:paraId="36E30833" w14:textId="59F18E96" w:rsidR="00E56312" w:rsidRDefault="00E56312" w:rsidP="00994DB7">
      <w:pPr>
        <w:pStyle w:val="Heading2"/>
      </w:pPr>
      <w:bookmarkStart w:id="9" w:name="_Toc524653552"/>
      <w:r>
        <w:t>Key Recommendations</w:t>
      </w:r>
      <w:bookmarkEnd w:id="8"/>
      <w:bookmarkEnd w:id="9"/>
    </w:p>
    <w:p w14:paraId="27C368D5" w14:textId="2FB49DA9" w:rsidR="00E56312" w:rsidRDefault="00994DB7" w:rsidP="00994DB7">
      <w:pPr>
        <w:pStyle w:val="ListBullet"/>
      </w:pPr>
      <w:r w:rsidRPr="00994DB7">
        <w:rPr>
          <w:b/>
        </w:rPr>
        <w:t>We recommend the Public/Private model as the best practice model for LNG-to-Power projects in Vietnam.</w:t>
      </w:r>
      <w:r w:rsidRPr="00994DB7">
        <w:t xml:space="preserve"> </w:t>
      </w:r>
      <w:r>
        <w:t xml:space="preserve"> </w:t>
      </w:r>
      <w:r w:rsidRPr="00994DB7">
        <w:t xml:space="preserve">As observed, this option is likely to deliver the best outcome with regards to costs, flexibility, risk management, and procurement aggregation advantages to Vietnam. </w:t>
      </w:r>
      <w:r>
        <w:t xml:space="preserve"> </w:t>
      </w:r>
      <w:r w:rsidRPr="00994DB7">
        <w:t>However, we recognize that the pre-conditions supporting full adoption of public/private model are not readily available - namely, the necessary Government Guarantee and Undertaking (GGU) structures, access arrangements (third party access, TPA) and required tariff decrees.</w:t>
      </w:r>
      <w:r>
        <w:t xml:space="preserve">  </w:t>
      </w:r>
      <w:r w:rsidRPr="00994DB7">
        <w:t>These can be addressed by the Government through direct bilateral arrangements.</w:t>
      </w:r>
    </w:p>
    <w:p w14:paraId="1057E49F" w14:textId="7A661DEA" w:rsidR="004F0FAB" w:rsidRPr="00994DB7" w:rsidRDefault="004F0FAB" w:rsidP="004F0FAB">
      <w:pPr>
        <w:pStyle w:val="ListBullet"/>
      </w:pPr>
      <w:r w:rsidRPr="00994DB7">
        <w:rPr>
          <w:b/>
        </w:rPr>
        <w:t>FSRU is well suited for Vietnam.</w:t>
      </w:r>
      <w:r w:rsidRPr="00994DB7">
        <w:t xml:space="preserve"> </w:t>
      </w:r>
      <w:r>
        <w:t xml:space="preserve"> </w:t>
      </w:r>
      <w:r w:rsidRPr="00994DB7">
        <w:t>Many new emerging LNG markets are using FSRUs, which offer flexibility, faster deployment and cost advantages.</w:t>
      </w:r>
      <w:r>
        <w:t xml:space="preserve"> </w:t>
      </w:r>
      <w:r w:rsidRPr="00994DB7">
        <w:t xml:space="preserve"> In addition, FSRUs provide the advantage of being modular and therefore able to scale up rapidly in markets that are experiencing significant demand growth. </w:t>
      </w:r>
      <w:r>
        <w:t xml:space="preserve"> </w:t>
      </w:r>
      <w:r w:rsidRPr="00994DB7">
        <w:t xml:space="preserve">TLG modelling confirms </w:t>
      </w:r>
      <w:r>
        <w:t>that the</w:t>
      </w:r>
      <w:r w:rsidRPr="00994DB7">
        <w:t xml:space="preserve"> benefits of a flexible LNG procurement and contracting</w:t>
      </w:r>
      <w:r>
        <w:t xml:space="preserve"> framework</w:t>
      </w:r>
      <w:r w:rsidRPr="00994DB7">
        <w:t xml:space="preserve"> is further enhanced with the application of FSRU.</w:t>
      </w:r>
    </w:p>
    <w:p w14:paraId="0E9984C1" w14:textId="01E2E7A3" w:rsidR="00E56312" w:rsidRPr="00994DB7" w:rsidRDefault="00994DB7" w:rsidP="00994DB7">
      <w:pPr>
        <w:pStyle w:val="ListBullet"/>
      </w:pPr>
      <w:r w:rsidRPr="00994DB7">
        <w:rPr>
          <w:b/>
        </w:rPr>
        <w:lastRenderedPageBreak/>
        <w:t>MOIT must address requisite conditions (through policy and regulatory reform) to ensure successful implementation of LNG infrastructure in Vietnam.</w:t>
      </w:r>
      <w:r w:rsidRPr="00994DB7">
        <w:t xml:space="preserve"> </w:t>
      </w:r>
      <w:r>
        <w:t xml:space="preserve"> </w:t>
      </w:r>
      <w:r w:rsidRPr="00994DB7">
        <w:t>The immediate areas that need to be addressed include clarification on the preferred business model / ownership structure and confirm</w:t>
      </w:r>
      <w:r w:rsidR="005245CA">
        <w:t xml:space="preserve">ation of </w:t>
      </w:r>
      <w:r w:rsidRPr="00994DB7">
        <w:t xml:space="preserve">timelines </w:t>
      </w:r>
      <w:r w:rsidR="005245CA">
        <w:t>for the planned</w:t>
      </w:r>
      <w:r w:rsidRPr="00994DB7">
        <w:t xml:space="preserve"> LNG-to-power infrastructure</w:t>
      </w:r>
      <w:r w:rsidR="005245CA">
        <w:t>s</w:t>
      </w:r>
      <w:r w:rsidRPr="00994DB7">
        <w:t xml:space="preserve">. </w:t>
      </w:r>
      <w:r>
        <w:t xml:space="preserve"> </w:t>
      </w:r>
      <w:r w:rsidRPr="00994DB7">
        <w:t xml:space="preserve">Further, the Government must also designate </w:t>
      </w:r>
      <w:r w:rsidR="005245CA">
        <w:t>and empower</w:t>
      </w:r>
      <w:r w:rsidRPr="00994DB7">
        <w:t xml:space="preserve"> </w:t>
      </w:r>
      <w:r w:rsidR="005245CA">
        <w:t xml:space="preserve">its SOE </w:t>
      </w:r>
      <w:r w:rsidR="00DE51AE">
        <w:t>(</w:t>
      </w:r>
      <w:r w:rsidR="00DE51AE" w:rsidRPr="00994DB7">
        <w:t>, such as EVN or PVN</w:t>
      </w:r>
      <w:r w:rsidR="00DE51AE">
        <w:t xml:space="preserve">) </w:t>
      </w:r>
      <w:r w:rsidR="005245CA">
        <w:t xml:space="preserve">to </w:t>
      </w:r>
      <w:r w:rsidR="00DE51AE">
        <w:t>act as</w:t>
      </w:r>
      <w:r w:rsidR="005245CA">
        <w:t xml:space="preserve"> </w:t>
      </w:r>
      <w:r w:rsidRPr="00994DB7">
        <w:t>LNG aggregator</w:t>
      </w:r>
      <w:r w:rsidR="005245CA">
        <w:t>s</w:t>
      </w:r>
      <w:r w:rsidRPr="00994DB7">
        <w:t xml:space="preserve">. </w:t>
      </w:r>
      <w:r>
        <w:t xml:space="preserve"> </w:t>
      </w:r>
      <w:r w:rsidRPr="00994DB7">
        <w:t>Finally, the extent of any GGU structure employed, the presence of a fuel cost pass through and recovery mechanism to support LNG offtakes, and the nature and timing of Third Party Access (TPA) rights are also issues that need must be given due consideration by MOIT.</w:t>
      </w:r>
    </w:p>
    <w:p w14:paraId="7186F738" w14:textId="61C711AF" w:rsidR="00994DB7" w:rsidRPr="00994DB7" w:rsidRDefault="00994DB7" w:rsidP="00994DB7">
      <w:pPr>
        <w:pStyle w:val="ListBullet"/>
      </w:pPr>
      <w:r w:rsidRPr="00994DB7">
        <w:rPr>
          <w:b/>
        </w:rPr>
        <w:t>Regulatory models for LNG-to-power development must seek to build on established law and practice.</w:t>
      </w:r>
      <w:r w:rsidRPr="00994DB7">
        <w:t xml:space="preserve"> Vietnam has an established legislative and contractual framework through which it procures fuel and power. </w:t>
      </w:r>
      <w:r>
        <w:t xml:space="preserve"> </w:t>
      </w:r>
      <w:r w:rsidRPr="00994DB7">
        <w:t>Vietnam is familiar with: (a) developing its own power infrastructure; and (b) procuring a concessionaire to do so; and additionally, (c) it has an existing toolkit of laws and precedent documentation that encourages private investment, having developed a risk allocation structure that the market is familiar with (and generally accepts). We recommend the strategy to develop a robust framework from existing laws and regulations, and then transitioning to a new legal framework over time as the competitive electricity market evolves.</w:t>
      </w:r>
    </w:p>
    <w:p w14:paraId="0E3CF0CC" w14:textId="52EE8911" w:rsidR="00994DB7" w:rsidRPr="00994DB7" w:rsidRDefault="00994DB7" w:rsidP="00994DB7">
      <w:pPr>
        <w:pStyle w:val="ListBullet"/>
      </w:pPr>
      <w:r w:rsidRPr="00994DB7">
        <w:rPr>
          <w:b/>
        </w:rPr>
        <w:t>The existing legal framework for LNG-to-power in Vietnam is not yet fully developed, and we believe that some degree of Government policy or law clarification will be required.</w:t>
      </w:r>
      <w:r w:rsidRPr="00994DB7">
        <w:t xml:space="preserve"> </w:t>
      </w:r>
      <w:r>
        <w:t xml:space="preserve"> </w:t>
      </w:r>
      <w:r w:rsidRPr="00994DB7">
        <w:t>Whilst the precise content of a PM Decision or Approval will vary depending on the LNG-to-power model chosen, such a measure would serve as a critical initial step in order to bring together and clarify existing laws for LNG development.</w:t>
      </w:r>
    </w:p>
    <w:p w14:paraId="73C4EB26" w14:textId="6556D9F5" w:rsidR="00E56312" w:rsidRPr="00311285" w:rsidRDefault="00311285" w:rsidP="00311285">
      <w:pPr>
        <w:pStyle w:val="ListBullet"/>
      </w:pPr>
      <w:r w:rsidRPr="00311285">
        <w:rPr>
          <w:b/>
        </w:rPr>
        <w:t>Longer term aspirations for a gas market in Vietnam will require more substantive legal and regulatory changes.</w:t>
      </w:r>
      <w:r w:rsidRPr="00311285">
        <w:t xml:space="preserve"> </w:t>
      </w:r>
      <w:r>
        <w:t xml:space="preserve"> </w:t>
      </w:r>
      <w:r w:rsidRPr="00311285">
        <w:t>In this regard, we assessed that new laws will be required in the future to address:</w:t>
      </w:r>
    </w:p>
    <w:p w14:paraId="51DB3CDB" w14:textId="77777777" w:rsidR="00E56312" w:rsidRDefault="00E56312" w:rsidP="00E56312">
      <w:pPr>
        <w:pStyle w:val="ListBullet3"/>
        <w:numPr>
          <w:ilvl w:val="0"/>
          <w:numId w:val="33"/>
        </w:numPr>
        <w:tabs>
          <w:tab w:val="clear" w:pos="360"/>
          <w:tab w:val="num" w:pos="1211"/>
        </w:tabs>
        <w:ind w:left="1211"/>
        <w:rPr>
          <w:lang w:val="en-SG"/>
        </w:rPr>
      </w:pPr>
      <w:r>
        <w:t>Separation of regulatory functions and the creation of a new oversight framework to regulate LNG terminals and the gas market;</w:t>
      </w:r>
    </w:p>
    <w:p w14:paraId="62BA8A34" w14:textId="77777777" w:rsidR="00E56312" w:rsidRDefault="00E56312" w:rsidP="00E56312">
      <w:pPr>
        <w:pStyle w:val="ListBullet3"/>
        <w:numPr>
          <w:ilvl w:val="0"/>
          <w:numId w:val="33"/>
        </w:numPr>
        <w:tabs>
          <w:tab w:val="clear" w:pos="360"/>
          <w:tab w:val="num" w:pos="1211"/>
        </w:tabs>
        <w:ind w:left="1211"/>
        <w:rPr>
          <w:lang w:val="en-SG"/>
        </w:rPr>
      </w:pPr>
      <w:r>
        <w:t>Unbundling of market functions of market participants (separation of generation, transmission and distribution and wholesale supply);</w:t>
      </w:r>
    </w:p>
    <w:p w14:paraId="2954D544" w14:textId="77777777" w:rsidR="00E56312" w:rsidRDefault="00E56312" w:rsidP="00E56312">
      <w:pPr>
        <w:pStyle w:val="ListBullet3"/>
        <w:numPr>
          <w:ilvl w:val="0"/>
          <w:numId w:val="33"/>
        </w:numPr>
        <w:tabs>
          <w:tab w:val="clear" w:pos="360"/>
          <w:tab w:val="num" w:pos="1211"/>
        </w:tabs>
        <w:ind w:left="1211"/>
        <w:rPr>
          <w:lang w:val="en-SG"/>
        </w:rPr>
      </w:pPr>
      <w:r>
        <w:t>Competition in energy markets (principally TPA, the prevention of restrictive marketing practices and cost reflective tariffs in critical energy infrastructure); and</w:t>
      </w:r>
    </w:p>
    <w:p w14:paraId="36866C84" w14:textId="77777777" w:rsidR="00E56312" w:rsidRDefault="00E56312" w:rsidP="00E56312">
      <w:pPr>
        <w:pStyle w:val="ListBullet3"/>
        <w:numPr>
          <w:ilvl w:val="0"/>
          <w:numId w:val="33"/>
        </w:numPr>
        <w:tabs>
          <w:tab w:val="clear" w:pos="360"/>
          <w:tab w:val="num" w:pos="1211"/>
        </w:tabs>
        <w:ind w:left="1211"/>
        <w:rPr>
          <w:lang w:val="en-SG"/>
        </w:rPr>
      </w:pPr>
      <w:r>
        <w:t>The establishment of new gas network codes to regulate rights and obligations between system users and as between interconnected systems. In the initial phases, these should cover congestion management, capacity allocation, balancing and gas infrastructure tariffs.</w:t>
      </w:r>
    </w:p>
    <w:p w14:paraId="449621A8" w14:textId="46034C41" w:rsidR="001B59AC" w:rsidRDefault="001B59AC" w:rsidP="00E56312">
      <w:pPr>
        <w:pStyle w:val="Heading1"/>
      </w:pPr>
      <w:r>
        <w:br w:type="page"/>
      </w:r>
      <w:bookmarkStart w:id="10" w:name="_Toc524653553"/>
      <w:bookmarkStart w:id="11" w:name="_Hlk489525143"/>
      <w:r>
        <w:lastRenderedPageBreak/>
        <w:t>Role of Gas in Vietnam</w:t>
      </w:r>
      <w:bookmarkEnd w:id="10"/>
      <w:r w:rsidRPr="00770296" w:rsidDel="00AE4053">
        <w:t xml:space="preserve"> </w:t>
      </w:r>
      <w:r w:rsidDel="00AE4053">
        <w:t xml:space="preserve">  </w:t>
      </w:r>
    </w:p>
    <w:p w14:paraId="4E960059" w14:textId="50333230" w:rsidR="001B59AC" w:rsidRDefault="001B59AC" w:rsidP="001B59AC">
      <w:pPr>
        <w:pStyle w:val="Heading2"/>
        <w:numPr>
          <w:ilvl w:val="1"/>
          <w:numId w:val="2"/>
        </w:numPr>
        <w:ind w:left="0" w:hanging="706"/>
      </w:pPr>
      <w:bookmarkStart w:id="12" w:name="_Toc524653554"/>
      <w:r>
        <w:t>Overview of Vietnam’s Energy Policy Position</w:t>
      </w:r>
      <w:bookmarkEnd w:id="12"/>
    </w:p>
    <w:p w14:paraId="6B9839C2" w14:textId="77777777" w:rsidR="001B59AC" w:rsidRDefault="001B59AC" w:rsidP="001B59AC">
      <w:pPr>
        <w:pStyle w:val="Heading3"/>
        <w:numPr>
          <w:ilvl w:val="2"/>
          <w:numId w:val="2"/>
        </w:numPr>
        <w:ind w:left="0" w:hanging="706"/>
      </w:pPr>
      <w:bookmarkStart w:id="13" w:name="_Toc524653555"/>
      <w:r>
        <w:t>The Role of Gas, Fuel Diversification, and Emissions Targets</w:t>
      </w:r>
      <w:bookmarkEnd w:id="13"/>
    </w:p>
    <w:p w14:paraId="49ECC91A" w14:textId="77777777" w:rsidR="001B59AC" w:rsidRDefault="001B59AC" w:rsidP="001B59AC">
      <w:pPr>
        <w:pStyle w:val="BodyText"/>
      </w:pPr>
      <w:r>
        <w:t>Vietnamese energy policy places continued and growing importance on the role of natural gas in the country’s energy mix, and the development of LNG regasification and LNG-to-power infrastructure has necessarily become a central theme in the country’s Gas Master Plan (GMP), last issued in 2017, and its Power Development Plan (PDP) VII that was issued in 2016.</w:t>
      </w:r>
    </w:p>
    <w:p w14:paraId="1BEBCD94" w14:textId="77777777" w:rsidR="001B59AC" w:rsidRPr="001B0186" w:rsidRDefault="001B59AC" w:rsidP="001B59AC">
      <w:pPr>
        <w:pStyle w:val="BodyText"/>
      </w:pPr>
      <w:bookmarkStart w:id="14" w:name="_Hlk523411198"/>
      <w:r w:rsidRPr="00474803">
        <w:t>Vietnam’s Gas Master Plan</w:t>
      </w:r>
      <w:r>
        <w:t xml:space="preserve"> aims to ensure security of future gas supplies</w:t>
      </w:r>
      <w:r w:rsidRPr="00474803">
        <w:t xml:space="preserve"> </w:t>
      </w:r>
      <w:r>
        <w:t xml:space="preserve">by </w:t>
      </w:r>
      <w:r w:rsidRPr="00474803">
        <w:t>outlin</w:t>
      </w:r>
      <w:r>
        <w:t>ing</w:t>
      </w:r>
      <w:r w:rsidRPr="00474803">
        <w:t xml:space="preserve"> an ambitious plan to further develop domestic gas resources, build LNG terminals and more gas-fired power generation across all regions</w:t>
      </w:r>
      <w:bookmarkEnd w:id="14"/>
      <w:r>
        <w:t xml:space="preserve">.  Indeed, the Gas Master Plan indicates that multiple LNG terminals are required in Vietnam, with plans to import between 1 to 4 billion cubic meters (bcm) of LNG between 2021 and 2025, equating to between 0.7 and 3.0 million tonnes per annum (mtpa).  By 2035, volumes rise significantly to between 4.5 and 7.4 mtpa.  </w:t>
      </w:r>
      <w:r w:rsidRPr="001B0186">
        <w:t xml:space="preserve">Under the </w:t>
      </w:r>
      <w:r>
        <w:t>Gas Master Plan</w:t>
      </w:r>
      <w:r w:rsidRPr="001B0186">
        <w:t xml:space="preserve">, Vietnam </w:t>
      </w:r>
      <w:r>
        <w:t xml:space="preserve">also </w:t>
      </w:r>
      <w:r w:rsidRPr="001B0186">
        <w:t xml:space="preserve">aims to double its gas exploitation output to 21 billion cubic meters by 2035.  The master plan also envisaged an investment of USD 10.6 billion for 2025 and another USD 8.5 billion over the next ten-year period to develop gas pipelines, stations, CNG, LNG plants, and warehouses. </w:t>
      </w:r>
    </w:p>
    <w:p w14:paraId="403A6628" w14:textId="77777777" w:rsidR="001B59AC" w:rsidRDefault="001B59AC" w:rsidP="001B59AC">
      <w:pPr>
        <w:pStyle w:val="BodyText"/>
        <w:rPr>
          <w:highlight w:val="yellow"/>
        </w:rPr>
      </w:pPr>
      <w:r>
        <w:t>In parallel, MOIT’s PDP places significant emphasis on the role of gas in the country’s energy mix over the longer-term, and therein the build-out of new gas-fired capacity.  Whilst coal is expected to continue to provide the mainstay of baseload generation supply, gas-fired capacity is expected to more than double from its current base of 7.4 GW (2017) to 15.1 GW by 2025, by which point it will account for 19.1% of the country’s generation mix.</w:t>
      </w:r>
      <w:r>
        <w:rPr>
          <w:highlight w:val="yellow"/>
        </w:rPr>
        <w:t xml:space="preserve"> </w:t>
      </w:r>
    </w:p>
    <w:p w14:paraId="1B6DD9A3" w14:textId="77777777" w:rsidR="001B59AC" w:rsidRDefault="001B59AC" w:rsidP="001B59AC">
      <w:pPr>
        <w:pStyle w:val="BodyText"/>
      </w:pPr>
      <w:r>
        <w:t>At the same time, Vietnam’s PDPs are increasingly prioritizing</w:t>
      </w:r>
      <w:r w:rsidRPr="001B0186">
        <w:t xml:space="preserve"> the development of renewable energy resources for electricity production</w:t>
      </w:r>
      <w:r>
        <w:t xml:space="preserve">.  PDP VII </w:t>
      </w:r>
      <w:r w:rsidRPr="001B0186">
        <w:t>rais</w:t>
      </w:r>
      <w:r>
        <w:t>es</w:t>
      </w:r>
      <w:r w:rsidRPr="001B0186">
        <w:t xml:space="preserve"> the proportion of </w:t>
      </w:r>
      <w:r>
        <w:t>electricity</w:t>
      </w:r>
      <w:r w:rsidRPr="001B0186">
        <w:t xml:space="preserve"> generated </w:t>
      </w:r>
      <w:r>
        <w:t>from</w:t>
      </w:r>
      <w:r w:rsidRPr="001B0186">
        <w:t xml:space="preserve"> renewable</w:t>
      </w:r>
      <w:r>
        <w:t>s</w:t>
      </w:r>
      <w:r w:rsidRPr="001B0186">
        <w:t xml:space="preserve"> to about 7</w:t>
      </w:r>
      <w:r>
        <w:t xml:space="preserve">% </w:t>
      </w:r>
      <w:r w:rsidRPr="001B0186">
        <w:t>by 2020</w:t>
      </w:r>
      <w:r>
        <w:t>,</w:t>
      </w:r>
      <w:r w:rsidRPr="001B0186">
        <w:t xml:space="preserve"> and over 10</w:t>
      </w:r>
      <w:r>
        <w:t>%</w:t>
      </w:r>
      <w:r w:rsidRPr="001B0186">
        <w:t xml:space="preserve"> by 2030.  </w:t>
      </w:r>
      <w:r>
        <w:t>A key focus here is solar, which represents around half of all planned renewable energy additions by 2030.  Recent impetus here has come in the form of the solar FIT announced by MOIT in April 2017, which will see projects that achieve commercial operations by June 2019 qualify.  The introduction of more renewable energy, such as intermittent solar, into the country’s power mix will also increase the value of gas-fired generation, owing to its dispatch flexibility and more favourable long-run economics when operating at lower levels of dispatch, when compared to coal.</w:t>
      </w:r>
    </w:p>
    <w:p w14:paraId="6042F22B" w14:textId="779D66FD" w:rsidR="001B59AC" w:rsidRPr="003275D5" w:rsidRDefault="001B59AC" w:rsidP="001B59AC">
      <w:pPr>
        <w:pStyle w:val="BodyText"/>
      </w:pPr>
      <w:r>
        <w:lastRenderedPageBreak/>
        <w:t>As part of its commitment to the international climate agreement, Vietnam pledged to unconditionally reduce its 2030 emission by 8</w:t>
      </w:r>
      <w:r w:rsidR="00E56312">
        <w:t xml:space="preserve">% </w:t>
      </w:r>
      <w:r>
        <w:t>relative to business as usual under, while also highlighting that it could contribute to a 25</w:t>
      </w:r>
      <w:r w:rsidR="00E56312">
        <w:t>%</w:t>
      </w:r>
      <w:r>
        <w:t xml:space="preserve"> reduction with international support</w:t>
      </w:r>
      <w:r w:rsidR="00E56312">
        <w:t>.</w:t>
      </w:r>
      <w:r>
        <w:rPr>
          <w:rStyle w:val="FootnoteReference"/>
        </w:rPr>
        <w:footnoteReference w:id="1"/>
      </w:r>
      <w:r>
        <w:t xml:space="preserve">  </w:t>
      </w:r>
    </w:p>
    <w:p w14:paraId="03513F0E" w14:textId="77777777" w:rsidR="001B59AC" w:rsidRDefault="001B59AC" w:rsidP="001B59AC">
      <w:pPr>
        <w:pStyle w:val="Heading3"/>
        <w:numPr>
          <w:ilvl w:val="2"/>
          <w:numId w:val="2"/>
        </w:numPr>
        <w:ind w:left="0" w:hanging="706"/>
      </w:pPr>
      <w:bookmarkStart w:id="15" w:name="_Toc524653556"/>
      <w:r>
        <w:t>Market Liberalization</w:t>
      </w:r>
      <w:bookmarkEnd w:id="15"/>
    </w:p>
    <w:p w14:paraId="089AEAF4" w14:textId="179F5959" w:rsidR="0081175D" w:rsidRDefault="001B59AC" w:rsidP="0081175D">
      <w:pPr>
        <w:pStyle w:val="BodyText"/>
      </w:pPr>
      <w:r>
        <w:t xml:space="preserve">Liberalisation of the power market and the promotion of competition will also provide a solid foundation for the development of an LNG importation regime within Vietnam, not least because it will facilitate transparent and cost reflective price formation. </w:t>
      </w:r>
      <w:r w:rsidR="00E56312">
        <w:t xml:space="preserve"> </w:t>
      </w:r>
      <w:r>
        <w:t xml:space="preserve">Indeed, the country </w:t>
      </w:r>
      <w:bookmarkStart w:id="16" w:name="_Hlk524430576"/>
      <w:r>
        <w:t>has longstanding plans towards implementing a fully competitive power market, a roadmap for which was set out</w:t>
      </w:r>
      <w:r w:rsidRPr="006A03E3">
        <w:t xml:space="preserve"> in the </w:t>
      </w:r>
      <w:r>
        <w:t xml:space="preserve">country’s </w:t>
      </w:r>
      <w:r w:rsidRPr="006A03E3">
        <w:t>Electricity Law</w:t>
      </w:r>
      <w:r>
        <w:t xml:space="preserve"> (2005)</w:t>
      </w:r>
      <w:r w:rsidRPr="006A03E3">
        <w:t xml:space="preserve"> </w:t>
      </w:r>
      <w:r>
        <w:t xml:space="preserve">and which was later </w:t>
      </w:r>
      <w:r w:rsidRPr="006A03E3">
        <w:t xml:space="preserve">updated </w:t>
      </w:r>
      <w:r>
        <w:t>via</w:t>
      </w:r>
      <w:r w:rsidRPr="006A03E3">
        <w:t xml:space="preserve"> a</w:t>
      </w:r>
      <w:r>
        <w:t xml:space="preserve"> </w:t>
      </w:r>
      <w:r w:rsidRPr="006A03E3">
        <w:t>Prime Minister’s Decision</w:t>
      </w:r>
      <w:r>
        <w:t xml:space="preserve"> in 2013</w:t>
      </w:r>
      <w:r w:rsidRPr="006A03E3">
        <w:t xml:space="preserve">.  </w:t>
      </w:r>
      <w:r w:rsidR="0081175D" w:rsidRPr="0081175D">
        <w:t xml:space="preserve">Pursuant to Decision 63, the Vietnam electricity market will be developed according to the </w:t>
      </w:r>
      <w:r w:rsidR="0081175D">
        <w:t xml:space="preserve">roadmap as shown in </w:t>
      </w:r>
      <w:r w:rsidR="0081175D">
        <w:fldChar w:fldCharType="begin"/>
      </w:r>
      <w:r w:rsidR="0081175D">
        <w:instrText xml:space="preserve"> REF _Ref524637787 \h </w:instrText>
      </w:r>
      <w:r w:rsidR="0081175D">
        <w:fldChar w:fldCharType="separate"/>
      </w:r>
      <w:r w:rsidR="006F531A">
        <w:t xml:space="preserve">Figure </w:t>
      </w:r>
      <w:r w:rsidR="006F531A">
        <w:rPr>
          <w:noProof/>
        </w:rPr>
        <w:t>1</w:t>
      </w:r>
      <w:r w:rsidR="0081175D">
        <w:fldChar w:fldCharType="end"/>
      </w:r>
      <w:r w:rsidR="00E56312">
        <w:t>.</w:t>
      </w:r>
      <w:r w:rsidR="0081175D">
        <w:t xml:space="preserve"> </w:t>
      </w:r>
    </w:p>
    <w:p w14:paraId="241C4952" w14:textId="20B43DDB" w:rsidR="0081175D" w:rsidRDefault="0081175D" w:rsidP="0081175D">
      <w:pPr>
        <w:pStyle w:val="Caption"/>
      </w:pPr>
      <w:bookmarkStart w:id="17" w:name="_Ref524637787"/>
      <w:r>
        <w:t xml:space="preserve">Figure </w:t>
      </w:r>
      <w:r>
        <w:fldChar w:fldCharType="begin"/>
      </w:r>
      <w:r>
        <w:instrText xml:space="preserve"> SEQ Figure \* ARABIC </w:instrText>
      </w:r>
      <w:r>
        <w:fldChar w:fldCharType="separate"/>
      </w:r>
      <w:r w:rsidR="006F531A">
        <w:rPr>
          <w:noProof/>
        </w:rPr>
        <w:t>1</w:t>
      </w:r>
      <w:r>
        <w:fldChar w:fldCharType="end"/>
      </w:r>
      <w:bookmarkEnd w:id="17"/>
      <w:r>
        <w:t>: Vietnam Electricity Market Reform Roadmap</w:t>
      </w:r>
    </w:p>
    <w:p w14:paraId="03DA0E69" w14:textId="428E4D0F" w:rsidR="0081175D" w:rsidRDefault="00C036F1" w:rsidP="0081175D">
      <w:pPr>
        <w:pStyle w:val="BodyText"/>
      </w:pPr>
      <w:r w:rsidRPr="00C036F1">
        <w:rPr>
          <w:noProof/>
        </w:rPr>
        <w:drawing>
          <wp:inline distT="0" distB="0" distL="0" distR="0" wp14:anchorId="24948231" wp14:editId="7C23CE9B">
            <wp:extent cx="5071730" cy="19882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88173" cy="1994651"/>
                    </a:xfrm>
                    <a:prstGeom prst="rect">
                      <a:avLst/>
                    </a:prstGeom>
                    <a:noFill/>
                    <a:ln>
                      <a:noFill/>
                    </a:ln>
                  </pic:spPr>
                </pic:pic>
              </a:graphicData>
            </a:graphic>
          </wp:inline>
        </w:drawing>
      </w:r>
    </w:p>
    <w:p w14:paraId="3D231755" w14:textId="7104242A" w:rsidR="00C036F1" w:rsidRDefault="001B59AC" w:rsidP="00D3512E">
      <w:pPr>
        <w:pStyle w:val="BodyText"/>
      </w:pPr>
      <w:r w:rsidRPr="006A03E3">
        <w:t>Vietnam’s</w:t>
      </w:r>
      <w:r>
        <w:t xml:space="preserve"> VCGM is currently in operation, and works by establishing</w:t>
      </w:r>
      <w:r w:rsidRPr="006A03E3">
        <w:t xml:space="preserve"> a uniform wholesale energy</w:t>
      </w:r>
      <w:r>
        <w:t xml:space="preserve"> price across the country.  The VWEM</w:t>
      </w:r>
      <w:r w:rsidR="00C036F1">
        <w:t xml:space="preserve">, which is introduced in 2018 and will become fully operational in 2019, </w:t>
      </w:r>
      <w:r>
        <w:t>will see power</w:t>
      </w:r>
      <w:r w:rsidRPr="006A03E3">
        <w:t xml:space="preserve"> corporations, electricity retailers and large customers become eligible to buy power from generators, electricity wholesalers</w:t>
      </w:r>
      <w:r>
        <w:t>,</w:t>
      </w:r>
      <w:r w:rsidRPr="006A03E3">
        <w:t xml:space="preserve"> and the spot market</w:t>
      </w:r>
      <w:r>
        <w:t xml:space="preserve">, thus ending EVN’s </w:t>
      </w:r>
      <w:r w:rsidR="00C036F1">
        <w:t>centralized</w:t>
      </w:r>
      <w:r w:rsidRPr="006A03E3">
        <w:t xml:space="preserve"> monopoly and single buyer status.</w:t>
      </w:r>
      <w:r>
        <w:t xml:space="preserve">  </w:t>
      </w:r>
      <w:r w:rsidR="00C036F1">
        <w:t>The</w:t>
      </w:r>
      <w:r w:rsidRPr="006A03E3">
        <w:t xml:space="preserve"> </w:t>
      </w:r>
      <w:r w:rsidR="00C036F1">
        <w:t xml:space="preserve">final stage of liberalization will introduce full retail contestability through </w:t>
      </w:r>
      <w:r>
        <w:t>V</w:t>
      </w:r>
      <w:r w:rsidRPr="006A03E3">
        <w:t>RCM</w:t>
      </w:r>
      <w:r w:rsidR="00C036F1">
        <w:t>,</w:t>
      </w:r>
      <w:r w:rsidRPr="006A03E3">
        <w:t xml:space="preserve"> </w:t>
      </w:r>
      <w:r w:rsidR="00C036F1">
        <w:t>expected to be operational</w:t>
      </w:r>
      <w:r>
        <w:t xml:space="preserve"> around 2023-2025</w:t>
      </w:r>
      <w:r w:rsidR="00E56312">
        <w:t>.</w:t>
      </w:r>
    </w:p>
    <w:p w14:paraId="512332CF" w14:textId="7398B4E3" w:rsidR="00C036F1" w:rsidRDefault="00D3512E" w:rsidP="00D3512E">
      <w:pPr>
        <w:pStyle w:val="BodyText"/>
      </w:pPr>
      <w:r>
        <w:rPr>
          <w:lang w:val="en-US"/>
        </w:rPr>
        <w:t xml:space="preserve">Invariably, </w:t>
      </w:r>
      <w:r w:rsidR="00C036F1">
        <w:rPr>
          <w:lang w:val="en-US"/>
        </w:rPr>
        <w:t>Decision 63</w:t>
      </w:r>
      <w:r w:rsidR="008D7E0B">
        <w:rPr>
          <w:lang w:val="en-US"/>
        </w:rPr>
        <w:t xml:space="preserve"> will have a</w:t>
      </w:r>
      <w:r>
        <w:rPr>
          <w:lang w:val="en-US"/>
        </w:rPr>
        <w:t xml:space="preserve"> material influence on the ways new LNG-to-power business models may emerge in the future.  </w:t>
      </w:r>
      <w:r>
        <w:t>International</w:t>
      </w:r>
      <w:r w:rsidRPr="00CB2442">
        <w:t xml:space="preserve"> experience suggests that electricity market </w:t>
      </w:r>
      <w:r>
        <w:t xml:space="preserve">rules and commercial </w:t>
      </w:r>
      <w:r w:rsidRPr="00CB2442">
        <w:t xml:space="preserve">arrangements must be adapted to meet the unique set </w:t>
      </w:r>
      <w:r>
        <w:t>LNG-to-power monetization criteria</w:t>
      </w:r>
      <w:r w:rsidR="00E56312">
        <w:t>.</w:t>
      </w:r>
      <w:r w:rsidR="008D7E0B">
        <w:rPr>
          <w:rStyle w:val="FootnoteReference"/>
        </w:rPr>
        <w:footnoteReference w:id="2"/>
      </w:r>
      <w:r>
        <w:t xml:space="preserve"> </w:t>
      </w:r>
    </w:p>
    <w:p w14:paraId="49D5E69C" w14:textId="412CBD36" w:rsidR="00D3512E" w:rsidRDefault="00C036F1" w:rsidP="00D3512E">
      <w:pPr>
        <w:pStyle w:val="BodyText"/>
      </w:pPr>
      <w:r>
        <w:lastRenderedPageBreak/>
        <w:t>Therefore, i</w:t>
      </w:r>
      <w:r w:rsidR="00D3512E">
        <w:t xml:space="preserve">t is important that the transition toward a competitive electricity market structure in Vietnam is understood, such that there are no misguided expectations with regards to pricing and potential distortions, which usually imply commitment to </w:t>
      </w:r>
      <w:r w:rsidR="00E56312">
        <w:t xml:space="preserve">a </w:t>
      </w:r>
      <w:r w:rsidR="00D3512E">
        <w:t xml:space="preserve">true market-based and competitive pricing regime before the pre-requisites for reforms are </w:t>
      </w:r>
      <w:r w:rsidR="00D3512E" w:rsidRPr="009006A2">
        <w:t xml:space="preserve">ready. </w:t>
      </w:r>
      <w:r w:rsidR="00E56312">
        <w:t xml:space="preserve"> </w:t>
      </w:r>
      <w:r w:rsidR="00D3512E">
        <w:t xml:space="preserve">This </w:t>
      </w:r>
      <w:r w:rsidR="003402FB">
        <w:t xml:space="preserve">will </w:t>
      </w:r>
      <w:r w:rsidR="00D3512E">
        <w:t xml:space="preserve">have deep and lasting implications to </w:t>
      </w:r>
      <w:r w:rsidR="003402FB">
        <w:t xml:space="preserve">success of </w:t>
      </w:r>
      <w:r w:rsidR="00D3512E">
        <w:t xml:space="preserve">LNG </w:t>
      </w:r>
      <w:r w:rsidR="003402FB">
        <w:t>importation into</w:t>
      </w:r>
      <w:r w:rsidR="00D3512E">
        <w:t xml:space="preserve"> Vietnam. </w:t>
      </w:r>
      <w:r w:rsidR="00E56312">
        <w:t xml:space="preserve"> </w:t>
      </w:r>
      <w:r w:rsidR="00D3512E">
        <w:t xml:space="preserve">We recommend </w:t>
      </w:r>
      <w:r w:rsidR="003402FB">
        <w:t>future</w:t>
      </w:r>
      <w:r w:rsidR="00D3512E">
        <w:t xml:space="preserve"> market rules development for</w:t>
      </w:r>
      <w:r>
        <w:t xml:space="preserve"> VCGM and VWEM </w:t>
      </w:r>
      <w:r w:rsidR="003402FB">
        <w:t>to be</w:t>
      </w:r>
      <w:r>
        <w:t xml:space="preserve"> </w:t>
      </w:r>
      <w:r w:rsidR="003402FB">
        <w:t>undertaken consistently in alignment with Vietnam’s LNG development plans and models.</w:t>
      </w:r>
    </w:p>
    <w:p w14:paraId="476362CA" w14:textId="77777777" w:rsidR="001B59AC" w:rsidRDefault="001B59AC" w:rsidP="001B59AC">
      <w:pPr>
        <w:pStyle w:val="Heading2"/>
        <w:numPr>
          <w:ilvl w:val="1"/>
          <w:numId w:val="2"/>
        </w:numPr>
        <w:ind w:left="0" w:hanging="706"/>
      </w:pPr>
      <w:bookmarkStart w:id="18" w:name="_Toc524653557"/>
      <w:bookmarkEnd w:id="16"/>
      <w:r>
        <w:t>Quantifying the gas supply gap</w:t>
      </w:r>
      <w:bookmarkEnd w:id="18"/>
    </w:p>
    <w:p w14:paraId="4AD1B686" w14:textId="77777777" w:rsidR="001B59AC" w:rsidRDefault="001B59AC" w:rsidP="001B59AC">
      <w:pPr>
        <w:pStyle w:val="BodyText"/>
      </w:pPr>
      <w:r>
        <w:t>In order to better understand the future role of LNG importation, it is important to first assess the context of current domestic gas production upon which Vietnam relies.</w:t>
      </w:r>
    </w:p>
    <w:p w14:paraId="5E1D9714" w14:textId="77777777" w:rsidR="00B20DF7" w:rsidRDefault="001B59AC" w:rsidP="001B59AC">
      <w:pPr>
        <w:pStyle w:val="BodyText"/>
      </w:pPr>
      <w:r>
        <w:t>Presently, Vietnam sources g</w:t>
      </w:r>
      <w:r w:rsidRPr="00D66509">
        <w:t xml:space="preserve">as </w:t>
      </w:r>
      <w:r>
        <w:t xml:space="preserve">from domestic fields that are </w:t>
      </w:r>
      <w:r w:rsidRPr="00D66509">
        <w:t>primarily</w:t>
      </w:r>
      <w:r>
        <w:t xml:space="preserve"> located in</w:t>
      </w:r>
      <w:r w:rsidRPr="00D66509">
        <w:t xml:space="preserve"> three offshore basins in the south</w:t>
      </w:r>
      <w:r>
        <w:t xml:space="preserve">, namely </w:t>
      </w:r>
      <w:r w:rsidRPr="00D66509">
        <w:t>Cuu Long</w:t>
      </w:r>
      <w:r>
        <w:t>,</w:t>
      </w:r>
      <w:r w:rsidRPr="00D66509">
        <w:t xml:space="preserve"> Nam Con Son</w:t>
      </w:r>
      <w:r>
        <w:t>,</w:t>
      </w:r>
      <w:r w:rsidRPr="00D66509">
        <w:t xml:space="preserve"> and Malay-Tho Chu</w:t>
      </w:r>
      <w:r>
        <w:t xml:space="preserve">.  </w:t>
      </w:r>
      <w:r w:rsidRPr="00C923DD">
        <w:t>In the medium</w:t>
      </w:r>
      <w:r>
        <w:t>-</w:t>
      </w:r>
      <w:r w:rsidRPr="00C923DD">
        <w:t>term, the</w:t>
      </w:r>
      <w:r>
        <w:t xml:space="preserve"> country’s</w:t>
      </w:r>
      <w:r w:rsidRPr="00C923DD">
        <w:t xml:space="preserve"> current domestic gas options will remain prominent in the central and southwest regions of </w:t>
      </w:r>
      <w:r>
        <w:t>the country</w:t>
      </w:r>
      <w:r w:rsidRPr="00C923DD">
        <w:t>,</w:t>
      </w:r>
      <w:r>
        <w:t xml:space="preserve"> due to the</w:t>
      </w:r>
      <w:r w:rsidRPr="00C923DD">
        <w:t xml:space="preserve"> proposed commercialization of larger-scale gas discoveries</w:t>
      </w:r>
      <w:r>
        <w:t xml:space="preserve"> </w:t>
      </w:r>
      <w:r w:rsidRPr="00C923DD">
        <w:t>tied to new power and/or petrochemical gas offtakers.</w:t>
      </w:r>
      <w:r>
        <w:t xml:space="preserve">  These include opportunities in the Central region linked to the Ca Voi Xanh (CVX) basin, as well as large gas supply development being undertaken in Block B in the Southern region – supported by existing and planned gas-fired generation and well as </w:t>
      </w:r>
      <w:r w:rsidR="00B20DF7">
        <w:t>growth in</w:t>
      </w:r>
      <w:r>
        <w:t xml:space="preserve"> industrial demand.  </w:t>
      </w:r>
    </w:p>
    <w:p w14:paraId="6A541608" w14:textId="72BFF55D" w:rsidR="001B59AC" w:rsidRDefault="001B59AC" w:rsidP="001B59AC">
      <w:pPr>
        <w:pStyle w:val="BodyText"/>
      </w:pPr>
      <w:r>
        <w:t>However, whilst new fields are expected to come online in the near-term, notably Block B in 2021 and CVX in 2023, domestic gas production is expected to peak in 2026 at around 2,286 mmscfd, necessitating the importation of LNG to meet continued demand growth (</w:t>
      </w:r>
      <w:r>
        <w:fldChar w:fldCharType="begin"/>
      </w:r>
      <w:r>
        <w:instrText xml:space="preserve"> REF _Ref520851664 \h </w:instrText>
      </w:r>
      <w:r>
        <w:fldChar w:fldCharType="separate"/>
      </w:r>
      <w:r w:rsidR="006F531A">
        <w:t xml:space="preserve">Figure </w:t>
      </w:r>
      <w:r w:rsidR="006F531A">
        <w:rPr>
          <w:noProof/>
        </w:rPr>
        <w:t>2</w:t>
      </w:r>
      <w:r>
        <w:fldChar w:fldCharType="end"/>
      </w:r>
      <w:r>
        <w:t>).</w:t>
      </w:r>
    </w:p>
    <w:p w14:paraId="36DE2B91" w14:textId="3C4DE92F" w:rsidR="001B59AC" w:rsidRDefault="001B59AC" w:rsidP="001B59AC">
      <w:pPr>
        <w:pStyle w:val="Caption"/>
      </w:pPr>
      <w:bookmarkStart w:id="19" w:name="_Ref520851664"/>
      <w:bookmarkStart w:id="20" w:name="_Toc520854371"/>
      <w:r>
        <w:t xml:space="preserve">Figure </w:t>
      </w:r>
      <w:r>
        <w:fldChar w:fldCharType="begin"/>
      </w:r>
      <w:r>
        <w:instrText xml:space="preserve"> SEQ Figure \* ARABIC </w:instrText>
      </w:r>
      <w:r>
        <w:fldChar w:fldCharType="separate"/>
      </w:r>
      <w:r w:rsidR="006F531A">
        <w:rPr>
          <w:noProof/>
        </w:rPr>
        <w:t>2</w:t>
      </w:r>
      <w:r>
        <w:fldChar w:fldCharType="end"/>
      </w:r>
      <w:bookmarkEnd w:id="19"/>
      <w:r>
        <w:t xml:space="preserve"> – Forecast of Domestic Gas Production and the Future Supply Gap (mmscfd)</w:t>
      </w:r>
      <w:bookmarkEnd w:id="20"/>
    </w:p>
    <w:p w14:paraId="043A1A6B" w14:textId="77777777" w:rsidR="001B59AC" w:rsidRDefault="001B59AC" w:rsidP="001B59AC">
      <w:pPr>
        <w:pStyle w:val="BodyText"/>
      </w:pPr>
      <w:r>
        <w:rPr>
          <w:noProof/>
        </w:rPr>
        <w:drawing>
          <wp:inline distT="0" distB="0" distL="0" distR="0" wp14:anchorId="4BEA51A8" wp14:editId="774B76DD">
            <wp:extent cx="5530412" cy="2583711"/>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53618" cy="2594552"/>
                    </a:xfrm>
                    <a:prstGeom prst="rect">
                      <a:avLst/>
                    </a:prstGeom>
                    <a:noFill/>
                  </pic:spPr>
                </pic:pic>
              </a:graphicData>
            </a:graphic>
          </wp:inline>
        </w:drawing>
      </w:r>
    </w:p>
    <w:p w14:paraId="44142BF3" w14:textId="77777777" w:rsidR="001B59AC" w:rsidRPr="00436C4A" w:rsidRDefault="001B59AC" w:rsidP="001B59AC">
      <w:pPr>
        <w:pStyle w:val="BodyText"/>
        <w:rPr>
          <w:sz w:val="16"/>
        </w:rPr>
      </w:pPr>
      <w:r w:rsidRPr="00436C4A">
        <w:rPr>
          <w:sz w:val="16"/>
        </w:rPr>
        <w:t>Source: PVN</w:t>
      </w:r>
      <w:r>
        <w:rPr>
          <w:sz w:val="16"/>
        </w:rPr>
        <w:t xml:space="preserve">; TLG modelling.  </w:t>
      </w:r>
      <w:r w:rsidRPr="005F50FA">
        <w:rPr>
          <w:i/>
          <w:sz w:val="16"/>
        </w:rPr>
        <w:t xml:space="preserve">Note: </w:t>
      </w:r>
      <w:r>
        <w:rPr>
          <w:i/>
          <w:sz w:val="16"/>
        </w:rPr>
        <w:t>Gas demand</w:t>
      </w:r>
      <w:r w:rsidRPr="005F50FA">
        <w:rPr>
          <w:i/>
          <w:sz w:val="16"/>
        </w:rPr>
        <w:t xml:space="preserve"> includes power and non-power</w:t>
      </w:r>
    </w:p>
    <w:p w14:paraId="54E6E224" w14:textId="6C638C84" w:rsidR="001B59AC" w:rsidRDefault="001B59AC" w:rsidP="001B59AC">
      <w:pPr>
        <w:pStyle w:val="BodyText"/>
        <w:rPr>
          <w:lang w:eastAsia="zh-TW"/>
        </w:rPr>
      </w:pPr>
      <w:r>
        <w:lastRenderedPageBreak/>
        <w:t>Given the significant gas supply gap envisaged over the medium to long-term, it</w:t>
      </w:r>
      <w:r>
        <w:rPr>
          <w:lang w:eastAsia="zh-TW"/>
        </w:rPr>
        <w:t xml:space="preserve"> is clear therefore that the</w:t>
      </w:r>
      <w:r w:rsidRPr="0041480A">
        <w:rPr>
          <w:lang w:eastAsia="zh-TW"/>
        </w:rPr>
        <w:t xml:space="preserve"> Vietnamese energy sector</w:t>
      </w:r>
      <w:r>
        <w:rPr>
          <w:lang w:eastAsia="zh-TW"/>
        </w:rPr>
        <w:t xml:space="preserve"> </w:t>
      </w:r>
      <w:r w:rsidRPr="0041480A">
        <w:rPr>
          <w:lang w:eastAsia="zh-TW"/>
        </w:rPr>
        <w:t xml:space="preserve">faces </w:t>
      </w:r>
      <w:r>
        <w:rPr>
          <w:lang w:eastAsia="zh-TW"/>
        </w:rPr>
        <w:t>difficult</w:t>
      </w:r>
      <w:r w:rsidRPr="0041480A">
        <w:rPr>
          <w:lang w:eastAsia="zh-TW"/>
        </w:rPr>
        <w:t xml:space="preserve"> challenges to </w:t>
      </w:r>
      <w:r>
        <w:rPr>
          <w:lang w:eastAsia="zh-TW"/>
        </w:rPr>
        <w:t>deliver</w:t>
      </w:r>
      <w:r w:rsidRPr="0041480A">
        <w:rPr>
          <w:lang w:eastAsia="zh-TW"/>
        </w:rPr>
        <w:t xml:space="preserve"> a reliable, secure</w:t>
      </w:r>
      <w:r>
        <w:rPr>
          <w:lang w:eastAsia="zh-TW"/>
        </w:rPr>
        <w:t xml:space="preserve"> and cost-effective</w:t>
      </w:r>
      <w:r w:rsidRPr="0041480A">
        <w:rPr>
          <w:lang w:eastAsia="zh-TW"/>
        </w:rPr>
        <w:t xml:space="preserve"> fuel suppl</w:t>
      </w:r>
      <w:r>
        <w:rPr>
          <w:lang w:eastAsia="zh-TW"/>
        </w:rPr>
        <w:t>y,</w:t>
      </w:r>
      <w:r w:rsidRPr="0041480A">
        <w:rPr>
          <w:lang w:eastAsia="zh-TW"/>
        </w:rPr>
        <w:t xml:space="preserve"> </w:t>
      </w:r>
      <w:r>
        <w:rPr>
          <w:lang w:eastAsia="zh-TW"/>
        </w:rPr>
        <w:t xml:space="preserve">along with attracting investment for </w:t>
      </w:r>
      <w:r w:rsidRPr="0041480A">
        <w:rPr>
          <w:lang w:eastAsia="zh-TW"/>
        </w:rPr>
        <w:t xml:space="preserve">new </w:t>
      </w:r>
      <w:r>
        <w:rPr>
          <w:lang w:eastAsia="zh-TW"/>
        </w:rPr>
        <w:t>infrastructure</w:t>
      </w:r>
      <w:r w:rsidRPr="0041480A">
        <w:rPr>
          <w:lang w:eastAsia="zh-TW"/>
        </w:rPr>
        <w:t xml:space="preserve"> </w:t>
      </w:r>
      <w:r>
        <w:rPr>
          <w:lang w:eastAsia="zh-TW"/>
        </w:rPr>
        <w:t>to meet rapidly growing power demand</w:t>
      </w:r>
      <w:r w:rsidR="00B20DF7">
        <w:rPr>
          <w:lang w:eastAsia="zh-TW"/>
        </w:rPr>
        <w:t xml:space="preserve"> and supply gap</w:t>
      </w:r>
      <w:r w:rsidR="00B20DF7">
        <w:rPr>
          <w:rStyle w:val="FootnoteReference"/>
          <w:lang w:eastAsia="zh-TW"/>
        </w:rPr>
        <w:footnoteReference w:id="3"/>
      </w:r>
      <w:r w:rsidR="00B20DF7">
        <w:rPr>
          <w:lang w:eastAsia="zh-TW"/>
        </w:rPr>
        <w:t>, particularly in the Southeast and Southwest region</w:t>
      </w:r>
      <w:r w:rsidR="00E56312">
        <w:rPr>
          <w:lang w:eastAsia="zh-TW"/>
        </w:rPr>
        <w:t>s</w:t>
      </w:r>
      <w:r>
        <w:rPr>
          <w:lang w:eastAsia="zh-TW"/>
        </w:rPr>
        <w:t>.</w:t>
      </w:r>
    </w:p>
    <w:p w14:paraId="387E6941" w14:textId="58CBF86D" w:rsidR="001B59AC" w:rsidRDefault="001B59AC" w:rsidP="001B59AC">
      <w:pPr>
        <w:pStyle w:val="BodyText"/>
      </w:pPr>
      <w:r>
        <w:rPr>
          <w:lang w:eastAsia="zh-TW"/>
        </w:rPr>
        <w:t xml:space="preserve">While </w:t>
      </w:r>
      <w:r>
        <w:t xml:space="preserve">we </w:t>
      </w:r>
      <w:r w:rsidRPr="0025477F">
        <w:t xml:space="preserve">recognize </w:t>
      </w:r>
      <w:r>
        <w:t xml:space="preserve">the prominence of </w:t>
      </w:r>
      <w:r w:rsidRPr="0025477F">
        <w:t>coal</w:t>
      </w:r>
      <w:r>
        <w:t xml:space="preserve"> in the power sector</w:t>
      </w:r>
      <w:r w:rsidRPr="0025477F">
        <w:t xml:space="preserve">, </w:t>
      </w:r>
      <w:r>
        <w:t xml:space="preserve">we also </w:t>
      </w:r>
      <w:r w:rsidRPr="0025477F">
        <w:t xml:space="preserve">anticipate </w:t>
      </w:r>
      <w:r>
        <w:t>the growing</w:t>
      </w:r>
      <w:r w:rsidRPr="0025477F">
        <w:t xml:space="preserve"> </w:t>
      </w:r>
      <w:r>
        <w:t xml:space="preserve">importance of the role of gas in Vietnam’s future energy mix.  Consistent with the latest official Power Development Plan VII Update (2016) and the objectives of the Gas Master Plan (2017), liquefied natural gas (LNG) imports will be </w:t>
      </w:r>
      <w:r w:rsidR="00B20DF7">
        <w:t>relied on</w:t>
      </w:r>
      <w:r>
        <w:t xml:space="preserve"> to supplement depleting upstream gas resource and contribute towards Vietnam’s overall energy security and fuel diversification strategy.  </w:t>
      </w:r>
    </w:p>
    <w:p w14:paraId="6498A4D9" w14:textId="77777777" w:rsidR="001B59AC" w:rsidRDefault="001B59AC" w:rsidP="001B59AC">
      <w:pPr>
        <w:pStyle w:val="Heading2"/>
        <w:numPr>
          <w:ilvl w:val="1"/>
          <w:numId w:val="2"/>
        </w:numPr>
        <w:ind w:left="0" w:hanging="706"/>
      </w:pPr>
      <w:bookmarkStart w:id="21" w:name="_Toc524653558"/>
      <w:r>
        <w:t>Confirmation of LNG volumes required based on TLG modelling</w:t>
      </w:r>
      <w:bookmarkEnd w:id="21"/>
    </w:p>
    <w:p w14:paraId="4EF9088D" w14:textId="5C98D371" w:rsidR="001B59AC" w:rsidRPr="009E1B5F" w:rsidRDefault="001B59AC" w:rsidP="001B59AC">
      <w:pPr>
        <w:pStyle w:val="BodyText"/>
      </w:pPr>
      <w:r w:rsidRPr="00E241C9">
        <w:t>TLG market modelling, which assesses the least cost development of the Vietnam’s power</w:t>
      </w:r>
      <w:r w:rsidRPr="0014777B">
        <w:t xml:space="preserve"> system from an economic standpoint, confirms </w:t>
      </w:r>
      <w:r w:rsidRPr="009E1B5F">
        <w:t>the need for both new domestic gas and LNG importation in order to serve both existing and new gas-fired capacity.  In doing so</w:t>
      </w:r>
      <w:r w:rsidR="00E56312">
        <w:t>, our modelling</w:t>
      </w:r>
      <w:r w:rsidRPr="009E1B5F">
        <w:t xml:space="preserve"> has highlighted that </w:t>
      </w:r>
      <w:r w:rsidR="00A136AF">
        <w:t xml:space="preserve">flexible </w:t>
      </w:r>
      <w:r w:rsidRPr="009E1B5F">
        <w:t>LNG consumption within the power sector can deliver total system least cost to Vietnam</w:t>
      </w:r>
      <w:r w:rsidR="00E56312">
        <w:t>.</w:t>
      </w:r>
    </w:p>
    <w:p w14:paraId="42C9DC65" w14:textId="654AD4D1" w:rsidR="001B59AC" w:rsidRPr="00841B17" w:rsidRDefault="001B59AC" w:rsidP="001B59AC">
      <w:pPr>
        <w:pStyle w:val="BodyText"/>
      </w:pPr>
      <w:r>
        <w:t>Indeed, minimum</w:t>
      </w:r>
      <w:r w:rsidRPr="009A43A1">
        <w:t xml:space="preserve"> LNG demand</w:t>
      </w:r>
      <w:r>
        <w:t xml:space="preserve"> is expected to be robust going forward</w:t>
      </w:r>
      <w:r w:rsidRPr="009A43A1">
        <w:t xml:space="preserve">, </w:t>
      </w:r>
      <w:r>
        <w:t>and</w:t>
      </w:r>
      <w:r w:rsidRPr="009A43A1">
        <w:t xml:space="preserve"> </w:t>
      </w:r>
      <w:r w:rsidR="00E56312">
        <w:t xml:space="preserve">there is </w:t>
      </w:r>
      <w:r w:rsidR="00553F31">
        <w:t xml:space="preserve">upside </w:t>
      </w:r>
      <w:r w:rsidRPr="009A43A1">
        <w:t>potential</w:t>
      </w:r>
      <w:r w:rsidR="00E56312">
        <w:t xml:space="preserve"> for this</w:t>
      </w:r>
      <w:r w:rsidRPr="009A43A1">
        <w:t xml:space="preserve"> to </w:t>
      </w:r>
      <w:r w:rsidR="00553F31">
        <w:t>increase</w:t>
      </w:r>
      <w:r w:rsidRPr="009A43A1">
        <w:t xml:space="preserve"> under favourable conditions</w:t>
      </w:r>
      <w:r>
        <w:t xml:space="preserve"> (for example, higher </w:t>
      </w:r>
      <w:r w:rsidR="00553F31">
        <w:t xml:space="preserve">power </w:t>
      </w:r>
      <w:r>
        <w:t>demand</w:t>
      </w:r>
      <w:r w:rsidR="00553F31">
        <w:t>,</w:t>
      </w:r>
      <w:r>
        <w:t xml:space="preserve"> more </w:t>
      </w:r>
      <w:r w:rsidR="00F14465">
        <w:t>combine cycle gas turbine (</w:t>
      </w:r>
      <w:r>
        <w:t>CCGT</w:t>
      </w:r>
      <w:r w:rsidR="00F14465">
        <w:t>)</w:t>
      </w:r>
      <w:r>
        <w:t xml:space="preserve"> entry</w:t>
      </w:r>
      <w:r w:rsidR="00553F31">
        <w:t xml:space="preserve"> supported by gas switching</w:t>
      </w:r>
      <w:r>
        <w:t>, and/or lower cost LNG supply)</w:t>
      </w:r>
      <w:r w:rsidRPr="009A43A1">
        <w:t>.</w:t>
      </w:r>
      <w:r>
        <w:t xml:space="preserve"> </w:t>
      </w:r>
      <w:r w:rsidRPr="009A43A1">
        <w:t xml:space="preserve"> </w:t>
      </w:r>
      <w:r w:rsidRPr="00841B17">
        <w:fldChar w:fldCharType="begin"/>
      </w:r>
      <w:r w:rsidRPr="00841B17">
        <w:instrText xml:space="preserve"> REF _Ref524522339 \h  \* MERGEFORMAT </w:instrText>
      </w:r>
      <w:r w:rsidRPr="00841B17">
        <w:fldChar w:fldCharType="separate"/>
      </w:r>
      <w:r w:rsidR="006F531A" w:rsidRPr="00C3322B">
        <w:t xml:space="preserve">Figure </w:t>
      </w:r>
      <w:r w:rsidR="006F531A">
        <w:rPr>
          <w:noProof/>
        </w:rPr>
        <w:t>3</w:t>
      </w:r>
      <w:r w:rsidRPr="00841B17">
        <w:fldChar w:fldCharType="end"/>
      </w:r>
      <w:r w:rsidRPr="00841B17">
        <w:t xml:space="preserve"> highlights</w:t>
      </w:r>
      <w:r w:rsidR="00E56312">
        <w:t xml:space="preserve"> the</w:t>
      </w:r>
      <w:r w:rsidRPr="00841B17">
        <w:t xml:space="preserve"> modelled projections for future LNG demand </w:t>
      </w:r>
      <w:r w:rsidR="00553F31">
        <w:t xml:space="preserve">in Vietnam, </w:t>
      </w:r>
      <w:r w:rsidRPr="00841B17">
        <w:t xml:space="preserve">and illustrates that the Gas Master Plan’s upper target of 970 mmscfd for the 2026-2035 period is surpassed by our basecase LNG demand by 2027.  In </w:t>
      </w:r>
      <w:r>
        <w:t>the modelled low case, demand for LNG still reaches the top end of the Gas Master Plan’s 970 mmscfd ceiling by 2029.  Conversely, under the modelled high case which features a higher demand growth assumption</w:t>
      </w:r>
      <w:r w:rsidR="00553F31">
        <w:t xml:space="preserve"> with </w:t>
      </w:r>
      <w:r>
        <w:t xml:space="preserve">more CCGT entry and lower LNG prices – LNG demand is expected to reach close to 6,000 mmscfd.  </w:t>
      </w:r>
    </w:p>
    <w:p w14:paraId="5518D9FE" w14:textId="763A46AD" w:rsidR="001B59AC" w:rsidRDefault="001B59AC" w:rsidP="001B59AC">
      <w:pPr>
        <w:pStyle w:val="Caption"/>
      </w:pPr>
      <w:bookmarkStart w:id="22" w:name="_Ref524522339"/>
      <w:bookmarkStart w:id="23" w:name="_Ref520852310"/>
      <w:bookmarkStart w:id="24" w:name="_Toc520854372"/>
      <w:r w:rsidRPr="00C3322B">
        <w:lastRenderedPageBreak/>
        <w:t xml:space="preserve">Figure </w:t>
      </w:r>
      <w:r w:rsidRPr="00C3322B">
        <w:fldChar w:fldCharType="begin"/>
      </w:r>
      <w:r w:rsidRPr="00C3322B">
        <w:instrText xml:space="preserve"> SEQ Figure \* ARABIC </w:instrText>
      </w:r>
      <w:r w:rsidRPr="00C3322B">
        <w:fldChar w:fldCharType="separate"/>
      </w:r>
      <w:r w:rsidR="006F531A">
        <w:rPr>
          <w:noProof/>
        </w:rPr>
        <w:t>3</w:t>
      </w:r>
      <w:r w:rsidRPr="00C3322B">
        <w:fldChar w:fldCharType="end"/>
      </w:r>
      <w:bookmarkEnd w:id="22"/>
      <w:bookmarkEnd w:id="23"/>
      <w:r w:rsidRPr="00C3322B">
        <w:t xml:space="preserve"> - Modelled LNG demand</w:t>
      </w:r>
      <w:r w:rsidRPr="00C3322B">
        <w:rPr>
          <w:noProof/>
        </w:rPr>
        <w:t xml:space="preserve"> projections under various scenarios (mmscfd)</w:t>
      </w:r>
      <w:bookmarkEnd w:id="24"/>
    </w:p>
    <w:p w14:paraId="356FD42B" w14:textId="6923DA71" w:rsidR="001B59AC" w:rsidRDefault="00553F31" w:rsidP="001B59AC">
      <w:pPr>
        <w:pStyle w:val="BodyText"/>
      </w:pPr>
      <w:r>
        <w:rPr>
          <w:noProof/>
        </w:rPr>
        <mc:AlternateContent>
          <mc:Choice Requires="wps">
            <w:drawing>
              <wp:anchor distT="45720" distB="45720" distL="114300" distR="114300" simplePos="0" relativeHeight="251659264" behindDoc="0" locked="0" layoutInCell="1" allowOverlap="1" wp14:anchorId="113EB0F8" wp14:editId="2469E4B2">
                <wp:simplePos x="0" y="0"/>
                <wp:positionH relativeFrom="column">
                  <wp:posOffset>3221355</wp:posOffset>
                </wp:positionH>
                <wp:positionV relativeFrom="paragraph">
                  <wp:posOffset>464820</wp:posOffset>
                </wp:positionV>
                <wp:extent cx="2603500" cy="1404620"/>
                <wp:effectExtent l="0" t="0" r="635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1404620"/>
                        </a:xfrm>
                        <a:prstGeom prst="rect">
                          <a:avLst/>
                        </a:prstGeom>
                        <a:solidFill>
                          <a:srgbClr val="FFFFFF"/>
                        </a:solidFill>
                        <a:ln w="9525">
                          <a:noFill/>
                          <a:miter lim="800000"/>
                          <a:headEnd/>
                          <a:tailEnd/>
                        </a:ln>
                      </wps:spPr>
                      <wps:txbx>
                        <w:txbxContent>
                          <w:p w14:paraId="6DC6694C" w14:textId="10506E4A" w:rsidR="00B16DAD" w:rsidRPr="00553F31" w:rsidRDefault="00B16DAD" w:rsidP="00553F31">
                            <w:pPr>
                              <w:spacing w:before="0" w:after="0" w:line="240" w:lineRule="auto"/>
                              <w:rPr>
                                <w:i/>
                                <w:sz w:val="12"/>
                              </w:rPr>
                            </w:pPr>
                            <w:r w:rsidRPr="00553F31">
                              <w:rPr>
                                <w:i/>
                                <w:sz w:val="12"/>
                              </w:rPr>
                              <w:t>Our assessment of LNG demand from electricity generation in Vietnam is underpinned by market modelling using an in-house proprietary tool known as QUAFU.  QUAFU is an integrated least-cost and bidding-based generation dispatch modelling tool that incorporates state-of-the-art optimisation theory grounded in proven techniques.  The model dispatches plants to meet demand on a least cost basis, by considering their short-run marginal costs (SRMC).  The model also builds new capacity to meet future demand growth in order to minimize Long Run Marginal Cost (LRMC), and as such accounts for average utilisation and capital cost, in addition to short run costs.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3EB0F8" id="_x0000_t202" coordsize="21600,21600" o:spt="202" path="m,l,21600r21600,l21600,xe">
                <v:stroke joinstyle="miter"/>
                <v:path gradientshapeok="t" o:connecttype="rect"/>
              </v:shapetype>
              <v:shape id="Text Box 2" o:spid="_x0000_s1026" type="#_x0000_t202" style="position:absolute;margin-left:253.65pt;margin-top:36.6pt;width:20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" stroked="f">
                <v:textbox style="mso-fit-shape-to-text:t">
                  <w:txbxContent>
                    <w:p w14:paraId="6DC6694C" w14:textId="10506E4A" w:rsidR="00B16DAD" w:rsidRPr="00553F31" w:rsidRDefault="00B16DAD" w:rsidP="00553F31">
                      <w:pPr>
                        <w:spacing w:before="0" w:after="0" w:line="240" w:lineRule="auto"/>
                        <w:rPr>
                          <w:i/>
                          <w:sz w:val="12"/>
                        </w:rPr>
                      </w:pPr>
                      <w:r w:rsidRPr="00553F31">
                        <w:rPr>
                          <w:i/>
                          <w:sz w:val="12"/>
                        </w:rPr>
                        <w:t>Our assessment of LNG demand from electricity generation in Vietnam is underpinned by market modelling using an in-house proprietary tool known as QUAFU.  QUAFU is an integrated least-cost and bidding-based generation dispatch modelling tool that incorporates state-of-the-art optimisation theory grounded in proven techniques.  The model dispatches plants to meet demand on a least cost basis, by considering their short-run marginal costs (SRMC).  The model also builds new capacity to meet future demand growth in order to minimize Long Run Marginal Cost (LRMC), and as such accounts for average utilisation and capital cost, in addition to short run costs.</w:t>
                      </w:r>
                    </w:p>
                  </w:txbxContent>
                </v:textbox>
              </v:shape>
            </w:pict>
          </mc:Fallback>
        </mc:AlternateContent>
      </w:r>
      <w:r w:rsidR="001B59AC" w:rsidRPr="004C7B92">
        <w:rPr>
          <w:noProof/>
          <w:lang w:val="en-US" w:eastAsia="en-US"/>
        </w:rPr>
        <w:drawing>
          <wp:inline distT="0" distB="0" distL="0" distR="0" wp14:anchorId="251BFE83" wp14:editId="02A99A49">
            <wp:extent cx="4305300" cy="228318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0717" b="10997"/>
                    <a:stretch/>
                  </pic:blipFill>
                  <pic:spPr bwMode="auto">
                    <a:xfrm>
                      <a:off x="0" y="0"/>
                      <a:ext cx="4312459" cy="2286984"/>
                    </a:xfrm>
                    <a:prstGeom prst="rect">
                      <a:avLst/>
                    </a:prstGeom>
                    <a:noFill/>
                    <a:ln>
                      <a:noFill/>
                    </a:ln>
                    <a:extLst>
                      <a:ext uri="{53640926-AAD7-44D8-BBD7-CCE9431645EC}">
                        <a14:shadowObscured xmlns:a14="http://schemas.microsoft.com/office/drawing/2010/main"/>
                      </a:ext>
                    </a:extLst>
                  </pic:spPr>
                </pic:pic>
              </a:graphicData>
            </a:graphic>
          </wp:inline>
        </w:drawing>
      </w:r>
    </w:p>
    <w:p w14:paraId="6CA76983" w14:textId="77777777" w:rsidR="00D82D5C" w:rsidRPr="009E7445" w:rsidRDefault="00D82D5C" w:rsidP="00D82D5C">
      <w:pPr>
        <w:pStyle w:val="BodyText"/>
        <w:spacing w:before="0"/>
        <w:rPr>
          <w:sz w:val="16"/>
        </w:rPr>
      </w:pPr>
      <w:r w:rsidRPr="009E7445">
        <w:rPr>
          <w:sz w:val="16"/>
        </w:rPr>
        <w:t>Source: TLG</w:t>
      </w:r>
    </w:p>
    <w:p w14:paraId="7D973EEB" w14:textId="49A8B1F8" w:rsidR="001B59AC" w:rsidRDefault="001B59AC" w:rsidP="001B59AC">
      <w:pPr>
        <w:pStyle w:val="BodyText"/>
      </w:pPr>
      <w:r>
        <w:t>Our modelling confirms that the</w:t>
      </w:r>
      <w:r w:rsidRPr="009A43A1">
        <w:t xml:space="preserve"> largest opportunities for </w:t>
      </w:r>
      <w:r>
        <w:t xml:space="preserve">requisite </w:t>
      </w:r>
      <w:r w:rsidRPr="009A43A1">
        <w:t xml:space="preserve">LNG regasification projects </w:t>
      </w:r>
      <w:r>
        <w:t xml:space="preserve">required to meet LNG demand </w:t>
      </w:r>
      <w:r w:rsidRPr="009A43A1">
        <w:t>are</w:t>
      </w:r>
      <w:r>
        <w:t xml:space="preserve"> situated</w:t>
      </w:r>
      <w:r w:rsidRPr="009A43A1">
        <w:t xml:space="preserve"> in the Southeast </w:t>
      </w:r>
      <w:r w:rsidR="00553F31">
        <w:t xml:space="preserve">and the Southwest </w:t>
      </w:r>
      <w:r w:rsidRPr="009A43A1">
        <w:t>region</w:t>
      </w:r>
      <w:r w:rsidR="00E56312">
        <w:t>s</w:t>
      </w:r>
      <w:r w:rsidRPr="009A43A1">
        <w:t>, which ha</w:t>
      </w:r>
      <w:r w:rsidR="00E56312">
        <w:t>ve</w:t>
      </w:r>
      <w:r w:rsidRPr="009A43A1">
        <w:t xml:space="preserve"> a widening gas supply-demand deficit owing to forecasted indigenous gas declines </w:t>
      </w:r>
      <w:r w:rsidR="00E56312">
        <w:t>coupled with</w:t>
      </w:r>
      <w:r w:rsidRPr="009A43A1">
        <w:t xml:space="preserve"> rising demand</w:t>
      </w:r>
      <w:r w:rsidR="00E56312">
        <w:t>.</w:t>
      </w:r>
      <w:r w:rsidRPr="009A43A1">
        <w:rPr>
          <w:rStyle w:val="FootnoteReference"/>
        </w:rPr>
        <w:footnoteReference w:id="4"/>
      </w:r>
      <w:r w:rsidRPr="009A43A1">
        <w:t xml:space="preserve"> </w:t>
      </w:r>
      <w:r>
        <w:t xml:space="preserve"> </w:t>
      </w:r>
      <w:r w:rsidR="00553F31">
        <w:t>At present, p</w:t>
      </w:r>
      <w:r w:rsidR="00553F31" w:rsidRPr="00553F31">
        <w:t>ower plants in the Southeast and Southwest account for 85% of the total gas consumption.</w:t>
      </w:r>
      <w:r w:rsidR="00553F31">
        <w:t xml:space="preserve"> </w:t>
      </w:r>
      <w:r w:rsidR="00E56312">
        <w:t xml:space="preserve"> </w:t>
      </w:r>
      <w:r w:rsidR="00450CE8">
        <w:t xml:space="preserve">Consistent with the Gas Master Plan 2017, our assessment confirms that regional </w:t>
      </w:r>
      <w:r w:rsidRPr="009A43A1">
        <w:t>demand for gas could be fulfilled by importing LNG, as well as increasing domestic gas production and optimizing gas use in the power sector.</w:t>
      </w:r>
      <w:r w:rsidR="00553F31">
        <w:t xml:space="preserve"> </w:t>
      </w:r>
    </w:p>
    <w:p w14:paraId="7E90D2B4" w14:textId="20376C12" w:rsidR="00553F31" w:rsidRDefault="00553F31" w:rsidP="00553F31">
      <w:pPr>
        <w:pStyle w:val="Caption"/>
      </w:pPr>
      <w:r w:rsidRPr="00C3322B">
        <w:t xml:space="preserve">Figure </w:t>
      </w:r>
      <w:r w:rsidRPr="00C3322B">
        <w:fldChar w:fldCharType="begin"/>
      </w:r>
      <w:r w:rsidRPr="00C3322B">
        <w:instrText xml:space="preserve"> SEQ Figure \* ARABIC </w:instrText>
      </w:r>
      <w:r w:rsidRPr="00C3322B">
        <w:fldChar w:fldCharType="separate"/>
      </w:r>
      <w:r w:rsidR="006F531A">
        <w:rPr>
          <w:noProof/>
        </w:rPr>
        <w:t>4</w:t>
      </w:r>
      <w:r w:rsidRPr="00C3322B">
        <w:fldChar w:fldCharType="end"/>
      </w:r>
      <w:r w:rsidRPr="00C3322B">
        <w:t xml:space="preserve"> </w:t>
      </w:r>
      <w:r w:rsidR="00450CE8">
        <w:t>–</w:t>
      </w:r>
      <w:r w:rsidRPr="00C3322B">
        <w:t xml:space="preserve"> </w:t>
      </w:r>
      <w:r w:rsidR="00450CE8">
        <w:t>Gas Market Development Plans</w:t>
      </w:r>
    </w:p>
    <w:p w14:paraId="4AF8992E" w14:textId="087D5C32" w:rsidR="00553F31" w:rsidRDefault="00450CE8" w:rsidP="00D82D5C">
      <w:pPr>
        <w:pStyle w:val="BodyText"/>
        <w:spacing w:after="0"/>
      </w:pPr>
      <w:r w:rsidRPr="00450CE8">
        <w:rPr>
          <w:noProof/>
        </w:rPr>
        <w:drawing>
          <wp:inline distT="0" distB="0" distL="0" distR="0" wp14:anchorId="69988CAD" wp14:editId="712AA33E">
            <wp:extent cx="4438650" cy="240602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42388" cy="2408052"/>
                    </a:xfrm>
                    <a:prstGeom prst="rect">
                      <a:avLst/>
                    </a:prstGeom>
                    <a:noFill/>
                    <a:ln>
                      <a:noFill/>
                    </a:ln>
                  </pic:spPr>
                </pic:pic>
              </a:graphicData>
            </a:graphic>
          </wp:inline>
        </w:drawing>
      </w:r>
    </w:p>
    <w:p w14:paraId="2CBFC8E9" w14:textId="77777777" w:rsidR="00D82D5C" w:rsidRPr="009E7445" w:rsidRDefault="00D82D5C" w:rsidP="00D82D5C">
      <w:pPr>
        <w:pStyle w:val="BodyText"/>
        <w:spacing w:before="0" w:after="120"/>
        <w:rPr>
          <w:sz w:val="16"/>
        </w:rPr>
      </w:pPr>
      <w:r w:rsidRPr="009E7445">
        <w:rPr>
          <w:sz w:val="16"/>
        </w:rPr>
        <w:t>Source: TLG</w:t>
      </w:r>
    </w:p>
    <w:p w14:paraId="2E55A825" w14:textId="77777777" w:rsidR="001B59AC" w:rsidRDefault="001B59AC" w:rsidP="001B59AC">
      <w:pPr>
        <w:pStyle w:val="Heading2"/>
        <w:numPr>
          <w:ilvl w:val="1"/>
          <w:numId w:val="2"/>
        </w:numPr>
        <w:ind w:left="0" w:hanging="706"/>
      </w:pPr>
      <w:bookmarkStart w:id="25" w:name="_Toc524653559"/>
      <w:r>
        <w:lastRenderedPageBreak/>
        <w:t>Characteristics of Optimum Supply (balancing the need for dispatch flexibility with the need to assure security of fuel supply for the power plants)</w:t>
      </w:r>
      <w:bookmarkEnd w:id="25"/>
    </w:p>
    <w:p w14:paraId="27206723" w14:textId="31021E14" w:rsidR="001B59AC" w:rsidRDefault="001B59AC" w:rsidP="001B59AC">
      <w:pPr>
        <w:pStyle w:val="BodyText"/>
      </w:pPr>
      <w:r>
        <w:t>An optimized least cost power system requires a mix of baseload, mid-merit and peaking power capacity.  To meet the hourly load over a year, some generation capacity will need to run at capacity factors</w:t>
      </w:r>
      <w:r>
        <w:rPr>
          <w:rStyle w:val="FootnoteReference"/>
        </w:rPr>
        <w:footnoteReference w:id="5"/>
      </w:r>
      <w:r>
        <w:t xml:space="preserve"> of at least 70 percent (baseload), some between 30-70 percent (mid-merit), while others will be required to run at less than 30 percent (peaking).  Such loading characteristics require an optimal mix of generation technologies, with appropriate fixed cost and variable cost trade-offs.  Coal plants have higher capital costs but lower fuel costs, while gas-fired plants have lower capital costs but higher fuel costs.  Consequently, coal plants are well suited for baseload application, yet their </w:t>
      </w:r>
      <w:r w:rsidRPr="00CD0FC2">
        <w:t xml:space="preserve">value </w:t>
      </w:r>
      <w:r>
        <w:t xml:space="preserve">proposition is </w:t>
      </w:r>
      <w:r w:rsidRPr="00CD0FC2">
        <w:t xml:space="preserve">vulnerable </w:t>
      </w:r>
      <w:r>
        <w:t>at</w:t>
      </w:r>
      <w:r w:rsidRPr="00CD0FC2">
        <w:t xml:space="preserve"> low </w:t>
      </w:r>
      <w:r>
        <w:t xml:space="preserve">levels of </w:t>
      </w:r>
      <w:r w:rsidRPr="00CD0FC2">
        <w:t>utilisation</w:t>
      </w:r>
      <w:r>
        <w:t xml:space="preserve"> (</w:t>
      </w:r>
      <w:r w:rsidR="00EA3F00">
        <w:fldChar w:fldCharType="begin"/>
      </w:r>
      <w:r w:rsidR="00EA3F00">
        <w:instrText xml:space="preserve"> REF _Ref524640489 \h </w:instrText>
      </w:r>
      <w:r w:rsidR="00EA3F00">
        <w:fldChar w:fldCharType="separate"/>
      </w:r>
      <w:r w:rsidR="006F531A">
        <w:t xml:space="preserve">Figure </w:t>
      </w:r>
      <w:r w:rsidR="006F531A">
        <w:rPr>
          <w:noProof/>
        </w:rPr>
        <w:t>5</w:t>
      </w:r>
      <w:r w:rsidR="00EA3F00">
        <w:fldChar w:fldCharType="end"/>
      </w:r>
      <w:r>
        <w:t>).  Conversely, g</w:t>
      </w:r>
      <w:r w:rsidRPr="00CD0FC2">
        <w:t>as</w:t>
      </w:r>
      <w:r>
        <w:t xml:space="preserve"> plants provide a more economic </w:t>
      </w:r>
      <w:r w:rsidR="00EA3F00">
        <w:t xml:space="preserve">flexible generation </w:t>
      </w:r>
      <w:r>
        <w:t xml:space="preserve">option compared to coal </w:t>
      </w:r>
      <w:r w:rsidRPr="00CD0FC2">
        <w:t>to meet high demand periods</w:t>
      </w:r>
      <w:r>
        <w:t xml:space="preserve">, by typically operating in a </w:t>
      </w:r>
      <w:r w:rsidRPr="00CD0FC2">
        <w:t>mid-merit and peaking</w:t>
      </w:r>
      <w:r>
        <w:t xml:space="preserve"> regime</w:t>
      </w:r>
      <w:r w:rsidRPr="00CD0FC2">
        <w:t>)</w:t>
      </w:r>
      <w:r>
        <w:t>.</w:t>
      </w:r>
      <w:r>
        <w:rPr>
          <w:rStyle w:val="FootnoteReference"/>
        </w:rPr>
        <w:footnoteReference w:id="6"/>
      </w:r>
      <w:r>
        <w:t xml:space="preserve">  Flexible mid-merit and peaking generation is </w:t>
      </w:r>
      <w:r w:rsidR="00EA3F00">
        <w:t>also valuable</w:t>
      </w:r>
      <w:r>
        <w:t xml:space="preserve"> in the context of Vietnam’s significant base of hydro generation.</w:t>
      </w:r>
    </w:p>
    <w:p w14:paraId="21217F6F" w14:textId="69892F0F" w:rsidR="001B59AC" w:rsidRDefault="001B59AC" w:rsidP="001B59AC">
      <w:pPr>
        <w:pStyle w:val="Caption"/>
      </w:pPr>
      <w:bookmarkStart w:id="26" w:name="_Ref524640489"/>
      <w:r>
        <w:t xml:space="preserve">Figure </w:t>
      </w:r>
      <w:r>
        <w:fldChar w:fldCharType="begin"/>
      </w:r>
      <w:r>
        <w:instrText xml:space="preserve"> SEQ Figure \* ARABIC </w:instrText>
      </w:r>
      <w:r>
        <w:fldChar w:fldCharType="separate"/>
      </w:r>
      <w:r w:rsidR="006F531A">
        <w:rPr>
          <w:noProof/>
        </w:rPr>
        <w:t>5</w:t>
      </w:r>
      <w:r>
        <w:fldChar w:fldCharType="end"/>
      </w:r>
      <w:bookmarkEnd w:id="26"/>
      <w:r>
        <w:t xml:space="preserve"> - Long Run Marginal C</w:t>
      </w:r>
      <w:bookmarkStart w:id="27" w:name="_Toc520854373"/>
      <w:r>
        <w:t>ost of CCGT and coal at different capacity factors</w:t>
      </w:r>
      <w:bookmarkEnd w:id="27"/>
    </w:p>
    <w:p w14:paraId="1D229760" w14:textId="77777777" w:rsidR="001B59AC" w:rsidRDefault="001B59AC" w:rsidP="001B59AC">
      <w:pPr>
        <w:pStyle w:val="BodyText"/>
      </w:pPr>
      <w:r w:rsidRPr="004C7B92">
        <w:rPr>
          <w:noProof/>
          <w:lang w:val="en-US" w:eastAsia="en-US"/>
        </w:rPr>
        <w:drawing>
          <wp:inline distT="0" distB="0" distL="0" distR="0" wp14:anchorId="15EBFECF" wp14:editId="096A2607">
            <wp:extent cx="4191000" cy="197056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08873" cy="1978966"/>
                    </a:xfrm>
                    <a:prstGeom prst="rect">
                      <a:avLst/>
                    </a:prstGeom>
                    <a:noFill/>
                    <a:ln>
                      <a:noFill/>
                    </a:ln>
                  </pic:spPr>
                </pic:pic>
              </a:graphicData>
            </a:graphic>
          </wp:inline>
        </w:drawing>
      </w:r>
    </w:p>
    <w:p w14:paraId="5315ED61" w14:textId="77777777" w:rsidR="001B59AC" w:rsidRDefault="001B59AC" w:rsidP="001B59AC">
      <w:pPr>
        <w:pStyle w:val="TableText"/>
        <w:rPr>
          <w:i/>
        </w:rPr>
      </w:pPr>
      <w:r>
        <w:rPr>
          <w:i/>
        </w:rPr>
        <w:t>Source:  TLG analysis</w:t>
      </w:r>
    </w:p>
    <w:p w14:paraId="0B40823A" w14:textId="3E1B1F47" w:rsidR="001B59AC" w:rsidRPr="0014777B" w:rsidRDefault="00EA3F00" w:rsidP="001B59AC">
      <w:pPr>
        <w:pStyle w:val="BodyText"/>
        <w:rPr>
          <w:i/>
        </w:rPr>
      </w:pPr>
      <w:r>
        <w:t>TLG modelling confirms that o</w:t>
      </w:r>
      <w:r w:rsidR="001B59AC">
        <w:t xml:space="preserve">ptimal dispatch of </w:t>
      </w:r>
      <w:r w:rsidR="001B59AC" w:rsidRPr="00DB4054">
        <w:t>LNG</w:t>
      </w:r>
      <w:r w:rsidR="001B59AC">
        <w:t>-fired</w:t>
      </w:r>
      <w:r w:rsidR="001B59AC" w:rsidRPr="00DB4054">
        <w:t xml:space="preserve"> </w:t>
      </w:r>
      <w:r w:rsidR="001B59AC">
        <w:t xml:space="preserve">generation can </w:t>
      </w:r>
      <w:r w:rsidR="001B59AC" w:rsidRPr="00DB4054">
        <w:t>deliver total system least cost</w:t>
      </w:r>
      <w:r w:rsidR="001B59AC">
        <w:t xml:space="preserve"> to Vietnam provided it is</w:t>
      </w:r>
      <w:r w:rsidR="001B59AC" w:rsidRPr="00DB4054">
        <w:t xml:space="preserve"> procured and consumed in such a way to maximize its value of flexibility</w:t>
      </w:r>
      <w:r w:rsidR="001B59AC">
        <w:t xml:space="preserve">.  LNG-fired power plants are the most competitive and flexible generation technology for </w:t>
      </w:r>
      <w:r w:rsidR="001B59AC" w:rsidRPr="009D002A">
        <w:t xml:space="preserve">serving mid-merit </w:t>
      </w:r>
      <w:r w:rsidR="001B59AC">
        <w:t>demand</w:t>
      </w:r>
      <w:r w:rsidR="001B59AC" w:rsidRPr="009D002A">
        <w:t xml:space="preserve"> </w:t>
      </w:r>
      <w:r w:rsidR="001B59AC">
        <w:t>and have a lower</w:t>
      </w:r>
      <w:r w:rsidR="001B59AC" w:rsidRPr="009D002A">
        <w:t xml:space="preserve"> emission</w:t>
      </w:r>
      <w:r w:rsidR="001B59AC">
        <w:t>s footprint</w:t>
      </w:r>
      <w:r w:rsidR="001B59AC" w:rsidRPr="009D002A">
        <w:t xml:space="preserve">. </w:t>
      </w:r>
      <w:r w:rsidR="001B59AC">
        <w:t xml:space="preserve"> At the same time</w:t>
      </w:r>
      <w:r w:rsidR="001B59AC" w:rsidRPr="009D002A">
        <w:t xml:space="preserve">, </w:t>
      </w:r>
      <w:r w:rsidR="001B59AC" w:rsidRPr="00393EB1">
        <w:t xml:space="preserve">LNG </w:t>
      </w:r>
      <w:r w:rsidR="001B59AC">
        <w:t xml:space="preserve">can </w:t>
      </w:r>
      <w:r w:rsidR="001B59AC" w:rsidRPr="00393EB1">
        <w:t>also</w:t>
      </w:r>
      <w:r w:rsidR="001B59AC">
        <w:t xml:space="preserve"> </w:t>
      </w:r>
      <w:r w:rsidR="001B59AC" w:rsidRPr="00393EB1">
        <w:t xml:space="preserve">complement </w:t>
      </w:r>
      <w:r w:rsidR="001B59AC">
        <w:t xml:space="preserve">the expected increase of </w:t>
      </w:r>
      <w:r w:rsidR="001B59AC" w:rsidRPr="00393EB1">
        <w:t>renewable energy (RE)</w:t>
      </w:r>
      <w:r w:rsidR="001B59AC">
        <w:t xml:space="preserve"> in the Vietnamese power system, owing</w:t>
      </w:r>
      <w:r w:rsidR="001B59AC" w:rsidRPr="00393EB1">
        <w:t xml:space="preserve"> to its high dispatch flexibility</w:t>
      </w:r>
      <w:r w:rsidR="001B59AC">
        <w:t xml:space="preserve"> being able to counter the effects of renewable resource intermittency. </w:t>
      </w:r>
    </w:p>
    <w:p w14:paraId="44D09255" w14:textId="5C8F3AD3" w:rsidR="001B59AC" w:rsidRDefault="001B59AC" w:rsidP="001B59AC">
      <w:pPr>
        <w:pStyle w:val="BodyText"/>
      </w:pPr>
      <w:r>
        <w:lastRenderedPageBreak/>
        <w:t xml:space="preserve">LNG procurement and CCGT dispatch flexibility is therefore of central importance towards achieving the least cost outcome for the total power system in Vietnam.  </w:t>
      </w:r>
      <w:r w:rsidR="00F14465">
        <w:t>Our modelling results shows that</w:t>
      </w:r>
      <w:r>
        <w:t xml:space="preserve"> Vietnam will see</w:t>
      </w:r>
      <w:r w:rsidRPr="00D57599">
        <w:t xml:space="preserve"> a reduction in total power system costs as LNG contract Take or Pay (ToP) levels are optimized to enhance the value of volume flexibility</w:t>
      </w:r>
      <w:r>
        <w:t>.  This</w:t>
      </w:r>
      <w:r w:rsidRPr="00D57599">
        <w:t xml:space="preserve"> benefit</w:t>
      </w:r>
      <w:r>
        <w:t xml:space="preserve"> could reach around</w:t>
      </w:r>
      <w:r w:rsidRPr="00D57599">
        <w:t xml:space="preserve"> USD 15bn (in NPV terms) over the period of 2018-2040</w:t>
      </w:r>
      <w:r>
        <w:t>, corresponding to an increase in</w:t>
      </w:r>
      <w:r w:rsidRPr="00D57599">
        <w:t xml:space="preserve"> LNG contract quantities </w:t>
      </w:r>
      <w:r>
        <w:t xml:space="preserve">above </w:t>
      </w:r>
      <w:r w:rsidRPr="00D57599">
        <w:t>12 mtpa by 2030.  The appropriate level of ToP commitments also allow</w:t>
      </w:r>
      <w:r>
        <w:t>s</w:t>
      </w:r>
      <w:r w:rsidRPr="00D57599">
        <w:t xml:space="preserve"> for a greater optimization with RE resources.</w:t>
      </w:r>
    </w:p>
    <w:p w14:paraId="667ECC64" w14:textId="04A8E60E" w:rsidR="00F14465" w:rsidRDefault="001B59AC" w:rsidP="00BC548C">
      <w:pPr>
        <w:pStyle w:val="Heading2"/>
        <w:numPr>
          <w:ilvl w:val="1"/>
          <w:numId w:val="2"/>
        </w:numPr>
        <w:ind w:left="0" w:hanging="706"/>
      </w:pPr>
      <w:bookmarkStart w:id="28" w:name="_Toc524653560"/>
      <w:r w:rsidRPr="0014777B">
        <w:t xml:space="preserve">Value of Gas Flexibility </w:t>
      </w:r>
      <w:r w:rsidR="00F14465">
        <w:t>in Vietnam</w:t>
      </w:r>
      <w:bookmarkEnd w:id="28"/>
    </w:p>
    <w:p w14:paraId="324CF89E" w14:textId="31A10941" w:rsidR="001B59AC" w:rsidRDefault="001B59AC" w:rsidP="00F14465">
      <w:pPr>
        <w:pStyle w:val="BodyText"/>
      </w:pPr>
      <w:r>
        <w:t>The f</w:t>
      </w:r>
      <w:r w:rsidRPr="0014777B">
        <w:t>lexibility</w:t>
      </w:r>
      <w:r>
        <w:t xml:space="preserve"> offered by gas-fired generation</w:t>
      </w:r>
      <w:r w:rsidRPr="0014777B">
        <w:t xml:space="preserve"> is an essential part of a robust power system </w:t>
      </w:r>
      <w:r>
        <w:t>and achieving total system least cost.</w:t>
      </w:r>
      <w:bookmarkEnd w:id="11"/>
      <w:r>
        <w:t xml:space="preserve">  This results from the additional value that gas-fired generation brings to the power system through both (i) </w:t>
      </w:r>
      <w:r w:rsidRPr="00CD0FC2">
        <w:t>short-term dispatch flexibility</w:t>
      </w:r>
      <w:r>
        <w:t xml:space="preserve"> and (ii)</w:t>
      </w:r>
      <w:r w:rsidRPr="00CD0FC2">
        <w:t xml:space="preserve"> longer-term strategic </w:t>
      </w:r>
      <w:r>
        <w:t>flexibility associated with capacity planning in the power system</w:t>
      </w:r>
      <w:r w:rsidR="00A27ABF">
        <w:t xml:space="preserve"> relating to LNG terminal development.</w:t>
      </w:r>
    </w:p>
    <w:p w14:paraId="04D9F835" w14:textId="4403C1CB" w:rsidR="0044594B" w:rsidRDefault="001B59AC" w:rsidP="001B59AC">
      <w:pPr>
        <w:pStyle w:val="BodyText"/>
      </w:pPr>
      <w:r>
        <w:t>Consequently, the development of LNG infrastructure presents a significant opportunity for Vietnam to realise additional value when a ‘whole of system’ approach is considered. This modelled approach looks at the present value of the revenue that an LNG terminal owner can capture over the asset’s lifetime, looking at the baseline revenue from CCGT demand as well as additional revenue streams that are possible if the value of the terminal’s strategic flexibility is realised</w:t>
      </w:r>
      <w:r w:rsidR="00A27ABF">
        <w:t>:</w:t>
      </w:r>
      <w:r w:rsidR="00DB7003">
        <w:rPr>
          <w:rStyle w:val="FootnoteReference"/>
        </w:rPr>
        <w:footnoteReference w:id="7"/>
      </w:r>
      <w:r>
        <w:t xml:space="preserve"> </w:t>
      </w:r>
    </w:p>
    <w:p w14:paraId="5084EA9B" w14:textId="77777777" w:rsidR="00A27ABF" w:rsidRPr="00A27ABF" w:rsidRDefault="001B59AC" w:rsidP="00A27ABF">
      <w:pPr>
        <w:pStyle w:val="ListBullet"/>
      </w:pPr>
      <w:r w:rsidRPr="00A27ABF">
        <w:t xml:space="preserve">Dispatch flexibility represents the ability optimize generation from gas-fired plants in response to supply-side disruptions (i.e. low hydro, domestic gas supply, coal outages, etc.), or indeed favourable </w:t>
      </w:r>
      <w:r w:rsidR="0044594B" w:rsidRPr="00A27ABF">
        <w:t>movements</w:t>
      </w:r>
      <w:r w:rsidRPr="00A27ABF">
        <w:t xml:space="preserve"> in LNG prices.</w:t>
      </w:r>
    </w:p>
    <w:p w14:paraId="738773D6" w14:textId="3AA46A0B" w:rsidR="005E0B82" w:rsidRDefault="001B59AC" w:rsidP="00A27ABF">
      <w:pPr>
        <w:pStyle w:val="ListBullet"/>
      </w:pPr>
      <w:r>
        <w:t>Conversely, s</w:t>
      </w:r>
      <w:r w:rsidRPr="00CD0FC2">
        <w:t xml:space="preserve">trategic flexibility </w:t>
      </w:r>
      <w:r>
        <w:t xml:space="preserve">represents </w:t>
      </w:r>
      <w:r w:rsidRPr="00CD0FC2">
        <w:t xml:space="preserve">the ability to optimize </w:t>
      </w:r>
      <w:r>
        <w:t xml:space="preserve">the development of new </w:t>
      </w:r>
      <w:r w:rsidRPr="00CD0FC2">
        <w:t>gas</w:t>
      </w:r>
      <w:r>
        <w:t>-fired</w:t>
      </w:r>
      <w:r w:rsidRPr="00CD0FC2">
        <w:t xml:space="preserve"> capacity</w:t>
      </w:r>
      <w:r>
        <w:t xml:space="preserve"> to provide the lowest regret cost option in the future (e.g. acting as a hedge against coal slippages, low carbon outcomes, etc).  </w:t>
      </w:r>
    </w:p>
    <w:p w14:paraId="4DEAA348" w14:textId="7B36F105" w:rsidR="001B59AC" w:rsidRDefault="0044594B" w:rsidP="001B59AC">
      <w:pPr>
        <w:pStyle w:val="BodyText"/>
      </w:pPr>
      <w:r>
        <w:fldChar w:fldCharType="begin"/>
      </w:r>
      <w:r>
        <w:instrText xml:space="preserve"> REF _Ref524641027 \h </w:instrText>
      </w:r>
      <w:r>
        <w:fldChar w:fldCharType="separate"/>
      </w:r>
      <w:r w:rsidR="006F531A" w:rsidRPr="00E93FF5">
        <w:t xml:space="preserve">Figure </w:t>
      </w:r>
      <w:r w:rsidR="006F531A">
        <w:rPr>
          <w:noProof/>
        </w:rPr>
        <w:t>6</w:t>
      </w:r>
      <w:r>
        <w:fldChar w:fldCharType="end"/>
      </w:r>
      <w:r>
        <w:t xml:space="preserve"> </w:t>
      </w:r>
      <w:r w:rsidR="001B59AC">
        <w:t>depicts the monetary value associated with both of these flexibility streams over the lifetime of an LNG terminal, with figures based on the TLG modelling base case.</w:t>
      </w:r>
    </w:p>
    <w:p w14:paraId="3D86F1D9" w14:textId="5C8D448C" w:rsidR="001B59AC" w:rsidRDefault="001B59AC" w:rsidP="001B59AC">
      <w:pPr>
        <w:pStyle w:val="Caption"/>
      </w:pPr>
      <w:bookmarkStart w:id="29" w:name="_Ref524641027"/>
      <w:r w:rsidRPr="00E93FF5">
        <w:lastRenderedPageBreak/>
        <w:t xml:space="preserve">Figure </w:t>
      </w:r>
      <w:r>
        <w:fldChar w:fldCharType="begin"/>
      </w:r>
      <w:r>
        <w:instrText xml:space="preserve"> SEQ Figure \* ARABIC </w:instrText>
      </w:r>
      <w:r>
        <w:fldChar w:fldCharType="separate"/>
      </w:r>
      <w:r w:rsidR="006F531A">
        <w:rPr>
          <w:noProof/>
        </w:rPr>
        <w:t>6</w:t>
      </w:r>
      <w:r>
        <w:fldChar w:fldCharType="end"/>
      </w:r>
      <w:bookmarkEnd w:id="29"/>
      <w:r w:rsidRPr="00E93FF5">
        <w:t xml:space="preserve"> - Present value of revenues to LNG terminal owners from 'whole of system' perspective in Vietnam</w:t>
      </w:r>
      <w:r w:rsidRPr="00E93FF5">
        <w:rPr>
          <w:rStyle w:val="FootnoteReference"/>
        </w:rPr>
        <w:footnoteReference w:id="8"/>
      </w:r>
    </w:p>
    <w:p w14:paraId="7CF8F2DC" w14:textId="77777777" w:rsidR="001B59AC" w:rsidRDefault="001B59AC" w:rsidP="001B59AC">
      <w:pPr>
        <w:pStyle w:val="BodyText"/>
      </w:pPr>
      <w:r w:rsidRPr="00D678BE">
        <w:rPr>
          <w:noProof/>
          <w:lang w:val="en-US" w:eastAsia="en-US"/>
        </w:rPr>
        <w:drawing>
          <wp:inline distT="0" distB="0" distL="0" distR="0" wp14:anchorId="6E73131D" wp14:editId="212452E1">
            <wp:extent cx="5229901" cy="2641600"/>
            <wp:effectExtent l="0" t="0" r="8890" b="6350"/>
            <wp:docPr id="1" name="Picture 5">
              <a:extLst xmlns:a="http://schemas.openxmlformats.org/drawingml/2006/main">
                <a:ext uri="{FF2B5EF4-FFF2-40B4-BE49-F238E27FC236}">
                  <a16:creationId xmlns:a16="http://schemas.microsoft.com/office/drawing/2014/main" id="{3169606D-07A9-48D9-BD5B-C2DE2BB470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169606D-07A9-48D9-BD5B-C2DE2BB47087}"/>
                        </a:ext>
                      </a:extLst>
                    </pic:cNvPr>
                    <pic:cNvPicPr>
                      <a:picLocks noChangeAspect="1"/>
                    </pic:cNvPicPr>
                  </pic:nvPicPr>
                  <pic:blipFill rotWithShape="1">
                    <a:blip r:embed="rId21"/>
                    <a:srcRect l="4077" b="16065"/>
                    <a:stretch/>
                  </pic:blipFill>
                  <pic:spPr bwMode="auto">
                    <a:xfrm>
                      <a:off x="0" y="0"/>
                      <a:ext cx="5248426" cy="2650957"/>
                    </a:xfrm>
                    <a:prstGeom prst="rect">
                      <a:avLst/>
                    </a:prstGeom>
                    <a:ln>
                      <a:noFill/>
                    </a:ln>
                    <a:extLst>
                      <a:ext uri="{53640926-AAD7-44D8-BBD7-CCE9431645EC}">
                        <a14:shadowObscured xmlns:a14="http://schemas.microsoft.com/office/drawing/2010/main"/>
                      </a:ext>
                    </a:extLst>
                  </pic:spPr>
                </pic:pic>
              </a:graphicData>
            </a:graphic>
          </wp:inline>
        </w:drawing>
      </w:r>
    </w:p>
    <w:p w14:paraId="7589EABD" w14:textId="77777777" w:rsidR="001B59AC" w:rsidRDefault="001B59AC" w:rsidP="001B59AC">
      <w:pPr>
        <w:pStyle w:val="BodyText"/>
        <w:spacing w:after="120" w:line="240" w:lineRule="auto"/>
        <w:rPr>
          <w:sz w:val="16"/>
        </w:rPr>
      </w:pPr>
      <w:r w:rsidRPr="00432212">
        <w:rPr>
          <w:sz w:val="16"/>
        </w:rPr>
        <w:t>Source: TLG analysis</w:t>
      </w:r>
      <w:r>
        <w:rPr>
          <w:sz w:val="16"/>
        </w:rPr>
        <w:t xml:space="preserve">. </w:t>
      </w:r>
      <w:r w:rsidRPr="00432212">
        <w:rPr>
          <w:sz w:val="16"/>
        </w:rPr>
        <w:t>Note: A regasification tariff of USD2/mmbtu is assumed for the revenue calculation; dry year assumes a hydro plant CFs are 4 percentage points lower, and 10% of the reduced generation is met by LNG; Low domestic gas scenario LNG is meeting half of a 10% drop in total production for non-CVX and non-Block B gas; Low LNG price case uses the 25th percentile LNG price (oil-linked); industrial gas demand expected to grow to 350mmscfd by 2035, with 10% being met by LNG</w:t>
      </w:r>
    </w:p>
    <w:p w14:paraId="0FA31C06" w14:textId="77777777" w:rsidR="00A27ABF" w:rsidRDefault="00A27ABF" w:rsidP="001B59AC">
      <w:pPr>
        <w:pStyle w:val="BodyText"/>
      </w:pPr>
    </w:p>
    <w:p w14:paraId="46FF4893" w14:textId="5F2E55EC" w:rsidR="001B59AC" w:rsidRDefault="001B59AC" w:rsidP="001B59AC">
      <w:pPr>
        <w:pStyle w:val="BodyText"/>
      </w:pPr>
      <w:r>
        <w:t>From the perspective of an LNG terminal operator, TLG modelling forecasts the present value of revenues resulting from dispatch flexibility to be in the region of US$1.30 billion, and US$1.98 billion relating to the value of strategic flexibility.</w:t>
      </w:r>
    </w:p>
    <w:p w14:paraId="4A90093E" w14:textId="77777777" w:rsidR="001B59AC" w:rsidRDefault="001B59AC" w:rsidP="001B59AC">
      <w:r>
        <w:br w:type="page"/>
      </w:r>
    </w:p>
    <w:p w14:paraId="12BF6133" w14:textId="77777777" w:rsidR="001B59AC" w:rsidRPr="00770296" w:rsidRDefault="001B59AC" w:rsidP="001B59AC">
      <w:pPr>
        <w:pStyle w:val="Heading1"/>
        <w:numPr>
          <w:ilvl w:val="0"/>
          <w:numId w:val="2"/>
        </w:numPr>
        <w:ind w:left="0"/>
      </w:pPr>
      <w:bookmarkStart w:id="30" w:name="_Toc524653561"/>
      <w:r>
        <w:lastRenderedPageBreak/>
        <w:t>Lessons from International Experience</w:t>
      </w:r>
      <w:bookmarkEnd w:id="30"/>
    </w:p>
    <w:p w14:paraId="5300948D" w14:textId="77777777" w:rsidR="001B59AC" w:rsidRDefault="001B59AC" w:rsidP="001B59AC">
      <w:pPr>
        <w:pStyle w:val="Heading2"/>
        <w:numPr>
          <w:ilvl w:val="1"/>
          <w:numId w:val="2"/>
        </w:numPr>
        <w:ind w:left="0" w:hanging="706"/>
      </w:pPr>
      <w:bookmarkStart w:id="31" w:name="_Toc524653562"/>
      <w:r w:rsidRPr="00AD6E6E">
        <w:t xml:space="preserve">Brief </w:t>
      </w:r>
      <w:r>
        <w:t>H</w:t>
      </w:r>
      <w:r w:rsidRPr="00AD6E6E">
        <w:t xml:space="preserve">istory and </w:t>
      </w:r>
      <w:r>
        <w:t>S</w:t>
      </w:r>
      <w:r w:rsidRPr="00AD6E6E">
        <w:t xml:space="preserve">tatus of </w:t>
      </w:r>
      <w:r>
        <w:t>N</w:t>
      </w:r>
      <w:r w:rsidRPr="00AD6E6E">
        <w:t xml:space="preserve">ew Asian LNG </w:t>
      </w:r>
      <w:r>
        <w:t>I</w:t>
      </w:r>
      <w:r w:rsidRPr="00AD6E6E">
        <w:t>mporters</w:t>
      </w:r>
      <w:bookmarkEnd w:id="31"/>
      <w:r w:rsidRPr="00AD6E6E">
        <w:t xml:space="preserve"> </w:t>
      </w:r>
    </w:p>
    <w:p w14:paraId="584FD9CF" w14:textId="593CE6C8" w:rsidR="001B59AC" w:rsidRDefault="001B59AC" w:rsidP="001B59AC">
      <w:pPr>
        <w:pStyle w:val="BodyText"/>
      </w:pPr>
      <w:r>
        <w:t>It is essential that Vietnam gives due consideration to experience from countries that have recently developed LNG infrastructure and have begun imports.  These countries include both new markets in the ASEAN region (e.g. Thailand, Malaysia</w:t>
      </w:r>
      <w:r w:rsidR="00A87E4C">
        <w:t xml:space="preserve"> as gas producing countries and </w:t>
      </w:r>
      <w:r>
        <w:t>Singapore</w:t>
      </w:r>
      <w:r w:rsidR="00A87E4C">
        <w:t xml:space="preserve"> as a mature gas importing country</w:t>
      </w:r>
      <w:r>
        <w:t xml:space="preserve">) and emerging markets in South Asia (e.g. Pakistan and Bangladesh), as well as other countries outside of Asia.  </w:t>
      </w:r>
    </w:p>
    <w:p w14:paraId="0A63CC52" w14:textId="73230819" w:rsidR="001B59AC" w:rsidRDefault="001B59AC" w:rsidP="001B59AC">
      <w:pPr>
        <w:pStyle w:val="Caption"/>
      </w:pPr>
      <w:bookmarkStart w:id="32" w:name="_Ref524560255"/>
      <w:r>
        <w:t xml:space="preserve">Figure </w:t>
      </w:r>
      <w:r>
        <w:fldChar w:fldCharType="begin"/>
      </w:r>
      <w:r>
        <w:instrText xml:space="preserve"> SEQ Figure \* ARABIC </w:instrText>
      </w:r>
      <w:r>
        <w:fldChar w:fldCharType="separate"/>
      </w:r>
      <w:r w:rsidR="006F531A">
        <w:rPr>
          <w:noProof/>
        </w:rPr>
        <w:t>7</w:t>
      </w:r>
      <w:r>
        <w:fldChar w:fldCharType="end"/>
      </w:r>
      <w:bookmarkEnd w:id="32"/>
      <w:r>
        <w:t xml:space="preserve"> - Timeline of LNG Importation Infrastructure Development Across Selected Asian Markets</w:t>
      </w:r>
    </w:p>
    <w:p w14:paraId="31A20B67" w14:textId="6EB47D1C" w:rsidR="001B59AC" w:rsidRDefault="001B59AC" w:rsidP="001B59AC">
      <w:pPr>
        <w:pStyle w:val="BodyText"/>
      </w:pPr>
      <w:r>
        <w:rPr>
          <w:noProof/>
        </w:rPr>
        <w:drawing>
          <wp:inline distT="0" distB="0" distL="0" distR="0" wp14:anchorId="5DA20A82" wp14:editId="2C7A13C4">
            <wp:extent cx="3758416" cy="59150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62151" cy="5920904"/>
                    </a:xfrm>
                    <a:prstGeom prst="rect">
                      <a:avLst/>
                    </a:prstGeom>
                    <a:noFill/>
                  </pic:spPr>
                </pic:pic>
              </a:graphicData>
            </a:graphic>
          </wp:inline>
        </w:drawing>
      </w:r>
    </w:p>
    <w:p w14:paraId="69980825" w14:textId="77777777" w:rsidR="00D82D5C" w:rsidRPr="009E7445" w:rsidRDefault="00D82D5C" w:rsidP="00D82D5C">
      <w:pPr>
        <w:pStyle w:val="BodyText"/>
        <w:spacing w:before="0"/>
        <w:rPr>
          <w:sz w:val="16"/>
        </w:rPr>
      </w:pPr>
      <w:r w:rsidRPr="009E7445">
        <w:rPr>
          <w:sz w:val="16"/>
        </w:rPr>
        <w:t>Source: TLG</w:t>
      </w:r>
    </w:p>
    <w:p w14:paraId="309C4F4D" w14:textId="77777777" w:rsidR="001B59AC" w:rsidRDefault="001B59AC" w:rsidP="001B59AC">
      <w:pPr>
        <w:pStyle w:val="Heading2"/>
        <w:numPr>
          <w:ilvl w:val="1"/>
          <w:numId w:val="2"/>
        </w:numPr>
        <w:ind w:left="0" w:hanging="706"/>
      </w:pPr>
      <w:bookmarkStart w:id="33" w:name="_Toc524653563"/>
      <w:r w:rsidRPr="00AD6E6E">
        <w:lastRenderedPageBreak/>
        <w:t>Drivers of LNG demand</w:t>
      </w:r>
      <w:bookmarkEnd w:id="33"/>
    </w:p>
    <w:p w14:paraId="779B117D" w14:textId="77777777" w:rsidR="001B59AC" w:rsidRDefault="001B59AC" w:rsidP="001B59AC">
      <w:pPr>
        <w:pStyle w:val="Heading4"/>
        <w:rPr>
          <w:lang w:val="en-SG"/>
        </w:rPr>
      </w:pPr>
      <w:r>
        <w:rPr>
          <w:lang w:val="en-SG"/>
        </w:rPr>
        <w:t>Energy Security and Fuel Mix Diversification</w:t>
      </w:r>
    </w:p>
    <w:p w14:paraId="12FAE46B" w14:textId="3D421225" w:rsidR="001B59AC" w:rsidRPr="00BA7E4F" w:rsidRDefault="001B59AC" w:rsidP="001B59AC">
      <w:pPr>
        <w:pStyle w:val="BodyText"/>
        <w:rPr>
          <w:lang w:val="en-SG"/>
        </w:rPr>
      </w:pPr>
      <w:r w:rsidRPr="00BA7E4F">
        <w:rPr>
          <w:lang w:val="en-SG"/>
        </w:rPr>
        <w:t>Energy security and fuel mix diversification have provided the main impetus for LNG terminal development across Asia, particularly in new and emerging LNG importing nations.  A consistent theme underpinning this direction has been declining domestic gas production, and among the first countries to develop LNG importation infrastructure in Southeast Asia were Thailand and Malaysia.  Each of these countries historically has had a significant share of gas-fired generation in their power mix, with LNG supply therefore allowing these countries to address long-term energy security concerns.  In a similar vein, Singapore’s reliance on piped natural gas from neighbouring Malaysia and Indonesia again served as a major driver for the development of LNG infrastructure</w:t>
      </w:r>
      <w:r w:rsidR="00A87E4C">
        <w:rPr>
          <w:lang w:val="en-SG"/>
        </w:rPr>
        <w:t xml:space="preserve"> as a long-term strategy to diversify gas supply sourcing options.</w:t>
      </w:r>
    </w:p>
    <w:p w14:paraId="3E19A806" w14:textId="77777777" w:rsidR="001B59AC" w:rsidRPr="00BA7E4F" w:rsidRDefault="001B59AC" w:rsidP="001B59AC">
      <w:pPr>
        <w:pStyle w:val="BodyText"/>
        <w:rPr>
          <w:lang w:val="en-SG"/>
        </w:rPr>
      </w:pPr>
      <w:r w:rsidRPr="00BA7E4F">
        <w:rPr>
          <w:lang w:val="en-SG"/>
        </w:rPr>
        <w:t>Whilst these countries have continued to expand LNG importation infrastructure in recent years</w:t>
      </w:r>
      <w:r w:rsidRPr="00BA7E4F">
        <w:rPr>
          <w:rStyle w:val="FootnoteReference"/>
          <w:lang w:val="en-SG"/>
        </w:rPr>
        <w:footnoteReference w:id="9"/>
      </w:r>
      <w:r w:rsidRPr="00BA7E4F">
        <w:rPr>
          <w:lang w:val="en-SG"/>
        </w:rPr>
        <w:t>, development has also occurred in further afield in the region.  Indeed, in some countries LNG importation has been in direct response to acute gas supply constraints that have been exacerbated by high underlying demand growth.  In the case of Bangladesh, where domestic gas production peaked in 2017, this dynamic had led to a high dependency on liquid fuels being used in the power sector.  Pakistan has faced a similarly urgent need to solve domestic gas and power shortages, with upstream gas only able to support 4,000 MMCFD of gas productio</w:t>
      </w:r>
      <w:r>
        <w:rPr>
          <w:lang w:val="en-SG"/>
        </w:rPr>
        <w:t xml:space="preserve">n against a constrained demand as high as 6,000 MMCFD.  </w:t>
      </w:r>
    </w:p>
    <w:p w14:paraId="794FCF22" w14:textId="631FA11B" w:rsidR="001B59AC" w:rsidRPr="00BA7E4F" w:rsidRDefault="001B59AC" w:rsidP="001B59AC">
      <w:pPr>
        <w:pStyle w:val="BodyText"/>
        <w:rPr>
          <w:lang w:val="en-SG"/>
        </w:rPr>
      </w:pPr>
      <w:r w:rsidRPr="00BA7E4F">
        <w:rPr>
          <w:lang w:val="en-SG"/>
        </w:rPr>
        <w:fldChar w:fldCharType="begin"/>
      </w:r>
      <w:r w:rsidRPr="00BA7E4F">
        <w:rPr>
          <w:lang w:val="en-SG"/>
        </w:rPr>
        <w:instrText xml:space="preserve"> REF _Ref524463836 \h  \* MERGEFORMAT </w:instrText>
      </w:r>
      <w:r w:rsidRPr="00BA7E4F">
        <w:rPr>
          <w:lang w:val="en-SG"/>
        </w:rPr>
      </w:r>
      <w:r w:rsidRPr="00BA7E4F">
        <w:rPr>
          <w:lang w:val="en-SG"/>
        </w:rPr>
        <w:fldChar w:fldCharType="separate"/>
      </w:r>
      <w:r w:rsidR="006F531A">
        <w:t xml:space="preserve">Figure </w:t>
      </w:r>
      <w:r w:rsidR="006F531A">
        <w:rPr>
          <w:noProof/>
        </w:rPr>
        <w:t>8</w:t>
      </w:r>
      <w:r w:rsidRPr="00BA7E4F">
        <w:rPr>
          <w:lang w:val="en-SG"/>
        </w:rPr>
        <w:fldChar w:fldCharType="end"/>
      </w:r>
      <w:r w:rsidRPr="00BA7E4F">
        <w:rPr>
          <w:lang w:val="en-SG"/>
        </w:rPr>
        <w:t xml:space="preserve"> provides an overview of these drivers of LNG infrastructure across Asia, whilst also setting out country-specific context that provided additional impetus for LNG importation.</w:t>
      </w:r>
    </w:p>
    <w:p w14:paraId="3D00957D" w14:textId="5AD72C6E" w:rsidR="001B59AC" w:rsidRDefault="001B59AC" w:rsidP="001B59AC">
      <w:pPr>
        <w:pStyle w:val="Caption"/>
      </w:pPr>
      <w:bookmarkStart w:id="34" w:name="_Ref524463836"/>
      <w:bookmarkStart w:id="35" w:name="_Ref524463823"/>
      <w:r>
        <w:lastRenderedPageBreak/>
        <w:t xml:space="preserve">Figure </w:t>
      </w:r>
      <w:r>
        <w:fldChar w:fldCharType="begin"/>
      </w:r>
      <w:r>
        <w:instrText xml:space="preserve"> SEQ Figure \* ARABIC </w:instrText>
      </w:r>
      <w:r>
        <w:fldChar w:fldCharType="separate"/>
      </w:r>
      <w:r w:rsidR="006F531A">
        <w:rPr>
          <w:noProof/>
        </w:rPr>
        <w:t>8</w:t>
      </w:r>
      <w:r>
        <w:fldChar w:fldCharType="end"/>
      </w:r>
      <w:bookmarkEnd w:id="34"/>
      <w:r w:rsidR="003A3BA8">
        <w:t xml:space="preserve"> </w:t>
      </w:r>
      <w:r>
        <w:t>- Drivers of Fuel Mix Diversification across Asia</w:t>
      </w:r>
      <w:bookmarkEnd w:id="35"/>
    </w:p>
    <w:p w14:paraId="151430BF" w14:textId="77777777" w:rsidR="009E7445" w:rsidRDefault="001B59AC" w:rsidP="009E7445">
      <w:pPr>
        <w:pStyle w:val="BodyText"/>
        <w:spacing w:before="0"/>
        <w:rPr>
          <w:sz w:val="16"/>
        </w:rPr>
      </w:pPr>
      <w:r>
        <w:rPr>
          <w:noProof/>
        </w:rPr>
        <w:drawing>
          <wp:inline distT="0" distB="0" distL="0" distR="0" wp14:anchorId="62550750" wp14:editId="03AB51CB">
            <wp:extent cx="7729299" cy="46582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7764755" cy="4679596"/>
                    </a:xfrm>
                    <a:prstGeom prst="rect">
                      <a:avLst/>
                    </a:prstGeom>
                    <a:noFill/>
                  </pic:spPr>
                </pic:pic>
              </a:graphicData>
            </a:graphic>
          </wp:inline>
        </w:drawing>
      </w:r>
      <w:r w:rsidR="009E7445" w:rsidRPr="009E7445">
        <w:rPr>
          <w:sz w:val="16"/>
        </w:rPr>
        <w:t xml:space="preserve"> </w:t>
      </w:r>
    </w:p>
    <w:p w14:paraId="18C40E06" w14:textId="2F8ED1D2" w:rsidR="009E7445" w:rsidRPr="009E7445" w:rsidRDefault="009E7445" w:rsidP="009E7445">
      <w:pPr>
        <w:pStyle w:val="BodyText"/>
        <w:spacing w:before="0"/>
        <w:rPr>
          <w:sz w:val="16"/>
        </w:rPr>
      </w:pPr>
      <w:r w:rsidRPr="009E7445">
        <w:rPr>
          <w:sz w:val="16"/>
        </w:rPr>
        <w:t>Source: TLG</w:t>
      </w:r>
    </w:p>
    <w:p w14:paraId="5CC0F1F2" w14:textId="2773A1AD" w:rsidR="001B59AC" w:rsidRDefault="001B59AC" w:rsidP="001B59AC">
      <w:pPr>
        <w:pStyle w:val="BodyText"/>
      </w:pPr>
      <w:r>
        <w:rPr>
          <w:lang w:val="en-SG"/>
        </w:rPr>
        <w:lastRenderedPageBreak/>
        <w:t>Alongside the decision to import LNG as a means of fuel mix diversification and</w:t>
      </w:r>
      <w:r>
        <w:t xml:space="preserve"> supplementing/replacing declining indigenous gas supply, LNG importation has been also pursued as a result of other policy objectives.  These include aspirations of establishing regional gas/LNG hubs, as has been the case in Singapore, as well as the ability for LNG imports to aid the optimisation of domestic gas resources in countries such as</w:t>
      </w:r>
      <w:r w:rsidR="00A87E4C">
        <w:t xml:space="preserve"> Thailand, Malaysia and</w:t>
      </w:r>
      <w:r>
        <w:t xml:space="preserve"> Indonesia.  Further afield, LNG importation has formed a core part of South Korea’s strategy for promoting gas and renewables in their power mix.  </w:t>
      </w:r>
      <w:r w:rsidR="00A87E4C">
        <w:t xml:space="preserve">Each of these examples reflect important themes </w:t>
      </w:r>
      <w:r w:rsidR="00BB1248">
        <w:t>which are also present in the context of</w:t>
      </w:r>
      <w:r w:rsidR="00A87E4C">
        <w:t xml:space="preserve"> </w:t>
      </w:r>
      <w:r w:rsidR="00323244">
        <w:t xml:space="preserve">the </w:t>
      </w:r>
      <w:r w:rsidR="00A87E4C">
        <w:t xml:space="preserve">Vietnamese energy transition. </w:t>
      </w:r>
    </w:p>
    <w:p w14:paraId="710EC6C6" w14:textId="77777777" w:rsidR="001B59AC" w:rsidRDefault="001B59AC" w:rsidP="001B59AC">
      <w:pPr>
        <w:pStyle w:val="Heading4"/>
      </w:pPr>
      <w:r w:rsidRPr="00251C6D">
        <w:t xml:space="preserve">Policy </w:t>
      </w:r>
      <w:r>
        <w:t>P</w:t>
      </w:r>
      <w:r w:rsidRPr="00251C6D">
        <w:t xml:space="preserve">riorities for </w:t>
      </w:r>
      <w:r>
        <w:t>F</w:t>
      </w:r>
      <w:r w:rsidRPr="00251C6D">
        <w:t xml:space="preserve">uel </w:t>
      </w:r>
      <w:r>
        <w:t>M</w:t>
      </w:r>
      <w:r w:rsidRPr="00251C6D">
        <w:t>ix</w:t>
      </w:r>
    </w:p>
    <w:p w14:paraId="5EEC8F6A" w14:textId="77777777" w:rsidR="001B59AC" w:rsidRDefault="001B59AC" w:rsidP="001B59AC">
      <w:pPr>
        <w:pStyle w:val="BodyText"/>
        <w:rPr>
          <w:lang w:val="en-SG"/>
        </w:rPr>
      </w:pPr>
      <w:r>
        <w:rPr>
          <w:lang w:val="en-SG"/>
        </w:rPr>
        <w:t>Increasingly across Asia, c</w:t>
      </w:r>
      <w:r w:rsidRPr="00C304AB">
        <w:rPr>
          <w:lang w:val="en-SG"/>
        </w:rPr>
        <w:t>onvergence in</w:t>
      </w:r>
      <w:r>
        <w:rPr>
          <w:lang w:val="en-SG"/>
        </w:rPr>
        <w:t xml:space="preserve"> fuel mix</w:t>
      </w:r>
      <w:r w:rsidRPr="00C304AB">
        <w:rPr>
          <w:lang w:val="en-SG"/>
        </w:rPr>
        <w:t xml:space="preserve"> policy shifts</w:t>
      </w:r>
      <w:r>
        <w:rPr>
          <w:lang w:val="en-SG"/>
        </w:rPr>
        <w:t xml:space="preserve"> is being seen as countries tackle</w:t>
      </w:r>
      <w:r w:rsidRPr="00C304AB">
        <w:rPr>
          <w:lang w:val="en-SG"/>
        </w:rPr>
        <w:t xml:space="preserve"> the energy trilemma</w:t>
      </w:r>
      <w:r>
        <w:rPr>
          <w:lang w:val="en-SG"/>
        </w:rPr>
        <w:t xml:space="preserve"> of (i) promoting energy security, (ii) ensuring energy affordability, and (iii) driving environmental sustainability.  </w:t>
      </w:r>
    </w:p>
    <w:p w14:paraId="3446CE85" w14:textId="4C20839C" w:rsidR="001B59AC" w:rsidRDefault="001B59AC" w:rsidP="001B59AC">
      <w:pPr>
        <w:pStyle w:val="BodyText"/>
        <w:rPr>
          <w:lang w:val="en-SG"/>
        </w:rPr>
      </w:pPr>
      <w:r>
        <w:rPr>
          <w:lang w:val="en-SG"/>
        </w:rPr>
        <w:t>In the past, energy policies across most developing Asian countries focused in accessibility, affordability and energy security.  However, w</w:t>
      </w:r>
      <w:r w:rsidRPr="002068BA">
        <w:rPr>
          <w:lang w:val="en-SG"/>
        </w:rPr>
        <w:t xml:space="preserve">e note from recent </w:t>
      </w:r>
      <w:r>
        <w:rPr>
          <w:lang w:val="en-SG"/>
        </w:rPr>
        <w:t xml:space="preserve">Asian </w:t>
      </w:r>
      <w:r w:rsidRPr="002068BA">
        <w:rPr>
          <w:lang w:val="en-SG"/>
        </w:rPr>
        <w:t xml:space="preserve">energy policies that greater emphasis and effort is being placed on environmental sustainability </w:t>
      </w:r>
      <w:r>
        <w:rPr>
          <w:lang w:val="en-SG"/>
        </w:rPr>
        <w:t>in addition to</w:t>
      </w:r>
      <w:r w:rsidRPr="002068BA">
        <w:rPr>
          <w:lang w:val="en-SG"/>
        </w:rPr>
        <w:t xml:space="preserve"> energy security.  Based on the </w:t>
      </w:r>
      <w:r>
        <w:rPr>
          <w:lang w:val="en-SG"/>
        </w:rPr>
        <w:t xml:space="preserve">recent </w:t>
      </w:r>
      <w:r w:rsidRPr="002068BA">
        <w:rPr>
          <w:lang w:val="en-SG"/>
        </w:rPr>
        <w:t xml:space="preserve">Power Development Plans (PDPs), </w:t>
      </w:r>
      <w:r>
        <w:rPr>
          <w:lang w:val="en-SG"/>
        </w:rPr>
        <w:t xml:space="preserve">many Southeast Asian </w:t>
      </w:r>
      <w:r w:rsidRPr="002068BA">
        <w:rPr>
          <w:lang w:val="en-SG"/>
        </w:rPr>
        <w:t xml:space="preserve">countries have substantially increased the projected renewables capacity.  Although coal will continue to dominate as the power sector’s choice of fuel for baseload by virtue of its lower cost, both gas and renewables are seen to be required to play their role in the energy mix </w:t>
      </w:r>
      <w:r w:rsidR="00323244">
        <w:rPr>
          <w:lang w:val="en-SG"/>
        </w:rPr>
        <w:t>over</w:t>
      </w:r>
      <w:r w:rsidRPr="002068BA">
        <w:rPr>
          <w:lang w:val="en-SG"/>
        </w:rPr>
        <w:t xml:space="preserve"> the long</w:t>
      </w:r>
      <w:r w:rsidR="00323244">
        <w:rPr>
          <w:lang w:val="en-SG"/>
        </w:rPr>
        <w:t xml:space="preserve">er </w:t>
      </w:r>
      <w:r w:rsidRPr="002068BA">
        <w:rPr>
          <w:lang w:val="en-SG"/>
        </w:rPr>
        <w:t xml:space="preserve">term. </w:t>
      </w:r>
      <w:r>
        <w:rPr>
          <w:lang w:val="en-SG"/>
        </w:rPr>
        <w:t xml:space="preserve"> </w:t>
      </w:r>
    </w:p>
    <w:p w14:paraId="1B6D8535" w14:textId="1F3CF3A1" w:rsidR="001B59AC" w:rsidRDefault="001B59AC" w:rsidP="001B59AC">
      <w:pPr>
        <w:pStyle w:val="Caption"/>
      </w:pPr>
      <w:r>
        <w:t xml:space="preserve">Figure </w:t>
      </w:r>
      <w:r>
        <w:fldChar w:fldCharType="begin"/>
      </w:r>
      <w:r>
        <w:instrText xml:space="preserve"> SEQ Figure \* ARABIC </w:instrText>
      </w:r>
      <w:r>
        <w:fldChar w:fldCharType="separate"/>
      </w:r>
      <w:r w:rsidR="006F531A">
        <w:rPr>
          <w:noProof/>
        </w:rPr>
        <w:t>9</w:t>
      </w:r>
      <w:r>
        <w:fldChar w:fldCharType="end"/>
      </w:r>
      <w:r>
        <w:t xml:space="preserve"> - Fuel Mix Policy Convergence Across Asia</w:t>
      </w:r>
    </w:p>
    <w:p w14:paraId="539C0145" w14:textId="5EA8556A" w:rsidR="001B59AC" w:rsidRDefault="001B59AC" w:rsidP="001B59AC">
      <w:pPr>
        <w:pStyle w:val="BodyText"/>
      </w:pPr>
      <w:r>
        <w:rPr>
          <w:noProof/>
        </w:rPr>
        <w:drawing>
          <wp:inline distT="0" distB="0" distL="0" distR="0" wp14:anchorId="5BC35497" wp14:editId="6975937F">
            <wp:extent cx="4928693" cy="3244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45637" cy="3256005"/>
                    </a:xfrm>
                    <a:prstGeom prst="rect">
                      <a:avLst/>
                    </a:prstGeom>
                    <a:noFill/>
                  </pic:spPr>
                </pic:pic>
              </a:graphicData>
            </a:graphic>
          </wp:inline>
        </w:drawing>
      </w:r>
    </w:p>
    <w:p w14:paraId="3C051503" w14:textId="77777777" w:rsidR="009E7445" w:rsidRPr="009E7445" w:rsidRDefault="009E7445" w:rsidP="009E7445">
      <w:pPr>
        <w:pStyle w:val="BodyText"/>
        <w:spacing w:before="0"/>
        <w:rPr>
          <w:sz w:val="16"/>
        </w:rPr>
      </w:pPr>
      <w:r w:rsidRPr="009E7445">
        <w:rPr>
          <w:sz w:val="16"/>
        </w:rPr>
        <w:t>Source: TLG</w:t>
      </w:r>
    </w:p>
    <w:p w14:paraId="73943EDB" w14:textId="77777777" w:rsidR="001B59AC" w:rsidRDefault="001B59AC" w:rsidP="001B59AC">
      <w:pPr>
        <w:pStyle w:val="Heading2"/>
        <w:numPr>
          <w:ilvl w:val="1"/>
          <w:numId w:val="2"/>
        </w:numPr>
        <w:ind w:left="0" w:hanging="706"/>
      </w:pPr>
      <w:bookmarkStart w:id="36" w:name="_Toc524653564"/>
      <w:r>
        <w:lastRenderedPageBreak/>
        <w:t>Key Drivers and Risk Factors</w:t>
      </w:r>
      <w:bookmarkEnd w:id="36"/>
    </w:p>
    <w:p w14:paraId="193C5F7B" w14:textId="54595C06" w:rsidR="001B59AC" w:rsidRDefault="001B59AC" w:rsidP="001B59AC">
      <w:pPr>
        <w:pStyle w:val="BodyText"/>
      </w:pPr>
      <w:r>
        <w:t>Evidence from across Asia highlights that the success of developing LNG importation infrastructure in Vietnam will invariably be tied to a number of pre-requisite characteristics being present as well as specific risk factors being overcome (</w:t>
      </w:r>
      <w:r w:rsidRPr="00124878">
        <w:fldChar w:fldCharType="begin"/>
      </w:r>
      <w:r w:rsidRPr="00124878">
        <w:instrText xml:space="preserve"> REF _Ref524514927 \h  \* MERGEFORMAT </w:instrText>
      </w:r>
      <w:r w:rsidRPr="00124878">
        <w:fldChar w:fldCharType="separate"/>
      </w:r>
      <w:r w:rsidR="006F531A" w:rsidRPr="00BA7E4F">
        <w:t xml:space="preserve">Figure </w:t>
      </w:r>
      <w:r w:rsidR="006F531A">
        <w:rPr>
          <w:noProof/>
        </w:rPr>
        <w:t>10</w:t>
      </w:r>
      <w:r w:rsidRPr="00124878">
        <w:fldChar w:fldCharType="end"/>
      </w:r>
      <w:r>
        <w:t>).</w:t>
      </w:r>
    </w:p>
    <w:p w14:paraId="3C27B857" w14:textId="0FD91430" w:rsidR="001B59AC" w:rsidRPr="00BA7E4F" w:rsidRDefault="001B59AC" w:rsidP="001B59AC">
      <w:pPr>
        <w:pStyle w:val="Caption"/>
      </w:pPr>
      <w:bookmarkStart w:id="37" w:name="_Ref524514927"/>
      <w:r w:rsidRPr="00BA7E4F">
        <w:t xml:space="preserve">Figure </w:t>
      </w:r>
      <w:r w:rsidRPr="00BA7E4F">
        <w:fldChar w:fldCharType="begin"/>
      </w:r>
      <w:r w:rsidRPr="00BA7E4F">
        <w:instrText xml:space="preserve"> SEQ Figure \* ARABIC </w:instrText>
      </w:r>
      <w:r w:rsidRPr="00BA7E4F">
        <w:fldChar w:fldCharType="separate"/>
      </w:r>
      <w:r w:rsidR="006F531A">
        <w:rPr>
          <w:noProof/>
        </w:rPr>
        <w:t>10</w:t>
      </w:r>
      <w:r w:rsidRPr="00BA7E4F">
        <w:fldChar w:fldCharType="end"/>
      </w:r>
      <w:bookmarkEnd w:id="37"/>
      <w:r w:rsidRPr="00BA7E4F">
        <w:t xml:space="preserve"> - Presence of </w:t>
      </w:r>
      <w:r w:rsidRPr="00BA7E4F">
        <w:rPr>
          <w:lang w:val="en-US"/>
        </w:rPr>
        <w:t>Key Drivers and Risk Factors to Ensure an LNG Importation Model</w:t>
      </w:r>
    </w:p>
    <w:p w14:paraId="5AD7C675" w14:textId="5E17AF0B" w:rsidR="001B59AC" w:rsidRDefault="001B59AC" w:rsidP="001B59AC">
      <w:pPr>
        <w:pStyle w:val="BodyText"/>
      </w:pPr>
      <w:r>
        <w:rPr>
          <w:noProof/>
        </w:rPr>
        <w:drawing>
          <wp:inline distT="0" distB="0" distL="0" distR="0" wp14:anchorId="2B4524C8" wp14:editId="16A0DE1B">
            <wp:extent cx="5198711" cy="29718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05187" cy="2975502"/>
                    </a:xfrm>
                    <a:prstGeom prst="rect">
                      <a:avLst/>
                    </a:prstGeom>
                    <a:noFill/>
                  </pic:spPr>
                </pic:pic>
              </a:graphicData>
            </a:graphic>
          </wp:inline>
        </w:drawing>
      </w:r>
    </w:p>
    <w:p w14:paraId="04DFA45D" w14:textId="77777777" w:rsidR="009E7445" w:rsidRPr="009E7445" w:rsidRDefault="009E7445" w:rsidP="009E7445">
      <w:pPr>
        <w:pStyle w:val="BodyText"/>
        <w:spacing w:before="0"/>
        <w:rPr>
          <w:sz w:val="16"/>
        </w:rPr>
      </w:pPr>
      <w:r w:rsidRPr="009E7445">
        <w:rPr>
          <w:sz w:val="16"/>
        </w:rPr>
        <w:t>Source: TLG</w:t>
      </w:r>
    </w:p>
    <w:p w14:paraId="22E56314" w14:textId="24630C75" w:rsidR="001B59AC" w:rsidRDefault="001B59AC" w:rsidP="001B59AC">
      <w:pPr>
        <w:pStyle w:val="BodyText"/>
      </w:pPr>
      <w:r w:rsidRPr="00124878">
        <w:fldChar w:fldCharType="begin"/>
      </w:r>
      <w:r w:rsidRPr="00124878">
        <w:instrText xml:space="preserve"> REF _Ref524514927 \h  \* MERGEFORMAT </w:instrText>
      </w:r>
      <w:r w:rsidRPr="00124878">
        <w:fldChar w:fldCharType="separate"/>
      </w:r>
      <w:r w:rsidR="006F531A" w:rsidRPr="00BA7E4F">
        <w:t xml:space="preserve">Figure </w:t>
      </w:r>
      <w:r w:rsidR="006F531A">
        <w:rPr>
          <w:noProof/>
        </w:rPr>
        <w:t>10</w:t>
      </w:r>
      <w:r w:rsidRPr="00124878">
        <w:fldChar w:fldCharType="end"/>
      </w:r>
      <w:r>
        <w:t xml:space="preserve"> illustrates that these drivers of LNG importation and associated risk factors are wide-ranging and span both the public and private sectors.  For example, where an inadequate regulatory framework exists, reforms are needed to create regulatory oversight for the LNG value chain (e.g. a dedicated LNG Law or Decree), Third Party Access (TPA)</w:t>
      </w:r>
      <w:r w:rsidR="00CB6652">
        <w:t xml:space="preserve"> to promote market liberalization</w:t>
      </w:r>
      <w:r>
        <w:t>, and new gas network codes</w:t>
      </w:r>
      <w:r w:rsidR="00CB6652">
        <w:t xml:space="preserve"> to establish to support competition, </w:t>
      </w:r>
      <w:r>
        <w:t>among other aspects.</w:t>
      </w:r>
    </w:p>
    <w:p w14:paraId="5516B14F" w14:textId="739A2E9E" w:rsidR="001B59AC" w:rsidRDefault="001B59AC" w:rsidP="001B59AC">
      <w:pPr>
        <w:pStyle w:val="BodyText"/>
      </w:pPr>
      <w:r>
        <w:t xml:space="preserve">In the case of maiden LNG projects, </w:t>
      </w:r>
      <w:r w:rsidR="00CB6652">
        <w:t xml:space="preserve">we observe </w:t>
      </w:r>
      <w:r>
        <w:t xml:space="preserve">certain </w:t>
      </w:r>
      <w:r w:rsidR="00CB6652">
        <w:t>common factors</w:t>
      </w:r>
      <w:r>
        <w:t xml:space="preserve"> of particular importance.  These include </w:t>
      </w:r>
      <w:r w:rsidR="00CB6652">
        <w:t xml:space="preserve">the desire for </w:t>
      </w:r>
      <w:r>
        <w:t>LNG development being championed by national oil companies (NOCs) and the role of aggregators to manage</w:t>
      </w:r>
      <w:r w:rsidRPr="00BA7E4F">
        <w:t xml:space="preserve"> </w:t>
      </w:r>
      <w:r w:rsidR="00CB6652">
        <w:t xml:space="preserve">or minimize </w:t>
      </w:r>
      <w:r w:rsidRPr="00BA7E4F">
        <w:t>LNG supply sourcing and offtake risks</w:t>
      </w:r>
      <w:r>
        <w:t xml:space="preserve"> </w:t>
      </w:r>
      <w:r w:rsidRPr="00BA7E4F">
        <w:t xml:space="preserve">at the portfolio level </w:t>
      </w:r>
      <w:r>
        <w:t xml:space="preserve">in order </w:t>
      </w:r>
      <w:r w:rsidRPr="00BA7E4F">
        <w:t>to achieve better contracting and pricing terms</w:t>
      </w:r>
      <w:r>
        <w:t>.  They also include the ability of LNG development to lead to a more efficient use of indigenous gas resources and to serve as a bridging fuel as domestic reserves diminish.  The role of the private sector is equally important; p</w:t>
      </w:r>
      <w:r w:rsidRPr="00646AF1">
        <w:t>artnerships with experienced international players not only create beneficial supply sourcing and pricing options, but also promote knowledge transfer and capacity building for the local entitie</w:t>
      </w:r>
      <w:r>
        <w:t>s.</w:t>
      </w:r>
    </w:p>
    <w:p w14:paraId="3C7AE003" w14:textId="2F4B5D29" w:rsidR="001B59AC" w:rsidRDefault="001B59AC" w:rsidP="004D6EC4">
      <w:pPr>
        <w:pStyle w:val="BodyText"/>
        <w:rPr>
          <w:rStyle w:val="Heading4Char"/>
        </w:rPr>
      </w:pPr>
      <w:r>
        <w:t>The rest of this section now explores some of the above drivers and risk factors in more detail, drawing on relevant international experience</w:t>
      </w:r>
      <w:r w:rsidR="00CB6652">
        <w:t xml:space="preserve"> into the Vietnamese context</w:t>
      </w:r>
      <w:r>
        <w:t>.</w:t>
      </w:r>
      <w:r>
        <w:rPr>
          <w:rStyle w:val="Heading4Char"/>
        </w:rPr>
        <w:br w:type="page"/>
      </w:r>
    </w:p>
    <w:p w14:paraId="50F0A0CA" w14:textId="77777777" w:rsidR="001B59AC" w:rsidRDefault="001B59AC" w:rsidP="001B59AC">
      <w:pPr>
        <w:pStyle w:val="BodyText"/>
        <w:rPr>
          <w:rStyle w:val="Heading4Char"/>
        </w:rPr>
      </w:pPr>
      <w:r w:rsidRPr="00BA7E4F">
        <w:rPr>
          <w:rStyle w:val="Heading4Char"/>
        </w:rPr>
        <w:lastRenderedPageBreak/>
        <w:t>Government Guarantee and Undertaking structures</w:t>
      </w:r>
    </w:p>
    <w:p w14:paraId="757EB49D" w14:textId="51FF2AF2" w:rsidR="00A67842" w:rsidRDefault="001B59AC" w:rsidP="007765E3">
      <w:pPr>
        <w:pStyle w:val="BodyText"/>
      </w:pPr>
      <w:r>
        <w:t xml:space="preserve">We observe that risks associated with LNG-to-power project structures in emerging LNG markets must be managed to </w:t>
      </w:r>
      <w:r w:rsidR="00047030">
        <w:t>allow</w:t>
      </w:r>
      <w:r>
        <w:t xml:space="preserve"> LNG value chain development to integrate more effectively with the power sector.  Such risk structures include, for example, the provision of adequate sovereign risk guarantees in the form of Government Guarantee and Undertakings (GGU), to support the participation of foreign entities in infrastructure development</w:t>
      </w:r>
      <w:r w:rsidR="00BE04A4">
        <w:t xml:space="preserve">. </w:t>
      </w:r>
      <w:r>
        <w:t xml:space="preserve"> </w:t>
      </w:r>
    </w:p>
    <w:p w14:paraId="757B0773" w14:textId="77777777" w:rsidR="001B59AC" w:rsidRPr="00BA7E4F" w:rsidRDefault="001B59AC" w:rsidP="001B59AC">
      <w:pPr>
        <w:pStyle w:val="Heading4"/>
        <w:rPr>
          <w:strike/>
        </w:rPr>
      </w:pPr>
      <w:r w:rsidRPr="00BA7E4F">
        <w:t>Pricing Regimes for Gas and Power</w:t>
      </w:r>
      <w:bookmarkStart w:id="38" w:name="_Hlk524465957"/>
    </w:p>
    <w:p w14:paraId="0BD9CB67" w14:textId="7EB49795" w:rsidR="001B59AC" w:rsidRDefault="001B59AC" w:rsidP="001B59AC">
      <w:pPr>
        <w:pStyle w:val="BodyText"/>
      </w:pPr>
      <w:r>
        <w:t xml:space="preserve">A shift towards market-based pricing, through the gradual removal of gas and electricity price subsidies is a critical step for providing competitive market pricing for both gas and power.  Artificially low domestic gas prices create distortions along the gas value chain as gas prices not only fail to reflect higher market prices required to attract LNG supply, but also lead to the inefficient allocation and use of natural gas.  A transition towards market-based pricing therefore supports the introduction of LNG into the power sector, and indeed is a common feature of new and emerging LNG importing nations.  </w:t>
      </w:r>
      <w:r>
        <w:fldChar w:fldCharType="begin"/>
      </w:r>
      <w:r>
        <w:instrText xml:space="preserve"> REF _Ref524548885 \h </w:instrText>
      </w:r>
      <w:r>
        <w:fldChar w:fldCharType="separate"/>
      </w:r>
      <w:r w:rsidR="006F531A">
        <w:t xml:space="preserve">Table </w:t>
      </w:r>
      <w:r w:rsidR="006F531A">
        <w:rPr>
          <w:noProof/>
        </w:rPr>
        <w:t>1</w:t>
      </w:r>
      <w:r>
        <w:fldChar w:fldCharType="end"/>
      </w:r>
      <w:r>
        <w:t xml:space="preserve"> highlights the prevalence of cost reflective pricing across new and emerging LNG importing nations.</w:t>
      </w:r>
    </w:p>
    <w:p w14:paraId="3D5CF560" w14:textId="77777777" w:rsidR="001B59AC" w:rsidRDefault="001B59AC" w:rsidP="001B59AC">
      <w:r>
        <w:br w:type="page"/>
      </w:r>
    </w:p>
    <w:p w14:paraId="323E3E3D" w14:textId="7B30270F" w:rsidR="001B59AC" w:rsidRDefault="001B59AC" w:rsidP="001B59AC">
      <w:pPr>
        <w:pStyle w:val="Caption"/>
      </w:pPr>
      <w:bookmarkStart w:id="39" w:name="_Ref524548885"/>
      <w:r>
        <w:lastRenderedPageBreak/>
        <w:t xml:space="preserve">Table </w:t>
      </w:r>
      <w:r>
        <w:fldChar w:fldCharType="begin"/>
      </w:r>
      <w:r>
        <w:instrText xml:space="preserve"> SEQ Table \* ARABIC </w:instrText>
      </w:r>
      <w:r>
        <w:fldChar w:fldCharType="separate"/>
      </w:r>
      <w:r w:rsidR="006F531A">
        <w:rPr>
          <w:noProof/>
        </w:rPr>
        <w:t>1</w:t>
      </w:r>
      <w:r>
        <w:fldChar w:fldCharType="end"/>
      </w:r>
      <w:bookmarkEnd w:id="39"/>
      <w:r>
        <w:t xml:space="preserve"> - Gas and Power Pricing Regimes Across Existing/New LNG Importing Nations</w:t>
      </w:r>
    </w:p>
    <w:tbl>
      <w:tblPr>
        <w:tblStyle w:val="TableGrid"/>
        <w:tblW w:w="0" w:type="auto"/>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ook w:val="04A0" w:firstRow="1" w:lastRow="0" w:firstColumn="1" w:lastColumn="0" w:noHBand="0" w:noVBand="1"/>
      </w:tblPr>
      <w:tblGrid>
        <w:gridCol w:w="1251"/>
        <w:gridCol w:w="3277"/>
        <w:gridCol w:w="3406"/>
      </w:tblGrid>
      <w:tr w:rsidR="001B59AC" w14:paraId="18BF35B0" w14:textId="77777777" w:rsidTr="00600513">
        <w:tc>
          <w:tcPr>
            <w:tcW w:w="1251" w:type="dxa"/>
            <w:tcBorders>
              <w:top w:val="single" w:sz="6" w:space="0" w:color="FFFFFF"/>
              <w:left w:val="single" w:sz="6" w:space="0" w:color="FFFFFF"/>
              <w:bottom w:val="single" w:sz="6" w:space="0" w:color="FFFFFF"/>
              <w:right w:val="single" w:sz="6" w:space="0" w:color="FFFFFF"/>
            </w:tcBorders>
            <w:shd w:val="clear" w:color="auto" w:fill="auto"/>
            <w:hideMark/>
          </w:tcPr>
          <w:p w14:paraId="18E68640" w14:textId="77777777" w:rsidR="001B59AC" w:rsidRDefault="001B59AC" w:rsidP="00D3512E">
            <w:pPr>
              <w:pStyle w:val="TableHeading"/>
            </w:pPr>
          </w:p>
        </w:tc>
        <w:tc>
          <w:tcPr>
            <w:tcW w:w="3277" w:type="dxa"/>
            <w:tcBorders>
              <w:top w:val="single" w:sz="6" w:space="0" w:color="FFFFFF"/>
              <w:left w:val="single" w:sz="6" w:space="0" w:color="FFFFFF"/>
              <w:bottom w:val="single" w:sz="6" w:space="0" w:color="FFFFFF"/>
              <w:right w:val="single" w:sz="6" w:space="0" w:color="FFFFFF"/>
            </w:tcBorders>
            <w:shd w:val="clear" w:color="auto" w:fill="005581" w:themeFill="text2"/>
            <w:hideMark/>
          </w:tcPr>
          <w:p w14:paraId="5EB901CA" w14:textId="77777777" w:rsidR="001B59AC" w:rsidRDefault="001B59AC" w:rsidP="00D3512E">
            <w:pPr>
              <w:pStyle w:val="TableHeading"/>
            </w:pPr>
            <w:r>
              <w:rPr>
                <w:bCs/>
                <w:lang w:val="en-HK"/>
              </w:rPr>
              <w:t>Gas Pricing Regime</w:t>
            </w:r>
          </w:p>
        </w:tc>
        <w:tc>
          <w:tcPr>
            <w:tcW w:w="3406" w:type="dxa"/>
            <w:tcBorders>
              <w:top w:val="single" w:sz="6" w:space="0" w:color="FFFFFF"/>
              <w:left w:val="single" w:sz="6" w:space="0" w:color="FFFFFF"/>
              <w:bottom w:val="single" w:sz="6" w:space="0" w:color="FFFFFF"/>
              <w:right w:val="single" w:sz="6" w:space="0" w:color="FFFFFF"/>
            </w:tcBorders>
            <w:shd w:val="clear" w:color="auto" w:fill="005581" w:themeFill="text2"/>
          </w:tcPr>
          <w:p w14:paraId="7A869997" w14:textId="77777777" w:rsidR="001B59AC" w:rsidRDefault="001B59AC" w:rsidP="00D3512E">
            <w:pPr>
              <w:pStyle w:val="TableHeading"/>
              <w:rPr>
                <w:bCs/>
                <w:lang w:val="en-HK"/>
              </w:rPr>
            </w:pPr>
            <w:r>
              <w:rPr>
                <w:bCs/>
                <w:lang w:val="en-HK"/>
              </w:rPr>
              <w:t>Power Pricing Regime</w:t>
            </w:r>
          </w:p>
        </w:tc>
      </w:tr>
      <w:tr w:rsidR="001B59AC" w14:paraId="3F1538E1" w14:textId="77777777" w:rsidTr="00600513">
        <w:tc>
          <w:tcPr>
            <w:tcW w:w="1251"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7A7B4FEA" w14:textId="77777777" w:rsidR="001B59AC" w:rsidRPr="00D51EB5" w:rsidRDefault="001B59AC" w:rsidP="00D3512E">
            <w:pPr>
              <w:pStyle w:val="TableText"/>
              <w:rPr>
                <w:b/>
              </w:rPr>
            </w:pPr>
            <w:r w:rsidRPr="00D51EB5">
              <w:rPr>
                <w:b/>
              </w:rPr>
              <w:t>Pakistan</w:t>
            </w:r>
          </w:p>
        </w:tc>
        <w:tc>
          <w:tcPr>
            <w:tcW w:w="327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67B5BFF0" w14:textId="77777777" w:rsidR="001B59AC" w:rsidRPr="002C056D" w:rsidRDefault="001B59AC" w:rsidP="00D3512E">
            <w:pPr>
              <w:pStyle w:val="TableBullet"/>
              <w:ind w:left="238" w:hanging="227"/>
            </w:pPr>
            <w:r w:rsidRPr="002C056D">
              <w:t>Cost-pass through regime, no subsidy</w:t>
            </w:r>
          </w:p>
          <w:p w14:paraId="429144D0" w14:textId="77777777" w:rsidR="001B59AC" w:rsidRPr="002C056D" w:rsidRDefault="001B59AC" w:rsidP="00D3512E">
            <w:pPr>
              <w:pStyle w:val="TableBullet"/>
              <w:ind w:left="238" w:hanging="227"/>
            </w:pPr>
            <w:r w:rsidRPr="002C056D">
              <w:t>LNG contracts linked to Brent</w:t>
            </w:r>
          </w:p>
        </w:tc>
        <w:tc>
          <w:tcPr>
            <w:tcW w:w="3406"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5A09A53F" w14:textId="77777777" w:rsidR="001B59AC" w:rsidRPr="002C056D" w:rsidRDefault="001B59AC" w:rsidP="00D3512E">
            <w:pPr>
              <w:pStyle w:val="TableBullet"/>
              <w:ind w:left="238" w:hanging="227"/>
            </w:pPr>
            <w:r>
              <w:t>L</w:t>
            </w:r>
            <w:r w:rsidRPr="00BA7E4F">
              <w:t xml:space="preserve">atest subsidy reduction was in mid-2015 with no plan for other reduction in the near future. </w:t>
            </w:r>
          </w:p>
        </w:tc>
      </w:tr>
      <w:tr w:rsidR="001B59AC" w14:paraId="6F1EE9C1" w14:textId="77777777" w:rsidTr="00600513">
        <w:tc>
          <w:tcPr>
            <w:tcW w:w="1251"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2C33E528" w14:textId="77777777" w:rsidR="001B59AC" w:rsidRPr="00D51EB5" w:rsidRDefault="001B59AC" w:rsidP="00D3512E">
            <w:pPr>
              <w:pStyle w:val="TableText"/>
              <w:rPr>
                <w:b/>
              </w:rPr>
            </w:pPr>
            <w:r w:rsidRPr="00D51EB5">
              <w:rPr>
                <w:b/>
              </w:rPr>
              <w:t>Bangladesh</w:t>
            </w:r>
          </w:p>
        </w:tc>
        <w:tc>
          <w:tcPr>
            <w:tcW w:w="327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5DEB0C11" w14:textId="77777777" w:rsidR="001B59AC" w:rsidRPr="002C056D" w:rsidRDefault="001B59AC" w:rsidP="00D3512E">
            <w:pPr>
              <w:pStyle w:val="TableBullet"/>
              <w:ind w:left="238" w:hanging="227"/>
            </w:pPr>
            <w:r w:rsidRPr="002C056D">
              <w:t>LNG price is hybrid HH and oil-linked</w:t>
            </w:r>
          </w:p>
          <w:p w14:paraId="1D3ACE88" w14:textId="77777777" w:rsidR="001B59AC" w:rsidRPr="002C056D" w:rsidRDefault="001B59AC" w:rsidP="00D3512E">
            <w:pPr>
              <w:pStyle w:val="TableBullet"/>
              <w:ind w:left="238" w:hanging="227"/>
            </w:pPr>
            <w:r w:rsidRPr="002C056D">
              <w:t>LNG is to be blended with domestic gas and the price to the end-users will be a weighted average of LNG and domestic gas</w:t>
            </w:r>
          </w:p>
        </w:tc>
        <w:tc>
          <w:tcPr>
            <w:tcW w:w="3406"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7411EF86" w14:textId="77777777" w:rsidR="001B59AC" w:rsidRPr="002C056D" w:rsidRDefault="001B59AC" w:rsidP="00D3512E">
            <w:pPr>
              <w:pStyle w:val="TableBullet"/>
              <w:ind w:left="238" w:hanging="227"/>
            </w:pPr>
            <w:r w:rsidRPr="00BA7E4F">
              <w:t>Plann</w:t>
            </w:r>
            <w:r>
              <w:t>ed</w:t>
            </w:r>
            <w:r w:rsidRPr="00BA7E4F">
              <w:t xml:space="preserve"> power reform to address inefficient pricing</w:t>
            </w:r>
          </w:p>
        </w:tc>
      </w:tr>
      <w:tr w:rsidR="001B59AC" w14:paraId="3E50E88C" w14:textId="77777777" w:rsidTr="00600513">
        <w:tc>
          <w:tcPr>
            <w:tcW w:w="1251"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0FFA778B" w14:textId="77777777" w:rsidR="001B59AC" w:rsidRPr="00D51EB5" w:rsidRDefault="001B59AC" w:rsidP="00D3512E">
            <w:pPr>
              <w:pStyle w:val="TableText"/>
              <w:rPr>
                <w:b/>
              </w:rPr>
            </w:pPr>
            <w:r w:rsidRPr="00D51EB5">
              <w:rPr>
                <w:b/>
              </w:rPr>
              <w:t>South Korea</w:t>
            </w:r>
          </w:p>
        </w:tc>
        <w:tc>
          <w:tcPr>
            <w:tcW w:w="327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16C8CEAA" w14:textId="77777777" w:rsidR="001B59AC" w:rsidRPr="002C056D" w:rsidRDefault="001B59AC" w:rsidP="00D3512E">
            <w:pPr>
              <w:pStyle w:val="TableBullet"/>
              <w:ind w:left="238" w:hanging="227"/>
            </w:pPr>
            <w:r w:rsidRPr="002C056D">
              <w:t xml:space="preserve">Cost passed onto consumers </w:t>
            </w:r>
          </w:p>
          <w:p w14:paraId="30AD07F5" w14:textId="77777777" w:rsidR="001B59AC" w:rsidRPr="002C056D" w:rsidRDefault="001B59AC" w:rsidP="00D3512E">
            <w:pPr>
              <w:pStyle w:val="TableBullet"/>
              <w:ind w:left="238" w:hanging="227"/>
            </w:pPr>
            <w:r w:rsidRPr="002C056D">
              <w:t>Wholesale prices comprise LNG costs plus a guaranteed operating income to KOGAS; retail prices have additional retail margin</w:t>
            </w:r>
          </w:p>
          <w:p w14:paraId="7916FE51" w14:textId="77777777" w:rsidR="001B59AC" w:rsidRPr="002C056D" w:rsidRDefault="001B59AC" w:rsidP="00D3512E">
            <w:pPr>
              <w:pStyle w:val="TableBullet"/>
              <w:ind w:left="238" w:hanging="227"/>
            </w:pPr>
            <w:r w:rsidRPr="002C056D">
              <w:t>Most LNG term contracts are oil-indexed</w:t>
            </w:r>
          </w:p>
        </w:tc>
        <w:tc>
          <w:tcPr>
            <w:tcW w:w="3406"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02277219" w14:textId="77777777" w:rsidR="001B59AC" w:rsidRPr="002C056D" w:rsidRDefault="001B59AC" w:rsidP="00D3512E">
            <w:pPr>
              <w:pStyle w:val="TableBullet"/>
              <w:ind w:left="238" w:hanging="227"/>
            </w:pPr>
            <w:r>
              <w:t>Full c</w:t>
            </w:r>
            <w:r w:rsidRPr="002C056D">
              <w:t xml:space="preserve">ost pass-through to consumers </w:t>
            </w:r>
          </w:p>
        </w:tc>
      </w:tr>
      <w:tr w:rsidR="001B59AC" w14:paraId="5F122134" w14:textId="77777777" w:rsidTr="00600513">
        <w:tc>
          <w:tcPr>
            <w:tcW w:w="1251"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40F616EE" w14:textId="77777777" w:rsidR="001B59AC" w:rsidRPr="00D51EB5" w:rsidRDefault="001B59AC" w:rsidP="00D3512E">
            <w:pPr>
              <w:pStyle w:val="TableText"/>
              <w:rPr>
                <w:b/>
              </w:rPr>
            </w:pPr>
            <w:r w:rsidRPr="00D51EB5">
              <w:rPr>
                <w:b/>
              </w:rPr>
              <w:t>Thailand</w:t>
            </w:r>
          </w:p>
        </w:tc>
        <w:tc>
          <w:tcPr>
            <w:tcW w:w="327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3BDA91A9" w14:textId="77777777" w:rsidR="001B59AC" w:rsidRPr="002C056D" w:rsidRDefault="001B59AC" w:rsidP="00D3512E">
            <w:pPr>
              <w:pStyle w:val="TableBullet"/>
              <w:ind w:left="238" w:hanging="227"/>
            </w:pPr>
            <w:r w:rsidRPr="002C056D">
              <w:t xml:space="preserve">Upstream gas is blend of starting fixed price w/ linkage to fuel oil; </w:t>
            </w:r>
            <w:r w:rsidRPr="00BA7E4F">
              <w:t>LNG linked to oil price</w:t>
            </w:r>
          </w:p>
          <w:p w14:paraId="4B12DB22" w14:textId="77777777" w:rsidR="001B59AC" w:rsidRPr="002C056D" w:rsidRDefault="001B59AC" w:rsidP="00D3512E">
            <w:pPr>
              <w:pStyle w:val="TableBullet"/>
              <w:ind w:left="238" w:hanging="227"/>
            </w:pPr>
            <w:r>
              <w:rPr>
                <w:lang w:val="en-US"/>
              </w:rPr>
              <w:t xml:space="preserve">Based on a cost-plus pricing regime where producers may pass costs onto consumers.  </w:t>
            </w:r>
            <w:r w:rsidRPr="002C056D">
              <w:t>Cross-subsidies mostly removed</w:t>
            </w:r>
          </w:p>
        </w:tc>
        <w:tc>
          <w:tcPr>
            <w:tcW w:w="3406"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2D6D7FEB" w14:textId="77777777" w:rsidR="001B59AC" w:rsidRPr="00BA7E4F" w:rsidRDefault="001B59AC" w:rsidP="00D3512E">
            <w:pPr>
              <w:pStyle w:val="TableBullet"/>
              <w:ind w:left="238" w:hanging="227"/>
            </w:pPr>
            <w:r w:rsidRPr="00BA7E4F">
              <w:t>Cross-subsidies</w:t>
            </w:r>
            <w:r>
              <w:t xml:space="preserve"> and</w:t>
            </w:r>
            <w:r w:rsidRPr="00BA7E4F">
              <w:t xml:space="preserve"> subsidies for lower income groups</w:t>
            </w:r>
            <w:r>
              <w:t xml:space="preserve"> only,</w:t>
            </w:r>
          </w:p>
          <w:p w14:paraId="5CD128AB" w14:textId="77777777" w:rsidR="001B59AC" w:rsidRPr="002C056D" w:rsidRDefault="001B59AC" w:rsidP="00D3512E">
            <w:pPr>
              <w:pStyle w:val="TableBullet"/>
              <w:ind w:left="238" w:hanging="227"/>
            </w:pPr>
            <w:r w:rsidRPr="00BA7E4F">
              <w:t xml:space="preserve">In the long run, the </w:t>
            </w:r>
            <w:r>
              <w:t>govt.</w:t>
            </w:r>
            <w:r w:rsidRPr="00BA7E4F">
              <w:t xml:space="preserve"> plans to bring most fuel and electricity prices to cost reflective levels</w:t>
            </w:r>
          </w:p>
        </w:tc>
      </w:tr>
      <w:tr w:rsidR="001B59AC" w14:paraId="1290B368" w14:textId="77777777" w:rsidTr="00600513">
        <w:tc>
          <w:tcPr>
            <w:tcW w:w="1251"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5590B61C" w14:textId="77777777" w:rsidR="001B59AC" w:rsidRPr="00D51EB5" w:rsidRDefault="001B59AC" w:rsidP="00D3512E">
            <w:pPr>
              <w:pStyle w:val="TableText"/>
              <w:rPr>
                <w:b/>
              </w:rPr>
            </w:pPr>
            <w:r w:rsidRPr="00D51EB5">
              <w:rPr>
                <w:b/>
              </w:rPr>
              <w:t>Philippines</w:t>
            </w:r>
          </w:p>
        </w:tc>
        <w:tc>
          <w:tcPr>
            <w:tcW w:w="327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2BA7316E" w14:textId="77777777" w:rsidR="001B59AC" w:rsidRPr="002C056D" w:rsidRDefault="001B59AC" w:rsidP="00D3512E">
            <w:pPr>
              <w:pStyle w:val="TableBullet"/>
              <w:ind w:left="238" w:hanging="227"/>
            </w:pPr>
            <w:r w:rsidRPr="002C056D">
              <w:t>Oil-linked (pass-through to end users via LT power contracts)</w:t>
            </w:r>
          </w:p>
        </w:tc>
        <w:tc>
          <w:tcPr>
            <w:tcW w:w="3406"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482019F5" w14:textId="77777777" w:rsidR="001B59AC" w:rsidRPr="002C056D" w:rsidRDefault="001B59AC" w:rsidP="00D3512E">
            <w:pPr>
              <w:pStyle w:val="TableBullet"/>
              <w:ind w:left="238" w:hanging="227"/>
            </w:pPr>
            <w:r>
              <w:t>Full c</w:t>
            </w:r>
            <w:r w:rsidRPr="002C056D">
              <w:t>ost pass-through to consumers, does not subsidise electricity tariffs or fuel prices</w:t>
            </w:r>
          </w:p>
        </w:tc>
      </w:tr>
      <w:tr w:rsidR="001B59AC" w14:paraId="082D6C0B" w14:textId="77777777" w:rsidTr="00600513">
        <w:tc>
          <w:tcPr>
            <w:tcW w:w="1251"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543F69BB" w14:textId="77777777" w:rsidR="001B59AC" w:rsidRPr="00D51EB5" w:rsidRDefault="001B59AC" w:rsidP="00D3512E">
            <w:pPr>
              <w:pStyle w:val="TableText"/>
              <w:rPr>
                <w:b/>
              </w:rPr>
            </w:pPr>
            <w:r w:rsidRPr="00D51EB5">
              <w:rPr>
                <w:b/>
              </w:rPr>
              <w:t>Malaysia</w:t>
            </w:r>
          </w:p>
        </w:tc>
        <w:tc>
          <w:tcPr>
            <w:tcW w:w="327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1FC819AE" w14:textId="77777777" w:rsidR="001B59AC" w:rsidRPr="00D51EB5" w:rsidRDefault="001B59AC" w:rsidP="00D3512E">
            <w:pPr>
              <w:pStyle w:val="TableBullet"/>
              <w:ind w:left="238" w:hanging="227"/>
            </w:pPr>
            <w:r w:rsidRPr="00D51EB5">
              <w:t>Gas subsidies gradually removed; net-back pricing mechanism adopted</w:t>
            </w:r>
          </w:p>
        </w:tc>
        <w:tc>
          <w:tcPr>
            <w:tcW w:w="3406"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5A8DED85" w14:textId="77777777" w:rsidR="001B59AC" w:rsidRPr="002C056D" w:rsidRDefault="001B59AC" w:rsidP="00D3512E">
            <w:pPr>
              <w:pStyle w:val="TableBullet"/>
              <w:ind w:left="238" w:hanging="227"/>
              <w:rPr>
                <w:lang w:val="en-HK"/>
              </w:rPr>
            </w:pPr>
            <w:r w:rsidRPr="002C056D">
              <w:rPr>
                <w:lang w:val="en-HK"/>
              </w:rPr>
              <w:t>Cross-subsidies and subsidies for low income groups</w:t>
            </w:r>
          </w:p>
          <w:p w14:paraId="11DDE1D5" w14:textId="77777777" w:rsidR="001B59AC" w:rsidRPr="00BA7E4F" w:rsidRDefault="001B59AC" w:rsidP="00D3512E">
            <w:pPr>
              <w:pStyle w:val="TableBullet"/>
              <w:ind w:left="238" w:hanging="227"/>
              <w:rPr>
                <w:lang w:val="en-HK"/>
              </w:rPr>
            </w:pPr>
            <w:r>
              <w:rPr>
                <w:lang w:val="en-HK"/>
              </w:rPr>
              <w:t>Govt.</w:t>
            </w:r>
            <w:r w:rsidRPr="002C056D">
              <w:rPr>
                <w:lang w:val="en-HK"/>
              </w:rPr>
              <w:t xml:space="preserve"> plan</w:t>
            </w:r>
            <w:r>
              <w:rPr>
                <w:lang w:val="en-HK"/>
              </w:rPr>
              <w:t>s</w:t>
            </w:r>
            <w:r w:rsidRPr="002C056D">
              <w:rPr>
                <w:lang w:val="en-HK"/>
              </w:rPr>
              <w:t xml:space="preserve"> to reduce all subsidies</w:t>
            </w:r>
          </w:p>
        </w:tc>
      </w:tr>
      <w:tr w:rsidR="001B59AC" w14:paraId="5EF1468A" w14:textId="77777777" w:rsidTr="00600513">
        <w:trPr>
          <w:trHeight w:val="673"/>
        </w:trPr>
        <w:tc>
          <w:tcPr>
            <w:tcW w:w="1251"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5196964C" w14:textId="77777777" w:rsidR="001B59AC" w:rsidRPr="00D51EB5" w:rsidRDefault="001B59AC" w:rsidP="00D3512E">
            <w:pPr>
              <w:pStyle w:val="TableText"/>
              <w:rPr>
                <w:b/>
              </w:rPr>
            </w:pPr>
            <w:r w:rsidRPr="00D51EB5">
              <w:rPr>
                <w:b/>
              </w:rPr>
              <w:t>Singapore</w:t>
            </w:r>
          </w:p>
        </w:tc>
        <w:tc>
          <w:tcPr>
            <w:tcW w:w="327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1910B336" w14:textId="77777777" w:rsidR="001B59AC" w:rsidRPr="00D51EB5" w:rsidRDefault="001B59AC" w:rsidP="00D3512E">
            <w:pPr>
              <w:pStyle w:val="TableBullet"/>
              <w:ind w:left="238" w:hanging="227"/>
            </w:pPr>
            <w:r w:rsidRPr="00D51EB5">
              <w:t>Piped gas linked to fuel oil, and LNG linked to crude oil</w:t>
            </w:r>
          </w:p>
          <w:p w14:paraId="30B7CAAD" w14:textId="77777777" w:rsidR="001B59AC" w:rsidRPr="00D51EB5" w:rsidRDefault="001B59AC" w:rsidP="00D3512E">
            <w:pPr>
              <w:pStyle w:val="TableBullet"/>
              <w:ind w:left="238" w:hanging="227"/>
            </w:pPr>
            <w:r w:rsidRPr="00D51EB5">
              <w:t>Cost pass-through to consumers</w:t>
            </w:r>
          </w:p>
        </w:tc>
        <w:tc>
          <w:tcPr>
            <w:tcW w:w="3406"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15E72132" w14:textId="77777777" w:rsidR="001B59AC" w:rsidRPr="00BA7E4F" w:rsidRDefault="001B59AC" w:rsidP="00D3512E">
            <w:pPr>
              <w:pStyle w:val="TableBullet"/>
              <w:ind w:left="238" w:hanging="227"/>
              <w:rPr>
                <w:lang w:val="en-HK"/>
              </w:rPr>
            </w:pPr>
            <w:r w:rsidRPr="002C056D">
              <w:t>Cost pass-through to consumers, does not subsidise electricity tariffs or fuel prices</w:t>
            </w:r>
          </w:p>
        </w:tc>
      </w:tr>
    </w:tbl>
    <w:bookmarkEnd w:id="38"/>
    <w:p w14:paraId="7941BF57" w14:textId="77777777" w:rsidR="004D6EC4" w:rsidRPr="009E7445" w:rsidRDefault="004D6EC4" w:rsidP="004D6EC4">
      <w:pPr>
        <w:pStyle w:val="BodyText"/>
        <w:spacing w:before="0"/>
        <w:rPr>
          <w:sz w:val="16"/>
        </w:rPr>
      </w:pPr>
      <w:r w:rsidRPr="009E7445">
        <w:rPr>
          <w:sz w:val="16"/>
        </w:rPr>
        <w:t>Source: TLG</w:t>
      </w:r>
    </w:p>
    <w:p w14:paraId="0DBD299C" w14:textId="77777777" w:rsidR="00D92EF4" w:rsidRPr="004D6EC4" w:rsidRDefault="00D92EF4" w:rsidP="001B59AC">
      <w:pPr>
        <w:pStyle w:val="Heading4"/>
        <w:rPr>
          <w:i w:val="0"/>
          <w:highlight w:val="cyan"/>
        </w:rPr>
      </w:pPr>
    </w:p>
    <w:p w14:paraId="5D0674E9" w14:textId="77777777" w:rsidR="00D92EF4" w:rsidRDefault="00D92EF4">
      <w:pPr>
        <w:rPr>
          <w:rFonts w:ascii="Arial Bold" w:hAnsi="Arial Bold"/>
          <w:b/>
          <w:i/>
          <w:color w:val="005581"/>
          <w:highlight w:val="cyan"/>
        </w:rPr>
      </w:pPr>
      <w:r>
        <w:rPr>
          <w:highlight w:val="cyan"/>
        </w:rPr>
        <w:br w:type="page"/>
      </w:r>
    </w:p>
    <w:p w14:paraId="692C11FE" w14:textId="234EDB70" w:rsidR="001B59AC" w:rsidRPr="00D92EF4" w:rsidRDefault="00600513" w:rsidP="001B59AC">
      <w:pPr>
        <w:pStyle w:val="Heading4"/>
      </w:pPr>
      <w:r w:rsidRPr="00D92EF4">
        <w:lastRenderedPageBreak/>
        <w:t>Role of State Owned National Champion</w:t>
      </w:r>
      <w:r w:rsidR="00B16266">
        <w:t>s</w:t>
      </w:r>
    </w:p>
    <w:p w14:paraId="303C3A56" w14:textId="6EE7E7B3" w:rsidR="00C80850" w:rsidRDefault="001B59AC" w:rsidP="001B59AC">
      <w:pPr>
        <w:pStyle w:val="BodyText"/>
        <w:rPr>
          <w:lang w:val="en-SG"/>
        </w:rPr>
      </w:pPr>
      <w:r>
        <w:t xml:space="preserve">Another consistent feature in new and emerging LNG importing countries is that </w:t>
      </w:r>
      <w:r w:rsidR="00600513">
        <w:t>state owned entities (SOE</w:t>
      </w:r>
      <w:r w:rsidR="00D92EF4">
        <w:t>s</w:t>
      </w:r>
      <w:r w:rsidR="00600513">
        <w:t xml:space="preserve">) are </w:t>
      </w:r>
      <w:r w:rsidR="00C80850">
        <w:t xml:space="preserve">often </w:t>
      </w:r>
      <w:r w:rsidR="00600513">
        <w:t xml:space="preserve">leveraged to </w:t>
      </w:r>
      <w:r w:rsidR="00C80850">
        <w:t>promote</w:t>
      </w:r>
      <w:r w:rsidR="00D92EF4">
        <w:t xml:space="preserve"> </w:t>
      </w:r>
      <w:r>
        <w:t>public and private investment</w:t>
      </w:r>
      <w:r w:rsidR="00D92EF4">
        <w:t xml:space="preserve">s </w:t>
      </w:r>
      <w:r w:rsidR="00C80850">
        <w:t>in across all segments of</w:t>
      </w:r>
      <w:r w:rsidR="00D92EF4">
        <w:t xml:space="preserve"> LNG value chain. </w:t>
      </w:r>
      <w:r w:rsidR="00B16266">
        <w:t xml:space="preserve"> </w:t>
      </w:r>
      <w:r w:rsidR="00D92EF4">
        <w:t>SOEs are naturally well-placed to either extend appropriate state guarantees</w:t>
      </w:r>
      <w:r w:rsidR="00D92EF4">
        <w:rPr>
          <w:rStyle w:val="FootnoteReference"/>
        </w:rPr>
        <w:footnoteReference w:id="10"/>
      </w:r>
      <w:r w:rsidR="00B16266">
        <w:t>,</w:t>
      </w:r>
      <w:r w:rsidR="00D92EF4">
        <w:t xml:space="preserve"> facilitate Government-to-Government corporation</w:t>
      </w:r>
      <w:r w:rsidR="00D92EF4">
        <w:rPr>
          <w:rStyle w:val="FootnoteReference"/>
        </w:rPr>
        <w:footnoteReference w:id="11"/>
      </w:r>
      <w:r w:rsidR="00B16266">
        <w:t>,</w:t>
      </w:r>
      <w:r w:rsidR="00D92EF4">
        <w:t xml:space="preserve"> or undertake management / ownership of </w:t>
      </w:r>
      <w:r w:rsidR="00D92EF4" w:rsidRPr="00D92EF4">
        <w:rPr>
          <w:lang w:val="en-US"/>
        </w:rPr>
        <w:t>construction and operation</w:t>
      </w:r>
      <w:r w:rsidR="00D92EF4">
        <w:rPr>
          <w:lang w:val="en-US"/>
        </w:rPr>
        <w:t xml:space="preserve"> of critical infrastructure to facilitate access to </w:t>
      </w:r>
      <w:r w:rsidR="00D92EF4" w:rsidRPr="00D92EF4">
        <w:rPr>
          <w:lang w:val="en-US"/>
        </w:rPr>
        <w:t xml:space="preserve">terminal </w:t>
      </w:r>
      <w:r w:rsidR="00D92EF4">
        <w:rPr>
          <w:lang w:val="en-US"/>
        </w:rPr>
        <w:t>and</w:t>
      </w:r>
      <w:r w:rsidR="00573249">
        <w:rPr>
          <w:lang w:val="en-US"/>
        </w:rPr>
        <w:t xml:space="preserve">/or </w:t>
      </w:r>
      <w:r w:rsidR="00D92EF4">
        <w:rPr>
          <w:lang w:val="en-US"/>
        </w:rPr>
        <w:t>gas transmission pipeline infrastructure</w:t>
      </w:r>
      <w:r w:rsidR="00B16266">
        <w:rPr>
          <w:lang w:val="en-US"/>
        </w:rPr>
        <w:t>.</w:t>
      </w:r>
      <w:r w:rsidR="00D92EF4">
        <w:rPr>
          <w:rStyle w:val="FootnoteReference"/>
          <w:lang w:val="en-US"/>
        </w:rPr>
        <w:footnoteReference w:id="12"/>
      </w:r>
      <w:r w:rsidR="00C80850">
        <w:rPr>
          <w:lang w:val="en-US"/>
        </w:rPr>
        <w:t xml:space="preserve"> </w:t>
      </w:r>
      <w:r w:rsidR="00573249">
        <w:rPr>
          <w:lang w:val="en-US"/>
        </w:rPr>
        <w:t xml:space="preserve">Consistent with this observation, </w:t>
      </w:r>
      <w:r w:rsidR="00C80850">
        <w:rPr>
          <w:lang w:val="en-SG"/>
        </w:rPr>
        <w:t xml:space="preserve">Vietnam should continue leverage the strength of its SOEs, namely EVN and PVN, for the development of its LNG projects. </w:t>
      </w:r>
    </w:p>
    <w:p w14:paraId="60FFB174" w14:textId="2BE23220" w:rsidR="00750AF8" w:rsidRDefault="00750AF8" w:rsidP="001B59AC">
      <w:pPr>
        <w:pStyle w:val="BodyText"/>
      </w:pPr>
      <w:bookmarkStart w:id="40" w:name="_Hlk524696617"/>
      <w:r>
        <w:t xml:space="preserve">TLG believes the role of SOE will remain </w:t>
      </w:r>
      <w:r w:rsidR="00B16266">
        <w:t xml:space="preserve">importation in </w:t>
      </w:r>
      <w:r>
        <w:t>many new markets</w:t>
      </w:r>
      <w:r w:rsidR="00B16266">
        <w:t>,</w:t>
      </w:r>
      <w:r>
        <w:t xml:space="preserve"> which are predominantly vertically integrated as shown in </w:t>
      </w:r>
      <w:r w:rsidR="005E247D">
        <w:fldChar w:fldCharType="begin"/>
      </w:r>
      <w:r w:rsidR="005E247D">
        <w:instrText xml:space="preserve"> REF _Ref524646142 \h </w:instrText>
      </w:r>
      <w:r w:rsidR="005E247D">
        <w:fldChar w:fldCharType="separate"/>
      </w:r>
      <w:r w:rsidR="006F531A">
        <w:t xml:space="preserve">Figure </w:t>
      </w:r>
      <w:r w:rsidR="006F531A">
        <w:rPr>
          <w:noProof/>
        </w:rPr>
        <w:t>11</w:t>
      </w:r>
      <w:r w:rsidR="005E247D">
        <w:fldChar w:fldCharType="end"/>
      </w:r>
      <w:r>
        <w:t xml:space="preserve"> </w:t>
      </w:r>
      <w:r w:rsidR="005E247D">
        <w:t>below.</w:t>
      </w:r>
    </w:p>
    <w:p w14:paraId="315D7120" w14:textId="4E3BDD88" w:rsidR="00750AF8" w:rsidRDefault="00750AF8" w:rsidP="00750AF8">
      <w:pPr>
        <w:pStyle w:val="Caption"/>
      </w:pPr>
      <w:bookmarkStart w:id="41" w:name="_Ref524646142"/>
      <w:bookmarkEnd w:id="40"/>
      <w:r>
        <w:t xml:space="preserve">Figure </w:t>
      </w:r>
      <w:r>
        <w:fldChar w:fldCharType="begin"/>
      </w:r>
      <w:r>
        <w:instrText xml:space="preserve"> SEQ Figure \* ARABIC </w:instrText>
      </w:r>
      <w:r>
        <w:fldChar w:fldCharType="separate"/>
      </w:r>
      <w:r w:rsidR="006F531A">
        <w:rPr>
          <w:noProof/>
        </w:rPr>
        <w:t>11</w:t>
      </w:r>
      <w:r>
        <w:fldChar w:fldCharType="end"/>
      </w:r>
      <w:bookmarkEnd w:id="41"/>
      <w:r>
        <w:t>: Regulatory structure of new LNG markets</w:t>
      </w:r>
    </w:p>
    <w:p w14:paraId="0FF05635" w14:textId="25490288" w:rsidR="00750AF8" w:rsidRDefault="00750AF8" w:rsidP="001B59AC">
      <w:pPr>
        <w:pStyle w:val="BodyText"/>
      </w:pPr>
      <w:r w:rsidRPr="00750AF8">
        <w:rPr>
          <w:noProof/>
        </w:rPr>
        <w:drawing>
          <wp:inline distT="0" distB="0" distL="0" distR="0" wp14:anchorId="3972AA30" wp14:editId="55623155">
            <wp:extent cx="5048250" cy="2925474"/>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8250" cy="2925474"/>
                    </a:xfrm>
                    <a:prstGeom prst="rect">
                      <a:avLst/>
                    </a:prstGeom>
                    <a:noFill/>
                    <a:ln>
                      <a:noFill/>
                    </a:ln>
                  </pic:spPr>
                </pic:pic>
              </a:graphicData>
            </a:graphic>
          </wp:inline>
        </w:drawing>
      </w:r>
    </w:p>
    <w:p w14:paraId="00231CD6" w14:textId="62110687" w:rsidR="001B59AC" w:rsidRDefault="001B59AC" w:rsidP="001B59AC">
      <w:pPr>
        <w:pStyle w:val="BodyText"/>
      </w:pPr>
    </w:p>
    <w:p w14:paraId="4234432F" w14:textId="6A022941" w:rsidR="00F46897" w:rsidRDefault="00F46897" w:rsidP="001B59AC">
      <w:pPr>
        <w:pStyle w:val="BodyText"/>
      </w:pPr>
    </w:p>
    <w:p w14:paraId="6FF591E1" w14:textId="77777777" w:rsidR="00F46897" w:rsidRDefault="00F46897" w:rsidP="001B59AC">
      <w:pPr>
        <w:pStyle w:val="BodyText"/>
      </w:pPr>
    </w:p>
    <w:p w14:paraId="782C99FF" w14:textId="1BEF9075" w:rsidR="00F46897" w:rsidRPr="00646AF1" w:rsidRDefault="00F46897" w:rsidP="00F46897">
      <w:pPr>
        <w:pStyle w:val="Heading4"/>
        <w:rPr>
          <w:lang w:val="en-SG" w:eastAsia="ja-JP"/>
        </w:rPr>
      </w:pPr>
      <w:r>
        <w:lastRenderedPageBreak/>
        <w:t xml:space="preserve">SOEs can </w:t>
      </w:r>
      <w:r w:rsidR="00FE233C">
        <w:t xml:space="preserve">play </w:t>
      </w:r>
      <w:r w:rsidR="002E48F4">
        <w:t xml:space="preserve">important role </w:t>
      </w:r>
      <w:r>
        <w:t xml:space="preserve">when acting as an LNG supply / offtake aggregator </w:t>
      </w:r>
    </w:p>
    <w:p w14:paraId="4B7B83AD" w14:textId="0BE1E977" w:rsidR="00FE233C" w:rsidRDefault="00F46897" w:rsidP="00656DF4">
      <w:pPr>
        <w:pStyle w:val="BodyText"/>
      </w:pPr>
      <w:r w:rsidRPr="00BA7E4F">
        <w:t xml:space="preserve">As evidenced in </w:t>
      </w:r>
      <w:r>
        <w:t xml:space="preserve">Bangladesh, </w:t>
      </w:r>
      <w:r w:rsidRPr="00BA7E4F">
        <w:t>Pakistan, Malaysia, Thailand</w:t>
      </w:r>
      <w:r>
        <w:t xml:space="preserve"> and</w:t>
      </w:r>
      <w:r w:rsidRPr="00BA7E4F">
        <w:t xml:space="preserve"> Singapore</w:t>
      </w:r>
      <w:r>
        <w:t xml:space="preserve">, </w:t>
      </w:r>
      <w:r w:rsidR="00656DF4">
        <w:t>SOEs has proven effective aggregator in mitigating</w:t>
      </w:r>
      <w:r w:rsidRPr="00BA7E4F">
        <w:t xml:space="preserve"> LNG supply sourcing and offtake risks at the portfolio level to </w:t>
      </w:r>
      <w:r w:rsidR="002E48F4">
        <w:t xml:space="preserve">secure LNG flows. </w:t>
      </w:r>
      <w:r w:rsidR="002E48F4" w:rsidRPr="002E48F4">
        <w:t>In almost all the peer countries, the SOE was the LNG buyer for the maiden projects. Subsequent projects saw increased foreign participation as allowed and encouraged by their respective LNG regulatory frameworks.</w:t>
      </w:r>
    </w:p>
    <w:p w14:paraId="5632C964" w14:textId="5C775A63" w:rsidR="00656DF4" w:rsidRDefault="00656DF4" w:rsidP="00656DF4">
      <w:pPr>
        <w:pStyle w:val="BodyText"/>
      </w:pPr>
      <w:bookmarkStart w:id="42" w:name="_GoBack"/>
      <w:bookmarkEnd w:id="42"/>
      <w:r>
        <w:t xml:space="preserve">As </w:t>
      </w:r>
      <w:r w:rsidR="00A45891">
        <w:t xml:space="preserve">the </w:t>
      </w:r>
      <w:r>
        <w:t xml:space="preserve">power sector is the anchor offtake of LNG, the role of incumbent single buyer is immensely important to the success of the entire LNG value chain. </w:t>
      </w:r>
      <w:r w:rsidR="00A45891">
        <w:t xml:space="preserve"> </w:t>
      </w:r>
      <w:r>
        <w:t xml:space="preserve">A single buyer such an EVN can act as an effective aggregator to mitigate LNG offtake risks by taking advantage of its access to a wider basket of alternative energy sourcing options at the portfolio level. </w:t>
      </w:r>
      <w:r w:rsidR="00A45891">
        <w:t xml:space="preserve"> </w:t>
      </w:r>
      <w:r>
        <w:t xml:space="preserve">For example, EVN has ability to minimize LNG offtake shortfall (failure-to-take penalties) by banking hydro generation or curtailing coal generation or other generation sources, thereby increasing operational flexibility and lowering total system costs. </w:t>
      </w:r>
      <w:r w:rsidR="00A45891">
        <w:t xml:space="preserve"> </w:t>
      </w:r>
      <w:r>
        <w:t>Additionally, EVN is well-positioned to manage fuel cost pass through</w:t>
      </w:r>
      <w:r w:rsidR="00A45891">
        <w:t xml:space="preserve"> in order</w:t>
      </w:r>
      <w:r>
        <w:t xml:space="preserve"> to mitigate price shocks to end consumers. </w:t>
      </w:r>
      <w:r w:rsidR="00A45891">
        <w:t xml:space="preserve"> </w:t>
      </w:r>
      <w:r>
        <w:fldChar w:fldCharType="begin"/>
      </w:r>
      <w:r>
        <w:instrText xml:space="preserve"> REF _Ref524560266 \h </w:instrText>
      </w:r>
      <w:r>
        <w:fldChar w:fldCharType="separate"/>
      </w:r>
      <w:r w:rsidR="006F531A">
        <w:t xml:space="preserve">Figure </w:t>
      </w:r>
      <w:r w:rsidR="006F531A">
        <w:rPr>
          <w:noProof/>
        </w:rPr>
        <w:t>12</w:t>
      </w:r>
      <w:r>
        <w:fldChar w:fldCharType="end"/>
      </w:r>
      <w:r>
        <w:t xml:space="preserve"> compares the advantage of EVN (as the single buyer and procurer of fuel for its existing generation) against other incumbents in the region. </w:t>
      </w:r>
    </w:p>
    <w:p w14:paraId="7564E25B" w14:textId="450DB18C" w:rsidR="00656DF4" w:rsidRDefault="00656DF4" w:rsidP="00656DF4">
      <w:pPr>
        <w:pStyle w:val="Caption"/>
      </w:pPr>
      <w:bookmarkStart w:id="43" w:name="_Ref524560266"/>
      <w:r>
        <w:t xml:space="preserve">Figure </w:t>
      </w:r>
      <w:r>
        <w:fldChar w:fldCharType="begin"/>
      </w:r>
      <w:r>
        <w:instrText xml:space="preserve"> SEQ Figure \* ARABIC </w:instrText>
      </w:r>
      <w:r>
        <w:fldChar w:fldCharType="separate"/>
      </w:r>
      <w:r w:rsidR="006F531A">
        <w:rPr>
          <w:noProof/>
        </w:rPr>
        <w:t>12</w:t>
      </w:r>
      <w:r>
        <w:fldChar w:fldCharType="end"/>
      </w:r>
      <w:bookmarkEnd w:id="43"/>
      <w:r>
        <w:t xml:space="preserve"> –Comparison of energy value chain capabilities for EVN and other international incumbents</w:t>
      </w:r>
    </w:p>
    <w:p w14:paraId="3A4CC5E1" w14:textId="2CCF19A8" w:rsidR="00656DF4" w:rsidRDefault="00656DF4" w:rsidP="00656DF4">
      <w:pPr>
        <w:pStyle w:val="BodyText"/>
      </w:pPr>
      <w:r w:rsidRPr="003F0996">
        <w:rPr>
          <w:noProof/>
        </w:rPr>
        <w:drawing>
          <wp:inline distT="0" distB="0" distL="0" distR="0" wp14:anchorId="67972102" wp14:editId="2BDA273D">
            <wp:extent cx="3606800" cy="3667141"/>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21061" cy="3681641"/>
                    </a:xfrm>
                    <a:prstGeom prst="rect">
                      <a:avLst/>
                    </a:prstGeom>
                  </pic:spPr>
                </pic:pic>
              </a:graphicData>
            </a:graphic>
          </wp:inline>
        </w:drawing>
      </w:r>
    </w:p>
    <w:p w14:paraId="587365DD" w14:textId="77777777" w:rsidR="009E7445" w:rsidRPr="009E7445" w:rsidRDefault="009E7445" w:rsidP="009E7445">
      <w:pPr>
        <w:pStyle w:val="BodyText"/>
        <w:spacing w:before="0"/>
        <w:rPr>
          <w:sz w:val="16"/>
        </w:rPr>
      </w:pPr>
      <w:r w:rsidRPr="009E7445">
        <w:rPr>
          <w:sz w:val="16"/>
        </w:rPr>
        <w:t>Source: TLG</w:t>
      </w:r>
    </w:p>
    <w:p w14:paraId="20181F3F" w14:textId="77777777" w:rsidR="009E7445" w:rsidRDefault="009E7445" w:rsidP="00656DF4">
      <w:pPr>
        <w:pStyle w:val="BodyText"/>
      </w:pPr>
    </w:p>
    <w:p w14:paraId="5173EEA5" w14:textId="291A999F" w:rsidR="00656DF4" w:rsidRDefault="00656DF4" w:rsidP="00656DF4">
      <w:pPr>
        <w:pStyle w:val="BodyText"/>
      </w:pPr>
      <w:r>
        <w:lastRenderedPageBreak/>
        <w:t xml:space="preserve">Conversely, PVN is well-placed to act as the LNG supply aggregator similar to the role played by </w:t>
      </w:r>
      <w:r w:rsidR="00A45891">
        <w:t>PetroBangla</w:t>
      </w:r>
      <w:r>
        <w:t xml:space="preserve"> in Bangladesh or PLL in Pakistan. T</w:t>
      </w:r>
      <w:r w:rsidRPr="00750AF8">
        <w:t>he advantage</w:t>
      </w:r>
      <w:r>
        <w:t>s</w:t>
      </w:r>
      <w:r w:rsidRPr="00750AF8">
        <w:t xml:space="preserve"> of </w:t>
      </w:r>
      <w:r w:rsidR="00A45891">
        <w:t xml:space="preserve">the </w:t>
      </w:r>
      <w:r>
        <w:t>LNG supply</w:t>
      </w:r>
      <w:r w:rsidRPr="00750AF8">
        <w:t xml:space="preserve"> aggregator model </w:t>
      </w:r>
      <w:r>
        <w:t xml:space="preserve">as observed in </w:t>
      </w:r>
      <w:r w:rsidRPr="00750AF8">
        <w:t>Bangladesh / Pakistan / Malaysia / Thailand and Singapore</w:t>
      </w:r>
      <w:r w:rsidR="002B3E75">
        <w:t xml:space="preserve"> secured supply sourcing (LNG flows), and enabled effective risk management measure such as gas </w:t>
      </w:r>
      <w:r>
        <w:t xml:space="preserve">price pooling (LNG with domestic gas), and </w:t>
      </w:r>
      <w:r w:rsidR="002B3E75">
        <w:t xml:space="preserve">portfolio </w:t>
      </w:r>
      <w:r>
        <w:t xml:space="preserve">optimization. </w:t>
      </w:r>
    </w:p>
    <w:p w14:paraId="6D33B2C1" w14:textId="296EF5D2" w:rsidR="00656DF4" w:rsidRPr="00BA7E4F" w:rsidRDefault="00A45891" w:rsidP="00656DF4">
      <w:pPr>
        <w:pStyle w:val="BodyText"/>
      </w:pPr>
      <w:r>
        <w:fldChar w:fldCharType="begin"/>
      </w:r>
      <w:r>
        <w:instrText xml:space="preserve"> REF _Ref524647466 \h </w:instrText>
      </w:r>
      <w:r>
        <w:fldChar w:fldCharType="separate"/>
      </w:r>
      <w:r w:rsidR="006F531A">
        <w:t xml:space="preserve">Figure </w:t>
      </w:r>
      <w:r w:rsidR="006F531A">
        <w:rPr>
          <w:noProof/>
        </w:rPr>
        <w:t>13</w:t>
      </w:r>
      <w:r>
        <w:fldChar w:fldCharType="end"/>
      </w:r>
      <w:r>
        <w:t xml:space="preserve"> shows a </w:t>
      </w:r>
      <w:r w:rsidR="00656DF4" w:rsidRPr="00BA7E4F">
        <w:t xml:space="preserve">diagrammatic representation of </w:t>
      </w:r>
      <w:r w:rsidR="00656DF4">
        <w:t>the</w:t>
      </w:r>
      <w:r w:rsidR="00656DF4" w:rsidRPr="00BA7E4F">
        <w:t xml:space="preserve"> LNG aggregator mode</w:t>
      </w:r>
      <w:r w:rsidR="00656DF4">
        <w:t>l</w:t>
      </w:r>
      <w:r>
        <w:t>s:</w:t>
      </w:r>
      <w:r w:rsidR="00656DF4" w:rsidRPr="00BA7E4F">
        <w:t> </w:t>
      </w:r>
    </w:p>
    <w:p w14:paraId="735D8AB3" w14:textId="01608040" w:rsidR="00656DF4" w:rsidRDefault="00656DF4" w:rsidP="00656DF4">
      <w:pPr>
        <w:pStyle w:val="Caption"/>
      </w:pPr>
      <w:bookmarkStart w:id="44" w:name="_Ref524647466"/>
      <w:bookmarkStart w:id="45" w:name="_Ref524647212"/>
      <w:r>
        <w:t xml:space="preserve">Figure </w:t>
      </w:r>
      <w:r>
        <w:fldChar w:fldCharType="begin"/>
      </w:r>
      <w:r>
        <w:instrText xml:space="preserve"> SEQ Figure \* ARABIC </w:instrText>
      </w:r>
      <w:r>
        <w:fldChar w:fldCharType="separate"/>
      </w:r>
      <w:r w:rsidR="006F531A">
        <w:rPr>
          <w:noProof/>
        </w:rPr>
        <w:t>13</w:t>
      </w:r>
      <w:r>
        <w:fldChar w:fldCharType="end"/>
      </w:r>
      <w:bookmarkEnd w:id="44"/>
      <w:r>
        <w:t xml:space="preserve"> </w:t>
      </w:r>
      <w:r w:rsidR="00A45891">
        <w:t>-</w:t>
      </w:r>
      <w:r>
        <w:t xml:space="preserve"> Framework for LNG Aggregator Model  </w:t>
      </w:r>
      <w:bookmarkEnd w:id="45"/>
    </w:p>
    <w:p w14:paraId="669EE724" w14:textId="0007FDAE" w:rsidR="00656DF4" w:rsidRDefault="00656DF4" w:rsidP="00656DF4">
      <w:pPr>
        <w:pStyle w:val="BodyText"/>
      </w:pPr>
      <w:r w:rsidRPr="00821E82">
        <w:rPr>
          <w:noProof/>
          <w:lang w:val="en-US" w:eastAsia="en-US"/>
        </w:rPr>
        <w:drawing>
          <wp:inline distT="0" distB="0" distL="0" distR="0" wp14:anchorId="7916427E" wp14:editId="6601C39F">
            <wp:extent cx="5048250" cy="114173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8250" cy="1141730"/>
                    </a:xfrm>
                    <a:prstGeom prst="rect">
                      <a:avLst/>
                    </a:prstGeom>
                    <a:noFill/>
                    <a:ln>
                      <a:noFill/>
                    </a:ln>
                  </pic:spPr>
                </pic:pic>
              </a:graphicData>
            </a:graphic>
          </wp:inline>
        </w:drawing>
      </w:r>
    </w:p>
    <w:p w14:paraId="6684FD92" w14:textId="77777777" w:rsidR="009E7445" w:rsidRPr="009E7445" w:rsidRDefault="009E7445" w:rsidP="009E7445">
      <w:pPr>
        <w:pStyle w:val="BodyText"/>
        <w:spacing w:before="0"/>
        <w:rPr>
          <w:sz w:val="16"/>
        </w:rPr>
      </w:pPr>
      <w:r w:rsidRPr="009E7445">
        <w:rPr>
          <w:sz w:val="16"/>
        </w:rPr>
        <w:t>S</w:t>
      </w:r>
      <w:bookmarkStart w:id="46" w:name="_Hlk524658188"/>
      <w:r w:rsidRPr="009E7445">
        <w:rPr>
          <w:sz w:val="16"/>
        </w:rPr>
        <w:t>ource: TLG</w:t>
      </w:r>
    </w:p>
    <w:p w14:paraId="1585260B" w14:textId="1572A4D1" w:rsidR="00F959F1" w:rsidRDefault="00F46897" w:rsidP="00F46897">
      <w:pPr>
        <w:pStyle w:val="BodyText"/>
      </w:pPr>
      <w:r w:rsidRPr="00BA7E4F">
        <w:t>T</w:t>
      </w:r>
      <w:bookmarkEnd w:id="46"/>
      <w:r w:rsidRPr="00BA7E4F">
        <w:t xml:space="preserve">he success of the aggregator model depends on establishing an effective </w:t>
      </w:r>
      <w:r w:rsidR="00F959F1">
        <w:t xml:space="preserve">framework for </w:t>
      </w:r>
      <w:r w:rsidR="00F959F1" w:rsidRPr="00D170BB">
        <w:t>commercial optimization and risk management</w:t>
      </w:r>
      <w:r w:rsidR="00F959F1">
        <w:t xml:space="preserve">. </w:t>
      </w:r>
      <w:r w:rsidR="00A45891">
        <w:t xml:space="preserve"> </w:t>
      </w:r>
      <w:r w:rsidR="00F959F1">
        <w:t xml:space="preserve">In this respect, TLG recognizes the importance of empowering EVN and PVN as the LNG aggregators for Vietnam. </w:t>
      </w:r>
      <w:r w:rsidR="00F959F1">
        <w:fldChar w:fldCharType="begin"/>
      </w:r>
      <w:r w:rsidR="00F959F1">
        <w:instrText xml:space="preserve"> REF _Ref524547811 \h </w:instrText>
      </w:r>
      <w:r w:rsidR="00F959F1">
        <w:fldChar w:fldCharType="separate"/>
      </w:r>
      <w:r w:rsidR="006F531A">
        <w:t xml:space="preserve">Table </w:t>
      </w:r>
      <w:r w:rsidR="006F531A">
        <w:rPr>
          <w:noProof/>
        </w:rPr>
        <w:t>2</w:t>
      </w:r>
      <w:r w:rsidR="00F959F1">
        <w:fldChar w:fldCharType="end"/>
      </w:r>
      <w:r w:rsidR="00F959F1">
        <w:t xml:space="preserve"> summarizes the role of LNG aggregators as observed in new LNG markets.</w:t>
      </w:r>
    </w:p>
    <w:p w14:paraId="42CD0EFB" w14:textId="188970ED" w:rsidR="00F46897" w:rsidRDefault="00F46897" w:rsidP="00F46897">
      <w:pPr>
        <w:pStyle w:val="Caption"/>
      </w:pPr>
      <w:bookmarkStart w:id="47" w:name="_Ref524547811"/>
      <w:r>
        <w:t xml:space="preserve">Table </w:t>
      </w:r>
      <w:r>
        <w:rPr>
          <w:noProof/>
        </w:rPr>
        <w:fldChar w:fldCharType="begin"/>
      </w:r>
      <w:r>
        <w:rPr>
          <w:noProof/>
        </w:rPr>
        <w:instrText xml:space="preserve"> SEQ Table \* ARABIC </w:instrText>
      </w:r>
      <w:r>
        <w:rPr>
          <w:noProof/>
        </w:rPr>
        <w:fldChar w:fldCharType="separate"/>
      </w:r>
      <w:r w:rsidR="006F531A">
        <w:rPr>
          <w:noProof/>
        </w:rPr>
        <w:t>2</w:t>
      </w:r>
      <w:r>
        <w:rPr>
          <w:noProof/>
        </w:rPr>
        <w:fldChar w:fldCharType="end"/>
      </w:r>
      <w:bookmarkEnd w:id="47"/>
      <w:r>
        <w:t xml:space="preserve"> </w:t>
      </w:r>
      <w:r w:rsidR="00A45891">
        <w:t>-</w:t>
      </w:r>
      <w:r>
        <w:t xml:space="preserve"> </w:t>
      </w:r>
      <w:r w:rsidR="00F959F1">
        <w:t xml:space="preserve">Aggregator Model </w:t>
      </w:r>
      <w:r>
        <w:t xml:space="preserve">in New LNG Importing </w:t>
      </w:r>
      <w:r w:rsidR="00F959F1">
        <w:t>Countries</w:t>
      </w:r>
    </w:p>
    <w:tbl>
      <w:tblPr>
        <w:tblStyle w:val="TableGrid"/>
        <w:tblW w:w="818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ook w:val="04A0" w:firstRow="1" w:lastRow="0" w:firstColumn="1" w:lastColumn="0" w:noHBand="0" w:noVBand="1"/>
      </w:tblPr>
      <w:tblGrid>
        <w:gridCol w:w="1268"/>
        <w:gridCol w:w="2117"/>
        <w:gridCol w:w="1890"/>
        <w:gridCol w:w="2907"/>
      </w:tblGrid>
      <w:tr w:rsidR="00F46897" w14:paraId="6F88AABA" w14:textId="77777777" w:rsidTr="00BC548C">
        <w:trPr>
          <w:trHeight w:val="321"/>
        </w:trPr>
        <w:tc>
          <w:tcPr>
            <w:tcW w:w="1268" w:type="dxa"/>
            <w:tcBorders>
              <w:top w:val="single" w:sz="6" w:space="0" w:color="FFFFFF"/>
              <w:left w:val="single" w:sz="6" w:space="0" w:color="FFFFFF"/>
              <w:bottom w:val="single" w:sz="6" w:space="0" w:color="FFFFFF"/>
              <w:right w:val="single" w:sz="6" w:space="0" w:color="FFFFFF"/>
            </w:tcBorders>
            <w:shd w:val="clear" w:color="auto" w:fill="auto"/>
            <w:hideMark/>
          </w:tcPr>
          <w:p w14:paraId="4FC49E1B" w14:textId="77777777" w:rsidR="00F46897" w:rsidRDefault="00F46897" w:rsidP="00BC548C">
            <w:pPr>
              <w:pStyle w:val="TableHeading"/>
            </w:pPr>
          </w:p>
        </w:tc>
        <w:tc>
          <w:tcPr>
            <w:tcW w:w="2117" w:type="dxa"/>
            <w:tcBorders>
              <w:top w:val="single" w:sz="6" w:space="0" w:color="FFFFFF"/>
              <w:left w:val="single" w:sz="6" w:space="0" w:color="FFFFFF"/>
              <w:bottom w:val="single" w:sz="6" w:space="0" w:color="FFFFFF"/>
              <w:right w:val="single" w:sz="6" w:space="0" w:color="FFFFFF"/>
            </w:tcBorders>
            <w:shd w:val="clear" w:color="auto" w:fill="005581" w:themeFill="text2"/>
          </w:tcPr>
          <w:p w14:paraId="44F2535E" w14:textId="77777777" w:rsidR="00F46897" w:rsidRDefault="00F46897" w:rsidP="00BC548C">
            <w:pPr>
              <w:pStyle w:val="TableHeading"/>
              <w:rPr>
                <w:bCs/>
                <w:lang w:val="en-HK"/>
              </w:rPr>
            </w:pPr>
            <w:r>
              <w:rPr>
                <w:bCs/>
                <w:lang w:val="en-HK"/>
              </w:rPr>
              <w:t>Market Archetype</w:t>
            </w:r>
          </w:p>
        </w:tc>
        <w:tc>
          <w:tcPr>
            <w:tcW w:w="1890" w:type="dxa"/>
            <w:tcBorders>
              <w:top w:val="single" w:sz="6" w:space="0" w:color="FFFFFF"/>
              <w:left w:val="single" w:sz="6" w:space="0" w:color="FFFFFF"/>
              <w:bottom w:val="single" w:sz="6" w:space="0" w:color="FFFFFF"/>
              <w:right w:val="single" w:sz="6" w:space="0" w:color="FFFFFF"/>
            </w:tcBorders>
            <w:shd w:val="clear" w:color="auto" w:fill="005581" w:themeFill="text2"/>
          </w:tcPr>
          <w:p w14:paraId="1F7503A9" w14:textId="77777777" w:rsidR="00F46897" w:rsidRDefault="00F46897" w:rsidP="00BC548C">
            <w:pPr>
              <w:pStyle w:val="TableHeading"/>
              <w:rPr>
                <w:bCs/>
                <w:lang w:val="en-HK"/>
              </w:rPr>
            </w:pPr>
            <w:r>
              <w:rPr>
                <w:bCs/>
                <w:lang w:val="en-HK"/>
              </w:rPr>
              <w:t>NOC Champion</w:t>
            </w:r>
          </w:p>
        </w:tc>
        <w:tc>
          <w:tcPr>
            <w:tcW w:w="2907" w:type="dxa"/>
            <w:tcBorders>
              <w:top w:val="single" w:sz="6" w:space="0" w:color="FFFFFF"/>
              <w:left w:val="single" w:sz="6" w:space="0" w:color="FFFFFF"/>
              <w:bottom w:val="single" w:sz="6" w:space="0" w:color="FFFFFF"/>
              <w:right w:val="single" w:sz="6" w:space="0" w:color="FFFFFF"/>
            </w:tcBorders>
            <w:shd w:val="clear" w:color="auto" w:fill="005581" w:themeFill="text2"/>
            <w:hideMark/>
          </w:tcPr>
          <w:p w14:paraId="671A1AF2" w14:textId="77777777" w:rsidR="00F46897" w:rsidRDefault="00F46897" w:rsidP="00BC548C">
            <w:pPr>
              <w:pStyle w:val="TableHeading"/>
            </w:pPr>
            <w:r>
              <w:rPr>
                <w:bCs/>
                <w:lang w:val="en-HK"/>
              </w:rPr>
              <w:t>Gas Aggregator?</w:t>
            </w:r>
          </w:p>
        </w:tc>
      </w:tr>
      <w:tr w:rsidR="00F46897" w14:paraId="22AAC870" w14:textId="77777777" w:rsidTr="00BC548C">
        <w:trPr>
          <w:trHeight w:val="477"/>
        </w:trPr>
        <w:tc>
          <w:tcPr>
            <w:tcW w:w="1268"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690A823A" w14:textId="77777777" w:rsidR="00F46897" w:rsidRPr="00D51EB5" w:rsidRDefault="00F46897" w:rsidP="00BC548C">
            <w:pPr>
              <w:pStyle w:val="TableText"/>
              <w:rPr>
                <w:b/>
              </w:rPr>
            </w:pPr>
            <w:r w:rsidRPr="00D51EB5">
              <w:rPr>
                <w:b/>
              </w:rPr>
              <w:t>Pakistan</w:t>
            </w:r>
          </w:p>
        </w:tc>
        <w:tc>
          <w:tcPr>
            <w:tcW w:w="211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5332D132" w14:textId="77777777" w:rsidR="00F46897" w:rsidRPr="005E61B2" w:rsidRDefault="00F46897" w:rsidP="00BC548C">
            <w:pPr>
              <w:pStyle w:val="TableBullet"/>
              <w:rPr>
                <w:lang w:val="en-HK"/>
              </w:rPr>
            </w:pPr>
            <w:r w:rsidRPr="005E61B2">
              <w:rPr>
                <w:lang w:val="en-HK"/>
              </w:rPr>
              <w:t>Aggregator model</w:t>
            </w:r>
          </w:p>
          <w:p w14:paraId="5F905B1B" w14:textId="77777777" w:rsidR="00F46897" w:rsidRPr="005E61B2" w:rsidRDefault="00F46897" w:rsidP="00BC548C">
            <w:pPr>
              <w:pStyle w:val="TableBullet"/>
              <w:rPr>
                <w:lang w:val="en-HK"/>
              </w:rPr>
            </w:pPr>
            <w:r w:rsidRPr="005E61B2">
              <w:rPr>
                <w:lang w:val="en-HK"/>
              </w:rPr>
              <w:t xml:space="preserve">Gas market reform and unbundling ongoing </w:t>
            </w:r>
          </w:p>
        </w:tc>
        <w:tc>
          <w:tcPr>
            <w:tcW w:w="1890"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400402E2" w14:textId="77777777" w:rsidR="00F46897" w:rsidRPr="005E61B2" w:rsidRDefault="00F46897" w:rsidP="00BC548C">
            <w:pPr>
              <w:pStyle w:val="TableBullet"/>
              <w:rPr>
                <w:lang w:val="en-HK"/>
              </w:rPr>
            </w:pPr>
            <w:r w:rsidRPr="005E61B2">
              <w:rPr>
                <w:lang w:val="en-HK"/>
              </w:rPr>
              <w:t>Pakistan State Oil (PSO)</w:t>
            </w:r>
          </w:p>
        </w:tc>
        <w:tc>
          <w:tcPr>
            <w:tcW w:w="290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74EF7D67" w14:textId="77777777" w:rsidR="00F46897" w:rsidRPr="00BA7E4F" w:rsidRDefault="00F46897" w:rsidP="00BC548C">
            <w:pPr>
              <w:pStyle w:val="TableBullet"/>
              <w:rPr>
                <w:lang w:val="en-HK"/>
              </w:rPr>
            </w:pPr>
            <w:r w:rsidRPr="005E61B2">
              <w:rPr>
                <w:lang w:val="en-HK"/>
              </w:rPr>
              <w:t>Pakistan State Oil (PSO) and Pakistan LNG Limited (PLL) (latter wholly govt. owned)</w:t>
            </w:r>
          </w:p>
        </w:tc>
      </w:tr>
      <w:tr w:rsidR="00F46897" w14:paraId="7805A7C7" w14:textId="77777777" w:rsidTr="00BC548C">
        <w:trPr>
          <w:trHeight w:val="307"/>
        </w:trPr>
        <w:tc>
          <w:tcPr>
            <w:tcW w:w="1268"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0CD83972" w14:textId="77777777" w:rsidR="00F46897" w:rsidRPr="00D51EB5" w:rsidRDefault="00F46897" w:rsidP="00BC548C">
            <w:pPr>
              <w:pStyle w:val="TableText"/>
              <w:rPr>
                <w:b/>
              </w:rPr>
            </w:pPr>
            <w:r w:rsidRPr="00D51EB5">
              <w:rPr>
                <w:b/>
              </w:rPr>
              <w:t>Bangladesh</w:t>
            </w:r>
          </w:p>
        </w:tc>
        <w:tc>
          <w:tcPr>
            <w:tcW w:w="211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5E208C33" w14:textId="77777777" w:rsidR="00F46897" w:rsidRPr="005E61B2" w:rsidRDefault="00F46897" w:rsidP="00BC548C">
            <w:pPr>
              <w:pStyle w:val="TableBullet"/>
              <w:rPr>
                <w:lang w:val="en-HK"/>
              </w:rPr>
            </w:pPr>
            <w:r w:rsidRPr="005E61B2">
              <w:rPr>
                <w:lang w:val="en-HK"/>
              </w:rPr>
              <w:t>Vertically-integrated. Aggregator based</w:t>
            </w:r>
          </w:p>
        </w:tc>
        <w:tc>
          <w:tcPr>
            <w:tcW w:w="1890"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21AF6CCD" w14:textId="77777777" w:rsidR="00F46897" w:rsidRPr="005E61B2" w:rsidRDefault="00F46897" w:rsidP="00BC548C">
            <w:pPr>
              <w:pStyle w:val="TableBullet"/>
              <w:rPr>
                <w:lang w:val="en-HK"/>
              </w:rPr>
            </w:pPr>
            <w:r w:rsidRPr="005E61B2">
              <w:rPr>
                <w:lang w:val="en-NZ"/>
              </w:rPr>
              <w:t>PetroBangla</w:t>
            </w:r>
          </w:p>
        </w:tc>
        <w:tc>
          <w:tcPr>
            <w:tcW w:w="290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61EDBA01" w14:textId="131C56E8" w:rsidR="00F46897" w:rsidRPr="00BA7E4F" w:rsidRDefault="00A45891" w:rsidP="00BC548C">
            <w:pPr>
              <w:pStyle w:val="TableBullet"/>
              <w:rPr>
                <w:lang w:val="en-HK"/>
              </w:rPr>
            </w:pPr>
            <w:r>
              <w:rPr>
                <w:lang w:val="en-HK"/>
              </w:rPr>
              <w:t>PetroBangla</w:t>
            </w:r>
            <w:r w:rsidR="00F959F1">
              <w:rPr>
                <w:lang w:val="en-HK"/>
              </w:rPr>
              <w:t xml:space="preserve"> aggregates supply sourcing, pool price blending.</w:t>
            </w:r>
          </w:p>
        </w:tc>
      </w:tr>
      <w:tr w:rsidR="00F46897" w14:paraId="5AF24756" w14:textId="77777777" w:rsidTr="00BC548C">
        <w:trPr>
          <w:trHeight w:val="477"/>
        </w:trPr>
        <w:tc>
          <w:tcPr>
            <w:tcW w:w="1268"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0C028152" w14:textId="77777777" w:rsidR="00F46897" w:rsidRPr="00D51EB5" w:rsidRDefault="00F46897" w:rsidP="00BC548C">
            <w:pPr>
              <w:pStyle w:val="TableText"/>
              <w:rPr>
                <w:b/>
              </w:rPr>
            </w:pPr>
            <w:r w:rsidRPr="00D51EB5">
              <w:rPr>
                <w:b/>
              </w:rPr>
              <w:t>Thailand</w:t>
            </w:r>
          </w:p>
        </w:tc>
        <w:tc>
          <w:tcPr>
            <w:tcW w:w="211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5727DC5D" w14:textId="77777777" w:rsidR="00F46897" w:rsidRPr="005E61B2" w:rsidRDefault="00F46897" w:rsidP="00BC548C">
            <w:pPr>
              <w:pStyle w:val="TableBullet"/>
              <w:rPr>
                <w:lang w:val="en-HK"/>
              </w:rPr>
            </w:pPr>
            <w:r w:rsidRPr="005E61B2">
              <w:rPr>
                <w:lang w:val="en-HK"/>
              </w:rPr>
              <w:t>Vertically integrated</w:t>
            </w:r>
          </w:p>
          <w:p w14:paraId="2F3DB0C1" w14:textId="77777777" w:rsidR="00F46897" w:rsidRPr="005E61B2" w:rsidRDefault="00F46897" w:rsidP="00BC548C">
            <w:pPr>
              <w:pStyle w:val="TableBullet"/>
              <w:rPr>
                <w:lang w:val="en-HK"/>
              </w:rPr>
            </w:pPr>
            <w:r w:rsidRPr="005E61B2">
              <w:rPr>
                <w:lang w:val="en-HK"/>
              </w:rPr>
              <w:t>NOC champion</w:t>
            </w:r>
          </w:p>
        </w:tc>
        <w:tc>
          <w:tcPr>
            <w:tcW w:w="1890"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6CB2B533" w14:textId="77777777" w:rsidR="00F46897" w:rsidRPr="005E61B2" w:rsidRDefault="00F46897" w:rsidP="00BC548C">
            <w:pPr>
              <w:pStyle w:val="TableBullet"/>
              <w:rPr>
                <w:lang w:val="en-HK"/>
              </w:rPr>
            </w:pPr>
            <w:r w:rsidRPr="005E61B2">
              <w:rPr>
                <w:lang w:val="en-NZ"/>
              </w:rPr>
              <w:t>PTT</w:t>
            </w:r>
          </w:p>
        </w:tc>
        <w:tc>
          <w:tcPr>
            <w:tcW w:w="290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1EDE649C" w14:textId="77777777" w:rsidR="00F46897" w:rsidRPr="005E61B2" w:rsidRDefault="00F46897" w:rsidP="00BC548C">
            <w:pPr>
              <w:pStyle w:val="TableBullet"/>
              <w:rPr>
                <w:lang w:val="en-HK"/>
              </w:rPr>
            </w:pPr>
            <w:r w:rsidRPr="005E61B2">
              <w:rPr>
                <w:lang w:val="en-HK"/>
              </w:rPr>
              <w:t xml:space="preserve">Pooling of gas (domestic, Myanmar, LNG) </w:t>
            </w:r>
            <w:r>
              <w:rPr>
                <w:lang w:val="en-HK"/>
              </w:rPr>
              <w:t>by PTT</w:t>
            </w:r>
          </w:p>
          <w:p w14:paraId="54C66A8B" w14:textId="77777777" w:rsidR="00F46897" w:rsidRPr="00D51EB5" w:rsidRDefault="00F46897" w:rsidP="00BC548C">
            <w:pPr>
              <w:pStyle w:val="TableBullet"/>
            </w:pPr>
            <w:r w:rsidRPr="005E61B2">
              <w:rPr>
                <w:lang w:val="en-HK"/>
              </w:rPr>
              <w:t>PTT sells via GSAs to EGAT, IPPs, SPPs, others</w:t>
            </w:r>
          </w:p>
        </w:tc>
      </w:tr>
      <w:tr w:rsidR="00F46897" w14:paraId="13501011" w14:textId="77777777" w:rsidTr="00BC548C">
        <w:trPr>
          <w:trHeight w:val="464"/>
        </w:trPr>
        <w:tc>
          <w:tcPr>
            <w:tcW w:w="1268"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1BA79D37" w14:textId="77777777" w:rsidR="00F46897" w:rsidRPr="00D51EB5" w:rsidRDefault="00F46897" w:rsidP="00BC548C">
            <w:pPr>
              <w:pStyle w:val="TableText"/>
              <w:rPr>
                <w:b/>
              </w:rPr>
            </w:pPr>
            <w:r w:rsidRPr="00D51EB5">
              <w:rPr>
                <w:b/>
              </w:rPr>
              <w:t>Malaysia</w:t>
            </w:r>
          </w:p>
        </w:tc>
        <w:tc>
          <w:tcPr>
            <w:tcW w:w="211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0846FAD6" w14:textId="77777777" w:rsidR="00F46897" w:rsidRPr="00BA7E4F" w:rsidRDefault="00F46897" w:rsidP="00BC548C">
            <w:pPr>
              <w:pStyle w:val="TableBullet"/>
              <w:rPr>
                <w:lang w:val="en-HK"/>
              </w:rPr>
            </w:pPr>
            <w:r w:rsidRPr="00BA7E4F">
              <w:rPr>
                <w:lang w:val="en-HK"/>
              </w:rPr>
              <w:t>Vertically integrated</w:t>
            </w:r>
          </w:p>
          <w:p w14:paraId="26118B88" w14:textId="77777777" w:rsidR="00F46897" w:rsidRPr="00BA7E4F" w:rsidRDefault="00F46897" w:rsidP="00BC548C">
            <w:pPr>
              <w:pStyle w:val="TableBullet"/>
              <w:rPr>
                <w:lang w:val="en-HK"/>
              </w:rPr>
            </w:pPr>
            <w:r w:rsidRPr="00BA7E4F">
              <w:rPr>
                <w:lang w:val="en-HK"/>
              </w:rPr>
              <w:t>NOC champion</w:t>
            </w:r>
          </w:p>
        </w:tc>
        <w:tc>
          <w:tcPr>
            <w:tcW w:w="1890"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0A22A532" w14:textId="77777777" w:rsidR="00F46897" w:rsidRPr="00BA7E4F" w:rsidRDefault="00F46897" w:rsidP="00BC548C">
            <w:pPr>
              <w:pStyle w:val="TableBullet"/>
              <w:rPr>
                <w:lang w:val="en-HK"/>
              </w:rPr>
            </w:pPr>
            <w:r w:rsidRPr="00BA7E4F">
              <w:rPr>
                <w:lang w:val="en-NZ"/>
              </w:rPr>
              <w:t>Petronas</w:t>
            </w:r>
          </w:p>
        </w:tc>
        <w:tc>
          <w:tcPr>
            <w:tcW w:w="290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6E2818E6" w14:textId="77777777" w:rsidR="00F46897" w:rsidRPr="00361329" w:rsidRDefault="00F46897" w:rsidP="00BC548C">
            <w:pPr>
              <w:pStyle w:val="TableBullet"/>
            </w:pPr>
            <w:r>
              <w:t>G</w:t>
            </w:r>
            <w:r w:rsidRPr="00EC4AD7">
              <w:t>as aggregation/pooling carried out by a central entity</w:t>
            </w:r>
          </w:p>
        </w:tc>
      </w:tr>
    </w:tbl>
    <w:p w14:paraId="01850DDB" w14:textId="77777777" w:rsidR="00F46897" w:rsidRDefault="00F46897" w:rsidP="00F46897">
      <w:pPr>
        <w:spacing w:before="0" w:after="0" w:line="240" w:lineRule="auto"/>
      </w:pPr>
    </w:p>
    <w:p w14:paraId="356627E1" w14:textId="77777777" w:rsidR="00F959F1" w:rsidRDefault="00F959F1" w:rsidP="004D6EC4">
      <w:pPr>
        <w:jc w:val="both"/>
        <w:rPr>
          <w:rFonts w:ascii="Arial Bold" w:hAnsi="Arial Bold"/>
          <w:b/>
          <w:smallCaps/>
          <w:color w:val="005581"/>
          <w:sz w:val="24"/>
          <w:szCs w:val="24"/>
        </w:rPr>
      </w:pPr>
    </w:p>
    <w:p w14:paraId="0D1E28A3" w14:textId="0E643587" w:rsidR="001B59AC" w:rsidRDefault="001B59AC" w:rsidP="001B59AC">
      <w:pPr>
        <w:pStyle w:val="Heading2"/>
        <w:numPr>
          <w:ilvl w:val="1"/>
          <w:numId w:val="2"/>
        </w:numPr>
        <w:ind w:left="0" w:hanging="706"/>
      </w:pPr>
      <w:bookmarkStart w:id="48" w:name="_Toc524653565"/>
      <w:r w:rsidRPr="00AD6E6E">
        <w:lastRenderedPageBreak/>
        <w:t xml:space="preserve">Structures and </w:t>
      </w:r>
      <w:r>
        <w:t>R</w:t>
      </w:r>
      <w:r w:rsidRPr="00AD6E6E">
        <w:t xml:space="preserve">egulatory </w:t>
      </w:r>
      <w:r>
        <w:t>F</w:t>
      </w:r>
      <w:r w:rsidRPr="00AD6E6E">
        <w:t xml:space="preserve">ramework </w:t>
      </w:r>
      <w:r>
        <w:t>B</w:t>
      </w:r>
      <w:r w:rsidRPr="00AD6E6E">
        <w:t xml:space="preserve">eing </w:t>
      </w:r>
      <w:r>
        <w:t>U</w:t>
      </w:r>
      <w:r w:rsidRPr="00AD6E6E">
        <w:t>sed</w:t>
      </w:r>
      <w:bookmarkEnd w:id="48"/>
    </w:p>
    <w:p w14:paraId="5909B9EC" w14:textId="1C1D12A1" w:rsidR="001B59AC" w:rsidRDefault="001B59AC" w:rsidP="001B59AC">
      <w:pPr>
        <w:pStyle w:val="BodyText"/>
      </w:pPr>
      <w:bookmarkStart w:id="49" w:name="_Hlk524473546"/>
      <w:r>
        <w:t xml:space="preserve">Based on this assessment of international experience, the countries exhibiting the closest to Vietnam’s situation are </w:t>
      </w:r>
      <w:bookmarkStart w:id="50" w:name="_Hlk524473225"/>
      <w:r>
        <w:t>Pakistan, Bangladesh, Thailand, and Malaysia.</w:t>
      </w:r>
      <w:bookmarkEnd w:id="50"/>
      <w:r>
        <w:t xml:space="preserve">  </w:t>
      </w:r>
      <w:r w:rsidR="00B3749F">
        <w:t>Key</w:t>
      </w:r>
      <w:r>
        <w:t xml:space="preserve"> observations from these LNG importing nations (alongside other global comparators) </w:t>
      </w:r>
      <w:r w:rsidR="00A45891">
        <w:t>are</w:t>
      </w:r>
      <w:r w:rsidR="00B3749F">
        <w:t xml:space="preserve"> summarized </w:t>
      </w:r>
      <w:r>
        <w:t xml:space="preserve">in </w:t>
      </w:r>
      <w:r w:rsidR="00B3749F">
        <w:fldChar w:fldCharType="begin"/>
      </w:r>
      <w:r w:rsidR="00B3749F">
        <w:instrText xml:space="preserve"> REF _Ref524646196 \h </w:instrText>
      </w:r>
      <w:r w:rsidR="00B3749F">
        <w:fldChar w:fldCharType="separate"/>
      </w:r>
      <w:r w:rsidR="006F531A">
        <w:t xml:space="preserve">Table </w:t>
      </w:r>
      <w:r w:rsidR="006F531A">
        <w:rPr>
          <w:noProof/>
        </w:rPr>
        <w:t>3</w:t>
      </w:r>
      <w:r w:rsidR="00B3749F">
        <w:fldChar w:fldCharType="end"/>
      </w:r>
    </w:p>
    <w:p w14:paraId="652E823A" w14:textId="6F512E93" w:rsidR="001B59AC" w:rsidRDefault="001B59AC" w:rsidP="001B59AC">
      <w:pPr>
        <w:pStyle w:val="Caption"/>
      </w:pPr>
      <w:bookmarkStart w:id="51" w:name="_Ref524646196"/>
      <w:r>
        <w:t xml:space="preserve">Table </w:t>
      </w:r>
      <w:r>
        <w:rPr>
          <w:noProof/>
        </w:rPr>
        <w:fldChar w:fldCharType="begin"/>
      </w:r>
      <w:r>
        <w:rPr>
          <w:noProof/>
        </w:rPr>
        <w:instrText xml:space="preserve"> SEQ Table \* ARABIC </w:instrText>
      </w:r>
      <w:r>
        <w:rPr>
          <w:noProof/>
        </w:rPr>
        <w:fldChar w:fldCharType="separate"/>
      </w:r>
      <w:r w:rsidR="006F531A">
        <w:rPr>
          <w:noProof/>
        </w:rPr>
        <w:t>3</w:t>
      </w:r>
      <w:r>
        <w:rPr>
          <w:noProof/>
        </w:rPr>
        <w:fldChar w:fldCharType="end"/>
      </w:r>
      <w:bookmarkEnd w:id="51"/>
      <w:r>
        <w:t xml:space="preserve"> - </w:t>
      </w:r>
      <w:r>
        <w:rPr>
          <w:noProof/>
        </w:rPr>
        <w:t>Key Observations from New and Emerging LNG Markets</w:t>
      </w:r>
    </w:p>
    <w:tbl>
      <w:tblPr>
        <w:tblStyle w:val="TableGrid"/>
        <w:tblW w:w="0" w:type="auto"/>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ook w:val="04A0" w:firstRow="1" w:lastRow="0" w:firstColumn="1" w:lastColumn="0" w:noHBand="0" w:noVBand="1"/>
      </w:tblPr>
      <w:tblGrid>
        <w:gridCol w:w="2004"/>
        <w:gridCol w:w="5908"/>
      </w:tblGrid>
      <w:tr w:rsidR="001B59AC" w14:paraId="2F37BD12" w14:textId="77777777" w:rsidTr="00D3512E">
        <w:tc>
          <w:tcPr>
            <w:tcW w:w="2004" w:type="dxa"/>
            <w:tcBorders>
              <w:top w:val="single" w:sz="6" w:space="0" w:color="FFFFFF"/>
              <w:left w:val="single" w:sz="6" w:space="0" w:color="FFFFFF"/>
              <w:bottom w:val="single" w:sz="6" w:space="0" w:color="FFFFFF"/>
              <w:right w:val="single" w:sz="6" w:space="0" w:color="FFFFFF"/>
            </w:tcBorders>
            <w:shd w:val="clear" w:color="auto" w:fill="005581" w:themeFill="text2"/>
            <w:hideMark/>
          </w:tcPr>
          <w:p w14:paraId="4446CFB3" w14:textId="77777777" w:rsidR="001B59AC" w:rsidRDefault="001B59AC" w:rsidP="00D3512E">
            <w:pPr>
              <w:pStyle w:val="TableHeading"/>
            </w:pPr>
            <w:r>
              <w:t>Region and countries</w:t>
            </w:r>
          </w:p>
        </w:tc>
        <w:tc>
          <w:tcPr>
            <w:tcW w:w="5908" w:type="dxa"/>
            <w:tcBorders>
              <w:top w:val="single" w:sz="6" w:space="0" w:color="FFFFFF"/>
              <w:left w:val="single" w:sz="6" w:space="0" w:color="FFFFFF"/>
              <w:bottom w:val="single" w:sz="6" w:space="0" w:color="FFFFFF"/>
              <w:right w:val="single" w:sz="6" w:space="0" w:color="FFFFFF"/>
            </w:tcBorders>
            <w:shd w:val="clear" w:color="auto" w:fill="005581" w:themeFill="text2"/>
            <w:hideMark/>
          </w:tcPr>
          <w:p w14:paraId="6B9ADDB1" w14:textId="77777777" w:rsidR="001B59AC" w:rsidRDefault="001B59AC" w:rsidP="00D3512E">
            <w:pPr>
              <w:pStyle w:val="TableHeading"/>
            </w:pPr>
            <w:r>
              <w:rPr>
                <w:bCs/>
                <w:lang w:val="en-HK"/>
              </w:rPr>
              <w:t>Attributes</w:t>
            </w:r>
          </w:p>
        </w:tc>
      </w:tr>
      <w:tr w:rsidR="001B59AC" w14:paraId="627DCE94" w14:textId="77777777" w:rsidTr="00D3512E">
        <w:tc>
          <w:tcPr>
            <w:tcW w:w="2004"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hideMark/>
          </w:tcPr>
          <w:p w14:paraId="085D396E" w14:textId="77777777" w:rsidR="001B59AC" w:rsidRDefault="001B59AC" w:rsidP="00D3512E">
            <w:pPr>
              <w:pStyle w:val="TableText"/>
            </w:pPr>
            <w:r>
              <w:t>South Asia (Pakistan, Bangladesh) and South East Asia (Thailand, Malaysia, Indonesia Singapore) -</w:t>
            </w:r>
          </w:p>
        </w:tc>
        <w:tc>
          <w:tcPr>
            <w:tcW w:w="5908"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hideMark/>
          </w:tcPr>
          <w:p w14:paraId="7B70D4EC" w14:textId="77777777" w:rsidR="001B59AC" w:rsidRDefault="001B59AC" w:rsidP="001B59AC">
            <w:pPr>
              <w:pStyle w:val="TableText"/>
              <w:numPr>
                <w:ilvl w:val="0"/>
                <w:numId w:val="12"/>
              </w:numPr>
              <w:tabs>
                <w:tab w:val="num" w:pos="578"/>
              </w:tabs>
              <w:snapToGrid w:val="0"/>
              <w:ind w:left="308"/>
              <w:rPr>
                <w:lang w:val="en-US"/>
              </w:rPr>
            </w:pPr>
            <w:r>
              <w:rPr>
                <w:lang w:val="en-SG"/>
              </w:rPr>
              <w:t>Public / Private model dominates</w:t>
            </w:r>
          </w:p>
          <w:p w14:paraId="32A56922" w14:textId="77777777" w:rsidR="001B59AC" w:rsidRDefault="001B59AC" w:rsidP="001B59AC">
            <w:pPr>
              <w:pStyle w:val="TableText"/>
              <w:numPr>
                <w:ilvl w:val="0"/>
                <w:numId w:val="12"/>
              </w:numPr>
              <w:tabs>
                <w:tab w:val="num" w:pos="578"/>
              </w:tabs>
              <w:snapToGrid w:val="0"/>
              <w:ind w:left="308"/>
              <w:rPr>
                <w:lang w:val="en-US"/>
              </w:rPr>
            </w:pPr>
            <w:r>
              <w:rPr>
                <w:lang w:val="en-SG"/>
              </w:rPr>
              <w:t>LNG importation with terminal tolling structure</w:t>
            </w:r>
          </w:p>
          <w:p w14:paraId="0EBEF986" w14:textId="77777777" w:rsidR="001B59AC" w:rsidRDefault="001B59AC" w:rsidP="001B59AC">
            <w:pPr>
              <w:pStyle w:val="TableText"/>
              <w:numPr>
                <w:ilvl w:val="0"/>
                <w:numId w:val="12"/>
              </w:numPr>
              <w:tabs>
                <w:tab w:val="num" w:pos="578"/>
              </w:tabs>
              <w:snapToGrid w:val="0"/>
              <w:ind w:left="308"/>
              <w:rPr>
                <w:lang w:val="en-US"/>
              </w:rPr>
            </w:pPr>
            <w:r>
              <w:rPr>
                <w:lang w:val="en-SG"/>
              </w:rPr>
              <w:t>LNG aggregator established (NOCs or appointed IOCs)</w:t>
            </w:r>
          </w:p>
          <w:p w14:paraId="4F7737AF" w14:textId="118B254D" w:rsidR="001B59AC" w:rsidRDefault="001B59AC" w:rsidP="001B59AC">
            <w:pPr>
              <w:pStyle w:val="TableText"/>
              <w:numPr>
                <w:ilvl w:val="0"/>
                <w:numId w:val="12"/>
              </w:numPr>
              <w:tabs>
                <w:tab w:val="num" w:pos="578"/>
              </w:tabs>
              <w:snapToGrid w:val="0"/>
              <w:ind w:left="308"/>
              <w:rPr>
                <w:lang w:val="en-US"/>
              </w:rPr>
            </w:pPr>
            <w:r>
              <w:rPr>
                <w:lang w:val="en-SG"/>
              </w:rPr>
              <w:t>Most are FSRU, delivering flexibility and costs advantages (namely, with the exception of Singapore</w:t>
            </w:r>
            <w:r w:rsidR="00B3749F">
              <w:rPr>
                <w:lang w:val="en-SG"/>
              </w:rPr>
              <w:t xml:space="preserve"> LNG and</w:t>
            </w:r>
            <w:r>
              <w:rPr>
                <w:lang w:val="en-SG"/>
              </w:rPr>
              <w:t xml:space="preserve"> Thailand’s Map Ta Phu facilit</w:t>
            </w:r>
            <w:r w:rsidR="00B3749F">
              <w:rPr>
                <w:lang w:val="en-SG"/>
              </w:rPr>
              <w:t>ies</w:t>
            </w:r>
            <w:r w:rsidR="003E7448">
              <w:rPr>
                <w:lang w:val="en-SG"/>
              </w:rPr>
              <w:t>, Malaysia’s Pengerang LNG</w:t>
            </w:r>
            <w:r>
              <w:rPr>
                <w:lang w:val="en-SG"/>
              </w:rPr>
              <w:t xml:space="preserve">) </w:t>
            </w:r>
          </w:p>
          <w:p w14:paraId="2BA022A5" w14:textId="77777777" w:rsidR="001B59AC" w:rsidRDefault="001B59AC" w:rsidP="001B59AC">
            <w:pPr>
              <w:pStyle w:val="TableText"/>
              <w:numPr>
                <w:ilvl w:val="0"/>
                <w:numId w:val="12"/>
              </w:numPr>
              <w:tabs>
                <w:tab w:val="num" w:pos="578"/>
              </w:tabs>
              <w:snapToGrid w:val="0"/>
              <w:ind w:left="308"/>
              <w:rPr>
                <w:lang w:val="en-US"/>
              </w:rPr>
            </w:pPr>
            <w:r>
              <w:rPr>
                <w:lang w:val="en-SG"/>
              </w:rPr>
              <w:t>LNG offtakes backed by power sector (PPAs)</w:t>
            </w:r>
          </w:p>
          <w:p w14:paraId="395DE743" w14:textId="77777777" w:rsidR="001B59AC" w:rsidRDefault="001B59AC" w:rsidP="001B59AC">
            <w:pPr>
              <w:pStyle w:val="TableText"/>
              <w:numPr>
                <w:ilvl w:val="0"/>
                <w:numId w:val="12"/>
              </w:numPr>
              <w:tabs>
                <w:tab w:val="num" w:pos="578"/>
              </w:tabs>
              <w:snapToGrid w:val="0"/>
              <w:ind w:left="308"/>
              <w:rPr>
                <w:lang w:val="en-US"/>
              </w:rPr>
            </w:pPr>
            <w:r>
              <w:rPr>
                <w:lang w:val="en-SG"/>
              </w:rPr>
              <w:t>LNG importation aligns with power market developments and requirements</w:t>
            </w:r>
          </w:p>
        </w:tc>
      </w:tr>
      <w:tr w:rsidR="001B59AC" w14:paraId="3F1F3A4D" w14:textId="77777777" w:rsidTr="00D3512E">
        <w:tc>
          <w:tcPr>
            <w:tcW w:w="2004"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hideMark/>
          </w:tcPr>
          <w:p w14:paraId="0F6AEA6C" w14:textId="77777777" w:rsidR="001B59AC" w:rsidRDefault="001B59AC" w:rsidP="00D3512E">
            <w:pPr>
              <w:pStyle w:val="TableText"/>
            </w:pPr>
            <w:r>
              <w:t>Caribbean, Latin America</w:t>
            </w:r>
          </w:p>
        </w:tc>
        <w:tc>
          <w:tcPr>
            <w:tcW w:w="5908"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hideMark/>
          </w:tcPr>
          <w:p w14:paraId="13AFDEDE" w14:textId="77777777" w:rsidR="001B59AC" w:rsidRDefault="001B59AC" w:rsidP="001B59AC">
            <w:pPr>
              <w:pStyle w:val="TableText"/>
              <w:numPr>
                <w:ilvl w:val="0"/>
                <w:numId w:val="13"/>
              </w:numPr>
              <w:tabs>
                <w:tab w:val="num" w:pos="578"/>
              </w:tabs>
              <w:snapToGrid w:val="0"/>
              <w:ind w:left="308"/>
              <w:rPr>
                <w:lang w:val="en-US"/>
              </w:rPr>
            </w:pPr>
            <w:r>
              <w:rPr>
                <w:lang w:val="en-US"/>
              </w:rPr>
              <w:t>Public/Private tolling and power integrated models dominate</w:t>
            </w:r>
          </w:p>
          <w:p w14:paraId="5D05B5E0" w14:textId="77777777" w:rsidR="001B59AC" w:rsidRDefault="001B59AC" w:rsidP="001B59AC">
            <w:pPr>
              <w:pStyle w:val="TableText"/>
              <w:numPr>
                <w:ilvl w:val="0"/>
                <w:numId w:val="13"/>
              </w:numPr>
              <w:tabs>
                <w:tab w:val="num" w:pos="578"/>
              </w:tabs>
              <w:snapToGrid w:val="0"/>
              <w:ind w:left="308"/>
              <w:rPr>
                <w:lang w:val="en-US"/>
              </w:rPr>
            </w:pPr>
            <w:r>
              <w:rPr>
                <w:lang w:val="en-US"/>
              </w:rPr>
              <w:t>FSRU deliver flexibility and costs advantages</w:t>
            </w:r>
          </w:p>
        </w:tc>
      </w:tr>
      <w:tr w:rsidR="001B59AC" w14:paraId="5C0FB1F8" w14:textId="77777777" w:rsidTr="00D3512E">
        <w:tc>
          <w:tcPr>
            <w:tcW w:w="2004"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hideMark/>
          </w:tcPr>
          <w:p w14:paraId="2C0C7357" w14:textId="77777777" w:rsidR="001B59AC" w:rsidRDefault="001B59AC" w:rsidP="00D3512E">
            <w:pPr>
              <w:pStyle w:val="TableText"/>
            </w:pPr>
            <w:r>
              <w:t>West/South Africa</w:t>
            </w:r>
          </w:p>
        </w:tc>
        <w:tc>
          <w:tcPr>
            <w:tcW w:w="5908"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hideMark/>
          </w:tcPr>
          <w:p w14:paraId="74B1A280" w14:textId="77777777" w:rsidR="001B59AC" w:rsidRDefault="001B59AC" w:rsidP="001B59AC">
            <w:pPr>
              <w:pStyle w:val="TableText"/>
              <w:numPr>
                <w:ilvl w:val="0"/>
                <w:numId w:val="14"/>
              </w:numPr>
              <w:tabs>
                <w:tab w:val="num" w:pos="578"/>
              </w:tabs>
              <w:snapToGrid w:val="0"/>
              <w:ind w:left="308"/>
              <w:rPr>
                <w:lang w:val="en-US"/>
              </w:rPr>
            </w:pPr>
            <w:r>
              <w:rPr>
                <w:lang w:val="en-US"/>
              </w:rPr>
              <w:t>Upstream monetization driven</w:t>
            </w:r>
          </w:p>
          <w:p w14:paraId="5DB3F6CB" w14:textId="77777777" w:rsidR="001B59AC" w:rsidRDefault="001B59AC" w:rsidP="001B59AC">
            <w:pPr>
              <w:pStyle w:val="TableText"/>
              <w:numPr>
                <w:ilvl w:val="0"/>
                <w:numId w:val="14"/>
              </w:numPr>
              <w:tabs>
                <w:tab w:val="num" w:pos="578"/>
              </w:tabs>
              <w:snapToGrid w:val="0"/>
              <w:ind w:left="308"/>
              <w:rPr>
                <w:lang w:val="en-US"/>
              </w:rPr>
            </w:pPr>
            <w:r>
              <w:rPr>
                <w:lang w:val="en-US"/>
              </w:rPr>
              <w:t>Public/Private tolling and power integrated model</w:t>
            </w:r>
          </w:p>
        </w:tc>
      </w:tr>
    </w:tbl>
    <w:p w14:paraId="612B6A55" w14:textId="3A39C9D9" w:rsidR="001B59AC" w:rsidRDefault="001B59AC" w:rsidP="001B59AC">
      <w:pPr>
        <w:pStyle w:val="Heading4"/>
        <w:rPr>
          <w:strike/>
        </w:rPr>
      </w:pPr>
      <w:r w:rsidRPr="00EC4AD7">
        <w:t>Almost all markets have used PPP model with tolling</w:t>
      </w:r>
      <w:r>
        <w:t xml:space="preserve"> </w:t>
      </w:r>
    </w:p>
    <w:p w14:paraId="599B26A7" w14:textId="77777777" w:rsidR="001B59AC" w:rsidRDefault="001B59AC" w:rsidP="001B59AC">
      <w:pPr>
        <w:pStyle w:val="BodyText"/>
        <w:rPr>
          <w:lang w:val="en-SG" w:eastAsia="ja-JP"/>
        </w:rPr>
      </w:pPr>
      <w:r w:rsidRPr="00D170BB">
        <w:t>The Public</w:t>
      </w:r>
      <w:r>
        <w:t>-</w:t>
      </w:r>
      <w:r w:rsidRPr="00D170BB">
        <w:t>Private model is the most commonly pursued model in</w:t>
      </w:r>
      <w:r>
        <w:t xml:space="preserve"> new LNG importing nations</w:t>
      </w:r>
      <w:r w:rsidRPr="00D170BB">
        <w:t xml:space="preserve">, </w:t>
      </w:r>
      <w:r>
        <w:t xml:space="preserve">where ownership of the LNG terminal is typically assumed by the national oil company and ownership of the associated power generation facility is owned by a private entity.  </w:t>
      </w:r>
      <w:r>
        <w:rPr>
          <w:lang w:val="en-SG" w:eastAsia="ja-JP"/>
        </w:rPr>
        <w:t>In relation to Vietnam,</w:t>
      </w:r>
      <w:r w:rsidRPr="00D170BB">
        <w:rPr>
          <w:lang w:val="en-SG" w:eastAsia="ja-JP"/>
        </w:rPr>
        <w:t xml:space="preserve"> the Public-Private model</w:t>
      </w:r>
      <w:r>
        <w:rPr>
          <w:lang w:val="en-SG" w:eastAsia="ja-JP"/>
        </w:rPr>
        <w:t xml:space="preserve"> would see</w:t>
      </w:r>
      <w:r w:rsidRPr="00D170BB">
        <w:rPr>
          <w:lang w:val="en-SG" w:eastAsia="ja-JP"/>
        </w:rPr>
        <w:t xml:space="preserve"> the power project </w:t>
      </w:r>
      <w:r>
        <w:rPr>
          <w:lang w:val="en-SG" w:eastAsia="ja-JP"/>
        </w:rPr>
        <w:t>being</w:t>
      </w:r>
      <w:r w:rsidRPr="00D170BB">
        <w:rPr>
          <w:lang w:val="en-SG" w:eastAsia="ja-JP"/>
        </w:rPr>
        <w:t xml:space="preserve"> owned by BOT Company (foreign-owned) under BOT scheme and the LNG infrastructure will be owned by EVN or PVN (with foreign participation).  The cost of LNG Infrastructure will be passed through to the tariff and the Government guarantees PVN or EVN’s obligation to construct, operate and maintain the LNG infrastructure.</w:t>
      </w:r>
    </w:p>
    <w:p w14:paraId="3026C476" w14:textId="78E1055F" w:rsidR="001B59AC" w:rsidRPr="00D170BB" w:rsidRDefault="001B59AC" w:rsidP="001B59AC">
      <w:pPr>
        <w:pStyle w:val="BodyText"/>
        <w:rPr>
          <w:lang w:val="en-US" w:eastAsia="ja-JP"/>
        </w:rPr>
      </w:pPr>
      <w:r>
        <w:fldChar w:fldCharType="begin"/>
      </w:r>
      <w:r>
        <w:instrText xml:space="preserve"> REF _Ref524552921 \h </w:instrText>
      </w:r>
      <w:r>
        <w:fldChar w:fldCharType="separate"/>
      </w:r>
      <w:r w:rsidR="006F531A">
        <w:t xml:space="preserve">Figure </w:t>
      </w:r>
      <w:r w:rsidR="006F531A">
        <w:rPr>
          <w:noProof/>
        </w:rPr>
        <w:t>14</w:t>
      </w:r>
      <w:r>
        <w:fldChar w:fldCharType="end"/>
      </w:r>
      <w:r>
        <w:t xml:space="preserve"> provides an example of the Public-Private model framework adopted in Bangladesh.</w:t>
      </w:r>
    </w:p>
    <w:p w14:paraId="5A4BBD01" w14:textId="77777777" w:rsidR="001B59AC" w:rsidRDefault="001B59AC" w:rsidP="001B59AC">
      <w:pPr>
        <w:ind w:left="720"/>
        <w:rPr>
          <w:b/>
          <w:lang w:val="en-SG" w:eastAsia="ja-JP"/>
        </w:rPr>
      </w:pPr>
    </w:p>
    <w:p w14:paraId="269EBCE9" w14:textId="77777777" w:rsidR="001B59AC" w:rsidRDefault="001B59AC" w:rsidP="001B59AC">
      <w:pPr>
        <w:ind w:left="720"/>
        <w:rPr>
          <w:b/>
          <w:lang w:val="en-SG" w:eastAsia="ja-JP"/>
        </w:rPr>
      </w:pPr>
    </w:p>
    <w:p w14:paraId="32C1FF8D" w14:textId="77777777" w:rsidR="001B59AC" w:rsidRDefault="001B59AC" w:rsidP="001B59AC">
      <w:pPr>
        <w:ind w:left="720"/>
        <w:rPr>
          <w:b/>
          <w:lang w:val="en-SG" w:eastAsia="ja-JP"/>
        </w:rPr>
      </w:pPr>
    </w:p>
    <w:p w14:paraId="577593F2" w14:textId="77777777" w:rsidR="001B59AC" w:rsidRDefault="001B59AC" w:rsidP="001B59AC">
      <w:pPr>
        <w:ind w:left="720"/>
        <w:rPr>
          <w:b/>
          <w:lang w:val="en-SG" w:eastAsia="ja-JP"/>
        </w:rPr>
      </w:pPr>
    </w:p>
    <w:p w14:paraId="54B98EF1" w14:textId="1A70B539" w:rsidR="001B59AC" w:rsidRDefault="001B59AC" w:rsidP="001B59AC">
      <w:pPr>
        <w:pStyle w:val="Caption"/>
      </w:pPr>
      <w:bookmarkStart w:id="52" w:name="_Ref524552921"/>
      <w:r>
        <w:lastRenderedPageBreak/>
        <w:t xml:space="preserve">Figure </w:t>
      </w:r>
      <w:r>
        <w:fldChar w:fldCharType="begin"/>
      </w:r>
      <w:r>
        <w:instrText xml:space="preserve"> SEQ Figure \* ARABIC </w:instrText>
      </w:r>
      <w:r>
        <w:fldChar w:fldCharType="separate"/>
      </w:r>
      <w:r w:rsidR="006F531A">
        <w:rPr>
          <w:noProof/>
        </w:rPr>
        <w:t>14</w:t>
      </w:r>
      <w:r>
        <w:fldChar w:fldCharType="end"/>
      </w:r>
      <w:bookmarkEnd w:id="52"/>
      <w:r>
        <w:t xml:space="preserve"> – Example of the Public/Private Model for LNG implementation in Bangladesh</w:t>
      </w:r>
    </w:p>
    <w:p w14:paraId="6DADA032" w14:textId="66A2153A" w:rsidR="001B59AC" w:rsidRDefault="001B59AC" w:rsidP="001B59AC">
      <w:pPr>
        <w:pStyle w:val="BodyText"/>
        <w:rPr>
          <w:lang w:val="en-US"/>
        </w:rPr>
      </w:pPr>
      <w:r>
        <w:rPr>
          <w:lang w:val="en-US"/>
        </w:rPr>
        <w:t xml:space="preserve"> </w:t>
      </w:r>
      <w:r w:rsidRPr="00D516FB">
        <w:rPr>
          <w:noProof/>
          <w:lang w:val="en-US" w:eastAsia="en-US"/>
        </w:rPr>
        <w:drawing>
          <wp:inline distT="0" distB="0" distL="0" distR="0" wp14:anchorId="78AEDD5E" wp14:editId="6AFBF555">
            <wp:extent cx="4438650" cy="2602891"/>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43868" cy="2605951"/>
                    </a:xfrm>
                    <a:prstGeom prst="rect">
                      <a:avLst/>
                    </a:prstGeom>
                    <a:noFill/>
                    <a:ln>
                      <a:noFill/>
                    </a:ln>
                  </pic:spPr>
                </pic:pic>
              </a:graphicData>
            </a:graphic>
          </wp:inline>
        </w:drawing>
      </w:r>
    </w:p>
    <w:p w14:paraId="73154887" w14:textId="0F584D59" w:rsidR="009E7445" w:rsidRPr="009E7445" w:rsidRDefault="009E7445" w:rsidP="001B59AC">
      <w:pPr>
        <w:pStyle w:val="BodyText"/>
        <w:rPr>
          <w:sz w:val="16"/>
        </w:rPr>
      </w:pPr>
      <w:r w:rsidRPr="009E7445">
        <w:rPr>
          <w:sz w:val="16"/>
        </w:rPr>
        <w:t>Source: TLG</w:t>
      </w:r>
    </w:p>
    <w:p w14:paraId="25213706" w14:textId="51C1FF45" w:rsidR="001B59AC" w:rsidRDefault="001B59AC" w:rsidP="001B59AC">
      <w:pPr>
        <w:pStyle w:val="BodyText"/>
        <w:rPr>
          <w:lang w:val="en-SG" w:eastAsia="ja-JP"/>
        </w:rPr>
      </w:pPr>
      <w:r>
        <w:t>C</w:t>
      </w:r>
      <w:r w:rsidRPr="00D170BB">
        <w:t>ompared to fully-state owned models and private integrated models,</w:t>
      </w:r>
      <w:r>
        <w:t xml:space="preserve"> the Public-Private </w:t>
      </w:r>
      <w:r w:rsidRPr="00D170BB">
        <w:t xml:space="preserve">model </w:t>
      </w:r>
      <w:r>
        <w:t>has proved</w:t>
      </w:r>
      <w:r w:rsidRPr="00D170BB">
        <w:t xml:space="preserve"> particularly</w:t>
      </w:r>
      <w:r>
        <w:t xml:space="preserve"> attractive</w:t>
      </w:r>
      <w:r w:rsidRPr="00D170BB">
        <w:t xml:space="preserve"> </w:t>
      </w:r>
      <w:r>
        <w:t xml:space="preserve">owing to the fact that it </w:t>
      </w:r>
      <w:r w:rsidR="00F46897">
        <w:t>can</w:t>
      </w:r>
      <w:r>
        <w:t xml:space="preserve"> provide</w:t>
      </w:r>
      <w:r w:rsidRPr="00D170BB">
        <w:t xml:space="preserve"> the most flexibility in terms of LNG supply, technological innovation, and control over cost.</w:t>
      </w:r>
      <w:r>
        <w:t xml:space="preserve">  </w:t>
      </w:r>
      <w:r w:rsidRPr="00646AF1">
        <w:t xml:space="preserve">In the </w:t>
      </w:r>
      <w:r>
        <w:t>context</w:t>
      </w:r>
      <w:r w:rsidRPr="00646AF1">
        <w:t xml:space="preserve"> of Vietnam, </w:t>
      </w:r>
      <w:r>
        <w:t xml:space="preserve">this structure </w:t>
      </w:r>
      <w:r w:rsidR="00862AB6">
        <w:t xml:space="preserve">can deliver </w:t>
      </w:r>
      <w:r w:rsidRPr="00646AF1">
        <w:t xml:space="preserve">the long-term benefit of </w:t>
      </w:r>
      <w:r w:rsidR="00F46897">
        <w:t xml:space="preserve">a flexible and </w:t>
      </w:r>
      <w:r w:rsidRPr="00702B49">
        <w:t>lower cost development</w:t>
      </w:r>
      <w:r w:rsidR="00F46897">
        <w:t xml:space="preserve"> option</w:t>
      </w:r>
      <w:r w:rsidRPr="00702B49">
        <w:t>, while allowing for the early adoption of an open access model.</w:t>
      </w:r>
    </w:p>
    <w:bookmarkEnd w:id="49"/>
    <w:p w14:paraId="5741ED6D" w14:textId="1A6ADB2D" w:rsidR="001B59AC" w:rsidRDefault="00CD797B" w:rsidP="001B59AC">
      <w:pPr>
        <w:pStyle w:val="Heading4"/>
      </w:pPr>
      <w:r>
        <w:rPr>
          <w:noProof/>
        </w:rPr>
        <w:lastRenderedPageBreak/>
        <mc:AlternateContent>
          <mc:Choice Requires="wps">
            <w:drawing>
              <wp:anchor distT="45720" distB="45720" distL="114300" distR="114300" simplePos="0" relativeHeight="251662336" behindDoc="0" locked="0" layoutInCell="1" allowOverlap="1" wp14:anchorId="7673AC9D" wp14:editId="4B419825">
                <wp:simplePos x="0" y="0"/>
                <wp:positionH relativeFrom="column">
                  <wp:posOffset>2967355</wp:posOffset>
                </wp:positionH>
                <wp:positionV relativeFrom="paragraph">
                  <wp:posOffset>414020</wp:posOffset>
                </wp:positionV>
                <wp:extent cx="2381250" cy="3727450"/>
                <wp:effectExtent l="0" t="0" r="0" b="63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3727450"/>
                        </a:xfrm>
                        <a:prstGeom prst="rect">
                          <a:avLst/>
                        </a:prstGeom>
                        <a:solidFill>
                          <a:srgbClr val="FFFFFF"/>
                        </a:solidFill>
                        <a:ln w="9525">
                          <a:noFill/>
                          <a:miter lim="800000"/>
                          <a:headEnd/>
                          <a:tailEnd/>
                        </a:ln>
                      </wps:spPr>
                      <wps:txbx>
                        <w:txbxContent>
                          <w:p w14:paraId="684B7DDD" w14:textId="12D00586" w:rsidR="00B16DAD" w:rsidRDefault="00B16DAD" w:rsidP="00CD797B">
                            <w:pPr>
                              <w:pStyle w:val="Caption"/>
                            </w:pPr>
                            <w:r>
                              <w:t xml:space="preserve">Figure </w:t>
                            </w:r>
                            <w:r>
                              <w:fldChar w:fldCharType="begin"/>
                            </w:r>
                            <w:r>
                              <w:instrText xml:space="preserve"> SEQ Figure \* ARABIC </w:instrText>
                            </w:r>
                            <w:r>
                              <w:fldChar w:fldCharType="separate"/>
                            </w:r>
                            <w:r>
                              <w:rPr>
                                <w:noProof/>
                              </w:rPr>
                              <w:t>15</w:t>
                            </w:r>
                            <w:r>
                              <w:fldChar w:fldCharType="end"/>
                            </w:r>
                            <w:r>
                              <w:t>: LNG Terminal Plans in Vietnam</w:t>
                            </w:r>
                          </w:p>
                          <w:p w14:paraId="7FD9732D" w14:textId="668A6719" w:rsidR="00B16DAD" w:rsidRDefault="00B16DAD">
                            <w:r>
                              <w:rPr>
                                <w:noProof/>
                              </w:rPr>
                              <w:drawing>
                                <wp:inline distT="0" distB="0" distL="0" distR="0" wp14:anchorId="19C8CB00" wp14:editId="76098400">
                                  <wp:extent cx="2189480" cy="2651704"/>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89480" cy="265170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3AC9D" id="_x0000_s1027" type="#_x0000_t202" style="position:absolute;margin-left:233.65pt;margin-top:32.6pt;width:187.5pt;height:293.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" stroked="f">
                <v:textbox>
                  <w:txbxContent>
                    <w:p w14:paraId="684B7DDD" w14:textId="12D00586" w:rsidR="00B16DAD" w:rsidRDefault="00B16DAD" w:rsidP="00CD797B">
                      <w:pPr>
                        <w:pStyle w:val="Caption"/>
                      </w:pPr>
                      <w:r>
                        <w:t xml:space="preserve">Figure </w:t>
                      </w:r>
                      <w:r>
                        <w:fldChar w:fldCharType="begin"/>
                      </w:r>
                      <w:r>
                        <w:instrText xml:space="preserve"> SEQ Figure \* ARABIC </w:instrText>
                      </w:r>
                      <w:r>
                        <w:fldChar w:fldCharType="separate"/>
                      </w:r>
                      <w:r>
                        <w:rPr>
                          <w:noProof/>
                        </w:rPr>
                        <w:t>15</w:t>
                      </w:r>
                      <w:r>
                        <w:fldChar w:fldCharType="end"/>
                      </w:r>
                      <w:r>
                        <w:t>: LNG Terminal Plans in Vietnam</w:t>
                      </w:r>
                    </w:p>
                    <w:p w14:paraId="7FD9732D" w14:textId="668A6719" w:rsidR="00B16DAD" w:rsidRDefault="00B16DAD">
                      <w:r>
                        <w:rPr>
                          <w:noProof/>
                        </w:rPr>
                        <w:drawing>
                          <wp:inline distT="0" distB="0" distL="0" distR="0" wp14:anchorId="19C8CB00" wp14:editId="76098400">
                            <wp:extent cx="2189480" cy="2651704"/>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89480" cy="2651704"/>
                                    </a:xfrm>
                                    <a:prstGeom prst="rect">
                                      <a:avLst/>
                                    </a:prstGeom>
                                    <a:noFill/>
                                    <a:ln>
                                      <a:noFill/>
                                    </a:ln>
                                  </pic:spPr>
                                </pic:pic>
                              </a:graphicData>
                            </a:graphic>
                          </wp:inline>
                        </w:drawing>
                      </w:r>
                    </w:p>
                  </w:txbxContent>
                </v:textbox>
                <w10:wrap type="square"/>
              </v:shape>
            </w:pict>
          </mc:Fallback>
        </mc:AlternateContent>
      </w:r>
      <w:r w:rsidR="001B59AC" w:rsidRPr="00251C6D">
        <w:t>FSRU</w:t>
      </w:r>
      <w:r w:rsidR="001B59AC">
        <w:t xml:space="preserve"> infrastructure provides distinct benefits</w:t>
      </w:r>
    </w:p>
    <w:p w14:paraId="759D7E13" w14:textId="7086C5AD" w:rsidR="004C735B" w:rsidRDefault="001B59AC" w:rsidP="001B59AC">
      <w:pPr>
        <w:pStyle w:val="BodyText"/>
        <w:jc w:val="both"/>
      </w:pPr>
      <w:r w:rsidRPr="005816F8">
        <w:t>Since their first deployment in 2005, the global use of FSRUs has grown rapidly</w:t>
      </w:r>
      <w:r w:rsidR="00CD797B">
        <w:t xml:space="preserve">. </w:t>
      </w:r>
      <w:r w:rsidR="00A45891">
        <w:t xml:space="preserve"> </w:t>
      </w:r>
      <w:r w:rsidR="00CD797B">
        <w:t>M</w:t>
      </w:r>
      <w:r w:rsidRPr="005816F8">
        <w:t xml:space="preserve">any new emerging LNG markets are using FSRUs, which offer flexibility, faster deployment and cost advantages.  </w:t>
      </w:r>
      <w:r>
        <w:t xml:space="preserve">In addition, FSRUs provide the advantage of being modular and therefore able to scale </w:t>
      </w:r>
      <w:r w:rsidR="004C735B">
        <w:t xml:space="preserve">up rapidly </w:t>
      </w:r>
      <w:r>
        <w:t>in markets that are experiencing significant demand growth.  Indeed, Pakistan’s maiden LNG development at Port Qasin (COD 2015, 4.8 mtpa) was subsequently complemented by a further FSRU at the same location in 2017 (5.2 mtpa), with a further expansion planned to come online in 2019.  Bangladesh’s maiden LNG development, a 3.5 mtpa FSRU developed by Excelerate, recently came online in August 2018 and another FSRU of the same capacity is expected to begin LNG imports next year.</w:t>
      </w:r>
      <w:r w:rsidR="004C735B">
        <w:t xml:space="preserve"> </w:t>
      </w:r>
      <w:r w:rsidR="00CD797B">
        <w:t xml:space="preserve">These key learnings are worth mentioning for the benefit of Vietnam. </w:t>
      </w:r>
      <w:r w:rsidR="004C735B">
        <w:t xml:space="preserve">We note that </w:t>
      </w:r>
      <w:r w:rsidR="00CD797B">
        <w:t>PVN and EVN are in fact considering deploying FSRU technology to serve respective LNG importation needs.</w:t>
      </w:r>
      <w:r w:rsidR="004C735B">
        <w:t xml:space="preserve"> </w:t>
      </w:r>
    </w:p>
    <w:p w14:paraId="5074C7D5" w14:textId="6E95879B" w:rsidR="001B59AC" w:rsidRPr="00BA7E4F" w:rsidRDefault="001B59AC" w:rsidP="001B59AC">
      <w:pPr>
        <w:pStyle w:val="Heading4"/>
      </w:pPr>
      <w:bookmarkStart w:id="53" w:name="_Hlk524473097"/>
      <w:bookmarkStart w:id="54" w:name="_Hlk524473137"/>
      <w:r w:rsidRPr="00BA7E4F">
        <w:t>How have LNG costs been absorbed/passed through by the power sector?</w:t>
      </w:r>
    </w:p>
    <w:p w14:paraId="2B231191" w14:textId="7D8B8A68" w:rsidR="001B59AC" w:rsidRDefault="001B59AC" w:rsidP="001B59AC">
      <w:pPr>
        <w:pStyle w:val="BodyText"/>
      </w:pPr>
      <w:r>
        <w:t xml:space="preserve">As discussed earlier, </w:t>
      </w:r>
      <w:r w:rsidR="00CD797B">
        <w:t>LNG fuel cost pass through</w:t>
      </w:r>
      <w:r>
        <w:t xml:space="preserve"> is a common feature of new and emerging LNG importing nations.</w:t>
      </w:r>
      <w:r w:rsidR="00CD797B">
        <w:t xml:space="preserve"> We highlight below some critical observations with regards to how LNG pricing and offtake risks are addressed</w:t>
      </w:r>
      <w:r w:rsidR="00DD3E2F">
        <w:t>:</w:t>
      </w:r>
    </w:p>
    <w:p w14:paraId="0A1112E1" w14:textId="4BD2B514" w:rsidR="001B59AC" w:rsidRPr="00DD3E2F" w:rsidRDefault="001B59AC" w:rsidP="001B59AC">
      <w:pPr>
        <w:pStyle w:val="BodyText"/>
        <w:rPr>
          <w:b/>
        </w:rPr>
      </w:pPr>
      <w:r w:rsidRPr="00DD3E2F">
        <w:rPr>
          <w:b/>
          <w:lang w:val="en-US"/>
        </w:rPr>
        <w:t>Pakistan:</w:t>
      </w:r>
      <w:r w:rsidRPr="00DD3E2F">
        <w:rPr>
          <w:lang w:val="en-US"/>
        </w:rPr>
        <w:t xml:space="preserve"> </w:t>
      </w:r>
      <w:r w:rsidR="00DD3E2F" w:rsidRPr="00DD3E2F">
        <w:rPr>
          <w:lang w:val="en-US"/>
        </w:rPr>
        <w:t xml:space="preserve"> </w:t>
      </w:r>
      <w:r w:rsidRPr="00DD3E2F">
        <w:rPr>
          <w:lang w:val="en-US"/>
        </w:rPr>
        <w:t xml:space="preserve">A cost pass-through regime is adopted in Pakistan. Setting of Electricity tariffs come under the sole purview of National Electric Power Regulatory Authority (NEPRA), and follows a cost pass through principle. </w:t>
      </w:r>
      <w:r w:rsidR="00DD3E2F" w:rsidRPr="00DD3E2F">
        <w:rPr>
          <w:lang w:val="en-US"/>
        </w:rPr>
        <w:t xml:space="preserve"> </w:t>
      </w:r>
      <w:r w:rsidRPr="00DD3E2F">
        <w:rPr>
          <w:lang w:val="en-US"/>
        </w:rPr>
        <w:t xml:space="preserve">In most cases under long term PPAs, Genco’s tariff is determined on a cost-plus basis. </w:t>
      </w:r>
      <w:r w:rsidR="00DD3E2F" w:rsidRPr="00DD3E2F">
        <w:rPr>
          <w:lang w:val="en-US"/>
        </w:rPr>
        <w:t xml:space="preserve"> </w:t>
      </w:r>
      <w:r w:rsidRPr="00DD3E2F">
        <w:rPr>
          <w:lang w:val="en-US"/>
        </w:rPr>
        <w:t xml:space="preserve">When setting electricity tariffs, NEPRA takes into consideration project specific factors and operational factors while ensuring adequate equity return, debt service and maintenance costs recovery. </w:t>
      </w:r>
      <w:r w:rsidR="00DD3E2F" w:rsidRPr="00DD3E2F">
        <w:rPr>
          <w:lang w:val="en-US"/>
        </w:rPr>
        <w:t xml:space="preserve"> </w:t>
      </w:r>
      <w:r w:rsidRPr="00DD3E2F">
        <w:rPr>
          <w:lang w:val="en-US"/>
        </w:rPr>
        <w:t>LNG contracts are linked to Brent. OGRA determines the RLNG price</w:t>
      </w:r>
      <w:r w:rsidRPr="00DD3E2F">
        <w:rPr>
          <w:rStyle w:val="FootnoteReference"/>
          <w:lang w:val="en-US"/>
        </w:rPr>
        <w:footnoteReference w:id="13"/>
      </w:r>
      <w:r w:rsidRPr="00DD3E2F">
        <w:rPr>
          <w:lang w:val="en-US"/>
        </w:rPr>
        <w:t xml:space="preserve"> on a monthly basis and </w:t>
      </w:r>
      <w:r w:rsidR="00DD3E2F" w:rsidRPr="00DD3E2F">
        <w:rPr>
          <w:lang w:val="en-US"/>
        </w:rPr>
        <w:t xml:space="preserve">the </w:t>
      </w:r>
      <w:r w:rsidRPr="00DD3E2F">
        <w:rPr>
          <w:lang w:val="en-US"/>
        </w:rPr>
        <w:t>cost of LNG is passed through to end consumers.</w:t>
      </w:r>
    </w:p>
    <w:p w14:paraId="4C0DF06B" w14:textId="56259640" w:rsidR="001B59AC" w:rsidRPr="00DD3E2F" w:rsidRDefault="001B59AC" w:rsidP="001B59AC">
      <w:pPr>
        <w:pStyle w:val="BodyText"/>
        <w:rPr>
          <w:lang w:val="en-HK"/>
        </w:rPr>
      </w:pPr>
      <w:r w:rsidRPr="00DD3E2F">
        <w:rPr>
          <w:b/>
          <w:lang w:val="en-US"/>
        </w:rPr>
        <w:lastRenderedPageBreak/>
        <w:t xml:space="preserve">Bangladesh: </w:t>
      </w:r>
      <w:r w:rsidR="00DD3E2F" w:rsidRPr="00DD3E2F">
        <w:rPr>
          <w:b/>
          <w:lang w:val="en-US"/>
        </w:rPr>
        <w:t xml:space="preserve"> </w:t>
      </w:r>
      <w:r w:rsidR="00DD3E2F" w:rsidRPr="00DD3E2F">
        <w:rPr>
          <w:lang w:val="en-US"/>
        </w:rPr>
        <w:t xml:space="preserve">The </w:t>
      </w:r>
      <w:r w:rsidR="00DD3E2F" w:rsidRPr="00DD3E2F">
        <w:rPr>
          <w:lang w:val="en-HK"/>
        </w:rPr>
        <w:t>price</w:t>
      </w:r>
      <w:r w:rsidRPr="00DD3E2F">
        <w:rPr>
          <w:lang w:val="en-HK"/>
        </w:rPr>
        <w:t xml:space="preserve"> of LNG </w:t>
      </w:r>
      <w:r w:rsidR="007765E3" w:rsidRPr="00DD3E2F">
        <w:rPr>
          <w:lang w:val="en-HK"/>
        </w:rPr>
        <w:t>(either</w:t>
      </w:r>
      <w:r w:rsidRPr="00DD3E2F">
        <w:rPr>
          <w:lang w:val="en-HK"/>
        </w:rPr>
        <w:t xml:space="preserve"> hybrid HH- and oil-linked</w:t>
      </w:r>
      <w:r w:rsidR="007765E3" w:rsidRPr="00DD3E2F">
        <w:rPr>
          <w:lang w:val="en-HK"/>
        </w:rPr>
        <w:t>)</w:t>
      </w:r>
      <w:r w:rsidRPr="00DD3E2F">
        <w:rPr>
          <w:lang w:val="en-HK"/>
        </w:rPr>
        <w:t xml:space="preserve"> is blended with domestic gas, and price </w:t>
      </w:r>
      <w:r w:rsidR="007765E3" w:rsidRPr="00DD3E2F">
        <w:rPr>
          <w:lang w:val="en-HK"/>
        </w:rPr>
        <w:t xml:space="preserve">is then passed through </w:t>
      </w:r>
      <w:r w:rsidRPr="00DD3E2F">
        <w:rPr>
          <w:lang w:val="en-HK"/>
        </w:rPr>
        <w:t xml:space="preserve">to the end-users based on a weighted average of LNG and domestic gas. </w:t>
      </w:r>
      <w:r w:rsidR="00DD3E2F" w:rsidRPr="00DD3E2F">
        <w:rPr>
          <w:lang w:val="en-HK"/>
        </w:rPr>
        <w:t xml:space="preserve"> </w:t>
      </w:r>
      <w:r w:rsidRPr="00DD3E2F">
        <w:rPr>
          <w:lang w:val="en-HK"/>
        </w:rPr>
        <w:t xml:space="preserve">BERC regulates </w:t>
      </w:r>
      <w:r w:rsidR="00DD3E2F" w:rsidRPr="00DD3E2F">
        <w:rPr>
          <w:lang w:val="en-HK"/>
        </w:rPr>
        <w:t>the</w:t>
      </w:r>
      <w:r w:rsidRPr="00DD3E2F">
        <w:rPr>
          <w:lang w:val="en-HK"/>
        </w:rPr>
        <w:t xml:space="preserve"> gas tariff whilst PetroBangla negotiates the contracts.</w:t>
      </w:r>
      <w:r w:rsidR="007765E3" w:rsidRPr="00DD3E2F">
        <w:rPr>
          <w:lang w:val="en-HK"/>
        </w:rPr>
        <w:t xml:space="preserve"> </w:t>
      </w:r>
      <w:r w:rsidR="00DD3E2F" w:rsidRPr="00DD3E2F">
        <w:rPr>
          <w:lang w:val="en-HK"/>
        </w:rPr>
        <w:t xml:space="preserve"> </w:t>
      </w:r>
      <w:r w:rsidR="007765E3" w:rsidRPr="00DD3E2F">
        <w:rPr>
          <w:lang w:val="en-HK"/>
        </w:rPr>
        <w:t>BPDB (</w:t>
      </w:r>
      <w:r w:rsidR="00DD3E2F" w:rsidRPr="00DD3E2F">
        <w:rPr>
          <w:lang w:val="en-HK"/>
        </w:rPr>
        <w:t xml:space="preserve">the </w:t>
      </w:r>
      <w:r w:rsidR="007765E3" w:rsidRPr="00DD3E2F">
        <w:rPr>
          <w:lang w:val="en-HK"/>
        </w:rPr>
        <w:t>electric utility) passes through the cost of LNG in the Power Purchase Agreement to end consumers</w:t>
      </w:r>
      <w:r w:rsidR="00DD3E2F" w:rsidRPr="00DD3E2F">
        <w:rPr>
          <w:lang w:val="en-HK"/>
        </w:rPr>
        <w:t>.</w:t>
      </w:r>
      <w:r w:rsidR="007765E3" w:rsidRPr="00DD3E2F">
        <w:rPr>
          <w:lang w:val="en-HK"/>
        </w:rPr>
        <w:t xml:space="preserve"> </w:t>
      </w:r>
    </w:p>
    <w:p w14:paraId="4DCD18EE" w14:textId="2ACE6A4F" w:rsidR="001B59AC" w:rsidRPr="00DD3E2F" w:rsidRDefault="001B59AC" w:rsidP="001B59AC">
      <w:r w:rsidRPr="00DD3E2F">
        <w:rPr>
          <w:b/>
          <w:lang w:val="en-US"/>
        </w:rPr>
        <w:t xml:space="preserve">Thailand: </w:t>
      </w:r>
      <w:r w:rsidR="00B56037">
        <w:rPr>
          <w:b/>
          <w:lang w:val="en-US"/>
        </w:rPr>
        <w:t xml:space="preserve"> </w:t>
      </w:r>
      <w:r w:rsidRPr="00DD3E2F">
        <w:rPr>
          <w:lang w:val="en-US"/>
        </w:rPr>
        <w:t xml:space="preserve">Gas pricing in Thailand is based on a cost-plus pricing regime where producers may pass costs onto consumers. </w:t>
      </w:r>
      <w:r w:rsidRPr="00DD3E2F">
        <w:t xml:space="preserve">Upstream gas is a blend of starting fixed price with linkage to fuel oil whilst LNG is linked to oil price. </w:t>
      </w:r>
      <w:r w:rsidR="00B56037">
        <w:t xml:space="preserve"> </w:t>
      </w:r>
      <w:r w:rsidRPr="00DD3E2F">
        <w:t>Cross subsidies have been largely removed, and Thailand is moving to a general cost pass-through for both power and non-power.</w:t>
      </w:r>
      <w:r w:rsidR="00B56037">
        <w:t xml:space="preserve"> </w:t>
      </w:r>
      <w:r w:rsidRPr="00DD3E2F">
        <w:t xml:space="preserve"> It is understood that tariff for the PTT terminal and gas transmission line will be changed from using life cycle to five-year periods of allowed revenues based on a regulated asset base.  This will enable resets every five years to reflect changing interest rates in the WACC calculation.  </w:t>
      </w:r>
    </w:p>
    <w:p w14:paraId="5042370E" w14:textId="16D8ECAF" w:rsidR="001B59AC" w:rsidRPr="00DD3E2F" w:rsidRDefault="001B59AC" w:rsidP="001B59AC">
      <w:pPr>
        <w:pStyle w:val="BodyText"/>
        <w:rPr>
          <w:lang w:val="en-US"/>
        </w:rPr>
      </w:pPr>
      <w:r w:rsidRPr="00DD3E2F">
        <w:rPr>
          <w:b/>
          <w:lang w:val="en-US"/>
        </w:rPr>
        <w:t xml:space="preserve">Malaysia: </w:t>
      </w:r>
      <w:r w:rsidR="00B56037">
        <w:rPr>
          <w:b/>
          <w:lang w:val="en-US"/>
        </w:rPr>
        <w:t xml:space="preserve"> </w:t>
      </w:r>
      <w:r w:rsidRPr="00DD3E2F">
        <w:rPr>
          <w:lang w:val="en-US"/>
        </w:rPr>
        <w:t xml:space="preserve">The Gas Supply Act Amendment 2016 puts the responsibility for approval of tariffs under TPA with the Energy Commission (EC). The gas transmission tariff is currently set at RM 1.248/GJ by the EC. </w:t>
      </w:r>
      <w:r w:rsidR="00B56037">
        <w:rPr>
          <w:lang w:val="en-US"/>
        </w:rPr>
        <w:t xml:space="preserve"> </w:t>
      </w:r>
      <w:r w:rsidRPr="00DD3E2F">
        <w:rPr>
          <w:lang w:val="en-US"/>
        </w:rPr>
        <w:t xml:space="preserve">Net-back pricing mechanism is adopted along with third party access for gas infrastructure in Malaysia. </w:t>
      </w:r>
      <w:r w:rsidR="00B56037">
        <w:rPr>
          <w:lang w:val="en-US"/>
        </w:rPr>
        <w:t xml:space="preserve"> </w:t>
      </w:r>
      <w:r w:rsidRPr="00DD3E2F">
        <w:rPr>
          <w:lang w:val="en-US"/>
        </w:rPr>
        <w:t xml:space="preserve">The government is still providing 30% gas subsidies to the power sector. </w:t>
      </w:r>
      <w:r w:rsidR="00B56037">
        <w:rPr>
          <w:lang w:val="en-US"/>
        </w:rPr>
        <w:t xml:space="preserve"> </w:t>
      </w:r>
      <w:r w:rsidRPr="00DD3E2F">
        <w:rPr>
          <w:lang w:val="en-US"/>
        </w:rPr>
        <w:t xml:space="preserve">Nonetheless, gas subsidies have been gradually removed. </w:t>
      </w:r>
      <w:r w:rsidR="00B56037">
        <w:rPr>
          <w:lang w:val="en-US"/>
        </w:rPr>
        <w:t xml:space="preserve"> </w:t>
      </w:r>
      <w:r w:rsidRPr="00DD3E2F">
        <w:rPr>
          <w:lang w:val="en-US"/>
        </w:rPr>
        <w:t>Notably, a move towards market-based pricing, by gradually reducing energy subsidies and allowing gas price formation and transformation, helps support the introduction of LNG into the power sector and exploration &amp; production of upstream gas.</w:t>
      </w:r>
    </w:p>
    <w:bookmarkEnd w:id="53"/>
    <w:p w14:paraId="65931B0F" w14:textId="77777777" w:rsidR="007765E3" w:rsidRPr="00BA7E4F" w:rsidRDefault="007765E3" w:rsidP="007765E3">
      <w:pPr>
        <w:pStyle w:val="Heading4"/>
      </w:pPr>
      <w:r w:rsidRPr="00BA7E4F">
        <w:t>What stage was electricity and gas sector reform at when LNG was introduced</w:t>
      </w:r>
      <w:r>
        <w:t>?</w:t>
      </w:r>
    </w:p>
    <w:p w14:paraId="5781FADF" w14:textId="57D5982B" w:rsidR="007765E3" w:rsidRDefault="003338FD" w:rsidP="007765E3">
      <w:pPr>
        <w:pStyle w:val="BodyText"/>
      </w:pPr>
      <w:r w:rsidRPr="003338FD">
        <w:t>We observe</w:t>
      </w:r>
      <w:r>
        <w:t xml:space="preserve"> many new markets introduced LNG before unbundling electricity and gas market structure. </w:t>
      </w:r>
      <w:r w:rsidR="00B56037">
        <w:t xml:space="preserve"> </w:t>
      </w:r>
      <w:r>
        <w:fldChar w:fldCharType="begin"/>
      </w:r>
      <w:r>
        <w:instrText xml:space="preserve"> REF _Ref524650133 \h </w:instrText>
      </w:r>
      <w:r>
        <w:fldChar w:fldCharType="separate"/>
      </w:r>
      <w:r w:rsidR="006F531A">
        <w:t xml:space="preserve">Figure </w:t>
      </w:r>
      <w:r w:rsidR="006F531A">
        <w:rPr>
          <w:noProof/>
        </w:rPr>
        <w:t>16</w:t>
      </w:r>
      <w:r>
        <w:fldChar w:fldCharType="end"/>
      </w:r>
      <w:r>
        <w:t xml:space="preserve"> summarizes the state of the market reform</w:t>
      </w:r>
      <w:r w:rsidR="00B56037">
        <w:t>, and is followed by a summary of key country examples.</w:t>
      </w:r>
    </w:p>
    <w:p w14:paraId="7707C4FF" w14:textId="50DD8E1A" w:rsidR="003338FD" w:rsidRPr="003338FD" w:rsidRDefault="003338FD" w:rsidP="003338FD">
      <w:pPr>
        <w:pStyle w:val="Caption"/>
      </w:pPr>
      <w:bookmarkStart w:id="55" w:name="_Ref524650133"/>
      <w:r>
        <w:lastRenderedPageBreak/>
        <w:t xml:space="preserve">Figure </w:t>
      </w:r>
      <w:r>
        <w:fldChar w:fldCharType="begin"/>
      </w:r>
      <w:r>
        <w:instrText xml:space="preserve"> SEQ Figure \* ARABIC </w:instrText>
      </w:r>
      <w:r>
        <w:fldChar w:fldCharType="separate"/>
      </w:r>
      <w:r w:rsidR="006F531A">
        <w:rPr>
          <w:noProof/>
        </w:rPr>
        <w:t>16</w:t>
      </w:r>
      <w:r>
        <w:fldChar w:fldCharType="end"/>
      </w:r>
      <w:bookmarkEnd w:id="55"/>
      <w:r>
        <w:t>: Market Structure of new LNG importing countries</w:t>
      </w:r>
    </w:p>
    <w:p w14:paraId="2DDCCC59" w14:textId="4D267B6F" w:rsidR="003338FD" w:rsidRDefault="003338FD" w:rsidP="007765E3">
      <w:pPr>
        <w:pStyle w:val="BodyText"/>
        <w:rPr>
          <w:highlight w:val="yellow"/>
        </w:rPr>
      </w:pPr>
      <w:r w:rsidRPr="003338FD">
        <w:rPr>
          <w:noProof/>
        </w:rPr>
        <w:drawing>
          <wp:inline distT="0" distB="0" distL="0" distR="0" wp14:anchorId="07B3F3CE" wp14:editId="34CA9F04">
            <wp:extent cx="5048250" cy="298717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48250" cy="2987171"/>
                    </a:xfrm>
                    <a:prstGeom prst="rect">
                      <a:avLst/>
                    </a:prstGeom>
                    <a:noFill/>
                    <a:ln>
                      <a:noFill/>
                    </a:ln>
                  </pic:spPr>
                </pic:pic>
              </a:graphicData>
            </a:graphic>
          </wp:inline>
        </w:drawing>
      </w:r>
    </w:p>
    <w:p w14:paraId="743B955B" w14:textId="77777777" w:rsidR="00B56037" w:rsidRPr="00B56037" w:rsidRDefault="00B56037" w:rsidP="00B56037">
      <w:pPr>
        <w:pStyle w:val="ListBullet"/>
        <w:numPr>
          <w:ilvl w:val="0"/>
          <w:numId w:val="0"/>
        </w:numPr>
      </w:pPr>
      <w:r w:rsidRPr="00B56037">
        <w:rPr>
          <w:b/>
        </w:rPr>
        <w:t xml:space="preserve">Thailand:  </w:t>
      </w:r>
      <w:r w:rsidRPr="00B56037">
        <w:t xml:space="preserve">Thailand first imported LNG in 2011, with the start-up of its Map Ta Phut LNG terminal. </w:t>
      </w:r>
      <w:r>
        <w:t xml:space="preserve"> </w:t>
      </w:r>
      <w:r w:rsidRPr="00B56037">
        <w:t>The advent of LNG imports opened up an opportunity for liberalization efforts</w:t>
      </w:r>
      <w:r>
        <w:t xml:space="preserve"> in the country, where </w:t>
      </w:r>
      <w:r w:rsidRPr="00B56037">
        <w:t xml:space="preserve">PTT has long </w:t>
      </w:r>
      <w:r>
        <w:t>held</w:t>
      </w:r>
      <w:r w:rsidRPr="00B56037">
        <w:t xml:space="preserve"> a monopoly on procurement of domestic gas and Myanmar pipeline imports. </w:t>
      </w:r>
      <w:r>
        <w:t xml:space="preserve"> </w:t>
      </w:r>
      <w:r w:rsidRPr="00B56037">
        <w:t xml:space="preserve">In light of implementation challenges associated with parliamentary changes on Petroleum Industry Act to break PTT’s longstanding monopoly, a TPA regime on LNG imports </w:t>
      </w:r>
      <w:r>
        <w:t>has helped</w:t>
      </w:r>
      <w:r w:rsidRPr="00B56037">
        <w:t xml:space="preserve"> provide an avenue for third parties to procure, distribute, and market LNG. In December 2014, the ERC rolled out the TPA regime for Thailand. </w:t>
      </w:r>
      <w:r>
        <w:t xml:space="preserve"> </w:t>
      </w:r>
      <w:r w:rsidRPr="00B56037">
        <w:t xml:space="preserve">PTT Energy regulators are still looking into further pricing reforms. </w:t>
      </w:r>
      <w:r>
        <w:t xml:space="preserve"> </w:t>
      </w:r>
      <w:r w:rsidRPr="00B56037">
        <w:t>A roadmap for introducing a competitive market in Thailand is currently still underway.</w:t>
      </w:r>
    </w:p>
    <w:p w14:paraId="3082107C" w14:textId="0E566E6F" w:rsidR="007765E3" w:rsidRPr="00B56037" w:rsidRDefault="007765E3" w:rsidP="007765E3">
      <w:pPr>
        <w:pStyle w:val="ListBullet"/>
        <w:numPr>
          <w:ilvl w:val="0"/>
          <w:numId w:val="0"/>
        </w:numPr>
      </w:pPr>
      <w:r w:rsidRPr="00B56037">
        <w:rPr>
          <w:b/>
        </w:rPr>
        <w:t xml:space="preserve">Pakistan:  </w:t>
      </w:r>
      <w:r w:rsidRPr="00B56037">
        <w:t xml:space="preserve">To date, Pakistan has imported </w:t>
      </w:r>
      <w:r w:rsidR="00B56037">
        <w:t xml:space="preserve">approximately </w:t>
      </w:r>
      <w:r w:rsidRPr="00B56037">
        <w:t xml:space="preserve">10 mt of LNG since 2015. Pakistan does not have a national energy policy encompassing all fuels, but the government closely manages the energy sector and set targets in place for power, renewables, and natural gas. </w:t>
      </w:r>
      <w:r w:rsidR="00B56037">
        <w:t xml:space="preserve"> </w:t>
      </w:r>
      <w:r w:rsidRPr="00B56037">
        <w:t xml:space="preserve">More recently, Pakistan’s energy sector developments have become tied to investments from Chinese firms via CPEC and to Russia through cooperation agreements reached in late 2015. </w:t>
      </w:r>
      <w:r w:rsidR="00B56037">
        <w:t xml:space="preserve"> </w:t>
      </w:r>
      <w:r w:rsidRPr="00B56037">
        <w:t>Historically, targets to meet objectives or attract private investment have not been achieved as planned.</w:t>
      </w:r>
    </w:p>
    <w:p w14:paraId="281C4755" w14:textId="17DF2056" w:rsidR="007765E3" w:rsidRPr="00B56037" w:rsidRDefault="007765E3" w:rsidP="007765E3">
      <w:pPr>
        <w:pStyle w:val="ListBullet"/>
        <w:numPr>
          <w:ilvl w:val="0"/>
          <w:numId w:val="0"/>
        </w:numPr>
      </w:pPr>
      <w:r w:rsidRPr="00B56037">
        <w:rPr>
          <w:b/>
        </w:rPr>
        <w:lastRenderedPageBreak/>
        <w:t xml:space="preserve">Bangladesh:  </w:t>
      </w:r>
      <w:r w:rsidRPr="00B56037">
        <w:t xml:space="preserve">Bangladesh </w:t>
      </w:r>
      <w:r w:rsidR="00B56037">
        <w:t>had</w:t>
      </w:r>
      <w:r w:rsidRPr="00B56037">
        <w:t xml:space="preserve"> long-proposed LNG and piped gas imports to address shortages, but </w:t>
      </w:r>
      <w:r w:rsidR="00B56037">
        <w:t xml:space="preserve">a </w:t>
      </w:r>
      <w:r w:rsidRPr="00B56037">
        <w:t>lack of institutional capacity and ongoing delays in tender have led to slow progress. Under the Speedy Supply of Power and Energy (Special Provisions) Act 2010</w:t>
      </w:r>
      <w:r w:rsidRPr="00B56037">
        <w:rPr>
          <w:rStyle w:val="FootnoteReference"/>
        </w:rPr>
        <w:footnoteReference w:id="14"/>
      </w:r>
      <w:r w:rsidRPr="00B56037">
        <w:t xml:space="preserve">, the Bangladesh government </w:t>
      </w:r>
      <w:r w:rsidR="00B56037">
        <w:t>aims</w:t>
      </w:r>
      <w:r w:rsidRPr="00B56037">
        <w:t xml:space="preserve"> to set up four land-based LNG terminals and either one or two FSRUs. Since 2010, the government has been pursuing LNG import policies</w:t>
      </w:r>
      <w:r w:rsidR="00B56037">
        <w:t>, however</w:t>
      </w:r>
      <w:r w:rsidRPr="00B56037">
        <w:t xml:space="preserve"> development efforts </w:t>
      </w:r>
      <w:r w:rsidR="00B56037">
        <w:t xml:space="preserve">had </w:t>
      </w:r>
      <w:r w:rsidRPr="00B56037">
        <w:t>remain</w:t>
      </w:r>
      <w:r w:rsidR="00B56037">
        <w:t>ed</w:t>
      </w:r>
      <w:r w:rsidRPr="00B56037">
        <w:t xml:space="preserve"> uncoordinated and opportunistic. </w:t>
      </w:r>
      <w:r w:rsidR="00B56037">
        <w:t xml:space="preserve"> The l</w:t>
      </w:r>
      <w:r w:rsidRPr="00B56037">
        <w:t xml:space="preserve">atest 2017 Gas Master Plan </w:t>
      </w:r>
      <w:r w:rsidR="00B56037">
        <w:t>also re</w:t>
      </w:r>
      <w:r w:rsidRPr="00B56037">
        <w:t>commended LNG imports and tariff reforms to address challenges</w:t>
      </w:r>
      <w:r w:rsidR="00B56037">
        <w:t>, and the</w:t>
      </w:r>
      <w:r w:rsidRPr="00B56037">
        <w:t xml:space="preserve"> BERC has earlier allocated approximately Tk7,000 crore for one year to Energy and Mineral Resources Division from its Energy Security Fund for the purposes of LNG import and operations of LNG terminals.  Notably, Bangladesh’s first LNG import facility, Excelerate’s FSRU, officially completed commissioning on August 18, 2018 after multiple delays and started delivering natural gas to the Chittagong region – marking the first time the country has received natural gas from the international market.</w:t>
      </w:r>
    </w:p>
    <w:p w14:paraId="55319A1B" w14:textId="77777777" w:rsidR="001B59AC" w:rsidRPr="00BA7E4F" w:rsidRDefault="001B59AC" w:rsidP="001B59AC">
      <w:pPr>
        <w:pStyle w:val="Heading4"/>
      </w:pPr>
      <w:r w:rsidRPr="00BA7E4F">
        <w:t>Commercial Structures and the Approach to Third Party Access (TPA)</w:t>
      </w:r>
    </w:p>
    <w:bookmarkEnd w:id="54"/>
    <w:p w14:paraId="6AF1D300" w14:textId="64F85A81" w:rsidR="001B59AC" w:rsidRDefault="001B59AC" w:rsidP="001B59AC">
      <w:pPr>
        <w:pStyle w:val="BodyText"/>
      </w:pPr>
      <w:r w:rsidRPr="00BA7E4F">
        <w:t xml:space="preserve">In developing new LNG infrastructure, it is important for Vietnam to also give due consideration to market structure and the extent to which it governs commercial arrangements </w:t>
      </w:r>
      <w:r w:rsidR="003338FD">
        <w:t xml:space="preserve">and mechanism </w:t>
      </w:r>
      <w:r w:rsidR="003338FD" w:rsidRPr="003338FD">
        <w:t xml:space="preserve">used </w:t>
      </w:r>
      <w:r w:rsidRPr="003338FD">
        <w:t xml:space="preserve">for securing LNG offtake.  As shown in </w:t>
      </w:r>
      <w:r w:rsidRPr="003338FD">
        <w:fldChar w:fldCharType="begin"/>
      </w:r>
      <w:r w:rsidRPr="003338FD">
        <w:instrText xml:space="preserve"> REF _Ref521142707 \h  \* MERGEFORMAT </w:instrText>
      </w:r>
      <w:r w:rsidRPr="003338FD">
        <w:fldChar w:fldCharType="separate"/>
      </w:r>
      <w:r w:rsidR="006F531A">
        <w:t xml:space="preserve">Figure </w:t>
      </w:r>
      <w:r w:rsidR="006F531A">
        <w:rPr>
          <w:noProof/>
        </w:rPr>
        <w:t>17</w:t>
      </w:r>
      <w:r w:rsidRPr="003338FD">
        <w:fldChar w:fldCharType="end"/>
      </w:r>
      <w:r w:rsidRPr="003338FD">
        <w:t xml:space="preserve">, </w:t>
      </w:r>
      <w:r w:rsidR="003338FD" w:rsidRPr="003338FD">
        <w:t xml:space="preserve">appropriateness of the </w:t>
      </w:r>
      <w:r w:rsidRPr="003338FD">
        <w:t>commercial arrangements</w:t>
      </w:r>
      <w:r w:rsidR="003338FD" w:rsidRPr="003338FD">
        <w:t xml:space="preserve"> put</w:t>
      </w:r>
      <w:r w:rsidRPr="003338FD">
        <w:t xml:space="preserve"> in place </w:t>
      </w:r>
      <w:r w:rsidR="007306D8">
        <w:t>depends on</w:t>
      </w:r>
      <w:r w:rsidRPr="00361329">
        <w:t xml:space="preserve"> the level of competition and decentralisation (or lack thereof) of the </w:t>
      </w:r>
      <w:r w:rsidR="007306D8">
        <w:t>power sector</w:t>
      </w:r>
      <w:r w:rsidRPr="0047094E">
        <w:t xml:space="preserve">. </w:t>
      </w:r>
      <w:r w:rsidR="00B56037">
        <w:t xml:space="preserve"> </w:t>
      </w:r>
      <w:r>
        <w:t>In the case of Vietnam, f</w:t>
      </w:r>
      <w:r w:rsidRPr="00D170BB">
        <w:t>uel cost pass</w:t>
      </w:r>
      <w:r>
        <w:t>-</w:t>
      </w:r>
      <w:r w:rsidRPr="00D170BB">
        <w:t xml:space="preserve">through and PPA </w:t>
      </w:r>
      <w:r>
        <w:t>Take-or-Pay</w:t>
      </w:r>
      <w:r w:rsidRPr="00D170BB">
        <w:t xml:space="preserve"> are </w:t>
      </w:r>
      <w:r w:rsidR="007306D8">
        <w:t xml:space="preserve">seen as </w:t>
      </w:r>
      <w:r>
        <w:t xml:space="preserve">the most </w:t>
      </w:r>
      <w:r w:rsidR="007306D8">
        <w:t>effective support mechanisms</w:t>
      </w:r>
      <w:r>
        <w:t>.</w:t>
      </w:r>
    </w:p>
    <w:p w14:paraId="5A3894FE" w14:textId="00854022" w:rsidR="001B59AC" w:rsidRDefault="001B59AC" w:rsidP="001B59AC">
      <w:pPr>
        <w:pStyle w:val="Caption"/>
      </w:pPr>
      <w:bookmarkStart w:id="56" w:name="_Ref521142707"/>
      <w:r>
        <w:t xml:space="preserve">Figure </w:t>
      </w:r>
      <w:r>
        <w:fldChar w:fldCharType="begin"/>
      </w:r>
      <w:r>
        <w:instrText xml:space="preserve"> SEQ Figure \* ARABIC </w:instrText>
      </w:r>
      <w:r>
        <w:fldChar w:fldCharType="separate"/>
      </w:r>
      <w:r w:rsidR="006F531A">
        <w:rPr>
          <w:noProof/>
        </w:rPr>
        <w:t>17</w:t>
      </w:r>
      <w:r>
        <w:fldChar w:fldCharType="end"/>
      </w:r>
      <w:bookmarkEnd w:id="56"/>
      <w:r>
        <w:t xml:space="preserve"> - M</w:t>
      </w:r>
      <w:r w:rsidRPr="00A0694E">
        <w:t xml:space="preserve">echanism to </w:t>
      </w:r>
      <w:r>
        <w:t>S</w:t>
      </w:r>
      <w:r w:rsidRPr="00A0694E">
        <w:t xml:space="preserve">ecure LNG </w:t>
      </w:r>
      <w:r>
        <w:t>O</w:t>
      </w:r>
      <w:r w:rsidRPr="00A0694E">
        <w:t xml:space="preserve">fftake for the </w:t>
      </w:r>
      <w:r>
        <w:t>P</w:t>
      </w:r>
      <w:r w:rsidRPr="00A0694E">
        <w:t xml:space="preserve">ower </w:t>
      </w:r>
      <w:r>
        <w:t>S</w:t>
      </w:r>
      <w:r w:rsidRPr="00A0694E">
        <w:t xml:space="preserve">ector </w:t>
      </w:r>
    </w:p>
    <w:p w14:paraId="47B8C6FD" w14:textId="77777777" w:rsidR="001B59AC" w:rsidRDefault="001B59AC" w:rsidP="001B59AC">
      <w:pPr>
        <w:pStyle w:val="BodyText"/>
      </w:pPr>
      <w:r w:rsidRPr="00FF48D8">
        <w:rPr>
          <w:noProof/>
          <w:lang w:val="en-US" w:eastAsia="en-US"/>
        </w:rPr>
        <w:drawing>
          <wp:inline distT="0" distB="0" distL="0" distR="0" wp14:anchorId="0A2F0955" wp14:editId="4985A924">
            <wp:extent cx="5013435" cy="2461944"/>
            <wp:effectExtent l="0" t="0" r="0" b="0"/>
            <wp:docPr id="56" name="Picture 17">
              <a:extLst xmlns:a="http://schemas.openxmlformats.org/drawingml/2006/main">
                <a:ext uri="{FF2B5EF4-FFF2-40B4-BE49-F238E27FC236}">
                  <a16:creationId xmlns:a16="http://schemas.microsoft.com/office/drawing/2014/main" id="{70CD595F-0958-4421-954A-70DA2D9661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70CD595F-0958-4421-954A-70DA2D96615B}"/>
                        </a:ext>
                      </a:extLst>
                    </pic:cNvPr>
                    <pic:cNvPicPr>
                      <a:picLocks noChangeAspect="1"/>
                    </pic:cNvPicPr>
                  </pic:nvPicPr>
                  <pic:blipFill>
                    <a:blip r:embed="rId32"/>
                    <a:stretch>
                      <a:fillRect/>
                    </a:stretch>
                  </pic:blipFill>
                  <pic:spPr>
                    <a:xfrm>
                      <a:off x="0" y="0"/>
                      <a:ext cx="5028524" cy="2469354"/>
                    </a:xfrm>
                    <a:prstGeom prst="rect">
                      <a:avLst/>
                    </a:prstGeom>
                  </pic:spPr>
                </pic:pic>
              </a:graphicData>
            </a:graphic>
          </wp:inline>
        </w:drawing>
      </w:r>
    </w:p>
    <w:p w14:paraId="02139DA4" w14:textId="77777777" w:rsidR="004D6EC4" w:rsidRPr="009E7445" w:rsidRDefault="004D6EC4" w:rsidP="004D6EC4">
      <w:pPr>
        <w:pStyle w:val="BodyText"/>
        <w:spacing w:before="0"/>
        <w:rPr>
          <w:sz w:val="16"/>
        </w:rPr>
      </w:pPr>
      <w:r w:rsidRPr="009E7445">
        <w:rPr>
          <w:sz w:val="16"/>
        </w:rPr>
        <w:t>Source: TLG</w:t>
      </w:r>
    </w:p>
    <w:p w14:paraId="7A54FE57" w14:textId="62288379" w:rsidR="001B59AC" w:rsidRDefault="001B59AC" w:rsidP="001B59AC">
      <w:pPr>
        <w:pStyle w:val="BodyText"/>
      </w:pPr>
      <w:r w:rsidRPr="00D170BB">
        <w:lastRenderedPageBreak/>
        <w:t>Third Party Access (TPA) is an emergent feature in Asian LNG markets that is designed to ensure public and non-discriminatory access to gas and LNG infrastructure.</w:t>
      </w:r>
      <w:r>
        <w:t xml:space="preserve">  </w:t>
      </w:r>
      <w:r w:rsidRPr="00D170BB">
        <w:t>However, regulated TPA is by no means a pre-requisite for LNG infrastructure development and bilateral arrangements (i.e. negotiated access)</w:t>
      </w:r>
      <w:r>
        <w:t>, and TPA was not a feature of maiden LNG terminal development</w:t>
      </w:r>
      <w:r w:rsidRPr="0047094E">
        <w:t xml:space="preserve"> </w:t>
      </w:r>
      <w:r>
        <w:t>in Malaysia, Thailand, Pakistan nor Bangladesh.  Yet TPA can be equally</w:t>
      </w:r>
      <w:r w:rsidRPr="00D170BB">
        <w:t xml:space="preserve"> effective in providing fair terminal access as well as secure capacity allocation.</w:t>
      </w:r>
      <w:r>
        <w:t xml:space="preserve">  In the years following their maiden LNG terminal development, both Thailand and Malaysia have since shifted towards a TPA regime as market liberalization has progressed, however key differences exist between arrangements in the two countries.</w:t>
      </w:r>
    </w:p>
    <w:p w14:paraId="29AE4D7D" w14:textId="00E5E0FE" w:rsidR="001B59AC" w:rsidRDefault="001B59AC" w:rsidP="001B59AC">
      <w:pPr>
        <w:pStyle w:val="BodyText"/>
      </w:pPr>
      <w:r>
        <w:t>In Thailand, t</w:t>
      </w:r>
      <w:r w:rsidRPr="00A14F35">
        <w:t>he TPA that applies to the LNG terminal and onshore pipelines is</w:t>
      </w:r>
      <w:r>
        <w:t xml:space="preserve"> currently</w:t>
      </w:r>
      <w:r w:rsidRPr="00A14F35">
        <w:t xml:space="preserve"> based on negotiated access</w:t>
      </w:r>
      <w:r w:rsidR="007306D8">
        <w:t xml:space="preserve">, </w:t>
      </w:r>
      <w:r>
        <w:t>which helps set the foundations for a more liberalized gas market</w:t>
      </w:r>
      <w:r w:rsidRPr="00A14F35">
        <w:t>.</w:t>
      </w:r>
      <w:r>
        <w:t xml:space="preserve"> </w:t>
      </w:r>
      <w:r w:rsidR="007306D8">
        <w:t>A</w:t>
      </w:r>
      <w:r>
        <w:t xml:space="preserve">t present, the impact of these arrangements has been limited by virtue of PTT continuing to hold 100% of the existing contractual rights to use the reserved capacity at the Map Ta Phut Terminal and pipeline, meaning that new market entrants currently have restricted opportunities to use the LNG terminal and pipelines.  Notwithstanding, EGAT has been given the green light to import 1.5 mtpa </w:t>
      </w:r>
      <w:r w:rsidR="007306D8">
        <w:t xml:space="preserve">FSRU </w:t>
      </w:r>
      <w:r>
        <w:t>via Map Ta Phut, with the 38-year contract due to commence in January 2019.</w:t>
      </w:r>
    </w:p>
    <w:p w14:paraId="1EDF6DE2" w14:textId="77777777" w:rsidR="001B59AC" w:rsidRDefault="001B59AC" w:rsidP="001B59AC">
      <w:pPr>
        <w:pStyle w:val="BodyText"/>
      </w:pPr>
      <w:r>
        <w:t xml:space="preserve">Meanwhile in Malaysia, where </w:t>
      </w:r>
      <w:r w:rsidRPr="00E459AA">
        <w:t xml:space="preserve">TPA codes for LNG terminals, gas transmission and gas distribution came into force </w:t>
      </w:r>
      <w:r>
        <w:t xml:space="preserve">in </w:t>
      </w:r>
      <w:r w:rsidRPr="00E459AA">
        <w:t>January 2017</w:t>
      </w:r>
      <w:r>
        <w:t>, arrangements are based on open access with parties interested in participating in TPA able to apply for a license from the Energy Commission.</w:t>
      </w:r>
    </w:p>
    <w:p w14:paraId="7C8736CA" w14:textId="77777777" w:rsidR="001B59AC" w:rsidRDefault="001B59AC" w:rsidP="001B59AC">
      <w:r>
        <w:br w:type="page"/>
      </w:r>
    </w:p>
    <w:p w14:paraId="6A4DCC5B" w14:textId="77777777" w:rsidR="001B59AC" w:rsidRDefault="001B59AC" w:rsidP="001B59AC">
      <w:pPr>
        <w:pStyle w:val="Heading1"/>
        <w:numPr>
          <w:ilvl w:val="0"/>
          <w:numId w:val="2"/>
        </w:numPr>
        <w:ind w:left="0"/>
      </w:pPr>
      <w:bookmarkStart w:id="57" w:name="_Toc524653566"/>
      <w:r>
        <w:lastRenderedPageBreak/>
        <w:t>Tolling Model as a Recommended Framework</w:t>
      </w:r>
      <w:bookmarkEnd w:id="57"/>
    </w:p>
    <w:p w14:paraId="45A5AB54" w14:textId="034655B1" w:rsidR="001B59AC" w:rsidRDefault="000F226B" w:rsidP="001B59AC">
      <w:pPr>
        <w:pStyle w:val="Heading2"/>
        <w:numPr>
          <w:ilvl w:val="1"/>
          <w:numId w:val="2"/>
        </w:numPr>
        <w:ind w:left="0" w:hanging="706"/>
      </w:pPr>
      <w:bookmarkStart w:id="58" w:name="_Toc524653567"/>
      <w:r>
        <w:t>S</w:t>
      </w:r>
      <w:r w:rsidR="001B59AC">
        <w:t xml:space="preserve">tructure of LNG </w:t>
      </w:r>
      <w:r>
        <w:t>T</w:t>
      </w:r>
      <w:r w:rsidR="001B59AC">
        <w:t xml:space="preserve">olling </w:t>
      </w:r>
      <w:r>
        <w:t>M</w:t>
      </w:r>
      <w:r w:rsidR="001B59AC">
        <w:t>odel</w:t>
      </w:r>
      <w:bookmarkEnd w:id="58"/>
    </w:p>
    <w:p w14:paraId="3322C28D" w14:textId="77777777" w:rsidR="00C072C0" w:rsidRDefault="001B59AC" w:rsidP="001B59AC">
      <w:pPr>
        <w:pStyle w:val="BodyText"/>
      </w:pPr>
      <w:r>
        <w:t xml:space="preserve">Consistent with international experience seen in new emerging LNG markets such as Bangladesh and Pakistan, we propose the </w:t>
      </w:r>
      <w:r w:rsidR="00C072C0">
        <w:t xml:space="preserve">adoption of Private Public </w:t>
      </w:r>
      <w:r>
        <w:t xml:space="preserve">based tolling model for LNG terminals in Vietnam.  </w:t>
      </w:r>
    </w:p>
    <w:p w14:paraId="7FAAA169" w14:textId="11812853" w:rsidR="001B59AC" w:rsidRDefault="001B59AC" w:rsidP="001B59AC">
      <w:pPr>
        <w:pStyle w:val="BodyText"/>
      </w:pPr>
      <w:r>
        <w:t xml:space="preserve">The tolling model involves a structure where users (tollers) of the LNG import terminal are different to the owner(s) of the LNG import terminal. This commercial structure is shown in </w:t>
      </w:r>
      <w:r>
        <w:fldChar w:fldCharType="begin"/>
      </w:r>
      <w:r>
        <w:instrText xml:space="preserve"> REF _Ref524611465 \h </w:instrText>
      </w:r>
      <w:r>
        <w:fldChar w:fldCharType="separate"/>
      </w:r>
      <w:r w:rsidR="006F531A">
        <w:t xml:space="preserve">Figure </w:t>
      </w:r>
      <w:r w:rsidR="006F531A">
        <w:rPr>
          <w:noProof/>
        </w:rPr>
        <w:t>18</w:t>
      </w:r>
      <w:r>
        <w:fldChar w:fldCharType="end"/>
      </w:r>
      <w:r>
        <w:t xml:space="preserve"> and has the following key features:</w:t>
      </w:r>
    </w:p>
    <w:p w14:paraId="4FFF2890" w14:textId="77777777" w:rsidR="001B59AC" w:rsidRDefault="001B59AC" w:rsidP="001B59AC">
      <w:pPr>
        <w:pStyle w:val="ListBullet"/>
      </w:pPr>
      <w:r>
        <w:t>The LNG terminal company provides regasification services for a fee as part of a terminal use agreement (TUA) with the toller (an aggregator);</w:t>
      </w:r>
    </w:p>
    <w:p w14:paraId="0AC3FA0D" w14:textId="77777777" w:rsidR="001B59AC" w:rsidRDefault="001B59AC" w:rsidP="001B59AC">
      <w:pPr>
        <w:pStyle w:val="ListBullet"/>
      </w:pPr>
      <w:r>
        <w:t>LNG procurement (via an LNG SPA) and the sale of natural gas (via a Gas GSA) would be managed/handled by the aggregator, meaning that the LNG terminal company assumes no LNG commodity risk under this structure;</w:t>
      </w:r>
    </w:p>
    <w:p w14:paraId="1B5C811E" w14:textId="77777777" w:rsidR="001B59AC" w:rsidRDefault="001B59AC" w:rsidP="001B59AC">
      <w:pPr>
        <w:pStyle w:val="ListBullet"/>
      </w:pPr>
      <w:r>
        <w:t>The LNG terminal company and the power company (IPP Co.) would also be separate entities; and</w:t>
      </w:r>
    </w:p>
    <w:p w14:paraId="46D21ECF" w14:textId="77777777" w:rsidR="001B59AC" w:rsidRDefault="001B59AC" w:rsidP="001B59AC">
      <w:pPr>
        <w:pStyle w:val="ListBullet"/>
      </w:pPr>
      <w:r>
        <w:t>The power company – which could be developed under a BOT framework – would have a Gas Sale Agreement (GSA) in place to purchase regasified LNG from the aggregator, and sell the power generated to EVN under a Power Purchase Agreement (PPA).</w:t>
      </w:r>
    </w:p>
    <w:p w14:paraId="05F4CCE9" w14:textId="196FB7D6" w:rsidR="001B59AC" w:rsidRDefault="001B59AC" w:rsidP="001B59AC">
      <w:pPr>
        <w:pStyle w:val="Caption"/>
      </w:pPr>
      <w:bookmarkStart w:id="59" w:name="_Ref524611465"/>
      <w:r>
        <w:t xml:space="preserve">Figure </w:t>
      </w:r>
      <w:r>
        <w:rPr>
          <w:noProof/>
        </w:rPr>
        <w:fldChar w:fldCharType="begin"/>
      </w:r>
      <w:r>
        <w:rPr>
          <w:noProof/>
        </w:rPr>
        <w:instrText xml:space="preserve"> SEQ Figure \* ARABIC </w:instrText>
      </w:r>
      <w:r>
        <w:rPr>
          <w:noProof/>
        </w:rPr>
        <w:fldChar w:fldCharType="separate"/>
      </w:r>
      <w:r w:rsidR="006F531A">
        <w:rPr>
          <w:noProof/>
        </w:rPr>
        <w:t>18</w:t>
      </w:r>
      <w:r>
        <w:rPr>
          <w:noProof/>
        </w:rPr>
        <w:fldChar w:fldCharType="end"/>
      </w:r>
      <w:bookmarkEnd w:id="59"/>
      <w:r>
        <w:t>: Preferred commercial arrangement of the</w:t>
      </w:r>
      <w:r>
        <w:rPr>
          <w:noProof/>
        </w:rPr>
        <w:t xml:space="preserve"> LNG-to-power infrastructure</w:t>
      </w:r>
    </w:p>
    <w:p w14:paraId="1B65B4BA" w14:textId="459348F0" w:rsidR="001B59AC" w:rsidRDefault="001B59AC" w:rsidP="001B59AC">
      <w:pPr>
        <w:pStyle w:val="BodyText"/>
      </w:pPr>
      <w:r w:rsidRPr="001A2499">
        <w:rPr>
          <w:noProof/>
        </w:rPr>
        <w:drawing>
          <wp:inline distT="0" distB="0" distL="0" distR="0" wp14:anchorId="27B6AAD0" wp14:editId="25C3B426">
            <wp:extent cx="5259118" cy="2446317"/>
            <wp:effectExtent l="0" t="0" r="0" b="0"/>
            <wp:docPr id="85" name="Picture 84">
              <a:extLst xmlns:a="http://schemas.openxmlformats.org/drawingml/2006/main">
                <a:ext uri="{FF2B5EF4-FFF2-40B4-BE49-F238E27FC236}">
                  <a16:creationId xmlns:a16="http://schemas.microsoft.com/office/drawing/2014/main" id="{B5632F03-DCC8-424C-9D21-AFD67358C8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4">
                      <a:extLst>
                        <a:ext uri="{FF2B5EF4-FFF2-40B4-BE49-F238E27FC236}">
                          <a16:creationId xmlns:a16="http://schemas.microsoft.com/office/drawing/2014/main" id="{B5632F03-DCC8-424C-9D21-AFD67358C800}"/>
                        </a:ext>
                      </a:extLst>
                    </pic:cNvPr>
                    <pic:cNvPicPr>
                      <a:picLocks noChangeAspect="1"/>
                    </pic:cNvPicPr>
                  </pic:nvPicPr>
                  <pic:blipFill>
                    <a:blip r:embed="rId33"/>
                    <a:stretch>
                      <a:fillRect/>
                    </a:stretch>
                  </pic:blipFill>
                  <pic:spPr>
                    <a:xfrm>
                      <a:off x="0" y="0"/>
                      <a:ext cx="5263807" cy="2448498"/>
                    </a:xfrm>
                    <a:prstGeom prst="rect">
                      <a:avLst/>
                    </a:prstGeom>
                  </pic:spPr>
                </pic:pic>
              </a:graphicData>
            </a:graphic>
          </wp:inline>
        </w:drawing>
      </w:r>
    </w:p>
    <w:p w14:paraId="4CE98941" w14:textId="1BCF3DD4" w:rsidR="004D6EC4" w:rsidRPr="009E7445" w:rsidRDefault="004D6EC4" w:rsidP="004D6EC4">
      <w:pPr>
        <w:pStyle w:val="BodyText"/>
        <w:spacing w:before="0"/>
        <w:rPr>
          <w:sz w:val="16"/>
        </w:rPr>
      </w:pPr>
      <w:r w:rsidRPr="009E7445">
        <w:rPr>
          <w:sz w:val="16"/>
        </w:rPr>
        <w:t>Source: TLG</w:t>
      </w:r>
      <w:r>
        <w:rPr>
          <w:sz w:val="16"/>
        </w:rPr>
        <w:t>, World Bank</w:t>
      </w:r>
    </w:p>
    <w:p w14:paraId="3E61E70C" w14:textId="77777777" w:rsidR="004D6EC4" w:rsidRDefault="004D6EC4" w:rsidP="001B59AC">
      <w:pPr>
        <w:pStyle w:val="BodyText"/>
      </w:pPr>
    </w:p>
    <w:p w14:paraId="27D3123F" w14:textId="2B5A368B" w:rsidR="001B59AC" w:rsidRDefault="001B59AC" w:rsidP="001B59AC">
      <w:pPr>
        <w:pStyle w:val="BodyText"/>
      </w:pPr>
      <w:r>
        <w:lastRenderedPageBreak/>
        <w:t xml:space="preserve">In terms of the tariffs associated with tolling, conventional models typically involve a two-part tariff consisting of a fixed capacity element and a variable throughput-based element.  The fixed capacity fee, charged regardless of terminal utilisation, comprises of capital recovery fees (including debt service) and fixed O&amp;M costs.  The toller derives the right to use the regasification facilities through payment of the fixed capacity fees.  Variable costs, on the other hand, are only charged when the terminal is used, and would cover the variable O&amp;M costs associated with the provision of regasification services.  </w:t>
      </w:r>
    </w:p>
    <w:p w14:paraId="676FCA15" w14:textId="080F44EA" w:rsidR="001B59AC" w:rsidRDefault="001B59AC" w:rsidP="001B59AC">
      <w:pPr>
        <w:pStyle w:val="Heading2"/>
        <w:numPr>
          <w:ilvl w:val="1"/>
          <w:numId w:val="2"/>
        </w:numPr>
        <w:ind w:left="0" w:hanging="706"/>
      </w:pPr>
      <w:bookmarkStart w:id="60" w:name="_Toc524653568"/>
      <w:r>
        <w:t xml:space="preserve">Rationale </w:t>
      </w:r>
      <w:r w:rsidR="00C072C0">
        <w:t>F</w:t>
      </w:r>
      <w:r>
        <w:t xml:space="preserve">or </w:t>
      </w:r>
      <w:r w:rsidR="00C072C0">
        <w:t>I</w:t>
      </w:r>
      <w:r>
        <w:t xml:space="preserve">mplementing </w:t>
      </w:r>
      <w:r w:rsidR="00C072C0">
        <w:t>T</w:t>
      </w:r>
      <w:r>
        <w:t xml:space="preserve">he LNG </w:t>
      </w:r>
      <w:r w:rsidR="00C072C0">
        <w:t>Private Public T</w:t>
      </w:r>
      <w:r>
        <w:t xml:space="preserve">olling </w:t>
      </w:r>
      <w:r w:rsidR="00C072C0">
        <w:t>M</w:t>
      </w:r>
      <w:r>
        <w:t>odel in Vietnam</w:t>
      </w:r>
      <w:bookmarkEnd w:id="60"/>
    </w:p>
    <w:p w14:paraId="1B1F8C9D" w14:textId="77777777" w:rsidR="00C072C0" w:rsidRDefault="001B59AC" w:rsidP="001B59AC">
      <w:pPr>
        <w:pStyle w:val="BodyText"/>
      </w:pPr>
      <w:r>
        <w:t xml:space="preserve">The </w:t>
      </w:r>
      <w:r w:rsidR="00C072C0">
        <w:t>Private Public tolling</w:t>
      </w:r>
      <w:r>
        <w:t xml:space="preserve"> LNG terminal structure is well suited for Vietnam due to a combination of commercial and policy/regulatory factors.  One of the key advantages associated with the proposed tolling model is the separation of the LNG-to-power project into distinct packages consisting of the FSRU, onshore infrastructure (fixed facilities), power generation assets as well as the obligations/responsibilities associated with LNG procurement and LNG regasification tolling services.  </w:t>
      </w:r>
    </w:p>
    <w:p w14:paraId="46A8879B" w14:textId="24621D1B" w:rsidR="001B59AC" w:rsidRDefault="001B59AC" w:rsidP="001B59AC">
      <w:pPr>
        <w:pStyle w:val="BodyText"/>
      </w:pPr>
      <w:r>
        <w:t xml:space="preserve">This separation enables various public and/or private investor participation opportunities across the LNG-to-power value chain, whilst allowing for the sensible allocation of risks to parties most able to manage them at the lowest cost.  </w:t>
      </w:r>
    </w:p>
    <w:p w14:paraId="4A672870" w14:textId="77777777" w:rsidR="001B59AC" w:rsidRDefault="001B59AC" w:rsidP="001B59AC">
      <w:pPr>
        <w:pStyle w:val="BodyText"/>
      </w:pPr>
      <w:r>
        <w:t>As implied above, the tolling model is compatible with Public, Private and PPP ownership of the key assets and functions, allowing it to adapt as government policies, regulations or the market invariably evolve.  Whilst we believe that the PPP</w:t>
      </w:r>
      <w:r w:rsidRPr="00E8257B">
        <w:t xml:space="preserve"> model</w:t>
      </w:r>
      <w:r>
        <w:t xml:space="preserve">, commonly observed in other new markets, is likely to deliver the </w:t>
      </w:r>
      <w:r w:rsidRPr="00AD3885">
        <w:t>best outcome</w:t>
      </w:r>
      <w:r>
        <w:t>, we recognise that the public-only and private-only models also have distinct merits.</w:t>
      </w:r>
      <w:r>
        <w:rPr>
          <w:rStyle w:val="FootnoteReference"/>
        </w:rPr>
        <w:footnoteReference w:id="15"/>
      </w:r>
      <w:r>
        <w:t xml:space="preserve">  By not being forced to choose an ownership structure, the Government can allow different stakeholders (both private and public) to propose various LNG-to-power solutions.  This should therefore serve to minimise the extent of the regulatory changes required for the implementation of Vietnam’s maiden LNG development in the near-term, and enable the flexibility benefits offered by favourable LNG market conditions to be captured.</w:t>
      </w:r>
    </w:p>
    <w:p w14:paraId="72873670" w14:textId="13608079" w:rsidR="001B59AC" w:rsidRPr="00EC2FA0" w:rsidRDefault="001B59AC" w:rsidP="001B59AC">
      <w:pPr>
        <w:pStyle w:val="BodyText"/>
      </w:pPr>
      <w:r w:rsidRPr="00EC2FA0">
        <w:t xml:space="preserve">The Government should also consider empowering one (or both) of Vietnam’s SOEs to assume the role as an LNG aggregator, </w:t>
      </w:r>
      <w:r w:rsidR="000F226B">
        <w:t xml:space="preserve">either one of </w:t>
      </w:r>
      <w:r w:rsidRPr="00EC2FA0">
        <w:t xml:space="preserve">which would be seen as a credible counterparty in LNG supply contracting.  Combined with government guarantees for key risks associated with the LNG terminal utilisation (i.e. TUA) and power offtake (i.e. PPA), the tolling arrangement would </w:t>
      </w:r>
      <w:r w:rsidR="00012371">
        <w:t>promote</w:t>
      </w:r>
      <w:r w:rsidRPr="00EC2FA0">
        <w:t xml:space="preserve"> a bankable solution that </w:t>
      </w:r>
      <w:r w:rsidR="00012371">
        <w:t>is well adopted</w:t>
      </w:r>
      <w:r w:rsidRPr="00EC2FA0">
        <w:t xml:space="preserve"> in other emerging Asian markets such as Pakistan and Bangladesh.  </w:t>
      </w:r>
    </w:p>
    <w:p w14:paraId="48405A27" w14:textId="7F94E516" w:rsidR="001B59AC" w:rsidRDefault="001B59AC" w:rsidP="001B59AC">
      <w:pPr>
        <w:pStyle w:val="BodyText"/>
      </w:pPr>
      <w:r>
        <w:lastRenderedPageBreak/>
        <w:t xml:space="preserve">Finally, </w:t>
      </w:r>
      <w:r w:rsidR="000F226B">
        <w:t>a</w:t>
      </w:r>
      <w:r>
        <w:t xml:space="preserve"> tolling arrangement is – by definition – consistent with Vietnam’s long-term vision of a competitive gas market, as it would allow the LNG terminal(s) to operate under a TPA regime.  Under a TPA regime, the owner of LNG infrastructure is required to make those assets available to other </w:t>
      </w:r>
      <w:proofErr w:type="gramStart"/>
      <w:r>
        <w:t>third party</w:t>
      </w:r>
      <w:proofErr w:type="gramEnd"/>
      <w:r>
        <w:t xml:space="preserve"> users on the same terms as it offers to its own upstream and downstream businesses (if any).  </w:t>
      </w:r>
    </w:p>
    <w:p w14:paraId="67CF608F" w14:textId="77777777" w:rsidR="001B59AC" w:rsidRPr="00C74EF2" w:rsidRDefault="001B59AC" w:rsidP="001B59AC">
      <w:pPr>
        <w:pStyle w:val="Heading2"/>
        <w:numPr>
          <w:ilvl w:val="1"/>
          <w:numId w:val="2"/>
        </w:numPr>
        <w:ind w:left="0" w:hanging="706"/>
      </w:pPr>
      <w:bookmarkStart w:id="61" w:name="_Toc524653569"/>
      <w:r>
        <w:t>Challenges</w:t>
      </w:r>
      <w:r w:rsidRPr="00C74EF2">
        <w:t xml:space="preserve"> that Vietnam will have to address via policy and regulation</w:t>
      </w:r>
      <w:bookmarkEnd w:id="61"/>
    </w:p>
    <w:p w14:paraId="19B8385A" w14:textId="1159513A" w:rsidR="001B59AC" w:rsidRDefault="001B59AC" w:rsidP="001B59AC">
      <w:pPr>
        <w:pStyle w:val="BodyText"/>
      </w:pPr>
      <w:r>
        <w:t xml:space="preserve">We now set out a number of key structural factors </w:t>
      </w:r>
      <w:r w:rsidR="00A05E8D">
        <w:t>critical to the</w:t>
      </w:r>
      <w:r>
        <w:t xml:space="preserve"> successful implementation of Vietnam’s maiden LNG development(s).  </w:t>
      </w:r>
    </w:p>
    <w:p w14:paraId="4B568579" w14:textId="77777777" w:rsidR="001B59AC" w:rsidRDefault="001B59AC" w:rsidP="001B59AC">
      <w:pPr>
        <w:pStyle w:val="Heading4"/>
      </w:pPr>
      <w:r>
        <w:t>Ownership of maiden LNG-to-power infrastructure</w:t>
      </w:r>
    </w:p>
    <w:p w14:paraId="514B5650" w14:textId="77777777" w:rsidR="001B59AC" w:rsidRDefault="001B59AC" w:rsidP="001B59AC">
      <w:pPr>
        <w:pStyle w:val="BodyText"/>
      </w:pPr>
      <w:r w:rsidRPr="0075416C">
        <w:t>One of the key points of contention will be the ownership of the various disaggregated components of the LNG-to-power development(s).  The Government will need to consider whether the ownership should be open to any party, public or private</w:t>
      </w:r>
      <w:r>
        <w:t xml:space="preserve"> (local and/or foreign)</w:t>
      </w:r>
      <w:r w:rsidRPr="0075416C">
        <w:t xml:space="preserve">, or place restrictions in certain instances on national security grounds or for other reasons.  The two SOEs (EVN and PVN), which are already pursuing their own independent LNG-to-power developments, </w:t>
      </w:r>
      <w:r>
        <w:t xml:space="preserve">should be allowed to continue with their developments and should not be precluded from participating in new LNG terminal developments.  The Government’s </w:t>
      </w:r>
      <w:r w:rsidRPr="0075416C">
        <w:t>decision on this matter will need to be consistent with other reform efforts in Vietnam’s natural gas and electricity sectors</w:t>
      </w:r>
      <w:r>
        <w:t>.</w:t>
      </w:r>
    </w:p>
    <w:p w14:paraId="314A64AA" w14:textId="77777777" w:rsidR="001B59AC" w:rsidRDefault="001B59AC" w:rsidP="001B59AC">
      <w:pPr>
        <w:pStyle w:val="Heading4"/>
      </w:pPr>
      <w:r>
        <w:t>Designating an LNG aggregator to avoid a long-term monopoly</w:t>
      </w:r>
    </w:p>
    <w:p w14:paraId="0E04964B" w14:textId="38277380" w:rsidR="001B59AC" w:rsidRDefault="001B59AC" w:rsidP="001B59AC">
      <w:pPr>
        <w:pStyle w:val="BodyText"/>
      </w:pPr>
      <w:r>
        <w:t>A related issue arises on the role and extent of the LNG aggregator.  Whilst Vietnam’s SOEs would likely be suitable candidates to fulfil this role, the Government could also potentially consider appointing a foreign portfolio player to assume this function.  Singapore is one such example where a foreign portfolio player (BG Singapore Gas Marketing, now part of Royal Dutch Shell) was chosen as the aggregator through a competitive tender process.  In the process of designating an LNG aggregator, the Vietnamese Government should also be mindful to avoid establishing a long-term monopoly, as this may impede the development of an efficient domestic LNG industry over time.  The experience from Singapore, which used time-bound and quantity-based limitations on the franchise exclusivity, may provide a useful guide on this matter.</w:t>
      </w:r>
      <w:r>
        <w:rPr>
          <w:rStyle w:val="FootnoteReference"/>
        </w:rPr>
        <w:footnoteReference w:id="16"/>
      </w:r>
      <w:r>
        <w:t xml:space="preserve">  </w:t>
      </w:r>
    </w:p>
    <w:p w14:paraId="61066820" w14:textId="77777777" w:rsidR="001B59AC" w:rsidRDefault="001B59AC" w:rsidP="001B59AC">
      <w:pPr>
        <w:pStyle w:val="Heading4"/>
      </w:pPr>
      <w:r>
        <w:lastRenderedPageBreak/>
        <w:t xml:space="preserve">Extent of </w:t>
      </w:r>
      <w:r w:rsidRPr="006F19F2">
        <w:t>Government Guarantee and Undertaking</w:t>
      </w:r>
      <w:r>
        <w:t xml:space="preserve"> employed</w:t>
      </w:r>
    </w:p>
    <w:p w14:paraId="4DD58C42" w14:textId="77777777" w:rsidR="001B59AC" w:rsidRDefault="001B59AC" w:rsidP="001B59AC">
      <w:pPr>
        <w:pStyle w:val="BodyText"/>
        <w:rPr>
          <w:highlight w:val="yellow"/>
        </w:rPr>
      </w:pPr>
      <w:r w:rsidRPr="00E62D31">
        <w:t xml:space="preserve">The financing of both the LNG terminal and the power plant will need to be underpinned by agreements in place with off-takers: the TUA between the aggregator and the Terminal Company; and the PPA between EVN and the Power Company.  </w:t>
      </w:r>
      <w:r>
        <w:t xml:space="preserve">Given the interconnected nature of the various commercial agreements, the </w:t>
      </w:r>
      <w:r w:rsidRPr="006F19F2">
        <w:t>availability of a GGU</w:t>
      </w:r>
      <w:r>
        <w:t xml:space="preserve"> will be vital for </w:t>
      </w:r>
      <w:r w:rsidRPr="006F19F2">
        <w:t xml:space="preserve">foreign investors and </w:t>
      </w:r>
      <w:r>
        <w:t xml:space="preserve">financial institutions.  </w:t>
      </w:r>
      <w:r w:rsidRPr="006F19F2">
        <w:t xml:space="preserve">The lack of a GGU will </w:t>
      </w:r>
      <w:r>
        <w:t xml:space="preserve">hamper project development by </w:t>
      </w:r>
      <w:r w:rsidRPr="006F19F2">
        <w:t>deter</w:t>
      </w:r>
      <w:r>
        <w:t>ring</w:t>
      </w:r>
      <w:r w:rsidRPr="006F19F2">
        <w:t xml:space="preserve"> the participation by established foreign LNG players and lenders </w:t>
      </w:r>
      <w:r>
        <w:t xml:space="preserve">that would bring </w:t>
      </w:r>
      <w:r w:rsidRPr="006F19F2">
        <w:t>critical international experience and funding</w:t>
      </w:r>
      <w:r>
        <w:t xml:space="preserve"> to an LNG project</w:t>
      </w:r>
      <w:r w:rsidRPr="006F19F2">
        <w:t xml:space="preserve">.  </w:t>
      </w:r>
      <w:r>
        <w:t>Consequently, the Vietnamese Government will need to assess the extent to which the GGU covers various obligations and potential liabilities; at</w:t>
      </w:r>
      <w:r w:rsidRPr="006F19F2">
        <w:t xml:space="preserve"> minimum, we expect that</w:t>
      </w:r>
      <w:r>
        <w:t xml:space="preserve"> it</w:t>
      </w:r>
      <w:r w:rsidRPr="006F19F2">
        <w:t xml:space="preserve"> would need to cover the debt service obligations associated with the infrastructure development, though the extent of coverage may be subject to market conditions and lenders’ risk appetite</w:t>
      </w:r>
      <w:r>
        <w:t>.</w:t>
      </w:r>
      <w:r w:rsidRPr="006F19F2" w:rsidDel="00950D99">
        <w:t xml:space="preserve"> </w:t>
      </w:r>
      <w:r>
        <w:rPr>
          <w:highlight w:val="yellow"/>
        </w:rPr>
        <w:t xml:space="preserve">  </w:t>
      </w:r>
    </w:p>
    <w:p w14:paraId="1472AAC1" w14:textId="77777777" w:rsidR="001B59AC" w:rsidRPr="006A053D" w:rsidRDefault="001B59AC" w:rsidP="001B59AC">
      <w:pPr>
        <w:pStyle w:val="Heading4"/>
      </w:pPr>
      <w:r>
        <w:t>Presence of a c</w:t>
      </w:r>
      <w:r w:rsidRPr="006A053D">
        <w:t>lean cost recovery</w:t>
      </w:r>
      <w:r>
        <w:t xml:space="preserve"> pathway for LNG-to-power infrastructure</w:t>
      </w:r>
    </w:p>
    <w:p w14:paraId="0E0D5B60" w14:textId="77777777" w:rsidR="001B59AC" w:rsidRDefault="001B59AC" w:rsidP="001B59AC">
      <w:pPr>
        <w:pStyle w:val="BodyText"/>
      </w:pPr>
      <w:r>
        <w:t>The LNG-to-power infrastructure commitments will need to be underpinned by the regulated power sector with a ‘clean’ cost recovery mechanism.  An essential requirement will be the power company’s ability to pass through fluctuations in fuel costs to EVN through its PPA, such that it can honour its commitments under the GSA to the LNG aggregator.  Therefore, the LNG aggregator’s ability to assume the obligations under the LNG SPA and the LNG terminal TUA depend on the cost recovery in place with the power sector.</w:t>
      </w:r>
    </w:p>
    <w:p w14:paraId="31771A43" w14:textId="77777777" w:rsidR="001B59AC" w:rsidRDefault="001B59AC" w:rsidP="001B59AC">
      <w:pPr>
        <w:pStyle w:val="Heading4"/>
      </w:pPr>
      <w:r>
        <w:t>Nature and timing of Third Party Access rights</w:t>
      </w:r>
    </w:p>
    <w:p w14:paraId="41375282" w14:textId="5F07269F" w:rsidR="001B59AC" w:rsidRDefault="001B59AC" w:rsidP="001B59AC">
      <w:pPr>
        <w:pStyle w:val="BodyText"/>
      </w:pPr>
      <w:r>
        <w:t xml:space="preserve">Access to the initial LNG terminal may be limited to the aggregator initially, but could be expanded to other players as the gas infrastructure and competition develop in later years.  </w:t>
      </w:r>
      <w:r w:rsidRPr="00EE5A6A">
        <w:t xml:space="preserve">Whether TPA for LNG infrastructure is mandated by regulatory authorities often hinges on a trade-off between the need to facilitate fair access to upstream and downstream markets, on the one hand, against the need to provide an incentive for the owner of the assets to make the investment in the first place.  </w:t>
      </w:r>
      <w:r>
        <w:t xml:space="preserve">Vietnam could potentially choose from either </w:t>
      </w:r>
      <w:r w:rsidRPr="00DF21A0">
        <w:t xml:space="preserve">regulated TPA </w:t>
      </w:r>
      <w:r w:rsidR="00EC62FF">
        <w:t>or</w:t>
      </w:r>
      <w:r>
        <w:t xml:space="preserve"> negotiated TPA (i.e. through bilateral arrangements) as they can be </w:t>
      </w:r>
      <w:r w:rsidRPr="00DF21A0">
        <w:t>equally effective in providing fair terminal access</w:t>
      </w:r>
      <w:r>
        <w:t xml:space="preserve">.  </w:t>
      </w:r>
    </w:p>
    <w:p w14:paraId="02651AB9" w14:textId="104788A0" w:rsidR="001B59AC" w:rsidRDefault="001B59AC" w:rsidP="001B59AC">
      <w:pPr>
        <w:pStyle w:val="BodyText"/>
      </w:pPr>
      <w:r>
        <w:t>Whilst TPA to LNG terminals will clearly be supportive to gas market development, a potentially more significant requirement will be to enable fair, open and transparent access to the</w:t>
      </w:r>
      <w:r w:rsidR="00EC62FF">
        <w:t xml:space="preserve"> country’s</w:t>
      </w:r>
      <w:r>
        <w:t xml:space="preserve"> pipeline system.  However, as Vietnam’s gas transmission infrastructure is underdeveloped and lacking a national pipeline network (</w:t>
      </w:r>
      <w:r w:rsidR="00EC62FF">
        <w:t>i.e. with disparate</w:t>
      </w:r>
      <w:r>
        <w:t xml:space="preserve"> gas consuming areas</w:t>
      </w:r>
      <w:r w:rsidR="00EC62FF">
        <w:t xml:space="preserve"> that are unconnected to one another</w:t>
      </w:r>
      <w:r>
        <w:t>), there will be a need to expand the pipeline system prior to liberalising the market and allowing TPA to the transmission network.</w:t>
      </w:r>
    </w:p>
    <w:p w14:paraId="7BBEE858" w14:textId="77777777" w:rsidR="001B59AC" w:rsidRDefault="001B59AC" w:rsidP="001B59AC">
      <w:r>
        <w:br w:type="page"/>
      </w:r>
    </w:p>
    <w:p w14:paraId="65E48090" w14:textId="7B5BA873" w:rsidR="001B59AC" w:rsidRPr="00115D8E" w:rsidRDefault="001B59AC" w:rsidP="001B59AC">
      <w:pPr>
        <w:pStyle w:val="Heading1"/>
        <w:numPr>
          <w:ilvl w:val="0"/>
          <w:numId w:val="2"/>
        </w:numPr>
        <w:ind w:left="0"/>
      </w:pPr>
      <w:bookmarkStart w:id="62" w:name="_Toc524653570"/>
      <w:r>
        <w:lastRenderedPageBreak/>
        <w:t>Legal/Regulatory Framework for LNG-to-Power</w:t>
      </w:r>
      <w:r w:rsidR="004E1A8F">
        <w:t xml:space="preserve"> Development in Vietnam</w:t>
      </w:r>
      <w:bookmarkEnd w:id="62"/>
    </w:p>
    <w:p w14:paraId="0A250A2E" w14:textId="77CFD68C" w:rsidR="001B59AC" w:rsidRPr="00E060F3" w:rsidRDefault="001B59AC" w:rsidP="00E060F3">
      <w:pPr>
        <w:pStyle w:val="Heading2"/>
        <w:ind w:left="0" w:hanging="709"/>
      </w:pPr>
      <w:bookmarkStart w:id="63" w:name="_Toc524653571"/>
      <w:r w:rsidRPr="00E060F3">
        <w:t>What does the existing law say about the ability to implement the recommended structure?</w:t>
      </w:r>
      <w:bookmarkEnd w:id="63"/>
    </w:p>
    <w:p w14:paraId="4A042F79" w14:textId="77777777" w:rsidR="001B59AC" w:rsidRPr="006A053D" w:rsidRDefault="001B59AC" w:rsidP="001B59AC">
      <w:pPr>
        <w:pStyle w:val="Heading4"/>
      </w:pPr>
      <w:r>
        <w:t>Context of existing law</w:t>
      </w:r>
    </w:p>
    <w:p w14:paraId="1D9E079B" w14:textId="739B0815" w:rsidR="001B59AC" w:rsidRDefault="007879BC" w:rsidP="001B59AC">
      <w:pPr>
        <w:pStyle w:val="BodyText"/>
      </w:pPr>
      <w:r>
        <w:rPr>
          <w:lang w:eastAsia="zh-TW"/>
        </w:rPr>
        <w:t>I</w:t>
      </w:r>
      <w:r w:rsidR="001B59AC">
        <w:rPr>
          <w:lang w:eastAsia="zh-TW"/>
        </w:rPr>
        <w:t xml:space="preserve">t is essential for MOIT to identify and implement </w:t>
      </w:r>
      <w:r>
        <w:rPr>
          <w:lang w:eastAsia="zh-TW"/>
        </w:rPr>
        <w:t>appropriate</w:t>
      </w:r>
      <w:r w:rsidR="001B59AC">
        <w:rPr>
          <w:lang w:eastAsia="zh-TW"/>
        </w:rPr>
        <w:t xml:space="preserve"> legal and commercial arrangements required for establishing an LNG value chain model.  </w:t>
      </w:r>
      <w:r w:rsidR="001B59AC">
        <w:t>At present, the existing</w:t>
      </w:r>
      <w:r w:rsidR="001B59AC" w:rsidRPr="00047BAD">
        <w:t xml:space="preserve"> </w:t>
      </w:r>
      <w:r w:rsidR="001B59AC">
        <w:t>legal</w:t>
      </w:r>
      <w:r w:rsidR="001B59AC" w:rsidRPr="00047BAD">
        <w:t xml:space="preserve"> framework in Vietnam </w:t>
      </w:r>
      <w:r w:rsidR="001B59AC">
        <w:t xml:space="preserve">is not yet fully developed </w:t>
      </w:r>
      <w:r>
        <w:t>to support LNG importation</w:t>
      </w:r>
      <w:r w:rsidR="001B59AC">
        <w:t xml:space="preserve">, while some laws set out only basic principles and therefore require implementing regulations in order to be effective. </w:t>
      </w:r>
    </w:p>
    <w:p w14:paraId="0706F7AE" w14:textId="7033C826" w:rsidR="007879BC" w:rsidRPr="00881C6D" w:rsidRDefault="007879BC" w:rsidP="007879BC">
      <w:pPr>
        <w:pStyle w:val="BodyText"/>
        <w:rPr>
          <w:bCs/>
          <w:lang w:val="en-US"/>
        </w:rPr>
      </w:pPr>
      <w:r w:rsidRPr="00047BAD">
        <w:t xml:space="preserve">LNG </w:t>
      </w:r>
      <w:r>
        <w:t xml:space="preserve">itself is addressed only </w:t>
      </w:r>
      <w:r w:rsidRPr="00047BAD">
        <w:t>in disparate</w:t>
      </w:r>
      <w:r>
        <w:t>, imprecise,</w:t>
      </w:r>
      <w:r w:rsidRPr="00047BAD">
        <w:t xml:space="preserve"> and unrelated pieces of legislation</w:t>
      </w:r>
      <w:r>
        <w:t>, which has the potential to result in varying or conflicting interpretations</w:t>
      </w:r>
      <w:r w:rsidRPr="00EB326B">
        <w:rPr>
          <w:lang w:val="en-US"/>
        </w:rPr>
        <w:t xml:space="preserve"> by judges, arbitrators, government agencies and lawyers</w:t>
      </w:r>
      <w:r>
        <w:rPr>
          <w:lang w:val="en-US"/>
        </w:rPr>
        <w:t xml:space="preserve">, as set out in </w:t>
      </w:r>
      <w:r w:rsidRPr="00881C6D">
        <w:rPr>
          <w:bCs/>
          <w:lang w:val="en-US"/>
        </w:rPr>
        <w:fldChar w:fldCharType="begin"/>
      </w:r>
      <w:r w:rsidRPr="00881C6D">
        <w:rPr>
          <w:bCs/>
          <w:lang w:val="en-US"/>
        </w:rPr>
        <w:instrText xml:space="preserve"> REF _Ref524609263 \h  \* MERGEFORMAT </w:instrText>
      </w:r>
      <w:r w:rsidRPr="00881C6D">
        <w:rPr>
          <w:bCs/>
          <w:lang w:val="en-US"/>
        </w:rPr>
      </w:r>
      <w:r w:rsidRPr="00881C6D">
        <w:rPr>
          <w:bCs/>
          <w:lang w:val="en-US"/>
        </w:rPr>
        <w:fldChar w:fldCharType="separate"/>
      </w:r>
      <w:r w:rsidR="006F531A">
        <w:t xml:space="preserve">Table </w:t>
      </w:r>
      <w:r w:rsidR="006F531A">
        <w:rPr>
          <w:noProof/>
        </w:rPr>
        <w:t>4</w:t>
      </w:r>
      <w:r w:rsidRPr="00881C6D">
        <w:rPr>
          <w:bCs/>
          <w:lang w:val="en-US"/>
        </w:rPr>
        <w:fldChar w:fldCharType="end"/>
      </w:r>
      <w:r w:rsidRPr="00881C6D">
        <w:rPr>
          <w:bCs/>
          <w:lang w:val="en-US"/>
        </w:rPr>
        <w:t xml:space="preserve">.    </w:t>
      </w:r>
    </w:p>
    <w:p w14:paraId="3158934C" w14:textId="695B7135" w:rsidR="007879BC" w:rsidRDefault="007879BC" w:rsidP="007879BC">
      <w:pPr>
        <w:pStyle w:val="Caption"/>
      </w:pPr>
      <w:bookmarkStart w:id="64" w:name="_Ref524609263"/>
      <w:r>
        <w:t xml:space="preserve">Table </w:t>
      </w:r>
      <w:r>
        <w:fldChar w:fldCharType="begin"/>
      </w:r>
      <w:r>
        <w:instrText xml:space="preserve"> SEQ Table \* ARABIC </w:instrText>
      </w:r>
      <w:r>
        <w:fldChar w:fldCharType="separate"/>
      </w:r>
      <w:r w:rsidR="006F531A">
        <w:rPr>
          <w:noProof/>
        </w:rPr>
        <w:t>4</w:t>
      </w:r>
      <w:r>
        <w:fldChar w:fldCharType="end"/>
      </w:r>
      <w:bookmarkEnd w:id="64"/>
      <w:r>
        <w:t xml:space="preserve"> - Current Legislative Framework for LNG</w:t>
      </w:r>
    </w:p>
    <w:tbl>
      <w:tblPr>
        <w:tblStyle w:val="TableGrid"/>
        <w:tblW w:w="800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ook w:val="04A0" w:firstRow="1" w:lastRow="0" w:firstColumn="1" w:lastColumn="0" w:noHBand="0" w:noVBand="1"/>
      </w:tblPr>
      <w:tblGrid>
        <w:gridCol w:w="4670"/>
        <w:gridCol w:w="3332"/>
      </w:tblGrid>
      <w:tr w:rsidR="007879BC" w14:paraId="1D56E3B1" w14:textId="77777777" w:rsidTr="00BC548C">
        <w:tc>
          <w:tcPr>
            <w:tcW w:w="4670" w:type="dxa"/>
            <w:tcBorders>
              <w:top w:val="single" w:sz="6" w:space="0" w:color="FFFFFF"/>
              <w:left w:val="single" w:sz="6" w:space="0" w:color="FFFFFF"/>
              <w:bottom w:val="single" w:sz="6" w:space="0" w:color="FFFFFF"/>
              <w:right w:val="single" w:sz="6" w:space="0" w:color="FFFFFF"/>
            </w:tcBorders>
            <w:shd w:val="clear" w:color="auto" w:fill="005581" w:themeFill="text2"/>
            <w:hideMark/>
          </w:tcPr>
          <w:p w14:paraId="2E179038" w14:textId="77777777" w:rsidR="007879BC" w:rsidRDefault="007879BC" w:rsidP="00BC548C">
            <w:pPr>
              <w:pStyle w:val="TableHeading"/>
            </w:pPr>
            <w:r>
              <w:t>Law / Policy / Decision</w:t>
            </w:r>
          </w:p>
        </w:tc>
        <w:tc>
          <w:tcPr>
            <w:tcW w:w="3332" w:type="dxa"/>
            <w:tcBorders>
              <w:top w:val="single" w:sz="6" w:space="0" w:color="FFFFFF"/>
              <w:left w:val="single" w:sz="6" w:space="0" w:color="FFFFFF"/>
              <w:bottom w:val="single" w:sz="6" w:space="0" w:color="FFFFFF"/>
              <w:right w:val="single" w:sz="6" w:space="0" w:color="FFFFFF"/>
            </w:tcBorders>
            <w:shd w:val="clear" w:color="auto" w:fill="005581" w:themeFill="text2"/>
            <w:hideMark/>
          </w:tcPr>
          <w:p w14:paraId="5904845E" w14:textId="77777777" w:rsidR="007879BC" w:rsidRDefault="007879BC" w:rsidP="00BC548C">
            <w:pPr>
              <w:pStyle w:val="TableHeading"/>
            </w:pPr>
            <w:r>
              <w:t>Purpose</w:t>
            </w:r>
          </w:p>
        </w:tc>
      </w:tr>
      <w:tr w:rsidR="007879BC" w14:paraId="035316BC" w14:textId="77777777" w:rsidTr="00BC548C">
        <w:tc>
          <w:tcPr>
            <w:tcW w:w="4670"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2969B31A" w14:textId="77777777" w:rsidR="007879BC" w:rsidRDefault="007879BC" w:rsidP="00BC548C">
            <w:pPr>
              <w:pStyle w:val="TableText"/>
            </w:pPr>
            <w:r w:rsidRPr="00D72D65">
              <w:t>Law on Petroleum No. 18-L/CTN dated 06 July 1993 as amended on 09 June 2000 and 03 June 2008.</w:t>
            </w:r>
          </w:p>
        </w:tc>
        <w:tc>
          <w:tcPr>
            <w:tcW w:w="3332"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5708AFF4" w14:textId="77777777" w:rsidR="007879BC" w:rsidRDefault="007879BC" w:rsidP="00BC548C">
            <w:pPr>
              <w:pStyle w:val="TableText"/>
              <w:rPr>
                <w:lang w:val="en-US"/>
              </w:rPr>
            </w:pPr>
            <w:r>
              <w:rPr>
                <w:lang w:val="en-US"/>
              </w:rPr>
              <w:t>A</w:t>
            </w:r>
            <w:r w:rsidRPr="00D72D65">
              <w:rPr>
                <w:lang w:val="en-US"/>
              </w:rPr>
              <w:t>ddresses aspects of the exploration and exploitation of petroleum (crude oil, natural gas and other hydrocarbons)</w:t>
            </w:r>
          </w:p>
        </w:tc>
      </w:tr>
      <w:tr w:rsidR="007879BC" w14:paraId="44AAF256" w14:textId="77777777" w:rsidTr="00BC548C">
        <w:tc>
          <w:tcPr>
            <w:tcW w:w="4670"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259BDDC6" w14:textId="77777777" w:rsidR="007879BC" w:rsidRDefault="007879BC" w:rsidP="00BC548C">
            <w:pPr>
              <w:pStyle w:val="TableText"/>
            </w:pPr>
            <w:r w:rsidRPr="00D72D65">
              <w:rPr>
                <w:lang w:val="en-US"/>
              </w:rPr>
              <w:t>Decision No. 60/QD-TTg dated January 16, 2017 approving the plan for development of the Gas industry of Vietnam by 2025 with vision to 2035 (“Gas development master plan”)</w:t>
            </w:r>
          </w:p>
        </w:tc>
        <w:tc>
          <w:tcPr>
            <w:tcW w:w="3332"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6797C69A" w14:textId="77777777" w:rsidR="007879BC" w:rsidRDefault="007879BC" w:rsidP="00BC548C">
            <w:pPr>
              <w:pStyle w:val="TableText"/>
              <w:rPr>
                <w:lang w:val="en-US"/>
              </w:rPr>
            </w:pPr>
            <w:r>
              <w:rPr>
                <w:lang w:val="en-US"/>
              </w:rPr>
              <w:t>Affects m</w:t>
            </w:r>
            <w:r w:rsidRPr="00D72D65">
              <w:rPr>
                <w:lang w:val="en-US"/>
              </w:rPr>
              <w:t>ajor LNG projects, such as LNG terminals projects included in this master plan</w:t>
            </w:r>
          </w:p>
        </w:tc>
      </w:tr>
      <w:tr w:rsidR="007879BC" w14:paraId="1C9DDBB6" w14:textId="77777777" w:rsidTr="00BC548C">
        <w:tc>
          <w:tcPr>
            <w:tcW w:w="4670"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6D1FB8C3" w14:textId="77777777" w:rsidR="007879BC" w:rsidRDefault="007879BC" w:rsidP="00BC548C">
            <w:pPr>
              <w:pStyle w:val="TableText"/>
            </w:pPr>
            <w:r w:rsidRPr="00D72D65">
              <w:rPr>
                <w:lang w:val="en-US"/>
              </w:rPr>
              <w:t xml:space="preserve">Decree No. 19/2016/ND-CP dated 22 March 2016 providing regulations on gas business (“Decree 19”) </w:t>
            </w:r>
          </w:p>
        </w:tc>
        <w:tc>
          <w:tcPr>
            <w:tcW w:w="3332"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750003C7" w14:textId="77777777" w:rsidR="007879BC" w:rsidRDefault="007879BC" w:rsidP="00BC548C">
            <w:pPr>
              <w:pStyle w:val="TableText"/>
              <w:rPr>
                <w:lang w:val="en-US"/>
              </w:rPr>
            </w:pPr>
            <w:r w:rsidRPr="00D72D65">
              <w:rPr>
                <w:lang w:val="en-US"/>
              </w:rPr>
              <w:t>This stipulates requirements and procedure for conducting gas business</w:t>
            </w:r>
          </w:p>
        </w:tc>
      </w:tr>
      <w:tr w:rsidR="007879BC" w14:paraId="3AC7C7D0" w14:textId="77777777" w:rsidTr="00BC548C">
        <w:tc>
          <w:tcPr>
            <w:tcW w:w="4670"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6F0296AD" w14:textId="77777777" w:rsidR="007879BC" w:rsidRDefault="007879BC" w:rsidP="00BC548C">
            <w:pPr>
              <w:pStyle w:val="TableText"/>
            </w:pPr>
            <w:r w:rsidRPr="00D72D65">
              <w:rPr>
                <w:lang w:val="en-US"/>
              </w:rPr>
              <w:t>Circular No. 69/2016/TT-BTC dated 06 May 2016 on stipulating customs procedures for import, export, temporary import for re-export and transit of petroleum, chemical and gas</w:t>
            </w:r>
          </w:p>
        </w:tc>
        <w:tc>
          <w:tcPr>
            <w:tcW w:w="3332"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515B6894" w14:textId="77777777" w:rsidR="007879BC" w:rsidRDefault="007879BC" w:rsidP="00BC548C">
            <w:pPr>
              <w:pStyle w:val="TableText"/>
              <w:rPr>
                <w:lang w:val="en-US"/>
              </w:rPr>
            </w:pPr>
            <w:r w:rsidRPr="00D72D65">
              <w:rPr>
                <w:lang w:val="en-US"/>
              </w:rPr>
              <w:t xml:space="preserve">This addresses customs procedures for import of LNG </w:t>
            </w:r>
          </w:p>
        </w:tc>
      </w:tr>
      <w:tr w:rsidR="007879BC" w14:paraId="2005CC8B" w14:textId="77777777" w:rsidTr="00BC548C">
        <w:tc>
          <w:tcPr>
            <w:tcW w:w="4670"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1D494C6F" w14:textId="77777777" w:rsidR="007879BC" w:rsidRDefault="007879BC" w:rsidP="00BC548C">
            <w:pPr>
              <w:pStyle w:val="TableText"/>
            </w:pPr>
            <w:r w:rsidRPr="00D72D65">
              <w:rPr>
                <w:lang w:val="en-US"/>
              </w:rPr>
              <w:t>Circular No. 03/2016/TT-BCT dated 10 May 2016 on detailing a number of articles of the government’s Decree 19 (“Circular 03”) which deals with the process of applying for a certificate of eligibility for gas businesses</w:t>
            </w:r>
          </w:p>
        </w:tc>
        <w:tc>
          <w:tcPr>
            <w:tcW w:w="3332"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2005F7F2" w14:textId="77777777" w:rsidR="007879BC" w:rsidRDefault="007879BC" w:rsidP="00BC548C">
            <w:pPr>
              <w:pStyle w:val="TableText"/>
              <w:rPr>
                <w:lang w:val="en-US"/>
              </w:rPr>
            </w:pPr>
          </w:p>
        </w:tc>
      </w:tr>
    </w:tbl>
    <w:p w14:paraId="1984AADE" w14:textId="119BCD3C" w:rsidR="007879BC" w:rsidRPr="00881C6D" w:rsidRDefault="007879BC" w:rsidP="007879BC">
      <w:pPr>
        <w:pStyle w:val="BodyText"/>
      </w:pPr>
      <w:r>
        <w:t xml:space="preserve">It is clear therefore that new laws and market structures will be required to </w:t>
      </w:r>
      <w:r w:rsidRPr="00881C6D">
        <w:t>bring long-term flexibility, security of supply and valuable optionality to the Vietnamese power and gas markets</w:t>
      </w:r>
      <w:r>
        <w:t xml:space="preserve">.  </w:t>
      </w:r>
    </w:p>
    <w:p w14:paraId="1D920CEF" w14:textId="77777777" w:rsidR="007879BC" w:rsidRDefault="007879BC" w:rsidP="001B59AC">
      <w:pPr>
        <w:pStyle w:val="BodyText"/>
      </w:pPr>
    </w:p>
    <w:p w14:paraId="52968632" w14:textId="02438F7B" w:rsidR="001B59AC" w:rsidRDefault="007879BC" w:rsidP="001B59AC">
      <w:pPr>
        <w:pStyle w:val="BodyText"/>
      </w:pPr>
      <w:r>
        <w:lastRenderedPageBreak/>
        <w:t>We recommend</w:t>
      </w:r>
      <w:r w:rsidR="001B59AC">
        <w:t xml:space="preserve"> MOIT to draw on existing sources of law as building blocks, whilst recognising that some initial projects might be based on historic </w:t>
      </w:r>
      <w:r>
        <w:t>precedence</w:t>
      </w:r>
      <w:r w:rsidR="001B59AC">
        <w:t xml:space="preserve"> but made </w:t>
      </w:r>
      <w:r>
        <w:t xml:space="preserve">consistent with the </w:t>
      </w:r>
      <w:r w:rsidR="001B59AC">
        <w:t>LNG context through the use of Prime Ministerial decree, for example.  These sources of existing law include:</w:t>
      </w:r>
    </w:p>
    <w:p w14:paraId="73A7118A" w14:textId="77777777" w:rsidR="001B59AC" w:rsidRPr="00EB326B" w:rsidRDefault="001B59AC" w:rsidP="001B59AC">
      <w:pPr>
        <w:pStyle w:val="ListBullet"/>
        <w:rPr>
          <w:lang w:val="en-HK"/>
        </w:rPr>
      </w:pPr>
      <w:r w:rsidRPr="00EB326B">
        <w:rPr>
          <w:lang w:val="en-US"/>
        </w:rPr>
        <w:t>Codes and laws issued by</w:t>
      </w:r>
      <w:r>
        <w:rPr>
          <w:lang w:val="en-US"/>
        </w:rPr>
        <w:t xml:space="preserve"> the</w:t>
      </w:r>
      <w:r w:rsidRPr="00EB326B">
        <w:rPr>
          <w:lang w:val="en-US"/>
        </w:rPr>
        <w:t xml:space="preserve"> National Assembly</w:t>
      </w:r>
      <w:r>
        <w:rPr>
          <w:lang w:val="en-US"/>
        </w:rPr>
        <w:t>;</w:t>
      </w:r>
      <w:r w:rsidRPr="00EB326B">
        <w:rPr>
          <w:lang w:val="en-US"/>
        </w:rPr>
        <w:t xml:space="preserve"> </w:t>
      </w:r>
    </w:p>
    <w:p w14:paraId="6B58D21E" w14:textId="77777777" w:rsidR="001B59AC" w:rsidRPr="00EB326B" w:rsidRDefault="001B59AC" w:rsidP="001B59AC">
      <w:pPr>
        <w:pStyle w:val="ListBullet"/>
        <w:rPr>
          <w:lang w:val="en-HK"/>
        </w:rPr>
      </w:pPr>
      <w:r w:rsidRPr="00EB326B">
        <w:rPr>
          <w:lang w:val="en-US"/>
        </w:rPr>
        <w:t>Ordinances issued by the Standing Committee of the National Assembly</w:t>
      </w:r>
      <w:r>
        <w:rPr>
          <w:lang w:val="en-US"/>
        </w:rPr>
        <w:t xml:space="preserve"> (</w:t>
      </w:r>
      <w:r w:rsidRPr="00EB326B">
        <w:rPr>
          <w:lang w:val="en-US"/>
        </w:rPr>
        <w:t>commonly regulate on an area where a law is not yet promulgated and/or regulated</w:t>
      </w:r>
      <w:r>
        <w:rPr>
          <w:lang w:val="en-US"/>
        </w:rPr>
        <w:t>);</w:t>
      </w:r>
    </w:p>
    <w:p w14:paraId="4981B3D2" w14:textId="77777777" w:rsidR="001B59AC" w:rsidRPr="00EB326B" w:rsidRDefault="001B59AC" w:rsidP="001B59AC">
      <w:pPr>
        <w:pStyle w:val="ListBullet"/>
        <w:rPr>
          <w:lang w:val="en-HK"/>
        </w:rPr>
      </w:pPr>
      <w:r w:rsidRPr="00EB326B">
        <w:rPr>
          <w:lang w:val="en-US"/>
        </w:rPr>
        <w:t>Government’s decrees to implement the issued laws or ordinances</w:t>
      </w:r>
      <w:r>
        <w:rPr>
          <w:lang w:val="en-US"/>
        </w:rPr>
        <w:t>; and</w:t>
      </w:r>
    </w:p>
    <w:p w14:paraId="0FDC60ED" w14:textId="77777777" w:rsidR="001B59AC" w:rsidRPr="00EB326B" w:rsidRDefault="001B59AC" w:rsidP="001B59AC">
      <w:pPr>
        <w:pStyle w:val="ListBullet"/>
        <w:rPr>
          <w:lang w:val="en-HK"/>
        </w:rPr>
      </w:pPr>
      <w:r w:rsidRPr="00EB326B">
        <w:rPr>
          <w:lang w:val="en-US"/>
        </w:rPr>
        <w:t xml:space="preserve">Decisions of </w:t>
      </w:r>
      <w:r>
        <w:rPr>
          <w:lang w:val="en-US"/>
        </w:rPr>
        <w:t xml:space="preserve">the </w:t>
      </w:r>
      <w:r w:rsidRPr="00EB326B">
        <w:rPr>
          <w:lang w:val="en-US"/>
        </w:rPr>
        <w:t>Prime Minister</w:t>
      </w:r>
      <w:r>
        <w:rPr>
          <w:lang w:val="en-US"/>
        </w:rPr>
        <w:t>, among others.</w:t>
      </w:r>
      <w:r>
        <w:rPr>
          <w:rStyle w:val="FootnoteReference"/>
          <w:lang w:val="en-US"/>
        </w:rPr>
        <w:footnoteReference w:id="17"/>
      </w:r>
    </w:p>
    <w:p w14:paraId="5482C3C7" w14:textId="0862473D" w:rsidR="001B59AC" w:rsidRPr="006A053D" w:rsidRDefault="007879BC" w:rsidP="001B59AC">
      <w:pPr>
        <w:pStyle w:val="BodyText"/>
        <w:rPr>
          <w:lang w:val="en-US"/>
        </w:rPr>
      </w:pPr>
      <w:r>
        <w:rPr>
          <w:lang w:val="en-HK"/>
        </w:rPr>
        <w:t>As discussed in the earlier section of this report</w:t>
      </w:r>
      <w:r w:rsidR="001B59AC">
        <w:rPr>
          <w:lang w:val="en-HK"/>
        </w:rPr>
        <w:t>,</w:t>
      </w:r>
      <w:r w:rsidR="001B59AC" w:rsidRPr="00D72D65" w:rsidDel="00CF6D4C">
        <w:rPr>
          <w:lang w:val="en-HK"/>
        </w:rPr>
        <w:t xml:space="preserve"> </w:t>
      </w:r>
      <w:r w:rsidR="001B59AC" w:rsidRPr="00881C6D">
        <w:rPr>
          <w:bCs/>
          <w:lang w:val="en-US"/>
        </w:rPr>
        <w:t>Vietnam is focusing on the development of a competitive electricity market whilst also seeking to incentivise private sector investment in its power sector</w:t>
      </w:r>
      <w:r>
        <w:rPr>
          <w:bCs/>
          <w:lang w:val="en-US"/>
        </w:rPr>
        <w:t xml:space="preserve">, </w:t>
      </w:r>
      <w:r w:rsidR="001B59AC" w:rsidRPr="00881C6D">
        <w:rPr>
          <w:bCs/>
          <w:lang w:val="en-US"/>
        </w:rPr>
        <w:t>hence the carve out for BOT projects from selling into the wholesale market (and the presence of long</w:t>
      </w:r>
      <w:r w:rsidR="001B59AC">
        <w:rPr>
          <w:bCs/>
          <w:lang w:val="en-US"/>
        </w:rPr>
        <w:t>-</w:t>
      </w:r>
      <w:r w:rsidR="001B59AC" w:rsidRPr="00881C6D">
        <w:rPr>
          <w:bCs/>
          <w:lang w:val="en-US"/>
        </w:rPr>
        <w:t>term PPAs).  The pass through of take-or-pay guarantees in power purchase agreements in order to support a gas to power value chain will need to be facilitated by the clarification of existing legislation</w:t>
      </w:r>
      <w:r w:rsidR="001B59AC">
        <w:rPr>
          <w:bCs/>
          <w:lang w:val="en-US"/>
        </w:rPr>
        <w:t xml:space="preserve"> (</w:t>
      </w:r>
      <w:r w:rsidR="001B59AC">
        <w:rPr>
          <w:bCs/>
          <w:lang w:val="en-US"/>
        </w:rPr>
        <w:fldChar w:fldCharType="begin"/>
      </w:r>
      <w:r w:rsidR="001B59AC">
        <w:rPr>
          <w:bCs/>
          <w:lang w:val="en-US"/>
        </w:rPr>
        <w:instrText xml:space="preserve"> REF _Ref524609333 \h </w:instrText>
      </w:r>
      <w:r w:rsidR="001B59AC">
        <w:rPr>
          <w:bCs/>
          <w:lang w:val="en-US"/>
        </w:rPr>
      </w:r>
      <w:r w:rsidR="001B59AC">
        <w:rPr>
          <w:bCs/>
          <w:lang w:val="en-US"/>
        </w:rPr>
        <w:fldChar w:fldCharType="separate"/>
      </w:r>
      <w:r w:rsidR="006F531A">
        <w:t xml:space="preserve">Table </w:t>
      </w:r>
      <w:r w:rsidR="006F531A">
        <w:rPr>
          <w:noProof/>
        </w:rPr>
        <w:t>5</w:t>
      </w:r>
      <w:r w:rsidR="001B59AC">
        <w:rPr>
          <w:bCs/>
          <w:lang w:val="en-US"/>
        </w:rPr>
        <w:fldChar w:fldCharType="end"/>
      </w:r>
      <w:r w:rsidR="001B59AC">
        <w:rPr>
          <w:bCs/>
          <w:lang w:val="en-US"/>
        </w:rPr>
        <w:t>).</w:t>
      </w:r>
    </w:p>
    <w:p w14:paraId="379D8C80" w14:textId="1D5D1AE1" w:rsidR="001B59AC" w:rsidRDefault="001B59AC" w:rsidP="001B59AC">
      <w:pPr>
        <w:pStyle w:val="Caption"/>
      </w:pPr>
      <w:bookmarkStart w:id="65" w:name="_Ref524609333"/>
      <w:r>
        <w:t xml:space="preserve">Table </w:t>
      </w:r>
      <w:r>
        <w:fldChar w:fldCharType="begin"/>
      </w:r>
      <w:r>
        <w:instrText xml:space="preserve"> SEQ Table \* ARABIC </w:instrText>
      </w:r>
      <w:r>
        <w:fldChar w:fldCharType="separate"/>
      </w:r>
      <w:r w:rsidR="006F531A">
        <w:rPr>
          <w:noProof/>
        </w:rPr>
        <w:t>5</w:t>
      </w:r>
      <w:r>
        <w:fldChar w:fldCharType="end"/>
      </w:r>
      <w:bookmarkEnd w:id="65"/>
      <w:r>
        <w:t xml:space="preserve"> - </w:t>
      </w:r>
      <w:r w:rsidRPr="007B5D0E">
        <w:t xml:space="preserve">Current Legislative Framework for </w:t>
      </w:r>
      <w:r>
        <w:t>Power</w:t>
      </w:r>
    </w:p>
    <w:tbl>
      <w:tblPr>
        <w:tblStyle w:val="TableGrid"/>
        <w:tblW w:w="800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ook w:val="04A0" w:firstRow="1" w:lastRow="0" w:firstColumn="1" w:lastColumn="0" w:noHBand="0" w:noVBand="1"/>
      </w:tblPr>
      <w:tblGrid>
        <w:gridCol w:w="4954"/>
        <w:gridCol w:w="3048"/>
      </w:tblGrid>
      <w:tr w:rsidR="001B59AC" w14:paraId="43FC849C" w14:textId="77777777" w:rsidTr="00D3512E">
        <w:tc>
          <w:tcPr>
            <w:tcW w:w="4954" w:type="dxa"/>
            <w:tcBorders>
              <w:top w:val="single" w:sz="6" w:space="0" w:color="FFFFFF"/>
              <w:left w:val="single" w:sz="6" w:space="0" w:color="FFFFFF"/>
              <w:bottom w:val="single" w:sz="6" w:space="0" w:color="FFFFFF"/>
              <w:right w:val="single" w:sz="6" w:space="0" w:color="FFFFFF"/>
            </w:tcBorders>
            <w:shd w:val="clear" w:color="auto" w:fill="005581" w:themeFill="text2"/>
            <w:hideMark/>
          </w:tcPr>
          <w:p w14:paraId="3223D0DC" w14:textId="77777777" w:rsidR="001B59AC" w:rsidRDefault="001B59AC" w:rsidP="00D3512E">
            <w:pPr>
              <w:pStyle w:val="TableHeading"/>
            </w:pPr>
            <w:r>
              <w:t>Law / Policy / Decision</w:t>
            </w:r>
          </w:p>
        </w:tc>
        <w:tc>
          <w:tcPr>
            <w:tcW w:w="3048" w:type="dxa"/>
            <w:tcBorders>
              <w:top w:val="single" w:sz="6" w:space="0" w:color="FFFFFF"/>
              <w:left w:val="single" w:sz="6" w:space="0" w:color="FFFFFF"/>
              <w:bottom w:val="single" w:sz="6" w:space="0" w:color="FFFFFF"/>
              <w:right w:val="single" w:sz="6" w:space="0" w:color="FFFFFF"/>
            </w:tcBorders>
            <w:shd w:val="clear" w:color="auto" w:fill="005581" w:themeFill="text2"/>
            <w:hideMark/>
          </w:tcPr>
          <w:p w14:paraId="231050E7" w14:textId="77777777" w:rsidR="001B59AC" w:rsidRDefault="001B59AC" w:rsidP="00D3512E">
            <w:pPr>
              <w:pStyle w:val="TableHeading"/>
            </w:pPr>
            <w:r>
              <w:t>Purpose</w:t>
            </w:r>
          </w:p>
        </w:tc>
      </w:tr>
      <w:tr w:rsidR="001B59AC" w14:paraId="668C49DF" w14:textId="77777777" w:rsidTr="00D3512E">
        <w:tc>
          <w:tcPr>
            <w:tcW w:w="4954"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49783494" w14:textId="77777777" w:rsidR="001B59AC" w:rsidRDefault="001B59AC" w:rsidP="00D3512E">
            <w:pPr>
              <w:pStyle w:val="TableText"/>
            </w:pPr>
            <w:r w:rsidRPr="00D72D65">
              <w:rPr>
                <w:lang w:val="en-US"/>
              </w:rPr>
              <w:t>Law on Electricity No. 28-2004-QH11 as amended1 by Law 24-2012-QH13 dated 20 November 2012</w:t>
            </w:r>
          </w:p>
        </w:tc>
        <w:tc>
          <w:tcPr>
            <w:tcW w:w="3048"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2385FECA" w14:textId="77777777" w:rsidR="001B59AC" w:rsidRDefault="001B59AC" w:rsidP="00D3512E">
            <w:pPr>
              <w:pStyle w:val="TableText"/>
              <w:rPr>
                <w:lang w:val="en-US"/>
              </w:rPr>
            </w:pPr>
            <w:r>
              <w:t>G</w:t>
            </w:r>
            <w:r w:rsidRPr="00D72D65">
              <w:t xml:space="preserve">overns the </w:t>
            </w:r>
            <w:r>
              <w:t>e</w:t>
            </w:r>
            <w:r w:rsidRPr="00D72D65">
              <w:t xml:space="preserve">lectricity market and seeks to develop market mechanisms.  </w:t>
            </w:r>
          </w:p>
        </w:tc>
      </w:tr>
      <w:tr w:rsidR="001B59AC" w14:paraId="6C2C63B4" w14:textId="77777777" w:rsidTr="00D3512E">
        <w:tc>
          <w:tcPr>
            <w:tcW w:w="4954"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2EFADC96" w14:textId="77777777" w:rsidR="001B59AC" w:rsidRPr="003B2AA8" w:rsidRDefault="001B59AC" w:rsidP="00D3512E">
            <w:pPr>
              <w:pStyle w:val="TableText"/>
              <w:rPr>
                <w:b/>
              </w:rPr>
            </w:pPr>
            <w:r w:rsidRPr="00D72D65">
              <w:rPr>
                <w:lang w:val="en-US"/>
              </w:rPr>
              <w:t xml:space="preserve">Decision No. 428/QD-TTg dated 18 March 2016 approving of revisions to the national power development plan from 2011 to 2020 with vision to </w:t>
            </w:r>
            <w:proofErr w:type="gramStart"/>
            <w:r w:rsidRPr="00D72D65">
              <w:rPr>
                <w:lang w:val="en-US"/>
              </w:rPr>
              <w:t>2030  (</w:t>
            </w:r>
            <w:proofErr w:type="gramEnd"/>
            <w:r w:rsidRPr="00D72D65">
              <w:rPr>
                <w:lang w:val="en-US"/>
              </w:rPr>
              <w:t>“Power development master plan”)</w:t>
            </w:r>
          </w:p>
        </w:tc>
        <w:tc>
          <w:tcPr>
            <w:tcW w:w="3048"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68ED2189" w14:textId="77777777" w:rsidR="001B59AC" w:rsidRDefault="001B59AC" w:rsidP="00D3512E">
            <w:pPr>
              <w:pStyle w:val="TableText"/>
              <w:rPr>
                <w:lang w:val="en-US"/>
              </w:rPr>
            </w:pPr>
            <w:r>
              <w:rPr>
                <w:lang w:val="en-US"/>
              </w:rPr>
              <w:t>N</w:t>
            </w:r>
            <w:r w:rsidRPr="00D72D65">
              <w:rPr>
                <w:lang w:val="en-US"/>
              </w:rPr>
              <w:t>amed gas to power projects to be included in the master plan to support inclusion in a special regime</w:t>
            </w:r>
          </w:p>
        </w:tc>
      </w:tr>
      <w:tr w:rsidR="001B59AC" w14:paraId="47D40240" w14:textId="77777777" w:rsidTr="00D3512E">
        <w:tc>
          <w:tcPr>
            <w:tcW w:w="4954"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7DF9CF8C" w14:textId="77777777" w:rsidR="001B59AC" w:rsidRDefault="001B59AC" w:rsidP="00D3512E">
            <w:pPr>
              <w:pStyle w:val="TableText"/>
            </w:pPr>
            <w:r w:rsidRPr="00D72D65">
              <w:rPr>
                <w:lang w:val="en-US"/>
              </w:rPr>
              <w:t>Decision No. 63/2013/QD-TTg of the Prime Minister dated 8 November 2013 regulating the schedule, conditions and structure of Electricity Sector for formulation and development of electricity markets levels in Vietnam (“Decision 63”)</w:t>
            </w:r>
          </w:p>
        </w:tc>
        <w:tc>
          <w:tcPr>
            <w:tcW w:w="3048"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739C2212" w14:textId="77777777" w:rsidR="001B59AC" w:rsidRDefault="001B59AC" w:rsidP="00D3512E">
            <w:pPr>
              <w:pStyle w:val="TableText"/>
              <w:rPr>
                <w:lang w:val="en-US"/>
              </w:rPr>
            </w:pPr>
            <w:r>
              <w:rPr>
                <w:lang w:val="en-US"/>
              </w:rPr>
              <w:t>Covers the</w:t>
            </w:r>
            <w:r w:rsidRPr="00D72D65">
              <w:rPr>
                <w:lang w:val="en-US"/>
              </w:rPr>
              <w:t xml:space="preserve"> development from a competitive electricity development level to a competitive electricity retail</w:t>
            </w:r>
            <w:r>
              <w:rPr>
                <w:lang w:val="en-US"/>
              </w:rPr>
              <w:t xml:space="preserve"> market</w:t>
            </w:r>
          </w:p>
        </w:tc>
      </w:tr>
      <w:tr w:rsidR="001B59AC" w14:paraId="706A78D0" w14:textId="77777777" w:rsidTr="00D3512E">
        <w:tc>
          <w:tcPr>
            <w:tcW w:w="4954"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2B6738E1" w14:textId="77777777" w:rsidR="001B59AC" w:rsidRDefault="001B59AC" w:rsidP="00D3512E">
            <w:pPr>
              <w:pStyle w:val="TableText"/>
            </w:pPr>
            <w:r w:rsidRPr="00D72D65">
              <w:rPr>
                <w:lang w:val="en-US"/>
              </w:rPr>
              <w:t>Circular No. 30/2014/TT-BCT dated 02 October, 2014, providing for operation of competitive electricity generation market (as amended by Circular No. 51/2015/TT-BCT December 29, 2015) (“Circular 30”)</w:t>
            </w:r>
          </w:p>
        </w:tc>
        <w:tc>
          <w:tcPr>
            <w:tcW w:w="3048"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31FDCB3C" w14:textId="77777777" w:rsidR="001B59AC" w:rsidRDefault="001B59AC" w:rsidP="00D3512E">
            <w:pPr>
              <w:pStyle w:val="TableText"/>
              <w:rPr>
                <w:lang w:val="en-US"/>
              </w:rPr>
            </w:pPr>
            <w:r w:rsidRPr="00D72D65">
              <w:t>Stipulates operational plan and time required to participate in competitive electricity generation market</w:t>
            </w:r>
          </w:p>
        </w:tc>
      </w:tr>
    </w:tbl>
    <w:p w14:paraId="3FA9B05C" w14:textId="77777777" w:rsidR="001B59AC" w:rsidRDefault="001B59AC" w:rsidP="001B59AC">
      <w:pPr>
        <w:pStyle w:val="Heading4"/>
        <w:rPr>
          <w:lang w:val="en-US"/>
        </w:rPr>
      </w:pPr>
      <w:r>
        <w:lastRenderedPageBreak/>
        <w:t>A</w:t>
      </w:r>
      <w:r w:rsidRPr="00115D8E">
        <w:t>bility to implement the recommended structure</w:t>
      </w:r>
    </w:p>
    <w:p w14:paraId="6BDF895E" w14:textId="0E64DF1D" w:rsidR="001B59AC" w:rsidRDefault="001B64A4" w:rsidP="001B59AC">
      <w:pPr>
        <w:pStyle w:val="BodyText"/>
      </w:pPr>
      <w:r>
        <w:t>We recommend the</w:t>
      </w:r>
      <w:r w:rsidR="001B59AC">
        <w:t xml:space="preserve"> Public-Private model</w:t>
      </w:r>
      <w:r>
        <w:t xml:space="preserve"> for LNG development in Vietnam. D</w:t>
      </w:r>
      <w:r w:rsidR="001B59AC">
        <w:t xml:space="preserve">espite the country’s law being in its nascent stage with regards to LNG </w:t>
      </w:r>
      <w:r>
        <w:t>importation</w:t>
      </w:r>
      <w:r w:rsidR="001B59AC">
        <w:t>, there is</w:t>
      </w:r>
      <w:r w:rsidR="001B59AC" w:rsidRPr="00047BAD">
        <w:t xml:space="preserve"> an existing BOT framework and established practice pursuant to which </w:t>
      </w:r>
      <w:r w:rsidR="001B59AC">
        <w:t>LNG-to-p</w:t>
      </w:r>
      <w:r w:rsidR="001B59AC" w:rsidRPr="00047BAD">
        <w:t xml:space="preserve">ower generation infrastructure </w:t>
      </w:r>
      <w:r w:rsidR="001B59AC">
        <w:t>can be</w:t>
      </w:r>
      <w:r w:rsidR="001B59AC" w:rsidRPr="00047BAD">
        <w:t xml:space="preserve"> developed by the private secto</w:t>
      </w:r>
      <w:r w:rsidR="001B59AC">
        <w:t>r:</w:t>
      </w:r>
    </w:p>
    <w:p w14:paraId="79A5D414" w14:textId="77777777" w:rsidR="001B59AC" w:rsidRPr="006A053D" w:rsidRDefault="001B59AC" w:rsidP="001B59AC">
      <w:pPr>
        <w:pStyle w:val="ListBullet"/>
        <w:rPr>
          <w:lang w:val="en-SG"/>
        </w:rPr>
      </w:pPr>
      <w:r w:rsidRPr="007D132D">
        <w:rPr>
          <w:lang w:val="en-US"/>
        </w:rPr>
        <w:t>Decree 63/2018/ND-CP (“Decree 63”) on PPP investment form dated 4 May 2018 comes into effect on 19 June 2018, replacing the Decree 15/2015/ND-CP (“Decree 15”)</w:t>
      </w:r>
      <w:r>
        <w:rPr>
          <w:lang w:val="en-US"/>
        </w:rPr>
        <w:t xml:space="preserve">. </w:t>
      </w:r>
      <w:r w:rsidRPr="007D132D">
        <w:rPr>
          <w:lang w:val="en-US"/>
        </w:rPr>
        <w:t>As Decree 63 is newly issued, the subordinated legal documents have not been issued by the relevant ministries.</w:t>
      </w:r>
      <w:r>
        <w:rPr>
          <w:rStyle w:val="FootnoteReference"/>
          <w:lang w:val="en-US"/>
        </w:rPr>
        <w:footnoteReference w:id="18"/>
      </w:r>
    </w:p>
    <w:p w14:paraId="69C60A0F" w14:textId="5F2381CE" w:rsidR="001B59AC" w:rsidRDefault="001B59AC" w:rsidP="001B59AC">
      <w:pPr>
        <w:pStyle w:val="BodyText"/>
        <w:rPr>
          <w:bCs/>
          <w:lang w:val="en-US"/>
        </w:rPr>
      </w:pPr>
      <w:r>
        <w:t>Notwithstanding, the ability to successfully implement this structure for Vietnam’s maiden LNG project will be contingent on the</w:t>
      </w:r>
      <w:r w:rsidRPr="006A053D">
        <w:rPr>
          <w:bCs/>
          <w:lang w:val="en-US"/>
        </w:rPr>
        <w:t xml:space="preserve"> clear inclusion of LNG terminals within the BOT structure</w:t>
      </w:r>
      <w:r>
        <w:rPr>
          <w:bCs/>
          <w:lang w:val="en-US"/>
        </w:rPr>
        <w:t>, that</w:t>
      </w:r>
      <w:r w:rsidRPr="006A053D">
        <w:rPr>
          <w:bCs/>
          <w:lang w:val="en-US"/>
        </w:rPr>
        <w:t xml:space="preserve"> will help to underpin their financing by the private sector</w:t>
      </w:r>
      <w:r>
        <w:rPr>
          <w:bCs/>
          <w:lang w:val="en-US"/>
        </w:rPr>
        <w:t xml:space="preserve">.  To that end, we set out our recommended action items in </w:t>
      </w:r>
      <w:r>
        <w:rPr>
          <w:bCs/>
          <w:lang w:val="en-US"/>
        </w:rPr>
        <w:fldChar w:fldCharType="begin"/>
      </w:r>
      <w:r>
        <w:rPr>
          <w:bCs/>
          <w:lang w:val="en-US"/>
        </w:rPr>
        <w:instrText xml:space="preserve"> REF _Ref524609792 \h </w:instrText>
      </w:r>
      <w:r>
        <w:rPr>
          <w:bCs/>
          <w:lang w:val="en-US"/>
        </w:rPr>
      </w:r>
      <w:r>
        <w:rPr>
          <w:bCs/>
          <w:lang w:val="en-US"/>
        </w:rPr>
        <w:fldChar w:fldCharType="separate"/>
      </w:r>
      <w:r w:rsidR="006F531A">
        <w:t xml:space="preserve">Table </w:t>
      </w:r>
      <w:r w:rsidR="006F531A">
        <w:rPr>
          <w:noProof/>
        </w:rPr>
        <w:t>6</w:t>
      </w:r>
      <w:r>
        <w:rPr>
          <w:bCs/>
          <w:lang w:val="en-US"/>
        </w:rPr>
        <w:fldChar w:fldCharType="end"/>
      </w:r>
      <w:r>
        <w:rPr>
          <w:bCs/>
          <w:lang w:val="en-US"/>
        </w:rPr>
        <w:t xml:space="preserve"> below:</w:t>
      </w:r>
    </w:p>
    <w:p w14:paraId="6D7CD8F5" w14:textId="354AA396" w:rsidR="001B59AC" w:rsidRDefault="001B59AC" w:rsidP="001B59AC">
      <w:pPr>
        <w:pStyle w:val="Caption"/>
      </w:pPr>
      <w:bookmarkStart w:id="66" w:name="_Ref524609792"/>
      <w:r>
        <w:t xml:space="preserve">Table </w:t>
      </w:r>
      <w:r>
        <w:fldChar w:fldCharType="begin"/>
      </w:r>
      <w:r>
        <w:instrText xml:space="preserve"> SEQ Table \* ARABIC </w:instrText>
      </w:r>
      <w:r>
        <w:fldChar w:fldCharType="separate"/>
      </w:r>
      <w:r w:rsidR="006F531A">
        <w:rPr>
          <w:noProof/>
        </w:rPr>
        <w:t>6</w:t>
      </w:r>
      <w:r>
        <w:fldChar w:fldCharType="end"/>
      </w:r>
      <w:bookmarkEnd w:id="66"/>
      <w:r>
        <w:t xml:space="preserve"> - Recommended Action Items</w:t>
      </w:r>
      <w:r>
        <w:rPr>
          <w:noProof/>
        </w:rPr>
        <w:t xml:space="preserve"> to clarify Existing Public-Private Laws for LNG</w:t>
      </w:r>
    </w:p>
    <w:tbl>
      <w:tblPr>
        <w:tblStyle w:val="TableGrid"/>
        <w:tblW w:w="800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ook w:val="04A0" w:firstRow="1" w:lastRow="0" w:firstColumn="1" w:lastColumn="0" w:noHBand="0" w:noVBand="1"/>
      </w:tblPr>
      <w:tblGrid>
        <w:gridCol w:w="3536"/>
        <w:gridCol w:w="4466"/>
      </w:tblGrid>
      <w:tr w:rsidR="001B59AC" w14:paraId="5BFE8415" w14:textId="77777777" w:rsidTr="00D3512E">
        <w:tc>
          <w:tcPr>
            <w:tcW w:w="3536" w:type="dxa"/>
            <w:tcBorders>
              <w:top w:val="single" w:sz="6" w:space="0" w:color="FFFFFF"/>
              <w:left w:val="single" w:sz="6" w:space="0" w:color="FFFFFF"/>
              <w:bottom w:val="single" w:sz="6" w:space="0" w:color="FFFFFF"/>
              <w:right w:val="single" w:sz="6" w:space="0" w:color="FFFFFF"/>
            </w:tcBorders>
            <w:shd w:val="clear" w:color="auto" w:fill="005581" w:themeFill="text2"/>
            <w:hideMark/>
          </w:tcPr>
          <w:p w14:paraId="699C2457" w14:textId="77777777" w:rsidR="001B59AC" w:rsidRDefault="001B59AC" w:rsidP="00D3512E">
            <w:pPr>
              <w:pStyle w:val="TableHeading"/>
            </w:pPr>
            <w:r>
              <w:t>Law / Policy / Decision</w:t>
            </w:r>
          </w:p>
        </w:tc>
        <w:tc>
          <w:tcPr>
            <w:tcW w:w="4466" w:type="dxa"/>
            <w:tcBorders>
              <w:top w:val="single" w:sz="6" w:space="0" w:color="FFFFFF"/>
              <w:left w:val="single" w:sz="6" w:space="0" w:color="FFFFFF"/>
              <w:bottom w:val="single" w:sz="6" w:space="0" w:color="FFFFFF"/>
              <w:right w:val="single" w:sz="6" w:space="0" w:color="FFFFFF"/>
            </w:tcBorders>
            <w:shd w:val="clear" w:color="auto" w:fill="005581" w:themeFill="text2"/>
            <w:hideMark/>
          </w:tcPr>
          <w:p w14:paraId="262B08D4" w14:textId="77777777" w:rsidR="001B59AC" w:rsidRDefault="001B59AC" w:rsidP="00D3512E">
            <w:pPr>
              <w:pStyle w:val="TableHeading"/>
            </w:pPr>
            <w:r>
              <w:t>Action Items</w:t>
            </w:r>
          </w:p>
        </w:tc>
      </w:tr>
      <w:tr w:rsidR="001B59AC" w14:paraId="6BFA5E5F" w14:textId="77777777" w:rsidTr="00D3512E">
        <w:tc>
          <w:tcPr>
            <w:tcW w:w="3536"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4E1DF604" w14:textId="77777777" w:rsidR="001B59AC" w:rsidRDefault="001B59AC" w:rsidP="00D3512E">
            <w:pPr>
              <w:pStyle w:val="TableText"/>
            </w:pPr>
            <w:r w:rsidRPr="00D72D65">
              <w:rPr>
                <w:lang w:val="en-US"/>
              </w:rPr>
              <w:t>Decree 63/2018/ND-CP (“</w:t>
            </w:r>
            <w:r w:rsidRPr="00D72D65">
              <w:rPr>
                <w:b/>
                <w:bCs/>
                <w:lang w:val="en-US"/>
              </w:rPr>
              <w:t>Decree 63</w:t>
            </w:r>
            <w:r w:rsidRPr="00D72D65">
              <w:rPr>
                <w:lang w:val="en-US"/>
              </w:rPr>
              <w:t>”) on PPP investment form dated 4 May 2018 comes into effect on 19 June 2018, replacing the Decree 15/2015/ND-CP (“</w:t>
            </w:r>
            <w:r w:rsidRPr="00D72D65">
              <w:rPr>
                <w:b/>
                <w:bCs/>
                <w:lang w:val="en-US"/>
              </w:rPr>
              <w:t>Decree 15</w:t>
            </w:r>
            <w:r w:rsidRPr="00D72D65">
              <w:rPr>
                <w:lang w:val="en-US"/>
              </w:rPr>
              <w:t>”)</w:t>
            </w:r>
          </w:p>
        </w:tc>
        <w:tc>
          <w:tcPr>
            <w:tcW w:w="4466"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6E73CFDE" w14:textId="77777777" w:rsidR="001B59AC" w:rsidRDefault="001B59AC" w:rsidP="00D3512E">
            <w:pPr>
              <w:pStyle w:val="TableText"/>
              <w:rPr>
                <w:lang w:val="en-US"/>
              </w:rPr>
            </w:pPr>
            <w:r w:rsidRPr="00D72D65">
              <w:rPr>
                <w:lang w:val="en-US"/>
              </w:rPr>
              <w:t>A clarification by Prime Ministerial decree that this applies to LNG and gas to power infrastructure will support financing by extending critical state guarantee support</w:t>
            </w:r>
          </w:p>
        </w:tc>
      </w:tr>
      <w:tr w:rsidR="001B59AC" w14:paraId="2D50A7C1" w14:textId="77777777" w:rsidTr="00D3512E">
        <w:tc>
          <w:tcPr>
            <w:tcW w:w="3536"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7F0363E9" w14:textId="77777777" w:rsidR="001B59AC" w:rsidRPr="003B2AA8" w:rsidRDefault="001B59AC" w:rsidP="00D3512E">
            <w:pPr>
              <w:pStyle w:val="TableText"/>
              <w:rPr>
                <w:b/>
              </w:rPr>
            </w:pPr>
            <w:r w:rsidRPr="00D72D65">
              <w:rPr>
                <w:lang w:val="en-US"/>
              </w:rPr>
              <w:t>As Decree 63 is newly issued, the subordinated legal documents have not been issued by the relevant ministries.</w:t>
            </w:r>
          </w:p>
        </w:tc>
        <w:tc>
          <w:tcPr>
            <w:tcW w:w="4466"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401CD629" w14:textId="77777777" w:rsidR="001B59AC" w:rsidRDefault="001B59AC" w:rsidP="00D3512E">
            <w:pPr>
              <w:pStyle w:val="TableText"/>
              <w:rPr>
                <w:lang w:val="en-US"/>
              </w:rPr>
            </w:pPr>
            <w:r w:rsidRPr="00D72D65">
              <w:rPr>
                <w:lang w:val="en-US"/>
              </w:rPr>
              <w:t>There is therefore an opportunity to use this subordinated legislation to provide further clarity around LNG critical energy infrastructure</w:t>
            </w:r>
          </w:p>
        </w:tc>
      </w:tr>
      <w:tr w:rsidR="001B59AC" w14:paraId="0FB01280" w14:textId="77777777" w:rsidTr="00D3512E">
        <w:tc>
          <w:tcPr>
            <w:tcW w:w="3536"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0A406E2F" w14:textId="77777777" w:rsidR="001B59AC" w:rsidRDefault="001B59AC" w:rsidP="00D3512E">
            <w:pPr>
              <w:pStyle w:val="TableText"/>
            </w:pPr>
            <w:r w:rsidRPr="00D72D65">
              <w:rPr>
                <w:lang w:val="en-US"/>
              </w:rPr>
              <w:t>Official Letter 1604/</w:t>
            </w:r>
            <w:proofErr w:type="spellStart"/>
            <w:r w:rsidRPr="00D72D65">
              <w:rPr>
                <w:lang w:val="en-US"/>
              </w:rPr>
              <w:t>Ttg</w:t>
            </w:r>
            <w:proofErr w:type="spellEnd"/>
            <w:r w:rsidRPr="00D72D65">
              <w:rPr>
                <w:lang w:val="en-US"/>
              </w:rPr>
              <w:t>-KTN dated 12 September 2011 (“</w:t>
            </w:r>
            <w:r w:rsidRPr="00D72D65">
              <w:rPr>
                <w:b/>
                <w:bCs/>
                <w:lang w:val="en-US"/>
              </w:rPr>
              <w:t>Official Letter 1604</w:t>
            </w:r>
            <w:r w:rsidRPr="00D72D65">
              <w:rPr>
                <w:lang w:val="en-US"/>
              </w:rPr>
              <w:t>”)</w:t>
            </w:r>
          </w:p>
        </w:tc>
        <w:tc>
          <w:tcPr>
            <w:tcW w:w="4466"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64CFB718" w14:textId="77777777" w:rsidR="001B59AC" w:rsidRDefault="001B59AC" w:rsidP="00D3512E">
            <w:pPr>
              <w:pStyle w:val="TableText"/>
              <w:rPr>
                <w:lang w:val="en-US"/>
              </w:rPr>
            </w:pPr>
            <w:r w:rsidRPr="00D72D65">
              <w:rPr>
                <w:lang w:val="en-US"/>
              </w:rPr>
              <w:t>To support LNG development, the government guarantees need to clearly apply to LNG BOT project</w:t>
            </w:r>
            <w:r>
              <w:rPr>
                <w:lang w:val="en-US"/>
              </w:rPr>
              <w:t>s</w:t>
            </w:r>
          </w:p>
        </w:tc>
      </w:tr>
    </w:tbl>
    <w:p w14:paraId="71080B81" w14:textId="51F86656" w:rsidR="001B59AC" w:rsidRPr="00115D8E" w:rsidRDefault="001B59AC" w:rsidP="001B59AC">
      <w:pPr>
        <w:pStyle w:val="Heading2"/>
        <w:numPr>
          <w:ilvl w:val="1"/>
          <w:numId w:val="2"/>
        </w:numPr>
        <w:ind w:left="0" w:hanging="706"/>
      </w:pPr>
      <w:bookmarkStart w:id="67" w:name="_Toc524653572"/>
      <w:r w:rsidRPr="00115D8E">
        <w:t xml:space="preserve">What </w:t>
      </w:r>
      <w:r w:rsidR="004069E8">
        <w:t>C</w:t>
      </w:r>
      <w:r w:rsidRPr="00115D8E">
        <w:t xml:space="preserve">hanges are </w:t>
      </w:r>
      <w:r w:rsidR="004069E8">
        <w:t>N</w:t>
      </w:r>
      <w:r w:rsidRPr="00115D8E">
        <w:t xml:space="preserve">eeded in the </w:t>
      </w:r>
      <w:r w:rsidR="004069E8">
        <w:t>S</w:t>
      </w:r>
      <w:r w:rsidRPr="00115D8E">
        <w:t>hort</w:t>
      </w:r>
      <w:r>
        <w:t xml:space="preserve">-Term </w:t>
      </w:r>
      <w:r w:rsidRPr="00115D8E">
        <w:t xml:space="preserve">in order to make the tolling structure </w:t>
      </w:r>
      <w:r w:rsidR="004069E8">
        <w:t>a Workable Solution</w:t>
      </w:r>
      <w:r w:rsidRPr="00115D8E">
        <w:t>?</w:t>
      </w:r>
      <w:bookmarkEnd w:id="67"/>
    </w:p>
    <w:p w14:paraId="6437DCA5" w14:textId="2D23FB34" w:rsidR="006F57AD" w:rsidRDefault="006F57AD" w:rsidP="006F57AD">
      <w:pPr>
        <w:pStyle w:val="BodyText"/>
      </w:pPr>
      <w:r w:rsidRPr="00AD3885">
        <w:t xml:space="preserve">Vietnam has established a legislative and contractual framework pursuant to which it has procured fuel and power generation. Vietnam is familiar with: </w:t>
      </w:r>
    </w:p>
    <w:p w14:paraId="1CE52D97" w14:textId="13295AEE" w:rsidR="006F57AD" w:rsidRDefault="006F57AD" w:rsidP="006F57AD">
      <w:pPr>
        <w:pStyle w:val="BodyText"/>
        <w:numPr>
          <w:ilvl w:val="0"/>
          <w:numId w:val="30"/>
        </w:numPr>
      </w:pPr>
      <w:r w:rsidRPr="00AD3885">
        <w:t xml:space="preserve">developing its own power infrastructure; and </w:t>
      </w:r>
    </w:p>
    <w:p w14:paraId="2BBB5A1A" w14:textId="109E1661" w:rsidR="006F57AD" w:rsidRDefault="006F57AD" w:rsidP="006F57AD">
      <w:pPr>
        <w:pStyle w:val="BodyText"/>
        <w:numPr>
          <w:ilvl w:val="0"/>
          <w:numId w:val="30"/>
        </w:numPr>
      </w:pPr>
      <w:r w:rsidRPr="00AD3885">
        <w:t xml:space="preserve">procuring a concessionaire to do so; and additionally, </w:t>
      </w:r>
    </w:p>
    <w:p w14:paraId="39049B59" w14:textId="1BCD46DB" w:rsidR="006F57AD" w:rsidRDefault="006F57AD" w:rsidP="006F57AD">
      <w:pPr>
        <w:pStyle w:val="BodyText"/>
        <w:numPr>
          <w:ilvl w:val="0"/>
          <w:numId w:val="30"/>
        </w:numPr>
      </w:pPr>
      <w:r w:rsidRPr="00AD3885">
        <w:lastRenderedPageBreak/>
        <w:t>it has an existing toolkit of law</w:t>
      </w:r>
      <w:r>
        <w:t>s</w:t>
      </w:r>
      <w:r w:rsidRPr="00AD3885">
        <w:t xml:space="preserve"> and precedent documentation with which it encourages private investment, having developed a risk allocation structure that the market is familiar with (and generally accepts).  </w:t>
      </w:r>
    </w:p>
    <w:p w14:paraId="6FFC2B1A" w14:textId="4AF2F959" w:rsidR="00537383" w:rsidRDefault="006F57AD" w:rsidP="006F57AD">
      <w:pPr>
        <w:pStyle w:val="BodyText"/>
        <w:rPr>
          <w:lang w:val="en-SG"/>
        </w:rPr>
      </w:pPr>
      <w:r w:rsidRPr="00422F1C">
        <w:rPr>
          <w:lang w:val="en-SG"/>
        </w:rPr>
        <w:t>We recognize that some degree of Government policy or law clarification will be required. As such, PM Decision/Approval will be a critical initial step in order to pull together and clarify existing law</w:t>
      </w:r>
      <w:r>
        <w:rPr>
          <w:lang w:val="en-SG"/>
        </w:rPr>
        <w:t>s</w:t>
      </w:r>
      <w:r w:rsidRPr="00422F1C">
        <w:rPr>
          <w:lang w:val="en-SG"/>
        </w:rPr>
        <w:t xml:space="preserve"> for LNG development. The content of the PM Decision/Approval will vary depending on the </w:t>
      </w:r>
      <w:r w:rsidR="00537383">
        <w:rPr>
          <w:lang w:val="en-SG"/>
        </w:rPr>
        <w:t xml:space="preserve">specific </w:t>
      </w:r>
      <w:r w:rsidRPr="00422F1C">
        <w:rPr>
          <w:lang w:val="en-SG"/>
        </w:rPr>
        <w:t xml:space="preserve">LNG to Power option chosen. </w:t>
      </w:r>
      <w:r w:rsidR="00537383">
        <w:rPr>
          <w:lang w:val="en-SG"/>
        </w:rPr>
        <w:t>Critically, we propose resolving a tariff decree which would enable EVN to absorb LNG offtake (volume and price commitments) and passes it through to end-consumers.</w:t>
      </w:r>
    </w:p>
    <w:p w14:paraId="7DBACDDA" w14:textId="50EB5A83" w:rsidR="006F57AD" w:rsidRDefault="006F57AD" w:rsidP="006F57AD">
      <w:pPr>
        <w:pStyle w:val="BodyText"/>
        <w:rPr>
          <w:lang w:val="en-SG"/>
        </w:rPr>
      </w:pPr>
      <w:r>
        <w:rPr>
          <w:lang w:val="en-SG"/>
        </w:rPr>
        <w:t>We recommend the</w:t>
      </w:r>
      <w:r w:rsidRPr="00422F1C">
        <w:rPr>
          <w:lang w:val="en-SG"/>
        </w:rPr>
        <w:t xml:space="preserve"> strategy to develop a robust framework from existing laws and regulations, transitioning to a new legal framework over time as the competitive electricity market evolves.</w:t>
      </w:r>
    </w:p>
    <w:p w14:paraId="256072FF" w14:textId="77777777" w:rsidR="001B59AC" w:rsidRPr="00115D8E" w:rsidRDefault="001B59AC" w:rsidP="001B59AC">
      <w:pPr>
        <w:pStyle w:val="Heading2"/>
        <w:numPr>
          <w:ilvl w:val="1"/>
          <w:numId w:val="2"/>
        </w:numPr>
        <w:ind w:left="0" w:hanging="706"/>
      </w:pPr>
      <w:bookmarkStart w:id="68" w:name="_Toc524653573"/>
      <w:r w:rsidRPr="00115D8E">
        <w:t>What changes are needed in the long term in order to be consistent with competitive gas market?</w:t>
      </w:r>
      <w:bookmarkEnd w:id="68"/>
    </w:p>
    <w:p w14:paraId="7FA10350" w14:textId="1EC7F690" w:rsidR="006F57AD" w:rsidRPr="00AD3885" w:rsidRDefault="00537383" w:rsidP="006F57AD">
      <w:pPr>
        <w:pStyle w:val="BodyText"/>
        <w:rPr>
          <w:lang w:val="en-SG"/>
        </w:rPr>
      </w:pPr>
      <w:r w:rsidRPr="00537383">
        <w:t>The benefits of the</w:t>
      </w:r>
      <w:r w:rsidR="006F57AD" w:rsidRPr="00537383">
        <w:t xml:space="preserve"> Public/Private model</w:t>
      </w:r>
      <w:r w:rsidRPr="00537383">
        <w:t xml:space="preserve"> will be truly maximized </w:t>
      </w:r>
      <w:r>
        <w:t xml:space="preserve">as more competition is introduced into the power and gas sectors to drive improvements in efficiencies and costs. </w:t>
      </w:r>
      <w:r w:rsidR="004069E8">
        <w:t xml:space="preserve"> </w:t>
      </w:r>
      <w:r w:rsidRPr="00537383">
        <w:t xml:space="preserve">Longer term aspirations for a gas market in Vietnam will require more substantive </w:t>
      </w:r>
      <w:r>
        <w:t xml:space="preserve">legal and regulatory changes. </w:t>
      </w:r>
      <w:r w:rsidR="004069E8">
        <w:t xml:space="preserve"> </w:t>
      </w:r>
      <w:r>
        <w:t>In this regard, w</w:t>
      </w:r>
      <w:r w:rsidR="006F57AD" w:rsidRPr="00537383">
        <w:t>e assessed that</w:t>
      </w:r>
      <w:r w:rsidR="006F57AD" w:rsidRPr="00AD3885">
        <w:t xml:space="preserve"> new law</w:t>
      </w:r>
      <w:r w:rsidR="006F57AD">
        <w:t>s</w:t>
      </w:r>
      <w:r w:rsidR="006F57AD" w:rsidRPr="00AD3885">
        <w:t xml:space="preserve"> will be required in the future</w:t>
      </w:r>
      <w:r w:rsidR="006F57AD">
        <w:t xml:space="preserve"> to addre</w:t>
      </w:r>
      <w:r>
        <w:t>s</w:t>
      </w:r>
      <w:r w:rsidR="006F57AD">
        <w:t>s</w:t>
      </w:r>
      <w:r w:rsidR="006F57AD" w:rsidRPr="00AD3885">
        <w:t xml:space="preserve">: </w:t>
      </w:r>
    </w:p>
    <w:p w14:paraId="5F09001C" w14:textId="77777777" w:rsidR="006F57AD" w:rsidRPr="00AD3885" w:rsidRDefault="006F57AD" w:rsidP="006F57AD">
      <w:pPr>
        <w:pStyle w:val="ListBullet"/>
        <w:rPr>
          <w:lang w:val="en-SG"/>
        </w:rPr>
      </w:pPr>
      <w:r w:rsidRPr="00AD3885">
        <w:t>The separation of regulatory functions and the creation of new oversight to regulate LNG terminals and the gas market</w:t>
      </w:r>
      <w:r>
        <w:t>;</w:t>
      </w:r>
    </w:p>
    <w:p w14:paraId="7756094F" w14:textId="77777777" w:rsidR="006F57AD" w:rsidRPr="00AD3885" w:rsidRDefault="006F57AD" w:rsidP="006F57AD">
      <w:pPr>
        <w:pStyle w:val="ListBullet"/>
        <w:rPr>
          <w:lang w:val="en-SG"/>
        </w:rPr>
      </w:pPr>
      <w:r w:rsidRPr="00AD3885">
        <w:t>Unbundling of market functions of market participants (separation of generation, transmission and distribution and wholesale supply)</w:t>
      </w:r>
      <w:r>
        <w:t>;</w:t>
      </w:r>
    </w:p>
    <w:p w14:paraId="3AB0256B" w14:textId="77777777" w:rsidR="006F57AD" w:rsidRPr="00AD3885" w:rsidRDefault="006F57AD" w:rsidP="006F57AD">
      <w:pPr>
        <w:pStyle w:val="ListBullet"/>
        <w:rPr>
          <w:lang w:val="en-SG"/>
        </w:rPr>
      </w:pPr>
      <w:r w:rsidRPr="00AD3885">
        <w:t xml:space="preserve">Competition in energy markets (principally </w:t>
      </w:r>
      <w:r>
        <w:t>TPA</w:t>
      </w:r>
      <w:r w:rsidRPr="00AD3885">
        <w:t>, the prevention of restrictive marketing practices and cost reflective tariffs in critical energy infrastructure)</w:t>
      </w:r>
      <w:r>
        <w:t>; and</w:t>
      </w:r>
    </w:p>
    <w:p w14:paraId="12984E52" w14:textId="77777777" w:rsidR="006F57AD" w:rsidRPr="005917EA" w:rsidRDefault="006F57AD" w:rsidP="006F57AD">
      <w:pPr>
        <w:pStyle w:val="ListBullet"/>
        <w:rPr>
          <w:lang w:val="en-SG"/>
        </w:rPr>
      </w:pPr>
      <w:r w:rsidRPr="00AD3885">
        <w:t>The establishment of new gas network codes to regulate rights and obligations between system users and as between interconnected systems. In the initial phases, these should cover congestion management, capacity allocation, balancing and gas infrastructure tariffs.</w:t>
      </w:r>
    </w:p>
    <w:p w14:paraId="2832370F" w14:textId="50C4A998" w:rsidR="001B59AC" w:rsidRPr="00115D8E" w:rsidRDefault="001B59AC" w:rsidP="001B59AC">
      <w:pPr>
        <w:pStyle w:val="Heading2"/>
        <w:numPr>
          <w:ilvl w:val="1"/>
          <w:numId w:val="2"/>
        </w:numPr>
        <w:ind w:left="0" w:hanging="706"/>
      </w:pPr>
      <w:bookmarkStart w:id="69" w:name="_Toc524653574"/>
      <w:r w:rsidRPr="00115D8E">
        <w:t>How will the pass-through mechanism be implemented and to what extent will LNG-fired power plants be inside or outside the competitive power market</w:t>
      </w:r>
      <w:r w:rsidR="00A14ED7">
        <w:t>?</w:t>
      </w:r>
      <w:bookmarkEnd w:id="69"/>
    </w:p>
    <w:p w14:paraId="1A9D6A20" w14:textId="2487518E" w:rsidR="00C14D18" w:rsidRDefault="00C14D18" w:rsidP="00C14D18">
      <w:pPr>
        <w:pStyle w:val="BodyText"/>
      </w:pPr>
      <w:r>
        <w:t xml:space="preserve">Vietnam’s LNG procurement strategy should strive to realise the benefits of gas as a flexible fuel to help achieve total system least cost as described earlier.  However, we recognise that some level of take-or-pay ToP obligations associated with long term LNG SPAs may need to be managed, as part of a diverse portfolio of supply sources.  </w:t>
      </w:r>
    </w:p>
    <w:p w14:paraId="23FD0E11" w14:textId="2D8EAFF0" w:rsidR="00C14D18" w:rsidRDefault="00C14D18" w:rsidP="00C14D18">
      <w:pPr>
        <w:pStyle w:val="BodyText"/>
      </w:pPr>
      <w:r>
        <w:lastRenderedPageBreak/>
        <w:t xml:space="preserve">We believe that LNG ToP obligations must be </w:t>
      </w:r>
      <w:r w:rsidRPr="007B674E">
        <w:t xml:space="preserve">addressed within the </w:t>
      </w:r>
      <w:r>
        <w:t>Vietnamese wholesale electricity market (VWEM), through the use of ‘must-run’ dispatch to ensure that LNG ToP volumes are consumed.  Any e</w:t>
      </w:r>
      <w:r w:rsidRPr="007B674E">
        <w:t xml:space="preserve">xcess </w:t>
      </w:r>
      <w:r>
        <w:t xml:space="preserve">generation </w:t>
      </w:r>
      <w:r w:rsidRPr="007B674E">
        <w:t xml:space="preserve">capacity above ToP </w:t>
      </w:r>
      <w:r>
        <w:t xml:space="preserve">can be bid </w:t>
      </w:r>
      <w:r w:rsidRPr="007B674E">
        <w:t xml:space="preserve">into </w:t>
      </w:r>
      <w:r>
        <w:t xml:space="preserve">the </w:t>
      </w:r>
      <w:r w:rsidRPr="007B674E">
        <w:t>VWEM</w:t>
      </w:r>
      <w:r>
        <w:t xml:space="preserve"> as a competitive offer</w:t>
      </w:r>
      <w:r w:rsidRPr="007B674E">
        <w:t>.</w:t>
      </w:r>
    </w:p>
    <w:p w14:paraId="1DDD922C" w14:textId="75AC9D5F" w:rsidR="00C14D18" w:rsidRDefault="00C14D18" w:rsidP="00C14D18">
      <w:pPr>
        <w:pStyle w:val="BodyText"/>
      </w:pPr>
      <w:r>
        <w:t>In the case of the Public</w:t>
      </w:r>
      <w:r w:rsidR="004069E8">
        <w:t>-</w:t>
      </w:r>
      <w:r>
        <w:t>Private model, the LNG value chain would be owned by EVN or PVN with foreign participation, while the gas-fired power plant would be owned by a BOT company (foreign and local ownership).  LNG ToP obligations would be satisfied by having ‘must-run’ arrangements that ensure their dispatch and recovery of costs through payments which settles against VWEM.</w:t>
      </w:r>
      <w:r w:rsidRPr="00C14D18">
        <w:t xml:space="preserve"> </w:t>
      </w:r>
      <w:r w:rsidR="004069E8">
        <w:t xml:space="preserve"> </w:t>
      </w:r>
      <w:r>
        <w:t xml:space="preserve">Under the BOT regime, contracted capacity would not be treated as a trading unit in the VWEM, thereby will have secured / guaranteed dispatch which ensures that LNG ToP obligations can be met. </w:t>
      </w:r>
      <w:r w:rsidR="004069E8">
        <w:t xml:space="preserve"> </w:t>
      </w:r>
      <w:r>
        <w:t xml:space="preserve">Excess non-contracted generation can be offered as trading plant in VWEM and dispatched and remunerated based on competitiveness of offer. </w:t>
      </w:r>
    </w:p>
    <w:p w14:paraId="0DFAC431" w14:textId="15176D33" w:rsidR="00C14D18" w:rsidRDefault="00C14D18" w:rsidP="00C14D18">
      <w:pPr>
        <w:pStyle w:val="BodyText"/>
      </w:pPr>
      <w:r>
        <w:t xml:space="preserve">The terminal capital cost and LNG hydrocarbon costs backed by the ToP portion must then recovered through tariff decree.  The fuel cost pass through structures described above is summarised in </w:t>
      </w:r>
      <w:r>
        <w:fldChar w:fldCharType="begin"/>
      </w:r>
      <w:r>
        <w:instrText xml:space="preserve"> REF _Ref521004003 \h </w:instrText>
      </w:r>
      <w:r>
        <w:fldChar w:fldCharType="separate"/>
      </w:r>
      <w:r w:rsidR="006F531A">
        <w:t xml:space="preserve">Table </w:t>
      </w:r>
      <w:r w:rsidR="006F531A">
        <w:rPr>
          <w:noProof/>
        </w:rPr>
        <w:t>7</w:t>
      </w:r>
      <w:r>
        <w:fldChar w:fldCharType="end"/>
      </w:r>
      <w:r>
        <w:t xml:space="preserve">.   </w:t>
      </w:r>
    </w:p>
    <w:p w14:paraId="684535C2" w14:textId="0BED210D" w:rsidR="00C14D18" w:rsidRPr="00265146" w:rsidRDefault="00C14D18" w:rsidP="00C14D18">
      <w:pPr>
        <w:pStyle w:val="Caption"/>
      </w:pPr>
      <w:bookmarkStart w:id="70" w:name="_Ref521004003"/>
      <w:r>
        <w:t xml:space="preserve">Table </w:t>
      </w:r>
      <w:r>
        <w:fldChar w:fldCharType="begin"/>
      </w:r>
      <w:r>
        <w:instrText xml:space="preserve"> SEQ Table \* ARABIC </w:instrText>
      </w:r>
      <w:r>
        <w:fldChar w:fldCharType="separate"/>
      </w:r>
      <w:r w:rsidR="006F531A">
        <w:rPr>
          <w:noProof/>
        </w:rPr>
        <w:t>7</w:t>
      </w:r>
      <w:r>
        <w:fldChar w:fldCharType="end"/>
      </w:r>
      <w:bookmarkEnd w:id="70"/>
      <w:r>
        <w:t xml:space="preserve"> - LNG cost pass through mechanism</w:t>
      </w:r>
    </w:p>
    <w:tbl>
      <w:tblPr>
        <w:tblStyle w:val="TableGrid"/>
        <w:tblW w:w="808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ook w:val="04A0" w:firstRow="1" w:lastRow="0" w:firstColumn="1" w:lastColumn="0" w:noHBand="0" w:noVBand="1"/>
      </w:tblPr>
      <w:tblGrid>
        <w:gridCol w:w="1665"/>
        <w:gridCol w:w="6415"/>
      </w:tblGrid>
      <w:tr w:rsidR="00C14D18" w:rsidRPr="003843BE" w14:paraId="51A0263C" w14:textId="77777777" w:rsidTr="00C14D18">
        <w:trPr>
          <w:tblHeader/>
        </w:trPr>
        <w:tc>
          <w:tcPr>
            <w:tcW w:w="1665" w:type="dxa"/>
            <w:shd w:val="clear" w:color="auto" w:fill="005581" w:themeFill="text2"/>
          </w:tcPr>
          <w:p w14:paraId="422C48E4" w14:textId="77777777" w:rsidR="00C14D18" w:rsidRPr="003843BE" w:rsidRDefault="00C14D18" w:rsidP="00BC548C">
            <w:pPr>
              <w:pStyle w:val="TableHeading"/>
              <w:rPr>
                <w:rFonts w:ascii="Arial" w:hAnsi="Arial" w:cs="Arial"/>
                <w:sz w:val="18"/>
                <w:szCs w:val="18"/>
              </w:rPr>
            </w:pPr>
            <w:r>
              <w:rPr>
                <w:rFonts w:ascii="Arial" w:hAnsi="Arial" w:cs="Arial"/>
                <w:sz w:val="18"/>
                <w:szCs w:val="18"/>
              </w:rPr>
              <w:t xml:space="preserve">Business model </w:t>
            </w:r>
          </w:p>
        </w:tc>
        <w:tc>
          <w:tcPr>
            <w:tcW w:w="6415" w:type="dxa"/>
            <w:shd w:val="clear" w:color="auto" w:fill="005581" w:themeFill="text2"/>
          </w:tcPr>
          <w:p w14:paraId="37F51E82" w14:textId="77777777" w:rsidR="00C14D18" w:rsidRPr="003843BE" w:rsidRDefault="00C14D18" w:rsidP="00BC548C">
            <w:pPr>
              <w:pStyle w:val="TableHeading"/>
              <w:rPr>
                <w:rFonts w:ascii="Arial" w:hAnsi="Arial" w:cs="Arial"/>
                <w:bCs/>
                <w:sz w:val="18"/>
                <w:szCs w:val="18"/>
                <w:lang w:val="en-HK"/>
              </w:rPr>
            </w:pPr>
            <w:r>
              <w:rPr>
                <w:rFonts w:ascii="Arial" w:hAnsi="Arial" w:cs="Arial"/>
                <w:bCs/>
                <w:sz w:val="18"/>
                <w:szCs w:val="18"/>
                <w:lang w:val="en-HK"/>
              </w:rPr>
              <w:t>Pass through mechanism</w:t>
            </w:r>
          </w:p>
        </w:tc>
      </w:tr>
      <w:tr w:rsidR="00C14D18" w:rsidRPr="003843BE" w14:paraId="495A914E" w14:textId="77777777" w:rsidTr="00C14D18">
        <w:tc>
          <w:tcPr>
            <w:tcW w:w="1665" w:type="dxa"/>
            <w:shd w:val="clear" w:color="auto" w:fill="F2F2F2" w:themeFill="background1" w:themeFillShade="F2"/>
          </w:tcPr>
          <w:p w14:paraId="719477C1" w14:textId="7FEBA567" w:rsidR="00C14D18" w:rsidRPr="003843BE" w:rsidRDefault="00C14D18" w:rsidP="00BC548C">
            <w:pPr>
              <w:pStyle w:val="NormalWeb"/>
              <w:spacing w:before="0" w:beforeAutospacing="0" w:after="0" w:afterAutospacing="0" w:line="360" w:lineRule="auto"/>
              <w:rPr>
                <w:rFonts w:ascii="Arial" w:hAnsi="Arial" w:cs="Arial"/>
                <w:b/>
                <w:sz w:val="16"/>
                <w:szCs w:val="16"/>
              </w:rPr>
            </w:pPr>
            <w:r w:rsidRPr="003843BE">
              <w:rPr>
                <w:rFonts w:ascii="Arial" w:hAnsi="Arial" w:cs="Arial"/>
                <w:b/>
                <w:bCs/>
                <w:kern w:val="24"/>
                <w:sz w:val="16"/>
                <w:szCs w:val="16"/>
              </w:rPr>
              <w:t xml:space="preserve">Public private </w:t>
            </w:r>
            <w:r>
              <w:rPr>
                <w:rFonts w:ascii="Arial" w:hAnsi="Arial" w:cs="Arial"/>
                <w:b/>
                <w:bCs/>
                <w:kern w:val="24"/>
                <w:sz w:val="16"/>
                <w:szCs w:val="16"/>
              </w:rPr>
              <w:t xml:space="preserve">tolling </w:t>
            </w:r>
            <w:r w:rsidRPr="003843BE">
              <w:rPr>
                <w:rFonts w:ascii="Arial" w:hAnsi="Arial" w:cs="Arial"/>
                <w:b/>
                <w:bCs/>
                <w:kern w:val="24"/>
                <w:sz w:val="16"/>
                <w:szCs w:val="16"/>
              </w:rPr>
              <w:t>model</w:t>
            </w:r>
          </w:p>
          <w:p w14:paraId="67C308F5" w14:textId="77777777" w:rsidR="00C14D18" w:rsidRPr="003843BE" w:rsidRDefault="00C14D18" w:rsidP="00BC548C">
            <w:pPr>
              <w:pStyle w:val="TableHeading"/>
              <w:spacing w:before="0" w:line="360" w:lineRule="auto"/>
              <w:rPr>
                <w:rFonts w:ascii="Arial" w:hAnsi="Arial" w:cs="Arial"/>
                <w:b w:val="0"/>
                <w:color w:val="auto"/>
                <w:szCs w:val="16"/>
              </w:rPr>
            </w:pPr>
            <w:r w:rsidRPr="006830B0">
              <w:rPr>
                <w:rFonts w:ascii="Arial" w:hAnsi="Arial" w:cs="Arial"/>
                <w:b w:val="0"/>
                <w:color w:val="auto"/>
                <w:szCs w:val="16"/>
              </w:rPr>
              <w:t xml:space="preserve"> </w:t>
            </w:r>
          </w:p>
        </w:tc>
        <w:tc>
          <w:tcPr>
            <w:tcW w:w="6415" w:type="dxa"/>
            <w:shd w:val="clear" w:color="auto" w:fill="F2F2F2" w:themeFill="background1" w:themeFillShade="F2"/>
          </w:tcPr>
          <w:p w14:paraId="403B989D" w14:textId="77777777" w:rsidR="00C14D18" w:rsidRPr="003843BE" w:rsidRDefault="00C14D18" w:rsidP="00BC548C">
            <w:pPr>
              <w:pStyle w:val="TableText"/>
            </w:pPr>
            <w:r w:rsidRPr="006830B0">
              <w:rPr>
                <w:noProof/>
              </w:rPr>
              <w:drawing>
                <wp:inline distT="0" distB="0" distL="0" distR="0" wp14:anchorId="3FE5937F" wp14:editId="6558454D">
                  <wp:extent cx="3936899" cy="1828800"/>
                  <wp:effectExtent l="0" t="0" r="0" b="0"/>
                  <wp:docPr id="34" name="Picture 8">
                    <a:extLst xmlns:a="http://schemas.openxmlformats.org/drawingml/2006/main">
                      <a:ext uri="{FF2B5EF4-FFF2-40B4-BE49-F238E27FC236}">
                        <a16:creationId xmlns:a16="http://schemas.microsoft.com/office/drawing/2014/main" id="{9424E29C-4B29-4682-ACDE-7C336E96A4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9424E29C-4B29-4682-ACDE-7C336E96A4E4}"/>
                              </a:ext>
                            </a:extLst>
                          </pic:cNvPr>
                          <pic:cNvPicPr>
                            <a:picLocks noChangeAspect="1"/>
                          </pic:cNvPicPr>
                        </pic:nvPicPr>
                        <pic:blipFill>
                          <a:blip r:embed="rId34"/>
                          <a:stretch>
                            <a:fillRect/>
                          </a:stretch>
                        </pic:blipFill>
                        <pic:spPr>
                          <a:xfrm>
                            <a:off x="0" y="0"/>
                            <a:ext cx="3982400" cy="1849937"/>
                          </a:xfrm>
                          <a:prstGeom prst="rect">
                            <a:avLst/>
                          </a:prstGeom>
                        </pic:spPr>
                      </pic:pic>
                    </a:graphicData>
                  </a:graphic>
                </wp:inline>
              </w:drawing>
            </w:r>
          </w:p>
        </w:tc>
      </w:tr>
    </w:tbl>
    <w:p w14:paraId="061C3396" w14:textId="77777777" w:rsidR="00C14D18" w:rsidRDefault="00C14D18" w:rsidP="004069E8">
      <w:pPr>
        <w:pStyle w:val="BodyText"/>
      </w:pPr>
    </w:p>
    <w:p w14:paraId="5A3EA218" w14:textId="77777777" w:rsidR="00C14D18" w:rsidRDefault="00C14D18">
      <w:pPr>
        <w:rPr>
          <w:rFonts w:ascii="Arial Bold" w:hAnsi="Arial Bold"/>
          <w:b/>
          <w:smallCaps/>
          <w:color w:val="005581"/>
          <w:sz w:val="24"/>
          <w:szCs w:val="24"/>
        </w:rPr>
      </w:pPr>
      <w:r>
        <w:br w:type="page"/>
      </w:r>
    </w:p>
    <w:p w14:paraId="56F0AAD9" w14:textId="02F3B3A0" w:rsidR="001B59AC" w:rsidRPr="00115D8E" w:rsidRDefault="001B59AC" w:rsidP="001B59AC">
      <w:pPr>
        <w:pStyle w:val="Heading2"/>
        <w:numPr>
          <w:ilvl w:val="1"/>
          <w:numId w:val="2"/>
        </w:numPr>
        <w:ind w:left="0" w:hanging="706"/>
      </w:pPr>
      <w:bookmarkStart w:id="71" w:name="_Toc524653575"/>
      <w:r w:rsidRPr="00115D8E">
        <w:lastRenderedPageBreak/>
        <w:t>Other key questions identified by TL</w:t>
      </w:r>
      <w:r>
        <w:t>G</w:t>
      </w:r>
      <w:r w:rsidRPr="00115D8E">
        <w:t>/WFW</w:t>
      </w:r>
      <w:bookmarkEnd w:id="71"/>
    </w:p>
    <w:p w14:paraId="15C9D66A" w14:textId="508383CB" w:rsidR="001C02C0" w:rsidRDefault="00C14D18" w:rsidP="001B59AC">
      <w:r>
        <w:t xml:space="preserve">Finally, we would like to emphasize again that </w:t>
      </w:r>
      <w:r w:rsidR="001C02C0">
        <w:t>k</w:t>
      </w:r>
      <w:r w:rsidRPr="00AD3885">
        <w:t>ey learnings from new and emerging LNG markets suggest that in order to ensure successful LNG importation, Vietnam must maximize the extent of its ability to utilise private investment, utilise existing structures, control LNG procurement flexibly and enable wholesale access to LNG.</w:t>
      </w:r>
      <w:r>
        <w:t xml:space="preserve"> </w:t>
      </w:r>
      <w:r w:rsidR="004069E8">
        <w:t xml:space="preserve"> </w:t>
      </w:r>
      <w:r w:rsidRPr="00AD3885">
        <w:t xml:space="preserve">LNG </w:t>
      </w:r>
      <w:r>
        <w:t xml:space="preserve">must </w:t>
      </w:r>
      <w:r w:rsidRPr="00AD3885">
        <w:t xml:space="preserve">fulfil </w:t>
      </w:r>
      <w:r>
        <w:t>its</w:t>
      </w:r>
      <w:r w:rsidRPr="00AD3885">
        <w:t xml:space="preserve"> role as the most economic and flexible fuel complementary with domestic indigenous gas supplies and renewable resources.</w:t>
      </w:r>
      <w:r>
        <w:t xml:space="preserve"> In this context, the important</w:t>
      </w:r>
      <w:r w:rsidRPr="00AD3885">
        <w:t xml:space="preserve"> learnings from new LNG markets relevant to Vietnam which are worth considering </w:t>
      </w:r>
      <w:r>
        <w:t>are</w:t>
      </w:r>
      <w:r w:rsidRPr="00AD3885">
        <w:t xml:space="preserve"> </w:t>
      </w:r>
    </w:p>
    <w:p w14:paraId="084FD609" w14:textId="6F674561" w:rsidR="001C02C0" w:rsidRPr="001C02C0" w:rsidRDefault="004069E8" w:rsidP="001C02C0">
      <w:pPr>
        <w:pStyle w:val="ListBullet"/>
      </w:pPr>
      <w:r>
        <w:t>T</w:t>
      </w:r>
      <w:r w:rsidR="00C14D18" w:rsidRPr="001C02C0">
        <w:t>he advantage of the aggregator model from Bangladesh / Pakistan / Malaysia / Thailand and Singapore</w:t>
      </w:r>
      <w:r w:rsidR="008E5E16">
        <w:t xml:space="preserve"> in securing LNG flows</w:t>
      </w:r>
      <w:r w:rsidR="001C02C0" w:rsidRPr="001C02C0">
        <w:t>;</w:t>
      </w:r>
    </w:p>
    <w:p w14:paraId="4077DE92" w14:textId="4DCD350F" w:rsidR="001C02C0" w:rsidRDefault="004069E8" w:rsidP="001C02C0">
      <w:pPr>
        <w:pStyle w:val="ListBullet"/>
      </w:pPr>
      <w:r>
        <w:t>T</w:t>
      </w:r>
      <w:r w:rsidR="00C14D18" w:rsidRPr="001C02C0">
        <w:t>he role played by state-owned national champions</w:t>
      </w:r>
      <w:bookmarkEnd w:id="2"/>
      <w:bookmarkEnd w:id="3"/>
      <w:bookmarkEnd w:id="4"/>
      <w:r w:rsidR="001C02C0" w:rsidRPr="001C02C0">
        <w:t>;</w:t>
      </w:r>
      <w:r w:rsidR="001C02C0">
        <w:t xml:space="preserve"> and</w:t>
      </w:r>
    </w:p>
    <w:p w14:paraId="24742D2F" w14:textId="728AF2BB" w:rsidR="001C02C0" w:rsidRDefault="004069E8" w:rsidP="001C02C0">
      <w:pPr>
        <w:pStyle w:val="ListBullet"/>
      </w:pPr>
      <w:r>
        <w:t>T</w:t>
      </w:r>
      <w:r w:rsidR="001C02C0">
        <w:t>he benefits of a flexible LNG solution</w:t>
      </w:r>
      <w:r>
        <w:t>.</w:t>
      </w:r>
    </w:p>
    <w:p w14:paraId="6795DB6B" w14:textId="1CA065F5" w:rsidR="001C02C0" w:rsidRDefault="001C02C0" w:rsidP="001C02C0">
      <w:pPr>
        <w:pStyle w:val="BodyText"/>
      </w:pPr>
      <w:r>
        <w:t xml:space="preserve">Whilst MOIT is focused on setting the long-term vision, it is must address near-term action items required to realise the development of LNG-to-power infrastructure in a timely fashion. </w:t>
      </w:r>
      <w:r w:rsidR="004069E8">
        <w:t xml:space="preserve"> </w:t>
      </w:r>
      <w:r>
        <w:t xml:space="preserve">As demonstrated in </w:t>
      </w:r>
      <w:r>
        <w:fldChar w:fldCharType="begin"/>
      </w:r>
      <w:r>
        <w:instrText xml:space="preserve"> REF _Ref521104925 \h </w:instrText>
      </w:r>
      <w:r>
        <w:fldChar w:fldCharType="separate"/>
      </w:r>
      <w:r w:rsidR="006F531A">
        <w:t xml:space="preserve">Figure </w:t>
      </w:r>
      <w:r w:rsidR="006F531A">
        <w:rPr>
          <w:noProof/>
        </w:rPr>
        <w:t>19</w:t>
      </w:r>
      <w:r>
        <w:fldChar w:fldCharType="end"/>
      </w:r>
      <w:r>
        <w:t xml:space="preserve">, there is an urgency to enact the regulatory, legal and commercial undertakings for LNG imports (if Vietnam is to meet the timeline it had committed for its maiden LNG projects). </w:t>
      </w:r>
    </w:p>
    <w:p w14:paraId="7B0F7514" w14:textId="18D76748" w:rsidR="001C02C0" w:rsidRDefault="001C02C0" w:rsidP="001C02C0">
      <w:pPr>
        <w:pStyle w:val="Caption"/>
      </w:pPr>
      <w:bookmarkStart w:id="72" w:name="_Ref521104925"/>
      <w:r>
        <w:t xml:space="preserve">Figure </w:t>
      </w:r>
      <w:r>
        <w:fldChar w:fldCharType="begin"/>
      </w:r>
      <w:r>
        <w:instrText xml:space="preserve"> SEQ Figure \* ARABIC </w:instrText>
      </w:r>
      <w:r>
        <w:fldChar w:fldCharType="separate"/>
      </w:r>
      <w:r w:rsidR="006F531A">
        <w:rPr>
          <w:noProof/>
        </w:rPr>
        <w:t>19</w:t>
      </w:r>
      <w:r>
        <w:fldChar w:fldCharType="end"/>
      </w:r>
      <w:bookmarkEnd w:id="72"/>
      <w:r>
        <w:t xml:space="preserve"> - LNG-to-power development milestones</w:t>
      </w:r>
    </w:p>
    <w:p w14:paraId="1B0B7EF9" w14:textId="77777777" w:rsidR="001C02C0" w:rsidRDefault="001C02C0" w:rsidP="001C02C0">
      <w:pPr>
        <w:pStyle w:val="BodyText"/>
      </w:pPr>
      <w:r w:rsidRPr="002D3E6B">
        <w:rPr>
          <w:noProof/>
        </w:rPr>
        <w:drawing>
          <wp:inline distT="0" distB="0" distL="0" distR="0" wp14:anchorId="317353C8" wp14:editId="3061FCF2">
            <wp:extent cx="4743450" cy="2477334"/>
            <wp:effectExtent l="0" t="0" r="0" b="0"/>
            <wp:docPr id="22" name="Picture 5">
              <a:extLst xmlns:a="http://schemas.openxmlformats.org/drawingml/2006/main">
                <a:ext uri="{FF2B5EF4-FFF2-40B4-BE49-F238E27FC236}">
                  <a16:creationId xmlns:a16="http://schemas.microsoft.com/office/drawing/2014/main" id="{4D959DE8-6574-4482-8C67-3CA9D7FB5B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D959DE8-6574-4482-8C67-3CA9D7FB5B9C}"/>
                        </a:ext>
                      </a:extLst>
                    </pic:cNvPr>
                    <pic:cNvPicPr>
                      <a:picLocks noChangeAspect="1"/>
                    </pic:cNvPicPr>
                  </pic:nvPicPr>
                  <pic:blipFill>
                    <a:blip r:embed="rId35"/>
                    <a:stretch>
                      <a:fillRect/>
                    </a:stretch>
                  </pic:blipFill>
                  <pic:spPr>
                    <a:xfrm>
                      <a:off x="0" y="0"/>
                      <a:ext cx="4748367" cy="2479902"/>
                    </a:xfrm>
                    <a:prstGeom prst="rect">
                      <a:avLst/>
                    </a:prstGeom>
                  </pic:spPr>
                </pic:pic>
              </a:graphicData>
            </a:graphic>
          </wp:inline>
        </w:drawing>
      </w:r>
    </w:p>
    <w:p w14:paraId="2312CFEE" w14:textId="77777777" w:rsidR="001C02C0" w:rsidRDefault="001C02C0" w:rsidP="001C02C0">
      <w:pPr>
        <w:pStyle w:val="BodyText"/>
      </w:pPr>
      <w:r>
        <w:t xml:space="preserve">In light of the above, </w:t>
      </w:r>
      <w:r w:rsidRPr="00D54C99">
        <w:t xml:space="preserve">TLG </w:t>
      </w:r>
      <w:r>
        <w:t>suggest</w:t>
      </w:r>
      <w:r w:rsidRPr="00D54C99">
        <w:t xml:space="preserve"> the following LNG development </w:t>
      </w:r>
      <w:r>
        <w:t>plan</w:t>
      </w:r>
      <w:r w:rsidRPr="00D54C99">
        <w:t xml:space="preserve"> on the basis of achieving swift and practical introduction of the maiden LNG project by 202</w:t>
      </w:r>
      <w:r>
        <w:t xml:space="preserve">2/23. </w:t>
      </w:r>
    </w:p>
    <w:p w14:paraId="23BF9D27" w14:textId="77777777" w:rsidR="001C02C0" w:rsidRDefault="001C02C0" w:rsidP="001C02C0">
      <w:pPr>
        <w:pStyle w:val="BodyText"/>
      </w:pPr>
      <w:r w:rsidRPr="00CF6AF6">
        <w:rPr>
          <w:noProof/>
        </w:rPr>
        <w:lastRenderedPageBreak/>
        <w:drawing>
          <wp:inline distT="0" distB="0" distL="0" distR="0" wp14:anchorId="3A31945D" wp14:editId="1B1577B6">
            <wp:extent cx="5641561" cy="1587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43807" cy="1588132"/>
                    </a:xfrm>
                    <a:prstGeom prst="rect">
                      <a:avLst/>
                    </a:prstGeom>
                    <a:noFill/>
                    <a:ln>
                      <a:noFill/>
                    </a:ln>
                  </pic:spPr>
                </pic:pic>
              </a:graphicData>
            </a:graphic>
          </wp:inline>
        </w:drawing>
      </w:r>
    </w:p>
    <w:p w14:paraId="08FCA3C8" w14:textId="78839F51" w:rsidR="001C02C0" w:rsidRDefault="001C02C0" w:rsidP="001C02C0">
      <w:pPr>
        <w:pStyle w:val="BodyText"/>
      </w:pPr>
      <w:r>
        <w:t xml:space="preserve">The first phase, over the next twelve (12) months, will require the formalization of policies and regulations.  This entails enforcing legal and regulatory mechanisms for LNG imports, identifying gaps for projects to achieve appropriate levels of GGUs, and where such gaps are not immediately surmountable, Government must consider empowering and leveraging its SOE to develop LNG projects by setting up necessary regulatory support structures using existing mechanisms, tools and laws.  This will be important for </w:t>
      </w:r>
      <w:r w:rsidRPr="00400731">
        <w:t>Vietnam to deliver its maiden LNG project</w:t>
      </w:r>
      <w:r>
        <w:t>s</w:t>
      </w:r>
      <w:r w:rsidRPr="00400731">
        <w:t xml:space="preserve"> in a timely </w:t>
      </w:r>
      <w:r>
        <w:t>fashion</w:t>
      </w:r>
      <w:r w:rsidRPr="00400731">
        <w:t>, and to allow Vietnam to take advantage of the benefits of an oversupplied LNG market which, in the short term, presents favourable contracting and pricing terms.</w:t>
      </w:r>
      <w:r>
        <w:t xml:space="preserve"> </w:t>
      </w:r>
    </w:p>
    <w:p w14:paraId="5F23F57D" w14:textId="42CEB7D5" w:rsidR="001C02C0" w:rsidRPr="00D54C99" w:rsidRDefault="001C02C0" w:rsidP="001C02C0">
      <w:pPr>
        <w:pStyle w:val="BodyText"/>
      </w:pPr>
      <w:r>
        <w:t xml:space="preserve">The second phase, from around 2019 to 2025, would involve ramping up project implementation and delivery of LNG import infrastructures.  MOIT would need to establish terms and criteria for the LNG business model structures, and define the procurement and approval processes which support foreign participation. </w:t>
      </w:r>
      <w:r w:rsidR="004069E8">
        <w:t xml:space="preserve"> </w:t>
      </w:r>
      <w:r>
        <w:t xml:space="preserve">A key focus is to address the </w:t>
      </w:r>
      <w:r w:rsidRPr="00D54C99">
        <w:t>important pre-requisite</w:t>
      </w:r>
      <w:r>
        <w:t>s</w:t>
      </w:r>
      <w:r w:rsidRPr="00D54C99">
        <w:t xml:space="preserve"> </w:t>
      </w:r>
      <w:r>
        <w:t xml:space="preserve">needed </w:t>
      </w:r>
      <w:r w:rsidRPr="00D54C99">
        <w:t>for successful adoption of a best practice Public</w:t>
      </w:r>
      <w:r w:rsidR="004069E8">
        <w:t>-</w:t>
      </w:r>
      <w:r w:rsidRPr="00D54C99">
        <w:t xml:space="preserve">Private model </w:t>
      </w:r>
      <w:r>
        <w:t>in the long term</w:t>
      </w:r>
      <w:r w:rsidRPr="00D54C99">
        <w:t xml:space="preserve"> </w:t>
      </w:r>
      <w:r>
        <w:t xml:space="preserve">to </w:t>
      </w:r>
      <w:r w:rsidRPr="00D54C99">
        <w:t xml:space="preserve">deliver the best outcome with regards to costs, flexibility, risk management, and procurement aggregation advantages to Vietnam. </w:t>
      </w:r>
    </w:p>
    <w:p w14:paraId="018DA158" w14:textId="77777777" w:rsidR="001C02C0" w:rsidRDefault="001C02C0" w:rsidP="001C02C0">
      <w:r>
        <w:t xml:space="preserve">As the LNG industry in Vietnam transitions from its nascent stage from around 2026 onwards, MOIT could look to promote sustainable gas use, by enabling least cost outcomes through economic efficiency and competition.  </w:t>
      </w:r>
    </w:p>
    <w:p w14:paraId="0BCA3668" w14:textId="77777777" w:rsidR="001C02C0" w:rsidRPr="001C02C0" w:rsidRDefault="001C02C0" w:rsidP="001C02C0">
      <w:pPr>
        <w:pStyle w:val="ListBullet"/>
        <w:numPr>
          <w:ilvl w:val="0"/>
          <w:numId w:val="0"/>
        </w:numPr>
        <w:ind w:left="426" w:hanging="426"/>
      </w:pPr>
    </w:p>
    <w:sectPr w:rsidR="001C02C0" w:rsidRPr="001C02C0" w:rsidSect="00A36AEC">
      <w:headerReference w:type="default" r:id="rId37"/>
      <w:footerReference w:type="default" r:id="rId38"/>
      <w:headerReference w:type="first" r:id="rId39"/>
      <w:pgSz w:w="11907" w:h="16840" w:code="9"/>
      <w:pgMar w:top="1440" w:right="1440" w:bottom="1440" w:left="1440" w:header="578" w:footer="403" w:gutter="1077"/>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63B0B0" w14:textId="77777777" w:rsidR="001E33B3" w:rsidRDefault="001E33B3">
      <w:r>
        <w:separator/>
      </w:r>
    </w:p>
  </w:endnote>
  <w:endnote w:type="continuationSeparator" w:id="0">
    <w:p w14:paraId="52A2E528" w14:textId="77777777" w:rsidR="001E33B3" w:rsidRDefault="001E33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Times New Roman"/>
    <w:panose1 w:val="020B0704020202020204"/>
    <w:charset w:val="00"/>
    <w:family w:val="auto"/>
    <w:pitch w:val="variable"/>
    <w:sig w:usb0="E0002AFF" w:usb1="C0007843"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C5AA5" w14:textId="77777777" w:rsidR="00B16DAD" w:rsidRDefault="00B16DAD">
    <w:pPr>
      <w:pStyle w:val="Footer"/>
      <w:framePr w:wrap="around" w:vAnchor="text" w:hAnchor="margin" w:xAlign="right" w:y="1"/>
    </w:pPr>
    <w:r>
      <w:fldChar w:fldCharType="begin"/>
    </w:r>
    <w:r>
      <w:instrText xml:space="preserve">PAGE  </w:instrText>
    </w:r>
    <w:r>
      <w:fldChar w:fldCharType="separate"/>
    </w:r>
    <w:r>
      <w:t>3</w:t>
    </w:r>
    <w:r>
      <w:fldChar w:fldCharType="end"/>
    </w:r>
  </w:p>
  <w:p w14:paraId="700E34FE" w14:textId="77777777" w:rsidR="00B16DAD" w:rsidRDefault="00B16DA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9578C" w14:textId="77777777" w:rsidR="00B16DAD" w:rsidRDefault="00B16DAD">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226D0" w14:textId="77777777" w:rsidR="00B16DAD" w:rsidRDefault="00B16DAD">
    <w:pPr>
      <w:pStyle w:val="Footer"/>
      <w:pBdr>
        <w:top w:val="none" w:sz="0" w:space="0" w:color="auto"/>
      </w:pBdr>
      <w:tabs>
        <w:tab w:val="center" w:pos="4320"/>
        <w:tab w:val="right" w:pos="8190"/>
      </w:tabs>
      <w:ind w:left="1134" w:right="-764"/>
      <w:jc w:val="center"/>
      <w:rPr>
        <w:b/>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68298" w14:textId="03351A65" w:rsidR="00B16DAD" w:rsidRDefault="00B16DAD">
    <w:pPr>
      <w:pStyle w:val="Footer"/>
      <w:tabs>
        <w:tab w:val="right" w:pos="7938"/>
      </w:tabs>
      <w:ind w:left="-709"/>
    </w:pPr>
    <w:fldSimple w:instr=" DOCPROPERTY &quot;Status&quot;  \* MERGEFORMAT ">
      <w:r>
        <w:t>Final Draft</w:t>
      </w:r>
    </w:fldSimple>
    <w:r>
      <w:tab/>
    </w:r>
    <w:r>
      <w:rPr>
        <w:sz w:val="14"/>
        <w:szCs w:val="14"/>
      </w:rPr>
      <w:t xml:space="preserve"> </w:t>
    </w:r>
    <w:r>
      <w:tab/>
      <w:t xml:space="preserve">Page </w:t>
    </w:r>
    <w:r>
      <w:fldChar w:fldCharType="begin"/>
    </w:r>
    <w:r>
      <w:instrText xml:space="preserve"> PAGE </w:instrText>
    </w:r>
    <w:r>
      <w:fldChar w:fldCharType="separate"/>
    </w:r>
    <w:r>
      <w:rPr>
        <w:noProof/>
      </w:rPr>
      <w:t>iv</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CDB9E" w14:textId="0223DAD4" w:rsidR="00B16DAD" w:rsidRDefault="00B16DAD">
    <w:pPr>
      <w:pStyle w:val="Footer"/>
      <w:pBdr>
        <w:top w:val="single" w:sz="6" w:space="1" w:color="568A9E"/>
      </w:pBdr>
    </w:pPr>
    <w:r>
      <w:tab/>
    </w:r>
    <w:fldSimple w:instr=" DOCPROPERTY &quot;Status&quot;  \* MERGEFORMAT ">
      <w:r>
        <w:t>Final Draft</w:t>
      </w:r>
    </w:fldSimple>
    <w:r>
      <w:tab/>
      <w:t xml:space="preserve">Page </w:t>
    </w:r>
    <w:r>
      <w:fldChar w:fldCharType="begin"/>
    </w:r>
    <w:r>
      <w:instrText xml:space="preserve"> PAGE </w:instrText>
    </w:r>
    <w:r>
      <w:fldChar w:fldCharType="separate"/>
    </w:r>
    <w:r>
      <w:t>i</w:t>
    </w:r>
    <w:r>
      <w:fldChar w:fldCharType="end"/>
    </w:r>
  </w:p>
  <w:p w14:paraId="64A22D8A" w14:textId="77777777" w:rsidR="00B16DAD" w:rsidRDefault="00B16DAD">
    <w:pPr>
      <w:pStyle w:val="Footer"/>
      <w:pBdr>
        <w:top w:val="none" w:sz="0" w:space="0" w:color="auto"/>
      </w:pBd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E63EA" w14:textId="106001CA" w:rsidR="00B16DAD" w:rsidRDefault="00B16DAD">
    <w:pPr>
      <w:pStyle w:val="Footer"/>
      <w:tabs>
        <w:tab w:val="right" w:pos="7938"/>
      </w:tabs>
      <w:ind w:left="-709"/>
    </w:pPr>
    <w:fldSimple w:instr=" DOCPROPERTY &quot;Status&quot;  \* MERGEFORMAT ">
      <w:r>
        <w:t>Final Draft</w:t>
      </w:r>
    </w:fldSimple>
    <w:r>
      <w:tab/>
    </w:r>
    <w:r>
      <w:rPr>
        <w:sz w:val="14"/>
        <w:szCs w:val="14"/>
      </w:rPr>
      <w:t xml:space="preserve"> </w:t>
    </w:r>
    <w:r>
      <w:tab/>
      <w:t xml:space="preserve">Page </w:t>
    </w:r>
    <w:r>
      <w:fldChar w:fldCharType="begin"/>
    </w:r>
    <w:r>
      <w:instrText xml:space="preserve"> PAGE </w:instrText>
    </w:r>
    <w:r>
      <w:fldChar w:fldCharType="separate"/>
    </w:r>
    <w:r>
      <w:rPr>
        <w:noProof/>
      </w:rPr>
      <w:t>7</w:t>
    </w:r>
    <w:r>
      <w:fldChar w:fldCharType="end"/>
    </w:r>
  </w:p>
  <w:p w14:paraId="55DBD050" w14:textId="77777777" w:rsidR="00B16DAD" w:rsidRDefault="00B16DA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F58A3C" w14:textId="77777777" w:rsidR="001E33B3" w:rsidRDefault="001E33B3">
      <w:r>
        <w:separator/>
      </w:r>
    </w:p>
  </w:footnote>
  <w:footnote w:type="continuationSeparator" w:id="0">
    <w:p w14:paraId="484BDD37" w14:textId="77777777" w:rsidR="001E33B3" w:rsidRDefault="001E33B3">
      <w:r>
        <w:continuationSeparator/>
      </w:r>
    </w:p>
  </w:footnote>
  <w:footnote w:id="1">
    <w:p w14:paraId="39B8AC93" w14:textId="77777777" w:rsidR="00B16DAD" w:rsidRPr="005816F8" w:rsidRDefault="00B16DAD" w:rsidP="001B59AC">
      <w:pPr>
        <w:pStyle w:val="FootnoteText"/>
      </w:pPr>
      <w:r w:rsidRPr="008D7E0B">
        <w:footnoteRef/>
      </w:r>
      <w:r>
        <w:t xml:space="preserve"> </w:t>
      </w:r>
      <w:r>
        <w:tab/>
      </w:r>
      <w:r w:rsidRPr="006B6482">
        <w:t xml:space="preserve">Intended Nationally Determined Contributions </w:t>
      </w:r>
      <w:r>
        <w:t>of Vietnam</w:t>
      </w:r>
    </w:p>
  </w:footnote>
  <w:footnote w:id="2">
    <w:p w14:paraId="421BE871" w14:textId="14E7A50E" w:rsidR="00B16DAD" w:rsidRPr="008D7E0B" w:rsidRDefault="00B16DAD">
      <w:pPr>
        <w:pStyle w:val="FootnoteText"/>
      </w:pPr>
      <w:r w:rsidRPr="008D7E0B">
        <w:footnoteRef/>
      </w:r>
      <w:r>
        <w:t xml:space="preserve"> </w:t>
      </w:r>
      <w:r>
        <w:tab/>
        <w:t>For example, Philippines – Competitive Selection Process; Singapore – Vesting LNG; Malaysia – New Enhance Dispatch Arrangement (NEDA) / Gas Framework Agreement.</w:t>
      </w:r>
    </w:p>
  </w:footnote>
  <w:footnote w:id="3">
    <w:p w14:paraId="20D94BD4" w14:textId="77777777" w:rsidR="00B16DAD" w:rsidRPr="00265146" w:rsidRDefault="00B16DAD" w:rsidP="00B20DF7">
      <w:pPr>
        <w:pStyle w:val="FootnoteText"/>
        <w:rPr>
          <w:lang w:val="en-SG"/>
        </w:rPr>
      </w:pPr>
      <w:r>
        <w:rPr>
          <w:rStyle w:val="FootnoteReference"/>
        </w:rPr>
        <w:footnoteRef/>
      </w:r>
      <w:r>
        <w:t xml:space="preserve"> </w:t>
      </w:r>
      <w:r>
        <w:tab/>
      </w:r>
      <w:r w:rsidRPr="00F2072D">
        <w:t xml:space="preserve">Vietnam’s power demand has grown by </w:t>
      </w:r>
      <w:r>
        <w:t>a compounded annual growth rate of 12%</w:t>
      </w:r>
      <w:r w:rsidRPr="00F2072D">
        <w:t xml:space="preserve">, increasing from ~ </w:t>
      </w:r>
      <w:r>
        <w:t xml:space="preserve">35 </w:t>
      </w:r>
      <w:r w:rsidRPr="00F2072D">
        <w:t>TWh in 200</w:t>
      </w:r>
      <w:r>
        <w:t>3</w:t>
      </w:r>
      <w:r w:rsidRPr="00F2072D">
        <w:t xml:space="preserve"> to ~1</w:t>
      </w:r>
      <w:r>
        <w:t>74</w:t>
      </w:r>
      <w:r w:rsidRPr="00F2072D">
        <w:t xml:space="preserve"> TWh in 201</w:t>
      </w:r>
      <w:r>
        <w:t>7</w:t>
      </w:r>
      <w:r w:rsidRPr="00F2072D">
        <w:t>. TLG projects this growth to be sustained at an average rate of 8.0% per annum in the period between 2021 and 2030</w:t>
      </w:r>
    </w:p>
  </w:footnote>
  <w:footnote w:id="4">
    <w:p w14:paraId="1D854ED7" w14:textId="77777777" w:rsidR="00B16DAD" w:rsidRPr="00265146" w:rsidRDefault="00B16DAD" w:rsidP="001B59AC">
      <w:pPr>
        <w:pStyle w:val="FootnoteText"/>
        <w:rPr>
          <w:lang w:val="en-SG"/>
        </w:rPr>
      </w:pPr>
      <w:r>
        <w:rPr>
          <w:rStyle w:val="FootnoteReference"/>
        </w:rPr>
        <w:footnoteRef/>
      </w:r>
      <w:r>
        <w:t xml:space="preserve"> </w:t>
      </w:r>
      <w:r>
        <w:tab/>
      </w:r>
      <w:r w:rsidRPr="00AF6BED">
        <w:t>TLG base case analysis shows up to 2.7bcf/d of gas is needed for power sector by 2030, which is about 20% higher than total projected indigenous domestic gas supply production.</w:t>
      </w:r>
    </w:p>
  </w:footnote>
  <w:footnote w:id="5">
    <w:p w14:paraId="1E2E57C3" w14:textId="77777777" w:rsidR="00B16DAD" w:rsidRPr="00A856F2" w:rsidRDefault="00B16DAD" w:rsidP="001B59AC">
      <w:pPr>
        <w:pStyle w:val="FootnoteText"/>
      </w:pPr>
      <w:r>
        <w:rPr>
          <w:rStyle w:val="FootnoteReference"/>
        </w:rPr>
        <w:footnoteRef/>
      </w:r>
      <w:r>
        <w:t xml:space="preserve"> </w:t>
      </w:r>
      <w:r>
        <w:tab/>
        <w:t>The capacity factor of a plant is a measure of how much it is being dispatched relative to its maximum possible dispatch.</w:t>
      </w:r>
    </w:p>
  </w:footnote>
  <w:footnote w:id="6">
    <w:p w14:paraId="72E99C84" w14:textId="77777777" w:rsidR="00B16DAD" w:rsidRPr="00E241C9" w:rsidRDefault="00B16DAD" w:rsidP="001B59AC">
      <w:pPr>
        <w:pStyle w:val="FootnoteText"/>
        <w:rPr>
          <w:lang w:val="en-HK"/>
        </w:rPr>
      </w:pPr>
      <w:r>
        <w:rPr>
          <w:rStyle w:val="FootnoteReference"/>
        </w:rPr>
        <w:footnoteRef/>
      </w:r>
      <w:r>
        <w:t xml:space="preserve"> </w:t>
      </w:r>
      <w:r>
        <w:rPr>
          <w:lang w:val="en-HK"/>
        </w:rPr>
        <w:tab/>
        <w:t>When gas prices are low (such as during the past few years), gas-fired generation can even be cheaper than coal in baseload applications.  However, it remains important to note that fuel prices fluctuate and so any LNG procurement approach needs to be flexible</w:t>
      </w:r>
    </w:p>
  </w:footnote>
  <w:footnote w:id="7">
    <w:p w14:paraId="33B76572" w14:textId="2CBA8F50" w:rsidR="00B16DAD" w:rsidRPr="00DB7003" w:rsidRDefault="00B16DAD">
      <w:pPr>
        <w:pStyle w:val="FootnoteText"/>
        <w:rPr>
          <w:lang w:val="en-SG"/>
        </w:rPr>
      </w:pPr>
      <w:r>
        <w:rPr>
          <w:rStyle w:val="FootnoteReference"/>
        </w:rPr>
        <w:footnoteRef/>
      </w:r>
      <w:r>
        <w:t xml:space="preserve"> </w:t>
      </w:r>
      <w:r>
        <w:tab/>
      </w:r>
      <w:r w:rsidRPr="0044594B">
        <w:rPr>
          <w:lang w:val="en-US"/>
        </w:rPr>
        <w:t>The advent of</w:t>
      </w:r>
      <w:r>
        <w:rPr>
          <w:lang w:val="en-US"/>
        </w:rPr>
        <w:t xml:space="preserve"> floating storage and regasification unit (</w:t>
      </w:r>
      <w:r w:rsidRPr="0044594B">
        <w:rPr>
          <w:lang w:val="en-US"/>
        </w:rPr>
        <w:t>FSRU</w:t>
      </w:r>
      <w:r>
        <w:rPr>
          <w:lang w:val="en-US"/>
        </w:rPr>
        <w:t>)</w:t>
      </w:r>
      <w:r w:rsidRPr="0044594B">
        <w:rPr>
          <w:lang w:val="en-US"/>
        </w:rPr>
        <w:t xml:space="preserve">, small scale LNG (ssLNG) carriers and LNG trucking have created economically viable opportunities for LNG to serve as a medium for energy transmission. </w:t>
      </w:r>
      <w:r>
        <w:rPr>
          <w:lang w:val="en-US"/>
        </w:rPr>
        <w:t>Innovation in</w:t>
      </w:r>
      <w:r w:rsidRPr="0044594B">
        <w:rPr>
          <w:lang w:val="en-US"/>
        </w:rPr>
        <w:t xml:space="preserve"> FSRUs also helped reduced initial capital requirements</w:t>
      </w:r>
      <w:r>
        <w:rPr>
          <w:lang w:val="en-US"/>
        </w:rPr>
        <w:t>, reduced lead time for development and enhanced mobility</w:t>
      </w:r>
      <w:r w:rsidRPr="0044594B">
        <w:rPr>
          <w:lang w:val="en-US"/>
        </w:rPr>
        <w:t>. For</w:t>
      </w:r>
      <w:r>
        <w:rPr>
          <w:lang w:val="en-US"/>
        </w:rPr>
        <w:t xml:space="preserve"> new</w:t>
      </w:r>
      <w:r w:rsidRPr="0044594B">
        <w:rPr>
          <w:lang w:val="en-US"/>
        </w:rPr>
        <w:t xml:space="preserve"> markets lacking experience of building LNG terminals and procuring LNG, </w:t>
      </w:r>
      <w:r>
        <w:rPr>
          <w:lang w:val="en-US"/>
        </w:rPr>
        <w:t xml:space="preserve">we observed that FRSU is preferred as a flexible option which </w:t>
      </w:r>
      <w:r w:rsidRPr="0044594B">
        <w:rPr>
          <w:lang w:val="en-US"/>
        </w:rPr>
        <w:t>also allow the regulators and local players to have more time to ride down the learning curve</w:t>
      </w:r>
    </w:p>
  </w:footnote>
  <w:footnote w:id="8">
    <w:p w14:paraId="07267B81" w14:textId="77777777" w:rsidR="00B16DAD" w:rsidRDefault="00B16DAD" w:rsidP="001B59AC">
      <w:pPr>
        <w:pStyle w:val="Source"/>
      </w:pPr>
      <w:r>
        <w:rPr>
          <w:rStyle w:val="FootnoteReference"/>
        </w:rPr>
        <w:footnoteRef/>
      </w:r>
      <w:r>
        <w:t xml:space="preserve"> The blue bar in the main chart, labelled as the ‘base case’, is the expected revenue earned by the terminal owners from the capacity and commodity charges (i.e. the regasification fee) when CCGT demand for LNG is taken into account and the plants are dispatched economically.  The remaining bars in the main chart are projections of the additional revenue streams (value) that LNG terminal owners can expect to earn under different supply and demand scenarios.</w:t>
      </w:r>
    </w:p>
    <w:p w14:paraId="6A5CA79A" w14:textId="77777777" w:rsidR="00B16DAD" w:rsidRPr="003B4DDE" w:rsidRDefault="00B16DAD" w:rsidP="001B59AC">
      <w:pPr>
        <w:pStyle w:val="FootnoteText"/>
        <w:rPr>
          <w:lang w:val="en-HK"/>
        </w:rPr>
      </w:pPr>
    </w:p>
  </w:footnote>
  <w:footnote w:id="9">
    <w:p w14:paraId="7F96B16F" w14:textId="77777777" w:rsidR="00B16DAD" w:rsidRPr="009B1B06" w:rsidRDefault="00B16DAD" w:rsidP="001B59AC">
      <w:pPr>
        <w:pStyle w:val="FootnoteText"/>
        <w:rPr>
          <w:lang w:val="en-HK"/>
        </w:rPr>
      </w:pPr>
      <w:r>
        <w:rPr>
          <w:rStyle w:val="FootnoteReference"/>
        </w:rPr>
        <w:footnoteRef/>
      </w:r>
      <w:r>
        <w:t xml:space="preserve"> </w:t>
      </w:r>
      <w:r>
        <w:rPr>
          <w:lang w:val="en-HK"/>
        </w:rPr>
        <w:t xml:space="preserve">For example, Map Ta Phut in Thailand, Pengerang in Malaysia, Jurong in Singapore </w:t>
      </w:r>
    </w:p>
  </w:footnote>
  <w:footnote w:id="10">
    <w:p w14:paraId="156ACE3D" w14:textId="6340B49D" w:rsidR="00B16DAD" w:rsidRPr="00D92EF4" w:rsidRDefault="00B16DAD">
      <w:pPr>
        <w:pStyle w:val="FootnoteText"/>
        <w:rPr>
          <w:lang w:val="en-SG"/>
        </w:rPr>
      </w:pPr>
      <w:r>
        <w:rPr>
          <w:rStyle w:val="FootnoteReference"/>
        </w:rPr>
        <w:footnoteRef/>
      </w:r>
      <w:r>
        <w:t xml:space="preserve"> </w:t>
      </w:r>
      <w:r>
        <w:tab/>
        <w:t>As in the case of letter of credit backing LNG Sales and Purchase Agreement, SPA, Terminal Use Agreement (TUA) guaranteeing infrastructure investments, Implementation Agreement, IA, providing sovereign risk guarantee for power projects undertakings</w:t>
      </w:r>
    </w:p>
  </w:footnote>
  <w:footnote w:id="11">
    <w:p w14:paraId="5FA54911" w14:textId="7658BEC9" w:rsidR="00B16DAD" w:rsidRPr="00D92EF4" w:rsidRDefault="00B16DAD">
      <w:pPr>
        <w:pStyle w:val="FootnoteText"/>
        <w:rPr>
          <w:lang w:val="en-SG"/>
        </w:rPr>
      </w:pPr>
      <w:r>
        <w:rPr>
          <w:rStyle w:val="FootnoteReference"/>
        </w:rPr>
        <w:footnoteRef/>
      </w:r>
      <w:r>
        <w:t xml:space="preserve"> </w:t>
      </w:r>
      <w:r>
        <w:tab/>
      </w:r>
      <w:r>
        <w:rPr>
          <w:lang w:val="en-SG"/>
        </w:rPr>
        <w:t>As in the case of PetroBangla and Rasgas</w:t>
      </w:r>
    </w:p>
  </w:footnote>
  <w:footnote w:id="12">
    <w:p w14:paraId="34C63158" w14:textId="40D362B9" w:rsidR="00B16DAD" w:rsidRPr="00D92EF4" w:rsidRDefault="00B16DAD">
      <w:pPr>
        <w:pStyle w:val="FootnoteText"/>
        <w:rPr>
          <w:lang w:val="en-SG"/>
        </w:rPr>
      </w:pPr>
      <w:r>
        <w:rPr>
          <w:rStyle w:val="FootnoteReference"/>
        </w:rPr>
        <w:footnoteRef/>
      </w:r>
      <w:r>
        <w:t xml:space="preserve"> </w:t>
      </w:r>
      <w:r>
        <w:rPr>
          <w:lang w:val="en-SG"/>
        </w:rPr>
        <w:tab/>
        <w:t>As in the case of PTT in Thailand, Petronas in Malaysia, SLNG in Singapore</w:t>
      </w:r>
    </w:p>
  </w:footnote>
  <w:footnote w:id="13">
    <w:p w14:paraId="5321DE24" w14:textId="77777777" w:rsidR="00B16DAD" w:rsidRPr="001D23D7" w:rsidRDefault="00B16DAD" w:rsidP="001B59AC">
      <w:pPr>
        <w:pStyle w:val="FootnoteText"/>
        <w:ind w:firstLine="0"/>
        <w:rPr>
          <w:lang w:val="en-US"/>
        </w:rPr>
      </w:pPr>
      <w:r>
        <w:rPr>
          <w:rStyle w:val="FootnoteReference"/>
        </w:rPr>
        <w:footnoteRef/>
      </w:r>
      <w:r>
        <w:t xml:space="preserve"> </w:t>
      </w:r>
      <w:r>
        <w:rPr>
          <w:lang w:val="en-US"/>
        </w:rPr>
        <w:t xml:space="preserve">RLNG pricing components include LNG DES price (taken as per contracts), port charges </w:t>
      </w:r>
      <w:r w:rsidRPr="001D23D7">
        <w:rPr>
          <w:lang w:val="en-US"/>
        </w:rPr>
        <w:t>(include amount reimbursed to</w:t>
      </w:r>
      <w:r>
        <w:rPr>
          <w:lang w:val="en-US"/>
        </w:rPr>
        <w:t xml:space="preserve"> </w:t>
      </w:r>
      <w:r w:rsidRPr="001D23D7">
        <w:rPr>
          <w:lang w:val="en-US"/>
        </w:rPr>
        <w:t>supplier as per relevant agreement);</w:t>
      </w:r>
      <w:r>
        <w:rPr>
          <w:lang w:val="en-US"/>
        </w:rPr>
        <w:t xml:space="preserve"> </w:t>
      </w:r>
      <w:r w:rsidRPr="001D23D7">
        <w:rPr>
          <w:lang w:val="en-US"/>
        </w:rPr>
        <w:t>Other imports related actual costs</w:t>
      </w:r>
      <w:r>
        <w:rPr>
          <w:lang w:val="en-US"/>
        </w:rPr>
        <w:t xml:space="preserve">; </w:t>
      </w:r>
      <w:r w:rsidRPr="001D23D7">
        <w:rPr>
          <w:lang w:val="en-US"/>
        </w:rPr>
        <w:t>PSO and PLL’s margin (2.50%)—before the second LNG terminal, only PSO’s margin</w:t>
      </w:r>
      <w:r>
        <w:rPr>
          <w:lang w:val="en-US"/>
        </w:rPr>
        <w:t xml:space="preserve">; </w:t>
      </w:r>
      <w:r w:rsidRPr="001D23D7">
        <w:rPr>
          <w:lang w:val="en-US"/>
        </w:rPr>
        <w:t>All charges under LSA including but not limited to capacity charges and utilization charges as well as Retainage</w:t>
      </w:r>
      <w:r>
        <w:rPr>
          <w:lang w:val="en-US"/>
        </w:rPr>
        <w:t xml:space="preserve">; </w:t>
      </w:r>
      <w:r w:rsidRPr="001D23D7">
        <w:rPr>
          <w:lang w:val="en-US"/>
        </w:rPr>
        <w:t>LSA Management fee</w:t>
      </w:r>
      <w:r>
        <w:rPr>
          <w:lang w:val="en-US"/>
        </w:rPr>
        <w:t xml:space="preserve">; </w:t>
      </w:r>
      <w:r w:rsidRPr="001D23D7">
        <w:rPr>
          <w:lang w:val="en-US"/>
        </w:rPr>
        <w:t>Transmission Loss (determined and charged at actual subject to a maximum of 0.5%) – to be shared amongst gas companies based on length of Transmission Line involved</w:t>
      </w:r>
      <w:r>
        <w:rPr>
          <w:lang w:val="en-US"/>
        </w:rPr>
        <w:t xml:space="preserve">; </w:t>
      </w:r>
      <w:r w:rsidRPr="001D23D7">
        <w:rPr>
          <w:lang w:val="en-US"/>
        </w:rPr>
        <w:t>Distribution Loss (to be determined and charged at actual)</w:t>
      </w:r>
    </w:p>
  </w:footnote>
  <w:footnote w:id="14">
    <w:p w14:paraId="16932A50" w14:textId="77777777" w:rsidR="00B16DAD" w:rsidRPr="00D9723A" w:rsidRDefault="00B16DAD" w:rsidP="007765E3">
      <w:pPr>
        <w:pStyle w:val="FootnoteText"/>
        <w:ind w:firstLine="0"/>
        <w:rPr>
          <w:lang w:val="en-US"/>
        </w:rPr>
      </w:pPr>
      <w:r>
        <w:rPr>
          <w:rStyle w:val="FootnoteReference"/>
        </w:rPr>
        <w:footnoteRef/>
      </w:r>
      <w:r>
        <w:t xml:space="preserve"> </w:t>
      </w:r>
      <w:r w:rsidRPr="00D9723A">
        <w:t>Speedy Supply Act enables to expedite the implementation of the projects without tenders and to provide legal protection to the officials concerned involved in awarding contracts bypassing tender process</w:t>
      </w:r>
    </w:p>
  </w:footnote>
  <w:footnote w:id="15">
    <w:p w14:paraId="2A5B1C16" w14:textId="77777777" w:rsidR="00B16DAD" w:rsidRPr="003222E8" w:rsidRDefault="00B16DAD" w:rsidP="001B59AC">
      <w:pPr>
        <w:pStyle w:val="FootnoteText"/>
        <w:rPr>
          <w:lang w:val="en-US"/>
        </w:rPr>
      </w:pPr>
      <w:r>
        <w:rPr>
          <w:rStyle w:val="FootnoteReference"/>
        </w:rPr>
        <w:footnoteRef/>
      </w:r>
      <w:r>
        <w:t xml:space="preserve"> </w:t>
      </w:r>
      <w:r>
        <w:rPr>
          <w:lang w:val="en-US"/>
        </w:rPr>
        <w:tab/>
        <w:t xml:space="preserve">The PPP model is believed to achieve </w:t>
      </w:r>
      <w:r w:rsidRPr="00EF1FB5">
        <w:rPr>
          <w:lang w:val="en-US"/>
        </w:rPr>
        <w:t>cost, flexibility, risk management, and procurement aggregation advantages</w:t>
      </w:r>
      <w:r>
        <w:rPr>
          <w:lang w:val="en-US"/>
        </w:rPr>
        <w:t xml:space="preserve">.  Private-only models would likely lead to greater efficiency and lower development costs, and reduce cost over-run risks to Government.  On the other hand, the public-only model could lead to a quick development (under a turnkey contract) and a faster implementation of third party access.  </w:t>
      </w:r>
    </w:p>
  </w:footnote>
  <w:footnote w:id="16">
    <w:p w14:paraId="04514F83" w14:textId="77777777" w:rsidR="00B16DAD" w:rsidRPr="00616DF7" w:rsidRDefault="00B16DAD" w:rsidP="001B59AC">
      <w:pPr>
        <w:pStyle w:val="FootnoteText"/>
        <w:rPr>
          <w:lang w:val="en-US"/>
        </w:rPr>
      </w:pPr>
      <w:r>
        <w:rPr>
          <w:rStyle w:val="FootnoteReference"/>
        </w:rPr>
        <w:footnoteRef/>
      </w:r>
      <w:r>
        <w:t xml:space="preserve"> </w:t>
      </w:r>
      <w:r>
        <w:rPr>
          <w:lang w:val="en-US"/>
        </w:rPr>
        <w:tab/>
      </w:r>
      <w:r w:rsidRPr="004252E7">
        <w:rPr>
          <w:lang w:val="en-US"/>
        </w:rPr>
        <w:t>In Singapore, the first aggregator BG was given an exclusive franchise to import LNG and sell regasified LNG for a period ending on the date that BG had executed GSAs for an aggregate of 3 mtpa of long term sales (minimum duration of 10 years) or 2023, whichever was sooner.  In 2016, Pavilion Gas and Shell were appointed as aggregators for the second tranche of LNG imports with exclusive franchise for an additional 1 mtpa each or for three years, whichever is sooner.</w:t>
      </w:r>
    </w:p>
  </w:footnote>
  <w:footnote w:id="17">
    <w:p w14:paraId="3E640E0F" w14:textId="77777777" w:rsidR="00B16DAD" w:rsidRPr="006A053D" w:rsidRDefault="00B16DAD" w:rsidP="001B59AC">
      <w:pPr>
        <w:pStyle w:val="FootnoteText"/>
        <w:rPr>
          <w:lang w:val="en-HK"/>
        </w:rPr>
      </w:pPr>
      <w:r>
        <w:rPr>
          <w:rStyle w:val="FootnoteReference"/>
        </w:rPr>
        <w:footnoteRef/>
      </w:r>
      <w:r>
        <w:t xml:space="preserve"> </w:t>
      </w:r>
      <w:r>
        <w:rPr>
          <w:lang w:val="en-HK"/>
        </w:rPr>
        <w:tab/>
        <w:t xml:space="preserve">Other sources </w:t>
      </w:r>
      <w:r w:rsidRPr="00DB604A">
        <w:rPr>
          <w:lang w:val="en-HK"/>
        </w:rPr>
        <w:t>of law in Vietnam include:  Circulars of Ministers and head of ministerial agencies; Decisions of people’s committees; Resolutions of people’s councils; and Official letters (OLs are not classified as legal normative documents but are commonly used by Government authorities to exercise their execution power and to reflect their interpretation and application of laws and regulations)</w:t>
      </w:r>
    </w:p>
  </w:footnote>
  <w:footnote w:id="18">
    <w:p w14:paraId="1F7C3B81" w14:textId="77777777" w:rsidR="00B16DAD" w:rsidRPr="006A053D" w:rsidRDefault="00B16DAD" w:rsidP="001B59AC">
      <w:pPr>
        <w:pStyle w:val="FootnoteText"/>
        <w:rPr>
          <w:lang w:val="en-HK"/>
        </w:rPr>
      </w:pPr>
      <w:r>
        <w:rPr>
          <w:rStyle w:val="FootnoteReference"/>
        </w:rPr>
        <w:footnoteRef/>
      </w:r>
      <w:r>
        <w:t xml:space="preserve"> </w:t>
      </w:r>
      <w:r>
        <w:tab/>
        <w:t xml:space="preserve">Other key laws and regulations related to the Public-Private model include </w:t>
      </w:r>
      <w:r w:rsidRPr="00AB1AC9">
        <w:t>the Law on Public Investment No. 49/2013/QH13 (dated 18 June 2014), the Law on Bidding No. 43/2013/QH13 (dated 1 July 2014), Decree No. 30/2015/ND-CP on Guidelines for some articles on investor selection of the Law on Bidding, and Decree No. 136/2015/ND-CP on Guidelines on implementation of certain articles of the Law on Public Investment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1FFFA" w14:textId="77777777" w:rsidR="00B16DAD" w:rsidRDefault="00B16DAD">
    <w:r>
      <w:rPr>
        <w:rFonts w:ascii="Times" w:hAnsi="Times"/>
        <w:smallCaps/>
        <w:noProof/>
        <w:spacing w:val="-10"/>
        <w:sz w:val="28"/>
        <w:lang w:eastAsia="en-GB"/>
      </w:rPr>
      <mc:AlternateContent>
        <mc:Choice Requires="wps">
          <w:drawing>
            <wp:anchor distT="0" distB="0" distL="114300" distR="114300" simplePos="0" relativeHeight="251659264" behindDoc="0" locked="0" layoutInCell="1" allowOverlap="1" wp14:anchorId="44D62C69" wp14:editId="6772A337">
              <wp:simplePos x="0" y="0"/>
              <wp:positionH relativeFrom="column">
                <wp:posOffset>2411793</wp:posOffset>
              </wp:positionH>
              <wp:positionV relativeFrom="paragraph">
                <wp:posOffset>318770</wp:posOffset>
              </wp:positionV>
              <wp:extent cx="3219450" cy="1281430"/>
              <wp:effectExtent l="0" t="0" r="0" b="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281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2C1369" w14:textId="77777777" w:rsidR="00B16DAD" w:rsidRDefault="00B16DAD" w:rsidP="00DB7C22">
                          <w:pPr>
                            <w:jc w:val="right"/>
                          </w:pPr>
                          <w:r>
                            <w:rPr>
                              <w:noProof/>
                              <w:lang w:eastAsia="en-GB"/>
                            </w:rPr>
                            <w:drawing>
                              <wp:inline distT="0" distB="0" distL="0" distR="0" wp14:anchorId="4F9C4081" wp14:editId="38638209">
                                <wp:extent cx="2665820" cy="843555"/>
                                <wp:effectExtent l="0" t="0" r="127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G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665820" cy="8435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D62C69" id="_x0000_t202" coordsize="21600,21600" o:spt="202" path="m,l,21600r21600,l21600,xe">
              <v:stroke joinstyle="miter"/>
              <v:path gradientshapeok="t" o:connecttype="rect"/>
            </v:shapetype>
            <v:shape id="Text Box 10" o:spid="_x0000_s1028" type="#_x0000_t202" style="position:absolute;margin-left:189.9pt;margin-top:25.1pt;width:253.5pt;height:10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gBhAIAABE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" stroked="f">
              <v:textbox>
                <w:txbxContent>
                  <w:p w14:paraId="652C1369" w14:textId="77777777" w:rsidR="00B16DAD" w:rsidRDefault="00B16DAD" w:rsidP="00DB7C22">
                    <w:pPr>
                      <w:jc w:val="right"/>
                    </w:pPr>
                    <w:r>
                      <w:rPr>
                        <w:noProof/>
                        <w:lang w:eastAsia="en-GB"/>
                      </w:rPr>
                      <w:drawing>
                        <wp:inline distT="0" distB="0" distL="0" distR="0" wp14:anchorId="4F9C4081" wp14:editId="38638209">
                          <wp:extent cx="2665820" cy="843555"/>
                          <wp:effectExtent l="0" t="0" r="127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G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665820" cy="843555"/>
                                  </a:xfrm>
                                  <a:prstGeom prst="rect">
                                    <a:avLst/>
                                  </a:prstGeom>
                                  <a:noFill/>
                                  <a:ln>
                                    <a:noFill/>
                                  </a:ln>
                                </pic:spPr>
                              </pic:pic>
                            </a:graphicData>
                          </a:graphic>
                        </wp:inline>
                      </w:drawing>
                    </w:r>
                  </w:p>
                </w:txbxContent>
              </v:textbox>
            </v:shape>
          </w:pict>
        </mc:Fallback>
      </mc:AlternateContent>
    </w:r>
  </w:p>
  <w:p w14:paraId="6725EE6A" w14:textId="77777777" w:rsidR="00B16DAD" w:rsidRDefault="00B16DAD"/>
  <w:p w14:paraId="3538351F" w14:textId="77777777" w:rsidR="00B16DAD" w:rsidRDefault="00B16DAD">
    <w:pPr>
      <w:pStyle w:val="Header"/>
    </w:pPr>
  </w:p>
  <w:p w14:paraId="485AAD38" w14:textId="77777777" w:rsidR="00B16DAD" w:rsidRDefault="00B16DAD">
    <w:pPr>
      <w:pStyle w:val="Header"/>
    </w:pPr>
  </w:p>
  <w:p w14:paraId="59B417B5" w14:textId="77777777" w:rsidR="00B16DAD" w:rsidRDefault="00B16DAD">
    <w:pPr>
      <w:pStyle w:val="Header"/>
    </w:pPr>
  </w:p>
  <w:p w14:paraId="6CFE56D7" w14:textId="77777777" w:rsidR="00B16DAD" w:rsidRDefault="00B16DAD">
    <w:pPr>
      <w:pStyle w:val="Header"/>
    </w:pPr>
  </w:p>
  <w:p w14:paraId="74565902" w14:textId="77777777" w:rsidR="00B16DAD" w:rsidRDefault="00B16DAD">
    <w:pPr>
      <w:pStyle w:val="Header"/>
    </w:pPr>
  </w:p>
  <w:p w14:paraId="2FA198F0" w14:textId="77777777" w:rsidR="00B16DAD" w:rsidRDefault="00B16DAD">
    <w:pPr>
      <w:pStyle w:val="Header"/>
    </w:pPr>
  </w:p>
  <w:p w14:paraId="657508BA" w14:textId="77777777" w:rsidR="00B16DAD" w:rsidRDefault="00B16DAD">
    <w:pPr>
      <w:pStyle w:val="Header"/>
    </w:pPr>
    <w:r>
      <w:rPr>
        <w:rFonts w:ascii="Times" w:hAnsi="Times"/>
        <w:smallCaps/>
        <w:noProof/>
        <w:spacing w:val="-10"/>
        <w:sz w:val="28"/>
        <w:lang w:eastAsia="en-GB"/>
      </w:rPr>
      <w:drawing>
        <wp:anchor distT="0" distB="0" distL="114300" distR="114300" simplePos="0" relativeHeight="251661312" behindDoc="1" locked="0" layoutInCell="1" allowOverlap="1" wp14:anchorId="33EC647A" wp14:editId="0ED75A97">
          <wp:simplePos x="0" y="0"/>
          <wp:positionH relativeFrom="column">
            <wp:posOffset>-994139</wp:posOffset>
          </wp:positionH>
          <wp:positionV relativeFrom="paragraph">
            <wp:posOffset>99151</wp:posOffset>
          </wp:positionV>
          <wp:extent cx="6645729" cy="8216538"/>
          <wp:effectExtent l="0" t="0" r="317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g8_disassembled.png"/>
                  <pic:cNvPicPr/>
                </pic:nvPicPr>
                <pic:blipFill>
                  <a:blip r:embed="rId2">
                    <a:extLst>
                      <a:ext uri="{28A0092B-C50C-407E-A947-70E740481C1C}">
                        <a14:useLocalDpi xmlns:a14="http://schemas.microsoft.com/office/drawing/2010/main" val="0"/>
                      </a:ext>
                    </a:extLst>
                  </a:blip>
                  <a:stretch>
                    <a:fillRect/>
                  </a:stretch>
                </pic:blipFill>
                <pic:spPr>
                  <a:xfrm>
                    <a:off x="0" y="0"/>
                    <a:ext cx="6649402" cy="822107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F20F0" w14:textId="405DA936" w:rsidR="00B16DAD" w:rsidRPr="00067B7F" w:rsidRDefault="00B16DAD" w:rsidP="006D5F92">
    <w:pPr>
      <w:pStyle w:val="Header"/>
      <w:ind w:left="-720"/>
      <w:rPr>
        <w:noProof/>
      </w:rPr>
    </w:pPr>
    <w:r w:rsidRPr="00067B7F">
      <w:rPr>
        <w:noProof/>
        <w:lang w:eastAsia="en-GB"/>
      </w:rPr>
      <w:drawing>
        <wp:anchor distT="0" distB="0" distL="114300" distR="114300" simplePos="0" relativeHeight="251657216" behindDoc="1" locked="0" layoutInCell="1" allowOverlap="1" wp14:anchorId="76BB0428" wp14:editId="7F9B604C">
          <wp:simplePos x="0" y="0"/>
          <wp:positionH relativeFrom="column">
            <wp:posOffset>3723005</wp:posOffset>
          </wp:positionH>
          <wp:positionV relativeFrom="page">
            <wp:posOffset>490797</wp:posOffset>
          </wp:positionV>
          <wp:extent cx="1320800" cy="417945"/>
          <wp:effectExtent l="0" t="0" r="0" b="127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LG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20800" cy="417945"/>
                  </a:xfrm>
                  <a:prstGeom prst="rect">
                    <a:avLst/>
                  </a:prstGeom>
                  <a:noFill/>
                  <a:ln>
                    <a:noFill/>
                  </a:ln>
                </pic:spPr>
              </pic:pic>
            </a:graphicData>
          </a:graphic>
          <wp14:sizeRelV relativeFrom="margin">
            <wp14:pctHeight>0</wp14:pctHeight>
          </wp14:sizeRelV>
        </wp:anchor>
      </w:drawing>
    </w:r>
    <w:r w:rsidRPr="00067B7F">
      <w:rPr>
        <w:noProof/>
      </w:rPr>
      <w:fldChar w:fldCharType="begin"/>
    </w:r>
    <w:r w:rsidRPr="00067B7F">
      <w:rPr>
        <w:noProof/>
      </w:rPr>
      <w:instrText xml:space="preserve"> DOCPROPERTY "Project"  \* MERGEFORMAT </w:instrText>
    </w:r>
    <w:r w:rsidRPr="00067B7F">
      <w:rPr>
        <w:noProof/>
      </w:rPr>
      <w:fldChar w:fldCharType="separate"/>
    </w:r>
    <w:r>
      <w:rPr>
        <w:noProof/>
      </w:rPr>
      <w:t>WB LNG Vietnam</w:t>
    </w:r>
    <w:r w:rsidRPr="00067B7F">
      <w:rPr>
        <w:noProof/>
        <w:lang w:val="en-US"/>
      </w:rPr>
      <w:fldChar w:fldCharType="end"/>
    </w:r>
  </w:p>
  <w:p w14:paraId="057F68F0" w14:textId="77777777" w:rsidR="00B16DAD" w:rsidRPr="00067B7F" w:rsidRDefault="00B16DAD" w:rsidP="00BD6FF3">
    <w:pPr>
      <w:pStyle w:val="Header"/>
      <w:jc w:val="right"/>
      <w:rPr>
        <w:noProof/>
      </w:rPr>
    </w:pPr>
  </w:p>
  <w:p w14:paraId="03E97930" w14:textId="550DA9D2" w:rsidR="00B16DAD" w:rsidRPr="00067B7F" w:rsidRDefault="00B16DAD" w:rsidP="006D5F92">
    <w:pPr>
      <w:pStyle w:val="Header"/>
      <w:pBdr>
        <w:bottom w:val="single" w:sz="4" w:space="1" w:color="auto"/>
      </w:pBdr>
      <w:ind w:left="-720"/>
      <w:rPr>
        <w:noProof/>
      </w:rPr>
    </w:pPr>
    <w:r w:rsidRPr="00067B7F">
      <w:rPr>
        <w:noProof/>
      </w:rPr>
      <w:fldChar w:fldCharType="begin"/>
    </w:r>
    <w:r w:rsidRPr="00067B7F">
      <w:rPr>
        <w:noProof/>
      </w:rPr>
      <w:instrText xml:space="preserve"> DOCPROPERTY "Date"  \* MERGEFORMAT </w:instrText>
    </w:r>
    <w:r w:rsidRPr="00067B7F">
      <w:rPr>
        <w:noProof/>
      </w:rPr>
      <w:fldChar w:fldCharType="separate"/>
    </w:r>
    <w:r>
      <w:rPr>
        <w:noProof/>
      </w:rPr>
      <w:t>September 2018</w:t>
    </w:r>
    <w:r w:rsidRPr="00067B7F">
      <w:rPr>
        <w:noProof/>
        <w:lang w:val="en-US"/>
      </w:rPr>
      <w:fldChar w:fldCharType="end"/>
    </w:r>
    <w:r w:rsidRPr="00067B7F">
      <w:rPr>
        <w:noProof/>
      </w:rPr>
      <w:t xml:space="preserve">    </w:t>
    </w:r>
    <w:r w:rsidRPr="00067B7F">
      <w:rPr>
        <w:noProof/>
      </w:rPr>
      <w:tab/>
    </w:r>
    <w:r>
      <w:rPr>
        <w:noProof/>
      </w:rPr>
      <w:br/>
    </w:r>
  </w:p>
  <w:p w14:paraId="2EDACA2E" w14:textId="77777777" w:rsidR="00B16DAD" w:rsidRPr="00067B7F" w:rsidRDefault="00B16DAD" w:rsidP="006D5F92">
    <w:pPr>
      <w:pStyle w:val="Header"/>
      <w:ind w:left="-720"/>
      <w:rPr>
        <w:noProof/>
      </w:rPr>
    </w:pPr>
    <w:r w:rsidRPr="00067B7F">
      <w:rPr>
        <w:noProof/>
      </w:rPr>
      <w:tab/>
    </w:r>
  </w:p>
  <w:p w14:paraId="1A8B12D7" w14:textId="77777777" w:rsidR="00B16DAD" w:rsidRPr="00EF6D6F" w:rsidRDefault="00B16DAD" w:rsidP="006D5F92">
    <w:pPr>
      <w:pStyle w:val="Header"/>
      <w:ind w:left="-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8A84A" w14:textId="3763EDF0" w:rsidR="00B16DAD" w:rsidRDefault="00B16DAD">
    <w:pPr>
      <w:pStyle w:val="Header"/>
    </w:pPr>
    <w:fldSimple w:instr=" DOCPROPERTY &quot;Project&quot;  \* MERGEFORMAT ">
      <w:r>
        <w:t>WB LNG Vietnam</w:t>
      </w:r>
    </w:fldSimple>
    <w:r>
      <w:tab/>
      <w:t xml:space="preserve"> </w:t>
    </w:r>
  </w:p>
  <w:p w14:paraId="47CCCFA9" w14:textId="77777777" w:rsidR="00B16DAD" w:rsidRDefault="00B16DAD">
    <w:pPr>
      <w:pStyle w:val="Header"/>
    </w:pPr>
    <w:r>
      <w:tab/>
      <w:t xml:space="preserve">  </w:t>
    </w:r>
  </w:p>
  <w:p w14:paraId="174769C1" w14:textId="5268D2C4" w:rsidR="00B16DAD" w:rsidRDefault="00B16DAD">
    <w:pPr>
      <w:pStyle w:val="Header"/>
    </w:pPr>
    <w:fldSimple w:instr=" DOCPROPERTY &quot;Date&quot;  \* MERGEFORMAT ">
      <w:r>
        <w:t>September 2018</w:t>
      </w:r>
    </w:fldSimple>
    <w:r>
      <w:tab/>
      <w:t xml:space="preserve">   </w:t>
    </w:r>
  </w:p>
  <w:p w14:paraId="29B0BF0C" w14:textId="77777777" w:rsidR="00B16DAD" w:rsidRDefault="00B16DAD">
    <w:pPr>
      <w:pStyle w:val="Header"/>
      <w:pBdr>
        <w:top w:val="single" w:sz="6" w:space="1" w:color="568A9E"/>
      </w:pBdr>
    </w:pPr>
  </w:p>
  <w:p w14:paraId="7C9DF018" w14:textId="77777777" w:rsidR="00B16DAD" w:rsidRDefault="00B16DA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0AFC4" w14:textId="60ADEFC1" w:rsidR="00B16DAD" w:rsidRPr="00067B7F" w:rsidRDefault="00B16DAD" w:rsidP="00BD6FF3">
    <w:pPr>
      <w:pStyle w:val="Header"/>
      <w:ind w:left="-720"/>
      <w:rPr>
        <w:noProof/>
      </w:rPr>
    </w:pPr>
    <w:r w:rsidRPr="00067B7F">
      <w:rPr>
        <w:noProof/>
        <w:lang w:eastAsia="en-GB"/>
      </w:rPr>
      <w:drawing>
        <wp:anchor distT="0" distB="0" distL="114300" distR="114300" simplePos="0" relativeHeight="251671552" behindDoc="1" locked="0" layoutInCell="1" allowOverlap="1" wp14:anchorId="06CA47DD" wp14:editId="19338D54">
          <wp:simplePos x="0" y="0"/>
          <wp:positionH relativeFrom="column">
            <wp:posOffset>3723005</wp:posOffset>
          </wp:positionH>
          <wp:positionV relativeFrom="page">
            <wp:posOffset>490797</wp:posOffset>
          </wp:positionV>
          <wp:extent cx="1320800" cy="417945"/>
          <wp:effectExtent l="0" t="0" r="0" b="127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LG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20800" cy="417945"/>
                  </a:xfrm>
                  <a:prstGeom prst="rect">
                    <a:avLst/>
                  </a:prstGeom>
                  <a:noFill/>
                  <a:ln>
                    <a:noFill/>
                  </a:ln>
                </pic:spPr>
              </pic:pic>
            </a:graphicData>
          </a:graphic>
          <wp14:sizeRelV relativeFrom="margin">
            <wp14:pctHeight>0</wp14:pctHeight>
          </wp14:sizeRelV>
        </wp:anchor>
      </w:drawing>
    </w:r>
    <w:r w:rsidRPr="00067B7F">
      <w:rPr>
        <w:noProof/>
      </w:rPr>
      <w:fldChar w:fldCharType="begin"/>
    </w:r>
    <w:r w:rsidRPr="00067B7F">
      <w:rPr>
        <w:noProof/>
      </w:rPr>
      <w:instrText xml:space="preserve"> DOCPROPERTY "Project"  \* MERGEFORMAT </w:instrText>
    </w:r>
    <w:r w:rsidRPr="00067B7F">
      <w:rPr>
        <w:noProof/>
      </w:rPr>
      <w:fldChar w:fldCharType="separate"/>
    </w:r>
    <w:r>
      <w:rPr>
        <w:noProof/>
      </w:rPr>
      <w:t>WB LNG Vietnam</w:t>
    </w:r>
    <w:r w:rsidRPr="00067B7F">
      <w:rPr>
        <w:noProof/>
        <w:lang w:val="en-US"/>
      </w:rPr>
      <w:fldChar w:fldCharType="end"/>
    </w:r>
  </w:p>
  <w:p w14:paraId="20B3C1DB" w14:textId="77777777" w:rsidR="00B16DAD" w:rsidRPr="00067B7F" w:rsidRDefault="00B16DAD" w:rsidP="00BD6FF3">
    <w:pPr>
      <w:pStyle w:val="Header"/>
      <w:ind w:left="-720"/>
      <w:rPr>
        <w:noProof/>
      </w:rPr>
    </w:pPr>
  </w:p>
  <w:p w14:paraId="2B20A542" w14:textId="54934147" w:rsidR="00B16DAD" w:rsidRPr="00067B7F" w:rsidRDefault="00B16DAD" w:rsidP="00BD6FF3">
    <w:pPr>
      <w:pStyle w:val="Header"/>
      <w:pBdr>
        <w:bottom w:val="single" w:sz="4" w:space="1" w:color="auto"/>
      </w:pBdr>
      <w:ind w:left="-720"/>
      <w:rPr>
        <w:noProof/>
      </w:rPr>
    </w:pPr>
    <w:r w:rsidRPr="00067B7F">
      <w:rPr>
        <w:noProof/>
      </w:rPr>
      <w:fldChar w:fldCharType="begin"/>
    </w:r>
    <w:r w:rsidRPr="00067B7F">
      <w:rPr>
        <w:noProof/>
      </w:rPr>
      <w:instrText xml:space="preserve"> DOCPROPERTY "Date"  \* MERGEFORMAT </w:instrText>
    </w:r>
    <w:r w:rsidRPr="00067B7F">
      <w:rPr>
        <w:noProof/>
      </w:rPr>
      <w:fldChar w:fldCharType="separate"/>
    </w:r>
    <w:r>
      <w:rPr>
        <w:noProof/>
      </w:rPr>
      <w:t>September 2018</w:t>
    </w:r>
    <w:r w:rsidRPr="00067B7F">
      <w:rPr>
        <w:noProof/>
        <w:lang w:val="en-US"/>
      </w:rPr>
      <w:fldChar w:fldCharType="end"/>
    </w:r>
    <w:r w:rsidRPr="00067B7F">
      <w:rPr>
        <w:noProof/>
      </w:rPr>
      <w:t xml:space="preserve">    </w:t>
    </w:r>
    <w:r w:rsidRPr="00067B7F">
      <w:rPr>
        <w:noProof/>
      </w:rPr>
      <w:tab/>
    </w:r>
    <w:r>
      <w:rPr>
        <w:noProof/>
      </w:rPr>
      <w:br/>
    </w:r>
  </w:p>
  <w:p w14:paraId="1E709F62" w14:textId="77777777" w:rsidR="00B16DAD" w:rsidRPr="00067B7F" w:rsidRDefault="00B16DAD" w:rsidP="00BD6FF3">
    <w:pPr>
      <w:pStyle w:val="Header"/>
      <w:ind w:left="-720"/>
      <w:rPr>
        <w:noProof/>
      </w:rPr>
    </w:pPr>
    <w:r w:rsidRPr="00067B7F">
      <w:rPr>
        <w:noProof/>
      </w:rPr>
      <w:tab/>
    </w:r>
  </w:p>
  <w:p w14:paraId="619F343D" w14:textId="77777777" w:rsidR="00B16DAD" w:rsidRPr="002D3BB8" w:rsidRDefault="00B16DAD" w:rsidP="00BD6FF3">
    <w:pPr>
      <w:pStyle w:val="Header"/>
      <w:ind w:left="-7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04AD7" w14:textId="569500A2" w:rsidR="00B16DAD" w:rsidRDefault="00B16DAD">
    <w:pPr>
      <w:pStyle w:val="Header"/>
    </w:pPr>
    <w:fldSimple w:instr=" DOCPROPERTY &quot;Project&quot;  \* MERGEFORMAT ">
      <w:r>
        <w:t>WB LNG Vietnam</w:t>
      </w:r>
    </w:fldSimple>
    <w:r>
      <w:tab/>
      <w:t xml:space="preserve"> </w:t>
    </w:r>
  </w:p>
  <w:p w14:paraId="1A03DD78" w14:textId="77777777" w:rsidR="00B16DAD" w:rsidRDefault="00B16DAD">
    <w:pPr>
      <w:pStyle w:val="Header"/>
    </w:pPr>
    <w:r>
      <w:tab/>
      <w:t xml:space="preserve"> </w:t>
    </w:r>
  </w:p>
  <w:p w14:paraId="21540363" w14:textId="7A7FE882" w:rsidR="00B16DAD" w:rsidRDefault="00B16DAD">
    <w:pPr>
      <w:pStyle w:val="Header"/>
    </w:pPr>
    <w:fldSimple w:instr=" DOCPROPERTY &quot;Date&quot;  \* MERGEFORMAT ">
      <w:r>
        <w:t>September 2018</w:t>
      </w:r>
    </w:fldSimple>
    <w:r>
      <w:tab/>
      <w:t xml:space="preserve"> </w:t>
    </w:r>
  </w:p>
  <w:p w14:paraId="2F12A8AF" w14:textId="77777777" w:rsidR="00B16DAD" w:rsidRDefault="00B16DAD">
    <w:pPr>
      <w:pStyle w:val="Header"/>
      <w:pBdr>
        <w:top w:val="single" w:sz="6" w:space="1" w:color="568A9E"/>
      </w:pBdr>
    </w:pPr>
  </w:p>
  <w:p w14:paraId="79DE127E" w14:textId="77777777" w:rsidR="00B16DAD" w:rsidRDefault="00B16D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004C9B5E"/>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83D03B8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B"/>
    <w:multiLevelType w:val="multilevel"/>
    <w:tmpl w:val="44E0D09C"/>
    <w:lvl w:ilvl="0">
      <w:start w:val="1"/>
      <w:numFmt w:val="decimal"/>
      <w:pStyle w:val="Heading1"/>
      <w:lvlText w:val="%1."/>
      <w:legacy w:legacy="1" w:legacySpace="0" w:legacyIndent="708"/>
      <w:lvlJc w:val="left"/>
      <w:pPr>
        <w:ind w:left="720" w:hanging="708"/>
      </w:pPr>
    </w:lvl>
    <w:lvl w:ilvl="1">
      <w:start w:val="1"/>
      <w:numFmt w:val="decimal"/>
      <w:pStyle w:val="Heading2"/>
      <w:lvlText w:val="%1.%2."/>
      <w:legacy w:legacy="1" w:legacySpace="0" w:legacyIndent="708"/>
      <w:lvlJc w:val="left"/>
      <w:pPr>
        <w:ind w:left="720" w:hanging="708"/>
      </w:pPr>
    </w:lvl>
    <w:lvl w:ilvl="2">
      <w:start w:val="1"/>
      <w:numFmt w:val="decimal"/>
      <w:pStyle w:val="Heading3"/>
      <w:lvlText w:val="%1.%2.%3."/>
      <w:legacy w:legacy="1" w:legacySpace="0" w:legacyIndent="708"/>
      <w:lvlJc w:val="left"/>
      <w:pPr>
        <w:ind w:left="720" w:hanging="708"/>
      </w:pPr>
    </w:lvl>
    <w:lvl w:ilvl="3">
      <w:start w:val="1"/>
      <w:numFmt w:val="none"/>
      <w:suff w:val="nothing"/>
      <w:lvlText w:val=""/>
      <w:lvlJc w:val="left"/>
      <w:pPr>
        <w:ind w:left="1440" w:hanging="708"/>
      </w:pPr>
    </w:lvl>
    <w:lvl w:ilvl="4">
      <w:start w:val="1"/>
      <w:numFmt w:val="decimal"/>
      <w:pStyle w:val="Heading5"/>
      <w:lvlText w:val="%5."/>
      <w:legacy w:legacy="1" w:legacySpace="0" w:legacyIndent="708"/>
      <w:lvlJc w:val="left"/>
      <w:pPr>
        <w:ind w:left="3540" w:hanging="708"/>
      </w:pPr>
    </w:lvl>
    <w:lvl w:ilvl="5">
      <w:start w:val="1"/>
      <w:numFmt w:val="decimal"/>
      <w:pStyle w:val="Heading6"/>
      <w:lvlText w:val="%5.%6."/>
      <w:legacy w:legacy="1" w:legacySpace="0" w:legacyIndent="708"/>
      <w:lvlJc w:val="left"/>
      <w:pPr>
        <w:ind w:left="4248" w:hanging="708"/>
      </w:pPr>
    </w:lvl>
    <w:lvl w:ilvl="6">
      <w:start w:val="1"/>
      <w:numFmt w:val="decimal"/>
      <w:pStyle w:val="Heading7"/>
      <w:lvlText w:val="%5.%6.%7."/>
      <w:legacy w:legacy="1" w:legacySpace="0" w:legacyIndent="708"/>
      <w:lvlJc w:val="left"/>
      <w:pPr>
        <w:ind w:left="4956" w:hanging="708"/>
      </w:pPr>
    </w:lvl>
    <w:lvl w:ilvl="7">
      <w:start w:val="1"/>
      <w:numFmt w:val="decimal"/>
      <w:pStyle w:val="Heading8"/>
      <w:lvlText w:val="%5.%6.%7.%8."/>
      <w:legacy w:legacy="1" w:legacySpace="0" w:legacyIndent="708"/>
      <w:lvlJc w:val="left"/>
      <w:pPr>
        <w:ind w:left="5664" w:hanging="708"/>
      </w:pPr>
    </w:lvl>
    <w:lvl w:ilvl="8">
      <w:start w:val="1"/>
      <w:numFmt w:val="decimal"/>
      <w:pStyle w:val="Heading9"/>
      <w:lvlText w:val="%5.%6.%7.%8.%9."/>
      <w:legacy w:legacy="1" w:legacySpace="0" w:legacyIndent="708"/>
      <w:lvlJc w:val="left"/>
      <w:pPr>
        <w:ind w:left="6372" w:hanging="708"/>
      </w:pPr>
    </w:lvl>
  </w:abstractNum>
  <w:abstractNum w:abstractNumId="3" w15:restartNumberingAfterBreak="0">
    <w:nsid w:val="017E6C54"/>
    <w:multiLevelType w:val="hybridMultilevel"/>
    <w:tmpl w:val="48E4D406"/>
    <w:lvl w:ilvl="0" w:tplc="9056BBD0">
      <w:start w:val="1"/>
      <w:numFmt w:val="bullet"/>
      <w:lvlText w:val="•"/>
      <w:lvlJc w:val="left"/>
      <w:pPr>
        <w:tabs>
          <w:tab w:val="num" w:pos="720"/>
        </w:tabs>
        <w:ind w:left="720" w:hanging="360"/>
      </w:pPr>
      <w:rPr>
        <w:rFonts w:ascii="Times New Roman" w:hAnsi="Times New Roman" w:hint="default"/>
      </w:rPr>
    </w:lvl>
    <w:lvl w:ilvl="1" w:tplc="D1AE8B00" w:tentative="1">
      <w:start w:val="1"/>
      <w:numFmt w:val="bullet"/>
      <w:lvlText w:val="•"/>
      <w:lvlJc w:val="left"/>
      <w:pPr>
        <w:tabs>
          <w:tab w:val="num" w:pos="1440"/>
        </w:tabs>
        <w:ind w:left="1440" w:hanging="360"/>
      </w:pPr>
      <w:rPr>
        <w:rFonts w:ascii="Times New Roman" w:hAnsi="Times New Roman" w:hint="default"/>
      </w:rPr>
    </w:lvl>
    <w:lvl w:ilvl="2" w:tplc="14B2473A" w:tentative="1">
      <w:start w:val="1"/>
      <w:numFmt w:val="bullet"/>
      <w:lvlText w:val="•"/>
      <w:lvlJc w:val="left"/>
      <w:pPr>
        <w:tabs>
          <w:tab w:val="num" w:pos="2160"/>
        </w:tabs>
        <w:ind w:left="2160" w:hanging="360"/>
      </w:pPr>
      <w:rPr>
        <w:rFonts w:ascii="Times New Roman" w:hAnsi="Times New Roman" w:hint="default"/>
      </w:rPr>
    </w:lvl>
    <w:lvl w:ilvl="3" w:tplc="FD4295D8" w:tentative="1">
      <w:start w:val="1"/>
      <w:numFmt w:val="bullet"/>
      <w:lvlText w:val="•"/>
      <w:lvlJc w:val="left"/>
      <w:pPr>
        <w:tabs>
          <w:tab w:val="num" w:pos="2880"/>
        </w:tabs>
        <w:ind w:left="2880" w:hanging="360"/>
      </w:pPr>
      <w:rPr>
        <w:rFonts w:ascii="Times New Roman" w:hAnsi="Times New Roman" w:hint="default"/>
      </w:rPr>
    </w:lvl>
    <w:lvl w:ilvl="4" w:tplc="FA3EDA6C" w:tentative="1">
      <w:start w:val="1"/>
      <w:numFmt w:val="bullet"/>
      <w:lvlText w:val="•"/>
      <w:lvlJc w:val="left"/>
      <w:pPr>
        <w:tabs>
          <w:tab w:val="num" w:pos="3600"/>
        </w:tabs>
        <w:ind w:left="3600" w:hanging="360"/>
      </w:pPr>
      <w:rPr>
        <w:rFonts w:ascii="Times New Roman" w:hAnsi="Times New Roman" w:hint="default"/>
      </w:rPr>
    </w:lvl>
    <w:lvl w:ilvl="5" w:tplc="22208AEA" w:tentative="1">
      <w:start w:val="1"/>
      <w:numFmt w:val="bullet"/>
      <w:lvlText w:val="•"/>
      <w:lvlJc w:val="left"/>
      <w:pPr>
        <w:tabs>
          <w:tab w:val="num" w:pos="4320"/>
        </w:tabs>
        <w:ind w:left="4320" w:hanging="360"/>
      </w:pPr>
      <w:rPr>
        <w:rFonts w:ascii="Times New Roman" w:hAnsi="Times New Roman" w:hint="default"/>
      </w:rPr>
    </w:lvl>
    <w:lvl w:ilvl="6" w:tplc="A23EBF92" w:tentative="1">
      <w:start w:val="1"/>
      <w:numFmt w:val="bullet"/>
      <w:lvlText w:val="•"/>
      <w:lvlJc w:val="left"/>
      <w:pPr>
        <w:tabs>
          <w:tab w:val="num" w:pos="5040"/>
        </w:tabs>
        <w:ind w:left="5040" w:hanging="360"/>
      </w:pPr>
      <w:rPr>
        <w:rFonts w:ascii="Times New Roman" w:hAnsi="Times New Roman" w:hint="default"/>
      </w:rPr>
    </w:lvl>
    <w:lvl w:ilvl="7" w:tplc="B4B06A10" w:tentative="1">
      <w:start w:val="1"/>
      <w:numFmt w:val="bullet"/>
      <w:lvlText w:val="•"/>
      <w:lvlJc w:val="left"/>
      <w:pPr>
        <w:tabs>
          <w:tab w:val="num" w:pos="5760"/>
        </w:tabs>
        <w:ind w:left="5760" w:hanging="360"/>
      </w:pPr>
      <w:rPr>
        <w:rFonts w:ascii="Times New Roman" w:hAnsi="Times New Roman" w:hint="default"/>
      </w:rPr>
    </w:lvl>
    <w:lvl w:ilvl="8" w:tplc="5FCEC4B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1D61529"/>
    <w:multiLevelType w:val="multilevel"/>
    <w:tmpl w:val="0DB2A7A0"/>
    <w:lvl w:ilvl="0">
      <w:start w:val="1"/>
      <w:numFmt w:val="upperLetter"/>
      <w:suff w:val="nothing"/>
      <w:lvlText w:val="Appendix %1  "/>
      <w:lvlJc w:val="left"/>
      <w:pPr>
        <w:ind w:left="-288" w:hanging="432"/>
      </w:pPr>
      <w:rPr>
        <w:rFonts w:hint="default"/>
      </w:rPr>
    </w:lvl>
    <w:lvl w:ilvl="1">
      <w:start w:val="1"/>
      <w:numFmt w:val="decimal"/>
      <w:lvlText w:val="%1.%2"/>
      <w:lvlJc w:val="left"/>
      <w:pPr>
        <w:tabs>
          <w:tab w:val="num" w:pos="-144"/>
        </w:tabs>
        <w:ind w:left="-144" w:hanging="576"/>
      </w:pPr>
      <w:rPr>
        <w:rFonts w:hint="default"/>
      </w:rPr>
    </w:lvl>
    <w:lvl w:ilvl="2">
      <w:start w:val="1"/>
      <w:numFmt w:val="decimal"/>
      <w:lvlText w:val="%1.%2.%3"/>
      <w:lvlJc w:val="left"/>
      <w:pPr>
        <w:tabs>
          <w:tab w:val="num" w:pos="0"/>
        </w:tabs>
        <w:ind w:left="0" w:hanging="720"/>
      </w:pPr>
      <w:rPr>
        <w:rFonts w:hint="default"/>
      </w:rPr>
    </w:lvl>
    <w:lvl w:ilvl="3">
      <w:start w:val="1"/>
      <w:numFmt w:val="none"/>
      <w:suff w:val="nothing"/>
      <w:lvlText w:val=""/>
      <w:lvlJc w:val="left"/>
      <w:pPr>
        <w:ind w:left="144" w:hanging="864"/>
      </w:pPr>
      <w:rPr>
        <w:rFonts w:hint="default"/>
      </w:rPr>
    </w:lvl>
    <w:lvl w:ilvl="4">
      <w:start w:val="1"/>
      <w:numFmt w:val="decimal"/>
      <w:lvlText w:val="%1.%2.%3.%4.%5"/>
      <w:lvlJc w:val="left"/>
      <w:pPr>
        <w:tabs>
          <w:tab w:val="num" w:pos="288"/>
        </w:tabs>
        <w:ind w:left="288" w:hanging="1008"/>
      </w:pPr>
      <w:rPr>
        <w:rFonts w:hint="default"/>
      </w:rPr>
    </w:lvl>
    <w:lvl w:ilvl="5">
      <w:start w:val="1"/>
      <w:numFmt w:val="decimal"/>
      <w:lvlText w:val="%1.%2.%3.%4.%5.%6"/>
      <w:lvlJc w:val="left"/>
      <w:pPr>
        <w:tabs>
          <w:tab w:val="num" w:pos="432"/>
        </w:tabs>
        <w:ind w:left="432" w:hanging="1152"/>
      </w:pPr>
      <w:rPr>
        <w:rFonts w:hint="default"/>
      </w:rPr>
    </w:lvl>
    <w:lvl w:ilvl="6">
      <w:start w:val="1"/>
      <w:numFmt w:val="decimal"/>
      <w:lvlText w:val="%1.%2.%3.%4.%5.%6.%7"/>
      <w:lvlJc w:val="left"/>
      <w:pPr>
        <w:tabs>
          <w:tab w:val="num" w:pos="576"/>
        </w:tabs>
        <w:ind w:left="576" w:hanging="1296"/>
      </w:pPr>
      <w:rPr>
        <w:rFonts w:hint="default"/>
      </w:rPr>
    </w:lvl>
    <w:lvl w:ilvl="7">
      <w:start w:val="1"/>
      <w:numFmt w:val="decimal"/>
      <w:lvlText w:val="%1.%2.%3.%4.%5.%6.%7.%8"/>
      <w:lvlJc w:val="left"/>
      <w:pPr>
        <w:tabs>
          <w:tab w:val="num" w:pos="720"/>
        </w:tabs>
        <w:ind w:left="720" w:hanging="1440"/>
      </w:pPr>
      <w:rPr>
        <w:rFonts w:hint="default"/>
      </w:rPr>
    </w:lvl>
    <w:lvl w:ilvl="8">
      <w:start w:val="1"/>
      <w:numFmt w:val="decimal"/>
      <w:lvlText w:val="%1.%2.%3.%4.%5.%6.%7.%8.%9"/>
      <w:lvlJc w:val="left"/>
      <w:pPr>
        <w:tabs>
          <w:tab w:val="num" w:pos="864"/>
        </w:tabs>
        <w:ind w:left="864" w:hanging="1584"/>
      </w:pPr>
      <w:rPr>
        <w:rFonts w:hint="default"/>
      </w:rPr>
    </w:lvl>
  </w:abstractNum>
  <w:abstractNum w:abstractNumId="5" w15:restartNumberingAfterBreak="0">
    <w:nsid w:val="109A18C1"/>
    <w:multiLevelType w:val="hybridMultilevel"/>
    <w:tmpl w:val="B8009152"/>
    <w:lvl w:ilvl="0" w:tplc="5FDE391C">
      <w:start w:val="1"/>
      <w:numFmt w:val="bullet"/>
      <w:pStyle w:val="ListBullet3"/>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447692"/>
    <w:multiLevelType w:val="hybridMultilevel"/>
    <w:tmpl w:val="562A0CC0"/>
    <w:lvl w:ilvl="0" w:tplc="86F4A248">
      <w:start w:val="1"/>
      <w:numFmt w:val="lowerRoman"/>
      <w:pStyle w:val="ListNumber2"/>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B152613"/>
    <w:multiLevelType w:val="hybridMultilevel"/>
    <w:tmpl w:val="DC8205E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1BF713EF"/>
    <w:multiLevelType w:val="hybridMultilevel"/>
    <w:tmpl w:val="F7482CFC"/>
    <w:lvl w:ilvl="0" w:tplc="48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224D1ABA"/>
    <w:multiLevelType w:val="hybridMultilevel"/>
    <w:tmpl w:val="ED64D492"/>
    <w:lvl w:ilvl="0" w:tplc="810C2842">
      <w:start w:val="1"/>
      <w:numFmt w:val="upperLetter"/>
      <w:pStyle w:val="List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64D1B7B"/>
    <w:multiLevelType w:val="multilevel"/>
    <w:tmpl w:val="C690F41C"/>
    <w:lvl w:ilvl="0">
      <w:start w:val="1"/>
      <w:numFmt w:val="upperLetter"/>
      <w:suff w:val="nothing"/>
      <w:lvlText w:val="Appendix %1:  "/>
      <w:lvlJc w:val="left"/>
      <w:pPr>
        <w:ind w:left="-288" w:hanging="432"/>
      </w:pPr>
      <w:rPr>
        <w:rFonts w:hint="default"/>
      </w:rPr>
    </w:lvl>
    <w:lvl w:ilvl="1">
      <w:start w:val="1"/>
      <w:numFmt w:val="decimal"/>
      <w:lvlText w:val="%1.%2"/>
      <w:lvlJc w:val="left"/>
      <w:pPr>
        <w:tabs>
          <w:tab w:val="num" w:pos="-144"/>
        </w:tabs>
        <w:ind w:left="-144" w:hanging="576"/>
      </w:pPr>
      <w:rPr>
        <w:rFonts w:hint="default"/>
      </w:rPr>
    </w:lvl>
    <w:lvl w:ilvl="2">
      <w:start w:val="1"/>
      <w:numFmt w:val="decimal"/>
      <w:lvlText w:val="%1.%2.%3"/>
      <w:lvlJc w:val="left"/>
      <w:pPr>
        <w:tabs>
          <w:tab w:val="num" w:pos="0"/>
        </w:tabs>
        <w:ind w:left="0" w:hanging="720"/>
      </w:pPr>
      <w:rPr>
        <w:rFonts w:hint="default"/>
      </w:rPr>
    </w:lvl>
    <w:lvl w:ilvl="3">
      <w:start w:val="1"/>
      <w:numFmt w:val="none"/>
      <w:suff w:val="nothing"/>
      <w:lvlText w:val=""/>
      <w:lvlJc w:val="left"/>
      <w:pPr>
        <w:ind w:left="144" w:hanging="864"/>
      </w:pPr>
      <w:rPr>
        <w:rFonts w:hint="default"/>
      </w:rPr>
    </w:lvl>
    <w:lvl w:ilvl="4">
      <w:start w:val="1"/>
      <w:numFmt w:val="decimal"/>
      <w:lvlText w:val="%1.%2.%3.%4.%5"/>
      <w:lvlJc w:val="left"/>
      <w:pPr>
        <w:tabs>
          <w:tab w:val="num" w:pos="288"/>
        </w:tabs>
        <w:ind w:left="288" w:hanging="1008"/>
      </w:pPr>
      <w:rPr>
        <w:rFonts w:hint="default"/>
      </w:rPr>
    </w:lvl>
    <w:lvl w:ilvl="5">
      <w:start w:val="1"/>
      <w:numFmt w:val="decimal"/>
      <w:lvlText w:val="%1.%2.%3.%4.%5.%6"/>
      <w:lvlJc w:val="left"/>
      <w:pPr>
        <w:tabs>
          <w:tab w:val="num" w:pos="432"/>
        </w:tabs>
        <w:ind w:left="432" w:hanging="1152"/>
      </w:pPr>
      <w:rPr>
        <w:rFonts w:hint="default"/>
      </w:rPr>
    </w:lvl>
    <w:lvl w:ilvl="6">
      <w:start w:val="1"/>
      <w:numFmt w:val="decimal"/>
      <w:lvlText w:val="%1.%2.%3.%4.%5.%6.%7"/>
      <w:lvlJc w:val="left"/>
      <w:pPr>
        <w:tabs>
          <w:tab w:val="num" w:pos="576"/>
        </w:tabs>
        <w:ind w:left="576" w:hanging="1296"/>
      </w:pPr>
      <w:rPr>
        <w:rFonts w:hint="default"/>
      </w:rPr>
    </w:lvl>
    <w:lvl w:ilvl="7">
      <w:start w:val="1"/>
      <w:numFmt w:val="decimal"/>
      <w:lvlText w:val="%1.%2.%3.%4.%5.%6.%7.%8"/>
      <w:lvlJc w:val="left"/>
      <w:pPr>
        <w:tabs>
          <w:tab w:val="num" w:pos="720"/>
        </w:tabs>
        <w:ind w:left="720" w:hanging="1440"/>
      </w:pPr>
      <w:rPr>
        <w:rFonts w:hint="default"/>
      </w:rPr>
    </w:lvl>
    <w:lvl w:ilvl="8">
      <w:start w:val="1"/>
      <w:numFmt w:val="decimal"/>
      <w:lvlText w:val="%1.%2.%3.%4.%5.%6.%7.%8.%9"/>
      <w:lvlJc w:val="left"/>
      <w:pPr>
        <w:tabs>
          <w:tab w:val="num" w:pos="864"/>
        </w:tabs>
        <w:ind w:left="864" w:hanging="1584"/>
      </w:pPr>
      <w:rPr>
        <w:rFonts w:hint="default"/>
      </w:rPr>
    </w:lvl>
  </w:abstractNum>
  <w:abstractNum w:abstractNumId="11" w15:restartNumberingAfterBreak="0">
    <w:nsid w:val="277867FB"/>
    <w:multiLevelType w:val="hybridMultilevel"/>
    <w:tmpl w:val="89C27B5C"/>
    <w:lvl w:ilvl="0" w:tplc="FCD04712">
      <w:start w:val="1"/>
      <w:numFmt w:val="bullet"/>
      <w:lvlText w:val="•"/>
      <w:lvlJc w:val="left"/>
      <w:pPr>
        <w:tabs>
          <w:tab w:val="num" w:pos="720"/>
        </w:tabs>
        <w:ind w:left="720" w:hanging="360"/>
      </w:pPr>
      <w:rPr>
        <w:rFonts w:ascii="Arial" w:hAnsi="Arial" w:hint="default"/>
      </w:rPr>
    </w:lvl>
    <w:lvl w:ilvl="1" w:tplc="027802AC" w:tentative="1">
      <w:start w:val="1"/>
      <w:numFmt w:val="bullet"/>
      <w:lvlText w:val="•"/>
      <w:lvlJc w:val="left"/>
      <w:pPr>
        <w:tabs>
          <w:tab w:val="num" w:pos="1440"/>
        </w:tabs>
        <w:ind w:left="1440" w:hanging="360"/>
      </w:pPr>
      <w:rPr>
        <w:rFonts w:ascii="Arial" w:hAnsi="Arial" w:hint="default"/>
      </w:rPr>
    </w:lvl>
    <w:lvl w:ilvl="2" w:tplc="BAAAA146" w:tentative="1">
      <w:start w:val="1"/>
      <w:numFmt w:val="bullet"/>
      <w:lvlText w:val="•"/>
      <w:lvlJc w:val="left"/>
      <w:pPr>
        <w:tabs>
          <w:tab w:val="num" w:pos="2160"/>
        </w:tabs>
        <w:ind w:left="2160" w:hanging="360"/>
      </w:pPr>
      <w:rPr>
        <w:rFonts w:ascii="Arial" w:hAnsi="Arial" w:hint="default"/>
      </w:rPr>
    </w:lvl>
    <w:lvl w:ilvl="3" w:tplc="A6CEC076" w:tentative="1">
      <w:start w:val="1"/>
      <w:numFmt w:val="bullet"/>
      <w:lvlText w:val="•"/>
      <w:lvlJc w:val="left"/>
      <w:pPr>
        <w:tabs>
          <w:tab w:val="num" w:pos="2880"/>
        </w:tabs>
        <w:ind w:left="2880" w:hanging="360"/>
      </w:pPr>
      <w:rPr>
        <w:rFonts w:ascii="Arial" w:hAnsi="Arial" w:hint="default"/>
      </w:rPr>
    </w:lvl>
    <w:lvl w:ilvl="4" w:tplc="080030E8" w:tentative="1">
      <w:start w:val="1"/>
      <w:numFmt w:val="bullet"/>
      <w:lvlText w:val="•"/>
      <w:lvlJc w:val="left"/>
      <w:pPr>
        <w:tabs>
          <w:tab w:val="num" w:pos="3600"/>
        </w:tabs>
        <w:ind w:left="3600" w:hanging="360"/>
      </w:pPr>
      <w:rPr>
        <w:rFonts w:ascii="Arial" w:hAnsi="Arial" w:hint="default"/>
      </w:rPr>
    </w:lvl>
    <w:lvl w:ilvl="5" w:tplc="AB72C4EA" w:tentative="1">
      <w:start w:val="1"/>
      <w:numFmt w:val="bullet"/>
      <w:lvlText w:val="•"/>
      <w:lvlJc w:val="left"/>
      <w:pPr>
        <w:tabs>
          <w:tab w:val="num" w:pos="4320"/>
        </w:tabs>
        <w:ind w:left="4320" w:hanging="360"/>
      </w:pPr>
      <w:rPr>
        <w:rFonts w:ascii="Arial" w:hAnsi="Arial" w:hint="default"/>
      </w:rPr>
    </w:lvl>
    <w:lvl w:ilvl="6" w:tplc="F704040C" w:tentative="1">
      <w:start w:val="1"/>
      <w:numFmt w:val="bullet"/>
      <w:lvlText w:val="•"/>
      <w:lvlJc w:val="left"/>
      <w:pPr>
        <w:tabs>
          <w:tab w:val="num" w:pos="5040"/>
        </w:tabs>
        <w:ind w:left="5040" w:hanging="360"/>
      </w:pPr>
      <w:rPr>
        <w:rFonts w:ascii="Arial" w:hAnsi="Arial" w:hint="default"/>
      </w:rPr>
    </w:lvl>
    <w:lvl w:ilvl="7" w:tplc="9A727EC2" w:tentative="1">
      <w:start w:val="1"/>
      <w:numFmt w:val="bullet"/>
      <w:lvlText w:val="•"/>
      <w:lvlJc w:val="left"/>
      <w:pPr>
        <w:tabs>
          <w:tab w:val="num" w:pos="5760"/>
        </w:tabs>
        <w:ind w:left="5760" w:hanging="360"/>
      </w:pPr>
      <w:rPr>
        <w:rFonts w:ascii="Arial" w:hAnsi="Arial" w:hint="default"/>
      </w:rPr>
    </w:lvl>
    <w:lvl w:ilvl="8" w:tplc="451A6B0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906734E"/>
    <w:multiLevelType w:val="hybridMultilevel"/>
    <w:tmpl w:val="CDBEA8BC"/>
    <w:lvl w:ilvl="0" w:tplc="B8E4ACEE">
      <w:start w:val="1"/>
      <w:numFmt w:val="bullet"/>
      <w:pStyle w:val="ListBullet2"/>
      <w:lvlText w:val="-"/>
      <w:lvlJc w:val="left"/>
      <w:pPr>
        <w:tabs>
          <w:tab w:val="num" w:pos="360"/>
        </w:tabs>
        <w:ind w:left="360" w:hanging="360"/>
      </w:pPr>
      <w:rPr>
        <w:rFonts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780992"/>
    <w:multiLevelType w:val="multilevel"/>
    <w:tmpl w:val="7820BDF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E6C2C96"/>
    <w:multiLevelType w:val="hybridMultilevel"/>
    <w:tmpl w:val="6B08A67A"/>
    <w:lvl w:ilvl="0" w:tplc="48090019">
      <w:start w:val="1"/>
      <w:numFmt w:val="low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5" w15:restartNumberingAfterBreak="0">
    <w:nsid w:val="30E923D8"/>
    <w:multiLevelType w:val="multilevel"/>
    <w:tmpl w:val="A882FF14"/>
    <w:lvl w:ilvl="0">
      <w:start w:val="1"/>
      <w:numFmt w:val="upperLetter"/>
      <w:pStyle w:val="Appendix1"/>
      <w:suff w:val="nothing"/>
      <w:lvlText w:val="Appendix %1"/>
      <w:lvlJc w:val="left"/>
      <w:pPr>
        <w:ind w:left="-288" w:hanging="432"/>
      </w:pPr>
      <w:rPr>
        <w:rFonts w:hint="default"/>
      </w:rPr>
    </w:lvl>
    <w:lvl w:ilvl="1">
      <w:start w:val="1"/>
      <w:numFmt w:val="decimal"/>
      <w:pStyle w:val="Appendix2"/>
      <w:lvlText w:val="%1.%2"/>
      <w:lvlJc w:val="left"/>
      <w:pPr>
        <w:tabs>
          <w:tab w:val="num" w:pos="-144"/>
        </w:tabs>
        <w:ind w:left="-144" w:hanging="576"/>
      </w:pPr>
      <w:rPr>
        <w:rFonts w:hint="default"/>
      </w:rPr>
    </w:lvl>
    <w:lvl w:ilvl="2">
      <w:start w:val="1"/>
      <w:numFmt w:val="decimal"/>
      <w:pStyle w:val="Appendix3"/>
      <w:lvlText w:val="%1.%2.%3"/>
      <w:lvlJc w:val="left"/>
      <w:pPr>
        <w:tabs>
          <w:tab w:val="num" w:pos="0"/>
        </w:tabs>
        <w:ind w:left="0" w:hanging="720"/>
      </w:pPr>
      <w:rPr>
        <w:rFonts w:hint="default"/>
      </w:rPr>
    </w:lvl>
    <w:lvl w:ilvl="3">
      <w:start w:val="1"/>
      <w:numFmt w:val="none"/>
      <w:pStyle w:val="Appendix4"/>
      <w:suff w:val="nothing"/>
      <w:lvlText w:val=""/>
      <w:lvlJc w:val="left"/>
      <w:pPr>
        <w:ind w:left="144" w:hanging="864"/>
      </w:pPr>
      <w:rPr>
        <w:rFonts w:hint="default"/>
      </w:rPr>
    </w:lvl>
    <w:lvl w:ilvl="4">
      <w:start w:val="1"/>
      <w:numFmt w:val="decimal"/>
      <w:lvlText w:val="%1.%2.%3.%4.%5"/>
      <w:lvlJc w:val="left"/>
      <w:pPr>
        <w:tabs>
          <w:tab w:val="num" w:pos="288"/>
        </w:tabs>
        <w:ind w:left="288" w:hanging="1008"/>
      </w:pPr>
      <w:rPr>
        <w:rFonts w:hint="default"/>
      </w:rPr>
    </w:lvl>
    <w:lvl w:ilvl="5">
      <w:start w:val="1"/>
      <w:numFmt w:val="decimal"/>
      <w:lvlText w:val="%1.%2.%3.%4.%5.%6"/>
      <w:lvlJc w:val="left"/>
      <w:pPr>
        <w:tabs>
          <w:tab w:val="num" w:pos="432"/>
        </w:tabs>
        <w:ind w:left="432" w:hanging="1152"/>
      </w:pPr>
      <w:rPr>
        <w:rFonts w:hint="default"/>
      </w:rPr>
    </w:lvl>
    <w:lvl w:ilvl="6">
      <w:start w:val="1"/>
      <w:numFmt w:val="decimal"/>
      <w:lvlText w:val="%1.%2.%3.%4.%5.%6.%7"/>
      <w:lvlJc w:val="left"/>
      <w:pPr>
        <w:tabs>
          <w:tab w:val="num" w:pos="576"/>
        </w:tabs>
        <w:ind w:left="576" w:hanging="1296"/>
      </w:pPr>
      <w:rPr>
        <w:rFonts w:hint="default"/>
      </w:rPr>
    </w:lvl>
    <w:lvl w:ilvl="7">
      <w:start w:val="1"/>
      <w:numFmt w:val="decimal"/>
      <w:lvlText w:val="%1.%2.%3.%4.%5.%6.%7.%8"/>
      <w:lvlJc w:val="left"/>
      <w:pPr>
        <w:tabs>
          <w:tab w:val="num" w:pos="720"/>
        </w:tabs>
        <w:ind w:left="720" w:hanging="1440"/>
      </w:pPr>
      <w:rPr>
        <w:rFonts w:hint="default"/>
      </w:rPr>
    </w:lvl>
    <w:lvl w:ilvl="8">
      <w:start w:val="1"/>
      <w:numFmt w:val="decimal"/>
      <w:lvlText w:val="%1.%2.%3.%4.%5.%6.%7.%8.%9"/>
      <w:lvlJc w:val="left"/>
      <w:pPr>
        <w:tabs>
          <w:tab w:val="num" w:pos="864"/>
        </w:tabs>
        <w:ind w:left="864" w:hanging="1584"/>
      </w:pPr>
      <w:rPr>
        <w:rFonts w:hint="default"/>
      </w:rPr>
    </w:lvl>
  </w:abstractNum>
  <w:abstractNum w:abstractNumId="16" w15:restartNumberingAfterBreak="0">
    <w:nsid w:val="349163CC"/>
    <w:multiLevelType w:val="hybridMultilevel"/>
    <w:tmpl w:val="7C927C1E"/>
    <w:lvl w:ilvl="0" w:tplc="A83EE114">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7" w15:restartNumberingAfterBreak="0">
    <w:nsid w:val="431422BE"/>
    <w:multiLevelType w:val="hybridMultilevel"/>
    <w:tmpl w:val="02B6778C"/>
    <w:lvl w:ilvl="0" w:tplc="0409001B">
      <w:start w:val="1"/>
      <w:numFmt w:val="lowerRoman"/>
      <w:lvlText w:val="%1."/>
      <w:lvlJc w:val="righ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6D3BD3"/>
    <w:multiLevelType w:val="hybridMultilevel"/>
    <w:tmpl w:val="880821DA"/>
    <w:lvl w:ilvl="0" w:tplc="F23C82C2">
      <w:start w:val="1"/>
      <w:numFmt w:val="bullet"/>
      <w:lvlText w:val="•"/>
      <w:lvlJc w:val="left"/>
      <w:pPr>
        <w:tabs>
          <w:tab w:val="num" w:pos="720"/>
        </w:tabs>
        <w:ind w:left="720" w:hanging="360"/>
      </w:pPr>
      <w:rPr>
        <w:rFonts w:ascii="Arial" w:hAnsi="Arial" w:hint="default"/>
      </w:rPr>
    </w:lvl>
    <w:lvl w:ilvl="1" w:tplc="CDACB4D2" w:tentative="1">
      <w:start w:val="1"/>
      <w:numFmt w:val="bullet"/>
      <w:lvlText w:val="•"/>
      <w:lvlJc w:val="left"/>
      <w:pPr>
        <w:tabs>
          <w:tab w:val="num" w:pos="1440"/>
        </w:tabs>
        <w:ind w:left="1440" w:hanging="360"/>
      </w:pPr>
      <w:rPr>
        <w:rFonts w:ascii="Arial" w:hAnsi="Arial" w:hint="default"/>
      </w:rPr>
    </w:lvl>
    <w:lvl w:ilvl="2" w:tplc="593A5DCA" w:tentative="1">
      <w:start w:val="1"/>
      <w:numFmt w:val="bullet"/>
      <w:lvlText w:val="•"/>
      <w:lvlJc w:val="left"/>
      <w:pPr>
        <w:tabs>
          <w:tab w:val="num" w:pos="2160"/>
        </w:tabs>
        <w:ind w:left="2160" w:hanging="360"/>
      </w:pPr>
      <w:rPr>
        <w:rFonts w:ascii="Arial" w:hAnsi="Arial" w:hint="default"/>
      </w:rPr>
    </w:lvl>
    <w:lvl w:ilvl="3" w:tplc="91BC7286" w:tentative="1">
      <w:start w:val="1"/>
      <w:numFmt w:val="bullet"/>
      <w:lvlText w:val="•"/>
      <w:lvlJc w:val="left"/>
      <w:pPr>
        <w:tabs>
          <w:tab w:val="num" w:pos="2880"/>
        </w:tabs>
        <w:ind w:left="2880" w:hanging="360"/>
      </w:pPr>
      <w:rPr>
        <w:rFonts w:ascii="Arial" w:hAnsi="Arial" w:hint="default"/>
      </w:rPr>
    </w:lvl>
    <w:lvl w:ilvl="4" w:tplc="1402D3A4" w:tentative="1">
      <w:start w:val="1"/>
      <w:numFmt w:val="bullet"/>
      <w:lvlText w:val="•"/>
      <w:lvlJc w:val="left"/>
      <w:pPr>
        <w:tabs>
          <w:tab w:val="num" w:pos="3600"/>
        </w:tabs>
        <w:ind w:left="3600" w:hanging="360"/>
      </w:pPr>
      <w:rPr>
        <w:rFonts w:ascii="Arial" w:hAnsi="Arial" w:hint="default"/>
      </w:rPr>
    </w:lvl>
    <w:lvl w:ilvl="5" w:tplc="DD6E6728" w:tentative="1">
      <w:start w:val="1"/>
      <w:numFmt w:val="bullet"/>
      <w:lvlText w:val="•"/>
      <w:lvlJc w:val="left"/>
      <w:pPr>
        <w:tabs>
          <w:tab w:val="num" w:pos="4320"/>
        </w:tabs>
        <w:ind w:left="4320" w:hanging="360"/>
      </w:pPr>
      <w:rPr>
        <w:rFonts w:ascii="Arial" w:hAnsi="Arial" w:hint="default"/>
      </w:rPr>
    </w:lvl>
    <w:lvl w:ilvl="6" w:tplc="0564096C" w:tentative="1">
      <w:start w:val="1"/>
      <w:numFmt w:val="bullet"/>
      <w:lvlText w:val="•"/>
      <w:lvlJc w:val="left"/>
      <w:pPr>
        <w:tabs>
          <w:tab w:val="num" w:pos="5040"/>
        </w:tabs>
        <w:ind w:left="5040" w:hanging="360"/>
      </w:pPr>
      <w:rPr>
        <w:rFonts w:ascii="Arial" w:hAnsi="Arial" w:hint="default"/>
      </w:rPr>
    </w:lvl>
    <w:lvl w:ilvl="7" w:tplc="EE88763E" w:tentative="1">
      <w:start w:val="1"/>
      <w:numFmt w:val="bullet"/>
      <w:lvlText w:val="•"/>
      <w:lvlJc w:val="left"/>
      <w:pPr>
        <w:tabs>
          <w:tab w:val="num" w:pos="5760"/>
        </w:tabs>
        <w:ind w:left="5760" w:hanging="360"/>
      </w:pPr>
      <w:rPr>
        <w:rFonts w:ascii="Arial" w:hAnsi="Arial" w:hint="default"/>
      </w:rPr>
    </w:lvl>
    <w:lvl w:ilvl="8" w:tplc="C8C0243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48900E0"/>
    <w:multiLevelType w:val="hybridMultilevel"/>
    <w:tmpl w:val="9D0E92B8"/>
    <w:lvl w:ilvl="0" w:tplc="0B1A531E">
      <w:start w:val="1"/>
      <w:numFmt w:val="bullet"/>
      <w:lvlText w:val="•"/>
      <w:lvlJc w:val="left"/>
      <w:pPr>
        <w:tabs>
          <w:tab w:val="num" w:pos="720"/>
        </w:tabs>
        <w:ind w:left="720" w:hanging="360"/>
      </w:pPr>
      <w:rPr>
        <w:rFonts w:ascii="Arial" w:hAnsi="Arial" w:hint="default"/>
      </w:rPr>
    </w:lvl>
    <w:lvl w:ilvl="1" w:tplc="1FF69212" w:tentative="1">
      <w:start w:val="1"/>
      <w:numFmt w:val="bullet"/>
      <w:lvlText w:val="•"/>
      <w:lvlJc w:val="left"/>
      <w:pPr>
        <w:tabs>
          <w:tab w:val="num" w:pos="1440"/>
        </w:tabs>
        <w:ind w:left="1440" w:hanging="360"/>
      </w:pPr>
      <w:rPr>
        <w:rFonts w:ascii="Arial" w:hAnsi="Arial" w:hint="default"/>
      </w:rPr>
    </w:lvl>
    <w:lvl w:ilvl="2" w:tplc="1FD0BFC6" w:tentative="1">
      <w:start w:val="1"/>
      <w:numFmt w:val="bullet"/>
      <w:lvlText w:val="•"/>
      <w:lvlJc w:val="left"/>
      <w:pPr>
        <w:tabs>
          <w:tab w:val="num" w:pos="2160"/>
        </w:tabs>
        <w:ind w:left="2160" w:hanging="360"/>
      </w:pPr>
      <w:rPr>
        <w:rFonts w:ascii="Arial" w:hAnsi="Arial" w:hint="default"/>
      </w:rPr>
    </w:lvl>
    <w:lvl w:ilvl="3" w:tplc="8240601A" w:tentative="1">
      <w:start w:val="1"/>
      <w:numFmt w:val="bullet"/>
      <w:lvlText w:val="•"/>
      <w:lvlJc w:val="left"/>
      <w:pPr>
        <w:tabs>
          <w:tab w:val="num" w:pos="2880"/>
        </w:tabs>
        <w:ind w:left="2880" w:hanging="360"/>
      </w:pPr>
      <w:rPr>
        <w:rFonts w:ascii="Arial" w:hAnsi="Arial" w:hint="default"/>
      </w:rPr>
    </w:lvl>
    <w:lvl w:ilvl="4" w:tplc="45BC9AB0" w:tentative="1">
      <w:start w:val="1"/>
      <w:numFmt w:val="bullet"/>
      <w:lvlText w:val="•"/>
      <w:lvlJc w:val="left"/>
      <w:pPr>
        <w:tabs>
          <w:tab w:val="num" w:pos="3600"/>
        </w:tabs>
        <w:ind w:left="3600" w:hanging="360"/>
      </w:pPr>
      <w:rPr>
        <w:rFonts w:ascii="Arial" w:hAnsi="Arial" w:hint="default"/>
      </w:rPr>
    </w:lvl>
    <w:lvl w:ilvl="5" w:tplc="BC021E7C" w:tentative="1">
      <w:start w:val="1"/>
      <w:numFmt w:val="bullet"/>
      <w:lvlText w:val="•"/>
      <w:lvlJc w:val="left"/>
      <w:pPr>
        <w:tabs>
          <w:tab w:val="num" w:pos="4320"/>
        </w:tabs>
        <w:ind w:left="4320" w:hanging="360"/>
      </w:pPr>
      <w:rPr>
        <w:rFonts w:ascii="Arial" w:hAnsi="Arial" w:hint="default"/>
      </w:rPr>
    </w:lvl>
    <w:lvl w:ilvl="6" w:tplc="C45464F8" w:tentative="1">
      <w:start w:val="1"/>
      <w:numFmt w:val="bullet"/>
      <w:lvlText w:val="•"/>
      <w:lvlJc w:val="left"/>
      <w:pPr>
        <w:tabs>
          <w:tab w:val="num" w:pos="5040"/>
        </w:tabs>
        <w:ind w:left="5040" w:hanging="360"/>
      </w:pPr>
      <w:rPr>
        <w:rFonts w:ascii="Arial" w:hAnsi="Arial" w:hint="default"/>
      </w:rPr>
    </w:lvl>
    <w:lvl w:ilvl="7" w:tplc="DD604D80" w:tentative="1">
      <w:start w:val="1"/>
      <w:numFmt w:val="bullet"/>
      <w:lvlText w:val="•"/>
      <w:lvlJc w:val="left"/>
      <w:pPr>
        <w:tabs>
          <w:tab w:val="num" w:pos="5760"/>
        </w:tabs>
        <w:ind w:left="5760" w:hanging="360"/>
      </w:pPr>
      <w:rPr>
        <w:rFonts w:ascii="Arial" w:hAnsi="Arial" w:hint="default"/>
      </w:rPr>
    </w:lvl>
    <w:lvl w:ilvl="8" w:tplc="950A3F9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C983A68"/>
    <w:multiLevelType w:val="multilevel"/>
    <w:tmpl w:val="6AD60628"/>
    <w:lvl w:ilvl="0">
      <w:start w:val="1"/>
      <w:numFmt w:val="upperLetter"/>
      <w:suff w:val="nothing"/>
      <w:lvlText w:val="Appendix %1"/>
      <w:lvlJc w:val="left"/>
      <w:pPr>
        <w:ind w:left="-288" w:hanging="432"/>
      </w:pPr>
      <w:rPr>
        <w:rFonts w:hint="default"/>
      </w:rPr>
    </w:lvl>
    <w:lvl w:ilvl="1">
      <w:start w:val="1"/>
      <w:numFmt w:val="decimal"/>
      <w:lvlText w:val="%1.%2"/>
      <w:lvlJc w:val="left"/>
      <w:pPr>
        <w:tabs>
          <w:tab w:val="num" w:pos="-144"/>
        </w:tabs>
        <w:ind w:left="-144" w:hanging="576"/>
      </w:pPr>
      <w:rPr>
        <w:rFonts w:hint="default"/>
      </w:rPr>
    </w:lvl>
    <w:lvl w:ilvl="2">
      <w:start w:val="1"/>
      <w:numFmt w:val="decimal"/>
      <w:lvlText w:val="%1.%2.%3"/>
      <w:lvlJc w:val="left"/>
      <w:pPr>
        <w:tabs>
          <w:tab w:val="num" w:pos="0"/>
        </w:tabs>
        <w:ind w:left="0" w:hanging="720"/>
      </w:pPr>
      <w:rPr>
        <w:rFonts w:hint="default"/>
      </w:rPr>
    </w:lvl>
    <w:lvl w:ilvl="3">
      <w:start w:val="1"/>
      <w:numFmt w:val="none"/>
      <w:suff w:val="nothing"/>
      <w:lvlText w:val=""/>
      <w:lvlJc w:val="left"/>
      <w:pPr>
        <w:ind w:left="144" w:hanging="864"/>
      </w:pPr>
      <w:rPr>
        <w:rFonts w:hint="default"/>
      </w:rPr>
    </w:lvl>
    <w:lvl w:ilvl="4">
      <w:start w:val="1"/>
      <w:numFmt w:val="decimal"/>
      <w:lvlText w:val="%1.%2.%3.%4.%5"/>
      <w:lvlJc w:val="left"/>
      <w:pPr>
        <w:tabs>
          <w:tab w:val="num" w:pos="288"/>
        </w:tabs>
        <w:ind w:left="288" w:hanging="1008"/>
      </w:pPr>
      <w:rPr>
        <w:rFonts w:hint="default"/>
      </w:rPr>
    </w:lvl>
    <w:lvl w:ilvl="5">
      <w:start w:val="1"/>
      <w:numFmt w:val="decimal"/>
      <w:lvlText w:val="%1.%2.%3.%4.%5.%6"/>
      <w:lvlJc w:val="left"/>
      <w:pPr>
        <w:tabs>
          <w:tab w:val="num" w:pos="432"/>
        </w:tabs>
        <w:ind w:left="432" w:hanging="1152"/>
      </w:pPr>
      <w:rPr>
        <w:rFonts w:hint="default"/>
      </w:rPr>
    </w:lvl>
    <w:lvl w:ilvl="6">
      <w:start w:val="1"/>
      <w:numFmt w:val="decimal"/>
      <w:lvlText w:val="%1.%2.%3.%4.%5.%6.%7"/>
      <w:lvlJc w:val="left"/>
      <w:pPr>
        <w:tabs>
          <w:tab w:val="num" w:pos="576"/>
        </w:tabs>
        <w:ind w:left="576" w:hanging="1296"/>
      </w:pPr>
      <w:rPr>
        <w:rFonts w:hint="default"/>
      </w:rPr>
    </w:lvl>
    <w:lvl w:ilvl="7">
      <w:start w:val="1"/>
      <w:numFmt w:val="decimal"/>
      <w:lvlText w:val="%1.%2.%3.%4.%5.%6.%7.%8"/>
      <w:lvlJc w:val="left"/>
      <w:pPr>
        <w:tabs>
          <w:tab w:val="num" w:pos="720"/>
        </w:tabs>
        <w:ind w:left="720" w:hanging="1440"/>
      </w:pPr>
      <w:rPr>
        <w:rFonts w:hint="default"/>
      </w:rPr>
    </w:lvl>
    <w:lvl w:ilvl="8">
      <w:start w:val="1"/>
      <w:numFmt w:val="decimal"/>
      <w:lvlText w:val="%1.%2.%3.%4.%5.%6.%7.%8.%9"/>
      <w:lvlJc w:val="left"/>
      <w:pPr>
        <w:tabs>
          <w:tab w:val="num" w:pos="864"/>
        </w:tabs>
        <w:ind w:left="864" w:hanging="1584"/>
      </w:pPr>
      <w:rPr>
        <w:rFonts w:hint="default"/>
      </w:rPr>
    </w:lvl>
  </w:abstractNum>
  <w:abstractNum w:abstractNumId="21" w15:restartNumberingAfterBreak="0">
    <w:nsid w:val="4D8C39DE"/>
    <w:multiLevelType w:val="hybridMultilevel"/>
    <w:tmpl w:val="53B23156"/>
    <w:lvl w:ilvl="0" w:tplc="1E0C2E4C">
      <w:start w:val="1"/>
      <w:numFmt w:val="lowerRoman"/>
      <w:lvlText w:val="%1."/>
      <w:lvlJc w:val="left"/>
      <w:pPr>
        <w:ind w:left="114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316331C"/>
    <w:multiLevelType w:val="singleLevel"/>
    <w:tmpl w:val="19961988"/>
    <w:lvl w:ilvl="0">
      <w:start w:val="1"/>
      <w:numFmt w:val="decimal"/>
      <w:pStyle w:val="ListNumber"/>
      <w:lvlText w:val="%1."/>
      <w:lvlJc w:val="left"/>
      <w:pPr>
        <w:tabs>
          <w:tab w:val="num" w:pos="562"/>
        </w:tabs>
        <w:ind w:left="562" w:hanging="562"/>
      </w:pPr>
    </w:lvl>
  </w:abstractNum>
  <w:abstractNum w:abstractNumId="23" w15:restartNumberingAfterBreak="0">
    <w:nsid w:val="56CD4239"/>
    <w:multiLevelType w:val="hybridMultilevel"/>
    <w:tmpl w:val="67C6B47C"/>
    <w:lvl w:ilvl="0" w:tplc="7A7669E0">
      <w:start w:val="1"/>
      <w:numFmt w:val="bullet"/>
      <w:lvlText w:val="•"/>
      <w:lvlJc w:val="left"/>
      <w:pPr>
        <w:tabs>
          <w:tab w:val="num" w:pos="720"/>
        </w:tabs>
        <w:ind w:left="720" w:hanging="360"/>
      </w:pPr>
      <w:rPr>
        <w:rFonts w:ascii="Arial" w:hAnsi="Arial" w:hint="default"/>
      </w:rPr>
    </w:lvl>
    <w:lvl w:ilvl="1" w:tplc="55CA9892" w:tentative="1">
      <w:start w:val="1"/>
      <w:numFmt w:val="bullet"/>
      <w:lvlText w:val="•"/>
      <w:lvlJc w:val="left"/>
      <w:pPr>
        <w:tabs>
          <w:tab w:val="num" w:pos="1440"/>
        </w:tabs>
        <w:ind w:left="1440" w:hanging="360"/>
      </w:pPr>
      <w:rPr>
        <w:rFonts w:ascii="Arial" w:hAnsi="Arial" w:hint="default"/>
      </w:rPr>
    </w:lvl>
    <w:lvl w:ilvl="2" w:tplc="A3160378" w:tentative="1">
      <w:start w:val="1"/>
      <w:numFmt w:val="bullet"/>
      <w:lvlText w:val="•"/>
      <w:lvlJc w:val="left"/>
      <w:pPr>
        <w:tabs>
          <w:tab w:val="num" w:pos="2160"/>
        </w:tabs>
        <w:ind w:left="2160" w:hanging="360"/>
      </w:pPr>
      <w:rPr>
        <w:rFonts w:ascii="Arial" w:hAnsi="Arial" w:hint="default"/>
      </w:rPr>
    </w:lvl>
    <w:lvl w:ilvl="3" w:tplc="51E891F8" w:tentative="1">
      <w:start w:val="1"/>
      <w:numFmt w:val="bullet"/>
      <w:lvlText w:val="•"/>
      <w:lvlJc w:val="left"/>
      <w:pPr>
        <w:tabs>
          <w:tab w:val="num" w:pos="2880"/>
        </w:tabs>
        <w:ind w:left="2880" w:hanging="360"/>
      </w:pPr>
      <w:rPr>
        <w:rFonts w:ascii="Arial" w:hAnsi="Arial" w:hint="default"/>
      </w:rPr>
    </w:lvl>
    <w:lvl w:ilvl="4" w:tplc="7CEAAC68" w:tentative="1">
      <w:start w:val="1"/>
      <w:numFmt w:val="bullet"/>
      <w:lvlText w:val="•"/>
      <w:lvlJc w:val="left"/>
      <w:pPr>
        <w:tabs>
          <w:tab w:val="num" w:pos="3600"/>
        </w:tabs>
        <w:ind w:left="3600" w:hanging="360"/>
      </w:pPr>
      <w:rPr>
        <w:rFonts w:ascii="Arial" w:hAnsi="Arial" w:hint="default"/>
      </w:rPr>
    </w:lvl>
    <w:lvl w:ilvl="5" w:tplc="944A5F0C" w:tentative="1">
      <w:start w:val="1"/>
      <w:numFmt w:val="bullet"/>
      <w:lvlText w:val="•"/>
      <w:lvlJc w:val="left"/>
      <w:pPr>
        <w:tabs>
          <w:tab w:val="num" w:pos="4320"/>
        </w:tabs>
        <w:ind w:left="4320" w:hanging="360"/>
      </w:pPr>
      <w:rPr>
        <w:rFonts w:ascii="Arial" w:hAnsi="Arial" w:hint="default"/>
      </w:rPr>
    </w:lvl>
    <w:lvl w:ilvl="6" w:tplc="ABA0CAAA" w:tentative="1">
      <w:start w:val="1"/>
      <w:numFmt w:val="bullet"/>
      <w:lvlText w:val="•"/>
      <w:lvlJc w:val="left"/>
      <w:pPr>
        <w:tabs>
          <w:tab w:val="num" w:pos="5040"/>
        </w:tabs>
        <w:ind w:left="5040" w:hanging="360"/>
      </w:pPr>
      <w:rPr>
        <w:rFonts w:ascii="Arial" w:hAnsi="Arial" w:hint="default"/>
      </w:rPr>
    </w:lvl>
    <w:lvl w:ilvl="7" w:tplc="5C92CC7C" w:tentative="1">
      <w:start w:val="1"/>
      <w:numFmt w:val="bullet"/>
      <w:lvlText w:val="•"/>
      <w:lvlJc w:val="left"/>
      <w:pPr>
        <w:tabs>
          <w:tab w:val="num" w:pos="5760"/>
        </w:tabs>
        <w:ind w:left="5760" w:hanging="360"/>
      </w:pPr>
      <w:rPr>
        <w:rFonts w:ascii="Arial" w:hAnsi="Arial" w:hint="default"/>
      </w:rPr>
    </w:lvl>
    <w:lvl w:ilvl="8" w:tplc="6552614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6E37BC1"/>
    <w:multiLevelType w:val="multilevel"/>
    <w:tmpl w:val="F2C28F76"/>
    <w:lvl w:ilvl="0">
      <w:start w:val="1"/>
      <w:numFmt w:val="upperLetter"/>
      <w:suff w:val="nothing"/>
      <w:lvlText w:val="Appendix %1:  "/>
      <w:lvlJc w:val="left"/>
      <w:pPr>
        <w:ind w:left="-288" w:hanging="432"/>
      </w:pPr>
      <w:rPr>
        <w:rFonts w:hint="default"/>
      </w:rPr>
    </w:lvl>
    <w:lvl w:ilvl="1">
      <w:start w:val="1"/>
      <w:numFmt w:val="decimal"/>
      <w:lvlText w:val="%1.%2"/>
      <w:lvlJc w:val="left"/>
      <w:pPr>
        <w:tabs>
          <w:tab w:val="num" w:pos="-144"/>
        </w:tabs>
        <w:ind w:left="-144" w:hanging="576"/>
      </w:pPr>
      <w:rPr>
        <w:rFonts w:hint="default"/>
      </w:rPr>
    </w:lvl>
    <w:lvl w:ilvl="2">
      <w:start w:val="1"/>
      <w:numFmt w:val="decimal"/>
      <w:lvlText w:val="%1.%2.%3"/>
      <w:lvlJc w:val="left"/>
      <w:pPr>
        <w:tabs>
          <w:tab w:val="num" w:pos="0"/>
        </w:tabs>
        <w:ind w:left="0" w:hanging="720"/>
      </w:pPr>
      <w:rPr>
        <w:rFonts w:hint="default"/>
      </w:rPr>
    </w:lvl>
    <w:lvl w:ilvl="3">
      <w:start w:val="1"/>
      <w:numFmt w:val="none"/>
      <w:suff w:val="nothing"/>
      <w:lvlText w:val=""/>
      <w:lvlJc w:val="left"/>
      <w:pPr>
        <w:ind w:left="144" w:hanging="864"/>
      </w:pPr>
      <w:rPr>
        <w:rFonts w:hint="default"/>
      </w:rPr>
    </w:lvl>
    <w:lvl w:ilvl="4">
      <w:start w:val="1"/>
      <w:numFmt w:val="decimal"/>
      <w:lvlText w:val="%1.%2.%3.%4.%5"/>
      <w:lvlJc w:val="left"/>
      <w:pPr>
        <w:tabs>
          <w:tab w:val="num" w:pos="288"/>
        </w:tabs>
        <w:ind w:left="288" w:hanging="1008"/>
      </w:pPr>
      <w:rPr>
        <w:rFonts w:hint="default"/>
      </w:rPr>
    </w:lvl>
    <w:lvl w:ilvl="5">
      <w:start w:val="1"/>
      <w:numFmt w:val="decimal"/>
      <w:lvlText w:val="%1.%2.%3.%4.%5.%6"/>
      <w:lvlJc w:val="left"/>
      <w:pPr>
        <w:tabs>
          <w:tab w:val="num" w:pos="432"/>
        </w:tabs>
        <w:ind w:left="432" w:hanging="1152"/>
      </w:pPr>
      <w:rPr>
        <w:rFonts w:hint="default"/>
      </w:rPr>
    </w:lvl>
    <w:lvl w:ilvl="6">
      <w:start w:val="1"/>
      <w:numFmt w:val="decimal"/>
      <w:lvlText w:val="%1.%2.%3.%4.%5.%6.%7"/>
      <w:lvlJc w:val="left"/>
      <w:pPr>
        <w:tabs>
          <w:tab w:val="num" w:pos="576"/>
        </w:tabs>
        <w:ind w:left="576" w:hanging="1296"/>
      </w:pPr>
      <w:rPr>
        <w:rFonts w:hint="default"/>
      </w:rPr>
    </w:lvl>
    <w:lvl w:ilvl="7">
      <w:start w:val="1"/>
      <w:numFmt w:val="decimal"/>
      <w:lvlText w:val="%1.%2.%3.%4.%5.%6.%7.%8"/>
      <w:lvlJc w:val="left"/>
      <w:pPr>
        <w:tabs>
          <w:tab w:val="num" w:pos="720"/>
        </w:tabs>
        <w:ind w:left="720" w:hanging="1440"/>
      </w:pPr>
      <w:rPr>
        <w:rFonts w:hint="default"/>
      </w:rPr>
    </w:lvl>
    <w:lvl w:ilvl="8">
      <w:start w:val="1"/>
      <w:numFmt w:val="decimal"/>
      <w:lvlText w:val="%1.%2.%3.%4.%5.%6.%7.%8.%9"/>
      <w:lvlJc w:val="left"/>
      <w:pPr>
        <w:tabs>
          <w:tab w:val="num" w:pos="864"/>
        </w:tabs>
        <w:ind w:left="864" w:hanging="1584"/>
      </w:pPr>
      <w:rPr>
        <w:rFonts w:hint="default"/>
      </w:rPr>
    </w:lvl>
  </w:abstractNum>
  <w:abstractNum w:abstractNumId="25" w15:restartNumberingAfterBreak="0">
    <w:nsid w:val="68D03412"/>
    <w:multiLevelType w:val="hybridMultilevel"/>
    <w:tmpl w:val="8E1E912E"/>
    <w:lvl w:ilvl="0" w:tplc="11763F3E">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A73C03"/>
    <w:multiLevelType w:val="singleLevel"/>
    <w:tmpl w:val="C9B6DD70"/>
    <w:lvl w:ilvl="0">
      <w:start w:val="1"/>
      <w:numFmt w:val="bullet"/>
      <w:pStyle w:val="ListBullet"/>
      <w:lvlText w:val=""/>
      <w:lvlJc w:val="left"/>
      <w:pPr>
        <w:tabs>
          <w:tab w:val="num" w:pos="360"/>
        </w:tabs>
        <w:ind w:left="360" w:hanging="360"/>
      </w:pPr>
      <w:rPr>
        <w:rFonts w:ascii="Symbol" w:hAnsi="Symbol" w:hint="default"/>
      </w:rPr>
    </w:lvl>
  </w:abstractNum>
  <w:abstractNum w:abstractNumId="27" w15:restartNumberingAfterBreak="0">
    <w:nsid w:val="713B34AE"/>
    <w:multiLevelType w:val="hybridMultilevel"/>
    <w:tmpl w:val="FAAC65EC"/>
    <w:lvl w:ilvl="0" w:tplc="7D629862">
      <w:start w:val="1"/>
      <w:numFmt w:val="lowerLetter"/>
      <w:pStyle w:val="ListLetter2"/>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B327D5C"/>
    <w:multiLevelType w:val="hybridMultilevel"/>
    <w:tmpl w:val="F21CCDE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15"/>
  </w:num>
  <w:num w:numId="2">
    <w:abstractNumId w:val="2"/>
  </w:num>
  <w:num w:numId="3">
    <w:abstractNumId w:val="26"/>
  </w:num>
  <w:num w:numId="4">
    <w:abstractNumId w:val="22"/>
  </w:num>
  <w:num w:numId="5">
    <w:abstractNumId w:val="12"/>
  </w:num>
  <w:num w:numId="6">
    <w:abstractNumId w:val="2"/>
  </w:num>
  <w:num w:numId="7">
    <w:abstractNumId w:val="25"/>
  </w:num>
  <w:num w:numId="8">
    <w:abstractNumId w:val="5"/>
  </w:num>
  <w:num w:numId="9">
    <w:abstractNumId w:val="9"/>
  </w:num>
  <w:num w:numId="10">
    <w:abstractNumId w:val="27"/>
  </w:num>
  <w:num w:numId="11">
    <w:abstractNumId w:val="6"/>
  </w:num>
  <w:num w:numId="12">
    <w:abstractNumId w:val="19"/>
  </w:num>
  <w:num w:numId="13">
    <w:abstractNumId w:val="11"/>
  </w:num>
  <w:num w:numId="14">
    <w:abstractNumId w:val="18"/>
  </w:num>
  <w:num w:numId="15">
    <w:abstractNumId w:val="7"/>
  </w:num>
  <w:num w:numId="16">
    <w:abstractNumId w:val="8"/>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24"/>
  </w:num>
  <w:num w:numId="20">
    <w:abstractNumId w:val="10"/>
  </w:num>
  <w:num w:numId="21">
    <w:abstractNumId w:val="4"/>
  </w:num>
  <w:num w:numId="22">
    <w:abstractNumId w:val="17"/>
  </w:num>
  <w:num w:numId="23">
    <w:abstractNumId w:val="21"/>
  </w:num>
  <w:num w:numId="24">
    <w:abstractNumId w:val="0"/>
  </w:num>
  <w:num w:numId="25">
    <w:abstractNumId w:val="13"/>
  </w:num>
  <w:num w:numId="26">
    <w:abstractNumId w:val="27"/>
    <w:lvlOverride w:ilvl="0">
      <w:startOverride w:val="1"/>
    </w:lvlOverride>
  </w:num>
  <w:num w:numId="27">
    <w:abstractNumId w:val="3"/>
  </w:num>
  <w:num w:numId="28">
    <w:abstractNumId w:val="23"/>
  </w:num>
  <w:num w:numId="29">
    <w:abstractNumId w:val="1"/>
  </w:num>
  <w:num w:numId="30">
    <w:abstractNumId w:val="14"/>
  </w:num>
  <w:num w:numId="31">
    <w:abstractNumId w:val="16"/>
  </w:num>
  <w:num w:numId="32">
    <w:abstractNumId w:val="28"/>
  </w:num>
  <w:num w:numId="33">
    <w:abstractNumId w:val="5"/>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activeWritingStyle w:appName="MSWord" w:lang="en-GB" w:vendorID="8" w:dllVersion="513" w:checkStyle="1"/>
  <w:activeWritingStyle w:appName="MSWord" w:lang="en-AU" w:vendorID="8" w:dllVersion="513" w:checkStyle="1"/>
  <w:activeWritingStyle w:appName="MSWord" w:lang="en-US" w:vendorID="8" w:dllVersion="513" w:checkStyle="1"/>
  <w:activeWritingStyle w:appName="MSWord" w:lang="en-NZ"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81"/>
  <w:drawingGridVerticalSpacing w:val="181"/>
  <w:displayHorizontalDrawingGridEvery w:val="0"/>
  <w:displayVerticalDrawingGridEvery w:val="0"/>
  <w:doNotUseMarginsForDrawingGridOrigin/>
  <w:drawingGridVerticalOrigin w:val="1985"/>
  <w:doNotShadeFormData/>
  <w:noPunctuationKerning/>
  <w:characterSpacingControl w:val="doNotCompress"/>
  <w:hdrShapeDefaults>
    <o:shapedefaults v:ext="edit" spidmax="2049">
      <o:colormru v:ext="edit" colors="#568a9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EDC"/>
    <w:rsid w:val="00000B73"/>
    <w:rsid w:val="00001069"/>
    <w:rsid w:val="000031F3"/>
    <w:rsid w:val="00010CA8"/>
    <w:rsid w:val="00012371"/>
    <w:rsid w:val="00017396"/>
    <w:rsid w:val="000200B4"/>
    <w:rsid w:val="0002141A"/>
    <w:rsid w:val="000236EB"/>
    <w:rsid w:val="00024482"/>
    <w:rsid w:val="00024A5F"/>
    <w:rsid w:val="00025585"/>
    <w:rsid w:val="00031F58"/>
    <w:rsid w:val="00035BF4"/>
    <w:rsid w:val="00040343"/>
    <w:rsid w:val="0004270D"/>
    <w:rsid w:val="00043C0E"/>
    <w:rsid w:val="00044E2B"/>
    <w:rsid w:val="00047030"/>
    <w:rsid w:val="00047BAD"/>
    <w:rsid w:val="000544BF"/>
    <w:rsid w:val="000562B7"/>
    <w:rsid w:val="000606B2"/>
    <w:rsid w:val="00061315"/>
    <w:rsid w:val="000625CB"/>
    <w:rsid w:val="00063B5F"/>
    <w:rsid w:val="00070AC2"/>
    <w:rsid w:val="00072209"/>
    <w:rsid w:val="0007467B"/>
    <w:rsid w:val="000746D4"/>
    <w:rsid w:val="00080033"/>
    <w:rsid w:val="000800D1"/>
    <w:rsid w:val="00080520"/>
    <w:rsid w:val="0008440B"/>
    <w:rsid w:val="0008473E"/>
    <w:rsid w:val="00092111"/>
    <w:rsid w:val="00096420"/>
    <w:rsid w:val="000A7C90"/>
    <w:rsid w:val="000B27BA"/>
    <w:rsid w:val="000B6FFA"/>
    <w:rsid w:val="000C16FB"/>
    <w:rsid w:val="000C22CF"/>
    <w:rsid w:val="000C256C"/>
    <w:rsid w:val="000D2D64"/>
    <w:rsid w:val="000D2DFF"/>
    <w:rsid w:val="000D4332"/>
    <w:rsid w:val="000D650D"/>
    <w:rsid w:val="000F016B"/>
    <w:rsid w:val="000F226B"/>
    <w:rsid w:val="000F57B1"/>
    <w:rsid w:val="000F788F"/>
    <w:rsid w:val="00101697"/>
    <w:rsid w:val="001038E5"/>
    <w:rsid w:val="001060B9"/>
    <w:rsid w:val="00106B70"/>
    <w:rsid w:val="00110D6E"/>
    <w:rsid w:val="00113841"/>
    <w:rsid w:val="00113D92"/>
    <w:rsid w:val="0011449C"/>
    <w:rsid w:val="00116BF9"/>
    <w:rsid w:val="00120E69"/>
    <w:rsid w:val="00122702"/>
    <w:rsid w:val="00123306"/>
    <w:rsid w:val="00123B8A"/>
    <w:rsid w:val="00126554"/>
    <w:rsid w:val="00126F20"/>
    <w:rsid w:val="0013202B"/>
    <w:rsid w:val="001364ED"/>
    <w:rsid w:val="00137D3A"/>
    <w:rsid w:val="0014000A"/>
    <w:rsid w:val="0014649C"/>
    <w:rsid w:val="00151553"/>
    <w:rsid w:val="00152F2D"/>
    <w:rsid w:val="001557F3"/>
    <w:rsid w:val="001601B1"/>
    <w:rsid w:val="00163AFC"/>
    <w:rsid w:val="0016652F"/>
    <w:rsid w:val="00166941"/>
    <w:rsid w:val="001672B1"/>
    <w:rsid w:val="0017043D"/>
    <w:rsid w:val="001711B7"/>
    <w:rsid w:val="00172D56"/>
    <w:rsid w:val="001740EE"/>
    <w:rsid w:val="0017514B"/>
    <w:rsid w:val="00175635"/>
    <w:rsid w:val="001764C6"/>
    <w:rsid w:val="00176925"/>
    <w:rsid w:val="00180D9C"/>
    <w:rsid w:val="00181B09"/>
    <w:rsid w:val="00182056"/>
    <w:rsid w:val="001826BB"/>
    <w:rsid w:val="0018423F"/>
    <w:rsid w:val="00184B0B"/>
    <w:rsid w:val="00184F55"/>
    <w:rsid w:val="001972B6"/>
    <w:rsid w:val="001A17EC"/>
    <w:rsid w:val="001A4780"/>
    <w:rsid w:val="001A4918"/>
    <w:rsid w:val="001A5913"/>
    <w:rsid w:val="001B0E6C"/>
    <w:rsid w:val="001B59AC"/>
    <w:rsid w:val="001B5CCA"/>
    <w:rsid w:val="001B64A4"/>
    <w:rsid w:val="001B687B"/>
    <w:rsid w:val="001B73E8"/>
    <w:rsid w:val="001C008A"/>
    <w:rsid w:val="001C02C0"/>
    <w:rsid w:val="001C2738"/>
    <w:rsid w:val="001D11A9"/>
    <w:rsid w:val="001D5F4F"/>
    <w:rsid w:val="001D629F"/>
    <w:rsid w:val="001E03D1"/>
    <w:rsid w:val="001E33B3"/>
    <w:rsid w:val="001E3551"/>
    <w:rsid w:val="001F2A16"/>
    <w:rsid w:val="00201501"/>
    <w:rsid w:val="00213E1A"/>
    <w:rsid w:val="002168C5"/>
    <w:rsid w:val="00221F61"/>
    <w:rsid w:val="002339F0"/>
    <w:rsid w:val="00234006"/>
    <w:rsid w:val="00242EEB"/>
    <w:rsid w:val="00244F4A"/>
    <w:rsid w:val="00246944"/>
    <w:rsid w:val="00250C08"/>
    <w:rsid w:val="0025420B"/>
    <w:rsid w:val="00261700"/>
    <w:rsid w:val="00262121"/>
    <w:rsid w:val="0026228A"/>
    <w:rsid w:val="00265146"/>
    <w:rsid w:val="00265CE4"/>
    <w:rsid w:val="002673FC"/>
    <w:rsid w:val="00267999"/>
    <w:rsid w:val="002709E9"/>
    <w:rsid w:val="00272A2D"/>
    <w:rsid w:val="00277A6D"/>
    <w:rsid w:val="0028118A"/>
    <w:rsid w:val="00281FE3"/>
    <w:rsid w:val="00286140"/>
    <w:rsid w:val="00286DF2"/>
    <w:rsid w:val="002A1CCF"/>
    <w:rsid w:val="002A41C2"/>
    <w:rsid w:val="002A5829"/>
    <w:rsid w:val="002A67B6"/>
    <w:rsid w:val="002B2B8A"/>
    <w:rsid w:val="002B3E75"/>
    <w:rsid w:val="002B4584"/>
    <w:rsid w:val="002C0BB0"/>
    <w:rsid w:val="002C1AF7"/>
    <w:rsid w:val="002C3D96"/>
    <w:rsid w:val="002C4228"/>
    <w:rsid w:val="002C4A1B"/>
    <w:rsid w:val="002C4F37"/>
    <w:rsid w:val="002C5863"/>
    <w:rsid w:val="002C7B9D"/>
    <w:rsid w:val="002D3BB8"/>
    <w:rsid w:val="002D3E6B"/>
    <w:rsid w:val="002D5F7B"/>
    <w:rsid w:val="002E48F4"/>
    <w:rsid w:val="002F01B5"/>
    <w:rsid w:val="002F07A4"/>
    <w:rsid w:val="002F0E8E"/>
    <w:rsid w:val="002F2937"/>
    <w:rsid w:val="002F5A77"/>
    <w:rsid w:val="002F6010"/>
    <w:rsid w:val="002F7061"/>
    <w:rsid w:val="00300285"/>
    <w:rsid w:val="00305A9B"/>
    <w:rsid w:val="0031112E"/>
    <w:rsid w:val="00311285"/>
    <w:rsid w:val="00312FA5"/>
    <w:rsid w:val="003135DE"/>
    <w:rsid w:val="00313A9E"/>
    <w:rsid w:val="00316643"/>
    <w:rsid w:val="00317960"/>
    <w:rsid w:val="00323244"/>
    <w:rsid w:val="00324F93"/>
    <w:rsid w:val="003264DE"/>
    <w:rsid w:val="00326608"/>
    <w:rsid w:val="00331D0E"/>
    <w:rsid w:val="00332225"/>
    <w:rsid w:val="00332AC1"/>
    <w:rsid w:val="003338FD"/>
    <w:rsid w:val="003371C2"/>
    <w:rsid w:val="003402FB"/>
    <w:rsid w:val="00341717"/>
    <w:rsid w:val="00341D4D"/>
    <w:rsid w:val="00343D9F"/>
    <w:rsid w:val="0034786A"/>
    <w:rsid w:val="00353BDB"/>
    <w:rsid w:val="0036383E"/>
    <w:rsid w:val="003648B0"/>
    <w:rsid w:val="0036645A"/>
    <w:rsid w:val="003736CB"/>
    <w:rsid w:val="00373D72"/>
    <w:rsid w:val="00375B08"/>
    <w:rsid w:val="0038340C"/>
    <w:rsid w:val="003850CC"/>
    <w:rsid w:val="00385789"/>
    <w:rsid w:val="00385890"/>
    <w:rsid w:val="00386BB7"/>
    <w:rsid w:val="00387557"/>
    <w:rsid w:val="00392108"/>
    <w:rsid w:val="003937C4"/>
    <w:rsid w:val="00393EB1"/>
    <w:rsid w:val="00397D3A"/>
    <w:rsid w:val="003A3BA8"/>
    <w:rsid w:val="003A643E"/>
    <w:rsid w:val="003A651F"/>
    <w:rsid w:val="003B64F1"/>
    <w:rsid w:val="003C1647"/>
    <w:rsid w:val="003C6A62"/>
    <w:rsid w:val="003C7D9A"/>
    <w:rsid w:val="003D5ED5"/>
    <w:rsid w:val="003E3622"/>
    <w:rsid w:val="003E3D74"/>
    <w:rsid w:val="003E535A"/>
    <w:rsid w:val="003E5D2F"/>
    <w:rsid w:val="003E7448"/>
    <w:rsid w:val="003E79F4"/>
    <w:rsid w:val="003F60EB"/>
    <w:rsid w:val="003F74D5"/>
    <w:rsid w:val="003F76B8"/>
    <w:rsid w:val="003F7C04"/>
    <w:rsid w:val="004001FA"/>
    <w:rsid w:val="00400731"/>
    <w:rsid w:val="004026E5"/>
    <w:rsid w:val="004069E8"/>
    <w:rsid w:val="00410369"/>
    <w:rsid w:val="00414251"/>
    <w:rsid w:val="00414DAF"/>
    <w:rsid w:val="004178BC"/>
    <w:rsid w:val="00422F1C"/>
    <w:rsid w:val="00432212"/>
    <w:rsid w:val="004326EC"/>
    <w:rsid w:val="00433651"/>
    <w:rsid w:val="0043384C"/>
    <w:rsid w:val="00434D8B"/>
    <w:rsid w:val="0043544F"/>
    <w:rsid w:val="00436C4A"/>
    <w:rsid w:val="00437423"/>
    <w:rsid w:val="00441D82"/>
    <w:rsid w:val="00442A47"/>
    <w:rsid w:val="00443742"/>
    <w:rsid w:val="0044456D"/>
    <w:rsid w:val="0044594B"/>
    <w:rsid w:val="00450CE8"/>
    <w:rsid w:val="0045648E"/>
    <w:rsid w:val="00460D79"/>
    <w:rsid w:val="004614CD"/>
    <w:rsid w:val="00462CA5"/>
    <w:rsid w:val="0046685A"/>
    <w:rsid w:val="00467DCB"/>
    <w:rsid w:val="00472636"/>
    <w:rsid w:val="00474803"/>
    <w:rsid w:val="00474A83"/>
    <w:rsid w:val="004810C1"/>
    <w:rsid w:val="00485870"/>
    <w:rsid w:val="00486EA1"/>
    <w:rsid w:val="0049151B"/>
    <w:rsid w:val="004961A9"/>
    <w:rsid w:val="0049668E"/>
    <w:rsid w:val="004A1B45"/>
    <w:rsid w:val="004A2BA8"/>
    <w:rsid w:val="004A460A"/>
    <w:rsid w:val="004A5FE6"/>
    <w:rsid w:val="004A676C"/>
    <w:rsid w:val="004B11B4"/>
    <w:rsid w:val="004B146D"/>
    <w:rsid w:val="004B36C9"/>
    <w:rsid w:val="004B55C7"/>
    <w:rsid w:val="004C0ADC"/>
    <w:rsid w:val="004C0B9A"/>
    <w:rsid w:val="004C3E39"/>
    <w:rsid w:val="004C735B"/>
    <w:rsid w:val="004C7B92"/>
    <w:rsid w:val="004D0E48"/>
    <w:rsid w:val="004D204F"/>
    <w:rsid w:val="004D44F7"/>
    <w:rsid w:val="004D6EC4"/>
    <w:rsid w:val="004D71B8"/>
    <w:rsid w:val="004D7248"/>
    <w:rsid w:val="004E1A8F"/>
    <w:rsid w:val="004E496B"/>
    <w:rsid w:val="004E4B5C"/>
    <w:rsid w:val="004E5F85"/>
    <w:rsid w:val="004E6899"/>
    <w:rsid w:val="004E7535"/>
    <w:rsid w:val="004F01B8"/>
    <w:rsid w:val="004F0B8B"/>
    <w:rsid w:val="004F0FAB"/>
    <w:rsid w:val="004F2C25"/>
    <w:rsid w:val="004F40CE"/>
    <w:rsid w:val="004F4BB6"/>
    <w:rsid w:val="004F5647"/>
    <w:rsid w:val="005006BD"/>
    <w:rsid w:val="00501D8F"/>
    <w:rsid w:val="0050240A"/>
    <w:rsid w:val="00506F79"/>
    <w:rsid w:val="0051009D"/>
    <w:rsid w:val="005123A6"/>
    <w:rsid w:val="00513EBB"/>
    <w:rsid w:val="0052253B"/>
    <w:rsid w:val="0052437C"/>
    <w:rsid w:val="005245CA"/>
    <w:rsid w:val="00527E60"/>
    <w:rsid w:val="005302E3"/>
    <w:rsid w:val="005324D3"/>
    <w:rsid w:val="00532656"/>
    <w:rsid w:val="00537383"/>
    <w:rsid w:val="0054290C"/>
    <w:rsid w:val="00542A4D"/>
    <w:rsid w:val="0054370E"/>
    <w:rsid w:val="0054485C"/>
    <w:rsid w:val="0054590F"/>
    <w:rsid w:val="00553F31"/>
    <w:rsid w:val="005566F0"/>
    <w:rsid w:val="00556E00"/>
    <w:rsid w:val="00557417"/>
    <w:rsid w:val="00563A53"/>
    <w:rsid w:val="005657E8"/>
    <w:rsid w:val="00572BBE"/>
    <w:rsid w:val="00573249"/>
    <w:rsid w:val="00580BE8"/>
    <w:rsid w:val="0058236D"/>
    <w:rsid w:val="00584ABC"/>
    <w:rsid w:val="005853C2"/>
    <w:rsid w:val="00585976"/>
    <w:rsid w:val="005917EA"/>
    <w:rsid w:val="00593FE9"/>
    <w:rsid w:val="00595984"/>
    <w:rsid w:val="00596F3C"/>
    <w:rsid w:val="005B287E"/>
    <w:rsid w:val="005B74DE"/>
    <w:rsid w:val="005C5527"/>
    <w:rsid w:val="005C6EBD"/>
    <w:rsid w:val="005D0413"/>
    <w:rsid w:val="005D2BC4"/>
    <w:rsid w:val="005E04D2"/>
    <w:rsid w:val="005E078D"/>
    <w:rsid w:val="005E0B82"/>
    <w:rsid w:val="005E242B"/>
    <w:rsid w:val="005E247D"/>
    <w:rsid w:val="005F6691"/>
    <w:rsid w:val="005F72DB"/>
    <w:rsid w:val="00600513"/>
    <w:rsid w:val="0060172B"/>
    <w:rsid w:val="006025E3"/>
    <w:rsid w:val="0060561C"/>
    <w:rsid w:val="00605938"/>
    <w:rsid w:val="00606D7F"/>
    <w:rsid w:val="00606E59"/>
    <w:rsid w:val="0061053D"/>
    <w:rsid w:val="006109DA"/>
    <w:rsid w:val="00611917"/>
    <w:rsid w:val="006162AE"/>
    <w:rsid w:val="00617438"/>
    <w:rsid w:val="00620FF7"/>
    <w:rsid w:val="00624044"/>
    <w:rsid w:val="00627A93"/>
    <w:rsid w:val="006343F4"/>
    <w:rsid w:val="006449D3"/>
    <w:rsid w:val="00646563"/>
    <w:rsid w:val="00654EDC"/>
    <w:rsid w:val="006557F6"/>
    <w:rsid w:val="00656DF4"/>
    <w:rsid w:val="00662D35"/>
    <w:rsid w:val="006744A2"/>
    <w:rsid w:val="006764DF"/>
    <w:rsid w:val="0068287E"/>
    <w:rsid w:val="00682CBA"/>
    <w:rsid w:val="006830B0"/>
    <w:rsid w:val="006859D8"/>
    <w:rsid w:val="00686B46"/>
    <w:rsid w:val="00690261"/>
    <w:rsid w:val="006928D0"/>
    <w:rsid w:val="006A0D20"/>
    <w:rsid w:val="006A6930"/>
    <w:rsid w:val="006B1132"/>
    <w:rsid w:val="006B5DA1"/>
    <w:rsid w:val="006C1897"/>
    <w:rsid w:val="006C3F95"/>
    <w:rsid w:val="006C4EDD"/>
    <w:rsid w:val="006C616A"/>
    <w:rsid w:val="006D1326"/>
    <w:rsid w:val="006D373D"/>
    <w:rsid w:val="006D4FC9"/>
    <w:rsid w:val="006D5F92"/>
    <w:rsid w:val="006D6755"/>
    <w:rsid w:val="006E19C2"/>
    <w:rsid w:val="006E22F2"/>
    <w:rsid w:val="006F531A"/>
    <w:rsid w:val="006F570D"/>
    <w:rsid w:val="006F57AD"/>
    <w:rsid w:val="00701002"/>
    <w:rsid w:val="00702031"/>
    <w:rsid w:val="007042C5"/>
    <w:rsid w:val="00706280"/>
    <w:rsid w:val="00707428"/>
    <w:rsid w:val="0070797E"/>
    <w:rsid w:val="00714AEC"/>
    <w:rsid w:val="00716AD2"/>
    <w:rsid w:val="00723DC8"/>
    <w:rsid w:val="00723FDA"/>
    <w:rsid w:val="007245F2"/>
    <w:rsid w:val="007254CA"/>
    <w:rsid w:val="007306D8"/>
    <w:rsid w:val="007308DA"/>
    <w:rsid w:val="007359AD"/>
    <w:rsid w:val="00737851"/>
    <w:rsid w:val="00737CD4"/>
    <w:rsid w:val="00740285"/>
    <w:rsid w:val="0074192A"/>
    <w:rsid w:val="00743D73"/>
    <w:rsid w:val="00744162"/>
    <w:rsid w:val="00746662"/>
    <w:rsid w:val="00747C7B"/>
    <w:rsid w:val="00750AF8"/>
    <w:rsid w:val="00752246"/>
    <w:rsid w:val="00754D6B"/>
    <w:rsid w:val="00754FB3"/>
    <w:rsid w:val="00756B0F"/>
    <w:rsid w:val="0076278C"/>
    <w:rsid w:val="007655B9"/>
    <w:rsid w:val="00770296"/>
    <w:rsid w:val="00772515"/>
    <w:rsid w:val="007765E3"/>
    <w:rsid w:val="00780D12"/>
    <w:rsid w:val="00783859"/>
    <w:rsid w:val="00783D9A"/>
    <w:rsid w:val="00784A8A"/>
    <w:rsid w:val="007874D5"/>
    <w:rsid w:val="007879BC"/>
    <w:rsid w:val="00790014"/>
    <w:rsid w:val="00791DCA"/>
    <w:rsid w:val="00792473"/>
    <w:rsid w:val="007947E5"/>
    <w:rsid w:val="007A03E8"/>
    <w:rsid w:val="007A487E"/>
    <w:rsid w:val="007A590F"/>
    <w:rsid w:val="007A5B8A"/>
    <w:rsid w:val="007B029B"/>
    <w:rsid w:val="007B1365"/>
    <w:rsid w:val="007B674E"/>
    <w:rsid w:val="007B69EC"/>
    <w:rsid w:val="007B6D61"/>
    <w:rsid w:val="007C24E0"/>
    <w:rsid w:val="007C3C66"/>
    <w:rsid w:val="007C3FEF"/>
    <w:rsid w:val="007C537F"/>
    <w:rsid w:val="007C7F21"/>
    <w:rsid w:val="007D132D"/>
    <w:rsid w:val="007D4AD6"/>
    <w:rsid w:val="007E51B9"/>
    <w:rsid w:val="007E762A"/>
    <w:rsid w:val="007E7A32"/>
    <w:rsid w:val="007F75B6"/>
    <w:rsid w:val="008012D8"/>
    <w:rsid w:val="00801A0F"/>
    <w:rsid w:val="008027DF"/>
    <w:rsid w:val="00804596"/>
    <w:rsid w:val="008056D9"/>
    <w:rsid w:val="0081175D"/>
    <w:rsid w:val="00812D63"/>
    <w:rsid w:val="00814F54"/>
    <w:rsid w:val="00816E9C"/>
    <w:rsid w:val="00827200"/>
    <w:rsid w:val="00831424"/>
    <w:rsid w:val="008354A7"/>
    <w:rsid w:val="008370B0"/>
    <w:rsid w:val="00842E5C"/>
    <w:rsid w:val="0084759F"/>
    <w:rsid w:val="00851595"/>
    <w:rsid w:val="00860720"/>
    <w:rsid w:val="00862AB6"/>
    <w:rsid w:val="008705FF"/>
    <w:rsid w:val="008769BE"/>
    <w:rsid w:val="00877571"/>
    <w:rsid w:val="0088173B"/>
    <w:rsid w:val="008830A2"/>
    <w:rsid w:val="0088502E"/>
    <w:rsid w:val="00893C32"/>
    <w:rsid w:val="00897AA4"/>
    <w:rsid w:val="008A422E"/>
    <w:rsid w:val="008A45EF"/>
    <w:rsid w:val="008A7500"/>
    <w:rsid w:val="008B4895"/>
    <w:rsid w:val="008B62A6"/>
    <w:rsid w:val="008B6EA4"/>
    <w:rsid w:val="008B7CB5"/>
    <w:rsid w:val="008C0CFF"/>
    <w:rsid w:val="008C5BAA"/>
    <w:rsid w:val="008D16F6"/>
    <w:rsid w:val="008D3C36"/>
    <w:rsid w:val="008D4451"/>
    <w:rsid w:val="008D7E0B"/>
    <w:rsid w:val="008D7F0C"/>
    <w:rsid w:val="008E3A31"/>
    <w:rsid w:val="008E3B70"/>
    <w:rsid w:val="008E57A5"/>
    <w:rsid w:val="008E57F6"/>
    <w:rsid w:val="008E5E16"/>
    <w:rsid w:val="008F4F57"/>
    <w:rsid w:val="00901C67"/>
    <w:rsid w:val="00902C2A"/>
    <w:rsid w:val="00904A38"/>
    <w:rsid w:val="009068AD"/>
    <w:rsid w:val="0091018D"/>
    <w:rsid w:val="00913327"/>
    <w:rsid w:val="00913D68"/>
    <w:rsid w:val="009144A4"/>
    <w:rsid w:val="0091676C"/>
    <w:rsid w:val="009177E0"/>
    <w:rsid w:val="009200F7"/>
    <w:rsid w:val="00922DC1"/>
    <w:rsid w:val="009237B2"/>
    <w:rsid w:val="009261B6"/>
    <w:rsid w:val="00931BA7"/>
    <w:rsid w:val="00931C81"/>
    <w:rsid w:val="00933CE9"/>
    <w:rsid w:val="00934715"/>
    <w:rsid w:val="009377A2"/>
    <w:rsid w:val="00940460"/>
    <w:rsid w:val="009435A8"/>
    <w:rsid w:val="00943EC6"/>
    <w:rsid w:val="00944A83"/>
    <w:rsid w:val="009460DA"/>
    <w:rsid w:val="00946749"/>
    <w:rsid w:val="00951E9E"/>
    <w:rsid w:val="0096445A"/>
    <w:rsid w:val="00980E40"/>
    <w:rsid w:val="00984A6E"/>
    <w:rsid w:val="00991085"/>
    <w:rsid w:val="00994DB7"/>
    <w:rsid w:val="009951ED"/>
    <w:rsid w:val="00995E17"/>
    <w:rsid w:val="00996696"/>
    <w:rsid w:val="009A0042"/>
    <w:rsid w:val="009A40C3"/>
    <w:rsid w:val="009A415F"/>
    <w:rsid w:val="009A5C84"/>
    <w:rsid w:val="009A6A95"/>
    <w:rsid w:val="009A79BC"/>
    <w:rsid w:val="009B1241"/>
    <w:rsid w:val="009B12AD"/>
    <w:rsid w:val="009B27E2"/>
    <w:rsid w:val="009B3EF3"/>
    <w:rsid w:val="009B56D0"/>
    <w:rsid w:val="009C2118"/>
    <w:rsid w:val="009C54A4"/>
    <w:rsid w:val="009C7CD5"/>
    <w:rsid w:val="009D002A"/>
    <w:rsid w:val="009D013B"/>
    <w:rsid w:val="009D21E9"/>
    <w:rsid w:val="009D227A"/>
    <w:rsid w:val="009E01BD"/>
    <w:rsid w:val="009E3E2B"/>
    <w:rsid w:val="009E7445"/>
    <w:rsid w:val="009E7A8B"/>
    <w:rsid w:val="009F305C"/>
    <w:rsid w:val="00A05E8D"/>
    <w:rsid w:val="00A0694E"/>
    <w:rsid w:val="00A136AF"/>
    <w:rsid w:val="00A14ED7"/>
    <w:rsid w:val="00A23ED0"/>
    <w:rsid w:val="00A2447F"/>
    <w:rsid w:val="00A26019"/>
    <w:rsid w:val="00A278F1"/>
    <w:rsid w:val="00A27ABF"/>
    <w:rsid w:val="00A3257B"/>
    <w:rsid w:val="00A36AEC"/>
    <w:rsid w:val="00A379F4"/>
    <w:rsid w:val="00A43AE8"/>
    <w:rsid w:val="00A4505F"/>
    <w:rsid w:val="00A45891"/>
    <w:rsid w:val="00A46278"/>
    <w:rsid w:val="00A46AA2"/>
    <w:rsid w:val="00A4782B"/>
    <w:rsid w:val="00A54CF7"/>
    <w:rsid w:val="00A55304"/>
    <w:rsid w:val="00A572BE"/>
    <w:rsid w:val="00A6409F"/>
    <w:rsid w:val="00A67568"/>
    <w:rsid w:val="00A67842"/>
    <w:rsid w:val="00A738CF"/>
    <w:rsid w:val="00A75F66"/>
    <w:rsid w:val="00A77397"/>
    <w:rsid w:val="00A822B6"/>
    <w:rsid w:val="00A86978"/>
    <w:rsid w:val="00A87E4C"/>
    <w:rsid w:val="00A9090E"/>
    <w:rsid w:val="00A91740"/>
    <w:rsid w:val="00A928AE"/>
    <w:rsid w:val="00A97B11"/>
    <w:rsid w:val="00A97E7C"/>
    <w:rsid w:val="00A97F5E"/>
    <w:rsid w:val="00AB2A1B"/>
    <w:rsid w:val="00AB60F1"/>
    <w:rsid w:val="00AB6911"/>
    <w:rsid w:val="00AB7102"/>
    <w:rsid w:val="00AB7144"/>
    <w:rsid w:val="00AC5242"/>
    <w:rsid w:val="00AC5724"/>
    <w:rsid w:val="00AD097D"/>
    <w:rsid w:val="00AD3885"/>
    <w:rsid w:val="00AD7ACA"/>
    <w:rsid w:val="00AE0648"/>
    <w:rsid w:val="00AE0EED"/>
    <w:rsid w:val="00AE3092"/>
    <w:rsid w:val="00AE38CC"/>
    <w:rsid w:val="00AE45B6"/>
    <w:rsid w:val="00AE55BE"/>
    <w:rsid w:val="00AE5E87"/>
    <w:rsid w:val="00AE5EE8"/>
    <w:rsid w:val="00AE62B6"/>
    <w:rsid w:val="00AF6BED"/>
    <w:rsid w:val="00B001B6"/>
    <w:rsid w:val="00B0031B"/>
    <w:rsid w:val="00B07F0E"/>
    <w:rsid w:val="00B11AF2"/>
    <w:rsid w:val="00B144B0"/>
    <w:rsid w:val="00B149F9"/>
    <w:rsid w:val="00B14E9B"/>
    <w:rsid w:val="00B154DE"/>
    <w:rsid w:val="00B16266"/>
    <w:rsid w:val="00B16B21"/>
    <w:rsid w:val="00B16DAD"/>
    <w:rsid w:val="00B201FD"/>
    <w:rsid w:val="00B20DF7"/>
    <w:rsid w:val="00B21A27"/>
    <w:rsid w:val="00B3749F"/>
    <w:rsid w:val="00B40B53"/>
    <w:rsid w:val="00B40F8D"/>
    <w:rsid w:val="00B41883"/>
    <w:rsid w:val="00B4313D"/>
    <w:rsid w:val="00B43E8C"/>
    <w:rsid w:val="00B445E0"/>
    <w:rsid w:val="00B46C49"/>
    <w:rsid w:val="00B51E29"/>
    <w:rsid w:val="00B52229"/>
    <w:rsid w:val="00B52830"/>
    <w:rsid w:val="00B552ED"/>
    <w:rsid w:val="00B56037"/>
    <w:rsid w:val="00B65215"/>
    <w:rsid w:val="00B67249"/>
    <w:rsid w:val="00B67A6E"/>
    <w:rsid w:val="00B703B9"/>
    <w:rsid w:val="00B703F2"/>
    <w:rsid w:val="00B726B6"/>
    <w:rsid w:val="00B7289D"/>
    <w:rsid w:val="00B733D4"/>
    <w:rsid w:val="00B800E2"/>
    <w:rsid w:val="00B83F14"/>
    <w:rsid w:val="00B84B14"/>
    <w:rsid w:val="00B902BE"/>
    <w:rsid w:val="00B935F3"/>
    <w:rsid w:val="00BA145E"/>
    <w:rsid w:val="00BA1B5A"/>
    <w:rsid w:val="00BA5B9A"/>
    <w:rsid w:val="00BA743A"/>
    <w:rsid w:val="00BB119B"/>
    <w:rsid w:val="00BB1248"/>
    <w:rsid w:val="00BB1F8E"/>
    <w:rsid w:val="00BB230E"/>
    <w:rsid w:val="00BB2477"/>
    <w:rsid w:val="00BB2E01"/>
    <w:rsid w:val="00BB74E7"/>
    <w:rsid w:val="00BC173C"/>
    <w:rsid w:val="00BC209C"/>
    <w:rsid w:val="00BC2891"/>
    <w:rsid w:val="00BC548C"/>
    <w:rsid w:val="00BC7983"/>
    <w:rsid w:val="00BD17B7"/>
    <w:rsid w:val="00BD4532"/>
    <w:rsid w:val="00BD496D"/>
    <w:rsid w:val="00BD6FF3"/>
    <w:rsid w:val="00BE04A4"/>
    <w:rsid w:val="00BE0815"/>
    <w:rsid w:val="00BE084D"/>
    <w:rsid w:val="00BE46BB"/>
    <w:rsid w:val="00BE6F62"/>
    <w:rsid w:val="00BF2A4A"/>
    <w:rsid w:val="00BF2D2B"/>
    <w:rsid w:val="00C005C2"/>
    <w:rsid w:val="00C0114C"/>
    <w:rsid w:val="00C0294E"/>
    <w:rsid w:val="00C036F1"/>
    <w:rsid w:val="00C06E34"/>
    <w:rsid w:val="00C072C0"/>
    <w:rsid w:val="00C101F0"/>
    <w:rsid w:val="00C13BC5"/>
    <w:rsid w:val="00C13CFF"/>
    <w:rsid w:val="00C14D18"/>
    <w:rsid w:val="00C1597D"/>
    <w:rsid w:val="00C22EA7"/>
    <w:rsid w:val="00C26791"/>
    <w:rsid w:val="00C26EB1"/>
    <w:rsid w:val="00C3077F"/>
    <w:rsid w:val="00C33E12"/>
    <w:rsid w:val="00C40028"/>
    <w:rsid w:val="00C408E0"/>
    <w:rsid w:val="00C43DC6"/>
    <w:rsid w:val="00C45B7D"/>
    <w:rsid w:val="00C5013D"/>
    <w:rsid w:val="00C524CB"/>
    <w:rsid w:val="00C52A1A"/>
    <w:rsid w:val="00C545E3"/>
    <w:rsid w:val="00C6559A"/>
    <w:rsid w:val="00C67DBC"/>
    <w:rsid w:val="00C73B49"/>
    <w:rsid w:val="00C75A8C"/>
    <w:rsid w:val="00C77267"/>
    <w:rsid w:val="00C80850"/>
    <w:rsid w:val="00C81100"/>
    <w:rsid w:val="00C83462"/>
    <w:rsid w:val="00C923DD"/>
    <w:rsid w:val="00C948C4"/>
    <w:rsid w:val="00C94C7B"/>
    <w:rsid w:val="00C95D76"/>
    <w:rsid w:val="00C97EF6"/>
    <w:rsid w:val="00CA00D8"/>
    <w:rsid w:val="00CA04BB"/>
    <w:rsid w:val="00CA3E81"/>
    <w:rsid w:val="00CA5EEE"/>
    <w:rsid w:val="00CB04DB"/>
    <w:rsid w:val="00CB47FA"/>
    <w:rsid w:val="00CB4B89"/>
    <w:rsid w:val="00CB56CD"/>
    <w:rsid w:val="00CB6652"/>
    <w:rsid w:val="00CC0723"/>
    <w:rsid w:val="00CC0DE6"/>
    <w:rsid w:val="00CC16F0"/>
    <w:rsid w:val="00CC6AF3"/>
    <w:rsid w:val="00CC799E"/>
    <w:rsid w:val="00CD0FC2"/>
    <w:rsid w:val="00CD332A"/>
    <w:rsid w:val="00CD4527"/>
    <w:rsid w:val="00CD797B"/>
    <w:rsid w:val="00CE1897"/>
    <w:rsid w:val="00CE262C"/>
    <w:rsid w:val="00CE2FAC"/>
    <w:rsid w:val="00CF0025"/>
    <w:rsid w:val="00CF1D16"/>
    <w:rsid w:val="00CF3A8D"/>
    <w:rsid w:val="00CF4AA1"/>
    <w:rsid w:val="00CF4C46"/>
    <w:rsid w:val="00CF5252"/>
    <w:rsid w:val="00CF6AF6"/>
    <w:rsid w:val="00D00465"/>
    <w:rsid w:val="00D04153"/>
    <w:rsid w:val="00D045A6"/>
    <w:rsid w:val="00D04BA3"/>
    <w:rsid w:val="00D100A0"/>
    <w:rsid w:val="00D11C62"/>
    <w:rsid w:val="00D125C8"/>
    <w:rsid w:val="00D14644"/>
    <w:rsid w:val="00D1592D"/>
    <w:rsid w:val="00D164CF"/>
    <w:rsid w:val="00D23A13"/>
    <w:rsid w:val="00D26A1D"/>
    <w:rsid w:val="00D3127E"/>
    <w:rsid w:val="00D34AEB"/>
    <w:rsid w:val="00D3512E"/>
    <w:rsid w:val="00D5094C"/>
    <w:rsid w:val="00D52681"/>
    <w:rsid w:val="00D54C99"/>
    <w:rsid w:val="00D57599"/>
    <w:rsid w:val="00D5794B"/>
    <w:rsid w:val="00D603B5"/>
    <w:rsid w:val="00D66509"/>
    <w:rsid w:val="00D678BE"/>
    <w:rsid w:val="00D71622"/>
    <w:rsid w:val="00D7193F"/>
    <w:rsid w:val="00D732ED"/>
    <w:rsid w:val="00D751BF"/>
    <w:rsid w:val="00D82D5C"/>
    <w:rsid w:val="00D85711"/>
    <w:rsid w:val="00D92EF4"/>
    <w:rsid w:val="00D940B1"/>
    <w:rsid w:val="00D95F92"/>
    <w:rsid w:val="00DA02A1"/>
    <w:rsid w:val="00DA0DE8"/>
    <w:rsid w:val="00DA1D0F"/>
    <w:rsid w:val="00DA2527"/>
    <w:rsid w:val="00DA2C61"/>
    <w:rsid w:val="00DA3111"/>
    <w:rsid w:val="00DB4054"/>
    <w:rsid w:val="00DB5454"/>
    <w:rsid w:val="00DB7003"/>
    <w:rsid w:val="00DB7C22"/>
    <w:rsid w:val="00DC1BC8"/>
    <w:rsid w:val="00DC24B2"/>
    <w:rsid w:val="00DC26C1"/>
    <w:rsid w:val="00DC3679"/>
    <w:rsid w:val="00DC45CC"/>
    <w:rsid w:val="00DC45FA"/>
    <w:rsid w:val="00DC70BA"/>
    <w:rsid w:val="00DD0F14"/>
    <w:rsid w:val="00DD2652"/>
    <w:rsid w:val="00DD3B5D"/>
    <w:rsid w:val="00DD3E2F"/>
    <w:rsid w:val="00DD5EA3"/>
    <w:rsid w:val="00DD6554"/>
    <w:rsid w:val="00DD761B"/>
    <w:rsid w:val="00DE3063"/>
    <w:rsid w:val="00DE51AE"/>
    <w:rsid w:val="00DE694A"/>
    <w:rsid w:val="00DE7BA0"/>
    <w:rsid w:val="00DE7D39"/>
    <w:rsid w:val="00DF222F"/>
    <w:rsid w:val="00DF72EE"/>
    <w:rsid w:val="00E05C0B"/>
    <w:rsid w:val="00E060F3"/>
    <w:rsid w:val="00E12C13"/>
    <w:rsid w:val="00E12D37"/>
    <w:rsid w:val="00E134AA"/>
    <w:rsid w:val="00E162B5"/>
    <w:rsid w:val="00E16387"/>
    <w:rsid w:val="00E1699E"/>
    <w:rsid w:val="00E3196F"/>
    <w:rsid w:val="00E32620"/>
    <w:rsid w:val="00E331FF"/>
    <w:rsid w:val="00E34712"/>
    <w:rsid w:val="00E35C41"/>
    <w:rsid w:val="00E40DFC"/>
    <w:rsid w:val="00E41053"/>
    <w:rsid w:val="00E462DB"/>
    <w:rsid w:val="00E50B4D"/>
    <w:rsid w:val="00E53298"/>
    <w:rsid w:val="00E56312"/>
    <w:rsid w:val="00E64C69"/>
    <w:rsid w:val="00E659BB"/>
    <w:rsid w:val="00E730D1"/>
    <w:rsid w:val="00E7321F"/>
    <w:rsid w:val="00E7722F"/>
    <w:rsid w:val="00E82147"/>
    <w:rsid w:val="00E82C78"/>
    <w:rsid w:val="00E84106"/>
    <w:rsid w:val="00E86AE8"/>
    <w:rsid w:val="00E87209"/>
    <w:rsid w:val="00E942E7"/>
    <w:rsid w:val="00E94F46"/>
    <w:rsid w:val="00E956C1"/>
    <w:rsid w:val="00EA098C"/>
    <w:rsid w:val="00EA19FA"/>
    <w:rsid w:val="00EA3988"/>
    <w:rsid w:val="00EA3F00"/>
    <w:rsid w:val="00EA5097"/>
    <w:rsid w:val="00EB01CA"/>
    <w:rsid w:val="00EB1DE6"/>
    <w:rsid w:val="00EB47E7"/>
    <w:rsid w:val="00EC190D"/>
    <w:rsid w:val="00EC2CEC"/>
    <w:rsid w:val="00EC5BD4"/>
    <w:rsid w:val="00EC62FF"/>
    <w:rsid w:val="00EC755F"/>
    <w:rsid w:val="00ED0447"/>
    <w:rsid w:val="00ED2F09"/>
    <w:rsid w:val="00ED388B"/>
    <w:rsid w:val="00ED47BA"/>
    <w:rsid w:val="00ED7BE1"/>
    <w:rsid w:val="00EE2DFB"/>
    <w:rsid w:val="00EE302D"/>
    <w:rsid w:val="00EE72C8"/>
    <w:rsid w:val="00EF0CB3"/>
    <w:rsid w:val="00EF44F7"/>
    <w:rsid w:val="00EF6D6F"/>
    <w:rsid w:val="00F01850"/>
    <w:rsid w:val="00F02F5F"/>
    <w:rsid w:val="00F07F8B"/>
    <w:rsid w:val="00F14465"/>
    <w:rsid w:val="00F145A5"/>
    <w:rsid w:val="00F14910"/>
    <w:rsid w:val="00F15C96"/>
    <w:rsid w:val="00F167C9"/>
    <w:rsid w:val="00F16B36"/>
    <w:rsid w:val="00F2072D"/>
    <w:rsid w:val="00F274BC"/>
    <w:rsid w:val="00F31038"/>
    <w:rsid w:val="00F326B7"/>
    <w:rsid w:val="00F333F4"/>
    <w:rsid w:val="00F33EB6"/>
    <w:rsid w:val="00F3433A"/>
    <w:rsid w:val="00F40EA5"/>
    <w:rsid w:val="00F453BF"/>
    <w:rsid w:val="00F45F1F"/>
    <w:rsid w:val="00F46897"/>
    <w:rsid w:val="00F55B03"/>
    <w:rsid w:val="00F56BEA"/>
    <w:rsid w:val="00F60304"/>
    <w:rsid w:val="00F62E4E"/>
    <w:rsid w:val="00F642B9"/>
    <w:rsid w:val="00F70756"/>
    <w:rsid w:val="00F7115F"/>
    <w:rsid w:val="00F73A22"/>
    <w:rsid w:val="00F75D63"/>
    <w:rsid w:val="00F7722C"/>
    <w:rsid w:val="00F81620"/>
    <w:rsid w:val="00F81958"/>
    <w:rsid w:val="00F81A1B"/>
    <w:rsid w:val="00F86380"/>
    <w:rsid w:val="00F905F8"/>
    <w:rsid w:val="00F959F1"/>
    <w:rsid w:val="00F96496"/>
    <w:rsid w:val="00F96647"/>
    <w:rsid w:val="00F97291"/>
    <w:rsid w:val="00FA18CF"/>
    <w:rsid w:val="00FA3E42"/>
    <w:rsid w:val="00FA4C5D"/>
    <w:rsid w:val="00FA749C"/>
    <w:rsid w:val="00FB1F48"/>
    <w:rsid w:val="00FB4757"/>
    <w:rsid w:val="00FC6992"/>
    <w:rsid w:val="00FD094F"/>
    <w:rsid w:val="00FD1684"/>
    <w:rsid w:val="00FD7E69"/>
    <w:rsid w:val="00FE0810"/>
    <w:rsid w:val="00FE233C"/>
    <w:rsid w:val="00FE26FB"/>
    <w:rsid w:val="00FE68FC"/>
    <w:rsid w:val="00FF2913"/>
    <w:rsid w:val="00FF48D8"/>
    <w:rsid w:val="00FF540D"/>
    <w:rsid w:val="00FF6005"/>
    <w:rsid w:val="00FF7B70"/>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568a9e"/>
    </o:shapedefaults>
    <o:shapelayout v:ext="edit">
      <o:idmap v:ext="edit" data="1"/>
    </o:shapelayout>
  </w:shapeDefaults>
  <w:decimalSymbol w:val="."/>
  <w:listSeparator w:val=","/>
  <w14:docId w14:val="43E413FE"/>
  <w15:docId w15:val="{E9D27FCE-BDF9-4E13-B529-3BFC3563A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NZ" w:eastAsia="en-NZ" w:bidi="ar-SA"/>
      </w:rPr>
    </w:rPrDefault>
    <w:pPrDefault>
      <w:pPr>
        <w:spacing w:before="120" w:after="120" w:line="280" w:lineRule="atLeast"/>
      </w:pPr>
    </w:pPrDefault>
  </w:docDefaults>
  <w:latentStyles w:defLockedState="0" w:defUIPriority="0" w:defSemiHidden="0" w:defUnhideWhenUsed="0" w:defQFormat="0" w:count="375">
    <w:lsdException w:name="heading 1" w:uiPriority="4" w:qFormat="1"/>
    <w:lsdException w:name="heading 2" w:uiPriority="4" w:qFormat="1"/>
    <w:lsdException w:name="heading 3" w:uiPriority="4" w:qFormat="1"/>
    <w:lsdException w:name="heading 4" w:uiPriority="4" w:qFormat="1"/>
    <w:lsdException w:name="heading 5" w:uiPriority="99"/>
    <w:lsdException w:name="heading 6" w:uiPriority="99"/>
    <w:lsdException w:name="heading 7" w:semiHidden="1" w:uiPriority="99" w:unhideWhenUsed="1"/>
    <w:lsdException w:name="heading 8" w:semiHidden="1" w:uiPriority="99" w:unhideWhenUsed="1"/>
    <w:lsdException w:name="heading 9" w:semiHidden="1" w:uiPriority="9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lsdException w:name="footer" w:semiHidden="1" w:uiPriority="24" w:unhideWhenUsed="1"/>
    <w:lsdException w:name="index heading" w:semiHidden="1" w:unhideWhenUsed="1"/>
    <w:lsdException w:name="caption" w:semiHidden="1" w:uiPriority="17"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24"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uiPriority="7" w:qFormat="1"/>
    <w:lsdException w:name="List 2" w:semiHidden="1" w:unhideWhenUsed="1"/>
    <w:lsdException w:name="List 3" w:semiHidden="1" w:unhideWhenUsed="1"/>
    <w:lsdException w:name="List 4" w:uiPriority="99"/>
    <w:lsdException w:name="List 5" w:uiPriority="99"/>
    <w:lsdException w:name="List Bullet 2" w:semiHidden="1" w:uiPriority="7"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4"/>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Salutation" w:uiPriority="99"/>
    <w:lsdException w:name="Date" w:uiPriority="24"/>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24" w:unhideWhenUsed="1"/>
    <w:lsdException w:name="Strong" w:uiPriority="99"/>
    <w:lsdException w:name="Emphasis"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99"/>
    <w:lsdException w:name="Subtle Reference" w:uiPriority="99"/>
    <w:lsdException w:name="Intense Reference" w:uiPriority="99"/>
    <w:lsdException w:name="Book Title"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uiPriority w:val="99"/>
    <w:rsid w:val="00A738CF"/>
    <w:rPr>
      <w:lang w:val="en-GB"/>
    </w:rPr>
  </w:style>
  <w:style w:type="paragraph" w:styleId="Heading1">
    <w:name w:val="heading 1"/>
    <w:basedOn w:val="BodyText"/>
    <w:next w:val="BodyText"/>
    <w:uiPriority w:val="4"/>
    <w:qFormat/>
    <w:rsid w:val="00261700"/>
    <w:pPr>
      <w:keepNext/>
      <w:numPr>
        <w:numId w:val="6"/>
      </w:numPr>
      <w:suppressLineNumbers/>
      <w:spacing w:before="360"/>
      <w:ind w:left="0"/>
      <w:outlineLvl w:val="0"/>
    </w:pPr>
    <w:rPr>
      <w:rFonts w:ascii="Arial Bold" w:hAnsi="Arial Bold"/>
      <w:b/>
      <w:caps/>
      <w:color w:val="005581"/>
      <w:kern w:val="28"/>
      <w:sz w:val="28"/>
      <w:u w:color="568A9E"/>
    </w:rPr>
  </w:style>
  <w:style w:type="paragraph" w:styleId="Heading2">
    <w:name w:val="heading 2"/>
    <w:basedOn w:val="Normal"/>
    <w:next w:val="BodyText"/>
    <w:link w:val="Heading2Char"/>
    <w:uiPriority w:val="4"/>
    <w:qFormat/>
    <w:rsid w:val="006D6755"/>
    <w:pPr>
      <w:keepNext/>
      <w:numPr>
        <w:ilvl w:val="1"/>
        <w:numId w:val="6"/>
      </w:numPr>
      <w:suppressLineNumbers/>
      <w:spacing w:before="480"/>
      <w:outlineLvl w:val="1"/>
    </w:pPr>
    <w:rPr>
      <w:rFonts w:ascii="Arial Bold" w:hAnsi="Arial Bold"/>
      <w:b/>
      <w:smallCaps/>
      <w:color w:val="005581"/>
      <w:sz w:val="24"/>
      <w:szCs w:val="24"/>
    </w:rPr>
  </w:style>
  <w:style w:type="paragraph" w:styleId="Heading3">
    <w:name w:val="heading 3"/>
    <w:basedOn w:val="BodyText"/>
    <w:next w:val="BodyText"/>
    <w:uiPriority w:val="4"/>
    <w:qFormat/>
    <w:rsid w:val="005853C2"/>
    <w:pPr>
      <w:keepNext/>
      <w:numPr>
        <w:ilvl w:val="2"/>
        <w:numId w:val="6"/>
      </w:numPr>
      <w:suppressLineNumbers/>
      <w:spacing w:before="480"/>
      <w:ind w:left="0" w:hanging="706"/>
      <w:outlineLvl w:val="2"/>
    </w:pPr>
    <w:rPr>
      <w:rFonts w:ascii="Arial Bold" w:hAnsi="Arial Bold"/>
      <w:b/>
      <w:color w:val="005581"/>
      <w:sz w:val="22"/>
    </w:rPr>
  </w:style>
  <w:style w:type="paragraph" w:styleId="Heading4">
    <w:name w:val="heading 4"/>
    <w:basedOn w:val="BodyText"/>
    <w:next w:val="BodyText"/>
    <w:link w:val="Heading4Char"/>
    <w:uiPriority w:val="4"/>
    <w:qFormat/>
    <w:rsid w:val="005853C2"/>
    <w:pPr>
      <w:keepNext/>
      <w:suppressLineNumbers/>
      <w:spacing w:before="480"/>
      <w:outlineLvl w:val="3"/>
    </w:pPr>
    <w:rPr>
      <w:rFonts w:ascii="Arial Bold" w:hAnsi="Arial Bold"/>
      <w:b/>
      <w:i/>
      <w:color w:val="005581"/>
    </w:rPr>
  </w:style>
  <w:style w:type="paragraph" w:styleId="Heading5">
    <w:name w:val="heading 5"/>
    <w:basedOn w:val="Normal"/>
    <w:next w:val="Normal"/>
    <w:uiPriority w:val="99"/>
    <w:rsid w:val="00D26A1D"/>
    <w:pPr>
      <w:numPr>
        <w:ilvl w:val="4"/>
        <w:numId w:val="6"/>
      </w:numPr>
      <w:outlineLvl w:val="4"/>
    </w:pPr>
    <w:rPr>
      <w:b/>
    </w:rPr>
  </w:style>
  <w:style w:type="paragraph" w:styleId="Heading6">
    <w:name w:val="heading 6"/>
    <w:basedOn w:val="Normal"/>
    <w:next w:val="Normal"/>
    <w:uiPriority w:val="99"/>
    <w:rsid w:val="00D26A1D"/>
    <w:pPr>
      <w:numPr>
        <w:ilvl w:val="5"/>
        <w:numId w:val="6"/>
      </w:numPr>
      <w:outlineLvl w:val="5"/>
    </w:pPr>
    <w:rPr>
      <w:u w:val="single"/>
    </w:rPr>
  </w:style>
  <w:style w:type="paragraph" w:styleId="Heading7">
    <w:name w:val="heading 7"/>
    <w:basedOn w:val="Normal"/>
    <w:next w:val="Normal"/>
    <w:uiPriority w:val="99"/>
    <w:rsid w:val="00D26A1D"/>
    <w:pPr>
      <w:numPr>
        <w:ilvl w:val="6"/>
        <w:numId w:val="6"/>
      </w:numPr>
      <w:spacing w:before="240" w:after="60"/>
      <w:outlineLvl w:val="6"/>
    </w:pPr>
  </w:style>
  <w:style w:type="paragraph" w:styleId="Heading8">
    <w:name w:val="heading 8"/>
    <w:basedOn w:val="Normal"/>
    <w:next w:val="Normal"/>
    <w:uiPriority w:val="99"/>
    <w:rsid w:val="00D26A1D"/>
    <w:pPr>
      <w:numPr>
        <w:ilvl w:val="7"/>
        <w:numId w:val="6"/>
      </w:numPr>
      <w:spacing w:before="240" w:after="60"/>
      <w:outlineLvl w:val="7"/>
    </w:pPr>
    <w:rPr>
      <w:i/>
    </w:rPr>
  </w:style>
  <w:style w:type="paragraph" w:styleId="Heading9">
    <w:name w:val="heading 9"/>
    <w:basedOn w:val="Normal"/>
    <w:next w:val="Normal"/>
    <w:uiPriority w:val="99"/>
    <w:rsid w:val="00D26A1D"/>
    <w:pPr>
      <w:numPr>
        <w:ilvl w:val="8"/>
        <w:numId w:val="6"/>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9460DA"/>
    <w:pPr>
      <w:keepLines/>
      <w:suppressAutoHyphens/>
      <w:spacing w:after="240"/>
    </w:pPr>
  </w:style>
  <w:style w:type="paragraph" w:styleId="TOC2">
    <w:name w:val="toc 2"/>
    <w:basedOn w:val="Normal"/>
    <w:next w:val="Normal"/>
    <w:uiPriority w:val="39"/>
    <w:pPr>
      <w:tabs>
        <w:tab w:val="left" w:pos="425"/>
        <w:tab w:val="right" w:leader="dot" w:pos="7938"/>
      </w:tabs>
      <w:spacing w:after="0"/>
      <w:ind w:left="425" w:hanging="714"/>
    </w:pPr>
    <w:rPr>
      <w:smallCaps/>
    </w:rPr>
  </w:style>
  <w:style w:type="paragraph" w:styleId="TOC1">
    <w:name w:val="toc 1"/>
    <w:basedOn w:val="Normal"/>
    <w:next w:val="Normal"/>
    <w:uiPriority w:val="39"/>
    <w:pPr>
      <w:tabs>
        <w:tab w:val="left" w:pos="-288"/>
        <w:tab w:val="left" w:pos="-144"/>
        <w:tab w:val="right" w:leader="dot" w:pos="7938"/>
      </w:tabs>
      <w:spacing w:before="360"/>
      <w:ind w:left="-288" w:hanging="432"/>
    </w:pPr>
    <w:rPr>
      <w:caps/>
      <w:sz w:val="22"/>
    </w:rPr>
  </w:style>
  <w:style w:type="paragraph" w:styleId="Footer">
    <w:name w:val="footer"/>
    <w:basedOn w:val="Normal"/>
    <w:uiPriority w:val="24"/>
    <w:pPr>
      <w:pBdr>
        <w:top w:val="single" w:sz="6" w:space="1" w:color="808080"/>
      </w:pBdr>
      <w:tabs>
        <w:tab w:val="center" w:pos="3686"/>
        <w:tab w:val="right" w:pos="13892"/>
      </w:tabs>
      <w:spacing w:line="280" w:lineRule="exact"/>
    </w:pPr>
    <w:rPr>
      <w:sz w:val="18"/>
    </w:rPr>
  </w:style>
  <w:style w:type="paragraph" w:styleId="Header">
    <w:name w:val="header"/>
    <w:basedOn w:val="Normal"/>
    <w:uiPriority w:val="24"/>
    <w:rsid w:val="00FE26FB"/>
    <w:pPr>
      <w:tabs>
        <w:tab w:val="right" w:pos="7938"/>
        <w:tab w:val="right" w:pos="13860"/>
      </w:tabs>
      <w:spacing w:before="0" w:after="0"/>
    </w:pPr>
    <w:rPr>
      <w:sz w:val="19"/>
    </w:rPr>
  </w:style>
  <w:style w:type="character" w:styleId="FootnoteReference">
    <w:name w:val="footnote reference"/>
    <w:rPr>
      <w:position w:val="6"/>
      <w:sz w:val="16"/>
    </w:rPr>
  </w:style>
  <w:style w:type="paragraph" w:styleId="FootnoteText">
    <w:name w:val="footnote text"/>
    <w:basedOn w:val="Normal"/>
    <w:link w:val="FootnoteTextChar"/>
    <w:rsid w:val="00BE46BB"/>
    <w:pPr>
      <w:keepLines/>
      <w:suppressAutoHyphens/>
      <w:spacing w:line="240" w:lineRule="exact"/>
      <w:ind w:hanging="720"/>
    </w:pPr>
    <w:rPr>
      <w:sz w:val="16"/>
    </w:rPr>
  </w:style>
  <w:style w:type="paragraph" w:styleId="TOC3">
    <w:name w:val="toc 3"/>
    <w:basedOn w:val="Normal"/>
    <w:next w:val="Normal"/>
    <w:uiPriority w:val="39"/>
    <w:rsid w:val="007E51B9"/>
    <w:pPr>
      <w:tabs>
        <w:tab w:val="left" w:pos="432"/>
        <w:tab w:val="left" w:pos="1080"/>
        <w:tab w:val="left" w:pos="1200"/>
        <w:tab w:val="right" w:leader="dot" w:pos="7938"/>
      </w:tabs>
      <w:spacing w:after="0"/>
      <w:ind w:left="1055" w:hanging="624"/>
    </w:pPr>
    <w:rPr>
      <w:sz w:val="18"/>
    </w:rPr>
  </w:style>
  <w:style w:type="paragraph" w:styleId="ListNumber">
    <w:name w:val="List Number"/>
    <w:basedOn w:val="BodyText"/>
    <w:uiPriority w:val="7"/>
    <w:qFormat/>
    <w:rsid w:val="00DC3679"/>
    <w:pPr>
      <w:numPr>
        <w:numId w:val="4"/>
      </w:numPr>
    </w:pPr>
  </w:style>
  <w:style w:type="paragraph" w:styleId="TOC4">
    <w:name w:val="toc 4"/>
    <w:basedOn w:val="Normal"/>
    <w:next w:val="Normal"/>
    <w:semiHidden/>
    <w:pPr>
      <w:spacing w:before="0" w:after="0"/>
      <w:ind w:left="720"/>
    </w:pPr>
    <w:rPr>
      <w:sz w:val="18"/>
    </w:rPr>
  </w:style>
  <w:style w:type="paragraph" w:styleId="TOC5">
    <w:name w:val="toc 5"/>
    <w:basedOn w:val="Normal"/>
    <w:next w:val="Normal"/>
    <w:semiHidden/>
    <w:pPr>
      <w:spacing w:before="0" w:after="0"/>
      <w:ind w:left="960"/>
    </w:pPr>
    <w:rPr>
      <w:sz w:val="18"/>
    </w:rPr>
  </w:style>
  <w:style w:type="paragraph" w:styleId="TOC6">
    <w:name w:val="toc 6"/>
    <w:basedOn w:val="Normal"/>
    <w:next w:val="Normal"/>
    <w:semiHidden/>
    <w:pPr>
      <w:spacing w:before="0" w:after="0"/>
      <w:ind w:left="1200"/>
    </w:pPr>
    <w:rPr>
      <w:sz w:val="18"/>
    </w:rPr>
  </w:style>
  <w:style w:type="paragraph" w:styleId="TOC7">
    <w:name w:val="toc 7"/>
    <w:basedOn w:val="Normal"/>
    <w:next w:val="Normal"/>
    <w:semiHidden/>
    <w:pPr>
      <w:spacing w:before="0" w:after="0"/>
      <w:ind w:left="1440"/>
    </w:pPr>
    <w:rPr>
      <w:sz w:val="18"/>
    </w:rPr>
  </w:style>
  <w:style w:type="paragraph" w:styleId="TOC8">
    <w:name w:val="toc 8"/>
    <w:basedOn w:val="Normal"/>
    <w:next w:val="Normal"/>
    <w:semiHidden/>
    <w:pPr>
      <w:spacing w:before="0" w:after="0"/>
      <w:ind w:left="1680"/>
    </w:pPr>
    <w:rPr>
      <w:sz w:val="18"/>
    </w:rPr>
  </w:style>
  <w:style w:type="paragraph" w:styleId="TOC9">
    <w:name w:val="toc 9"/>
    <w:basedOn w:val="Normal"/>
    <w:next w:val="Normal"/>
    <w:semiHidden/>
    <w:pPr>
      <w:spacing w:before="0" w:after="0"/>
      <w:ind w:left="1920"/>
    </w:pPr>
    <w:rPr>
      <w:sz w:val="18"/>
    </w:rPr>
  </w:style>
  <w:style w:type="paragraph" w:styleId="Date">
    <w:name w:val="Date"/>
    <w:basedOn w:val="Normal"/>
    <w:next w:val="Normal"/>
    <w:uiPriority w:val="24"/>
    <w:pPr>
      <w:spacing w:before="0" w:after="0"/>
      <w:ind w:left="885" w:right="-357"/>
    </w:pPr>
    <w:rPr>
      <w:rFonts w:ascii="Arial Bold" w:hAnsi="Arial Bold"/>
      <w:b/>
      <w:color w:val="FFFFFF"/>
      <w:sz w:val="19"/>
    </w:rPr>
  </w:style>
  <w:style w:type="paragraph" w:customStyle="1" w:styleId="Status">
    <w:name w:val="Status"/>
    <w:uiPriority w:val="24"/>
    <w:pPr>
      <w:spacing w:line="280" w:lineRule="exact"/>
    </w:pPr>
    <w:rPr>
      <w:rFonts w:ascii="Arial Bold" w:hAnsi="Arial Bold"/>
      <w:b/>
      <w:caps/>
      <w:noProof/>
      <w:color w:val="808080"/>
      <w:sz w:val="22"/>
      <w:lang w:val="en-GB" w:eastAsia="en-US"/>
    </w:rPr>
  </w:style>
  <w:style w:type="paragraph" w:customStyle="1" w:styleId="SectionHeading">
    <w:name w:val="Section Heading"/>
    <w:basedOn w:val="Normal"/>
    <w:uiPriority w:val="17"/>
    <w:rsid w:val="00F97291"/>
    <w:pPr>
      <w:spacing w:before="240" w:after="240" w:line="360" w:lineRule="auto"/>
      <w:jc w:val="center"/>
    </w:pPr>
    <w:rPr>
      <w:rFonts w:ascii="Arial Bold" w:hAnsi="Arial Bold"/>
      <w:b/>
      <w:caps/>
      <w:color w:val="005581"/>
      <w:sz w:val="28"/>
    </w:rPr>
  </w:style>
  <w:style w:type="paragraph" w:styleId="ListBullet2">
    <w:name w:val="List Bullet 2"/>
    <w:basedOn w:val="BodyText"/>
    <w:uiPriority w:val="7"/>
    <w:qFormat/>
    <w:rsid w:val="007308DA"/>
    <w:pPr>
      <w:numPr>
        <w:numId w:val="5"/>
      </w:numPr>
      <w:tabs>
        <w:tab w:val="clear" w:pos="360"/>
        <w:tab w:val="left" w:pos="851"/>
        <w:tab w:val="num" w:pos="1080"/>
      </w:tabs>
      <w:ind w:left="851" w:hanging="425"/>
    </w:pPr>
  </w:style>
  <w:style w:type="paragraph" w:styleId="TableofFigures">
    <w:name w:val="table of figures"/>
    <w:basedOn w:val="Normal"/>
    <w:next w:val="Normal"/>
    <w:uiPriority w:val="99"/>
    <w:rsid w:val="00893C32"/>
  </w:style>
  <w:style w:type="paragraph" w:styleId="Caption">
    <w:name w:val="caption"/>
    <w:basedOn w:val="Normal"/>
    <w:next w:val="BodyText"/>
    <w:link w:val="CaptionChar"/>
    <w:uiPriority w:val="17"/>
    <w:qFormat/>
    <w:rsid w:val="009D227A"/>
    <w:pPr>
      <w:keepNext/>
      <w:keepLines/>
      <w:suppressAutoHyphens/>
      <w:spacing w:before="240" w:line="280" w:lineRule="exact"/>
    </w:pPr>
    <w:rPr>
      <w:rFonts w:ascii="Arial Bold" w:hAnsi="Arial Bold"/>
      <w:b/>
      <w:sz w:val="18"/>
    </w:rPr>
  </w:style>
  <w:style w:type="paragraph" w:customStyle="1" w:styleId="TableHeading">
    <w:name w:val="Table Heading"/>
    <w:basedOn w:val="Normal"/>
    <w:next w:val="TableText"/>
    <w:link w:val="TableHeadingChar"/>
    <w:uiPriority w:val="14"/>
    <w:qFormat/>
    <w:rsid w:val="00B001B6"/>
    <w:pPr>
      <w:keepNext/>
      <w:suppressAutoHyphens/>
    </w:pPr>
    <w:rPr>
      <w:rFonts w:ascii="Arial Bold" w:hAnsi="Arial Bold"/>
      <w:b/>
      <w:color w:val="FFFFFF"/>
      <w:sz w:val="16"/>
    </w:rPr>
  </w:style>
  <w:style w:type="paragraph" w:customStyle="1" w:styleId="TableText">
    <w:name w:val="Table Text"/>
    <w:basedOn w:val="BodyText"/>
    <w:link w:val="TableTextChar"/>
    <w:uiPriority w:val="14"/>
    <w:qFormat/>
    <w:rsid w:val="00A738CF"/>
    <w:pPr>
      <w:spacing w:before="80" w:after="160" w:line="200" w:lineRule="atLeast"/>
    </w:pPr>
    <w:rPr>
      <w:snapToGrid w:val="0"/>
      <w:sz w:val="16"/>
    </w:rPr>
  </w:style>
  <w:style w:type="paragraph" w:styleId="ListBullet">
    <w:name w:val="List Bullet"/>
    <w:basedOn w:val="BodyText"/>
    <w:link w:val="ListBulletChar"/>
    <w:uiPriority w:val="7"/>
    <w:qFormat/>
    <w:rsid w:val="007308DA"/>
    <w:pPr>
      <w:numPr>
        <w:numId w:val="3"/>
      </w:numPr>
      <w:tabs>
        <w:tab w:val="clear" w:pos="360"/>
        <w:tab w:val="num" w:pos="426"/>
      </w:tabs>
      <w:ind w:left="426" w:hanging="426"/>
    </w:pPr>
  </w:style>
  <w:style w:type="paragraph" w:customStyle="1" w:styleId="Appendix1">
    <w:name w:val="Appendix 1"/>
    <w:basedOn w:val="Normal"/>
    <w:next w:val="BodyText"/>
    <w:uiPriority w:val="19"/>
    <w:qFormat/>
    <w:rsid w:val="00F97291"/>
    <w:pPr>
      <w:keepNext/>
      <w:keepLines/>
      <w:numPr>
        <w:numId w:val="1"/>
      </w:numPr>
      <w:suppressLineNumbers/>
      <w:suppressAutoHyphens/>
      <w:spacing w:before="360" w:after="240"/>
      <w:ind w:left="1260" w:hanging="1980"/>
    </w:pPr>
    <w:rPr>
      <w:rFonts w:ascii="Arial Bold" w:hAnsi="Arial Bold"/>
      <w:b/>
      <w:caps/>
      <w:color w:val="005581"/>
      <w:sz w:val="28"/>
      <w:u w:color="568A9E"/>
    </w:rPr>
  </w:style>
  <w:style w:type="paragraph" w:customStyle="1" w:styleId="Appendix2">
    <w:name w:val="Appendix 2"/>
    <w:basedOn w:val="Normal"/>
    <w:next w:val="BodyText"/>
    <w:uiPriority w:val="19"/>
    <w:qFormat/>
    <w:rsid w:val="009460DA"/>
    <w:pPr>
      <w:keepNext/>
      <w:keepLines/>
      <w:numPr>
        <w:ilvl w:val="1"/>
        <w:numId w:val="1"/>
      </w:numPr>
      <w:suppressLineNumbers/>
      <w:tabs>
        <w:tab w:val="clear" w:pos="-144"/>
        <w:tab w:val="num" w:pos="0"/>
      </w:tabs>
      <w:suppressAutoHyphens/>
      <w:spacing w:before="360"/>
      <w:ind w:left="0" w:hanging="720"/>
    </w:pPr>
    <w:rPr>
      <w:rFonts w:ascii="Arial Bold" w:hAnsi="Arial Bold"/>
      <w:b/>
      <w:smallCaps/>
      <w:color w:val="005581"/>
    </w:rPr>
  </w:style>
  <w:style w:type="paragraph" w:customStyle="1" w:styleId="Appendix3">
    <w:name w:val="Appendix 3"/>
    <w:basedOn w:val="Normal"/>
    <w:next w:val="BodyText"/>
    <w:uiPriority w:val="19"/>
    <w:qFormat/>
    <w:rsid w:val="009460DA"/>
    <w:pPr>
      <w:keepNext/>
      <w:keepLines/>
      <w:numPr>
        <w:ilvl w:val="2"/>
        <w:numId w:val="1"/>
      </w:numPr>
      <w:suppressLineNumbers/>
      <w:suppressAutoHyphens/>
      <w:spacing w:before="360"/>
    </w:pPr>
    <w:rPr>
      <w:rFonts w:ascii="Arial Bold" w:hAnsi="Arial Bold"/>
      <w:b/>
      <w:color w:val="005581"/>
      <w:sz w:val="22"/>
    </w:rPr>
  </w:style>
  <w:style w:type="paragraph" w:customStyle="1" w:styleId="Appendix4">
    <w:name w:val="Appendix 4"/>
    <w:basedOn w:val="Normal"/>
    <w:next w:val="BodyText"/>
    <w:uiPriority w:val="19"/>
    <w:qFormat/>
    <w:rsid w:val="009460DA"/>
    <w:pPr>
      <w:keepNext/>
      <w:keepLines/>
      <w:numPr>
        <w:ilvl w:val="3"/>
        <w:numId w:val="1"/>
      </w:numPr>
      <w:suppressLineNumbers/>
      <w:suppressAutoHyphens/>
      <w:spacing w:before="360"/>
      <w:ind w:left="720" w:hanging="720"/>
    </w:pPr>
    <w:rPr>
      <w:rFonts w:ascii="Arial Bold" w:hAnsi="Arial Bold"/>
      <w:b/>
      <w:i/>
      <w:color w:val="005581"/>
    </w:rPr>
  </w:style>
  <w:style w:type="paragraph" w:customStyle="1" w:styleId="Titlepagebodytext">
    <w:name w:val="Titlepagebodytext"/>
    <w:basedOn w:val="BodyText"/>
    <w:uiPriority w:val="24"/>
    <w:pPr>
      <w:spacing w:before="0" w:after="0"/>
      <w:ind w:left="885" w:right="-357"/>
    </w:pPr>
    <w:rPr>
      <w:color w:val="FFFFFF"/>
    </w:rPr>
  </w:style>
  <w:style w:type="paragraph" w:customStyle="1" w:styleId="CVHeading2">
    <w:name w:val="CVHeading2"/>
    <w:basedOn w:val="Heading2"/>
    <w:link w:val="CVHeading2Char"/>
    <w:uiPriority w:val="26"/>
    <w:qFormat/>
    <w:rsid w:val="006A0D20"/>
    <w:pPr>
      <w:numPr>
        <w:ilvl w:val="0"/>
        <w:numId w:val="0"/>
      </w:numPr>
      <w:suppressAutoHyphens/>
      <w:ind w:left="11"/>
    </w:pPr>
  </w:style>
  <w:style w:type="character" w:customStyle="1" w:styleId="CVHeading2Char">
    <w:name w:val="CVHeading2 Char"/>
    <w:link w:val="CVHeading2"/>
    <w:uiPriority w:val="26"/>
    <w:rsid w:val="00572BBE"/>
    <w:rPr>
      <w:rFonts w:ascii="Arial Bold" w:hAnsi="Arial Bold"/>
      <w:b/>
      <w:smallCaps/>
      <w:color w:val="005581"/>
    </w:rPr>
  </w:style>
  <w:style w:type="paragraph" w:customStyle="1" w:styleId="CVHeading3">
    <w:name w:val="CVHeading3"/>
    <w:basedOn w:val="Heading3"/>
    <w:uiPriority w:val="26"/>
    <w:qFormat/>
    <w:rsid w:val="006A0D20"/>
    <w:pPr>
      <w:keepLines w:val="0"/>
      <w:numPr>
        <w:ilvl w:val="0"/>
        <w:numId w:val="0"/>
      </w:numPr>
      <w:spacing w:after="120"/>
      <w:ind w:left="11"/>
    </w:pPr>
  </w:style>
  <w:style w:type="character" w:styleId="Hyperlink">
    <w:name w:val="Hyperlink"/>
    <w:uiPriority w:val="99"/>
    <w:rsid w:val="00893C32"/>
    <w:rPr>
      <w:rFonts w:ascii="Arial" w:hAnsi="Arial"/>
      <w:color w:val="808080"/>
      <w:sz w:val="20"/>
      <w:u w:val="single" w:color="808080"/>
    </w:rPr>
  </w:style>
  <w:style w:type="paragraph" w:customStyle="1" w:styleId="CVHeading1">
    <w:name w:val="CVHeading1"/>
    <w:basedOn w:val="Normal"/>
    <w:uiPriority w:val="26"/>
    <w:qFormat/>
    <w:rsid w:val="006A0D20"/>
    <w:pPr>
      <w:suppressAutoHyphens/>
      <w:spacing w:before="240" w:after="240"/>
    </w:pPr>
    <w:rPr>
      <w:rFonts w:ascii="Arial Bold" w:hAnsi="Arial Bold"/>
      <w:b/>
      <w:caps/>
      <w:color w:val="005581"/>
      <w:sz w:val="28"/>
      <w:szCs w:val="28"/>
      <w:lang w:val="en-US"/>
    </w:rPr>
  </w:style>
  <w:style w:type="character" w:styleId="FollowedHyperlink">
    <w:name w:val="FollowedHyperlink"/>
    <w:uiPriority w:val="24"/>
    <w:rPr>
      <w:rFonts w:ascii="Arial" w:hAnsi="Arial"/>
      <w:color w:val="808080"/>
      <w:sz w:val="19"/>
      <w:u w:val="single" w:color="808080"/>
    </w:rPr>
  </w:style>
  <w:style w:type="character" w:styleId="LineNumber">
    <w:name w:val="line number"/>
    <w:uiPriority w:val="24"/>
    <w:rPr>
      <w:rFonts w:ascii="Arial" w:hAnsi="Arial"/>
      <w:vanish/>
      <w:color w:val="808080"/>
      <w:sz w:val="16"/>
    </w:rPr>
  </w:style>
  <w:style w:type="paragraph" w:customStyle="1" w:styleId="Quotations">
    <w:name w:val="Quotations"/>
    <w:basedOn w:val="BodyText"/>
    <w:uiPriority w:val="17"/>
    <w:qFormat/>
    <w:pPr>
      <w:ind w:left="720"/>
    </w:pPr>
    <w:rPr>
      <w:i/>
      <w:iCs/>
      <w:sz w:val="18"/>
    </w:rPr>
  </w:style>
  <w:style w:type="paragraph" w:customStyle="1" w:styleId="Source">
    <w:name w:val="Source"/>
    <w:basedOn w:val="BodyText"/>
    <w:uiPriority w:val="17"/>
    <w:qFormat/>
    <w:rsid w:val="004F0B8B"/>
    <w:pPr>
      <w:spacing w:before="60" w:line="240" w:lineRule="auto"/>
    </w:pPr>
    <w:rPr>
      <w:sz w:val="16"/>
    </w:rPr>
  </w:style>
  <w:style w:type="paragraph" w:customStyle="1" w:styleId="Disclaimer">
    <w:name w:val="Disclaimer"/>
    <w:basedOn w:val="BodyText"/>
    <w:uiPriority w:val="24"/>
    <w:rsid w:val="00FE26FB"/>
    <w:rPr>
      <w:i/>
      <w:iCs/>
    </w:rPr>
  </w:style>
  <w:style w:type="paragraph" w:customStyle="1" w:styleId="BodyTextOut">
    <w:name w:val="Body Text Out"/>
    <w:basedOn w:val="BodyText"/>
    <w:uiPriority w:val="1"/>
    <w:pPr>
      <w:ind w:left="-709"/>
    </w:pPr>
  </w:style>
  <w:style w:type="paragraph" w:customStyle="1" w:styleId="BoxHeading">
    <w:name w:val="Box Heading"/>
    <w:basedOn w:val="Heading4"/>
    <w:uiPriority w:val="24"/>
    <w:pPr>
      <w:keepLines w:val="0"/>
      <w:spacing w:after="120"/>
    </w:pPr>
    <w:rPr>
      <w:i w:val="0"/>
    </w:rPr>
  </w:style>
  <w:style w:type="paragraph" w:customStyle="1" w:styleId="ReportName">
    <w:name w:val="Report Name"/>
    <w:basedOn w:val="BodyText"/>
    <w:uiPriority w:val="17"/>
    <w:pPr>
      <w:keepLines w:val="0"/>
      <w:spacing w:before="0" w:line="264" w:lineRule="auto"/>
      <w:ind w:left="1440"/>
    </w:pPr>
    <w:rPr>
      <w:color w:val="808080"/>
      <w:sz w:val="52"/>
    </w:rPr>
  </w:style>
  <w:style w:type="paragraph" w:customStyle="1" w:styleId="DeleteMe">
    <w:name w:val="Delete Me"/>
    <w:basedOn w:val="BodyText"/>
    <w:uiPriority w:val="99"/>
    <w:rPr>
      <w:color w:val="FF0000"/>
    </w:rPr>
  </w:style>
  <w:style w:type="paragraph" w:customStyle="1" w:styleId="Figures">
    <w:name w:val="Figures"/>
    <w:basedOn w:val="BodyText"/>
    <w:uiPriority w:val="24"/>
    <w:pPr>
      <w:spacing w:line="240" w:lineRule="auto"/>
    </w:pPr>
  </w:style>
  <w:style w:type="paragraph" w:customStyle="1" w:styleId="Education">
    <w:name w:val="Education"/>
    <w:basedOn w:val="Normal"/>
    <w:uiPriority w:val="24"/>
    <w:rsid w:val="009068AD"/>
    <w:pPr>
      <w:suppressAutoHyphens/>
      <w:spacing w:before="0" w:after="0"/>
      <w:jc w:val="right"/>
    </w:pPr>
    <w:rPr>
      <w:sz w:val="18"/>
    </w:rPr>
  </w:style>
  <w:style w:type="paragraph" w:customStyle="1" w:styleId="JobTitle">
    <w:name w:val="Job Title"/>
    <w:basedOn w:val="Education"/>
    <w:uiPriority w:val="24"/>
    <w:rsid w:val="009068AD"/>
    <w:pPr>
      <w:jc w:val="left"/>
    </w:pPr>
    <w:rPr>
      <w:sz w:val="22"/>
    </w:rPr>
  </w:style>
  <w:style w:type="character" w:customStyle="1" w:styleId="ListBulletChar">
    <w:name w:val="List Bullet Char"/>
    <w:link w:val="ListBullet"/>
    <w:uiPriority w:val="7"/>
    <w:rsid w:val="00572BBE"/>
    <w:rPr>
      <w:lang w:val="en-GB"/>
    </w:rPr>
  </w:style>
  <w:style w:type="character" w:customStyle="1" w:styleId="BodyTextChar">
    <w:name w:val="Body Text Char"/>
    <w:link w:val="BodyText"/>
    <w:rsid w:val="009460DA"/>
    <w:rPr>
      <w:rFonts w:ascii="Arial" w:hAnsi="Arial"/>
      <w:lang w:val="en-GB" w:eastAsia="en-US"/>
    </w:rPr>
  </w:style>
  <w:style w:type="paragraph" w:customStyle="1" w:styleId="BasicParagraph">
    <w:name w:val="[Basic Paragraph]"/>
    <w:basedOn w:val="Normal"/>
    <w:uiPriority w:val="99"/>
    <w:rsid w:val="00E162B5"/>
    <w:pPr>
      <w:autoSpaceDE w:val="0"/>
      <w:autoSpaceDN w:val="0"/>
      <w:adjustRightInd w:val="0"/>
      <w:spacing w:before="0" w:after="0" w:line="288" w:lineRule="auto"/>
      <w:textAlignment w:val="center"/>
    </w:pPr>
    <w:rPr>
      <w:rFonts w:ascii="Minion Pro" w:hAnsi="Minion Pro" w:cs="Minion Pro"/>
      <w:color w:val="000000"/>
      <w:szCs w:val="24"/>
    </w:rPr>
  </w:style>
  <w:style w:type="paragraph" w:styleId="BalloonText">
    <w:name w:val="Balloon Text"/>
    <w:basedOn w:val="Normal"/>
    <w:link w:val="BalloonTextChar"/>
    <w:uiPriority w:val="99"/>
    <w:rsid w:val="002168C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572BBE"/>
    <w:rPr>
      <w:rFonts w:ascii="Tahoma" w:hAnsi="Tahoma" w:cs="Tahoma"/>
      <w:sz w:val="16"/>
      <w:szCs w:val="16"/>
    </w:rPr>
  </w:style>
  <w:style w:type="character" w:customStyle="1" w:styleId="TableTextChar">
    <w:name w:val="Table Text Char"/>
    <w:basedOn w:val="DefaultParagraphFont"/>
    <w:link w:val="TableText"/>
    <w:uiPriority w:val="14"/>
    <w:locked/>
    <w:rsid w:val="00A738CF"/>
    <w:rPr>
      <w:snapToGrid w:val="0"/>
      <w:sz w:val="16"/>
    </w:rPr>
  </w:style>
  <w:style w:type="character" w:customStyle="1" w:styleId="TableHeadingChar">
    <w:name w:val="Table Heading Char"/>
    <w:basedOn w:val="DefaultParagraphFont"/>
    <w:link w:val="TableHeading"/>
    <w:uiPriority w:val="14"/>
    <w:locked/>
    <w:rsid w:val="00572BBE"/>
    <w:rPr>
      <w:rFonts w:ascii="Arial Bold" w:hAnsi="Arial Bold"/>
      <w:b/>
      <w:color w:val="FFFFFF"/>
      <w:sz w:val="16"/>
    </w:rPr>
  </w:style>
  <w:style w:type="table" w:styleId="TableGrid">
    <w:name w:val="Table Grid"/>
    <w:basedOn w:val="TableNormal"/>
    <w:rsid w:val="00B00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VHeading4">
    <w:name w:val="CVHeading4"/>
    <w:basedOn w:val="Normal"/>
    <w:next w:val="BodyText"/>
    <w:uiPriority w:val="26"/>
    <w:qFormat/>
    <w:rsid w:val="006A0D20"/>
    <w:pPr>
      <w:suppressAutoHyphens/>
      <w:spacing w:before="240" w:after="240"/>
    </w:pPr>
    <w:rPr>
      <w:rFonts w:ascii="Arial Bold" w:hAnsi="Arial Bold"/>
      <w:b/>
      <w:bCs/>
      <w:i/>
      <w:iCs/>
      <w:color w:val="005581"/>
      <w:szCs w:val="28"/>
      <w:lang w:val="en-US"/>
    </w:rPr>
  </w:style>
  <w:style w:type="paragraph" w:customStyle="1" w:styleId="TableBullet">
    <w:name w:val="Table Bullet"/>
    <w:basedOn w:val="TableText"/>
    <w:uiPriority w:val="15"/>
    <w:qFormat/>
    <w:rsid w:val="00B552ED"/>
    <w:pPr>
      <w:numPr>
        <w:numId w:val="7"/>
      </w:numPr>
      <w:ind w:left="370"/>
    </w:pPr>
  </w:style>
  <w:style w:type="paragraph" w:customStyle="1" w:styleId="ListBullet3">
    <w:name w:val="List Bullet3"/>
    <w:basedOn w:val="ListBullet2"/>
    <w:uiPriority w:val="7"/>
    <w:qFormat/>
    <w:rsid w:val="00B552ED"/>
    <w:pPr>
      <w:numPr>
        <w:numId w:val="8"/>
      </w:numPr>
      <w:tabs>
        <w:tab w:val="clear" w:pos="360"/>
        <w:tab w:val="num" w:pos="1211"/>
      </w:tabs>
      <w:ind w:left="1211"/>
    </w:pPr>
  </w:style>
  <w:style w:type="paragraph" w:customStyle="1" w:styleId="ListLetter">
    <w:name w:val="List Letter"/>
    <w:basedOn w:val="ListBullet"/>
    <w:uiPriority w:val="7"/>
    <w:qFormat/>
    <w:rsid w:val="001038E5"/>
    <w:pPr>
      <w:numPr>
        <w:numId w:val="9"/>
      </w:numPr>
    </w:pPr>
  </w:style>
  <w:style w:type="paragraph" w:customStyle="1" w:styleId="ListLetter2">
    <w:name w:val="List Letter 2"/>
    <w:basedOn w:val="ListBullet2"/>
    <w:uiPriority w:val="7"/>
    <w:qFormat/>
    <w:rsid w:val="001038E5"/>
    <w:pPr>
      <w:numPr>
        <w:numId w:val="10"/>
      </w:numPr>
      <w:tabs>
        <w:tab w:val="clear" w:pos="360"/>
        <w:tab w:val="num" w:pos="720"/>
      </w:tabs>
      <w:ind w:left="720"/>
    </w:pPr>
  </w:style>
  <w:style w:type="table" w:customStyle="1" w:styleId="TLGTable">
    <w:name w:val="TLG Table"/>
    <w:basedOn w:val="TableNormal"/>
    <w:uiPriority w:val="99"/>
    <w:rsid w:val="008B62A6"/>
    <w:rPr>
      <w:sz w:val="16"/>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tcPr>
    <w:tblStylePr w:type="firstRow">
      <w:rPr>
        <w:rFonts w:ascii="Arial" w:hAnsi="Arial"/>
        <w:b/>
        <w:color w:val="FFFFFF" w:themeColor="background1"/>
        <w:sz w:val="16"/>
      </w:rPr>
      <w:tblPr/>
      <w:tcPr>
        <w:shd w:val="clear" w:color="auto" w:fill="005581" w:themeFill="text2"/>
      </w:tcPr>
    </w:tblStylePr>
  </w:style>
  <w:style w:type="table" w:styleId="GridTable1Light">
    <w:name w:val="Grid Table 1 Light"/>
    <w:basedOn w:val="TableNormal"/>
    <w:uiPriority w:val="46"/>
    <w:rsid w:val="0031664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
    <w:name w:val="Grid Table 4"/>
    <w:basedOn w:val="TableNormal"/>
    <w:uiPriority w:val="49"/>
    <w:rsid w:val="0031664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1">
    <w:name w:val="List Table 3 Accent 1"/>
    <w:basedOn w:val="TableNormal"/>
    <w:uiPriority w:val="48"/>
    <w:rsid w:val="00316643"/>
    <w:tblPr>
      <w:tblStyleRowBandSize w:val="1"/>
      <w:tblStyleColBandSize w:val="1"/>
      <w:tblBorders>
        <w:top w:val="single" w:sz="4" w:space="0" w:color="B2D5FC" w:themeColor="accent1"/>
        <w:left w:val="single" w:sz="4" w:space="0" w:color="B2D5FC" w:themeColor="accent1"/>
        <w:bottom w:val="single" w:sz="4" w:space="0" w:color="B2D5FC" w:themeColor="accent1"/>
        <w:right w:val="single" w:sz="4" w:space="0" w:color="B2D5FC" w:themeColor="accent1"/>
      </w:tblBorders>
    </w:tblPr>
    <w:tblStylePr w:type="firstRow">
      <w:rPr>
        <w:b/>
        <w:bCs/>
        <w:color w:val="FFFFFF" w:themeColor="background1"/>
      </w:rPr>
      <w:tblPr/>
      <w:tcPr>
        <w:shd w:val="clear" w:color="auto" w:fill="B2D5FC" w:themeFill="accent1"/>
      </w:tcPr>
    </w:tblStylePr>
    <w:tblStylePr w:type="lastRow">
      <w:rPr>
        <w:b/>
        <w:bCs/>
      </w:rPr>
      <w:tblPr/>
      <w:tcPr>
        <w:tcBorders>
          <w:top w:val="double" w:sz="4" w:space="0" w:color="B2D5F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D5FC" w:themeColor="accent1"/>
          <w:right w:val="single" w:sz="4" w:space="0" w:color="B2D5FC" w:themeColor="accent1"/>
        </w:tcBorders>
      </w:tcPr>
    </w:tblStylePr>
    <w:tblStylePr w:type="band1Horz">
      <w:tblPr/>
      <w:tcPr>
        <w:tcBorders>
          <w:top w:val="single" w:sz="4" w:space="0" w:color="B2D5FC" w:themeColor="accent1"/>
          <w:bottom w:val="single" w:sz="4" w:space="0" w:color="B2D5F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D5FC" w:themeColor="accent1"/>
          <w:left w:val="nil"/>
        </w:tcBorders>
      </w:tcPr>
    </w:tblStylePr>
    <w:tblStylePr w:type="swCell">
      <w:tblPr/>
      <w:tcPr>
        <w:tcBorders>
          <w:top w:val="double" w:sz="4" w:space="0" w:color="B2D5FC" w:themeColor="accent1"/>
          <w:right w:val="nil"/>
        </w:tcBorders>
      </w:tcPr>
    </w:tblStylePr>
  </w:style>
  <w:style w:type="character" w:customStyle="1" w:styleId="Heading2Char">
    <w:name w:val="Heading 2 Char"/>
    <w:basedOn w:val="DefaultParagraphFont"/>
    <w:link w:val="Heading2"/>
    <w:uiPriority w:val="4"/>
    <w:rsid w:val="006D6755"/>
    <w:rPr>
      <w:rFonts w:ascii="Arial Bold" w:hAnsi="Arial Bold"/>
      <w:b/>
      <w:smallCaps/>
      <w:color w:val="005581"/>
      <w:sz w:val="24"/>
      <w:szCs w:val="24"/>
      <w:lang w:val="en-GB"/>
    </w:rPr>
  </w:style>
  <w:style w:type="paragraph" w:customStyle="1" w:styleId="ListNumber2">
    <w:name w:val="List Number2"/>
    <w:basedOn w:val="ListNumber"/>
    <w:uiPriority w:val="7"/>
    <w:qFormat/>
    <w:rsid w:val="00A738CF"/>
    <w:pPr>
      <w:numPr>
        <w:numId w:val="11"/>
      </w:numPr>
      <w:ind w:left="786"/>
    </w:pPr>
  </w:style>
  <w:style w:type="paragraph" w:styleId="NormalWeb">
    <w:name w:val="Normal (Web)"/>
    <w:basedOn w:val="Normal"/>
    <w:uiPriority w:val="99"/>
    <w:semiHidden/>
    <w:unhideWhenUsed/>
    <w:rsid w:val="00DD2652"/>
    <w:pPr>
      <w:spacing w:before="100" w:beforeAutospacing="1" w:after="100" w:afterAutospacing="1" w:line="240" w:lineRule="auto"/>
    </w:pPr>
    <w:rPr>
      <w:rFonts w:ascii="Times New Roman" w:hAnsi="Times New Roman"/>
      <w:sz w:val="24"/>
      <w:szCs w:val="24"/>
      <w:lang w:val="en-US" w:eastAsia="ja-JP"/>
    </w:rPr>
  </w:style>
  <w:style w:type="character" w:customStyle="1" w:styleId="CaptionChar">
    <w:name w:val="Caption Char"/>
    <w:basedOn w:val="DefaultParagraphFont"/>
    <w:link w:val="Caption"/>
    <w:uiPriority w:val="17"/>
    <w:rsid w:val="00EE72C8"/>
    <w:rPr>
      <w:rFonts w:ascii="Arial Bold" w:hAnsi="Arial Bold"/>
      <w:b/>
      <w:sz w:val="18"/>
      <w:lang w:val="en-GB"/>
    </w:rPr>
  </w:style>
  <w:style w:type="character" w:customStyle="1" w:styleId="FootnoteTextChar">
    <w:name w:val="Footnote Text Char"/>
    <w:basedOn w:val="DefaultParagraphFont"/>
    <w:link w:val="FootnoteText"/>
    <w:rsid w:val="00EE72C8"/>
    <w:rPr>
      <w:sz w:val="16"/>
      <w:lang w:val="en-GB"/>
    </w:rPr>
  </w:style>
  <w:style w:type="paragraph" w:customStyle="1" w:styleId="mbodyMainstyles">
    <w:name w:val="m_body (Main styles)"/>
    <w:basedOn w:val="Normal"/>
    <w:link w:val="mbodyMainstylesChar"/>
    <w:uiPriority w:val="99"/>
    <w:qFormat/>
    <w:rsid w:val="002A5829"/>
    <w:pPr>
      <w:suppressAutoHyphens/>
      <w:autoSpaceDE w:val="0"/>
      <w:autoSpaceDN w:val="0"/>
      <w:adjustRightInd w:val="0"/>
      <w:spacing w:before="0" w:after="227" w:line="240" w:lineRule="atLeast"/>
      <w:jc w:val="both"/>
      <w:textAlignment w:val="center"/>
    </w:pPr>
    <w:rPr>
      <w:rFonts w:asciiTheme="majorHAnsi" w:eastAsiaTheme="minorEastAsia" w:hAnsiTheme="majorHAnsi" w:cstheme="majorHAnsi"/>
      <w:color w:val="000000"/>
      <w:lang w:val="en-US" w:eastAsia="en-US"/>
    </w:rPr>
  </w:style>
  <w:style w:type="character" w:customStyle="1" w:styleId="mbodyMainstylesChar">
    <w:name w:val="m_body (Main styles) Char"/>
    <w:link w:val="mbodyMainstyles"/>
    <w:uiPriority w:val="99"/>
    <w:rsid w:val="002A5829"/>
    <w:rPr>
      <w:rFonts w:asciiTheme="majorHAnsi" w:eastAsiaTheme="minorEastAsia" w:hAnsiTheme="majorHAnsi" w:cstheme="majorHAnsi"/>
      <w:color w:val="000000"/>
      <w:lang w:val="en-US" w:eastAsia="en-US"/>
    </w:rPr>
  </w:style>
  <w:style w:type="character" w:styleId="CommentReference">
    <w:name w:val="annotation reference"/>
    <w:basedOn w:val="DefaultParagraphFont"/>
    <w:semiHidden/>
    <w:unhideWhenUsed/>
    <w:rsid w:val="00931BA7"/>
    <w:rPr>
      <w:sz w:val="16"/>
      <w:szCs w:val="16"/>
    </w:rPr>
  </w:style>
  <w:style w:type="paragraph" w:styleId="CommentText">
    <w:name w:val="annotation text"/>
    <w:basedOn w:val="Normal"/>
    <w:link w:val="CommentTextChar"/>
    <w:unhideWhenUsed/>
    <w:rsid w:val="00931BA7"/>
    <w:pPr>
      <w:spacing w:line="240" w:lineRule="auto"/>
    </w:pPr>
  </w:style>
  <w:style w:type="character" w:customStyle="1" w:styleId="CommentTextChar">
    <w:name w:val="Comment Text Char"/>
    <w:basedOn w:val="DefaultParagraphFont"/>
    <w:link w:val="CommentText"/>
    <w:rsid w:val="00931BA7"/>
    <w:rPr>
      <w:lang w:val="en-GB"/>
    </w:rPr>
  </w:style>
  <w:style w:type="paragraph" w:styleId="CommentSubject">
    <w:name w:val="annotation subject"/>
    <w:basedOn w:val="CommentText"/>
    <w:next w:val="CommentText"/>
    <w:link w:val="CommentSubjectChar"/>
    <w:semiHidden/>
    <w:unhideWhenUsed/>
    <w:rsid w:val="00931BA7"/>
    <w:rPr>
      <w:b/>
      <w:bCs/>
    </w:rPr>
  </w:style>
  <w:style w:type="character" w:customStyle="1" w:styleId="CommentSubjectChar">
    <w:name w:val="Comment Subject Char"/>
    <w:basedOn w:val="CommentTextChar"/>
    <w:link w:val="CommentSubject"/>
    <w:semiHidden/>
    <w:rsid w:val="00931BA7"/>
    <w:rPr>
      <w:b/>
      <w:bCs/>
      <w:lang w:val="en-GB"/>
    </w:rPr>
  </w:style>
  <w:style w:type="paragraph" w:styleId="ListParagraph">
    <w:name w:val="List Paragraph"/>
    <w:basedOn w:val="Normal"/>
    <w:uiPriority w:val="34"/>
    <w:qFormat/>
    <w:rsid w:val="001B59AC"/>
    <w:pPr>
      <w:spacing w:before="0" w:after="160" w:line="259" w:lineRule="auto"/>
      <w:ind w:left="720"/>
      <w:contextualSpacing/>
    </w:pPr>
    <w:rPr>
      <w:rFonts w:asciiTheme="minorHAnsi" w:eastAsiaTheme="minorHAnsi" w:hAnsiTheme="minorHAnsi" w:cstheme="minorBidi"/>
      <w:sz w:val="22"/>
      <w:szCs w:val="22"/>
      <w:lang w:val="en-US" w:eastAsia="en-US"/>
    </w:rPr>
  </w:style>
  <w:style w:type="character" w:customStyle="1" w:styleId="Heading4Char">
    <w:name w:val="Heading 4 Char"/>
    <w:basedOn w:val="DefaultParagraphFont"/>
    <w:link w:val="Heading4"/>
    <w:uiPriority w:val="4"/>
    <w:rsid w:val="001B59AC"/>
    <w:rPr>
      <w:rFonts w:ascii="Arial Bold" w:hAnsi="Arial Bold"/>
      <w:b/>
      <w:i/>
      <w:color w:val="00558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343448">
      <w:bodyDiv w:val="1"/>
      <w:marLeft w:val="0"/>
      <w:marRight w:val="0"/>
      <w:marTop w:val="0"/>
      <w:marBottom w:val="0"/>
      <w:divBdr>
        <w:top w:val="none" w:sz="0" w:space="0" w:color="auto"/>
        <w:left w:val="none" w:sz="0" w:space="0" w:color="auto"/>
        <w:bottom w:val="none" w:sz="0" w:space="0" w:color="auto"/>
        <w:right w:val="none" w:sz="0" w:space="0" w:color="auto"/>
      </w:divBdr>
    </w:div>
    <w:div w:id="162472694">
      <w:bodyDiv w:val="1"/>
      <w:marLeft w:val="0"/>
      <w:marRight w:val="0"/>
      <w:marTop w:val="0"/>
      <w:marBottom w:val="0"/>
      <w:divBdr>
        <w:top w:val="none" w:sz="0" w:space="0" w:color="auto"/>
        <w:left w:val="none" w:sz="0" w:space="0" w:color="auto"/>
        <w:bottom w:val="none" w:sz="0" w:space="0" w:color="auto"/>
        <w:right w:val="none" w:sz="0" w:space="0" w:color="auto"/>
      </w:divBdr>
    </w:div>
    <w:div w:id="414938685">
      <w:bodyDiv w:val="1"/>
      <w:marLeft w:val="0"/>
      <w:marRight w:val="0"/>
      <w:marTop w:val="0"/>
      <w:marBottom w:val="0"/>
      <w:divBdr>
        <w:top w:val="none" w:sz="0" w:space="0" w:color="auto"/>
        <w:left w:val="none" w:sz="0" w:space="0" w:color="auto"/>
        <w:bottom w:val="none" w:sz="0" w:space="0" w:color="auto"/>
        <w:right w:val="none" w:sz="0" w:space="0" w:color="auto"/>
      </w:divBdr>
      <w:divsChild>
        <w:div w:id="191921991">
          <w:marLeft w:val="360"/>
          <w:marRight w:val="0"/>
          <w:marTop w:val="60"/>
          <w:marBottom w:val="0"/>
          <w:divBdr>
            <w:top w:val="none" w:sz="0" w:space="0" w:color="auto"/>
            <w:left w:val="none" w:sz="0" w:space="0" w:color="auto"/>
            <w:bottom w:val="none" w:sz="0" w:space="0" w:color="auto"/>
            <w:right w:val="none" w:sz="0" w:space="0" w:color="auto"/>
          </w:divBdr>
        </w:div>
        <w:div w:id="2067607045">
          <w:marLeft w:val="907"/>
          <w:marRight w:val="0"/>
          <w:marTop w:val="60"/>
          <w:marBottom w:val="0"/>
          <w:divBdr>
            <w:top w:val="none" w:sz="0" w:space="0" w:color="auto"/>
            <w:left w:val="none" w:sz="0" w:space="0" w:color="auto"/>
            <w:bottom w:val="none" w:sz="0" w:space="0" w:color="auto"/>
            <w:right w:val="none" w:sz="0" w:space="0" w:color="auto"/>
          </w:divBdr>
        </w:div>
        <w:div w:id="1517887604">
          <w:marLeft w:val="360"/>
          <w:marRight w:val="0"/>
          <w:marTop w:val="60"/>
          <w:marBottom w:val="0"/>
          <w:divBdr>
            <w:top w:val="none" w:sz="0" w:space="0" w:color="auto"/>
            <w:left w:val="none" w:sz="0" w:space="0" w:color="auto"/>
            <w:bottom w:val="none" w:sz="0" w:space="0" w:color="auto"/>
            <w:right w:val="none" w:sz="0" w:space="0" w:color="auto"/>
          </w:divBdr>
        </w:div>
        <w:div w:id="874393056">
          <w:marLeft w:val="907"/>
          <w:marRight w:val="0"/>
          <w:marTop w:val="60"/>
          <w:marBottom w:val="0"/>
          <w:divBdr>
            <w:top w:val="none" w:sz="0" w:space="0" w:color="auto"/>
            <w:left w:val="none" w:sz="0" w:space="0" w:color="auto"/>
            <w:bottom w:val="none" w:sz="0" w:space="0" w:color="auto"/>
            <w:right w:val="none" w:sz="0" w:space="0" w:color="auto"/>
          </w:divBdr>
        </w:div>
        <w:div w:id="45103931">
          <w:marLeft w:val="360"/>
          <w:marRight w:val="0"/>
          <w:marTop w:val="235"/>
          <w:marBottom w:val="0"/>
          <w:divBdr>
            <w:top w:val="none" w:sz="0" w:space="0" w:color="auto"/>
            <w:left w:val="none" w:sz="0" w:space="0" w:color="auto"/>
            <w:bottom w:val="none" w:sz="0" w:space="0" w:color="auto"/>
            <w:right w:val="none" w:sz="0" w:space="0" w:color="auto"/>
          </w:divBdr>
        </w:div>
        <w:div w:id="1720203703">
          <w:marLeft w:val="907"/>
          <w:marRight w:val="0"/>
          <w:marTop w:val="0"/>
          <w:marBottom w:val="0"/>
          <w:divBdr>
            <w:top w:val="none" w:sz="0" w:space="0" w:color="auto"/>
            <w:left w:val="none" w:sz="0" w:space="0" w:color="auto"/>
            <w:bottom w:val="none" w:sz="0" w:space="0" w:color="auto"/>
            <w:right w:val="none" w:sz="0" w:space="0" w:color="auto"/>
          </w:divBdr>
        </w:div>
        <w:div w:id="51392559">
          <w:marLeft w:val="907"/>
          <w:marRight w:val="0"/>
          <w:marTop w:val="0"/>
          <w:marBottom w:val="0"/>
          <w:divBdr>
            <w:top w:val="none" w:sz="0" w:space="0" w:color="auto"/>
            <w:left w:val="none" w:sz="0" w:space="0" w:color="auto"/>
            <w:bottom w:val="none" w:sz="0" w:space="0" w:color="auto"/>
            <w:right w:val="none" w:sz="0" w:space="0" w:color="auto"/>
          </w:divBdr>
        </w:div>
        <w:div w:id="1906799505">
          <w:marLeft w:val="907"/>
          <w:marRight w:val="0"/>
          <w:marTop w:val="0"/>
          <w:marBottom w:val="0"/>
          <w:divBdr>
            <w:top w:val="none" w:sz="0" w:space="0" w:color="auto"/>
            <w:left w:val="none" w:sz="0" w:space="0" w:color="auto"/>
            <w:bottom w:val="none" w:sz="0" w:space="0" w:color="auto"/>
            <w:right w:val="none" w:sz="0" w:space="0" w:color="auto"/>
          </w:divBdr>
        </w:div>
        <w:div w:id="1084496769">
          <w:marLeft w:val="907"/>
          <w:marRight w:val="0"/>
          <w:marTop w:val="0"/>
          <w:marBottom w:val="0"/>
          <w:divBdr>
            <w:top w:val="none" w:sz="0" w:space="0" w:color="auto"/>
            <w:left w:val="none" w:sz="0" w:space="0" w:color="auto"/>
            <w:bottom w:val="none" w:sz="0" w:space="0" w:color="auto"/>
            <w:right w:val="none" w:sz="0" w:space="0" w:color="auto"/>
          </w:divBdr>
        </w:div>
        <w:div w:id="2120952590">
          <w:marLeft w:val="360"/>
          <w:marRight w:val="0"/>
          <w:marTop w:val="60"/>
          <w:marBottom w:val="0"/>
          <w:divBdr>
            <w:top w:val="none" w:sz="0" w:space="0" w:color="auto"/>
            <w:left w:val="none" w:sz="0" w:space="0" w:color="auto"/>
            <w:bottom w:val="none" w:sz="0" w:space="0" w:color="auto"/>
            <w:right w:val="none" w:sz="0" w:space="0" w:color="auto"/>
          </w:divBdr>
        </w:div>
        <w:div w:id="902830806">
          <w:marLeft w:val="907"/>
          <w:marRight w:val="0"/>
          <w:marTop w:val="60"/>
          <w:marBottom w:val="0"/>
          <w:divBdr>
            <w:top w:val="none" w:sz="0" w:space="0" w:color="auto"/>
            <w:left w:val="none" w:sz="0" w:space="0" w:color="auto"/>
            <w:bottom w:val="none" w:sz="0" w:space="0" w:color="auto"/>
            <w:right w:val="none" w:sz="0" w:space="0" w:color="auto"/>
          </w:divBdr>
        </w:div>
      </w:divsChild>
    </w:div>
    <w:div w:id="461655234">
      <w:bodyDiv w:val="1"/>
      <w:marLeft w:val="0"/>
      <w:marRight w:val="0"/>
      <w:marTop w:val="0"/>
      <w:marBottom w:val="0"/>
      <w:divBdr>
        <w:top w:val="none" w:sz="0" w:space="0" w:color="auto"/>
        <w:left w:val="none" w:sz="0" w:space="0" w:color="auto"/>
        <w:bottom w:val="none" w:sz="0" w:space="0" w:color="auto"/>
        <w:right w:val="none" w:sz="0" w:space="0" w:color="auto"/>
      </w:divBdr>
    </w:div>
    <w:div w:id="503135216">
      <w:bodyDiv w:val="1"/>
      <w:marLeft w:val="0"/>
      <w:marRight w:val="0"/>
      <w:marTop w:val="0"/>
      <w:marBottom w:val="0"/>
      <w:divBdr>
        <w:top w:val="none" w:sz="0" w:space="0" w:color="auto"/>
        <w:left w:val="none" w:sz="0" w:space="0" w:color="auto"/>
        <w:bottom w:val="none" w:sz="0" w:space="0" w:color="auto"/>
        <w:right w:val="none" w:sz="0" w:space="0" w:color="auto"/>
      </w:divBdr>
    </w:div>
    <w:div w:id="519390213">
      <w:bodyDiv w:val="1"/>
      <w:marLeft w:val="0"/>
      <w:marRight w:val="0"/>
      <w:marTop w:val="0"/>
      <w:marBottom w:val="0"/>
      <w:divBdr>
        <w:top w:val="none" w:sz="0" w:space="0" w:color="auto"/>
        <w:left w:val="none" w:sz="0" w:space="0" w:color="auto"/>
        <w:bottom w:val="none" w:sz="0" w:space="0" w:color="auto"/>
        <w:right w:val="none" w:sz="0" w:space="0" w:color="auto"/>
      </w:divBdr>
      <w:divsChild>
        <w:div w:id="96364822">
          <w:marLeft w:val="274"/>
          <w:marRight w:val="0"/>
          <w:marTop w:val="0"/>
          <w:marBottom w:val="120"/>
          <w:divBdr>
            <w:top w:val="none" w:sz="0" w:space="0" w:color="auto"/>
            <w:left w:val="none" w:sz="0" w:space="0" w:color="auto"/>
            <w:bottom w:val="none" w:sz="0" w:space="0" w:color="auto"/>
            <w:right w:val="none" w:sz="0" w:space="0" w:color="auto"/>
          </w:divBdr>
        </w:div>
        <w:div w:id="1116563527">
          <w:marLeft w:val="274"/>
          <w:marRight w:val="0"/>
          <w:marTop w:val="0"/>
          <w:marBottom w:val="120"/>
          <w:divBdr>
            <w:top w:val="none" w:sz="0" w:space="0" w:color="auto"/>
            <w:left w:val="none" w:sz="0" w:space="0" w:color="auto"/>
            <w:bottom w:val="none" w:sz="0" w:space="0" w:color="auto"/>
            <w:right w:val="none" w:sz="0" w:space="0" w:color="auto"/>
          </w:divBdr>
        </w:div>
      </w:divsChild>
    </w:div>
    <w:div w:id="675501175">
      <w:bodyDiv w:val="1"/>
      <w:marLeft w:val="0"/>
      <w:marRight w:val="0"/>
      <w:marTop w:val="0"/>
      <w:marBottom w:val="0"/>
      <w:divBdr>
        <w:top w:val="none" w:sz="0" w:space="0" w:color="auto"/>
        <w:left w:val="none" w:sz="0" w:space="0" w:color="auto"/>
        <w:bottom w:val="none" w:sz="0" w:space="0" w:color="auto"/>
        <w:right w:val="none" w:sz="0" w:space="0" w:color="auto"/>
      </w:divBdr>
      <w:divsChild>
        <w:div w:id="559095368">
          <w:marLeft w:val="446"/>
          <w:marRight w:val="0"/>
          <w:marTop w:val="0"/>
          <w:marBottom w:val="0"/>
          <w:divBdr>
            <w:top w:val="none" w:sz="0" w:space="0" w:color="auto"/>
            <w:left w:val="none" w:sz="0" w:space="0" w:color="auto"/>
            <w:bottom w:val="none" w:sz="0" w:space="0" w:color="auto"/>
            <w:right w:val="none" w:sz="0" w:space="0" w:color="auto"/>
          </w:divBdr>
        </w:div>
        <w:div w:id="714235793">
          <w:marLeft w:val="446"/>
          <w:marRight w:val="0"/>
          <w:marTop w:val="0"/>
          <w:marBottom w:val="0"/>
          <w:divBdr>
            <w:top w:val="none" w:sz="0" w:space="0" w:color="auto"/>
            <w:left w:val="none" w:sz="0" w:space="0" w:color="auto"/>
            <w:bottom w:val="none" w:sz="0" w:space="0" w:color="auto"/>
            <w:right w:val="none" w:sz="0" w:space="0" w:color="auto"/>
          </w:divBdr>
        </w:div>
        <w:div w:id="1088307639">
          <w:marLeft w:val="446"/>
          <w:marRight w:val="0"/>
          <w:marTop w:val="0"/>
          <w:marBottom w:val="0"/>
          <w:divBdr>
            <w:top w:val="none" w:sz="0" w:space="0" w:color="auto"/>
            <w:left w:val="none" w:sz="0" w:space="0" w:color="auto"/>
            <w:bottom w:val="none" w:sz="0" w:space="0" w:color="auto"/>
            <w:right w:val="none" w:sz="0" w:space="0" w:color="auto"/>
          </w:divBdr>
        </w:div>
        <w:div w:id="1692804815">
          <w:marLeft w:val="446"/>
          <w:marRight w:val="0"/>
          <w:marTop w:val="0"/>
          <w:marBottom w:val="0"/>
          <w:divBdr>
            <w:top w:val="none" w:sz="0" w:space="0" w:color="auto"/>
            <w:left w:val="none" w:sz="0" w:space="0" w:color="auto"/>
            <w:bottom w:val="none" w:sz="0" w:space="0" w:color="auto"/>
            <w:right w:val="none" w:sz="0" w:space="0" w:color="auto"/>
          </w:divBdr>
        </w:div>
        <w:div w:id="1174494370">
          <w:marLeft w:val="446"/>
          <w:marRight w:val="0"/>
          <w:marTop w:val="0"/>
          <w:marBottom w:val="0"/>
          <w:divBdr>
            <w:top w:val="none" w:sz="0" w:space="0" w:color="auto"/>
            <w:left w:val="none" w:sz="0" w:space="0" w:color="auto"/>
            <w:bottom w:val="none" w:sz="0" w:space="0" w:color="auto"/>
            <w:right w:val="none" w:sz="0" w:space="0" w:color="auto"/>
          </w:divBdr>
        </w:div>
        <w:div w:id="1577863534">
          <w:marLeft w:val="446"/>
          <w:marRight w:val="0"/>
          <w:marTop w:val="0"/>
          <w:marBottom w:val="0"/>
          <w:divBdr>
            <w:top w:val="none" w:sz="0" w:space="0" w:color="auto"/>
            <w:left w:val="none" w:sz="0" w:space="0" w:color="auto"/>
            <w:bottom w:val="none" w:sz="0" w:space="0" w:color="auto"/>
            <w:right w:val="none" w:sz="0" w:space="0" w:color="auto"/>
          </w:divBdr>
        </w:div>
      </w:divsChild>
    </w:div>
    <w:div w:id="852646456">
      <w:bodyDiv w:val="1"/>
      <w:marLeft w:val="0"/>
      <w:marRight w:val="0"/>
      <w:marTop w:val="0"/>
      <w:marBottom w:val="0"/>
      <w:divBdr>
        <w:top w:val="none" w:sz="0" w:space="0" w:color="auto"/>
        <w:left w:val="none" w:sz="0" w:space="0" w:color="auto"/>
        <w:bottom w:val="none" w:sz="0" w:space="0" w:color="auto"/>
        <w:right w:val="none" w:sz="0" w:space="0" w:color="auto"/>
      </w:divBdr>
      <w:divsChild>
        <w:div w:id="1903521943">
          <w:marLeft w:val="446"/>
          <w:marRight w:val="0"/>
          <w:marTop w:val="0"/>
          <w:marBottom w:val="0"/>
          <w:divBdr>
            <w:top w:val="none" w:sz="0" w:space="0" w:color="auto"/>
            <w:left w:val="none" w:sz="0" w:space="0" w:color="auto"/>
            <w:bottom w:val="none" w:sz="0" w:space="0" w:color="auto"/>
            <w:right w:val="none" w:sz="0" w:space="0" w:color="auto"/>
          </w:divBdr>
        </w:div>
        <w:div w:id="521361720">
          <w:marLeft w:val="446"/>
          <w:marRight w:val="0"/>
          <w:marTop w:val="0"/>
          <w:marBottom w:val="0"/>
          <w:divBdr>
            <w:top w:val="none" w:sz="0" w:space="0" w:color="auto"/>
            <w:left w:val="none" w:sz="0" w:space="0" w:color="auto"/>
            <w:bottom w:val="none" w:sz="0" w:space="0" w:color="auto"/>
            <w:right w:val="none" w:sz="0" w:space="0" w:color="auto"/>
          </w:divBdr>
        </w:div>
        <w:div w:id="627246091">
          <w:marLeft w:val="446"/>
          <w:marRight w:val="0"/>
          <w:marTop w:val="0"/>
          <w:marBottom w:val="0"/>
          <w:divBdr>
            <w:top w:val="none" w:sz="0" w:space="0" w:color="auto"/>
            <w:left w:val="none" w:sz="0" w:space="0" w:color="auto"/>
            <w:bottom w:val="none" w:sz="0" w:space="0" w:color="auto"/>
            <w:right w:val="none" w:sz="0" w:space="0" w:color="auto"/>
          </w:divBdr>
        </w:div>
        <w:div w:id="1729499265">
          <w:marLeft w:val="446"/>
          <w:marRight w:val="0"/>
          <w:marTop w:val="0"/>
          <w:marBottom w:val="0"/>
          <w:divBdr>
            <w:top w:val="none" w:sz="0" w:space="0" w:color="auto"/>
            <w:left w:val="none" w:sz="0" w:space="0" w:color="auto"/>
            <w:bottom w:val="none" w:sz="0" w:space="0" w:color="auto"/>
            <w:right w:val="none" w:sz="0" w:space="0" w:color="auto"/>
          </w:divBdr>
        </w:div>
        <w:div w:id="1081368466">
          <w:marLeft w:val="446"/>
          <w:marRight w:val="0"/>
          <w:marTop w:val="0"/>
          <w:marBottom w:val="0"/>
          <w:divBdr>
            <w:top w:val="none" w:sz="0" w:space="0" w:color="auto"/>
            <w:left w:val="none" w:sz="0" w:space="0" w:color="auto"/>
            <w:bottom w:val="none" w:sz="0" w:space="0" w:color="auto"/>
            <w:right w:val="none" w:sz="0" w:space="0" w:color="auto"/>
          </w:divBdr>
        </w:div>
        <w:div w:id="1319774003">
          <w:marLeft w:val="446"/>
          <w:marRight w:val="0"/>
          <w:marTop w:val="0"/>
          <w:marBottom w:val="0"/>
          <w:divBdr>
            <w:top w:val="none" w:sz="0" w:space="0" w:color="auto"/>
            <w:left w:val="none" w:sz="0" w:space="0" w:color="auto"/>
            <w:bottom w:val="none" w:sz="0" w:space="0" w:color="auto"/>
            <w:right w:val="none" w:sz="0" w:space="0" w:color="auto"/>
          </w:divBdr>
        </w:div>
        <w:div w:id="1300040336">
          <w:marLeft w:val="446"/>
          <w:marRight w:val="0"/>
          <w:marTop w:val="0"/>
          <w:marBottom w:val="0"/>
          <w:divBdr>
            <w:top w:val="none" w:sz="0" w:space="0" w:color="auto"/>
            <w:left w:val="none" w:sz="0" w:space="0" w:color="auto"/>
            <w:bottom w:val="none" w:sz="0" w:space="0" w:color="auto"/>
            <w:right w:val="none" w:sz="0" w:space="0" w:color="auto"/>
          </w:divBdr>
        </w:div>
        <w:div w:id="1456800733">
          <w:marLeft w:val="446"/>
          <w:marRight w:val="0"/>
          <w:marTop w:val="0"/>
          <w:marBottom w:val="0"/>
          <w:divBdr>
            <w:top w:val="none" w:sz="0" w:space="0" w:color="auto"/>
            <w:left w:val="none" w:sz="0" w:space="0" w:color="auto"/>
            <w:bottom w:val="none" w:sz="0" w:space="0" w:color="auto"/>
            <w:right w:val="none" w:sz="0" w:space="0" w:color="auto"/>
          </w:divBdr>
        </w:div>
      </w:divsChild>
    </w:div>
    <w:div w:id="869336510">
      <w:bodyDiv w:val="1"/>
      <w:marLeft w:val="0"/>
      <w:marRight w:val="0"/>
      <w:marTop w:val="0"/>
      <w:marBottom w:val="0"/>
      <w:divBdr>
        <w:top w:val="none" w:sz="0" w:space="0" w:color="auto"/>
        <w:left w:val="none" w:sz="0" w:space="0" w:color="auto"/>
        <w:bottom w:val="none" w:sz="0" w:space="0" w:color="auto"/>
        <w:right w:val="none" w:sz="0" w:space="0" w:color="auto"/>
      </w:divBdr>
      <w:divsChild>
        <w:div w:id="870605672">
          <w:marLeft w:val="446"/>
          <w:marRight w:val="0"/>
          <w:marTop w:val="0"/>
          <w:marBottom w:val="0"/>
          <w:divBdr>
            <w:top w:val="none" w:sz="0" w:space="0" w:color="auto"/>
            <w:left w:val="none" w:sz="0" w:space="0" w:color="auto"/>
            <w:bottom w:val="none" w:sz="0" w:space="0" w:color="auto"/>
            <w:right w:val="none" w:sz="0" w:space="0" w:color="auto"/>
          </w:divBdr>
        </w:div>
        <w:div w:id="1856530617">
          <w:marLeft w:val="446"/>
          <w:marRight w:val="0"/>
          <w:marTop w:val="0"/>
          <w:marBottom w:val="0"/>
          <w:divBdr>
            <w:top w:val="none" w:sz="0" w:space="0" w:color="auto"/>
            <w:left w:val="none" w:sz="0" w:space="0" w:color="auto"/>
            <w:bottom w:val="none" w:sz="0" w:space="0" w:color="auto"/>
            <w:right w:val="none" w:sz="0" w:space="0" w:color="auto"/>
          </w:divBdr>
        </w:div>
      </w:divsChild>
    </w:div>
    <w:div w:id="893006126">
      <w:bodyDiv w:val="1"/>
      <w:marLeft w:val="0"/>
      <w:marRight w:val="0"/>
      <w:marTop w:val="0"/>
      <w:marBottom w:val="0"/>
      <w:divBdr>
        <w:top w:val="none" w:sz="0" w:space="0" w:color="auto"/>
        <w:left w:val="none" w:sz="0" w:space="0" w:color="auto"/>
        <w:bottom w:val="none" w:sz="0" w:space="0" w:color="auto"/>
        <w:right w:val="none" w:sz="0" w:space="0" w:color="auto"/>
      </w:divBdr>
      <w:divsChild>
        <w:div w:id="1877548983">
          <w:marLeft w:val="360"/>
          <w:marRight w:val="0"/>
          <w:marTop w:val="202"/>
          <w:marBottom w:val="0"/>
          <w:divBdr>
            <w:top w:val="none" w:sz="0" w:space="0" w:color="auto"/>
            <w:left w:val="none" w:sz="0" w:space="0" w:color="auto"/>
            <w:bottom w:val="none" w:sz="0" w:space="0" w:color="auto"/>
            <w:right w:val="none" w:sz="0" w:space="0" w:color="auto"/>
          </w:divBdr>
        </w:div>
        <w:div w:id="261689867">
          <w:marLeft w:val="907"/>
          <w:marRight w:val="0"/>
          <w:marTop w:val="144"/>
          <w:marBottom w:val="0"/>
          <w:divBdr>
            <w:top w:val="none" w:sz="0" w:space="0" w:color="auto"/>
            <w:left w:val="none" w:sz="0" w:space="0" w:color="auto"/>
            <w:bottom w:val="none" w:sz="0" w:space="0" w:color="auto"/>
            <w:right w:val="none" w:sz="0" w:space="0" w:color="auto"/>
          </w:divBdr>
        </w:div>
        <w:div w:id="1038312833">
          <w:marLeft w:val="360"/>
          <w:marRight w:val="0"/>
          <w:marTop w:val="202"/>
          <w:marBottom w:val="0"/>
          <w:divBdr>
            <w:top w:val="none" w:sz="0" w:space="0" w:color="auto"/>
            <w:left w:val="none" w:sz="0" w:space="0" w:color="auto"/>
            <w:bottom w:val="none" w:sz="0" w:space="0" w:color="auto"/>
            <w:right w:val="none" w:sz="0" w:space="0" w:color="auto"/>
          </w:divBdr>
        </w:div>
        <w:div w:id="1507866606">
          <w:marLeft w:val="907"/>
          <w:marRight w:val="0"/>
          <w:marTop w:val="144"/>
          <w:marBottom w:val="0"/>
          <w:divBdr>
            <w:top w:val="none" w:sz="0" w:space="0" w:color="auto"/>
            <w:left w:val="none" w:sz="0" w:space="0" w:color="auto"/>
            <w:bottom w:val="none" w:sz="0" w:space="0" w:color="auto"/>
            <w:right w:val="none" w:sz="0" w:space="0" w:color="auto"/>
          </w:divBdr>
        </w:div>
        <w:div w:id="197857730">
          <w:marLeft w:val="907"/>
          <w:marRight w:val="0"/>
          <w:marTop w:val="144"/>
          <w:marBottom w:val="0"/>
          <w:divBdr>
            <w:top w:val="none" w:sz="0" w:space="0" w:color="auto"/>
            <w:left w:val="none" w:sz="0" w:space="0" w:color="auto"/>
            <w:bottom w:val="none" w:sz="0" w:space="0" w:color="auto"/>
            <w:right w:val="none" w:sz="0" w:space="0" w:color="auto"/>
          </w:divBdr>
        </w:div>
        <w:div w:id="380255943">
          <w:marLeft w:val="907"/>
          <w:marRight w:val="0"/>
          <w:marTop w:val="144"/>
          <w:marBottom w:val="0"/>
          <w:divBdr>
            <w:top w:val="none" w:sz="0" w:space="0" w:color="auto"/>
            <w:left w:val="none" w:sz="0" w:space="0" w:color="auto"/>
            <w:bottom w:val="none" w:sz="0" w:space="0" w:color="auto"/>
            <w:right w:val="none" w:sz="0" w:space="0" w:color="auto"/>
          </w:divBdr>
        </w:div>
        <w:div w:id="1019698674">
          <w:marLeft w:val="907"/>
          <w:marRight w:val="0"/>
          <w:marTop w:val="144"/>
          <w:marBottom w:val="0"/>
          <w:divBdr>
            <w:top w:val="none" w:sz="0" w:space="0" w:color="auto"/>
            <w:left w:val="none" w:sz="0" w:space="0" w:color="auto"/>
            <w:bottom w:val="none" w:sz="0" w:space="0" w:color="auto"/>
            <w:right w:val="none" w:sz="0" w:space="0" w:color="auto"/>
          </w:divBdr>
        </w:div>
      </w:divsChild>
    </w:div>
    <w:div w:id="1226792845">
      <w:bodyDiv w:val="1"/>
      <w:marLeft w:val="0"/>
      <w:marRight w:val="0"/>
      <w:marTop w:val="0"/>
      <w:marBottom w:val="0"/>
      <w:divBdr>
        <w:top w:val="none" w:sz="0" w:space="0" w:color="auto"/>
        <w:left w:val="none" w:sz="0" w:space="0" w:color="auto"/>
        <w:bottom w:val="none" w:sz="0" w:space="0" w:color="auto"/>
        <w:right w:val="none" w:sz="0" w:space="0" w:color="auto"/>
      </w:divBdr>
    </w:div>
    <w:div w:id="1400860889">
      <w:bodyDiv w:val="1"/>
      <w:marLeft w:val="0"/>
      <w:marRight w:val="0"/>
      <w:marTop w:val="0"/>
      <w:marBottom w:val="0"/>
      <w:divBdr>
        <w:top w:val="none" w:sz="0" w:space="0" w:color="auto"/>
        <w:left w:val="none" w:sz="0" w:space="0" w:color="auto"/>
        <w:bottom w:val="none" w:sz="0" w:space="0" w:color="auto"/>
        <w:right w:val="none" w:sz="0" w:space="0" w:color="auto"/>
      </w:divBdr>
    </w:div>
    <w:div w:id="1506477834">
      <w:bodyDiv w:val="1"/>
      <w:marLeft w:val="0"/>
      <w:marRight w:val="0"/>
      <w:marTop w:val="0"/>
      <w:marBottom w:val="0"/>
      <w:divBdr>
        <w:top w:val="none" w:sz="0" w:space="0" w:color="auto"/>
        <w:left w:val="none" w:sz="0" w:space="0" w:color="auto"/>
        <w:bottom w:val="none" w:sz="0" w:space="0" w:color="auto"/>
        <w:right w:val="none" w:sz="0" w:space="0" w:color="auto"/>
      </w:divBdr>
      <w:divsChild>
        <w:div w:id="1848246901">
          <w:marLeft w:val="446"/>
          <w:marRight w:val="0"/>
          <w:marTop w:val="0"/>
          <w:marBottom w:val="0"/>
          <w:divBdr>
            <w:top w:val="none" w:sz="0" w:space="0" w:color="auto"/>
            <w:left w:val="none" w:sz="0" w:space="0" w:color="auto"/>
            <w:bottom w:val="none" w:sz="0" w:space="0" w:color="auto"/>
            <w:right w:val="none" w:sz="0" w:space="0" w:color="auto"/>
          </w:divBdr>
        </w:div>
        <w:div w:id="932737581">
          <w:marLeft w:val="446"/>
          <w:marRight w:val="0"/>
          <w:marTop w:val="0"/>
          <w:marBottom w:val="0"/>
          <w:divBdr>
            <w:top w:val="none" w:sz="0" w:space="0" w:color="auto"/>
            <w:left w:val="none" w:sz="0" w:space="0" w:color="auto"/>
            <w:bottom w:val="none" w:sz="0" w:space="0" w:color="auto"/>
            <w:right w:val="none" w:sz="0" w:space="0" w:color="auto"/>
          </w:divBdr>
        </w:div>
      </w:divsChild>
    </w:div>
    <w:div w:id="1827478128">
      <w:bodyDiv w:val="1"/>
      <w:marLeft w:val="0"/>
      <w:marRight w:val="0"/>
      <w:marTop w:val="0"/>
      <w:marBottom w:val="0"/>
      <w:divBdr>
        <w:top w:val="none" w:sz="0" w:space="0" w:color="auto"/>
        <w:left w:val="none" w:sz="0" w:space="0" w:color="auto"/>
        <w:bottom w:val="none" w:sz="0" w:space="0" w:color="auto"/>
        <w:right w:val="none" w:sz="0" w:space="0" w:color="auto"/>
      </w:divBdr>
    </w:div>
    <w:div w:id="1829904950">
      <w:bodyDiv w:val="1"/>
      <w:marLeft w:val="0"/>
      <w:marRight w:val="0"/>
      <w:marTop w:val="0"/>
      <w:marBottom w:val="0"/>
      <w:divBdr>
        <w:top w:val="none" w:sz="0" w:space="0" w:color="auto"/>
        <w:left w:val="none" w:sz="0" w:space="0" w:color="auto"/>
        <w:bottom w:val="none" w:sz="0" w:space="0" w:color="auto"/>
        <w:right w:val="none" w:sz="0" w:space="0" w:color="auto"/>
      </w:divBdr>
      <w:divsChild>
        <w:div w:id="772365918">
          <w:marLeft w:val="360"/>
          <w:marRight w:val="0"/>
          <w:marTop w:val="202"/>
          <w:marBottom w:val="0"/>
          <w:divBdr>
            <w:top w:val="none" w:sz="0" w:space="0" w:color="auto"/>
            <w:left w:val="none" w:sz="0" w:space="0" w:color="auto"/>
            <w:bottom w:val="none" w:sz="0" w:space="0" w:color="auto"/>
            <w:right w:val="none" w:sz="0" w:space="0" w:color="auto"/>
          </w:divBdr>
        </w:div>
        <w:div w:id="1157184419">
          <w:marLeft w:val="360"/>
          <w:marRight w:val="0"/>
          <w:marTop w:val="202"/>
          <w:marBottom w:val="0"/>
          <w:divBdr>
            <w:top w:val="none" w:sz="0" w:space="0" w:color="auto"/>
            <w:left w:val="none" w:sz="0" w:space="0" w:color="auto"/>
            <w:bottom w:val="none" w:sz="0" w:space="0" w:color="auto"/>
            <w:right w:val="none" w:sz="0" w:space="0" w:color="auto"/>
          </w:divBdr>
        </w:div>
      </w:divsChild>
    </w:div>
    <w:div w:id="1836535855">
      <w:bodyDiv w:val="1"/>
      <w:marLeft w:val="0"/>
      <w:marRight w:val="0"/>
      <w:marTop w:val="0"/>
      <w:marBottom w:val="0"/>
      <w:divBdr>
        <w:top w:val="none" w:sz="0" w:space="0" w:color="auto"/>
        <w:left w:val="none" w:sz="0" w:space="0" w:color="auto"/>
        <w:bottom w:val="none" w:sz="0" w:space="0" w:color="auto"/>
        <w:right w:val="none" w:sz="0" w:space="0" w:color="auto"/>
      </w:divBdr>
    </w:div>
    <w:div w:id="1991253769">
      <w:bodyDiv w:val="1"/>
      <w:marLeft w:val="0"/>
      <w:marRight w:val="0"/>
      <w:marTop w:val="0"/>
      <w:marBottom w:val="0"/>
      <w:divBdr>
        <w:top w:val="none" w:sz="0" w:space="0" w:color="auto"/>
        <w:left w:val="none" w:sz="0" w:space="0" w:color="auto"/>
        <w:bottom w:val="none" w:sz="0" w:space="0" w:color="auto"/>
        <w:right w:val="none" w:sz="0" w:space="0" w:color="auto"/>
      </w:divBdr>
      <w:divsChild>
        <w:div w:id="2136557536">
          <w:marLeft w:val="360"/>
          <w:marRight w:val="0"/>
          <w:marTop w:val="218"/>
          <w:marBottom w:val="0"/>
          <w:divBdr>
            <w:top w:val="none" w:sz="0" w:space="0" w:color="auto"/>
            <w:left w:val="none" w:sz="0" w:space="0" w:color="auto"/>
            <w:bottom w:val="none" w:sz="0" w:space="0" w:color="auto"/>
            <w:right w:val="none" w:sz="0" w:space="0" w:color="auto"/>
          </w:divBdr>
        </w:div>
      </w:divsChild>
    </w:div>
    <w:div w:id="2023823483">
      <w:bodyDiv w:val="1"/>
      <w:marLeft w:val="0"/>
      <w:marRight w:val="0"/>
      <w:marTop w:val="0"/>
      <w:marBottom w:val="0"/>
      <w:divBdr>
        <w:top w:val="none" w:sz="0" w:space="0" w:color="auto"/>
        <w:left w:val="none" w:sz="0" w:space="0" w:color="auto"/>
        <w:bottom w:val="none" w:sz="0" w:space="0" w:color="auto"/>
        <w:right w:val="none" w:sz="0" w:space="0" w:color="auto"/>
      </w:divBdr>
    </w:div>
    <w:div w:id="2118021617">
      <w:bodyDiv w:val="1"/>
      <w:marLeft w:val="0"/>
      <w:marRight w:val="0"/>
      <w:marTop w:val="0"/>
      <w:marBottom w:val="0"/>
      <w:divBdr>
        <w:top w:val="none" w:sz="0" w:space="0" w:color="auto"/>
        <w:left w:val="none" w:sz="0" w:space="0" w:color="auto"/>
        <w:bottom w:val="none" w:sz="0" w:space="0" w:color="auto"/>
        <w:right w:val="none" w:sz="0" w:space="0" w:color="auto"/>
      </w:divBdr>
      <w:divsChild>
        <w:div w:id="1066685440">
          <w:marLeft w:val="720"/>
          <w:marRight w:val="0"/>
          <w:marTop w:val="120"/>
          <w:marBottom w:val="0"/>
          <w:divBdr>
            <w:top w:val="none" w:sz="0" w:space="0" w:color="auto"/>
            <w:left w:val="none" w:sz="0" w:space="0" w:color="auto"/>
            <w:bottom w:val="none" w:sz="0" w:space="0" w:color="auto"/>
            <w:right w:val="none" w:sz="0" w:space="0" w:color="auto"/>
          </w:divBdr>
        </w:div>
        <w:div w:id="1125777847">
          <w:marLeft w:val="720"/>
          <w:marRight w:val="0"/>
          <w:marTop w:val="120"/>
          <w:marBottom w:val="0"/>
          <w:divBdr>
            <w:top w:val="none" w:sz="0" w:space="0" w:color="auto"/>
            <w:left w:val="none" w:sz="0" w:space="0" w:color="auto"/>
            <w:bottom w:val="none" w:sz="0" w:space="0" w:color="auto"/>
            <w:right w:val="none" w:sz="0" w:space="0" w:color="auto"/>
          </w:divBdr>
        </w:div>
        <w:div w:id="1456943420">
          <w:marLeft w:val="720"/>
          <w:marRight w:val="0"/>
          <w:marTop w:val="120"/>
          <w:marBottom w:val="0"/>
          <w:divBdr>
            <w:top w:val="none" w:sz="0" w:space="0" w:color="auto"/>
            <w:left w:val="none" w:sz="0" w:space="0" w:color="auto"/>
            <w:bottom w:val="none" w:sz="0" w:space="0" w:color="auto"/>
            <w:right w:val="none" w:sz="0" w:space="0" w:color="auto"/>
          </w:divBdr>
        </w:div>
        <w:div w:id="458039582">
          <w:marLeft w:val="72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header" Target="header5.xml"/><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header" Target="header4.xml"/><Relationship Id="rId40" Type="http://schemas.openxmlformats.org/officeDocument/2006/relationships/fontTable" Target="fontTable.xml"/><Relationship Id="rId45"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image" Target="media/image23.emf"/><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customXml" Target="../customXml/item3.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footer" Target="footer6.xml"/><Relationship Id="rId20" Type="http://schemas.openxmlformats.org/officeDocument/2006/relationships/image" Target="media/image7.emf"/><Relationship Id="rId41"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el%20Matsumura\Dropbox%20(The%20Lantau%20Group)\TLG%20Admin\TLG%20templates\006%20TLG%20Report.dotx" TargetMode="External"/></Relationships>
</file>

<file path=word/theme/theme1.xml><?xml version="1.0" encoding="utf-8"?>
<a:theme xmlns:a="http://schemas.openxmlformats.org/drawingml/2006/main" name="Office Theme">
  <a:themeElements>
    <a:clrScheme name="TLG Colours">
      <a:dk1>
        <a:sysClr val="windowText" lastClr="000000"/>
      </a:dk1>
      <a:lt1>
        <a:sysClr val="window" lastClr="FFFFFF"/>
      </a:lt1>
      <a:dk2>
        <a:srgbClr val="005581"/>
      </a:dk2>
      <a:lt2>
        <a:srgbClr val="E7E6D8"/>
      </a:lt2>
      <a:accent1>
        <a:srgbClr val="B2D5FC"/>
      </a:accent1>
      <a:accent2>
        <a:srgbClr val="777649"/>
      </a:accent2>
      <a:accent3>
        <a:srgbClr val="E4AE16"/>
      </a:accent3>
      <a:accent4>
        <a:srgbClr val="594C35"/>
      </a:accent4>
      <a:accent5>
        <a:srgbClr val="AC100C"/>
      </a:accent5>
      <a:accent6>
        <a:srgbClr val="F5DC95"/>
      </a:accent6>
      <a:hlink>
        <a:srgbClr val="000000"/>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BA061CB6E786414EA752C2F05C7BA940" ma:contentTypeVersion="3" ma:contentTypeDescription="" ma:contentTypeScope="" ma:versionID="b79c5e946f36696bd505efef35573440">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Authors xmlns="b99a068c-3844-4a16-badd-77233eea0529">000349854:David John Santley:dsantley@worldbank.org;</DocAuthors>
    <Authors xmlns="b99a068c-3844-4a16-badd-77233eea0529">
      <UserInfo>
        <DisplayName>i:0#.w|wb\wb349854</DisplayName>
        <AccountId>8325</AccountId>
        <AccountType/>
      </UserInfo>
    </Authors>
    <Cordis_x0020_ID xmlns="b99a068c-3844-4a16-badd-77233eea0529">ITM00270</Cordis_x0020_ID>
    <Stage xmlns="b99a068c-3844-4a16-badd-77233eea0529">IMP</Stage>
    <PolicyExceptions xmlns="b99a068c-3844-4a16-badd-77233eea0529" xsi:nil="true"/>
    <IsTemplate xmlns="b99a068c-3844-4a16-badd-77233eea0529">false</IsTemplate>
    <WBDocType xmlns="b99a068c-3844-4a16-badd-77233eea0529">Report</WBDocType>
    <SecurityClassification xmlns="b99a068c-3844-4a16-badd-77233eea0529">Public</SecurityClassification>
    <DeliverableID xmlns="b99a068c-3844-4a16-badd-77233eea0529">DLV0227377</DeliverableID>
    <ProjectID xmlns="b99a068c-3844-4a16-badd-77233eea0529">P166841</ProjectID>
    <Task_x0020_ID xmlns="b99a068c-3844-4a16-badd-77233eea0529" xsi:nil="true"/>
    <HasUserUploaded xmlns="b99a068c-3844-4a16-badd-77233eea0529">true</HasUserUploaded>
    <DocumentDate xmlns="b99a068c-3844-4a16-badd-77233eea0529">2019-03-13T04:00:00+00:00</DocumentDate>
    <Package xmlns="b99a068c-3844-4a16-badd-77233eea0529">true</Package>
    <TemplateDocVersion xmlns="b99a068c-3844-4a16-badd-77233eea0529" xsi:nil="true"/>
    <SequenceNum xmlns="b99a068c-3844-4a16-badd-77233eea0529" xsi:nil="true"/>
    <RefreshDate xmlns="b99a068c-3844-4a16-badd-77233eea0529" xsi:nil="true"/>
    <IsMandatory xmlns="b99a068c-3844-4a16-badd-77233eea0529">false</IsMandatory>
    <SortOrder xmlns="b99a068c-3844-4a16-badd-77233eea0529" xsi:nil="true"/>
    <IsHidden xmlns="b99a068c-3844-4a16-badd-77233eea0529">false</IsHidden>
    <AttachmentType xmlns="b99a068c-3844-4a16-badd-77233eea0529" xsi:nil="true"/>
    <DisclosedVersion xmlns="b99a068c-3844-4a16-badd-77233eea0529" xsi:nil="true"/>
    <DocumentType xmlns="b99a068c-3844-4a16-badd-77233eea0529" xsi:nil="true"/>
    <ApprovedVersion xmlns="b99a068c-3844-4a16-badd-77233eea0529" xsi:nil="true"/>
    <DocStatus xmlns="b99a068c-3844-4a16-badd-77233eea0529" xsi:nil="true"/>
    <DependentDoc xmlns="b99a068c-3844-4a16-badd-77233eea0529" xsi:nil="true"/>
    <SAPStage xmlns="b99a068c-3844-4a16-badd-77233eea0529" xsi:nil="true"/>
    <LockStatus xmlns="b99a068c-3844-4a16-badd-77233eea0529" xsi:nil="true"/>
    <Abstract xmlns="b99a068c-3844-4a16-badd-77233eea0529" xsi:nil="true"/>
    <DocumentAction xmlns="b99a068c-3844-4a16-badd-77233eea0529" xsi:nil="true"/>
  </documentManagement>
</p:properties>
</file>

<file path=customXml/item5.xml><?xml version="1.0" encoding="utf-8"?>
<?mso-contentType ?>
<SharedContentType xmlns="Microsoft.SharePoint.Taxonomy.ContentTypeSync" SourceId="a4117c50-33ca-4e49-9a5c-4b51d291b3ff" ContentTypeId="0x01010054E0FEF4951F9D49A6F48A35419983C7" PreviousValue="false"/>
</file>

<file path=customXml/itemProps1.xml><?xml version="1.0" encoding="utf-8"?>
<ds:datastoreItem xmlns:ds="http://schemas.openxmlformats.org/officeDocument/2006/customXml" ds:itemID="{E6D6C018-881D-4B2F-A96A-7A988926313D}">
  <ds:schemaRefs>
    <ds:schemaRef ds:uri="http://schemas.openxmlformats.org/officeDocument/2006/bibliography"/>
  </ds:schemaRefs>
</ds:datastoreItem>
</file>

<file path=customXml/itemProps2.xml><?xml version="1.0" encoding="utf-8"?>
<ds:datastoreItem xmlns:ds="http://schemas.openxmlformats.org/officeDocument/2006/customXml" ds:itemID="{A6764295-DEDC-430B-B4AF-4DDB26F9B0A2}"/>
</file>

<file path=customXml/itemProps3.xml><?xml version="1.0" encoding="utf-8"?>
<ds:datastoreItem xmlns:ds="http://schemas.openxmlformats.org/officeDocument/2006/customXml" ds:itemID="{269F2F00-2ADD-4DB5-A60E-49B24E750FAD}"/>
</file>

<file path=customXml/itemProps4.xml><?xml version="1.0" encoding="utf-8"?>
<ds:datastoreItem xmlns:ds="http://schemas.openxmlformats.org/officeDocument/2006/customXml" ds:itemID="{B2B1A808-5776-491E-BE2F-5C6FAB527EF6}"/>
</file>

<file path=customXml/itemProps5.xml><?xml version="1.0" encoding="utf-8"?>
<ds:datastoreItem xmlns:ds="http://schemas.openxmlformats.org/officeDocument/2006/customXml" ds:itemID="{CBFF0F29-4B6F-433E-9047-E0EBAE3C23F7}"/>
</file>

<file path=docProps/app.xml><?xml version="1.0" encoding="utf-8"?>
<Properties xmlns="http://schemas.openxmlformats.org/officeDocument/2006/extended-properties" xmlns:vt="http://schemas.openxmlformats.org/officeDocument/2006/docPropsVTypes">
  <Template>006 TLG Report</Template>
  <TotalTime>0</TotalTime>
  <Pages>43</Pages>
  <Words>11256</Words>
  <Characters>64162</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TLG Report and Proposal Template</vt:lpstr>
    </vt:vector>
  </TitlesOfParts>
  <Company>The Lantau Group</Company>
  <LinksUpToDate>false</LinksUpToDate>
  <CharactersWithSpaces>75268</CharactersWithSpaces>
  <SharedDoc>false</SharedDoc>
  <HLinks>
    <vt:vector size="186" baseType="variant">
      <vt:variant>
        <vt:i4>1900595</vt:i4>
      </vt:variant>
      <vt:variant>
        <vt:i4>215</vt:i4>
      </vt:variant>
      <vt:variant>
        <vt:i4>0</vt:i4>
      </vt:variant>
      <vt:variant>
        <vt:i4>5</vt:i4>
      </vt:variant>
      <vt:variant>
        <vt:lpwstr/>
      </vt:variant>
      <vt:variant>
        <vt:lpwstr>_Toc177277289</vt:lpwstr>
      </vt:variant>
      <vt:variant>
        <vt:i4>1900595</vt:i4>
      </vt:variant>
      <vt:variant>
        <vt:i4>206</vt:i4>
      </vt:variant>
      <vt:variant>
        <vt:i4>0</vt:i4>
      </vt:variant>
      <vt:variant>
        <vt:i4>5</vt:i4>
      </vt:variant>
      <vt:variant>
        <vt:lpwstr/>
      </vt:variant>
      <vt:variant>
        <vt:lpwstr>_Toc177277288</vt:lpwstr>
      </vt:variant>
      <vt:variant>
        <vt:i4>1703995</vt:i4>
      </vt:variant>
      <vt:variant>
        <vt:i4>197</vt:i4>
      </vt:variant>
      <vt:variant>
        <vt:i4>0</vt:i4>
      </vt:variant>
      <vt:variant>
        <vt:i4>5</vt:i4>
      </vt:variant>
      <vt:variant>
        <vt:lpwstr/>
      </vt:variant>
      <vt:variant>
        <vt:lpwstr>_Toc293631933</vt:lpwstr>
      </vt:variant>
      <vt:variant>
        <vt:i4>1703995</vt:i4>
      </vt:variant>
      <vt:variant>
        <vt:i4>191</vt:i4>
      </vt:variant>
      <vt:variant>
        <vt:i4>0</vt:i4>
      </vt:variant>
      <vt:variant>
        <vt:i4>5</vt:i4>
      </vt:variant>
      <vt:variant>
        <vt:lpwstr/>
      </vt:variant>
      <vt:variant>
        <vt:lpwstr>_Toc293631932</vt:lpwstr>
      </vt:variant>
      <vt:variant>
        <vt:i4>1703995</vt:i4>
      </vt:variant>
      <vt:variant>
        <vt:i4>185</vt:i4>
      </vt:variant>
      <vt:variant>
        <vt:i4>0</vt:i4>
      </vt:variant>
      <vt:variant>
        <vt:i4>5</vt:i4>
      </vt:variant>
      <vt:variant>
        <vt:lpwstr/>
      </vt:variant>
      <vt:variant>
        <vt:lpwstr>_Toc293631931</vt:lpwstr>
      </vt:variant>
      <vt:variant>
        <vt:i4>1703995</vt:i4>
      </vt:variant>
      <vt:variant>
        <vt:i4>179</vt:i4>
      </vt:variant>
      <vt:variant>
        <vt:i4>0</vt:i4>
      </vt:variant>
      <vt:variant>
        <vt:i4>5</vt:i4>
      </vt:variant>
      <vt:variant>
        <vt:lpwstr/>
      </vt:variant>
      <vt:variant>
        <vt:lpwstr>_Toc293631930</vt:lpwstr>
      </vt:variant>
      <vt:variant>
        <vt:i4>1769531</vt:i4>
      </vt:variant>
      <vt:variant>
        <vt:i4>173</vt:i4>
      </vt:variant>
      <vt:variant>
        <vt:i4>0</vt:i4>
      </vt:variant>
      <vt:variant>
        <vt:i4>5</vt:i4>
      </vt:variant>
      <vt:variant>
        <vt:lpwstr/>
      </vt:variant>
      <vt:variant>
        <vt:lpwstr>_Toc293631929</vt:lpwstr>
      </vt:variant>
      <vt:variant>
        <vt:i4>1769531</vt:i4>
      </vt:variant>
      <vt:variant>
        <vt:i4>167</vt:i4>
      </vt:variant>
      <vt:variant>
        <vt:i4>0</vt:i4>
      </vt:variant>
      <vt:variant>
        <vt:i4>5</vt:i4>
      </vt:variant>
      <vt:variant>
        <vt:lpwstr/>
      </vt:variant>
      <vt:variant>
        <vt:lpwstr>_Toc293631928</vt:lpwstr>
      </vt:variant>
      <vt:variant>
        <vt:i4>1769531</vt:i4>
      </vt:variant>
      <vt:variant>
        <vt:i4>161</vt:i4>
      </vt:variant>
      <vt:variant>
        <vt:i4>0</vt:i4>
      </vt:variant>
      <vt:variant>
        <vt:i4>5</vt:i4>
      </vt:variant>
      <vt:variant>
        <vt:lpwstr/>
      </vt:variant>
      <vt:variant>
        <vt:lpwstr>_Toc293631927</vt:lpwstr>
      </vt:variant>
      <vt:variant>
        <vt:i4>1769531</vt:i4>
      </vt:variant>
      <vt:variant>
        <vt:i4>155</vt:i4>
      </vt:variant>
      <vt:variant>
        <vt:i4>0</vt:i4>
      </vt:variant>
      <vt:variant>
        <vt:i4>5</vt:i4>
      </vt:variant>
      <vt:variant>
        <vt:lpwstr/>
      </vt:variant>
      <vt:variant>
        <vt:lpwstr>_Toc293631926</vt:lpwstr>
      </vt:variant>
      <vt:variant>
        <vt:i4>1769531</vt:i4>
      </vt:variant>
      <vt:variant>
        <vt:i4>149</vt:i4>
      </vt:variant>
      <vt:variant>
        <vt:i4>0</vt:i4>
      </vt:variant>
      <vt:variant>
        <vt:i4>5</vt:i4>
      </vt:variant>
      <vt:variant>
        <vt:lpwstr/>
      </vt:variant>
      <vt:variant>
        <vt:lpwstr>_Toc293631925</vt:lpwstr>
      </vt:variant>
      <vt:variant>
        <vt:i4>1769531</vt:i4>
      </vt:variant>
      <vt:variant>
        <vt:i4>143</vt:i4>
      </vt:variant>
      <vt:variant>
        <vt:i4>0</vt:i4>
      </vt:variant>
      <vt:variant>
        <vt:i4>5</vt:i4>
      </vt:variant>
      <vt:variant>
        <vt:lpwstr/>
      </vt:variant>
      <vt:variant>
        <vt:lpwstr>_Toc293631924</vt:lpwstr>
      </vt:variant>
      <vt:variant>
        <vt:i4>1769531</vt:i4>
      </vt:variant>
      <vt:variant>
        <vt:i4>137</vt:i4>
      </vt:variant>
      <vt:variant>
        <vt:i4>0</vt:i4>
      </vt:variant>
      <vt:variant>
        <vt:i4>5</vt:i4>
      </vt:variant>
      <vt:variant>
        <vt:lpwstr/>
      </vt:variant>
      <vt:variant>
        <vt:lpwstr>_Toc293631923</vt:lpwstr>
      </vt:variant>
      <vt:variant>
        <vt:i4>1769531</vt:i4>
      </vt:variant>
      <vt:variant>
        <vt:i4>131</vt:i4>
      </vt:variant>
      <vt:variant>
        <vt:i4>0</vt:i4>
      </vt:variant>
      <vt:variant>
        <vt:i4>5</vt:i4>
      </vt:variant>
      <vt:variant>
        <vt:lpwstr/>
      </vt:variant>
      <vt:variant>
        <vt:lpwstr>_Toc293631922</vt:lpwstr>
      </vt:variant>
      <vt:variant>
        <vt:i4>1769531</vt:i4>
      </vt:variant>
      <vt:variant>
        <vt:i4>125</vt:i4>
      </vt:variant>
      <vt:variant>
        <vt:i4>0</vt:i4>
      </vt:variant>
      <vt:variant>
        <vt:i4>5</vt:i4>
      </vt:variant>
      <vt:variant>
        <vt:lpwstr/>
      </vt:variant>
      <vt:variant>
        <vt:lpwstr>_Toc293631921</vt:lpwstr>
      </vt:variant>
      <vt:variant>
        <vt:i4>1769531</vt:i4>
      </vt:variant>
      <vt:variant>
        <vt:i4>119</vt:i4>
      </vt:variant>
      <vt:variant>
        <vt:i4>0</vt:i4>
      </vt:variant>
      <vt:variant>
        <vt:i4>5</vt:i4>
      </vt:variant>
      <vt:variant>
        <vt:lpwstr/>
      </vt:variant>
      <vt:variant>
        <vt:lpwstr>_Toc293631920</vt:lpwstr>
      </vt:variant>
      <vt:variant>
        <vt:i4>1572923</vt:i4>
      </vt:variant>
      <vt:variant>
        <vt:i4>113</vt:i4>
      </vt:variant>
      <vt:variant>
        <vt:i4>0</vt:i4>
      </vt:variant>
      <vt:variant>
        <vt:i4>5</vt:i4>
      </vt:variant>
      <vt:variant>
        <vt:lpwstr/>
      </vt:variant>
      <vt:variant>
        <vt:lpwstr>_Toc293631919</vt:lpwstr>
      </vt:variant>
      <vt:variant>
        <vt:i4>1572923</vt:i4>
      </vt:variant>
      <vt:variant>
        <vt:i4>107</vt:i4>
      </vt:variant>
      <vt:variant>
        <vt:i4>0</vt:i4>
      </vt:variant>
      <vt:variant>
        <vt:i4>5</vt:i4>
      </vt:variant>
      <vt:variant>
        <vt:lpwstr/>
      </vt:variant>
      <vt:variant>
        <vt:lpwstr>_Toc293631918</vt:lpwstr>
      </vt:variant>
      <vt:variant>
        <vt:i4>1572923</vt:i4>
      </vt:variant>
      <vt:variant>
        <vt:i4>101</vt:i4>
      </vt:variant>
      <vt:variant>
        <vt:i4>0</vt:i4>
      </vt:variant>
      <vt:variant>
        <vt:i4>5</vt:i4>
      </vt:variant>
      <vt:variant>
        <vt:lpwstr/>
      </vt:variant>
      <vt:variant>
        <vt:lpwstr>_Toc293631917</vt:lpwstr>
      </vt:variant>
      <vt:variant>
        <vt:i4>1572923</vt:i4>
      </vt:variant>
      <vt:variant>
        <vt:i4>95</vt:i4>
      </vt:variant>
      <vt:variant>
        <vt:i4>0</vt:i4>
      </vt:variant>
      <vt:variant>
        <vt:i4>5</vt:i4>
      </vt:variant>
      <vt:variant>
        <vt:lpwstr/>
      </vt:variant>
      <vt:variant>
        <vt:lpwstr>_Toc293631916</vt:lpwstr>
      </vt:variant>
      <vt:variant>
        <vt:i4>1572923</vt:i4>
      </vt:variant>
      <vt:variant>
        <vt:i4>89</vt:i4>
      </vt:variant>
      <vt:variant>
        <vt:i4>0</vt:i4>
      </vt:variant>
      <vt:variant>
        <vt:i4>5</vt:i4>
      </vt:variant>
      <vt:variant>
        <vt:lpwstr/>
      </vt:variant>
      <vt:variant>
        <vt:lpwstr>_Toc293631915</vt:lpwstr>
      </vt:variant>
      <vt:variant>
        <vt:i4>1572923</vt:i4>
      </vt:variant>
      <vt:variant>
        <vt:i4>83</vt:i4>
      </vt:variant>
      <vt:variant>
        <vt:i4>0</vt:i4>
      </vt:variant>
      <vt:variant>
        <vt:i4>5</vt:i4>
      </vt:variant>
      <vt:variant>
        <vt:lpwstr/>
      </vt:variant>
      <vt:variant>
        <vt:lpwstr>_Toc293631914</vt:lpwstr>
      </vt:variant>
      <vt:variant>
        <vt:i4>1572923</vt:i4>
      </vt:variant>
      <vt:variant>
        <vt:i4>77</vt:i4>
      </vt:variant>
      <vt:variant>
        <vt:i4>0</vt:i4>
      </vt:variant>
      <vt:variant>
        <vt:i4>5</vt:i4>
      </vt:variant>
      <vt:variant>
        <vt:lpwstr/>
      </vt:variant>
      <vt:variant>
        <vt:lpwstr>_Toc293631913</vt:lpwstr>
      </vt:variant>
      <vt:variant>
        <vt:i4>1572923</vt:i4>
      </vt:variant>
      <vt:variant>
        <vt:i4>71</vt:i4>
      </vt:variant>
      <vt:variant>
        <vt:i4>0</vt:i4>
      </vt:variant>
      <vt:variant>
        <vt:i4>5</vt:i4>
      </vt:variant>
      <vt:variant>
        <vt:lpwstr/>
      </vt:variant>
      <vt:variant>
        <vt:lpwstr>_Toc293631912</vt:lpwstr>
      </vt:variant>
      <vt:variant>
        <vt:i4>1572923</vt:i4>
      </vt:variant>
      <vt:variant>
        <vt:i4>65</vt:i4>
      </vt:variant>
      <vt:variant>
        <vt:i4>0</vt:i4>
      </vt:variant>
      <vt:variant>
        <vt:i4>5</vt:i4>
      </vt:variant>
      <vt:variant>
        <vt:lpwstr/>
      </vt:variant>
      <vt:variant>
        <vt:lpwstr>_Toc293631911</vt:lpwstr>
      </vt:variant>
      <vt:variant>
        <vt:i4>1572923</vt:i4>
      </vt:variant>
      <vt:variant>
        <vt:i4>59</vt:i4>
      </vt:variant>
      <vt:variant>
        <vt:i4>0</vt:i4>
      </vt:variant>
      <vt:variant>
        <vt:i4>5</vt:i4>
      </vt:variant>
      <vt:variant>
        <vt:lpwstr/>
      </vt:variant>
      <vt:variant>
        <vt:lpwstr>_Toc293631910</vt:lpwstr>
      </vt:variant>
      <vt:variant>
        <vt:i4>1638459</vt:i4>
      </vt:variant>
      <vt:variant>
        <vt:i4>53</vt:i4>
      </vt:variant>
      <vt:variant>
        <vt:i4>0</vt:i4>
      </vt:variant>
      <vt:variant>
        <vt:i4>5</vt:i4>
      </vt:variant>
      <vt:variant>
        <vt:lpwstr/>
      </vt:variant>
      <vt:variant>
        <vt:lpwstr>_Toc293631909</vt:lpwstr>
      </vt:variant>
      <vt:variant>
        <vt:i4>1638459</vt:i4>
      </vt:variant>
      <vt:variant>
        <vt:i4>47</vt:i4>
      </vt:variant>
      <vt:variant>
        <vt:i4>0</vt:i4>
      </vt:variant>
      <vt:variant>
        <vt:i4>5</vt:i4>
      </vt:variant>
      <vt:variant>
        <vt:lpwstr/>
      </vt:variant>
      <vt:variant>
        <vt:lpwstr>_Toc293631908</vt:lpwstr>
      </vt:variant>
      <vt:variant>
        <vt:i4>1638459</vt:i4>
      </vt:variant>
      <vt:variant>
        <vt:i4>41</vt:i4>
      </vt:variant>
      <vt:variant>
        <vt:i4>0</vt:i4>
      </vt:variant>
      <vt:variant>
        <vt:i4>5</vt:i4>
      </vt:variant>
      <vt:variant>
        <vt:lpwstr/>
      </vt:variant>
      <vt:variant>
        <vt:lpwstr>_Toc293631907</vt:lpwstr>
      </vt:variant>
      <vt:variant>
        <vt:i4>1638459</vt:i4>
      </vt:variant>
      <vt:variant>
        <vt:i4>35</vt:i4>
      </vt:variant>
      <vt:variant>
        <vt:i4>0</vt:i4>
      </vt:variant>
      <vt:variant>
        <vt:i4>5</vt:i4>
      </vt:variant>
      <vt:variant>
        <vt:lpwstr/>
      </vt:variant>
      <vt:variant>
        <vt:lpwstr>_Toc293631906</vt:lpwstr>
      </vt:variant>
      <vt:variant>
        <vt:i4>1638459</vt:i4>
      </vt:variant>
      <vt:variant>
        <vt:i4>29</vt:i4>
      </vt:variant>
      <vt:variant>
        <vt:i4>0</vt:i4>
      </vt:variant>
      <vt:variant>
        <vt:i4>5</vt:i4>
      </vt:variant>
      <vt:variant>
        <vt:lpwstr/>
      </vt:variant>
      <vt:variant>
        <vt:lpwstr>_Toc293631905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Summary Regulatory and Legal Framework for LNG to Power</dc:title>
  <dc:creator>Michael Matsumura</dc:creator>
  <cp:keywords>Report and Proposal</cp:keywords>
  <cp:lastModifiedBy>User</cp:lastModifiedBy>
  <cp:revision>2</cp:revision>
  <cp:lastPrinted>2018-09-13T18:57:00Z</cp:lastPrinted>
  <dcterms:created xsi:type="dcterms:W3CDTF">2018-09-17T00:20:00Z</dcterms:created>
  <dcterms:modified xsi:type="dcterms:W3CDTF">2018-09-17T00:20:00Z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The World Bank</vt:lpwstr>
  </property>
  <property fmtid="{D5CDD505-2E9C-101B-9397-08002B2CF9AE}" pid="3" name="Project">
    <vt:lpwstr>WB LNG Vietnam</vt:lpwstr>
  </property>
  <property fmtid="{D5CDD505-2E9C-101B-9397-08002B2CF9AE}" pid="4" name="Status">
    <vt:lpwstr>Final Draft</vt:lpwstr>
  </property>
  <property fmtid="{D5CDD505-2E9C-101B-9397-08002B2CF9AE}" pid="5" name="Author">
    <vt:lpwstr>TLG</vt:lpwstr>
  </property>
  <property fmtid="{D5CDD505-2E9C-101B-9397-08002B2CF9AE}" pid="6" name="Date">
    <vt:lpwstr>September 2018</vt:lpwstr>
  </property>
  <property fmtid="{D5CDD505-2E9C-101B-9397-08002B2CF9AE}" pid="7" name="ContentTypeId">
    <vt:lpwstr>0x01010054E0FEF4951F9D49A6F48A35419983C700BA061CB6E786414EA752C2F05C7BA940</vt:lpwstr>
  </property>
  <property fmtid="{D5CDD505-2E9C-101B-9397-08002B2CF9AE}" pid="10" name="RatedBy">
    <vt:lpwstr/>
  </property>
  <property fmtid="{D5CDD505-2E9C-101B-9397-08002B2CF9AE}" pid="12" name="LikedBy">
    <vt:lpwstr/>
  </property>
</Properties>
</file>