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footer7.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style3.xml" ContentType="application/vnd.ms-office.chartstyle+xml"/>
  <Override PartName="/word/charts/chart4.xml" ContentType="application/vnd.openxmlformats-officedocument.drawingml.chart+xml"/>
  <Override PartName="/word/charts/colors3.xml" ContentType="application/vnd.ms-office.chartcolorstyle+xml"/>
  <Override PartName="/word/charts/chart3.xml" ContentType="application/vnd.openxmlformats-officedocument.drawingml.chart+xml"/>
  <Override PartName="/word/charts/style2.xml" ContentType="application/vnd.ms-office.chartstyle+xml"/>
  <Override PartName="/word/charts/chart1.xml" ContentType="application/vnd.openxmlformats-officedocument.drawingml.chart+xml"/>
  <Override PartName="/word/charts/colors2.xml" ContentType="application/vnd.ms-office.chartcolorstyle+xml"/>
  <Override PartName="/word/charts/style1.xml" ContentType="application/vnd.ms-office.chartstyle+xml"/>
  <Override PartName="/word/theme/theme1.xml" ContentType="application/vnd.openxmlformats-officedocument.theme+xml"/>
  <Override PartName="/word/charts/chart2.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DB2D3" w14:textId="77777777" w:rsidR="008E18F4" w:rsidRPr="003F00AF" w:rsidRDefault="008E18F4" w:rsidP="008E18F4">
      <w:pPr>
        <w:pStyle w:val="NormalWeb"/>
        <w:spacing w:before="0" w:beforeAutospacing="0" w:after="0" w:afterAutospacing="0"/>
        <w:jc w:val="center"/>
        <w:rPr>
          <w:b/>
          <w:sz w:val="22"/>
          <w:szCs w:val="22"/>
        </w:rPr>
      </w:pPr>
      <w:bookmarkStart w:id="0" w:name="_GoBack"/>
      <w:bookmarkEnd w:id="0"/>
      <w:r w:rsidRPr="003F00AF">
        <w:rPr>
          <w:b/>
          <w:sz w:val="22"/>
          <w:szCs w:val="22"/>
        </w:rPr>
        <w:t xml:space="preserve">Document of </w:t>
      </w:r>
    </w:p>
    <w:p w14:paraId="55022975" w14:textId="77777777" w:rsidR="008E18F4" w:rsidRPr="003F00AF" w:rsidRDefault="008E18F4" w:rsidP="008E18F4">
      <w:pPr>
        <w:pStyle w:val="NormalWeb"/>
        <w:spacing w:before="0" w:beforeAutospacing="0" w:after="0" w:afterAutospacing="0"/>
        <w:jc w:val="center"/>
        <w:rPr>
          <w:b/>
          <w:sz w:val="28"/>
          <w:szCs w:val="28"/>
        </w:rPr>
      </w:pPr>
      <w:r w:rsidRPr="003F00AF">
        <w:rPr>
          <w:b/>
          <w:sz w:val="28"/>
          <w:szCs w:val="28"/>
        </w:rPr>
        <w:t>The World Bank</w:t>
      </w:r>
    </w:p>
    <w:p w14:paraId="4EFD616B" w14:textId="77777777" w:rsidR="008E18F4" w:rsidRPr="003F00AF" w:rsidRDefault="008E18F4" w:rsidP="00FA4ABA">
      <w:pPr>
        <w:spacing w:after="240"/>
        <w:jc w:val="center"/>
        <w:rPr>
          <w:rFonts w:eastAsia="Times New Roman"/>
        </w:rPr>
      </w:pPr>
    </w:p>
    <w:p w14:paraId="698F1FA2" w14:textId="77777777" w:rsidR="008E18F4" w:rsidRPr="003F00AF" w:rsidRDefault="008E18F4" w:rsidP="00FA4ABA">
      <w:pPr>
        <w:spacing w:after="240"/>
        <w:jc w:val="center"/>
        <w:rPr>
          <w:rFonts w:eastAsia="Times New Roman"/>
        </w:rPr>
      </w:pPr>
    </w:p>
    <w:p w14:paraId="32BD7AEB" w14:textId="2771F2EF" w:rsidR="008E18F4" w:rsidRPr="003F00AF" w:rsidRDefault="008E18F4" w:rsidP="008E18F4">
      <w:pPr>
        <w:pStyle w:val="NormalWeb"/>
        <w:jc w:val="right"/>
      </w:pPr>
      <w:r w:rsidRPr="003F00AF">
        <w:t>Report No: ICR</w:t>
      </w:r>
      <w:r w:rsidR="00742B1A" w:rsidRPr="003F00AF">
        <w:rPr>
          <w:bCs/>
        </w:rPr>
        <w:t>00001921</w:t>
      </w:r>
    </w:p>
    <w:p w14:paraId="2A2166E2" w14:textId="77777777" w:rsidR="008E18F4" w:rsidRPr="003F00AF" w:rsidRDefault="008E18F4" w:rsidP="008E18F4">
      <w:pPr>
        <w:jc w:val="cente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360"/>
      </w:tblGrid>
      <w:tr w:rsidR="008E18F4" w:rsidRPr="003F00AF" w14:paraId="21C46F6C" w14:textId="77777777" w:rsidTr="00FA4ABA">
        <w:trPr>
          <w:tblCellSpacing w:w="0" w:type="dxa"/>
        </w:trPr>
        <w:tc>
          <w:tcPr>
            <w:tcW w:w="0" w:type="auto"/>
            <w:vAlign w:val="center"/>
            <w:hideMark/>
          </w:tcPr>
          <w:p w14:paraId="5E74B9F3" w14:textId="77777777" w:rsidR="008E18F4" w:rsidRPr="003F00AF" w:rsidRDefault="008E18F4" w:rsidP="00FA4ABA">
            <w:pPr>
              <w:pStyle w:val="NormalWeb"/>
              <w:spacing w:before="0" w:beforeAutospacing="0" w:after="240" w:afterAutospacing="0"/>
              <w:jc w:val="center"/>
              <w:rPr>
                <w:rFonts w:eastAsia="Times New Roman"/>
              </w:rPr>
            </w:pPr>
            <w:r w:rsidRPr="003F00AF">
              <w:t>IMPLEMENTATION COMPLETION AND RESULTS REPORT</w:t>
            </w:r>
            <w:r w:rsidRPr="003F00AF">
              <w:br/>
              <w:t>(IBRD-76740/IBRD-78100/IBRD-79500)</w:t>
            </w:r>
          </w:p>
          <w:p w14:paraId="3F0E94EA" w14:textId="77777777" w:rsidR="008E18F4" w:rsidRPr="003F00AF" w:rsidRDefault="008E18F4" w:rsidP="00FA4ABA">
            <w:pPr>
              <w:pStyle w:val="NormalWeb"/>
              <w:spacing w:before="0" w:beforeAutospacing="0" w:after="240" w:afterAutospacing="0"/>
              <w:jc w:val="center"/>
            </w:pPr>
            <w:r w:rsidRPr="003F00AF">
              <w:t>ON</w:t>
            </w:r>
          </w:p>
          <w:p w14:paraId="2D73B598" w14:textId="701B77F9" w:rsidR="008E18F4" w:rsidRPr="003F00AF" w:rsidRDefault="008E18F4" w:rsidP="00FA4ABA">
            <w:pPr>
              <w:pStyle w:val="NormalWeb"/>
              <w:spacing w:before="0" w:beforeAutospacing="0" w:after="240" w:afterAutospacing="0"/>
              <w:jc w:val="center"/>
            </w:pPr>
            <w:r w:rsidRPr="003F00AF">
              <w:t>PROGRAMMATIC LOANS</w:t>
            </w:r>
            <w:r w:rsidRPr="003F00AF">
              <w:br/>
            </w:r>
            <w:r w:rsidRPr="003F00AF">
              <w:br/>
              <w:t>IN THE AMOUNT OF US$455 MILLION</w:t>
            </w:r>
          </w:p>
          <w:p w14:paraId="4B0A40DD" w14:textId="07A4AC28" w:rsidR="008E18F4" w:rsidRPr="003F00AF" w:rsidRDefault="008E18F4" w:rsidP="00FA4ABA">
            <w:pPr>
              <w:pStyle w:val="NormalWeb"/>
              <w:spacing w:before="0" w:beforeAutospacing="0" w:after="240" w:afterAutospacing="0"/>
              <w:jc w:val="center"/>
            </w:pPr>
            <w:r w:rsidRPr="003F00AF">
              <w:t>TO</w:t>
            </w:r>
          </w:p>
          <w:p w14:paraId="63674469" w14:textId="069E72BF" w:rsidR="008E18F4" w:rsidRPr="003F00AF" w:rsidRDefault="00FA4ABA" w:rsidP="00FA4ABA">
            <w:pPr>
              <w:autoSpaceDE w:val="0"/>
              <w:autoSpaceDN w:val="0"/>
              <w:adjustRightInd w:val="0"/>
              <w:spacing w:after="240" w:line="240" w:lineRule="atLeast"/>
              <w:jc w:val="center"/>
              <w:rPr>
                <w:caps/>
                <w:color w:val="000000"/>
              </w:rPr>
            </w:pPr>
            <w:r w:rsidRPr="003F00AF">
              <w:t>THE</w:t>
            </w:r>
            <w:r w:rsidRPr="003F00AF">
              <w:rPr>
                <w:caps/>
                <w:color w:val="000000"/>
              </w:rPr>
              <w:t xml:space="preserve"> </w:t>
            </w:r>
            <w:r w:rsidR="008E18F4" w:rsidRPr="003F00AF">
              <w:rPr>
                <w:caps/>
                <w:color w:val="000000"/>
              </w:rPr>
              <w:t>republic of peru</w:t>
            </w:r>
          </w:p>
          <w:p w14:paraId="0BB86017" w14:textId="77777777" w:rsidR="008E18F4" w:rsidRPr="003F00AF" w:rsidRDefault="008E18F4" w:rsidP="00FA4ABA">
            <w:pPr>
              <w:pStyle w:val="NormalWeb"/>
              <w:spacing w:before="0" w:beforeAutospacing="0" w:after="240" w:afterAutospacing="0"/>
              <w:jc w:val="center"/>
            </w:pPr>
            <w:r w:rsidRPr="003F00AF">
              <w:t>FOR THE</w:t>
            </w:r>
          </w:p>
          <w:p w14:paraId="3B4B1411" w14:textId="77777777" w:rsidR="008E18F4" w:rsidRPr="003F00AF" w:rsidRDefault="008E18F4" w:rsidP="00FA4ABA">
            <w:pPr>
              <w:pStyle w:val="NormalWeb"/>
              <w:spacing w:before="0" w:beforeAutospacing="0" w:after="240" w:afterAutospacing="0"/>
              <w:jc w:val="center"/>
            </w:pPr>
            <w:r w:rsidRPr="003F00AF">
              <w:t>FIRST, SECOND, AND THIRD ENVIRONMENTAL DEVELOPMENT POLICY LOANS</w:t>
            </w:r>
          </w:p>
          <w:p w14:paraId="4A4DB57B" w14:textId="3D4BDFF4" w:rsidR="008E18F4" w:rsidRPr="003F00AF" w:rsidRDefault="00E5068E" w:rsidP="00FA4ABA">
            <w:pPr>
              <w:pStyle w:val="NormalWeb"/>
              <w:spacing w:before="0" w:beforeAutospacing="0" w:after="240" w:afterAutospacing="0"/>
              <w:jc w:val="center"/>
            </w:pPr>
            <w:r>
              <w:t xml:space="preserve">September </w:t>
            </w:r>
            <w:r w:rsidR="006009E9">
              <w:t>30</w:t>
            </w:r>
            <w:r w:rsidR="008E18F4" w:rsidRPr="003F00AF">
              <w:t>, 2016</w:t>
            </w:r>
          </w:p>
          <w:p w14:paraId="284F3935" w14:textId="77777777" w:rsidR="00EE5409" w:rsidRPr="003F00AF" w:rsidRDefault="00EE5409" w:rsidP="00FA4ABA">
            <w:pPr>
              <w:pStyle w:val="NormalWeb"/>
              <w:spacing w:before="0" w:beforeAutospacing="0" w:after="0" w:afterAutospacing="0"/>
            </w:pPr>
          </w:p>
          <w:p w14:paraId="02525FF4" w14:textId="77777777" w:rsidR="00EE5409" w:rsidRPr="003F00AF" w:rsidRDefault="00EE5409" w:rsidP="00FA4ABA">
            <w:pPr>
              <w:pStyle w:val="NormalWeb"/>
              <w:spacing w:before="0" w:beforeAutospacing="0" w:after="0" w:afterAutospacing="0"/>
            </w:pPr>
          </w:p>
          <w:p w14:paraId="2D37C1DF" w14:textId="77777777" w:rsidR="00EE5409" w:rsidRPr="003F00AF" w:rsidRDefault="00EE5409" w:rsidP="00FA4ABA">
            <w:pPr>
              <w:pStyle w:val="NormalWeb"/>
              <w:spacing w:before="0" w:beforeAutospacing="0" w:after="0" w:afterAutospacing="0"/>
            </w:pPr>
          </w:p>
          <w:p w14:paraId="4F1564A0" w14:textId="77777777" w:rsidR="00EE5409" w:rsidRPr="003F00AF" w:rsidRDefault="00EE5409" w:rsidP="00FA4ABA">
            <w:pPr>
              <w:pStyle w:val="NormalWeb"/>
              <w:spacing w:before="0" w:beforeAutospacing="0" w:after="0" w:afterAutospacing="0"/>
            </w:pPr>
          </w:p>
          <w:p w14:paraId="02C22C17" w14:textId="77777777" w:rsidR="00EE5409" w:rsidRPr="003F00AF" w:rsidRDefault="00EE5409" w:rsidP="00FA4ABA">
            <w:pPr>
              <w:pStyle w:val="NormalWeb"/>
              <w:spacing w:before="0" w:beforeAutospacing="0" w:after="0" w:afterAutospacing="0"/>
            </w:pPr>
          </w:p>
          <w:p w14:paraId="6E221949" w14:textId="77777777" w:rsidR="00EE5409" w:rsidRPr="003F00AF" w:rsidRDefault="00EE5409" w:rsidP="00FA4ABA">
            <w:pPr>
              <w:pStyle w:val="NormalWeb"/>
              <w:spacing w:before="0" w:beforeAutospacing="0" w:after="0" w:afterAutospacing="0"/>
            </w:pPr>
          </w:p>
          <w:p w14:paraId="2D3108CC" w14:textId="77777777" w:rsidR="00EE5409" w:rsidRPr="003F00AF" w:rsidRDefault="00EE5409" w:rsidP="00FA4ABA">
            <w:pPr>
              <w:pStyle w:val="NormalWeb"/>
              <w:spacing w:before="0" w:beforeAutospacing="0" w:after="0" w:afterAutospacing="0"/>
            </w:pPr>
          </w:p>
          <w:p w14:paraId="4D2B4DA7" w14:textId="77777777" w:rsidR="00EE5409" w:rsidRPr="003F00AF" w:rsidRDefault="00EE5409" w:rsidP="00FA4ABA">
            <w:pPr>
              <w:pStyle w:val="NormalWeb"/>
              <w:spacing w:before="0" w:beforeAutospacing="0" w:after="0" w:afterAutospacing="0"/>
            </w:pPr>
          </w:p>
          <w:p w14:paraId="114EEDD1" w14:textId="77777777" w:rsidR="00EE5409" w:rsidRPr="003F00AF" w:rsidRDefault="00EE5409" w:rsidP="00FA4ABA">
            <w:pPr>
              <w:pStyle w:val="NormalWeb"/>
              <w:spacing w:before="0" w:beforeAutospacing="0" w:after="0" w:afterAutospacing="0"/>
            </w:pPr>
          </w:p>
          <w:p w14:paraId="1C061EDB" w14:textId="77777777" w:rsidR="00EE5409" w:rsidRPr="003F00AF" w:rsidRDefault="00EE5409" w:rsidP="00FA4ABA">
            <w:pPr>
              <w:pStyle w:val="NormalWeb"/>
              <w:spacing w:before="0" w:beforeAutospacing="0" w:after="0" w:afterAutospacing="0"/>
            </w:pPr>
          </w:p>
          <w:p w14:paraId="31DA6651" w14:textId="77777777" w:rsidR="00EE5409" w:rsidRPr="003F00AF" w:rsidRDefault="00EE5409" w:rsidP="00FA4ABA">
            <w:pPr>
              <w:pStyle w:val="NormalWeb"/>
              <w:spacing w:before="0" w:beforeAutospacing="0" w:after="0" w:afterAutospacing="0"/>
            </w:pPr>
          </w:p>
          <w:p w14:paraId="136F6052" w14:textId="77777777" w:rsidR="00CB2D5D" w:rsidRDefault="00CB2D5D" w:rsidP="00FA4ABA">
            <w:pPr>
              <w:pStyle w:val="NormalWeb"/>
              <w:spacing w:before="0" w:beforeAutospacing="0" w:after="0" w:afterAutospacing="0"/>
            </w:pPr>
          </w:p>
          <w:p w14:paraId="32CEF5EB" w14:textId="77777777" w:rsidR="00CB2D5D" w:rsidRDefault="00CB2D5D" w:rsidP="00FA4ABA">
            <w:pPr>
              <w:pStyle w:val="NormalWeb"/>
              <w:spacing w:before="0" w:beforeAutospacing="0" w:after="0" w:afterAutospacing="0"/>
            </w:pPr>
          </w:p>
          <w:p w14:paraId="48BD00D4" w14:textId="77777777" w:rsidR="00CB2D5D" w:rsidRDefault="00CB2D5D" w:rsidP="00FA4ABA">
            <w:pPr>
              <w:pStyle w:val="NormalWeb"/>
              <w:spacing w:before="0" w:beforeAutospacing="0" w:after="0" w:afterAutospacing="0"/>
            </w:pPr>
          </w:p>
          <w:p w14:paraId="2237F957" w14:textId="77777777" w:rsidR="008E18F4" w:rsidRPr="003F00AF" w:rsidRDefault="008E18F4" w:rsidP="00FA4ABA">
            <w:pPr>
              <w:pStyle w:val="NormalWeb"/>
              <w:spacing w:before="0" w:beforeAutospacing="0" w:after="0" w:afterAutospacing="0"/>
            </w:pPr>
            <w:r w:rsidRPr="003F00AF">
              <w:t>Environment and Natural Resources Global Practice</w:t>
            </w:r>
          </w:p>
          <w:p w14:paraId="58654749" w14:textId="77777777" w:rsidR="008E18F4" w:rsidRPr="003F00AF" w:rsidRDefault="008E18F4" w:rsidP="00FA4ABA">
            <w:pPr>
              <w:pStyle w:val="NormalWeb"/>
              <w:spacing w:before="0" w:beforeAutospacing="0" w:after="0" w:afterAutospacing="0"/>
            </w:pPr>
            <w:r w:rsidRPr="003F00AF">
              <w:t>Bolivia, Chile, Ecuador, Peru and Venezuela Country Management Unit</w:t>
            </w:r>
          </w:p>
          <w:p w14:paraId="406C9CB4" w14:textId="77777777" w:rsidR="008E18F4" w:rsidRPr="003F00AF" w:rsidRDefault="008E18F4" w:rsidP="00FA4ABA">
            <w:pPr>
              <w:pStyle w:val="NormalWeb"/>
              <w:spacing w:before="0" w:beforeAutospacing="0" w:after="0" w:afterAutospacing="0"/>
              <w:rPr>
                <w:rFonts w:eastAsia="Times New Roman"/>
              </w:rPr>
            </w:pPr>
            <w:r w:rsidRPr="003F00AF">
              <w:t>Latin America and the Caribbean Region</w:t>
            </w:r>
          </w:p>
        </w:tc>
      </w:tr>
    </w:tbl>
    <w:p w14:paraId="07F34766" w14:textId="77777777" w:rsidR="008E18F4" w:rsidRPr="003F00AF" w:rsidRDefault="008E18F4" w:rsidP="008E18F4">
      <w:pPr>
        <w:rPr>
          <w:rFonts w:eastAsia="Times New Roman"/>
        </w:rPr>
      </w:pPr>
    </w:p>
    <w:p w14:paraId="1B06BA45" w14:textId="77777777" w:rsidR="008E18F4" w:rsidRPr="003F00AF" w:rsidRDefault="008E18F4" w:rsidP="00A32BC9">
      <w:pPr>
        <w:pStyle w:val="Heading3"/>
        <w:keepNext/>
        <w:spacing w:line="200" w:lineRule="atLeast"/>
        <w:jc w:val="right"/>
        <w:rPr>
          <w:rFonts w:eastAsia="Times New Roman"/>
        </w:rPr>
        <w:sectPr w:rsidR="008E18F4" w:rsidRPr="003F00AF" w:rsidSect="00FA4ABA">
          <w:headerReference w:type="default" r:id="rId11"/>
          <w:pgSz w:w="12240" w:h="15840" w:code="1"/>
          <w:pgMar w:top="1440" w:right="1440" w:bottom="1440" w:left="1440" w:header="720" w:footer="720" w:gutter="0"/>
          <w:pgNumType w:fmt="lowerRoman" w:start="1"/>
          <w:cols w:space="720"/>
          <w:docGrid w:linePitch="360"/>
        </w:sectPr>
      </w:pPr>
    </w:p>
    <w:p w14:paraId="6C24B4F7" w14:textId="77777777" w:rsidR="008E18F4" w:rsidRPr="003F00AF" w:rsidRDefault="008E18F4" w:rsidP="008E18F4">
      <w:pPr>
        <w:tabs>
          <w:tab w:val="left" w:pos="5507"/>
        </w:tabs>
        <w:autoSpaceDE w:val="0"/>
        <w:autoSpaceDN w:val="0"/>
        <w:adjustRightInd w:val="0"/>
        <w:jc w:val="center"/>
        <w:rPr>
          <w:iCs/>
        </w:rPr>
      </w:pPr>
      <w:r w:rsidRPr="003F00AF">
        <w:rPr>
          <w:iCs/>
        </w:rPr>
        <w:t>CURRENCY EQUIVALENTS</w:t>
      </w:r>
    </w:p>
    <w:p w14:paraId="573F6802" w14:textId="25A2BCBF" w:rsidR="008E18F4" w:rsidRPr="003F00AF" w:rsidRDefault="008E18F4" w:rsidP="008E18F4">
      <w:pPr>
        <w:tabs>
          <w:tab w:val="left" w:pos="5507"/>
        </w:tabs>
        <w:autoSpaceDE w:val="0"/>
        <w:autoSpaceDN w:val="0"/>
        <w:adjustRightInd w:val="0"/>
        <w:jc w:val="center"/>
        <w:rPr>
          <w:iCs/>
        </w:rPr>
      </w:pPr>
      <w:r w:rsidRPr="003F00AF">
        <w:rPr>
          <w:iCs/>
        </w:rPr>
        <w:t xml:space="preserve">(Exchange Rate Effective </w:t>
      </w:r>
      <w:r w:rsidR="003F57D4" w:rsidRPr="003F00AF">
        <w:rPr>
          <w:iCs/>
        </w:rPr>
        <w:t>September 8</w:t>
      </w:r>
      <w:r w:rsidRPr="003F00AF">
        <w:rPr>
          <w:iCs/>
        </w:rPr>
        <w:t>, 201</w:t>
      </w:r>
      <w:r w:rsidR="004B5E70">
        <w:rPr>
          <w:iCs/>
        </w:rPr>
        <w:t>6</w:t>
      </w:r>
      <w:r w:rsidRPr="003F00AF">
        <w:rPr>
          <w:iCs/>
        </w:rPr>
        <w:t>)</w:t>
      </w:r>
    </w:p>
    <w:p w14:paraId="3685ED5E" w14:textId="77777777" w:rsidR="008E18F4" w:rsidRPr="003F00AF" w:rsidRDefault="008E18F4" w:rsidP="008E18F4">
      <w:pPr>
        <w:tabs>
          <w:tab w:val="right" w:pos="4860"/>
          <w:tab w:val="center" w:pos="5040"/>
          <w:tab w:val="left" w:pos="5220"/>
        </w:tabs>
        <w:autoSpaceDE w:val="0"/>
        <w:autoSpaceDN w:val="0"/>
        <w:adjustRightInd w:val="0"/>
        <w:jc w:val="center"/>
        <w:rPr>
          <w:iCs/>
        </w:rPr>
      </w:pPr>
    </w:p>
    <w:p w14:paraId="4AF0046B" w14:textId="43DE8AA8" w:rsidR="008E18F4" w:rsidRPr="003F00AF" w:rsidRDefault="008E18F4" w:rsidP="008E18F4">
      <w:pPr>
        <w:tabs>
          <w:tab w:val="right" w:pos="4860"/>
          <w:tab w:val="center" w:pos="5040"/>
          <w:tab w:val="left" w:pos="5220"/>
        </w:tabs>
        <w:autoSpaceDE w:val="0"/>
        <w:autoSpaceDN w:val="0"/>
        <w:adjustRightInd w:val="0"/>
        <w:jc w:val="center"/>
        <w:rPr>
          <w:iCs/>
        </w:rPr>
      </w:pPr>
      <w:r w:rsidRPr="003F00AF">
        <w:rPr>
          <w:iCs/>
        </w:rPr>
        <w:t>Currency Unit = Nuevos Soles</w:t>
      </w:r>
      <w:r w:rsidR="004E2393" w:rsidRPr="003F00AF">
        <w:rPr>
          <w:iCs/>
        </w:rPr>
        <w:t xml:space="preserve"> (S/.)</w:t>
      </w:r>
    </w:p>
    <w:p w14:paraId="74E64B78" w14:textId="69F5B076" w:rsidR="008E18F4" w:rsidRPr="003F00AF" w:rsidRDefault="008E18F4" w:rsidP="008E18F4">
      <w:pPr>
        <w:tabs>
          <w:tab w:val="right" w:pos="4860"/>
          <w:tab w:val="center" w:pos="5040"/>
          <w:tab w:val="left" w:pos="5220"/>
        </w:tabs>
        <w:autoSpaceDE w:val="0"/>
        <w:autoSpaceDN w:val="0"/>
        <w:adjustRightInd w:val="0"/>
        <w:jc w:val="center"/>
        <w:rPr>
          <w:iCs/>
        </w:rPr>
      </w:pPr>
      <w:r w:rsidRPr="003F00AF">
        <w:rPr>
          <w:iCs/>
        </w:rPr>
        <w:t xml:space="preserve">US$1.00 = </w:t>
      </w:r>
      <w:r w:rsidR="004E2393" w:rsidRPr="003F00AF">
        <w:rPr>
          <w:iCs/>
        </w:rPr>
        <w:t>S/.</w:t>
      </w:r>
      <w:r w:rsidR="003F57D4" w:rsidRPr="003F00AF">
        <w:rPr>
          <w:iCs/>
        </w:rPr>
        <w:t>3.22</w:t>
      </w:r>
    </w:p>
    <w:p w14:paraId="41EA2930" w14:textId="77777777" w:rsidR="008E18F4" w:rsidRPr="003F00AF" w:rsidRDefault="008E18F4" w:rsidP="008E18F4">
      <w:pPr>
        <w:tabs>
          <w:tab w:val="left" w:pos="5507"/>
        </w:tabs>
        <w:autoSpaceDE w:val="0"/>
        <w:autoSpaceDN w:val="0"/>
        <w:adjustRightInd w:val="0"/>
        <w:jc w:val="center"/>
        <w:rPr>
          <w:iCs/>
        </w:rPr>
      </w:pPr>
    </w:p>
    <w:p w14:paraId="4F3AF42C" w14:textId="77777777" w:rsidR="008E18F4" w:rsidRPr="003F00AF" w:rsidRDefault="008E18F4" w:rsidP="008E18F4">
      <w:pPr>
        <w:tabs>
          <w:tab w:val="left" w:pos="5507"/>
        </w:tabs>
        <w:autoSpaceDE w:val="0"/>
        <w:autoSpaceDN w:val="0"/>
        <w:adjustRightInd w:val="0"/>
        <w:jc w:val="center"/>
        <w:rPr>
          <w:iCs/>
        </w:rPr>
      </w:pPr>
      <w:r w:rsidRPr="003F00AF">
        <w:rPr>
          <w:iCs/>
        </w:rPr>
        <w:t>FISCAL YEAR</w:t>
      </w:r>
    </w:p>
    <w:p w14:paraId="23B61EBE" w14:textId="3BD9BBD9" w:rsidR="008E18F4" w:rsidRPr="003F00AF" w:rsidRDefault="008E18F4" w:rsidP="008E18F4">
      <w:pPr>
        <w:tabs>
          <w:tab w:val="left" w:pos="5507"/>
        </w:tabs>
        <w:autoSpaceDE w:val="0"/>
        <w:autoSpaceDN w:val="0"/>
        <w:adjustRightInd w:val="0"/>
        <w:jc w:val="center"/>
        <w:rPr>
          <w:iCs/>
        </w:rPr>
      </w:pPr>
      <w:r w:rsidRPr="003F00AF">
        <w:rPr>
          <w:iCs/>
        </w:rPr>
        <w:t>January 1 – December 31</w:t>
      </w:r>
    </w:p>
    <w:p w14:paraId="1CC621F0" w14:textId="77777777" w:rsidR="008E18F4" w:rsidRPr="003F00AF" w:rsidRDefault="008E18F4" w:rsidP="008E18F4">
      <w:pPr>
        <w:tabs>
          <w:tab w:val="left" w:pos="5507"/>
        </w:tabs>
        <w:autoSpaceDE w:val="0"/>
        <w:autoSpaceDN w:val="0"/>
        <w:adjustRightInd w:val="0"/>
        <w:jc w:val="center"/>
        <w:rPr>
          <w:iCs/>
        </w:rPr>
      </w:pPr>
    </w:p>
    <w:p w14:paraId="7810AF87" w14:textId="77777777" w:rsidR="008E18F4" w:rsidRPr="003F00AF" w:rsidRDefault="008E18F4" w:rsidP="008E18F4">
      <w:pPr>
        <w:tabs>
          <w:tab w:val="left" w:pos="5507"/>
        </w:tabs>
        <w:autoSpaceDE w:val="0"/>
        <w:autoSpaceDN w:val="0"/>
        <w:adjustRightInd w:val="0"/>
        <w:jc w:val="center"/>
        <w:rPr>
          <w:iCs/>
        </w:rPr>
      </w:pPr>
      <w:r w:rsidRPr="003F00AF">
        <w:rPr>
          <w:iCs/>
        </w:rPr>
        <w:t>ABBREVIATIONS AND ACRONYMS</w:t>
      </w:r>
    </w:p>
    <w:p w14:paraId="332AC8DA" w14:textId="77777777" w:rsidR="008E18F4" w:rsidRPr="003F00AF" w:rsidRDefault="008E18F4" w:rsidP="008E18F4">
      <w:pPr>
        <w:tabs>
          <w:tab w:val="left" w:pos="5507"/>
        </w:tabs>
        <w:autoSpaceDE w:val="0"/>
        <w:autoSpaceDN w:val="0"/>
        <w:adjustRightInd w:val="0"/>
        <w:jc w:val="center"/>
        <w:rPr>
          <w:iCs/>
        </w:rPr>
      </w:pPr>
    </w:p>
    <w:tbl>
      <w:tblPr>
        <w:tblpPr w:leftFromText="187" w:rightFromText="187" w:vertAnchor="text" w:tblpXSpec="center" w:tblpY="1"/>
        <w:tblW w:w="9576" w:type="dxa"/>
        <w:tblLayout w:type="fixed"/>
        <w:tblLook w:val="0000" w:firstRow="0" w:lastRow="0" w:firstColumn="0" w:lastColumn="0" w:noHBand="0" w:noVBand="0"/>
      </w:tblPr>
      <w:tblGrid>
        <w:gridCol w:w="1878"/>
        <w:gridCol w:w="7698"/>
      </w:tblGrid>
      <w:tr w:rsidR="008E18F4" w:rsidRPr="003F00AF" w14:paraId="77DF942E" w14:textId="77777777" w:rsidTr="00FA4ABA">
        <w:tc>
          <w:tcPr>
            <w:tcW w:w="1878" w:type="dxa"/>
          </w:tcPr>
          <w:p w14:paraId="14B1C6C5" w14:textId="77777777" w:rsidR="008E18F4" w:rsidRPr="003F00AF" w:rsidDel="005454D8" w:rsidRDefault="008E18F4" w:rsidP="00FA4ABA">
            <w:pPr>
              <w:tabs>
                <w:tab w:val="left" w:pos="0"/>
              </w:tabs>
            </w:pPr>
            <w:bookmarkStart w:id="1" w:name="OLE_LINK1"/>
            <w:bookmarkStart w:id="2" w:name="OLE_LINK2"/>
            <w:r w:rsidRPr="003F00AF">
              <w:t>CEA</w:t>
            </w:r>
          </w:p>
        </w:tc>
        <w:tc>
          <w:tcPr>
            <w:tcW w:w="7698" w:type="dxa"/>
          </w:tcPr>
          <w:p w14:paraId="03232F70" w14:textId="77777777" w:rsidR="008E18F4" w:rsidRPr="003F00AF" w:rsidDel="005454D8" w:rsidRDefault="008E18F4" w:rsidP="00FA4ABA">
            <w:pPr>
              <w:tabs>
                <w:tab w:val="left" w:pos="0"/>
              </w:tabs>
            </w:pPr>
            <w:r w:rsidRPr="003F00AF">
              <w:t>Country Environmental Analysis</w:t>
            </w:r>
          </w:p>
        </w:tc>
      </w:tr>
      <w:tr w:rsidR="008E18F4" w:rsidRPr="005D2AA4" w14:paraId="63A987C2" w14:textId="77777777" w:rsidTr="00FA4ABA">
        <w:tc>
          <w:tcPr>
            <w:tcW w:w="1878" w:type="dxa"/>
          </w:tcPr>
          <w:p w14:paraId="553B704B" w14:textId="77777777" w:rsidR="008E18F4" w:rsidRPr="003F00AF" w:rsidRDefault="008E18F4" w:rsidP="00FA4ABA">
            <w:pPr>
              <w:tabs>
                <w:tab w:val="left" w:pos="0"/>
              </w:tabs>
            </w:pPr>
            <w:r w:rsidRPr="003F00AF">
              <w:t>CONAM</w:t>
            </w:r>
          </w:p>
        </w:tc>
        <w:tc>
          <w:tcPr>
            <w:tcW w:w="7698" w:type="dxa"/>
          </w:tcPr>
          <w:p w14:paraId="644FC79C" w14:textId="2EF55FA1" w:rsidR="008E18F4" w:rsidRPr="00EA059A" w:rsidRDefault="008E18F4" w:rsidP="00EA059A">
            <w:pPr>
              <w:tabs>
                <w:tab w:val="left" w:pos="0"/>
              </w:tabs>
              <w:rPr>
                <w:lang w:val="es-CO"/>
              </w:rPr>
            </w:pPr>
            <w:r w:rsidRPr="00EA059A">
              <w:rPr>
                <w:lang w:val="es-CO"/>
              </w:rPr>
              <w:t xml:space="preserve">National </w:t>
            </w:r>
            <w:r w:rsidR="00EA059A" w:rsidRPr="00EA059A">
              <w:rPr>
                <w:lang w:val="es-CO"/>
              </w:rPr>
              <w:t xml:space="preserve">Environment </w:t>
            </w:r>
            <w:r w:rsidRPr="00EA059A">
              <w:rPr>
                <w:lang w:val="es-CO"/>
              </w:rPr>
              <w:t>Council (</w:t>
            </w:r>
            <w:r w:rsidRPr="00EA059A">
              <w:rPr>
                <w:i/>
                <w:lang w:val="es-CO"/>
              </w:rPr>
              <w:t>Con</w:t>
            </w:r>
            <w:r w:rsidR="00EA059A" w:rsidRPr="00EA059A">
              <w:rPr>
                <w:i/>
                <w:lang w:val="es-CO"/>
              </w:rPr>
              <w:t>s</w:t>
            </w:r>
            <w:r w:rsidRPr="00EA059A">
              <w:rPr>
                <w:i/>
                <w:lang w:val="es-CO"/>
              </w:rPr>
              <w:t>ejo Nacional del Ambiente</w:t>
            </w:r>
            <w:r w:rsidRPr="00EA059A">
              <w:rPr>
                <w:lang w:val="es-CO"/>
              </w:rPr>
              <w:t>)</w:t>
            </w:r>
          </w:p>
        </w:tc>
      </w:tr>
      <w:tr w:rsidR="008E18F4" w:rsidRPr="003F00AF" w14:paraId="4AB59551" w14:textId="77777777" w:rsidTr="00FA4ABA">
        <w:tc>
          <w:tcPr>
            <w:tcW w:w="1878" w:type="dxa"/>
          </w:tcPr>
          <w:p w14:paraId="79CA0061" w14:textId="77777777" w:rsidR="008E18F4" w:rsidRPr="003F00AF" w:rsidRDefault="008E18F4" w:rsidP="00FA4ABA">
            <w:pPr>
              <w:tabs>
                <w:tab w:val="left" w:pos="0"/>
              </w:tabs>
            </w:pPr>
            <w:r w:rsidRPr="003F00AF">
              <w:t>DDO</w:t>
            </w:r>
          </w:p>
        </w:tc>
        <w:tc>
          <w:tcPr>
            <w:tcW w:w="7698" w:type="dxa"/>
          </w:tcPr>
          <w:p w14:paraId="557D8073" w14:textId="77777777" w:rsidR="008E18F4" w:rsidRPr="003F00AF" w:rsidRDefault="008E18F4" w:rsidP="00FA4ABA">
            <w:pPr>
              <w:tabs>
                <w:tab w:val="left" w:pos="0"/>
              </w:tabs>
            </w:pPr>
            <w:r w:rsidRPr="003F00AF">
              <w:t>Deferred Drawdown Option</w:t>
            </w:r>
          </w:p>
        </w:tc>
      </w:tr>
      <w:tr w:rsidR="008E18F4" w:rsidRPr="005D2AA4" w14:paraId="54A556E0" w14:textId="77777777" w:rsidTr="00FA4ABA">
        <w:tc>
          <w:tcPr>
            <w:tcW w:w="1878" w:type="dxa"/>
          </w:tcPr>
          <w:p w14:paraId="332E2097" w14:textId="77777777" w:rsidR="008E18F4" w:rsidRPr="003F00AF" w:rsidRDefault="008E18F4" w:rsidP="00FA4ABA">
            <w:pPr>
              <w:tabs>
                <w:tab w:val="left" w:pos="0"/>
              </w:tabs>
            </w:pPr>
            <w:r w:rsidRPr="003F00AF">
              <w:t>DIGESA</w:t>
            </w:r>
          </w:p>
        </w:tc>
        <w:tc>
          <w:tcPr>
            <w:tcW w:w="7698" w:type="dxa"/>
          </w:tcPr>
          <w:p w14:paraId="0BA5045F" w14:textId="7A3A2C03" w:rsidR="008E18F4" w:rsidRPr="005E0766" w:rsidRDefault="005E0766" w:rsidP="00FA4ABA">
            <w:pPr>
              <w:tabs>
                <w:tab w:val="left" w:pos="0"/>
              </w:tabs>
              <w:rPr>
                <w:lang w:val="es-CO"/>
              </w:rPr>
            </w:pPr>
            <w:r>
              <w:rPr>
                <w:lang w:val="es-PE"/>
              </w:rPr>
              <w:t xml:space="preserve">General </w:t>
            </w:r>
            <w:r w:rsidRPr="006C5096">
              <w:rPr>
                <w:lang w:val="es-PE"/>
              </w:rPr>
              <w:t>Directorate</w:t>
            </w:r>
            <w:r w:rsidRPr="006C5096">
              <w:rPr>
                <w:spacing w:val="23"/>
                <w:lang w:val="es-PE"/>
              </w:rPr>
              <w:t xml:space="preserve"> </w:t>
            </w:r>
            <w:r w:rsidRPr="006C5096">
              <w:rPr>
                <w:lang w:val="es-PE"/>
              </w:rPr>
              <w:t>of</w:t>
            </w:r>
            <w:r w:rsidRPr="006C5096">
              <w:rPr>
                <w:spacing w:val="9"/>
                <w:lang w:val="es-PE"/>
              </w:rPr>
              <w:t xml:space="preserve"> </w:t>
            </w:r>
            <w:r w:rsidRPr="006C5096">
              <w:rPr>
                <w:lang w:val="es-PE"/>
              </w:rPr>
              <w:t>Environmental</w:t>
            </w:r>
            <w:r w:rsidRPr="006C5096">
              <w:rPr>
                <w:spacing w:val="31"/>
                <w:lang w:val="es-PE"/>
              </w:rPr>
              <w:t xml:space="preserve"> </w:t>
            </w:r>
            <w:r w:rsidRPr="006C5096">
              <w:rPr>
                <w:lang w:val="es-PE"/>
              </w:rPr>
              <w:t>Health (</w:t>
            </w:r>
            <w:r w:rsidRPr="006C5096">
              <w:rPr>
                <w:i/>
                <w:lang w:val="es-PE"/>
              </w:rPr>
              <w:t xml:space="preserve">Dirección </w:t>
            </w:r>
            <w:r>
              <w:rPr>
                <w:i/>
                <w:lang w:val="es-PE"/>
              </w:rPr>
              <w:t xml:space="preserve">General </w:t>
            </w:r>
            <w:r w:rsidRPr="006C5096">
              <w:rPr>
                <w:i/>
                <w:lang w:val="es-PE"/>
              </w:rPr>
              <w:t>de Salud Ambiental</w:t>
            </w:r>
            <w:r w:rsidRPr="006C5096">
              <w:rPr>
                <w:lang w:val="es-PE"/>
              </w:rPr>
              <w:t>)</w:t>
            </w:r>
          </w:p>
        </w:tc>
      </w:tr>
      <w:tr w:rsidR="008E18F4" w:rsidRPr="003F00AF" w14:paraId="3C790100" w14:textId="77777777" w:rsidTr="00FA4ABA">
        <w:tc>
          <w:tcPr>
            <w:tcW w:w="1878" w:type="dxa"/>
          </w:tcPr>
          <w:p w14:paraId="74C281AC" w14:textId="77777777" w:rsidR="008E18F4" w:rsidRPr="003F00AF" w:rsidRDefault="008E18F4" w:rsidP="00FA4ABA">
            <w:pPr>
              <w:tabs>
                <w:tab w:val="left" w:pos="0"/>
              </w:tabs>
            </w:pPr>
            <w:r w:rsidRPr="003F00AF">
              <w:t>DPL</w:t>
            </w:r>
          </w:p>
        </w:tc>
        <w:tc>
          <w:tcPr>
            <w:tcW w:w="7698" w:type="dxa"/>
          </w:tcPr>
          <w:p w14:paraId="64F59599" w14:textId="77777777" w:rsidR="008E18F4" w:rsidRPr="003F00AF" w:rsidRDefault="008E18F4" w:rsidP="00FA4ABA">
            <w:pPr>
              <w:tabs>
                <w:tab w:val="left" w:pos="0"/>
              </w:tabs>
            </w:pPr>
            <w:r w:rsidRPr="003F00AF">
              <w:t>Development Policy Loan</w:t>
            </w:r>
          </w:p>
        </w:tc>
      </w:tr>
      <w:tr w:rsidR="008E18F4" w:rsidRPr="005D2AA4" w14:paraId="54E8E837" w14:textId="77777777" w:rsidTr="00FA4ABA">
        <w:tc>
          <w:tcPr>
            <w:tcW w:w="1878" w:type="dxa"/>
          </w:tcPr>
          <w:p w14:paraId="09281E7E" w14:textId="77777777" w:rsidR="008E18F4" w:rsidRPr="003F00AF" w:rsidRDefault="008E18F4" w:rsidP="00FA4ABA">
            <w:pPr>
              <w:tabs>
                <w:tab w:val="left" w:pos="0"/>
              </w:tabs>
            </w:pPr>
            <w:r w:rsidRPr="003F00AF">
              <w:t>ECA</w:t>
            </w:r>
          </w:p>
        </w:tc>
        <w:tc>
          <w:tcPr>
            <w:tcW w:w="7698" w:type="dxa"/>
          </w:tcPr>
          <w:p w14:paraId="632671CE" w14:textId="4C1649BB" w:rsidR="008E18F4" w:rsidRPr="003F00AF" w:rsidRDefault="008E18F4" w:rsidP="00FA4ABA">
            <w:pPr>
              <w:tabs>
                <w:tab w:val="left" w:pos="0"/>
              </w:tabs>
              <w:rPr>
                <w:lang w:val="es-CO"/>
              </w:rPr>
            </w:pPr>
            <w:r w:rsidRPr="003F00AF">
              <w:rPr>
                <w:lang w:val="es-CO"/>
              </w:rPr>
              <w:t>Environmental Quality Standard (</w:t>
            </w:r>
            <w:r w:rsidRPr="003F00AF">
              <w:rPr>
                <w:i/>
                <w:lang w:val="es-CO"/>
              </w:rPr>
              <w:t>Estándar de Calidad Ambiental</w:t>
            </w:r>
            <w:r w:rsidRPr="003F00AF">
              <w:rPr>
                <w:lang w:val="es-CO"/>
              </w:rPr>
              <w:t>)</w:t>
            </w:r>
          </w:p>
        </w:tc>
      </w:tr>
      <w:tr w:rsidR="008E18F4" w:rsidRPr="005D2AA4" w14:paraId="532BAD74" w14:textId="77777777" w:rsidTr="00FA4ABA">
        <w:tc>
          <w:tcPr>
            <w:tcW w:w="1878" w:type="dxa"/>
          </w:tcPr>
          <w:p w14:paraId="062173E7" w14:textId="77777777" w:rsidR="008E18F4" w:rsidRPr="003F00AF" w:rsidRDefault="008E18F4" w:rsidP="00FA4ABA">
            <w:pPr>
              <w:tabs>
                <w:tab w:val="left" w:pos="0"/>
              </w:tabs>
            </w:pPr>
            <w:r w:rsidRPr="003F00AF">
              <w:t>EIA</w:t>
            </w:r>
          </w:p>
        </w:tc>
        <w:tc>
          <w:tcPr>
            <w:tcW w:w="7698" w:type="dxa"/>
          </w:tcPr>
          <w:p w14:paraId="4C682A4D" w14:textId="337EC639" w:rsidR="008E18F4" w:rsidRPr="003F00AF" w:rsidRDefault="008E18F4" w:rsidP="00FA4ABA">
            <w:pPr>
              <w:tabs>
                <w:tab w:val="left" w:pos="0"/>
              </w:tabs>
              <w:rPr>
                <w:i/>
                <w:lang w:val="es-CO"/>
              </w:rPr>
            </w:pPr>
            <w:r w:rsidRPr="003F00AF">
              <w:rPr>
                <w:lang w:val="es-CO"/>
              </w:rPr>
              <w:t>Environmental Impact Assessment (</w:t>
            </w:r>
            <w:r w:rsidRPr="003F00AF">
              <w:rPr>
                <w:i/>
                <w:lang w:val="es-CO"/>
              </w:rPr>
              <w:t>Evaluación de Impacto Ambiental</w:t>
            </w:r>
            <w:r w:rsidRPr="003F00AF">
              <w:rPr>
                <w:lang w:val="es-CO"/>
              </w:rPr>
              <w:t>)</w:t>
            </w:r>
          </w:p>
        </w:tc>
      </w:tr>
      <w:tr w:rsidR="008E18F4" w:rsidRPr="003F00AF" w14:paraId="4A69ED58" w14:textId="77777777" w:rsidTr="00FA4ABA">
        <w:tc>
          <w:tcPr>
            <w:tcW w:w="1878" w:type="dxa"/>
          </w:tcPr>
          <w:p w14:paraId="4DAA210B" w14:textId="1E9FD002" w:rsidR="008E18F4" w:rsidRPr="003F00AF" w:rsidRDefault="008E18F4" w:rsidP="00FA4ABA">
            <w:pPr>
              <w:tabs>
                <w:tab w:val="left" w:pos="0"/>
              </w:tabs>
            </w:pPr>
            <w:r w:rsidRPr="003F00AF">
              <w:t>ENVDPL</w:t>
            </w:r>
            <w:r w:rsidR="00131351">
              <w:t>s</w:t>
            </w:r>
          </w:p>
        </w:tc>
        <w:tc>
          <w:tcPr>
            <w:tcW w:w="7698" w:type="dxa"/>
          </w:tcPr>
          <w:p w14:paraId="12C27E09" w14:textId="7108345B" w:rsidR="008E18F4" w:rsidRPr="003F00AF" w:rsidRDefault="00131351" w:rsidP="00C5064C">
            <w:pPr>
              <w:tabs>
                <w:tab w:val="left" w:pos="0"/>
              </w:tabs>
            </w:pPr>
            <w:bookmarkStart w:id="3" w:name="OLE_LINK3"/>
            <w:r>
              <w:rPr>
                <w:szCs w:val="22"/>
              </w:rPr>
              <w:t xml:space="preserve">Programmatic </w:t>
            </w:r>
            <w:r w:rsidR="00C5064C">
              <w:rPr>
                <w:szCs w:val="22"/>
              </w:rPr>
              <w:t>S</w:t>
            </w:r>
            <w:r>
              <w:rPr>
                <w:szCs w:val="22"/>
              </w:rPr>
              <w:t xml:space="preserve">eries of Peru </w:t>
            </w:r>
            <w:r w:rsidR="008E18F4" w:rsidRPr="003F00AF">
              <w:rPr>
                <w:szCs w:val="22"/>
              </w:rPr>
              <w:t>Environmental DPL</w:t>
            </w:r>
            <w:bookmarkEnd w:id="3"/>
            <w:r>
              <w:rPr>
                <w:szCs w:val="22"/>
              </w:rPr>
              <w:t>s</w:t>
            </w:r>
          </w:p>
        </w:tc>
      </w:tr>
      <w:tr w:rsidR="008E18F4" w:rsidRPr="005D2AA4" w14:paraId="4A6543BB" w14:textId="77777777" w:rsidTr="00FA4ABA">
        <w:tc>
          <w:tcPr>
            <w:tcW w:w="1878" w:type="dxa"/>
          </w:tcPr>
          <w:p w14:paraId="44EEDDA0" w14:textId="77777777" w:rsidR="008E18F4" w:rsidRPr="003F00AF" w:rsidRDefault="008E18F4" w:rsidP="00FA4ABA">
            <w:pPr>
              <w:tabs>
                <w:tab w:val="left" w:pos="0"/>
              </w:tabs>
              <w:rPr>
                <w:color w:val="000000"/>
              </w:rPr>
            </w:pPr>
            <w:r w:rsidRPr="003F00AF">
              <w:rPr>
                <w:color w:val="000000"/>
              </w:rPr>
              <w:t>FONAM</w:t>
            </w:r>
          </w:p>
        </w:tc>
        <w:tc>
          <w:tcPr>
            <w:tcW w:w="7698" w:type="dxa"/>
          </w:tcPr>
          <w:p w14:paraId="1AB91B9E" w14:textId="77777777" w:rsidR="008E18F4" w:rsidRPr="003F00AF" w:rsidRDefault="008E18F4" w:rsidP="00FA4ABA">
            <w:pPr>
              <w:tabs>
                <w:tab w:val="left" w:pos="0"/>
              </w:tabs>
              <w:rPr>
                <w:i/>
                <w:color w:val="000000"/>
                <w:lang w:val="es-CO"/>
              </w:rPr>
            </w:pPr>
            <w:r w:rsidRPr="003F00AF">
              <w:rPr>
                <w:color w:val="000000"/>
                <w:lang w:val="es-CO"/>
              </w:rPr>
              <w:t>National Environmental Fund (</w:t>
            </w:r>
            <w:r w:rsidRPr="003F00AF">
              <w:rPr>
                <w:i/>
                <w:color w:val="000000"/>
                <w:lang w:val="es-CO"/>
              </w:rPr>
              <w:t>Fondo Nacional del Ambiente</w:t>
            </w:r>
            <w:r w:rsidRPr="003F00AF">
              <w:rPr>
                <w:color w:val="000000"/>
                <w:lang w:val="es-CO"/>
              </w:rPr>
              <w:t>)</w:t>
            </w:r>
          </w:p>
        </w:tc>
      </w:tr>
      <w:tr w:rsidR="008E18F4" w:rsidRPr="005D2AA4" w14:paraId="372D30B6" w14:textId="77777777" w:rsidTr="00FA4ABA">
        <w:tc>
          <w:tcPr>
            <w:tcW w:w="1878" w:type="dxa"/>
          </w:tcPr>
          <w:p w14:paraId="29E433C7" w14:textId="77777777" w:rsidR="008E18F4" w:rsidRPr="003F00AF" w:rsidRDefault="008E18F4" w:rsidP="00FA4ABA">
            <w:pPr>
              <w:tabs>
                <w:tab w:val="left" w:pos="0"/>
              </w:tabs>
              <w:rPr>
                <w:color w:val="000000"/>
              </w:rPr>
            </w:pPr>
            <w:r w:rsidRPr="003F00AF">
              <w:rPr>
                <w:color w:val="000000"/>
              </w:rPr>
              <w:t>FONCOPES</w:t>
            </w:r>
          </w:p>
        </w:tc>
        <w:tc>
          <w:tcPr>
            <w:tcW w:w="7698" w:type="dxa"/>
          </w:tcPr>
          <w:p w14:paraId="32A320C7" w14:textId="77777777" w:rsidR="008E18F4" w:rsidRPr="003F00AF" w:rsidRDefault="008E18F4" w:rsidP="00FA4ABA">
            <w:pPr>
              <w:tabs>
                <w:tab w:val="left" w:pos="0"/>
              </w:tabs>
              <w:rPr>
                <w:color w:val="000000"/>
                <w:lang w:val="es-CO"/>
              </w:rPr>
            </w:pPr>
            <w:r w:rsidRPr="003F00AF">
              <w:rPr>
                <w:color w:val="000000"/>
                <w:lang w:val="es-CO"/>
              </w:rPr>
              <w:t>Fishing Compensation Fund (</w:t>
            </w:r>
            <w:r w:rsidRPr="003F00AF">
              <w:rPr>
                <w:i/>
                <w:color w:val="000000"/>
                <w:lang w:val="es-CO"/>
              </w:rPr>
              <w:t>Fondo de Compensación para el Ordenamiento Pesquero</w:t>
            </w:r>
            <w:r w:rsidRPr="003F00AF">
              <w:rPr>
                <w:color w:val="000000"/>
                <w:lang w:val="es-CO"/>
              </w:rPr>
              <w:t>)</w:t>
            </w:r>
          </w:p>
        </w:tc>
      </w:tr>
      <w:tr w:rsidR="008E18F4" w:rsidRPr="003F00AF" w14:paraId="6E759E0D" w14:textId="77777777" w:rsidTr="00FA4ABA">
        <w:tc>
          <w:tcPr>
            <w:tcW w:w="1878" w:type="dxa"/>
          </w:tcPr>
          <w:p w14:paraId="5BB2755B" w14:textId="77777777" w:rsidR="008E18F4" w:rsidRPr="003F00AF" w:rsidRDefault="008E18F4" w:rsidP="00FA4ABA">
            <w:pPr>
              <w:tabs>
                <w:tab w:val="left" w:pos="0"/>
              </w:tabs>
              <w:rPr>
                <w:color w:val="000000"/>
              </w:rPr>
            </w:pPr>
            <w:r w:rsidRPr="003F00AF">
              <w:rPr>
                <w:color w:val="000000"/>
              </w:rPr>
              <w:t>GoP</w:t>
            </w:r>
          </w:p>
        </w:tc>
        <w:tc>
          <w:tcPr>
            <w:tcW w:w="7698" w:type="dxa"/>
          </w:tcPr>
          <w:p w14:paraId="684D0996" w14:textId="77777777" w:rsidR="008E18F4" w:rsidRPr="003F00AF" w:rsidRDefault="008E18F4" w:rsidP="00FA4ABA">
            <w:pPr>
              <w:tabs>
                <w:tab w:val="left" w:pos="0"/>
              </w:tabs>
              <w:rPr>
                <w:color w:val="000000"/>
              </w:rPr>
            </w:pPr>
            <w:r w:rsidRPr="003F00AF">
              <w:rPr>
                <w:color w:val="000000"/>
              </w:rPr>
              <w:t>Government of Peru</w:t>
            </w:r>
          </w:p>
        </w:tc>
      </w:tr>
      <w:tr w:rsidR="008E18F4" w:rsidRPr="003F00AF" w14:paraId="0B1D3EE9" w14:textId="77777777" w:rsidTr="00FA4ABA">
        <w:tc>
          <w:tcPr>
            <w:tcW w:w="1878" w:type="dxa"/>
          </w:tcPr>
          <w:p w14:paraId="313D3B68" w14:textId="77777777" w:rsidR="008E18F4" w:rsidRPr="003F00AF" w:rsidRDefault="008E18F4" w:rsidP="00FA4ABA">
            <w:pPr>
              <w:tabs>
                <w:tab w:val="left" w:pos="0"/>
              </w:tabs>
              <w:rPr>
                <w:color w:val="000000"/>
              </w:rPr>
            </w:pPr>
            <w:r w:rsidRPr="003F00AF">
              <w:rPr>
                <w:color w:val="000000"/>
              </w:rPr>
              <w:t>ICR</w:t>
            </w:r>
          </w:p>
        </w:tc>
        <w:tc>
          <w:tcPr>
            <w:tcW w:w="7698" w:type="dxa"/>
          </w:tcPr>
          <w:p w14:paraId="151CC0CD" w14:textId="77777777" w:rsidR="008E18F4" w:rsidRPr="003F00AF" w:rsidRDefault="008E18F4" w:rsidP="00FA4ABA">
            <w:pPr>
              <w:tabs>
                <w:tab w:val="left" w:pos="0"/>
              </w:tabs>
              <w:rPr>
                <w:color w:val="000000"/>
              </w:rPr>
            </w:pPr>
            <w:r w:rsidRPr="003F00AF">
              <w:rPr>
                <w:color w:val="000000"/>
              </w:rPr>
              <w:t>Implementation Completion and Results Report</w:t>
            </w:r>
          </w:p>
        </w:tc>
      </w:tr>
      <w:tr w:rsidR="008E18F4" w:rsidRPr="003F00AF" w14:paraId="4888A6EA" w14:textId="77777777" w:rsidTr="00FA4ABA">
        <w:tc>
          <w:tcPr>
            <w:tcW w:w="1878" w:type="dxa"/>
          </w:tcPr>
          <w:p w14:paraId="6424599F" w14:textId="77777777" w:rsidR="008E18F4" w:rsidRPr="003F00AF" w:rsidRDefault="008E18F4" w:rsidP="00FA4ABA">
            <w:pPr>
              <w:tabs>
                <w:tab w:val="left" w:pos="0"/>
              </w:tabs>
            </w:pPr>
            <w:r w:rsidRPr="003F00AF">
              <w:t>IPF</w:t>
            </w:r>
          </w:p>
        </w:tc>
        <w:tc>
          <w:tcPr>
            <w:tcW w:w="7698" w:type="dxa"/>
          </w:tcPr>
          <w:p w14:paraId="618F10E9" w14:textId="77777777" w:rsidR="008E18F4" w:rsidRPr="003F00AF" w:rsidRDefault="008E18F4" w:rsidP="00FA4ABA">
            <w:pPr>
              <w:tabs>
                <w:tab w:val="left" w:pos="0"/>
              </w:tabs>
              <w:rPr>
                <w:rFonts w:eastAsia="+mn-ea"/>
                <w:color w:val="000000"/>
              </w:rPr>
            </w:pPr>
            <w:r w:rsidRPr="003F00AF">
              <w:rPr>
                <w:rFonts w:eastAsia="+mn-ea"/>
                <w:color w:val="000000"/>
              </w:rPr>
              <w:t>Investment Project Financing</w:t>
            </w:r>
          </w:p>
        </w:tc>
      </w:tr>
      <w:tr w:rsidR="008E18F4" w:rsidRPr="003F00AF" w14:paraId="526213E7" w14:textId="77777777" w:rsidTr="00FA4ABA">
        <w:tc>
          <w:tcPr>
            <w:tcW w:w="1878" w:type="dxa"/>
          </w:tcPr>
          <w:p w14:paraId="3D784AE8" w14:textId="77777777" w:rsidR="008E18F4" w:rsidRPr="003F00AF" w:rsidRDefault="008E18F4" w:rsidP="00FA4ABA">
            <w:pPr>
              <w:tabs>
                <w:tab w:val="left" w:pos="0"/>
              </w:tabs>
            </w:pPr>
            <w:r w:rsidRPr="003F00AF">
              <w:t>ISR</w:t>
            </w:r>
          </w:p>
        </w:tc>
        <w:tc>
          <w:tcPr>
            <w:tcW w:w="7698" w:type="dxa"/>
          </w:tcPr>
          <w:p w14:paraId="4ADE6F56" w14:textId="7FFCCD2C" w:rsidR="008E18F4" w:rsidRPr="003F00AF" w:rsidRDefault="008E18F4" w:rsidP="00FA4ABA">
            <w:pPr>
              <w:tabs>
                <w:tab w:val="left" w:pos="0"/>
              </w:tabs>
              <w:rPr>
                <w:rFonts w:eastAsia="+mn-ea"/>
                <w:color w:val="000000"/>
              </w:rPr>
            </w:pPr>
            <w:r w:rsidRPr="003F00AF">
              <w:rPr>
                <w:rFonts w:eastAsia="+mn-ea"/>
                <w:color w:val="000000"/>
              </w:rPr>
              <w:t>Implementation Status and Results Report</w:t>
            </w:r>
          </w:p>
        </w:tc>
      </w:tr>
      <w:tr w:rsidR="008E18F4" w:rsidRPr="003F00AF" w14:paraId="742AEE59" w14:textId="77777777" w:rsidTr="00FA4ABA">
        <w:tc>
          <w:tcPr>
            <w:tcW w:w="1878" w:type="dxa"/>
          </w:tcPr>
          <w:p w14:paraId="17A260B5" w14:textId="77777777" w:rsidR="008E18F4" w:rsidRPr="003F00AF" w:rsidRDefault="008E18F4" w:rsidP="00FA4ABA">
            <w:pPr>
              <w:tabs>
                <w:tab w:val="left" w:pos="0"/>
              </w:tabs>
            </w:pPr>
            <w:r w:rsidRPr="003F00AF">
              <w:t>LCMR</w:t>
            </w:r>
          </w:p>
        </w:tc>
        <w:tc>
          <w:tcPr>
            <w:tcW w:w="7698" w:type="dxa"/>
          </w:tcPr>
          <w:p w14:paraId="4B64C6C9" w14:textId="77777777" w:rsidR="008E18F4" w:rsidRPr="003F00AF" w:rsidRDefault="008E18F4" w:rsidP="00FA4ABA">
            <w:pPr>
              <w:tabs>
                <w:tab w:val="left" w:pos="0"/>
              </w:tabs>
              <w:rPr>
                <w:rFonts w:eastAsia="+mn-ea"/>
                <w:color w:val="000000"/>
              </w:rPr>
            </w:pPr>
            <w:bookmarkStart w:id="4" w:name="OLE_LINK4"/>
            <w:r w:rsidRPr="003F00AF">
              <w:rPr>
                <w:rFonts w:eastAsia="+mn-ea"/>
                <w:color w:val="000000"/>
              </w:rPr>
              <w:t>Lima-Callao Metropolitan Region</w:t>
            </w:r>
            <w:bookmarkEnd w:id="4"/>
          </w:p>
        </w:tc>
      </w:tr>
      <w:tr w:rsidR="008E18F4" w:rsidRPr="005D2AA4" w14:paraId="0088B1EB" w14:textId="77777777" w:rsidTr="00FA4ABA">
        <w:tc>
          <w:tcPr>
            <w:tcW w:w="1878" w:type="dxa"/>
          </w:tcPr>
          <w:p w14:paraId="2E06CAAA" w14:textId="77777777" w:rsidR="008E18F4" w:rsidRPr="003F00AF" w:rsidRDefault="008E18F4" w:rsidP="00FA4ABA">
            <w:pPr>
              <w:tabs>
                <w:tab w:val="left" w:pos="0"/>
              </w:tabs>
            </w:pPr>
            <w:r w:rsidRPr="003F00AF">
              <w:t>LMCE</w:t>
            </w:r>
          </w:p>
        </w:tc>
        <w:tc>
          <w:tcPr>
            <w:tcW w:w="7698" w:type="dxa"/>
          </w:tcPr>
          <w:p w14:paraId="559998D3" w14:textId="1C18D2CA" w:rsidR="008E18F4" w:rsidRPr="003F00AF" w:rsidRDefault="00167F32" w:rsidP="00C5064C">
            <w:pPr>
              <w:tabs>
                <w:tab w:val="left" w:pos="0"/>
              </w:tabs>
              <w:rPr>
                <w:rFonts w:eastAsia="+mn-ea"/>
                <w:color w:val="000000"/>
                <w:lang w:val="es-CO"/>
              </w:rPr>
            </w:pPr>
            <w:r w:rsidRPr="003F00AF">
              <w:rPr>
                <w:rFonts w:eastAsia="+mn-ea"/>
                <w:color w:val="000000"/>
                <w:lang w:val="es-CO"/>
              </w:rPr>
              <w:t xml:space="preserve">Maximum </w:t>
            </w:r>
            <w:r w:rsidR="00C5064C">
              <w:rPr>
                <w:rFonts w:eastAsia="+mn-ea"/>
                <w:color w:val="000000"/>
                <w:lang w:val="es-CO"/>
              </w:rPr>
              <w:t>C</w:t>
            </w:r>
            <w:r w:rsidRPr="003F00AF">
              <w:rPr>
                <w:rFonts w:eastAsia="+mn-ea"/>
                <w:color w:val="000000"/>
                <w:lang w:val="es-CO"/>
              </w:rPr>
              <w:t xml:space="preserve">atch </w:t>
            </w:r>
            <w:r w:rsidR="00C5064C">
              <w:rPr>
                <w:rFonts w:eastAsia="+mn-ea"/>
                <w:color w:val="000000"/>
                <w:lang w:val="es-CO"/>
              </w:rPr>
              <w:t>L</w:t>
            </w:r>
            <w:r w:rsidRPr="003F00AF">
              <w:rPr>
                <w:rFonts w:eastAsia="+mn-ea"/>
                <w:color w:val="000000"/>
                <w:lang w:val="es-CO"/>
              </w:rPr>
              <w:t xml:space="preserve">imit </w:t>
            </w:r>
            <w:r w:rsidRPr="00714B16">
              <w:rPr>
                <w:rFonts w:eastAsia="+mn-ea"/>
                <w:color w:val="000000"/>
                <w:lang w:val="es-CO"/>
              </w:rPr>
              <w:t xml:space="preserve">per </w:t>
            </w:r>
            <w:r w:rsidR="00C5064C">
              <w:rPr>
                <w:rFonts w:eastAsia="+mn-ea"/>
                <w:color w:val="000000"/>
                <w:lang w:val="es-CO"/>
              </w:rPr>
              <w:t>V</w:t>
            </w:r>
            <w:r w:rsidRPr="00714B16">
              <w:rPr>
                <w:rFonts w:eastAsia="+mn-ea"/>
                <w:color w:val="000000"/>
                <w:lang w:val="es-CO"/>
              </w:rPr>
              <w:t>essel (</w:t>
            </w:r>
            <w:r w:rsidRPr="00714B16">
              <w:rPr>
                <w:rFonts w:eastAsia="+mn-ea"/>
                <w:i/>
                <w:color w:val="000000"/>
                <w:lang w:val="es-CO"/>
              </w:rPr>
              <w:t xml:space="preserve">Límite </w:t>
            </w:r>
            <w:r>
              <w:rPr>
                <w:rFonts w:eastAsia="+mn-ea"/>
                <w:i/>
                <w:color w:val="000000"/>
                <w:lang w:val="es-CO"/>
              </w:rPr>
              <w:t>m</w:t>
            </w:r>
            <w:r w:rsidRPr="00714B16">
              <w:rPr>
                <w:rFonts w:eastAsia="+mn-ea"/>
                <w:i/>
                <w:color w:val="000000"/>
                <w:lang w:val="es-CO"/>
              </w:rPr>
              <w:t xml:space="preserve">áximo de </w:t>
            </w:r>
            <w:r>
              <w:rPr>
                <w:rFonts w:eastAsia="+mn-ea"/>
                <w:i/>
                <w:color w:val="000000"/>
                <w:lang w:val="es-CO"/>
              </w:rPr>
              <w:t>c</w:t>
            </w:r>
            <w:r w:rsidRPr="00714B16">
              <w:rPr>
                <w:rFonts w:eastAsia="+mn-ea"/>
                <w:i/>
                <w:color w:val="000000"/>
                <w:lang w:val="es-CO"/>
              </w:rPr>
              <w:t xml:space="preserve">aptura por </w:t>
            </w:r>
            <w:r>
              <w:rPr>
                <w:rFonts w:eastAsia="+mn-ea"/>
                <w:i/>
                <w:color w:val="000000"/>
                <w:lang w:val="es-CO"/>
              </w:rPr>
              <w:t>e</w:t>
            </w:r>
            <w:r w:rsidRPr="00714B16">
              <w:rPr>
                <w:rFonts w:eastAsia="+mn-ea"/>
                <w:i/>
                <w:color w:val="000000"/>
                <w:lang w:val="es-CO"/>
              </w:rPr>
              <w:t>mbarcación</w:t>
            </w:r>
            <w:r w:rsidRPr="003F00AF">
              <w:rPr>
                <w:rFonts w:eastAsia="+mn-ea"/>
                <w:color w:val="000000"/>
                <w:lang w:val="es-CO"/>
              </w:rPr>
              <w:t>)</w:t>
            </w:r>
          </w:p>
        </w:tc>
      </w:tr>
      <w:tr w:rsidR="008E18F4" w:rsidRPr="003F00AF" w14:paraId="413F1D6A" w14:textId="77777777" w:rsidTr="00FA4ABA">
        <w:tc>
          <w:tcPr>
            <w:tcW w:w="1878" w:type="dxa"/>
          </w:tcPr>
          <w:p w14:paraId="171E40FE" w14:textId="77777777" w:rsidR="008E18F4" w:rsidRPr="003F00AF" w:rsidRDefault="008E18F4" w:rsidP="00FA4ABA">
            <w:pPr>
              <w:tabs>
                <w:tab w:val="left" w:pos="0"/>
              </w:tabs>
            </w:pPr>
            <w:r w:rsidRPr="003F00AF">
              <w:t>M&amp;E</w:t>
            </w:r>
          </w:p>
        </w:tc>
        <w:tc>
          <w:tcPr>
            <w:tcW w:w="7698" w:type="dxa"/>
          </w:tcPr>
          <w:p w14:paraId="7EB001B9" w14:textId="77777777" w:rsidR="008E18F4" w:rsidRPr="003F00AF" w:rsidRDefault="008E18F4" w:rsidP="00FA4ABA">
            <w:pPr>
              <w:tabs>
                <w:tab w:val="left" w:pos="0"/>
              </w:tabs>
              <w:rPr>
                <w:rFonts w:eastAsia="+mn-ea"/>
                <w:color w:val="000000"/>
              </w:rPr>
            </w:pPr>
            <w:r w:rsidRPr="003F00AF">
              <w:rPr>
                <w:rFonts w:eastAsia="+mn-ea"/>
                <w:color w:val="000000"/>
              </w:rPr>
              <w:t>Monitoring and Evaluation</w:t>
            </w:r>
          </w:p>
        </w:tc>
      </w:tr>
      <w:tr w:rsidR="008E18F4" w:rsidRPr="003F00AF" w14:paraId="643E9D72" w14:textId="77777777" w:rsidTr="00FA4ABA">
        <w:tc>
          <w:tcPr>
            <w:tcW w:w="1878" w:type="dxa"/>
          </w:tcPr>
          <w:p w14:paraId="2D584FD7" w14:textId="77777777" w:rsidR="008E18F4" w:rsidRPr="003F00AF" w:rsidRDefault="008E18F4" w:rsidP="00FA4ABA">
            <w:pPr>
              <w:tabs>
                <w:tab w:val="left" w:pos="0"/>
              </w:tabs>
            </w:pPr>
            <w:r w:rsidRPr="003F00AF">
              <w:t>MEF</w:t>
            </w:r>
          </w:p>
        </w:tc>
        <w:tc>
          <w:tcPr>
            <w:tcW w:w="7698" w:type="dxa"/>
          </w:tcPr>
          <w:p w14:paraId="2FFBA6E6" w14:textId="77777777" w:rsidR="008E18F4" w:rsidRPr="003F00AF" w:rsidRDefault="008E18F4" w:rsidP="00FA4ABA">
            <w:pPr>
              <w:tabs>
                <w:tab w:val="left" w:pos="0"/>
              </w:tabs>
              <w:rPr>
                <w:rFonts w:eastAsia="+mn-ea"/>
                <w:color w:val="000000"/>
              </w:rPr>
            </w:pPr>
            <w:r w:rsidRPr="003F00AF">
              <w:rPr>
                <w:rFonts w:eastAsia="+mn-ea"/>
                <w:color w:val="000000"/>
              </w:rPr>
              <w:t>Ministry of Economy and Finance (</w:t>
            </w:r>
            <w:r w:rsidRPr="003F00AF">
              <w:rPr>
                <w:rFonts w:eastAsia="+mn-ea"/>
                <w:i/>
                <w:color w:val="000000"/>
              </w:rPr>
              <w:t>Ministerio de Economía y Finanzas</w:t>
            </w:r>
            <w:r w:rsidRPr="003F00AF">
              <w:rPr>
                <w:rFonts w:eastAsia="+mn-ea"/>
                <w:color w:val="000000"/>
              </w:rPr>
              <w:t>)</w:t>
            </w:r>
          </w:p>
        </w:tc>
      </w:tr>
      <w:tr w:rsidR="008E18F4" w:rsidRPr="003F00AF" w14:paraId="7E6C1B4C" w14:textId="77777777" w:rsidTr="00FA4ABA">
        <w:tc>
          <w:tcPr>
            <w:tcW w:w="1878" w:type="dxa"/>
          </w:tcPr>
          <w:p w14:paraId="512AFABA" w14:textId="77777777" w:rsidR="008E18F4" w:rsidRPr="003F00AF" w:rsidRDefault="008E18F4" w:rsidP="00FA4ABA">
            <w:pPr>
              <w:tabs>
                <w:tab w:val="left" w:pos="0"/>
              </w:tabs>
            </w:pPr>
            <w:r w:rsidRPr="003F00AF">
              <w:t>MEL</w:t>
            </w:r>
          </w:p>
        </w:tc>
        <w:tc>
          <w:tcPr>
            <w:tcW w:w="7698" w:type="dxa"/>
          </w:tcPr>
          <w:p w14:paraId="78E18304" w14:textId="30E0A9E4" w:rsidR="008E18F4" w:rsidRPr="003F00AF" w:rsidRDefault="008E18F4" w:rsidP="00FA4ABA">
            <w:pPr>
              <w:tabs>
                <w:tab w:val="left" w:pos="0"/>
              </w:tabs>
            </w:pPr>
            <w:r w:rsidRPr="003F00AF">
              <w:t>Mining Environmental Legacy</w:t>
            </w:r>
          </w:p>
        </w:tc>
      </w:tr>
      <w:tr w:rsidR="008E18F4" w:rsidRPr="003F00AF" w14:paraId="7F5FD8BE" w14:textId="77777777" w:rsidTr="00FA4ABA">
        <w:tc>
          <w:tcPr>
            <w:tcW w:w="1878" w:type="dxa"/>
          </w:tcPr>
          <w:p w14:paraId="146033B7" w14:textId="77777777" w:rsidR="008E18F4" w:rsidRPr="003F00AF" w:rsidRDefault="008E18F4" w:rsidP="00FA4ABA">
            <w:pPr>
              <w:tabs>
                <w:tab w:val="left" w:pos="0"/>
              </w:tabs>
            </w:pPr>
            <w:r w:rsidRPr="003F00AF">
              <w:t>MEM</w:t>
            </w:r>
          </w:p>
        </w:tc>
        <w:tc>
          <w:tcPr>
            <w:tcW w:w="7698" w:type="dxa"/>
          </w:tcPr>
          <w:p w14:paraId="49ACA5C2" w14:textId="77777777" w:rsidR="008E18F4" w:rsidRPr="003F00AF" w:rsidRDefault="008E18F4" w:rsidP="00FA4ABA">
            <w:pPr>
              <w:tabs>
                <w:tab w:val="left" w:pos="0"/>
              </w:tabs>
            </w:pPr>
            <w:r w:rsidRPr="003F00AF">
              <w:t>Ministry of Energy and Mines (</w:t>
            </w:r>
            <w:r w:rsidRPr="003F00AF">
              <w:rPr>
                <w:i/>
              </w:rPr>
              <w:t>Ministerio de Energía y Minas</w:t>
            </w:r>
            <w:r w:rsidRPr="003F00AF">
              <w:t>)</w:t>
            </w:r>
          </w:p>
        </w:tc>
      </w:tr>
      <w:tr w:rsidR="008E18F4" w:rsidRPr="003F00AF" w14:paraId="248A99B0" w14:textId="77777777" w:rsidTr="00FA4ABA">
        <w:tc>
          <w:tcPr>
            <w:tcW w:w="1878" w:type="dxa"/>
          </w:tcPr>
          <w:p w14:paraId="1B0AE5FD" w14:textId="77777777" w:rsidR="008E18F4" w:rsidRPr="003F00AF" w:rsidRDefault="008E18F4" w:rsidP="00FA4ABA">
            <w:pPr>
              <w:tabs>
                <w:tab w:val="left" w:pos="0"/>
              </w:tabs>
            </w:pPr>
            <w:r w:rsidRPr="003F00AF">
              <w:t>MINAM</w:t>
            </w:r>
          </w:p>
        </w:tc>
        <w:tc>
          <w:tcPr>
            <w:tcW w:w="7698" w:type="dxa"/>
          </w:tcPr>
          <w:p w14:paraId="0C25E338" w14:textId="77777777" w:rsidR="008E18F4" w:rsidRPr="003F00AF" w:rsidRDefault="008E18F4" w:rsidP="00FA4ABA">
            <w:pPr>
              <w:tabs>
                <w:tab w:val="left" w:pos="0"/>
              </w:tabs>
              <w:rPr>
                <w:color w:val="000000"/>
              </w:rPr>
            </w:pPr>
            <w:r w:rsidRPr="003F00AF">
              <w:rPr>
                <w:color w:val="000000"/>
              </w:rPr>
              <w:t>Ministry of Environment (</w:t>
            </w:r>
            <w:r w:rsidRPr="003F00AF">
              <w:rPr>
                <w:i/>
                <w:color w:val="000000"/>
              </w:rPr>
              <w:t>Ministerio del Ambiente</w:t>
            </w:r>
            <w:r w:rsidRPr="003F00AF">
              <w:rPr>
                <w:color w:val="000000"/>
              </w:rPr>
              <w:t>)</w:t>
            </w:r>
          </w:p>
        </w:tc>
      </w:tr>
      <w:tr w:rsidR="008E18F4" w:rsidRPr="003F00AF" w14:paraId="39C58341" w14:textId="77777777" w:rsidTr="00FA4ABA">
        <w:tc>
          <w:tcPr>
            <w:tcW w:w="1878" w:type="dxa"/>
          </w:tcPr>
          <w:p w14:paraId="7436AD35" w14:textId="77777777" w:rsidR="008E18F4" w:rsidRPr="003F00AF" w:rsidRDefault="008E18F4" w:rsidP="00FA4ABA">
            <w:pPr>
              <w:tabs>
                <w:tab w:val="left" w:pos="0"/>
              </w:tabs>
            </w:pPr>
            <w:r w:rsidRPr="003F00AF">
              <w:t>MPL</w:t>
            </w:r>
          </w:p>
        </w:tc>
        <w:tc>
          <w:tcPr>
            <w:tcW w:w="7698" w:type="dxa"/>
          </w:tcPr>
          <w:p w14:paraId="709FB3E6" w14:textId="35E24ACC" w:rsidR="008E18F4" w:rsidRPr="003F00AF" w:rsidRDefault="008E18F4" w:rsidP="00FA4ABA">
            <w:pPr>
              <w:tabs>
                <w:tab w:val="left" w:pos="0"/>
              </w:tabs>
              <w:rPr>
                <w:rFonts w:eastAsia="+mn-ea"/>
                <w:color w:val="000000"/>
              </w:rPr>
            </w:pPr>
            <w:r w:rsidRPr="003F00AF">
              <w:rPr>
                <w:rFonts w:eastAsia="+mn-ea"/>
                <w:color w:val="000000"/>
              </w:rPr>
              <w:t>Maximum Permissible Emission Level</w:t>
            </w:r>
          </w:p>
        </w:tc>
      </w:tr>
      <w:tr w:rsidR="008E18F4" w:rsidRPr="003F00AF" w14:paraId="081F7B73" w14:textId="77777777" w:rsidTr="00FA4ABA">
        <w:tc>
          <w:tcPr>
            <w:tcW w:w="1878" w:type="dxa"/>
          </w:tcPr>
          <w:p w14:paraId="69492276" w14:textId="77777777" w:rsidR="008E18F4" w:rsidRPr="003F00AF" w:rsidRDefault="008E18F4" w:rsidP="00FA4ABA">
            <w:pPr>
              <w:tabs>
                <w:tab w:val="left" w:pos="0"/>
              </w:tabs>
              <w:rPr>
                <w:color w:val="000000"/>
              </w:rPr>
            </w:pPr>
            <w:r w:rsidRPr="003F00AF">
              <w:rPr>
                <w:color w:val="000000"/>
              </w:rPr>
              <w:t>MTC</w:t>
            </w:r>
          </w:p>
        </w:tc>
        <w:tc>
          <w:tcPr>
            <w:tcW w:w="7698" w:type="dxa"/>
          </w:tcPr>
          <w:p w14:paraId="35BBFE81" w14:textId="77777777" w:rsidR="008E18F4" w:rsidRPr="003F00AF" w:rsidRDefault="008E18F4" w:rsidP="00FA4ABA">
            <w:pPr>
              <w:tabs>
                <w:tab w:val="left" w:pos="0"/>
              </w:tabs>
              <w:rPr>
                <w:color w:val="000000"/>
              </w:rPr>
            </w:pPr>
            <w:r w:rsidRPr="003F00AF">
              <w:rPr>
                <w:color w:val="000000"/>
              </w:rPr>
              <w:t>Ministry of Transport and Communication (</w:t>
            </w:r>
            <w:r w:rsidRPr="003F00AF">
              <w:rPr>
                <w:i/>
                <w:color w:val="000000"/>
              </w:rPr>
              <w:t>Ministerio de Transporte y Comunicación</w:t>
            </w:r>
            <w:r w:rsidRPr="003F00AF">
              <w:rPr>
                <w:color w:val="000000"/>
              </w:rPr>
              <w:t>)</w:t>
            </w:r>
          </w:p>
        </w:tc>
      </w:tr>
      <w:tr w:rsidR="008E18F4" w:rsidRPr="003F00AF" w14:paraId="5C873BB9" w14:textId="77777777" w:rsidTr="00FA4ABA">
        <w:tc>
          <w:tcPr>
            <w:tcW w:w="1878" w:type="dxa"/>
          </w:tcPr>
          <w:p w14:paraId="0F02B8DD" w14:textId="77777777" w:rsidR="008E18F4" w:rsidRPr="003F00AF" w:rsidRDefault="008E18F4" w:rsidP="00FA4ABA">
            <w:pPr>
              <w:tabs>
                <w:tab w:val="left" w:pos="0"/>
              </w:tabs>
              <w:rPr>
                <w:color w:val="000000"/>
              </w:rPr>
            </w:pPr>
            <w:r w:rsidRPr="003F00AF">
              <w:rPr>
                <w:color w:val="000000"/>
              </w:rPr>
              <w:t>NGO</w:t>
            </w:r>
          </w:p>
        </w:tc>
        <w:tc>
          <w:tcPr>
            <w:tcW w:w="7698" w:type="dxa"/>
          </w:tcPr>
          <w:p w14:paraId="767AB539" w14:textId="00DF5830" w:rsidR="008E18F4" w:rsidRPr="003F00AF" w:rsidRDefault="008E18F4" w:rsidP="00FA4ABA">
            <w:pPr>
              <w:tabs>
                <w:tab w:val="left" w:pos="0"/>
              </w:tabs>
              <w:rPr>
                <w:color w:val="000000"/>
              </w:rPr>
            </w:pPr>
            <w:r w:rsidRPr="003F00AF">
              <w:rPr>
                <w:color w:val="000000"/>
              </w:rPr>
              <w:t>Nongovernmental Organization</w:t>
            </w:r>
          </w:p>
        </w:tc>
      </w:tr>
      <w:tr w:rsidR="008E18F4" w:rsidRPr="003F00AF" w14:paraId="7B0D7D3E" w14:textId="77777777" w:rsidTr="00FA4ABA">
        <w:tc>
          <w:tcPr>
            <w:tcW w:w="1878" w:type="dxa"/>
          </w:tcPr>
          <w:p w14:paraId="4B0B1753" w14:textId="77777777" w:rsidR="008E18F4" w:rsidRPr="003F00AF" w:rsidRDefault="008E18F4" w:rsidP="00FA4ABA">
            <w:pPr>
              <w:tabs>
                <w:tab w:val="left" w:pos="0"/>
              </w:tabs>
              <w:rPr>
                <w:color w:val="000000"/>
              </w:rPr>
            </w:pPr>
            <w:r w:rsidRPr="003F00AF">
              <w:rPr>
                <w:color w:val="000000"/>
              </w:rPr>
              <w:t>NPA</w:t>
            </w:r>
          </w:p>
        </w:tc>
        <w:tc>
          <w:tcPr>
            <w:tcW w:w="7698" w:type="dxa"/>
          </w:tcPr>
          <w:p w14:paraId="038AB34F" w14:textId="77777777" w:rsidR="008E18F4" w:rsidRPr="003F00AF" w:rsidRDefault="008E18F4" w:rsidP="00FA4ABA">
            <w:pPr>
              <w:tabs>
                <w:tab w:val="left" w:pos="0"/>
              </w:tabs>
              <w:rPr>
                <w:color w:val="000000"/>
              </w:rPr>
            </w:pPr>
            <w:r w:rsidRPr="003F00AF">
              <w:rPr>
                <w:color w:val="000000"/>
              </w:rPr>
              <w:t>Natural Protected Area</w:t>
            </w:r>
          </w:p>
        </w:tc>
      </w:tr>
      <w:tr w:rsidR="008E18F4" w:rsidRPr="005D2AA4" w14:paraId="2DA7E38B" w14:textId="77777777" w:rsidTr="00FA4ABA">
        <w:tc>
          <w:tcPr>
            <w:tcW w:w="1878" w:type="dxa"/>
          </w:tcPr>
          <w:p w14:paraId="4F8A9F6B" w14:textId="77777777" w:rsidR="008E18F4" w:rsidRPr="003F00AF" w:rsidRDefault="008E18F4" w:rsidP="00FA4ABA">
            <w:pPr>
              <w:tabs>
                <w:tab w:val="left" w:pos="0"/>
              </w:tabs>
              <w:rPr>
                <w:color w:val="000000"/>
              </w:rPr>
            </w:pPr>
            <w:r w:rsidRPr="003F00AF">
              <w:rPr>
                <w:color w:val="000000"/>
              </w:rPr>
              <w:t>OEFA</w:t>
            </w:r>
          </w:p>
        </w:tc>
        <w:tc>
          <w:tcPr>
            <w:tcW w:w="7698" w:type="dxa"/>
          </w:tcPr>
          <w:p w14:paraId="1412BB4B" w14:textId="617648FC" w:rsidR="008E18F4" w:rsidRPr="00182D78" w:rsidRDefault="00182D78" w:rsidP="00FA4ABA">
            <w:pPr>
              <w:tabs>
                <w:tab w:val="left" w:pos="0"/>
              </w:tabs>
              <w:rPr>
                <w:color w:val="000000"/>
                <w:lang w:val="es-CO"/>
              </w:rPr>
            </w:pPr>
            <w:r w:rsidRPr="00760327">
              <w:rPr>
                <w:bCs/>
                <w:lang w:val="es-PE"/>
              </w:rPr>
              <w:t xml:space="preserve">Environmental Assessment and Control </w:t>
            </w:r>
            <w:r>
              <w:rPr>
                <w:bCs/>
                <w:lang w:val="es-PE"/>
              </w:rPr>
              <w:t xml:space="preserve">Agency </w:t>
            </w:r>
            <w:r w:rsidRPr="00760327">
              <w:rPr>
                <w:bCs/>
                <w:lang w:val="es-PE"/>
              </w:rPr>
              <w:t>(</w:t>
            </w:r>
            <w:r w:rsidRPr="00760327">
              <w:rPr>
                <w:bCs/>
                <w:i/>
                <w:lang w:val="es-PE"/>
              </w:rPr>
              <w:t>Organismo de Evaluación y Fiscalización Ambiental</w:t>
            </w:r>
            <w:r w:rsidRPr="00760327">
              <w:rPr>
                <w:bCs/>
                <w:lang w:val="es-PE"/>
              </w:rPr>
              <w:t>)</w:t>
            </w:r>
          </w:p>
        </w:tc>
      </w:tr>
      <w:tr w:rsidR="008E18F4" w:rsidRPr="003F00AF" w14:paraId="1AEC1C8F" w14:textId="77777777" w:rsidTr="00FA4ABA">
        <w:tc>
          <w:tcPr>
            <w:tcW w:w="1878" w:type="dxa"/>
          </w:tcPr>
          <w:p w14:paraId="1CD12749" w14:textId="77777777" w:rsidR="008E18F4" w:rsidRPr="003F00AF" w:rsidRDefault="008E18F4" w:rsidP="00FA4ABA">
            <w:pPr>
              <w:tabs>
                <w:tab w:val="left" w:pos="0"/>
              </w:tabs>
              <w:rPr>
                <w:color w:val="000000"/>
              </w:rPr>
            </w:pPr>
            <w:r w:rsidRPr="003F00AF">
              <w:rPr>
                <w:rFonts w:eastAsiaTheme="minorEastAsia"/>
              </w:rPr>
              <w:t>OSINERGMIN</w:t>
            </w:r>
          </w:p>
        </w:tc>
        <w:tc>
          <w:tcPr>
            <w:tcW w:w="7698" w:type="dxa"/>
          </w:tcPr>
          <w:p w14:paraId="1EDCE28E" w14:textId="77777777" w:rsidR="008E18F4" w:rsidRPr="003F00AF" w:rsidRDefault="008E18F4" w:rsidP="00FA4ABA">
            <w:pPr>
              <w:tabs>
                <w:tab w:val="left" w:pos="0"/>
              </w:tabs>
              <w:rPr>
                <w:bCs/>
              </w:rPr>
            </w:pPr>
            <w:r w:rsidRPr="003F00AF">
              <w:rPr>
                <w:rFonts w:eastAsiaTheme="minorEastAsia"/>
              </w:rPr>
              <w:t>Oversight Agency of Energy and Mining Investment (</w:t>
            </w:r>
            <w:r w:rsidRPr="003F00AF">
              <w:rPr>
                <w:rFonts w:eastAsiaTheme="minorEastAsia"/>
                <w:i/>
              </w:rPr>
              <w:t>Organismo Supervisor de la Inversión en Energía y Minería</w:t>
            </w:r>
            <w:r w:rsidRPr="003F00AF">
              <w:rPr>
                <w:rFonts w:eastAsiaTheme="minorEastAsia"/>
              </w:rPr>
              <w:t>)</w:t>
            </w:r>
          </w:p>
        </w:tc>
      </w:tr>
      <w:tr w:rsidR="008E18F4" w:rsidRPr="003F00AF" w14:paraId="13C0E6A7" w14:textId="77777777" w:rsidTr="00FA4ABA">
        <w:tc>
          <w:tcPr>
            <w:tcW w:w="1878" w:type="dxa"/>
          </w:tcPr>
          <w:p w14:paraId="0C148FF1" w14:textId="77777777" w:rsidR="008E18F4" w:rsidRPr="003F00AF" w:rsidRDefault="008E18F4" w:rsidP="00FA4ABA">
            <w:pPr>
              <w:tabs>
                <w:tab w:val="left" w:pos="0"/>
              </w:tabs>
              <w:rPr>
                <w:color w:val="000000"/>
              </w:rPr>
            </w:pPr>
            <w:r w:rsidRPr="003F00AF">
              <w:rPr>
                <w:color w:val="000000"/>
              </w:rPr>
              <w:t>PDO</w:t>
            </w:r>
          </w:p>
        </w:tc>
        <w:tc>
          <w:tcPr>
            <w:tcW w:w="7698" w:type="dxa"/>
          </w:tcPr>
          <w:p w14:paraId="0BE2B831" w14:textId="77777777" w:rsidR="008E18F4" w:rsidRPr="003F00AF" w:rsidRDefault="008E18F4" w:rsidP="00FA4ABA">
            <w:pPr>
              <w:tabs>
                <w:tab w:val="left" w:pos="0"/>
              </w:tabs>
              <w:rPr>
                <w:color w:val="000000"/>
              </w:rPr>
            </w:pPr>
            <w:r w:rsidRPr="003F00AF">
              <w:rPr>
                <w:color w:val="000000"/>
              </w:rPr>
              <w:t>Program Development Objective</w:t>
            </w:r>
          </w:p>
        </w:tc>
      </w:tr>
      <w:tr w:rsidR="008E18F4" w:rsidRPr="003F00AF" w14:paraId="26703D1D" w14:textId="77777777" w:rsidTr="00FA4ABA">
        <w:tc>
          <w:tcPr>
            <w:tcW w:w="1878" w:type="dxa"/>
          </w:tcPr>
          <w:p w14:paraId="6A5D46A5" w14:textId="77777777" w:rsidR="008E18F4" w:rsidRPr="003F00AF" w:rsidRDefault="008E18F4" w:rsidP="00FA4ABA">
            <w:pPr>
              <w:tabs>
                <w:tab w:val="left" w:pos="0"/>
              </w:tabs>
              <w:rPr>
                <w:color w:val="000000"/>
              </w:rPr>
            </w:pPr>
            <w:r w:rsidRPr="003F00AF">
              <w:rPr>
                <w:color w:val="000000"/>
              </w:rPr>
              <w:t>PERCAN</w:t>
            </w:r>
          </w:p>
        </w:tc>
        <w:tc>
          <w:tcPr>
            <w:tcW w:w="7698" w:type="dxa"/>
          </w:tcPr>
          <w:p w14:paraId="176C07B4" w14:textId="77777777" w:rsidR="008E18F4" w:rsidRPr="003F00AF" w:rsidRDefault="008E18F4" w:rsidP="00FA4ABA">
            <w:pPr>
              <w:tabs>
                <w:tab w:val="left" w:pos="0"/>
              </w:tabs>
              <w:rPr>
                <w:color w:val="000000"/>
              </w:rPr>
            </w:pPr>
            <w:r w:rsidRPr="003F00AF">
              <w:t>Peru-Canada Cooperation Program</w:t>
            </w:r>
          </w:p>
        </w:tc>
      </w:tr>
      <w:tr w:rsidR="008E18F4" w:rsidRPr="003F00AF" w14:paraId="302F67BD" w14:textId="77777777" w:rsidTr="00FA4ABA">
        <w:tc>
          <w:tcPr>
            <w:tcW w:w="1878" w:type="dxa"/>
          </w:tcPr>
          <w:p w14:paraId="332720C5" w14:textId="77777777" w:rsidR="008E18F4" w:rsidRPr="003F00AF" w:rsidRDefault="008E18F4" w:rsidP="00FA4ABA">
            <w:pPr>
              <w:tabs>
                <w:tab w:val="left" w:pos="0"/>
              </w:tabs>
              <w:rPr>
                <w:color w:val="000000"/>
              </w:rPr>
            </w:pPr>
            <w:r w:rsidRPr="003F00AF">
              <w:rPr>
                <w:color w:val="000000"/>
              </w:rPr>
              <w:t>PRODUCE</w:t>
            </w:r>
          </w:p>
        </w:tc>
        <w:tc>
          <w:tcPr>
            <w:tcW w:w="7698" w:type="dxa"/>
          </w:tcPr>
          <w:p w14:paraId="7F2100FA" w14:textId="0867CD7B" w:rsidR="008E18F4" w:rsidRPr="003F00AF" w:rsidRDefault="008E18F4" w:rsidP="00182D78">
            <w:pPr>
              <w:tabs>
                <w:tab w:val="left" w:pos="0"/>
              </w:tabs>
              <w:rPr>
                <w:color w:val="000000"/>
              </w:rPr>
            </w:pPr>
            <w:r w:rsidRPr="003F00AF">
              <w:rPr>
                <w:color w:val="000000"/>
              </w:rPr>
              <w:t>Ministry of Production (</w:t>
            </w:r>
            <w:r w:rsidRPr="003F00AF">
              <w:rPr>
                <w:i/>
                <w:color w:val="000000"/>
              </w:rPr>
              <w:t>Ministerio de Producción</w:t>
            </w:r>
            <w:r w:rsidRPr="003F00AF">
              <w:rPr>
                <w:color w:val="000000"/>
              </w:rPr>
              <w:t>)</w:t>
            </w:r>
          </w:p>
        </w:tc>
      </w:tr>
      <w:tr w:rsidR="003541C1" w:rsidRPr="003F00AF" w14:paraId="20B9FCC4" w14:textId="77777777" w:rsidTr="00FA4ABA">
        <w:tc>
          <w:tcPr>
            <w:tcW w:w="1878" w:type="dxa"/>
          </w:tcPr>
          <w:p w14:paraId="1EDD6722" w14:textId="68417F85" w:rsidR="003541C1" w:rsidRPr="003F00AF" w:rsidRDefault="003541C1" w:rsidP="003541C1">
            <w:pPr>
              <w:tabs>
                <w:tab w:val="left" w:pos="0"/>
              </w:tabs>
              <w:rPr>
                <w:color w:val="000000"/>
              </w:rPr>
            </w:pPr>
            <w:r w:rsidRPr="003F00AF">
              <w:rPr>
                <w:color w:val="000000"/>
              </w:rPr>
              <w:t>PROFONANPE</w:t>
            </w:r>
          </w:p>
        </w:tc>
        <w:tc>
          <w:tcPr>
            <w:tcW w:w="7698" w:type="dxa"/>
          </w:tcPr>
          <w:p w14:paraId="2ECA44B1" w14:textId="0047DB8E" w:rsidR="003541C1" w:rsidRPr="003F00AF" w:rsidRDefault="00182D78" w:rsidP="003541C1">
            <w:pPr>
              <w:tabs>
                <w:tab w:val="left" w:pos="0"/>
              </w:tabs>
              <w:rPr>
                <w:color w:val="000000"/>
              </w:rPr>
            </w:pPr>
            <w:r w:rsidRPr="00760327">
              <w:rPr>
                <w:color w:val="000000"/>
              </w:rPr>
              <w:t xml:space="preserve">Fund for the Promotion of </w:t>
            </w:r>
            <w:r>
              <w:rPr>
                <w:color w:val="000000"/>
              </w:rPr>
              <w:t xml:space="preserve">Natural </w:t>
            </w:r>
            <w:r w:rsidRPr="00760327">
              <w:rPr>
                <w:color w:val="000000"/>
              </w:rPr>
              <w:t>Protected Areas of Peru (</w:t>
            </w:r>
            <w:r w:rsidRPr="00760327">
              <w:rPr>
                <w:i/>
                <w:color w:val="000000"/>
              </w:rPr>
              <w:t>Fondo de Promoción de las Áreas Naturales Protegidas del Perú</w:t>
            </w:r>
            <w:r w:rsidRPr="00760327">
              <w:rPr>
                <w:color w:val="000000"/>
              </w:rPr>
              <w:t>)</w:t>
            </w:r>
          </w:p>
        </w:tc>
      </w:tr>
      <w:tr w:rsidR="003541C1" w:rsidRPr="003F00AF" w14:paraId="755905B3" w14:textId="77777777" w:rsidTr="00FA4ABA">
        <w:tc>
          <w:tcPr>
            <w:tcW w:w="1878" w:type="dxa"/>
          </w:tcPr>
          <w:p w14:paraId="0A96AD86" w14:textId="77777777" w:rsidR="003541C1" w:rsidRPr="003F00AF" w:rsidRDefault="003541C1" w:rsidP="003541C1">
            <w:pPr>
              <w:tabs>
                <w:tab w:val="left" w:pos="0"/>
              </w:tabs>
              <w:rPr>
                <w:color w:val="000000"/>
              </w:rPr>
            </w:pPr>
            <w:r w:rsidRPr="003F00AF">
              <w:rPr>
                <w:color w:val="000000"/>
              </w:rPr>
              <w:t>SEIA</w:t>
            </w:r>
          </w:p>
        </w:tc>
        <w:tc>
          <w:tcPr>
            <w:tcW w:w="7698" w:type="dxa"/>
          </w:tcPr>
          <w:p w14:paraId="518BA580" w14:textId="1346D067" w:rsidR="003541C1" w:rsidRPr="003F00AF" w:rsidRDefault="003541C1" w:rsidP="003541C1">
            <w:pPr>
              <w:tabs>
                <w:tab w:val="left" w:pos="0"/>
              </w:tabs>
            </w:pPr>
            <w:r w:rsidRPr="003F00AF">
              <w:t>National System of Environmental Impact Assessment (</w:t>
            </w:r>
            <w:r w:rsidRPr="003F00AF">
              <w:rPr>
                <w:i/>
              </w:rPr>
              <w:t>Sistema Nacional de Evaluación de Impacto Ambiental</w:t>
            </w:r>
            <w:r w:rsidRPr="003F00AF">
              <w:t>)</w:t>
            </w:r>
          </w:p>
        </w:tc>
      </w:tr>
      <w:tr w:rsidR="003541C1" w:rsidRPr="005D2AA4" w14:paraId="5A9DA3B3" w14:textId="77777777" w:rsidTr="00FA4ABA">
        <w:tc>
          <w:tcPr>
            <w:tcW w:w="1878" w:type="dxa"/>
          </w:tcPr>
          <w:p w14:paraId="733C9AF0" w14:textId="77777777" w:rsidR="003541C1" w:rsidRPr="003F00AF" w:rsidRDefault="003541C1" w:rsidP="003541C1">
            <w:pPr>
              <w:tabs>
                <w:tab w:val="left" w:pos="0"/>
              </w:tabs>
              <w:rPr>
                <w:color w:val="000000"/>
              </w:rPr>
            </w:pPr>
            <w:r w:rsidRPr="003F00AF">
              <w:rPr>
                <w:color w:val="000000"/>
              </w:rPr>
              <w:t>SENACE</w:t>
            </w:r>
          </w:p>
        </w:tc>
        <w:tc>
          <w:tcPr>
            <w:tcW w:w="7698" w:type="dxa"/>
          </w:tcPr>
          <w:p w14:paraId="7710CD37" w14:textId="2A7ACDF9" w:rsidR="003541C1" w:rsidRPr="003F00AF" w:rsidRDefault="001B12DB" w:rsidP="001B12DB">
            <w:pPr>
              <w:tabs>
                <w:tab w:val="left" w:pos="0"/>
              </w:tabs>
              <w:rPr>
                <w:lang w:val="es-CO"/>
              </w:rPr>
            </w:pPr>
            <w:r w:rsidRPr="001B12DB">
              <w:rPr>
                <w:iCs/>
                <w:lang w:val="es-CO"/>
              </w:rPr>
              <w:t>National Service of Environmental Certification for Sustainable Investments</w:t>
            </w:r>
            <w:r w:rsidR="003541C1" w:rsidRPr="003F00AF">
              <w:rPr>
                <w:lang w:val="es-CO"/>
              </w:rPr>
              <w:t xml:space="preserve"> (</w:t>
            </w:r>
            <w:r w:rsidR="003541C1" w:rsidRPr="003F00AF">
              <w:rPr>
                <w:i/>
                <w:lang w:val="es-CO"/>
              </w:rPr>
              <w:t>Servicio Nacional de Certificación Ambiental para las Inversiones Sostenibles</w:t>
            </w:r>
            <w:r w:rsidR="003541C1" w:rsidRPr="003F00AF">
              <w:rPr>
                <w:lang w:val="es-CO"/>
              </w:rPr>
              <w:t>)</w:t>
            </w:r>
          </w:p>
        </w:tc>
      </w:tr>
      <w:tr w:rsidR="00A13DF9" w:rsidRPr="005D2AA4" w14:paraId="16E07CD8" w14:textId="77777777" w:rsidTr="00FA4ABA">
        <w:tc>
          <w:tcPr>
            <w:tcW w:w="1878" w:type="dxa"/>
          </w:tcPr>
          <w:p w14:paraId="6C9DF971" w14:textId="4C29BCC5" w:rsidR="00A13DF9" w:rsidRPr="003F00AF" w:rsidRDefault="00A13DF9" w:rsidP="00A13DF9">
            <w:pPr>
              <w:tabs>
                <w:tab w:val="left" w:pos="0"/>
              </w:tabs>
            </w:pPr>
            <w:r w:rsidRPr="003F00AF">
              <w:t>SENAMHI</w:t>
            </w:r>
          </w:p>
        </w:tc>
        <w:tc>
          <w:tcPr>
            <w:tcW w:w="7698" w:type="dxa"/>
          </w:tcPr>
          <w:p w14:paraId="03776814" w14:textId="26C66874" w:rsidR="00A13DF9" w:rsidRPr="003F00AF" w:rsidRDefault="00A13DF9" w:rsidP="00A13DF9">
            <w:pPr>
              <w:tabs>
                <w:tab w:val="left" w:pos="0"/>
              </w:tabs>
              <w:rPr>
                <w:lang w:val="es-CO"/>
              </w:rPr>
            </w:pPr>
            <w:r>
              <w:rPr>
                <w:lang w:val="es-CO"/>
              </w:rPr>
              <w:t xml:space="preserve">Peru </w:t>
            </w:r>
            <w:r w:rsidRPr="003F00AF">
              <w:rPr>
                <w:lang w:val="es-CO"/>
              </w:rPr>
              <w:t>National</w:t>
            </w:r>
            <w:r w:rsidRPr="003F00AF">
              <w:rPr>
                <w:spacing w:val="44"/>
                <w:lang w:val="es-CO"/>
              </w:rPr>
              <w:t xml:space="preserve"> </w:t>
            </w:r>
            <w:r w:rsidRPr="003F00AF">
              <w:rPr>
                <w:lang w:val="es-CO"/>
              </w:rPr>
              <w:t>Service</w:t>
            </w:r>
            <w:r>
              <w:rPr>
                <w:lang w:val="es-CO"/>
              </w:rPr>
              <w:t xml:space="preserve"> for </w:t>
            </w:r>
            <w:r w:rsidRPr="003F00AF">
              <w:rPr>
                <w:lang w:val="es-CO"/>
              </w:rPr>
              <w:t>Meteorology and Hydrology</w:t>
            </w:r>
            <w:r>
              <w:rPr>
                <w:lang w:val="es-CO"/>
              </w:rPr>
              <w:t xml:space="preserve"> </w:t>
            </w:r>
            <w:r w:rsidRPr="003F00AF">
              <w:rPr>
                <w:lang w:val="es-CO"/>
              </w:rPr>
              <w:t>(</w:t>
            </w:r>
            <w:r w:rsidRPr="003F00AF">
              <w:rPr>
                <w:i/>
                <w:lang w:val="es-CO"/>
              </w:rPr>
              <w:t>Servicio Nacional de Meteorología e Hidrología</w:t>
            </w:r>
            <w:r>
              <w:rPr>
                <w:i/>
                <w:lang w:val="es-CO"/>
              </w:rPr>
              <w:t xml:space="preserve"> del Perú</w:t>
            </w:r>
            <w:r w:rsidRPr="003F00AF">
              <w:rPr>
                <w:lang w:val="es-CO"/>
              </w:rPr>
              <w:t>)</w:t>
            </w:r>
          </w:p>
        </w:tc>
      </w:tr>
      <w:tr w:rsidR="00A13DF9" w:rsidRPr="003F00AF" w14:paraId="1766D6FE" w14:textId="77777777" w:rsidTr="00FA4ABA">
        <w:tc>
          <w:tcPr>
            <w:tcW w:w="1878" w:type="dxa"/>
          </w:tcPr>
          <w:p w14:paraId="3D221913" w14:textId="71274369" w:rsidR="00A13DF9" w:rsidRPr="003F00AF" w:rsidRDefault="00A13DF9" w:rsidP="00A13DF9">
            <w:pPr>
              <w:tabs>
                <w:tab w:val="left" w:pos="0"/>
              </w:tabs>
            </w:pPr>
            <w:r w:rsidRPr="003F00AF">
              <w:t>SERNANP</w:t>
            </w:r>
          </w:p>
        </w:tc>
        <w:tc>
          <w:tcPr>
            <w:tcW w:w="7698" w:type="dxa"/>
          </w:tcPr>
          <w:p w14:paraId="6028C6FE" w14:textId="0A6F4710" w:rsidR="00A13DF9" w:rsidRPr="003F00AF" w:rsidRDefault="00A13DF9" w:rsidP="00A13DF9">
            <w:pPr>
              <w:tabs>
                <w:tab w:val="left" w:pos="0"/>
              </w:tabs>
            </w:pPr>
            <w:r w:rsidRPr="00760327">
              <w:rPr>
                <w:lang w:val="es-PE"/>
              </w:rPr>
              <w:t xml:space="preserve">National Service of Natural Protected Areas </w:t>
            </w:r>
            <w:r>
              <w:rPr>
                <w:lang w:val="es-PE"/>
              </w:rPr>
              <w:t xml:space="preserve">by the State </w:t>
            </w:r>
            <w:r w:rsidRPr="00760327">
              <w:rPr>
                <w:lang w:val="es-PE"/>
              </w:rPr>
              <w:t>(</w:t>
            </w:r>
            <w:r w:rsidRPr="00760327">
              <w:rPr>
                <w:i/>
                <w:lang w:val="es-PE"/>
              </w:rPr>
              <w:t>Servicio Nacional de Áreas</w:t>
            </w:r>
            <w:r>
              <w:rPr>
                <w:i/>
                <w:lang w:val="es-PE"/>
              </w:rPr>
              <w:t xml:space="preserve"> Naturales</w:t>
            </w:r>
            <w:r w:rsidRPr="00760327">
              <w:rPr>
                <w:i/>
                <w:lang w:val="es-PE"/>
              </w:rPr>
              <w:t xml:space="preserve"> Protegidas por el Estado</w:t>
            </w:r>
            <w:r w:rsidRPr="00760327">
              <w:rPr>
                <w:lang w:val="es-PE"/>
              </w:rPr>
              <w:t>)</w:t>
            </w:r>
          </w:p>
        </w:tc>
      </w:tr>
      <w:tr w:rsidR="00A13DF9" w:rsidRPr="00262640" w14:paraId="1F98BA87" w14:textId="77777777" w:rsidTr="00FA4ABA">
        <w:tc>
          <w:tcPr>
            <w:tcW w:w="1878" w:type="dxa"/>
          </w:tcPr>
          <w:p w14:paraId="02F1CAEB" w14:textId="0201FACE" w:rsidR="00A13DF9" w:rsidRPr="003F00AF" w:rsidRDefault="00A13DF9" w:rsidP="00A13DF9">
            <w:pPr>
              <w:tabs>
                <w:tab w:val="left" w:pos="0"/>
              </w:tabs>
            </w:pPr>
            <w:r w:rsidRPr="003F00AF">
              <w:t>SINANPE</w:t>
            </w:r>
          </w:p>
        </w:tc>
        <w:tc>
          <w:tcPr>
            <w:tcW w:w="7698" w:type="dxa"/>
          </w:tcPr>
          <w:p w14:paraId="11024834" w14:textId="007045F9" w:rsidR="00A13DF9" w:rsidRPr="003F00AF" w:rsidRDefault="00A13DF9" w:rsidP="00A13DF9">
            <w:pPr>
              <w:tabs>
                <w:tab w:val="left" w:pos="0"/>
              </w:tabs>
              <w:rPr>
                <w:lang w:val="pt-BR"/>
              </w:rPr>
            </w:pPr>
            <w:r w:rsidRPr="003F00AF">
              <w:rPr>
                <w:lang w:val="pt-BR"/>
              </w:rPr>
              <w:t xml:space="preserve">National System of Natural Protected Areas </w:t>
            </w:r>
            <w:r>
              <w:rPr>
                <w:lang w:val="pt-BR"/>
              </w:rPr>
              <w:t xml:space="preserve">by the State </w:t>
            </w:r>
            <w:r w:rsidRPr="003F00AF">
              <w:rPr>
                <w:lang w:val="pt-BR"/>
              </w:rPr>
              <w:t>(</w:t>
            </w:r>
            <w:r w:rsidRPr="003F00AF">
              <w:rPr>
                <w:i/>
                <w:lang w:val="pt-BR"/>
              </w:rPr>
              <w:t xml:space="preserve">Sistema Nacional de Áreas </w:t>
            </w:r>
            <w:r>
              <w:rPr>
                <w:i/>
                <w:lang w:val="pt-BR"/>
              </w:rPr>
              <w:t xml:space="preserve">Naturales </w:t>
            </w:r>
            <w:r w:rsidRPr="00BF5F96">
              <w:rPr>
                <w:i/>
                <w:lang w:val="pt-BR"/>
              </w:rPr>
              <w:t>Protegidas por el Estado</w:t>
            </w:r>
            <w:r w:rsidRPr="003F00AF">
              <w:rPr>
                <w:lang w:val="pt-BR"/>
              </w:rPr>
              <w:t>)</w:t>
            </w:r>
          </w:p>
        </w:tc>
      </w:tr>
      <w:tr w:rsidR="003541C1" w:rsidRPr="003F00AF" w:rsidDel="003247E7" w14:paraId="4730AD1F" w14:textId="77777777" w:rsidTr="00FA4ABA">
        <w:tc>
          <w:tcPr>
            <w:tcW w:w="1878" w:type="dxa"/>
          </w:tcPr>
          <w:p w14:paraId="0D2A6FF4" w14:textId="77777777" w:rsidR="003541C1" w:rsidRPr="003F00AF" w:rsidDel="003247E7" w:rsidRDefault="003541C1" w:rsidP="003541C1">
            <w:pPr>
              <w:tabs>
                <w:tab w:val="left" w:pos="0"/>
              </w:tabs>
            </w:pPr>
            <w:r w:rsidRPr="003F00AF">
              <w:t>TAL</w:t>
            </w:r>
          </w:p>
        </w:tc>
        <w:tc>
          <w:tcPr>
            <w:tcW w:w="7698" w:type="dxa"/>
          </w:tcPr>
          <w:p w14:paraId="30159638" w14:textId="77777777" w:rsidR="003541C1" w:rsidRPr="003F00AF" w:rsidDel="003247E7" w:rsidRDefault="003541C1" w:rsidP="003541C1">
            <w:pPr>
              <w:tabs>
                <w:tab w:val="left" w:pos="0"/>
              </w:tabs>
              <w:rPr>
                <w:bCs/>
              </w:rPr>
            </w:pPr>
            <w:r w:rsidRPr="003F00AF">
              <w:rPr>
                <w:bCs/>
              </w:rPr>
              <w:t>Technical Assistance Loan</w:t>
            </w:r>
          </w:p>
        </w:tc>
      </w:tr>
      <w:bookmarkEnd w:id="1"/>
      <w:bookmarkEnd w:id="2"/>
    </w:tbl>
    <w:p w14:paraId="2BEBC0FA" w14:textId="77777777" w:rsidR="008E18F4" w:rsidRPr="003F00AF" w:rsidRDefault="008E18F4" w:rsidP="008E18F4">
      <w:pPr>
        <w:spacing w:line="200" w:lineRule="atLeast"/>
        <w:jc w:val="center"/>
        <w:rPr>
          <w:color w:val="000000"/>
          <w:sz w:val="22"/>
          <w:szCs w:val="22"/>
        </w:rPr>
      </w:pPr>
    </w:p>
    <w:p w14:paraId="0E570832" w14:textId="77777777" w:rsidR="008E18F4" w:rsidRPr="003F00AF" w:rsidRDefault="008E18F4" w:rsidP="008E18F4">
      <w:pPr>
        <w:spacing w:line="200" w:lineRule="atLeast"/>
        <w:jc w:val="center"/>
        <w:rPr>
          <w:color w:val="000000"/>
          <w:sz w:val="22"/>
          <w:szCs w:val="22"/>
        </w:rPr>
        <w:sectPr w:rsidR="008E18F4" w:rsidRPr="003F00AF" w:rsidSect="00FA4ABA">
          <w:footerReference w:type="default" r:id="rId12"/>
          <w:pgSz w:w="12240" w:h="15840" w:code="1"/>
          <w:pgMar w:top="1440" w:right="1440" w:bottom="1440" w:left="1440" w:header="720" w:footer="720" w:gutter="0"/>
          <w:pgNumType w:fmt="lowerRoman"/>
          <w:cols w:space="720"/>
          <w:docGrid w:linePitch="360"/>
        </w:sectPr>
      </w:pPr>
    </w:p>
    <w:p w14:paraId="3BE223AE" w14:textId="77777777" w:rsidR="008E18F4" w:rsidRPr="003F00AF" w:rsidRDefault="008E18F4" w:rsidP="008E18F4">
      <w:pPr>
        <w:spacing w:line="200" w:lineRule="atLeast"/>
        <w:jc w:val="center"/>
        <w:rPr>
          <w:color w:val="000000"/>
          <w:sz w:val="22"/>
          <w:szCs w:val="22"/>
        </w:rPr>
      </w:pPr>
    </w:p>
    <w:tbl>
      <w:tblPr>
        <w:tblpPr w:leftFromText="187" w:rightFromText="187" w:horzAnchor="margin" w:tblpXSpec="center" w:tblpYSpec="bottom"/>
        <w:tblOverlap w:val="never"/>
        <w:tblW w:w="9576"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4779"/>
        <w:gridCol w:w="4797"/>
      </w:tblGrid>
      <w:tr w:rsidR="008E18F4" w:rsidRPr="003F00AF" w14:paraId="43EC01C3" w14:textId="2798275C" w:rsidTr="009C3087">
        <w:trPr>
          <w:tblCellSpacing w:w="15" w:type="dxa"/>
        </w:trPr>
        <w:tc>
          <w:tcPr>
            <w:tcW w:w="2472" w:type="pct"/>
            <w:vAlign w:val="center"/>
          </w:tcPr>
          <w:p w14:paraId="703B3EEC" w14:textId="39593475" w:rsidR="008E18F4" w:rsidRPr="003F00AF" w:rsidRDefault="001B5638" w:rsidP="00FA4ABA">
            <w:pPr>
              <w:jc w:val="right"/>
            </w:pPr>
            <w:r>
              <w:rPr>
                <w:lang w:eastAsia="zh-TW"/>
              </w:rPr>
              <w:t xml:space="preserve">Sr. Global </w:t>
            </w:r>
            <w:r w:rsidR="008E18F4" w:rsidRPr="003F00AF">
              <w:rPr>
                <w:lang w:eastAsia="zh-TW"/>
              </w:rPr>
              <w:t>Practice Director:</w:t>
            </w:r>
          </w:p>
        </w:tc>
        <w:tc>
          <w:tcPr>
            <w:tcW w:w="2481" w:type="pct"/>
            <w:vAlign w:val="center"/>
          </w:tcPr>
          <w:p w14:paraId="2BE9D062" w14:textId="212EE5A8" w:rsidR="008E18F4" w:rsidRPr="003F00AF" w:rsidRDefault="005409E8" w:rsidP="00A45E20">
            <w:pPr>
              <w:rPr>
                <w:lang w:eastAsia="zh-TW"/>
              </w:rPr>
            </w:pPr>
            <w:r w:rsidRPr="003F00AF">
              <w:rPr>
                <w:lang w:eastAsia="zh-TW"/>
              </w:rPr>
              <w:t>Julia Bucknall</w:t>
            </w:r>
          </w:p>
        </w:tc>
      </w:tr>
      <w:tr w:rsidR="008E18F4" w:rsidRPr="003F00AF" w14:paraId="4F9A02BB" w14:textId="3E1A22F2" w:rsidTr="009C3087">
        <w:trPr>
          <w:tblCellSpacing w:w="15" w:type="dxa"/>
        </w:trPr>
        <w:tc>
          <w:tcPr>
            <w:tcW w:w="2472" w:type="pct"/>
            <w:vAlign w:val="center"/>
          </w:tcPr>
          <w:p w14:paraId="500C7E97" w14:textId="132AB995" w:rsidR="008E18F4" w:rsidRPr="003F00AF" w:rsidRDefault="008E18F4" w:rsidP="00FA4ABA">
            <w:pPr>
              <w:jc w:val="right"/>
              <w:rPr>
                <w:lang w:eastAsia="zh-TW"/>
              </w:rPr>
            </w:pPr>
            <w:r w:rsidRPr="003F00AF">
              <w:rPr>
                <w:lang w:eastAsia="zh-TW"/>
              </w:rPr>
              <w:t>Practice Manager:</w:t>
            </w:r>
          </w:p>
        </w:tc>
        <w:tc>
          <w:tcPr>
            <w:tcW w:w="2481" w:type="pct"/>
          </w:tcPr>
          <w:p w14:paraId="0A613E27" w14:textId="3C9B3B1B" w:rsidR="008E18F4" w:rsidRPr="003F00AF" w:rsidRDefault="008E18F4" w:rsidP="0099051E">
            <w:pPr>
              <w:rPr>
                <w:lang w:eastAsia="zh-TW"/>
              </w:rPr>
            </w:pPr>
            <w:r w:rsidRPr="003F00AF">
              <w:t>Ra</w:t>
            </w:r>
            <w:r w:rsidR="0099051E" w:rsidRPr="003F00AF">
              <w:t>ú</w:t>
            </w:r>
            <w:r w:rsidRPr="003F00AF">
              <w:t>l Alfaro</w:t>
            </w:r>
            <w:r w:rsidR="0099051E" w:rsidRPr="003F00AF">
              <w:t>-Pelico</w:t>
            </w:r>
          </w:p>
        </w:tc>
      </w:tr>
      <w:tr w:rsidR="008E18F4" w:rsidRPr="003F00AF" w14:paraId="19CC72B3" w14:textId="77777777" w:rsidTr="009C3087">
        <w:trPr>
          <w:tblCellSpacing w:w="15" w:type="dxa"/>
        </w:trPr>
        <w:tc>
          <w:tcPr>
            <w:tcW w:w="2472" w:type="pct"/>
            <w:vAlign w:val="center"/>
          </w:tcPr>
          <w:p w14:paraId="724EAEF9" w14:textId="2028C1C7" w:rsidR="008E18F4" w:rsidRPr="003F00AF" w:rsidRDefault="008E18F4" w:rsidP="00FA4ABA">
            <w:pPr>
              <w:jc w:val="right"/>
            </w:pPr>
            <w:r w:rsidRPr="003F00AF">
              <w:rPr>
                <w:lang w:eastAsia="zh-TW"/>
              </w:rPr>
              <w:t>Task Team Leader:</w:t>
            </w:r>
          </w:p>
        </w:tc>
        <w:tc>
          <w:tcPr>
            <w:tcW w:w="2481" w:type="pct"/>
          </w:tcPr>
          <w:p w14:paraId="4F9B7460" w14:textId="56CF5245" w:rsidR="008E18F4" w:rsidRPr="003F00AF" w:rsidRDefault="008E18F4" w:rsidP="0099051E">
            <w:pPr>
              <w:rPr>
                <w:lang w:eastAsia="zh-TW"/>
              </w:rPr>
            </w:pPr>
            <w:r w:rsidRPr="003F00AF">
              <w:t>Ernesto S</w:t>
            </w:r>
            <w:r w:rsidR="0099051E" w:rsidRPr="003F00AF">
              <w:t>á</w:t>
            </w:r>
            <w:r w:rsidR="0004425B">
              <w:t>nchez-Triana</w:t>
            </w:r>
          </w:p>
        </w:tc>
      </w:tr>
      <w:tr w:rsidR="008E18F4" w:rsidRPr="003F00AF" w14:paraId="651A47D6" w14:textId="0AA20B7F" w:rsidTr="009C3087">
        <w:trPr>
          <w:trHeight w:val="110"/>
          <w:tblCellSpacing w:w="15" w:type="dxa"/>
        </w:trPr>
        <w:tc>
          <w:tcPr>
            <w:tcW w:w="2472" w:type="pct"/>
            <w:vAlign w:val="center"/>
          </w:tcPr>
          <w:p w14:paraId="5358FF1D" w14:textId="313873B4" w:rsidR="008E18F4" w:rsidRPr="003F00AF" w:rsidRDefault="008E18F4" w:rsidP="00FA4ABA">
            <w:pPr>
              <w:jc w:val="right"/>
            </w:pPr>
            <w:r w:rsidRPr="003F00AF">
              <w:t>ICR Team Leader:</w:t>
            </w:r>
          </w:p>
        </w:tc>
        <w:tc>
          <w:tcPr>
            <w:tcW w:w="2481" w:type="pct"/>
          </w:tcPr>
          <w:p w14:paraId="183FDD52" w14:textId="3B31AD3B" w:rsidR="008E18F4" w:rsidRPr="003F00AF" w:rsidRDefault="0004425B" w:rsidP="006E526A">
            <w:r w:rsidRPr="003F00AF">
              <w:t>Ernesto Sá</w:t>
            </w:r>
            <w:r>
              <w:t>nchez-Triana</w:t>
            </w:r>
            <w:r w:rsidRPr="003F00AF">
              <w:t xml:space="preserve"> </w:t>
            </w:r>
            <w:r w:rsidR="006E526A">
              <w:t>/</w:t>
            </w:r>
          </w:p>
        </w:tc>
      </w:tr>
      <w:tr w:rsidR="006E526A" w:rsidRPr="003F00AF" w14:paraId="5D4D65F4" w14:textId="77777777" w:rsidTr="009C3087">
        <w:trPr>
          <w:tblCellSpacing w:w="15" w:type="dxa"/>
        </w:trPr>
        <w:tc>
          <w:tcPr>
            <w:tcW w:w="2472" w:type="pct"/>
            <w:vAlign w:val="center"/>
          </w:tcPr>
          <w:p w14:paraId="2E448197" w14:textId="77777777" w:rsidR="006E526A" w:rsidRPr="003F00AF" w:rsidRDefault="006E526A" w:rsidP="00FA4ABA">
            <w:pPr>
              <w:jc w:val="right"/>
            </w:pPr>
          </w:p>
        </w:tc>
        <w:tc>
          <w:tcPr>
            <w:tcW w:w="2481" w:type="pct"/>
          </w:tcPr>
          <w:p w14:paraId="152C3DD9" w14:textId="72AA47AF" w:rsidR="006E526A" w:rsidRPr="003F00AF" w:rsidRDefault="006E526A" w:rsidP="0004425B">
            <w:r w:rsidRPr="003F00AF">
              <w:t xml:space="preserve">Ana Luisa </w:t>
            </w:r>
            <w:r>
              <w:t xml:space="preserve">Gomes </w:t>
            </w:r>
            <w:r w:rsidRPr="003F00AF">
              <w:t>Lima</w:t>
            </w:r>
          </w:p>
        </w:tc>
      </w:tr>
    </w:tbl>
    <w:p w14:paraId="3C42CDA9" w14:textId="77777777" w:rsidR="008E18F4" w:rsidRPr="003F00AF" w:rsidRDefault="008E18F4" w:rsidP="008E18F4">
      <w:pPr>
        <w:tabs>
          <w:tab w:val="center" w:pos="4320"/>
          <w:tab w:val="left" w:pos="6700"/>
        </w:tabs>
        <w:jc w:val="center"/>
      </w:pPr>
    </w:p>
    <w:p w14:paraId="69D89BF7" w14:textId="77777777" w:rsidR="008E18F4" w:rsidRPr="003F00AF" w:rsidRDefault="008E18F4" w:rsidP="008E18F4">
      <w:pPr>
        <w:tabs>
          <w:tab w:val="center" w:pos="4320"/>
          <w:tab w:val="left" w:pos="6700"/>
        </w:tabs>
        <w:rPr>
          <w:b/>
          <w:color w:val="000000"/>
        </w:rPr>
        <w:sectPr w:rsidR="008E18F4" w:rsidRPr="003F00AF" w:rsidSect="00FA4ABA">
          <w:type w:val="continuous"/>
          <w:pgSz w:w="12240" w:h="15840" w:code="1"/>
          <w:pgMar w:top="1440" w:right="1440" w:bottom="1440" w:left="1440" w:header="720" w:footer="720" w:gutter="0"/>
          <w:pgNumType w:fmt="lowerRoman"/>
          <w:cols w:space="720"/>
          <w:docGrid w:linePitch="360"/>
        </w:sectPr>
      </w:pPr>
    </w:p>
    <w:p w14:paraId="35E44F30" w14:textId="77777777" w:rsidR="008E18F4" w:rsidRPr="003F00AF" w:rsidRDefault="008E18F4" w:rsidP="009E21D3">
      <w:pPr>
        <w:spacing w:after="240"/>
        <w:jc w:val="center"/>
        <w:rPr>
          <w:b/>
          <w:color w:val="000000"/>
        </w:rPr>
      </w:pPr>
      <w:r w:rsidRPr="003F00AF">
        <w:rPr>
          <w:b/>
          <w:color w:val="000000"/>
        </w:rPr>
        <w:t>REPUBLIC OF PERU</w:t>
      </w:r>
    </w:p>
    <w:p w14:paraId="12BEB2F7" w14:textId="1EB5C448" w:rsidR="008E18F4" w:rsidRPr="003F00AF" w:rsidRDefault="008E18F4" w:rsidP="008E18F4">
      <w:pPr>
        <w:spacing w:after="240"/>
        <w:jc w:val="center"/>
        <w:rPr>
          <w:b/>
          <w:color w:val="000000"/>
        </w:rPr>
      </w:pPr>
      <w:r w:rsidRPr="003F00AF">
        <w:rPr>
          <w:b/>
          <w:color w:val="000000"/>
        </w:rPr>
        <w:t>First, Second, and Third Environmental Development Policy Loans</w:t>
      </w:r>
    </w:p>
    <w:p w14:paraId="38E46EFE" w14:textId="77777777" w:rsidR="008E18F4" w:rsidRPr="003F00AF" w:rsidRDefault="008E18F4" w:rsidP="008E18F4">
      <w:pPr>
        <w:spacing w:before="240" w:after="240"/>
        <w:jc w:val="center"/>
        <w:rPr>
          <w:b/>
          <w:color w:val="000000"/>
        </w:rPr>
      </w:pPr>
      <w:r w:rsidRPr="003F00AF">
        <w:rPr>
          <w:b/>
          <w:color w:val="000000"/>
        </w:rPr>
        <w:t>CONTENTS</w:t>
      </w:r>
    </w:p>
    <w:tbl>
      <w:tblPr>
        <w:tblW w:w="5000" w:type="pct"/>
        <w:jc w:val="center"/>
        <w:tblCellMar>
          <w:top w:w="10" w:type="dxa"/>
          <w:left w:w="10" w:type="dxa"/>
          <w:bottom w:w="10" w:type="dxa"/>
          <w:right w:w="10" w:type="dxa"/>
        </w:tblCellMar>
        <w:tblLook w:val="0000" w:firstRow="0" w:lastRow="0" w:firstColumn="0" w:lastColumn="0" w:noHBand="0" w:noVBand="0"/>
      </w:tblPr>
      <w:tblGrid>
        <w:gridCol w:w="9360"/>
      </w:tblGrid>
      <w:tr w:rsidR="008E18F4" w:rsidRPr="003F00AF" w14:paraId="6F101C5E" w14:textId="77777777" w:rsidTr="00FA4ABA">
        <w:trPr>
          <w:jc w:val="center"/>
        </w:trPr>
        <w:tc>
          <w:tcPr>
            <w:tcW w:w="0" w:type="auto"/>
            <w:tcBorders>
              <w:top w:val="nil"/>
              <w:left w:val="nil"/>
              <w:bottom w:val="nil"/>
              <w:right w:val="nil"/>
            </w:tcBorders>
            <w:vAlign w:val="center"/>
          </w:tcPr>
          <w:p w14:paraId="2E82E822" w14:textId="77777777" w:rsidR="008E18F4" w:rsidRPr="003F00AF" w:rsidRDefault="008E18F4" w:rsidP="00FA4ABA">
            <w:pPr>
              <w:rPr>
                <w:sz w:val="22"/>
                <w:szCs w:val="22"/>
              </w:rPr>
            </w:pPr>
            <w:r w:rsidRPr="003F00AF">
              <w:rPr>
                <w:sz w:val="22"/>
                <w:szCs w:val="22"/>
              </w:rPr>
              <w:t>Data Sheet</w:t>
            </w:r>
          </w:p>
        </w:tc>
      </w:tr>
      <w:tr w:rsidR="008E18F4" w:rsidRPr="003F00AF" w14:paraId="729EC9DC" w14:textId="77777777" w:rsidTr="00FA4ABA">
        <w:trPr>
          <w:jc w:val="center"/>
        </w:trPr>
        <w:tc>
          <w:tcPr>
            <w:tcW w:w="0" w:type="auto"/>
            <w:tcBorders>
              <w:top w:val="nil"/>
              <w:left w:val="nil"/>
              <w:bottom w:val="nil"/>
              <w:right w:val="nil"/>
            </w:tcBorders>
            <w:vAlign w:val="center"/>
          </w:tcPr>
          <w:p w14:paraId="581D2EF1" w14:textId="416199FC" w:rsidR="008E18F4" w:rsidRPr="003F00AF" w:rsidRDefault="008E18F4" w:rsidP="00FA4ABA">
            <w:pPr>
              <w:tabs>
                <w:tab w:val="left" w:pos="380"/>
              </w:tabs>
              <w:rPr>
                <w:sz w:val="22"/>
                <w:szCs w:val="22"/>
              </w:rPr>
            </w:pPr>
            <w:r w:rsidRPr="003F00AF">
              <w:rPr>
                <w:sz w:val="22"/>
                <w:szCs w:val="22"/>
              </w:rPr>
              <w:tab/>
            </w:r>
            <w:hyperlink w:anchor="BASICINFO" w:history="1">
              <w:r w:rsidRPr="003F00AF">
                <w:rPr>
                  <w:sz w:val="22"/>
                  <w:szCs w:val="22"/>
                </w:rPr>
                <w:t>A. Basic Information</w:t>
              </w:r>
            </w:hyperlink>
          </w:p>
        </w:tc>
      </w:tr>
      <w:tr w:rsidR="008E18F4" w:rsidRPr="003F00AF" w14:paraId="7C8EB2FD" w14:textId="77777777" w:rsidTr="00FA4ABA">
        <w:trPr>
          <w:jc w:val="center"/>
        </w:trPr>
        <w:tc>
          <w:tcPr>
            <w:tcW w:w="0" w:type="auto"/>
            <w:tcBorders>
              <w:top w:val="nil"/>
              <w:left w:val="nil"/>
              <w:bottom w:val="nil"/>
              <w:right w:val="nil"/>
            </w:tcBorders>
            <w:vAlign w:val="center"/>
          </w:tcPr>
          <w:p w14:paraId="50B2F5DB" w14:textId="77777777" w:rsidR="008E18F4" w:rsidRPr="003F00AF" w:rsidRDefault="008E18F4" w:rsidP="00FA4ABA">
            <w:pPr>
              <w:tabs>
                <w:tab w:val="left" w:pos="380"/>
              </w:tabs>
              <w:rPr>
                <w:sz w:val="22"/>
                <w:szCs w:val="22"/>
              </w:rPr>
            </w:pPr>
            <w:r w:rsidRPr="003F00AF">
              <w:rPr>
                <w:sz w:val="22"/>
                <w:szCs w:val="22"/>
              </w:rPr>
              <w:tab/>
            </w:r>
            <w:hyperlink w:anchor="KeyDates" w:history="1">
              <w:r w:rsidRPr="003F00AF">
                <w:rPr>
                  <w:sz w:val="22"/>
                  <w:szCs w:val="22"/>
                </w:rPr>
                <w:t>B. Key Dates</w:t>
              </w:r>
            </w:hyperlink>
          </w:p>
        </w:tc>
      </w:tr>
      <w:tr w:rsidR="008E18F4" w:rsidRPr="003F00AF" w14:paraId="7D6F9D7C" w14:textId="77777777" w:rsidTr="00FA4ABA">
        <w:trPr>
          <w:jc w:val="center"/>
        </w:trPr>
        <w:tc>
          <w:tcPr>
            <w:tcW w:w="0" w:type="auto"/>
            <w:tcBorders>
              <w:top w:val="nil"/>
              <w:left w:val="nil"/>
              <w:bottom w:val="nil"/>
              <w:right w:val="nil"/>
            </w:tcBorders>
            <w:vAlign w:val="center"/>
          </w:tcPr>
          <w:p w14:paraId="09758B59" w14:textId="77777777" w:rsidR="008E18F4" w:rsidRPr="003F00AF" w:rsidRDefault="008E18F4" w:rsidP="00FA4ABA">
            <w:pPr>
              <w:tabs>
                <w:tab w:val="left" w:pos="380"/>
              </w:tabs>
              <w:rPr>
                <w:sz w:val="22"/>
                <w:szCs w:val="22"/>
              </w:rPr>
            </w:pPr>
            <w:r w:rsidRPr="003F00AF">
              <w:rPr>
                <w:sz w:val="22"/>
                <w:szCs w:val="22"/>
              </w:rPr>
              <w:tab/>
            </w:r>
            <w:hyperlink w:anchor="RatingsSummary" w:history="1">
              <w:r w:rsidRPr="003F00AF">
                <w:rPr>
                  <w:sz w:val="22"/>
                  <w:szCs w:val="22"/>
                </w:rPr>
                <w:t>C. Ratings Summary</w:t>
              </w:r>
            </w:hyperlink>
          </w:p>
        </w:tc>
      </w:tr>
      <w:tr w:rsidR="008E18F4" w:rsidRPr="003F00AF" w14:paraId="2BC2F460" w14:textId="77777777" w:rsidTr="00FA4ABA">
        <w:trPr>
          <w:jc w:val="center"/>
        </w:trPr>
        <w:tc>
          <w:tcPr>
            <w:tcW w:w="0" w:type="auto"/>
            <w:tcBorders>
              <w:top w:val="nil"/>
              <w:left w:val="nil"/>
              <w:bottom w:val="nil"/>
              <w:right w:val="nil"/>
            </w:tcBorders>
            <w:vAlign w:val="center"/>
          </w:tcPr>
          <w:p w14:paraId="3DF99B2D" w14:textId="77777777" w:rsidR="008E18F4" w:rsidRPr="003F00AF" w:rsidRDefault="008E18F4" w:rsidP="00FA4ABA">
            <w:pPr>
              <w:tabs>
                <w:tab w:val="left" w:pos="380"/>
              </w:tabs>
              <w:rPr>
                <w:sz w:val="22"/>
                <w:szCs w:val="22"/>
              </w:rPr>
            </w:pPr>
            <w:r w:rsidRPr="003F00AF">
              <w:rPr>
                <w:sz w:val="22"/>
                <w:szCs w:val="22"/>
              </w:rPr>
              <w:tab/>
            </w:r>
            <w:hyperlink w:anchor="SectorThemeCodes" w:history="1">
              <w:r w:rsidRPr="003F00AF">
                <w:rPr>
                  <w:sz w:val="22"/>
                  <w:szCs w:val="22"/>
                </w:rPr>
                <w:t>D. Sector and Theme Codes</w:t>
              </w:r>
            </w:hyperlink>
          </w:p>
        </w:tc>
      </w:tr>
      <w:tr w:rsidR="008E18F4" w:rsidRPr="003F00AF" w14:paraId="53C34E51" w14:textId="77777777" w:rsidTr="00FA4ABA">
        <w:trPr>
          <w:jc w:val="center"/>
        </w:trPr>
        <w:tc>
          <w:tcPr>
            <w:tcW w:w="0" w:type="auto"/>
            <w:tcBorders>
              <w:top w:val="nil"/>
              <w:left w:val="nil"/>
              <w:bottom w:val="nil"/>
              <w:right w:val="nil"/>
            </w:tcBorders>
            <w:vAlign w:val="center"/>
          </w:tcPr>
          <w:p w14:paraId="7125D758" w14:textId="77777777" w:rsidR="008E18F4" w:rsidRPr="003F00AF" w:rsidRDefault="008E18F4" w:rsidP="00FA4ABA">
            <w:pPr>
              <w:tabs>
                <w:tab w:val="left" w:pos="380"/>
              </w:tabs>
              <w:rPr>
                <w:sz w:val="22"/>
                <w:szCs w:val="22"/>
              </w:rPr>
            </w:pPr>
            <w:r w:rsidRPr="003F00AF">
              <w:rPr>
                <w:sz w:val="22"/>
                <w:szCs w:val="22"/>
              </w:rPr>
              <w:tab/>
            </w:r>
            <w:hyperlink w:anchor="BankStaff" w:history="1">
              <w:r w:rsidRPr="003F00AF">
                <w:rPr>
                  <w:sz w:val="22"/>
                  <w:szCs w:val="22"/>
                </w:rPr>
                <w:t>E. Bank Staff</w:t>
              </w:r>
            </w:hyperlink>
          </w:p>
        </w:tc>
      </w:tr>
      <w:tr w:rsidR="008E18F4" w:rsidRPr="003F00AF" w14:paraId="520E4DB3" w14:textId="77777777" w:rsidTr="00FA4ABA">
        <w:trPr>
          <w:jc w:val="center"/>
        </w:trPr>
        <w:tc>
          <w:tcPr>
            <w:tcW w:w="0" w:type="auto"/>
            <w:tcBorders>
              <w:top w:val="nil"/>
              <w:left w:val="nil"/>
              <w:bottom w:val="nil"/>
              <w:right w:val="nil"/>
            </w:tcBorders>
            <w:vAlign w:val="center"/>
          </w:tcPr>
          <w:p w14:paraId="06A0634E" w14:textId="77777777" w:rsidR="008E18F4" w:rsidRPr="003F00AF" w:rsidRDefault="008E18F4" w:rsidP="00FA4ABA">
            <w:pPr>
              <w:tabs>
                <w:tab w:val="left" w:pos="380"/>
              </w:tabs>
              <w:rPr>
                <w:sz w:val="22"/>
                <w:szCs w:val="22"/>
              </w:rPr>
            </w:pPr>
            <w:r w:rsidRPr="003F00AF">
              <w:rPr>
                <w:sz w:val="22"/>
                <w:szCs w:val="22"/>
              </w:rPr>
              <w:tab/>
            </w:r>
            <w:hyperlink w:anchor="ResultsFrameworkAnalysis" w:history="1">
              <w:r w:rsidRPr="003F00AF">
                <w:rPr>
                  <w:sz w:val="22"/>
                  <w:szCs w:val="22"/>
                </w:rPr>
                <w:t>F. Results Framework Analysis</w:t>
              </w:r>
            </w:hyperlink>
          </w:p>
        </w:tc>
      </w:tr>
      <w:tr w:rsidR="008E18F4" w:rsidRPr="003F00AF" w14:paraId="4B330752" w14:textId="77777777" w:rsidTr="00CC6101">
        <w:trPr>
          <w:trHeight w:val="70"/>
          <w:jc w:val="center"/>
        </w:trPr>
        <w:tc>
          <w:tcPr>
            <w:tcW w:w="0" w:type="auto"/>
            <w:tcBorders>
              <w:top w:val="nil"/>
              <w:left w:val="nil"/>
              <w:bottom w:val="nil"/>
              <w:right w:val="nil"/>
            </w:tcBorders>
            <w:vAlign w:val="center"/>
          </w:tcPr>
          <w:p w14:paraId="6F8AA2BA" w14:textId="77777777" w:rsidR="008E18F4" w:rsidRPr="003F00AF" w:rsidRDefault="008E18F4" w:rsidP="00FA4ABA">
            <w:pPr>
              <w:tabs>
                <w:tab w:val="left" w:pos="380"/>
              </w:tabs>
              <w:rPr>
                <w:sz w:val="22"/>
                <w:szCs w:val="22"/>
              </w:rPr>
            </w:pPr>
            <w:r w:rsidRPr="003F00AF">
              <w:rPr>
                <w:sz w:val="22"/>
                <w:szCs w:val="22"/>
              </w:rPr>
              <w:tab/>
            </w:r>
            <w:hyperlink w:anchor="Ratings_inISRs" w:history="1">
              <w:r w:rsidRPr="003F00AF">
                <w:rPr>
                  <w:sz w:val="22"/>
                  <w:szCs w:val="22"/>
                </w:rPr>
                <w:t>G. Ratings of Project Performance in ISRs</w:t>
              </w:r>
            </w:hyperlink>
          </w:p>
          <w:p w14:paraId="09C7A5DF" w14:textId="7BD96CFB" w:rsidR="00B537E1" w:rsidRPr="003F00AF" w:rsidRDefault="005D2AA4" w:rsidP="00B537E1">
            <w:pPr>
              <w:tabs>
                <w:tab w:val="left" w:pos="380"/>
              </w:tabs>
              <w:ind w:firstLine="350"/>
              <w:rPr>
                <w:sz w:val="22"/>
                <w:szCs w:val="22"/>
              </w:rPr>
            </w:pPr>
            <w:r>
              <w:rPr>
                <w:sz w:val="22"/>
                <w:szCs w:val="22"/>
              </w:rPr>
              <w:t xml:space="preserve"> </w:t>
            </w:r>
            <w:r w:rsidR="00B537E1" w:rsidRPr="003F00AF">
              <w:rPr>
                <w:sz w:val="22"/>
                <w:szCs w:val="22"/>
              </w:rPr>
              <w:t>H. Restructuring</w:t>
            </w:r>
          </w:p>
        </w:tc>
      </w:tr>
      <w:tr w:rsidR="00B537E1" w:rsidRPr="003F00AF" w14:paraId="497126E7" w14:textId="77777777" w:rsidTr="00FA4ABA">
        <w:trPr>
          <w:jc w:val="center"/>
        </w:trPr>
        <w:tc>
          <w:tcPr>
            <w:tcW w:w="0" w:type="auto"/>
            <w:tcBorders>
              <w:top w:val="nil"/>
              <w:left w:val="nil"/>
              <w:bottom w:val="nil"/>
              <w:right w:val="nil"/>
            </w:tcBorders>
            <w:vAlign w:val="center"/>
          </w:tcPr>
          <w:p w14:paraId="338326B8" w14:textId="77777777" w:rsidR="00B537E1" w:rsidRPr="003F00AF" w:rsidRDefault="00B537E1" w:rsidP="00FA4ABA">
            <w:pPr>
              <w:tabs>
                <w:tab w:val="left" w:pos="380"/>
              </w:tabs>
              <w:rPr>
                <w:sz w:val="22"/>
                <w:szCs w:val="22"/>
              </w:rPr>
            </w:pPr>
          </w:p>
        </w:tc>
      </w:tr>
    </w:tbl>
    <w:p w14:paraId="6B6C9B13" w14:textId="77777777" w:rsidR="008E18F4" w:rsidRPr="003F00AF" w:rsidRDefault="008E18F4" w:rsidP="008E18F4">
      <w:pPr>
        <w:tabs>
          <w:tab w:val="left" w:pos="350"/>
        </w:tabs>
        <w:spacing w:line="160" w:lineRule="atLeast"/>
        <w:rPr>
          <w:sz w:val="22"/>
          <w:szCs w:val="22"/>
        </w:rPr>
      </w:pPr>
    </w:p>
    <w:sdt>
      <w:sdtPr>
        <w:id w:val="-1104333224"/>
        <w:docPartObj>
          <w:docPartGallery w:val="Table of Contents"/>
          <w:docPartUnique/>
        </w:docPartObj>
      </w:sdtPr>
      <w:sdtEndPr>
        <w:rPr>
          <w:b/>
          <w:bCs/>
          <w:noProof/>
        </w:rPr>
      </w:sdtEndPr>
      <w:sdtContent>
        <w:p w14:paraId="1238EFF8" w14:textId="77777777" w:rsidR="005D2AA4" w:rsidRDefault="008E18F4">
          <w:pPr>
            <w:pStyle w:val="TOC1"/>
            <w:tabs>
              <w:tab w:val="left" w:pos="480"/>
              <w:tab w:val="right" w:leader="dot" w:pos="9350"/>
            </w:tabs>
            <w:rPr>
              <w:rFonts w:asciiTheme="minorHAnsi" w:eastAsiaTheme="minorEastAsia" w:hAnsiTheme="minorHAnsi" w:cstheme="minorBidi"/>
              <w:noProof/>
              <w:sz w:val="22"/>
              <w:szCs w:val="22"/>
              <w:lang w:eastAsia="en-US"/>
            </w:rPr>
          </w:pPr>
          <w:r w:rsidRPr="003F00AF">
            <w:fldChar w:fldCharType="begin"/>
          </w:r>
          <w:r w:rsidRPr="003F00AF">
            <w:instrText xml:space="preserve"> TOC \o "1-3" \h \z \u </w:instrText>
          </w:r>
          <w:r w:rsidRPr="003F00AF">
            <w:fldChar w:fldCharType="separate"/>
          </w:r>
          <w:hyperlink w:anchor="_Toc463040012" w:history="1">
            <w:r w:rsidR="005D2AA4" w:rsidRPr="0030274A">
              <w:rPr>
                <w:rStyle w:val="Hyperlink"/>
                <w:noProof/>
              </w:rPr>
              <w:t>1.</w:t>
            </w:r>
            <w:r w:rsidR="005D2AA4">
              <w:rPr>
                <w:rFonts w:asciiTheme="minorHAnsi" w:eastAsiaTheme="minorEastAsia" w:hAnsiTheme="minorHAnsi" w:cstheme="minorBidi"/>
                <w:noProof/>
                <w:sz w:val="22"/>
                <w:szCs w:val="22"/>
                <w:lang w:eastAsia="en-US"/>
              </w:rPr>
              <w:tab/>
            </w:r>
            <w:r w:rsidR="005D2AA4" w:rsidRPr="0030274A">
              <w:rPr>
                <w:rStyle w:val="Hyperlink"/>
                <w:noProof/>
              </w:rPr>
              <w:t>Program Context, Development Objectives and Design</w:t>
            </w:r>
            <w:r w:rsidR="005D2AA4">
              <w:rPr>
                <w:noProof/>
                <w:webHidden/>
              </w:rPr>
              <w:tab/>
            </w:r>
            <w:r w:rsidR="005D2AA4">
              <w:rPr>
                <w:noProof/>
                <w:webHidden/>
              </w:rPr>
              <w:fldChar w:fldCharType="begin"/>
            </w:r>
            <w:r w:rsidR="005D2AA4">
              <w:rPr>
                <w:noProof/>
                <w:webHidden/>
              </w:rPr>
              <w:instrText xml:space="preserve"> PAGEREF _Toc463040012 \h </w:instrText>
            </w:r>
            <w:r w:rsidR="005D2AA4">
              <w:rPr>
                <w:noProof/>
                <w:webHidden/>
              </w:rPr>
            </w:r>
            <w:r w:rsidR="005D2AA4">
              <w:rPr>
                <w:noProof/>
                <w:webHidden/>
              </w:rPr>
              <w:fldChar w:fldCharType="separate"/>
            </w:r>
            <w:r w:rsidR="005D2AA4">
              <w:rPr>
                <w:noProof/>
                <w:webHidden/>
              </w:rPr>
              <w:t>1</w:t>
            </w:r>
            <w:r w:rsidR="005D2AA4">
              <w:rPr>
                <w:noProof/>
                <w:webHidden/>
              </w:rPr>
              <w:fldChar w:fldCharType="end"/>
            </w:r>
          </w:hyperlink>
        </w:p>
        <w:p w14:paraId="2D5ABBE3" w14:textId="77777777" w:rsidR="005D2AA4" w:rsidRDefault="005D2AA4">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3040013" w:history="1">
            <w:r w:rsidRPr="0030274A">
              <w:rPr>
                <w:rStyle w:val="Hyperlink"/>
                <w:noProof/>
              </w:rPr>
              <w:t>2.</w:t>
            </w:r>
            <w:r>
              <w:rPr>
                <w:rFonts w:asciiTheme="minorHAnsi" w:eastAsiaTheme="minorEastAsia" w:hAnsiTheme="minorHAnsi" w:cstheme="minorBidi"/>
                <w:noProof/>
                <w:sz w:val="22"/>
                <w:szCs w:val="22"/>
                <w:lang w:eastAsia="en-US"/>
              </w:rPr>
              <w:tab/>
            </w:r>
            <w:r w:rsidRPr="0030274A">
              <w:rPr>
                <w:rStyle w:val="Hyperlink"/>
                <w:noProof/>
              </w:rPr>
              <w:t>Key Factors Affecting Implementation and Outcomes</w:t>
            </w:r>
            <w:r>
              <w:rPr>
                <w:noProof/>
                <w:webHidden/>
              </w:rPr>
              <w:tab/>
            </w:r>
            <w:r>
              <w:rPr>
                <w:noProof/>
                <w:webHidden/>
              </w:rPr>
              <w:fldChar w:fldCharType="begin"/>
            </w:r>
            <w:r>
              <w:rPr>
                <w:noProof/>
                <w:webHidden/>
              </w:rPr>
              <w:instrText xml:space="preserve"> PAGEREF _Toc463040013 \h </w:instrText>
            </w:r>
            <w:r>
              <w:rPr>
                <w:noProof/>
                <w:webHidden/>
              </w:rPr>
            </w:r>
            <w:r>
              <w:rPr>
                <w:noProof/>
                <w:webHidden/>
              </w:rPr>
              <w:fldChar w:fldCharType="separate"/>
            </w:r>
            <w:r>
              <w:rPr>
                <w:noProof/>
                <w:webHidden/>
              </w:rPr>
              <w:t>7</w:t>
            </w:r>
            <w:r>
              <w:rPr>
                <w:noProof/>
                <w:webHidden/>
              </w:rPr>
              <w:fldChar w:fldCharType="end"/>
            </w:r>
          </w:hyperlink>
        </w:p>
        <w:p w14:paraId="0CE6AF30" w14:textId="77777777" w:rsidR="005D2AA4" w:rsidRDefault="005D2AA4">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3040014" w:history="1">
            <w:r w:rsidRPr="0030274A">
              <w:rPr>
                <w:rStyle w:val="Hyperlink"/>
                <w:noProof/>
              </w:rPr>
              <w:t>3.</w:t>
            </w:r>
            <w:r>
              <w:rPr>
                <w:rFonts w:asciiTheme="minorHAnsi" w:eastAsiaTheme="minorEastAsia" w:hAnsiTheme="minorHAnsi" w:cstheme="minorBidi"/>
                <w:noProof/>
                <w:sz w:val="22"/>
                <w:szCs w:val="22"/>
                <w:lang w:eastAsia="en-US"/>
              </w:rPr>
              <w:tab/>
            </w:r>
            <w:r w:rsidRPr="0030274A">
              <w:rPr>
                <w:rStyle w:val="Hyperlink"/>
                <w:noProof/>
              </w:rPr>
              <w:t>Assessment of Outcomes</w:t>
            </w:r>
            <w:r>
              <w:rPr>
                <w:noProof/>
                <w:webHidden/>
              </w:rPr>
              <w:tab/>
            </w:r>
            <w:r>
              <w:rPr>
                <w:noProof/>
                <w:webHidden/>
              </w:rPr>
              <w:fldChar w:fldCharType="begin"/>
            </w:r>
            <w:r>
              <w:rPr>
                <w:noProof/>
                <w:webHidden/>
              </w:rPr>
              <w:instrText xml:space="preserve"> PAGEREF _Toc463040014 \h </w:instrText>
            </w:r>
            <w:r>
              <w:rPr>
                <w:noProof/>
                <w:webHidden/>
              </w:rPr>
            </w:r>
            <w:r>
              <w:rPr>
                <w:noProof/>
                <w:webHidden/>
              </w:rPr>
              <w:fldChar w:fldCharType="separate"/>
            </w:r>
            <w:r>
              <w:rPr>
                <w:noProof/>
                <w:webHidden/>
              </w:rPr>
              <w:t>13</w:t>
            </w:r>
            <w:r>
              <w:rPr>
                <w:noProof/>
                <w:webHidden/>
              </w:rPr>
              <w:fldChar w:fldCharType="end"/>
            </w:r>
          </w:hyperlink>
        </w:p>
        <w:p w14:paraId="08DB6F00" w14:textId="77777777" w:rsidR="005D2AA4" w:rsidRDefault="005D2AA4">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3040015" w:history="1">
            <w:r w:rsidRPr="0030274A">
              <w:rPr>
                <w:rStyle w:val="Hyperlink"/>
                <w:noProof/>
              </w:rPr>
              <w:t>4.</w:t>
            </w:r>
            <w:r>
              <w:rPr>
                <w:rFonts w:asciiTheme="minorHAnsi" w:eastAsiaTheme="minorEastAsia" w:hAnsiTheme="minorHAnsi" w:cstheme="minorBidi"/>
                <w:noProof/>
                <w:sz w:val="22"/>
                <w:szCs w:val="22"/>
                <w:lang w:eastAsia="en-US"/>
              </w:rPr>
              <w:tab/>
            </w:r>
            <w:r w:rsidRPr="0030274A">
              <w:rPr>
                <w:rStyle w:val="Hyperlink"/>
                <w:noProof/>
              </w:rPr>
              <w:t>Assessment of Risk to Development Outcome</w:t>
            </w:r>
            <w:r>
              <w:rPr>
                <w:noProof/>
                <w:webHidden/>
              </w:rPr>
              <w:tab/>
            </w:r>
            <w:r>
              <w:rPr>
                <w:noProof/>
                <w:webHidden/>
              </w:rPr>
              <w:fldChar w:fldCharType="begin"/>
            </w:r>
            <w:r>
              <w:rPr>
                <w:noProof/>
                <w:webHidden/>
              </w:rPr>
              <w:instrText xml:space="preserve"> PAGEREF _Toc463040015 \h </w:instrText>
            </w:r>
            <w:r>
              <w:rPr>
                <w:noProof/>
                <w:webHidden/>
              </w:rPr>
            </w:r>
            <w:r>
              <w:rPr>
                <w:noProof/>
                <w:webHidden/>
              </w:rPr>
              <w:fldChar w:fldCharType="separate"/>
            </w:r>
            <w:r>
              <w:rPr>
                <w:noProof/>
                <w:webHidden/>
              </w:rPr>
              <w:t>28</w:t>
            </w:r>
            <w:r>
              <w:rPr>
                <w:noProof/>
                <w:webHidden/>
              </w:rPr>
              <w:fldChar w:fldCharType="end"/>
            </w:r>
          </w:hyperlink>
        </w:p>
        <w:p w14:paraId="653E0D11" w14:textId="77777777" w:rsidR="005D2AA4" w:rsidRDefault="005D2AA4">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3040016" w:history="1">
            <w:r w:rsidRPr="0030274A">
              <w:rPr>
                <w:rStyle w:val="Hyperlink"/>
                <w:noProof/>
              </w:rPr>
              <w:t>5.</w:t>
            </w:r>
            <w:r>
              <w:rPr>
                <w:rFonts w:asciiTheme="minorHAnsi" w:eastAsiaTheme="minorEastAsia" w:hAnsiTheme="minorHAnsi" w:cstheme="minorBidi"/>
                <w:noProof/>
                <w:sz w:val="22"/>
                <w:szCs w:val="22"/>
                <w:lang w:eastAsia="en-US"/>
              </w:rPr>
              <w:tab/>
            </w:r>
            <w:r w:rsidRPr="0030274A">
              <w:rPr>
                <w:rStyle w:val="Hyperlink"/>
                <w:noProof/>
              </w:rPr>
              <w:t>Assessment of Bank and Borrower Performance</w:t>
            </w:r>
            <w:r>
              <w:rPr>
                <w:noProof/>
                <w:webHidden/>
              </w:rPr>
              <w:tab/>
            </w:r>
            <w:r>
              <w:rPr>
                <w:noProof/>
                <w:webHidden/>
              </w:rPr>
              <w:fldChar w:fldCharType="begin"/>
            </w:r>
            <w:r>
              <w:rPr>
                <w:noProof/>
                <w:webHidden/>
              </w:rPr>
              <w:instrText xml:space="preserve"> PAGEREF _Toc463040016 \h </w:instrText>
            </w:r>
            <w:r>
              <w:rPr>
                <w:noProof/>
                <w:webHidden/>
              </w:rPr>
            </w:r>
            <w:r>
              <w:rPr>
                <w:noProof/>
                <w:webHidden/>
              </w:rPr>
              <w:fldChar w:fldCharType="separate"/>
            </w:r>
            <w:r>
              <w:rPr>
                <w:noProof/>
                <w:webHidden/>
              </w:rPr>
              <w:t>28</w:t>
            </w:r>
            <w:r>
              <w:rPr>
                <w:noProof/>
                <w:webHidden/>
              </w:rPr>
              <w:fldChar w:fldCharType="end"/>
            </w:r>
          </w:hyperlink>
        </w:p>
        <w:p w14:paraId="18883C9D" w14:textId="77777777" w:rsidR="005D2AA4" w:rsidRDefault="005D2AA4">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3040017" w:history="1">
            <w:r w:rsidRPr="0030274A">
              <w:rPr>
                <w:rStyle w:val="Hyperlink"/>
                <w:noProof/>
              </w:rPr>
              <w:t>6.</w:t>
            </w:r>
            <w:r>
              <w:rPr>
                <w:rFonts w:asciiTheme="minorHAnsi" w:eastAsiaTheme="minorEastAsia" w:hAnsiTheme="minorHAnsi" w:cstheme="minorBidi"/>
                <w:noProof/>
                <w:sz w:val="22"/>
                <w:szCs w:val="22"/>
                <w:lang w:eastAsia="en-US"/>
              </w:rPr>
              <w:tab/>
            </w:r>
            <w:r w:rsidRPr="0030274A">
              <w:rPr>
                <w:rStyle w:val="Hyperlink"/>
                <w:noProof/>
              </w:rPr>
              <w:t>Lessons Learned</w:t>
            </w:r>
            <w:r>
              <w:rPr>
                <w:noProof/>
                <w:webHidden/>
              </w:rPr>
              <w:tab/>
            </w:r>
            <w:r>
              <w:rPr>
                <w:noProof/>
                <w:webHidden/>
              </w:rPr>
              <w:fldChar w:fldCharType="begin"/>
            </w:r>
            <w:r>
              <w:rPr>
                <w:noProof/>
                <w:webHidden/>
              </w:rPr>
              <w:instrText xml:space="preserve"> PAGEREF _Toc463040017 \h </w:instrText>
            </w:r>
            <w:r>
              <w:rPr>
                <w:noProof/>
                <w:webHidden/>
              </w:rPr>
            </w:r>
            <w:r>
              <w:rPr>
                <w:noProof/>
                <w:webHidden/>
              </w:rPr>
              <w:fldChar w:fldCharType="separate"/>
            </w:r>
            <w:r>
              <w:rPr>
                <w:noProof/>
                <w:webHidden/>
              </w:rPr>
              <w:t>31</w:t>
            </w:r>
            <w:r>
              <w:rPr>
                <w:noProof/>
                <w:webHidden/>
              </w:rPr>
              <w:fldChar w:fldCharType="end"/>
            </w:r>
          </w:hyperlink>
        </w:p>
        <w:p w14:paraId="3D8A1B0B" w14:textId="77777777" w:rsidR="005D2AA4" w:rsidRDefault="005D2AA4">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3040018" w:history="1">
            <w:r w:rsidRPr="0030274A">
              <w:rPr>
                <w:rStyle w:val="Hyperlink"/>
                <w:noProof/>
              </w:rPr>
              <w:t>7.</w:t>
            </w:r>
            <w:r>
              <w:rPr>
                <w:rFonts w:asciiTheme="minorHAnsi" w:eastAsiaTheme="minorEastAsia" w:hAnsiTheme="minorHAnsi" w:cstheme="minorBidi"/>
                <w:noProof/>
                <w:sz w:val="22"/>
                <w:szCs w:val="22"/>
                <w:lang w:eastAsia="en-US"/>
              </w:rPr>
              <w:tab/>
            </w:r>
            <w:r w:rsidRPr="0030274A">
              <w:rPr>
                <w:rStyle w:val="Hyperlink"/>
                <w:noProof/>
              </w:rPr>
              <w:t>Comments on Issues Raised by Borrower/Implementing Agencies/Partners</w:t>
            </w:r>
            <w:r>
              <w:rPr>
                <w:noProof/>
                <w:webHidden/>
              </w:rPr>
              <w:tab/>
            </w:r>
            <w:r>
              <w:rPr>
                <w:noProof/>
                <w:webHidden/>
              </w:rPr>
              <w:fldChar w:fldCharType="begin"/>
            </w:r>
            <w:r>
              <w:rPr>
                <w:noProof/>
                <w:webHidden/>
              </w:rPr>
              <w:instrText xml:space="preserve"> PAGEREF _Toc463040018 \h </w:instrText>
            </w:r>
            <w:r>
              <w:rPr>
                <w:noProof/>
                <w:webHidden/>
              </w:rPr>
            </w:r>
            <w:r>
              <w:rPr>
                <w:noProof/>
                <w:webHidden/>
              </w:rPr>
              <w:fldChar w:fldCharType="separate"/>
            </w:r>
            <w:r>
              <w:rPr>
                <w:noProof/>
                <w:webHidden/>
              </w:rPr>
              <w:t>36</w:t>
            </w:r>
            <w:r>
              <w:rPr>
                <w:noProof/>
                <w:webHidden/>
              </w:rPr>
              <w:fldChar w:fldCharType="end"/>
            </w:r>
          </w:hyperlink>
        </w:p>
        <w:p w14:paraId="763C3DD3" w14:textId="77777777" w:rsidR="005D2AA4" w:rsidRDefault="005D2AA4">
          <w:pPr>
            <w:pStyle w:val="TOC2"/>
            <w:rPr>
              <w:rFonts w:asciiTheme="minorHAnsi" w:eastAsiaTheme="minorEastAsia" w:hAnsiTheme="minorHAnsi" w:cstheme="minorBidi"/>
              <w:sz w:val="22"/>
              <w:szCs w:val="22"/>
              <w:lang w:eastAsia="en-US"/>
            </w:rPr>
          </w:pPr>
          <w:hyperlink w:anchor="_Toc463040019" w:history="1">
            <w:r w:rsidRPr="0030274A">
              <w:rPr>
                <w:rStyle w:val="Hyperlink"/>
              </w:rPr>
              <w:t>Annex 1. Bank Lending and Implementation Support/Supervision Processes</w:t>
            </w:r>
            <w:r>
              <w:rPr>
                <w:webHidden/>
              </w:rPr>
              <w:tab/>
            </w:r>
            <w:r>
              <w:rPr>
                <w:webHidden/>
              </w:rPr>
              <w:fldChar w:fldCharType="begin"/>
            </w:r>
            <w:r>
              <w:rPr>
                <w:webHidden/>
              </w:rPr>
              <w:instrText xml:space="preserve"> PAGEREF _Toc463040019 \h </w:instrText>
            </w:r>
            <w:r>
              <w:rPr>
                <w:webHidden/>
              </w:rPr>
            </w:r>
            <w:r>
              <w:rPr>
                <w:webHidden/>
              </w:rPr>
              <w:fldChar w:fldCharType="separate"/>
            </w:r>
            <w:r>
              <w:rPr>
                <w:webHidden/>
              </w:rPr>
              <w:t>37</w:t>
            </w:r>
            <w:r>
              <w:rPr>
                <w:webHidden/>
              </w:rPr>
              <w:fldChar w:fldCharType="end"/>
            </w:r>
          </w:hyperlink>
        </w:p>
        <w:p w14:paraId="001CB6C6" w14:textId="77777777" w:rsidR="005D2AA4" w:rsidRDefault="005D2AA4">
          <w:pPr>
            <w:pStyle w:val="TOC1"/>
            <w:tabs>
              <w:tab w:val="right" w:leader="dot" w:pos="9350"/>
            </w:tabs>
            <w:rPr>
              <w:rFonts w:asciiTheme="minorHAnsi" w:eastAsiaTheme="minorEastAsia" w:hAnsiTheme="minorHAnsi" w:cstheme="minorBidi"/>
              <w:noProof/>
              <w:sz w:val="22"/>
              <w:szCs w:val="22"/>
              <w:lang w:eastAsia="en-US"/>
            </w:rPr>
          </w:pPr>
          <w:hyperlink w:anchor="_Toc463040020" w:history="1">
            <w:r w:rsidRPr="0030274A">
              <w:rPr>
                <w:rStyle w:val="Hyperlink"/>
                <w:noProof/>
              </w:rPr>
              <w:t>Annex 2. Borrower’s Comments on Draft ICR</w:t>
            </w:r>
            <w:r>
              <w:rPr>
                <w:noProof/>
                <w:webHidden/>
              </w:rPr>
              <w:tab/>
            </w:r>
            <w:r>
              <w:rPr>
                <w:noProof/>
                <w:webHidden/>
              </w:rPr>
              <w:fldChar w:fldCharType="begin"/>
            </w:r>
            <w:r>
              <w:rPr>
                <w:noProof/>
                <w:webHidden/>
              </w:rPr>
              <w:instrText xml:space="preserve"> PAGEREF _Toc463040020 \h </w:instrText>
            </w:r>
            <w:r>
              <w:rPr>
                <w:noProof/>
                <w:webHidden/>
              </w:rPr>
            </w:r>
            <w:r>
              <w:rPr>
                <w:noProof/>
                <w:webHidden/>
              </w:rPr>
              <w:fldChar w:fldCharType="separate"/>
            </w:r>
            <w:r>
              <w:rPr>
                <w:noProof/>
                <w:webHidden/>
              </w:rPr>
              <w:t>41</w:t>
            </w:r>
            <w:r>
              <w:rPr>
                <w:noProof/>
                <w:webHidden/>
              </w:rPr>
              <w:fldChar w:fldCharType="end"/>
            </w:r>
          </w:hyperlink>
        </w:p>
        <w:p w14:paraId="689C8BCA" w14:textId="77777777" w:rsidR="005D2AA4" w:rsidRDefault="005D2AA4">
          <w:pPr>
            <w:pStyle w:val="TOC1"/>
            <w:tabs>
              <w:tab w:val="right" w:leader="dot" w:pos="9350"/>
            </w:tabs>
            <w:rPr>
              <w:rFonts w:asciiTheme="minorHAnsi" w:eastAsiaTheme="minorEastAsia" w:hAnsiTheme="minorHAnsi" w:cstheme="minorBidi"/>
              <w:noProof/>
              <w:sz w:val="22"/>
              <w:szCs w:val="22"/>
              <w:lang w:eastAsia="en-US"/>
            </w:rPr>
          </w:pPr>
          <w:hyperlink w:anchor="_Toc463040021" w:history="1">
            <w:r w:rsidRPr="0030274A">
              <w:rPr>
                <w:rStyle w:val="Hyperlink"/>
                <w:noProof/>
              </w:rPr>
              <w:t>Annex 3. Status of PDO Indicators throughout the Programmatic Series</w:t>
            </w:r>
            <w:r>
              <w:rPr>
                <w:noProof/>
                <w:webHidden/>
              </w:rPr>
              <w:tab/>
            </w:r>
            <w:r>
              <w:rPr>
                <w:noProof/>
                <w:webHidden/>
              </w:rPr>
              <w:fldChar w:fldCharType="begin"/>
            </w:r>
            <w:r>
              <w:rPr>
                <w:noProof/>
                <w:webHidden/>
              </w:rPr>
              <w:instrText xml:space="preserve"> PAGEREF _Toc463040021 \h </w:instrText>
            </w:r>
            <w:r>
              <w:rPr>
                <w:noProof/>
                <w:webHidden/>
              </w:rPr>
            </w:r>
            <w:r>
              <w:rPr>
                <w:noProof/>
                <w:webHidden/>
              </w:rPr>
              <w:fldChar w:fldCharType="separate"/>
            </w:r>
            <w:r>
              <w:rPr>
                <w:noProof/>
                <w:webHidden/>
              </w:rPr>
              <w:t>50</w:t>
            </w:r>
            <w:r>
              <w:rPr>
                <w:noProof/>
                <w:webHidden/>
              </w:rPr>
              <w:fldChar w:fldCharType="end"/>
            </w:r>
          </w:hyperlink>
        </w:p>
        <w:p w14:paraId="58ABB79F" w14:textId="77777777" w:rsidR="005D2AA4" w:rsidRDefault="005D2AA4">
          <w:pPr>
            <w:pStyle w:val="TOC1"/>
            <w:tabs>
              <w:tab w:val="right" w:leader="dot" w:pos="9350"/>
            </w:tabs>
            <w:rPr>
              <w:rFonts w:asciiTheme="minorHAnsi" w:eastAsiaTheme="minorEastAsia" w:hAnsiTheme="minorHAnsi" w:cstheme="minorBidi"/>
              <w:noProof/>
              <w:sz w:val="22"/>
              <w:szCs w:val="22"/>
              <w:lang w:eastAsia="en-US"/>
            </w:rPr>
          </w:pPr>
          <w:hyperlink w:anchor="_Toc463040022" w:history="1">
            <w:r w:rsidRPr="0030274A">
              <w:rPr>
                <w:rStyle w:val="Hyperlink"/>
                <w:noProof/>
              </w:rPr>
              <w:t>Annex 4. Milestones in Environmental Policy and Institutions (2008-2014)</w:t>
            </w:r>
            <w:r>
              <w:rPr>
                <w:noProof/>
                <w:webHidden/>
              </w:rPr>
              <w:tab/>
            </w:r>
            <w:r>
              <w:rPr>
                <w:noProof/>
                <w:webHidden/>
              </w:rPr>
              <w:fldChar w:fldCharType="begin"/>
            </w:r>
            <w:r>
              <w:rPr>
                <w:noProof/>
                <w:webHidden/>
              </w:rPr>
              <w:instrText xml:space="preserve"> PAGEREF _Toc463040022 \h </w:instrText>
            </w:r>
            <w:r>
              <w:rPr>
                <w:noProof/>
                <w:webHidden/>
              </w:rPr>
            </w:r>
            <w:r>
              <w:rPr>
                <w:noProof/>
                <w:webHidden/>
              </w:rPr>
              <w:fldChar w:fldCharType="separate"/>
            </w:r>
            <w:r>
              <w:rPr>
                <w:noProof/>
                <w:webHidden/>
              </w:rPr>
              <w:t>53</w:t>
            </w:r>
            <w:r>
              <w:rPr>
                <w:noProof/>
                <w:webHidden/>
              </w:rPr>
              <w:fldChar w:fldCharType="end"/>
            </w:r>
          </w:hyperlink>
        </w:p>
        <w:p w14:paraId="4EB044EC" w14:textId="77777777" w:rsidR="005D2AA4" w:rsidRDefault="005D2AA4">
          <w:pPr>
            <w:pStyle w:val="TOC1"/>
            <w:tabs>
              <w:tab w:val="right" w:leader="dot" w:pos="9350"/>
            </w:tabs>
            <w:rPr>
              <w:rFonts w:asciiTheme="minorHAnsi" w:eastAsiaTheme="minorEastAsia" w:hAnsiTheme="minorHAnsi" w:cstheme="minorBidi"/>
              <w:noProof/>
              <w:sz w:val="22"/>
              <w:szCs w:val="22"/>
              <w:lang w:eastAsia="en-US"/>
            </w:rPr>
          </w:pPr>
          <w:hyperlink w:anchor="_Toc463040023" w:history="1">
            <w:r w:rsidRPr="0030274A">
              <w:rPr>
                <w:rStyle w:val="Hyperlink"/>
                <w:noProof/>
              </w:rPr>
              <w:t>Annex 5. MAP</w:t>
            </w:r>
            <w:r>
              <w:rPr>
                <w:noProof/>
                <w:webHidden/>
              </w:rPr>
              <w:tab/>
            </w:r>
            <w:r>
              <w:rPr>
                <w:noProof/>
                <w:webHidden/>
              </w:rPr>
              <w:fldChar w:fldCharType="begin"/>
            </w:r>
            <w:r>
              <w:rPr>
                <w:noProof/>
                <w:webHidden/>
              </w:rPr>
              <w:instrText xml:space="preserve"> PAGEREF _Toc463040023 \h </w:instrText>
            </w:r>
            <w:r>
              <w:rPr>
                <w:noProof/>
                <w:webHidden/>
              </w:rPr>
            </w:r>
            <w:r>
              <w:rPr>
                <w:noProof/>
                <w:webHidden/>
              </w:rPr>
              <w:fldChar w:fldCharType="separate"/>
            </w:r>
            <w:r>
              <w:rPr>
                <w:noProof/>
                <w:webHidden/>
              </w:rPr>
              <w:t>54</w:t>
            </w:r>
            <w:r>
              <w:rPr>
                <w:noProof/>
                <w:webHidden/>
              </w:rPr>
              <w:fldChar w:fldCharType="end"/>
            </w:r>
          </w:hyperlink>
        </w:p>
        <w:p w14:paraId="34A3A7D8" w14:textId="77777777" w:rsidR="008E18F4" w:rsidRPr="003F00AF" w:rsidRDefault="008E18F4" w:rsidP="008E18F4">
          <w:r w:rsidRPr="003F00AF">
            <w:rPr>
              <w:b/>
              <w:bCs/>
              <w:noProof/>
            </w:rPr>
            <w:fldChar w:fldCharType="end"/>
          </w:r>
        </w:p>
      </w:sdtContent>
    </w:sdt>
    <w:p w14:paraId="056ADC6B" w14:textId="77777777" w:rsidR="008E18F4" w:rsidRPr="003F00AF" w:rsidRDefault="008E18F4" w:rsidP="008E18F4"/>
    <w:p w14:paraId="6F96AB44" w14:textId="77777777" w:rsidR="008E18F4" w:rsidRPr="003F00AF" w:rsidRDefault="008E18F4" w:rsidP="008E18F4">
      <w:pPr>
        <w:sectPr w:rsidR="008E18F4" w:rsidRPr="003F00AF" w:rsidSect="00FA4ABA">
          <w:pgSz w:w="12240" w:h="15840" w:code="1"/>
          <w:pgMar w:top="1440" w:right="1440" w:bottom="1440" w:left="1440" w:header="720" w:footer="720" w:gutter="0"/>
          <w:pgNumType w:fmt="lowerRoman"/>
          <w:cols w:space="720"/>
          <w:docGrid w:linePitch="360"/>
        </w:sectPr>
      </w:pPr>
    </w:p>
    <w:p w14:paraId="02354AF7" w14:textId="77777777" w:rsidR="008E18F4" w:rsidRPr="003F00AF" w:rsidRDefault="008E18F4" w:rsidP="008E18F4"/>
    <w:tbl>
      <w:tblPr>
        <w:tblW w:w="5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94"/>
        <w:gridCol w:w="246"/>
        <w:gridCol w:w="95"/>
        <w:gridCol w:w="102"/>
        <w:gridCol w:w="103"/>
        <w:gridCol w:w="676"/>
        <w:gridCol w:w="484"/>
        <w:gridCol w:w="87"/>
        <w:gridCol w:w="16"/>
        <w:gridCol w:w="19"/>
        <w:gridCol w:w="873"/>
        <w:gridCol w:w="183"/>
        <w:gridCol w:w="703"/>
        <w:gridCol w:w="290"/>
        <w:gridCol w:w="262"/>
        <w:gridCol w:w="10"/>
        <w:gridCol w:w="98"/>
        <w:gridCol w:w="976"/>
        <w:gridCol w:w="286"/>
        <w:gridCol w:w="104"/>
        <w:gridCol w:w="71"/>
        <w:gridCol w:w="417"/>
        <w:gridCol w:w="1455"/>
        <w:gridCol w:w="544"/>
      </w:tblGrid>
      <w:tr w:rsidR="008E18F4" w:rsidRPr="003F00AF" w14:paraId="02646FE1" w14:textId="77777777" w:rsidTr="00BD53A2">
        <w:trPr>
          <w:gridAfter w:val="1"/>
          <w:wAfter w:w="544" w:type="dxa"/>
        </w:trPr>
        <w:tc>
          <w:tcPr>
            <w:tcW w:w="9350" w:type="dxa"/>
            <w:gridSpan w:val="23"/>
            <w:shd w:val="clear" w:color="auto" w:fill="auto"/>
            <w:vAlign w:val="center"/>
          </w:tcPr>
          <w:p w14:paraId="2BE4C4F3" w14:textId="62154142" w:rsidR="008E18F4" w:rsidRPr="003F00AF" w:rsidRDefault="009E21D3" w:rsidP="009E21D3">
            <w:pPr>
              <w:pStyle w:val="ICRTOC"/>
              <w:rPr>
                <w:b w:val="0"/>
                <w:sz w:val="22"/>
                <w:szCs w:val="22"/>
              </w:rPr>
            </w:pPr>
            <w:bookmarkStart w:id="5" w:name="MILESTONE"/>
            <w:bookmarkStart w:id="6" w:name="SEC_3_1"/>
            <w:bookmarkStart w:id="7" w:name="BANK_STAFF"/>
            <w:bookmarkStart w:id="8" w:name="BASICINFO"/>
            <w:bookmarkEnd w:id="5"/>
            <w:bookmarkEnd w:id="6"/>
            <w:bookmarkEnd w:id="7"/>
            <w:r w:rsidRPr="003F00AF">
              <w:rPr>
                <w:rStyle w:val="Strong"/>
                <w:b/>
                <w:color w:val="auto"/>
                <w:sz w:val="22"/>
                <w:szCs w:val="22"/>
              </w:rPr>
              <w:t>A. Basic Information</w:t>
            </w:r>
            <w:bookmarkEnd w:id="8"/>
          </w:p>
        </w:tc>
      </w:tr>
      <w:tr w:rsidR="009E21D3" w:rsidRPr="003F00AF" w14:paraId="21400452" w14:textId="77777777" w:rsidTr="00BD53A2">
        <w:trPr>
          <w:gridAfter w:val="1"/>
          <w:wAfter w:w="544" w:type="dxa"/>
        </w:trPr>
        <w:tc>
          <w:tcPr>
            <w:tcW w:w="9350" w:type="dxa"/>
            <w:gridSpan w:val="23"/>
            <w:shd w:val="clear" w:color="auto" w:fill="auto"/>
            <w:vAlign w:val="center"/>
          </w:tcPr>
          <w:p w14:paraId="0D3ABBB7" w14:textId="7FF4C884" w:rsidR="009E21D3" w:rsidRPr="003F00AF" w:rsidDel="003E5BC9" w:rsidRDefault="009E21D3" w:rsidP="00034BBA">
            <w:pPr>
              <w:rPr>
                <w:b/>
                <w:sz w:val="22"/>
                <w:szCs w:val="22"/>
              </w:rPr>
            </w:pPr>
            <w:r w:rsidRPr="003F00AF">
              <w:rPr>
                <w:b/>
                <w:sz w:val="22"/>
                <w:szCs w:val="22"/>
              </w:rPr>
              <w:t>P</w:t>
            </w:r>
            <w:r w:rsidR="00034BBA" w:rsidRPr="003F00AF">
              <w:rPr>
                <w:b/>
                <w:sz w:val="22"/>
                <w:szCs w:val="22"/>
              </w:rPr>
              <w:t>rogram</w:t>
            </w:r>
            <w:r w:rsidR="00245A21" w:rsidRPr="003F00AF">
              <w:rPr>
                <w:b/>
                <w:sz w:val="22"/>
                <w:szCs w:val="22"/>
              </w:rPr>
              <w:t xml:space="preserve"> 1</w:t>
            </w:r>
          </w:p>
        </w:tc>
      </w:tr>
      <w:tr w:rsidR="00034BBA" w:rsidRPr="003F00AF" w14:paraId="095EF33F" w14:textId="77777777" w:rsidTr="00BD53A2">
        <w:trPr>
          <w:gridAfter w:val="1"/>
          <w:wAfter w:w="544" w:type="dxa"/>
        </w:trPr>
        <w:tc>
          <w:tcPr>
            <w:tcW w:w="2040" w:type="dxa"/>
            <w:gridSpan w:val="2"/>
            <w:shd w:val="clear" w:color="auto" w:fill="auto"/>
            <w:vAlign w:val="center"/>
          </w:tcPr>
          <w:p w14:paraId="0C9A3314" w14:textId="27C5F323" w:rsidR="00034BBA" w:rsidRPr="003F00AF" w:rsidRDefault="00034BBA" w:rsidP="00034BBA">
            <w:pPr>
              <w:rPr>
                <w:color w:val="000000"/>
                <w:sz w:val="22"/>
                <w:szCs w:val="22"/>
              </w:rPr>
            </w:pPr>
            <w:r w:rsidRPr="003F00AF">
              <w:rPr>
                <w:color w:val="000000"/>
                <w:sz w:val="22"/>
                <w:szCs w:val="22"/>
              </w:rPr>
              <w:t>Country</w:t>
            </w:r>
          </w:p>
        </w:tc>
        <w:tc>
          <w:tcPr>
            <w:tcW w:w="1582" w:type="dxa"/>
            <w:gridSpan w:val="8"/>
            <w:shd w:val="clear" w:color="auto" w:fill="auto"/>
            <w:vAlign w:val="center"/>
          </w:tcPr>
          <w:p w14:paraId="12A64821" w14:textId="700D4507" w:rsidR="00034BBA" w:rsidRPr="003F00AF" w:rsidRDefault="00034BBA" w:rsidP="00034BBA">
            <w:pPr>
              <w:rPr>
                <w:color w:val="000000"/>
                <w:sz w:val="22"/>
                <w:szCs w:val="22"/>
              </w:rPr>
            </w:pPr>
            <w:r w:rsidRPr="003F00AF">
              <w:rPr>
                <w:color w:val="000000"/>
                <w:sz w:val="22"/>
                <w:szCs w:val="22"/>
              </w:rPr>
              <w:t>Peru</w:t>
            </w:r>
          </w:p>
        </w:tc>
        <w:tc>
          <w:tcPr>
            <w:tcW w:w="2049" w:type="dxa"/>
            <w:gridSpan w:val="4"/>
            <w:shd w:val="clear" w:color="auto" w:fill="auto"/>
            <w:vAlign w:val="center"/>
          </w:tcPr>
          <w:p w14:paraId="1029E6DE" w14:textId="481E0A0A" w:rsidR="00034BBA" w:rsidRPr="003F00AF" w:rsidRDefault="00034BBA" w:rsidP="00034BBA">
            <w:pPr>
              <w:rPr>
                <w:color w:val="000000"/>
                <w:sz w:val="22"/>
                <w:szCs w:val="22"/>
              </w:rPr>
            </w:pPr>
            <w:r w:rsidRPr="003F00AF">
              <w:rPr>
                <w:color w:val="000000"/>
                <w:sz w:val="22"/>
                <w:szCs w:val="22"/>
              </w:rPr>
              <w:t>Program</w:t>
            </w:r>
          </w:p>
        </w:tc>
        <w:tc>
          <w:tcPr>
            <w:tcW w:w="3679" w:type="dxa"/>
            <w:gridSpan w:val="9"/>
            <w:shd w:val="clear" w:color="auto" w:fill="auto"/>
            <w:vAlign w:val="center"/>
          </w:tcPr>
          <w:p w14:paraId="328A9410" w14:textId="0D2231E8" w:rsidR="00034BBA" w:rsidRPr="003F00AF" w:rsidRDefault="00034BBA" w:rsidP="00034BBA">
            <w:pPr>
              <w:rPr>
                <w:color w:val="000000"/>
                <w:sz w:val="22"/>
                <w:szCs w:val="22"/>
              </w:rPr>
            </w:pPr>
            <w:r w:rsidRPr="003F00AF">
              <w:rPr>
                <w:color w:val="000000"/>
                <w:sz w:val="22"/>
                <w:szCs w:val="22"/>
              </w:rPr>
              <w:t>First Programmatic Environmental Development Policy Loan/DDO</w:t>
            </w:r>
          </w:p>
        </w:tc>
      </w:tr>
      <w:tr w:rsidR="00034BBA" w:rsidRPr="003F00AF" w14:paraId="41796D81" w14:textId="77777777" w:rsidTr="00BD53A2">
        <w:trPr>
          <w:gridAfter w:val="1"/>
          <w:wAfter w:w="544" w:type="dxa"/>
        </w:trPr>
        <w:tc>
          <w:tcPr>
            <w:tcW w:w="2040" w:type="dxa"/>
            <w:gridSpan w:val="2"/>
            <w:shd w:val="clear" w:color="auto" w:fill="auto"/>
            <w:vAlign w:val="center"/>
          </w:tcPr>
          <w:p w14:paraId="6224B6CB" w14:textId="77777777" w:rsidR="00034BBA" w:rsidRPr="003F00AF" w:rsidRDefault="00034BBA" w:rsidP="00034BBA">
            <w:pPr>
              <w:rPr>
                <w:color w:val="000000"/>
                <w:sz w:val="22"/>
                <w:szCs w:val="22"/>
              </w:rPr>
            </w:pPr>
            <w:r w:rsidRPr="003F00AF">
              <w:rPr>
                <w:color w:val="000000"/>
                <w:sz w:val="22"/>
                <w:szCs w:val="22"/>
              </w:rPr>
              <w:t>Program ID</w:t>
            </w:r>
          </w:p>
        </w:tc>
        <w:tc>
          <w:tcPr>
            <w:tcW w:w="1582" w:type="dxa"/>
            <w:gridSpan w:val="8"/>
            <w:shd w:val="clear" w:color="auto" w:fill="auto"/>
            <w:vAlign w:val="center"/>
          </w:tcPr>
          <w:p w14:paraId="35858275" w14:textId="77777777" w:rsidR="00034BBA" w:rsidRPr="003F00AF" w:rsidRDefault="00034BBA" w:rsidP="00034BBA">
            <w:pPr>
              <w:rPr>
                <w:color w:val="000000"/>
                <w:sz w:val="22"/>
                <w:szCs w:val="22"/>
              </w:rPr>
            </w:pPr>
            <w:r w:rsidRPr="003F00AF">
              <w:rPr>
                <w:color w:val="000000"/>
                <w:sz w:val="22"/>
                <w:szCs w:val="22"/>
              </w:rPr>
              <w:t>P101471</w:t>
            </w:r>
          </w:p>
        </w:tc>
        <w:tc>
          <w:tcPr>
            <w:tcW w:w="2049" w:type="dxa"/>
            <w:gridSpan w:val="4"/>
            <w:shd w:val="clear" w:color="auto" w:fill="auto"/>
            <w:vAlign w:val="center"/>
          </w:tcPr>
          <w:p w14:paraId="5DEAA4E2" w14:textId="77777777" w:rsidR="00034BBA" w:rsidRPr="003F00AF" w:rsidRDefault="00034BBA" w:rsidP="00034BBA">
            <w:pPr>
              <w:rPr>
                <w:color w:val="000000"/>
                <w:sz w:val="22"/>
                <w:szCs w:val="22"/>
              </w:rPr>
            </w:pPr>
            <w:r w:rsidRPr="003F00AF">
              <w:rPr>
                <w:color w:val="000000"/>
                <w:sz w:val="22"/>
                <w:szCs w:val="22"/>
              </w:rPr>
              <w:t>L/C/TF Number</w:t>
            </w:r>
          </w:p>
        </w:tc>
        <w:tc>
          <w:tcPr>
            <w:tcW w:w="3679" w:type="dxa"/>
            <w:gridSpan w:val="9"/>
            <w:shd w:val="clear" w:color="auto" w:fill="auto"/>
            <w:vAlign w:val="center"/>
          </w:tcPr>
          <w:p w14:paraId="0DC45EE7" w14:textId="77777777" w:rsidR="00034BBA" w:rsidRPr="003F00AF" w:rsidRDefault="00034BBA" w:rsidP="00034BBA">
            <w:pPr>
              <w:rPr>
                <w:color w:val="000000"/>
                <w:sz w:val="22"/>
                <w:szCs w:val="22"/>
              </w:rPr>
            </w:pPr>
            <w:r w:rsidRPr="003F00AF">
              <w:rPr>
                <w:color w:val="000000"/>
                <w:sz w:val="22"/>
                <w:szCs w:val="22"/>
              </w:rPr>
              <w:t>IBRD-76740</w:t>
            </w:r>
          </w:p>
        </w:tc>
      </w:tr>
      <w:tr w:rsidR="00034BBA" w:rsidRPr="003F00AF" w14:paraId="35C0C9FC" w14:textId="77777777" w:rsidTr="00BD53A2">
        <w:trPr>
          <w:gridAfter w:val="1"/>
          <w:wAfter w:w="544" w:type="dxa"/>
        </w:trPr>
        <w:tc>
          <w:tcPr>
            <w:tcW w:w="2040" w:type="dxa"/>
            <w:gridSpan w:val="2"/>
            <w:shd w:val="clear" w:color="auto" w:fill="auto"/>
            <w:vAlign w:val="center"/>
          </w:tcPr>
          <w:p w14:paraId="19E38CE8" w14:textId="01FE7E56" w:rsidR="00034BBA" w:rsidRPr="003F00AF" w:rsidRDefault="00034BBA" w:rsidP="00034BBA">
            <w:pPr>
              <w:rPr>
                <w:color w:val="000000"/>
                <w:sz w:val="22"/>
                <w:szCs w:val="22"/>
              </w:rPr>
            </w:pPr>
            <w:r w:rsidRPr="003F00AF">
              <w:rPr>
                <w:color w:val="000000"/>
                <w:sz w:val="22"/>
                <w:szCs w:val="22"/>
              </w:rPr>
              <w:t>ICR Date</w:t>
            </w:r>
          </w:p>
        </w:tc>
        <w:tc>
          <w:tcPr>
            <w:tcW w:w="1582" w:type="dxa"/>
            <w:gridSpan w:val="8"/>
            <w:shd w:val="clear" w:color="auto" w:fill="auto"/>
            <w:vAlign w:val="center"/>
          </w:tcPr>
          <w:p w14:paraId="49A163DE" w14:textId="58396BE7" w:rsidR="00034BBA" w:rsidRPr="003F00AF" w:rsidRDefault="00504CFB" w:rsidP="00034BBA">
            <w:pPr>
              <w:rPr>
                <w:color w:val="000000"/>
                <w:sz w:val="22"/>
                <w:szCs w:val="22"/>
              </w:rPr>
            </w:pPr>
            <w:r>
              <w:rPr>
                <w:color w:val="000000"/>
                <w:sz w:val="22"/>
                <w:szCs w:val="22"/>
              </w:rPr>
              <w:t>9/3</w:t>
            </w:r>
            <w:r w:rsidR="00CE1637">
              <w:rPr>
                <w:color w:val="000000"/>
                <w:sz w:val="22"/>
                <w:szCs w:val="22"/>
              </w:rPr>
              <w:t>0</w:t>
            </w:r>
            <w:r w:rsidR="00034BBA" w:rsidRPr="003F00AF">
              <w:rPr>
                <w:color w:val="000000"/>
                <w:sz w:val="22"/>
                <w:szCs w:val="22"/>
              </w:rPr>
              <w:t>/2016</w:t>
            </w:r>
          </w:p>
        </w:tc>
        <w:tc>
          <w:tcPr>
            <w:tcW w:w="2049" w:type="dxa"/>
            <w:gridSpan w:val="4"/>
            <w:shd w:val="clear" w:color="auto" w:fill="auto"/>
            <w:vAlign w:val="center"/>
          </w:tcPr>
          <w:p w14:paraId="4F810F58" w14:textId="375AC97B" w:rsidR="00034BBA" w:rsidRPr="003F00AF" w:rsidRDefault="00034BBA" w:rsidP="00034BBA">
            <w:pPr>
              <w:rPr>
                <w:color w:val="000000"/>
                <w:sz w:val="22"/>
                <w:szCs w:val="22"/>
              </w:rPr>
            </w:pPr>
            <w:r w:rsidRPr="003F00AF">
              <w:rPr>
                <w:color w:val="000000"/>
                <w:sz w:val="22"/>
                <w:szCs w:val="22"/>
              </w:rPr>
              <w:t>ICR Type</w:t>
            </w:r>
          </w:p>
        </w:tc>
        <w:tc>
          <w:tcPr>
            <w:tcW w:w="3679" w:type="dxa"/>
            <w:gridSpan w:val="9"/>
            <w:shd w:val="clear" w:color="auto" w:fill="auto"/>
            <w:vAlign w:val="center"/>
          </w:tcPr>
          <w:p w14:paraId="253678B0" w14:textId="30F04043" w:rsidR="00034BBA" w:rsidRPr="003F00AF" w:rsidRDefault="00034BBA" w:rsidP="00034BBA">
            <w:pPr>
              <w:rPr>
                <w:color w:val="000000"/>
                <w:sz w:val="22"/>
                <w:szCs w:val="22"/>
              </w:rPr>
            </w:pPr>
            <w:r w:rsidRPr="003F00AF">
              <w:rPr>
                <w:color w:val="000000"/>
                <w:sz w:val="22"/>
                <w:szCs w:val="22"/>
              </w:rPr>
              <w:t>Core ICR</w:t>
            </w:r>
          </w:p>
        </w:tc>
      </w:tr>
      <w:tr w:rsidR="00245A21" w:rsidRPr="003F00AF" w14:paraId="2B8BCB46" w14:textId="77777777" w:rsidTr="00BD53A2">
        <w:trPr>
          <w:gridAfter w:val="1"/>
          <w:wAfter w:w="544" w:type="dxa"/>
        </w:trPr>
        <w:tc>
          <w:tcPr>
            <w:tcW w:w="2040" w:type="dxa"/>
            <w:gridSpan w:val="2"/>
            <w:shd w:val="clear" w:color="auto" w:fill="auto"/>
            <w:vAlign w:val="center"/>
          </w:tcPr>
          <w:p w14:paraId="7FBD4A8C" w14:textId="28B4BD26" w:rsidR="00245A21" w:rsidRPr="003F00AF" w:rsidRDefault="00245A21" w:rsidP="00245A21">
            <w:pPr>
              <w:rPr>
                <w:color w:val="000000"/>
                <w:sz w:val="22"/>
                <w:szCs w:val="22"/>
              </w:rPr>
            </w:pPr>
            <w:r w:rsidRPr="003F00AF">
              <w:rPr>
                <w:color w:val="000000"/>
                <w:sz w:val="22"/>
                <w:szCs w:val="22"/>
              </w:rPr>
              <w:t>Lending Instrument</w:t>
            </w:r>
          </w:p>
        </w:tc>
        <w:tc>
          <w:tcPr>
            <w:tcW w:w="1582" w:type="dxa"/>
            <w:gridSpan w:val="8"/>
            <w:shd w:val="clear" w:color="auto" w:fill="auto"/>
            <w:vAlign w:val="center"/>
          </w:tcPr>
          <w:p w14:paraId="1BE1D68C" w14:textId="38C91ADF" w:rsidR="00245A21" w:rsidRPr="003F00AF" w:rsidRDefault="00245A21" w:rsidP="00245A21">
            <w:pPr>
              <w:rPr>
                <w:color w:val="000000"/>
                <w:sz w:val="22"/>
                <w:szCs w:val="22"/>
              </w:rPr>
            </w:pPr>
            <w:r w:rsidRPr="003F00AF">
              <w:rPr>
                <w:color w:val="000000"/>
                <w:sz w:val="22"/>
                <w:szCs w:val="22"/>
              </w:rPr>
              <w:t>DPL</w:t>
            </w:r>
          </w:p>
        </w:tc>
        <w:tc>
          <w:tcPr>
            <w:tcW w:w="2049" w:type="dxa"/>
            <w:gridSpan w:val="4"/>
            <w:shd w:val="clear" w:color="auto" w:fill="auto"/>
            <w:vAlign w:val="center"/>
          </w:tcPr>
          <w:p w14:paraId="41F06BBC" w14:textId="16189C1B" w:rsidR="00245A21" w:rsidRPr="003F00AF" w:rsidRDefault="00245A21" w:rsidP="00245A21">
            <w:pPr>
              <w:rPr>
                <w:color w:val="000000"/>
                <w:sz w:val="22"/>
                <w:szCs w:val="22"/>
              </w:rPr>
            </w:pPr>
            <w:r w:rsidRPr="003F00AF">
              <w:rPr>
                <w:color w:val="000000"/>
                <w:sz w:val="22"/>
                <w:szCs w:val="22"/>
              </w:rPr>
              <w:t>Borrower</w:t>
            </w:r>
          </w:p>
        </w:tc>
        <w:tc>
          <w:tcPr>
            <w:tcW w:w="3679" w:type="dxa"/>
            <w:gridSpan w:val="9"/>
            <w:shd w:val="clear" w:color="auto" w:fill="auto"/>
            <w:vAlign w:val="center"/>
          </w:tcPr>
          <w:p w14:paraId="3F61F1F3" w14:textId="49296909" w:rsidR="00245A21" w:rsidRPr="003F00AF" w:rsidRDefault="00245A21" w:rsidP="00245A21">
            <w:pPr>
              <w:rPr>
                <w:color w:val="000000"/>
                <w:sz w:val="22"/>
                <w:szCs w:val="22"/>
              </w:rPr>
            </w:pPr>
            <w:r w:rsidRPr="003F00AF">
              <w:rPr>
                <w:color w:val="000000"/>
                <w:sz w:val="22"/>
                <w:szCs w:val="22"/>
              </w:rPr>
              <w:t>Ministry of Economy and Finance (</w:t>
            </w:r>
            <w:r w:rsidRPr="003F00AF">
              <w:rPr>
                <w:i/>
                <w:color w:val="000000"/>
                <w:sz w:val="22"/>
                <w:szCs w:val="22"/>
              </w:rPr>
              <w:t>Ministerio de Economía y Finanzas</w:t>
            </w:r>
            <w:r w:rsidRPr="003F00AF">
              <w:rPr>
                <w:color w:val="000000"/>
                <w:sz w:val="22"/>
                <w:szCs w:val="22"/>
              </w:rPr>
              <w:t>, MEF)</w:t>
            </w:r>
          </w:p>
        </w:tc>
      </w:tr>
      <w:tr w:rsidR="00245A21" w:rsidRPr="003F00AF" w14:paraId="638284B3" w14:textId="77777777" w:rsidTr="00BD53A2">
        <w:trPr>
          <w:gridAfter w:val="1"/>
          <w:wAfter w:w="544" w:type="dxa"/>
        </w:trPr>
        <w:tc>
          <w:tcPr>
            <w:tcW w:w="2040" w:type="dxa"/>
            <w:gridSpan w:val="2"/>
            <w:shd w:val="clear" w:color="auto" w:fill="auto"/>
            <w:vAlign w:val="center"/>
          </w:tcPr>
          <w:p w14:paraId="6DA3200A" w14:textId="3CE3DD58" w:rsidR="00245A21" w:rsidRPr="003F00AF" w:rsidRDefault="00245A21" w:rsidP="00245A21">
            <w:pPr>
              <w:rPr>
                <w:color w:val="000000"/>
                <w:sz w:val="22"/>
                <w:szCs w:val="22"/>
              </w:rPr>
            </w:pPr>
            <w:r w:rsidRPr="003F00AF">
              <w:rPr>
                <w:color w:val="000000"/>
                <w:sz w:val="22"/>
                <w:szCs w:val="22"/>
              </w:rPr>
              <w:t>Original Total Commitment</w:t>
            </w:r>
          </w:p>
        </w:tc>
        <w:tc>
          <w:tcPr>
            <w:tcW w:w="1582" w:type="dxa"/>
            <w:gridSpan w:val="8"/>
            <w:shd w:val="clear" w:color="auto" w:fill="auto"/>
            <w:vAlign w:val="center"/>
          </w:tcPr>
          <w:p w14:paraId="2611047D" w14:textId="0CAF5403" w:rsidR="00245A21" w:rsidRPr="003F00AF" w:rsidRDefault="00245A21" w:rsidP="00245A21">
            <w:pPr>
              <w:rPr>
                <w:color w:val="000000"/>
                <w:sz w:val="22"/>
                <w:szCs w:val="22"/>
              </w:rPr>
            </w:pPr>
            <w:r w:rsidRPr="003F00AF">
              <w:rPr>
                <w:color w:val="000000"/>
                <w:sz w:val="22"/>
                <w:szCs w:val="22"/>
              </w:rPr>
              <w:t>US$330.00 million</w:t>
            </w:r>
          </w:p>
        </w:tc>
        <w:tc>
          <w:tcPr>
            <w:tcW w:w="2049" w:type="dxa"/>
            <w:gridSpan w:val="4"/>
            <w:shd w:val="clear" w:color="auto" w:fill="auto"/>
            <w:vAlign w:val="center"/>
          </w:tcPr>
          <w:p w14:paraId="75E5F5C4" w14:textId="3D369ECD" w:rsidR="00245A21" w:rsidRPr="003F00AF" w:rsidRDefault="00245A21" w:rsidP="00245A21">
            <w:pPr>
              <w:rPr>
                <w:color w:val="000000"/>
                <w:sz w:val="22"/>
                <w:szCs w:val="22"/>
              </w:rPr>
            </w:pPr>
            <w:r w:rsidRPr="003F00AF">
              <w:rPr>
                <w:color w:val="000000"/>
                <w:sz w:val="22"/>
                <w:szCs w:val="22"/>
              </w:rPr>
              <w:t>Disbursed Amount</w:t>
            </w:r>
          </w:p>
        </w:tc>
        <w:tc>
          <w:tcPr>
            <w:tcW w:w="3679" w:type="dxa"/>
            <w:gridSpan w:val="9"/>
            <w:shd w:val="clear" w:color="auto" w:fill="auto"/>
            <w:vAlign w:val="center"/>
          </w:tcPr>
          <w:p w14:paraId="12124F8D" w14:textId="737702A6" w:rsidR="00245A21" w:rsidRPr="003F00AF" w:rsidRDefault="00245A21" w:rsidP="00245A21">
            <w:pPr>
              <w:rPr>
                <w:color w:val="000000"/>
                <w:sz w:val="22"/>
                <w:szCs w:val="22"/>
              </w:rPr>
            </w:pPr>
            <w:r w:rsidRPr="003F00AF">
              <w:rPr>
                <w:color w:val="000000"/>
                <w:sz w:val="22"/>
                <w:szCs w:val="22"/>
              </w:rPr>
              <w:t>US$330.00 million</w:t>
            </w:r>
          </w:p>
        </w:tc>
      </w:tr>
      <w:tr w:rsidR="00245A21" w:rsidRPr="003F00AF" w14:paraId="43DEC8FE" w14:textId="77777777" w:rsidTr="00BD53A2">
        <w:trPr>
          <w:gridAfter w:val="1"/>
          <w:wAfter w:w="544" w:type="dxa"/>
        </w:trPr>
        <w:tc>
          <w:tcPr>
            <w:tcW w:w="9350" w:type="dxa"/>
            <w:gridSpan w:val="23"/>
            <w:shd w:val="clear" w:color="auto" w:fill="auto"/>
            <w:vAlign w:val="center"/>
          </w:tcPr>
          <w:p w14:paraId="2161E6C5" w14:textId="0E12DE05" w:rsidR="00245A21" w:rsidRPr="003F00AF" w:rsidRDefault="00245A21" w:rsidP="00245A21">
            <w:pPr>
              <w:rPr>
                <w:color w:val="000000"/>
                <w:sz w:val="22"/>
                <w:szCs w:val="22"/>
              </w:rPr>
            </w:pPr>
            <w:r w:rsidRPr="003F00AF">
              <w:rPr>
                <w:rStyle w:val="Strong"/>
                <w:b w:val="0"/>
                <w:color w:val="000000"/>
                <w:sz w:val="22"/>
                <w:szCs w:val="22"/>
              </w:rPr>
              <w:t xml:space="preserve">Implementing Agencies: </w:t>
            </w:r>
            <w:r w:rsidRPr="003F00AF">
              <w:rPr>
                <w:color w:val="000000"/>
                <w:sz w:val="22"/>
                <w:szCs w:val="22"/>
              </w:rPr>
              <w:t>MEF</w:t>
            </w:r>
          </w:p>
        </w:tc>
      </w:tr>
      <w:tr w:rsidR="00245A21" w:rsidRPr="003F00AF" w14:paraId="5C35B019" w14:textId="77777777" w:rsidTr="00BD53A2">
        <w:trPr>
          <w:gridAfter w:val="1"/>
          <w:wAfter w:w="544" w:type="dxa"/>
        </w:trPr>
        <w:tc>
          <w:tcPr>
            <w:tcW w:w="9350" w:type="dxa"/>
            <w:gridSpan w:val="23"/>
            <w:shd w:val="clear" w:color="auto" w:fill="auto"/>
            <w:vAlign w:val="center"/>
          </w:tcPr>
          <w:p w14:paraId="7E7150CC" w14:textId="04DC20DD" w:rsidR="00245A21" w:rsidRPr="003F00AF" w:rsidRDefault="00245A21" w:rsidP="00245A21">
            <w:pPr>
              <w:rPr>
                <w:color w:val="000000"/>
                <w:sz w:val="22"/>
                <w:szCs w:val="22"/>
              </w:rPr>
            </w:pPr>
            <w:r w:rsidRPr="003F00AF">
              <w:rPr>
                <w:rStyle w:val="Strong"/>
                <w:b w:val="0"/>
                <w:sz w:val="22"/>
                <w:szCs w:val="22"/>
              </w:rPr>
              <w:t>Cofinanciers and Other External Partners: n.a.</w:t>
            </w:r>
          </w:p>
        </w:tc>
      </w:tr>
      <w:tr w:rsidR="00245A21" w:rsidRPr="003F00AF" w14:paraId="4E7063BB" w14:textId="77777777" w:rsidTr="00BD53A2">
        <w:trPr>
          <w:gridAfter w:val="1"/>
          <w:wAfter w:w="544" w:type="dxa"/>
          <w:trHeight w:val="290"/>
        </w:trPr>
        <w:tc>
          <w:tcPr>
            <w:tcW w:w="9350" w:type="dxa"/>
            <w:gridSpan w:val="23"/>
            <w:shd w:val="clear" w:color="auto" w:fill="auto"/>
            <w:vAlign w:val="center"/>
          </w:tcPr>
          <w:p w14:paraId="4E7A8C97" w14:textId="70D1CB54" w:rsidR="00245A21" w:rsidRPr="003F00AF" w:rsidRDefault="00245A21" w:rsidP="00245A21">
            <w:pPr>
              <w:rPr>
                <w:b/>
                <w:sz w:val="22"/>
                <w:szCs w:val="22"/>
              </w:rPr>
            </w:pPr>
            <w:r w:rsidRPr="003F00AF">
              <w:rPr>
                <w:b/>
                <w:color w:val="000000"/>
                <w:sz w:val="22"/>
                <w:szCs w:val="22"/>
              </w:rPr>
              <w:t>Program 2</w:t>
            </w:r>
            <w:r w:rsidRPr="003F00AF">
              <w:rPr>
                <w:b/>
                <w:bCs/>
                <w:sz w:val="22"/>
                <w:szCs w:val="22"/>
              </w:rPr>
              <w:t xml:space="preserve">  </w:t>
            </w:r>
          </w:p>
        </w:tc>
      </w:tr>
      <w:tr w:rsidR="00245A21" w:rsidRPr="003F00AF" w14:paraId="75696449" w14:textId="77777777" w:rsidTr="00BD53A2">
        <w:trPr>
          <w:gridAfter w:val="1"/>
          <w:wAfter w:w="544" w:type="dxa"/>
        </w:trPr>
        <w:tc>
          <w:tcPr>
            <w:tcW w:w="2040" w:type="dxa"/>
            <w:gridSpan w:val="2"/>
            <w:shd w:val="clear" w:color="auto" w:fill="auto"/>
            <w:vAlign w:val="center"/>
          </w:tcPr>
          <w:p w14:paraId="369CD500" w14:textId="54ED5553" w:rsidR="00245A21" w:rsidRPr="003F00AF" w:rsidRDefault="00245A21" w:rsidP="00245A21">
            <w:pPr>
              <w:rPr>
                <w:color w:val="000000"/>
                <w:sz w:val="22"/>
                <w:szCs w:val="22"/>
              </w:rPr>
            </w:pPr>
            <w:r w:rsidRPr="003F00AF">
              <w:rPr>
                <w:color w:val="000000"/>
                <w:sz w:val="22"/>
                <w:szCs w:val="22"/>
              </w:rPr>
              <w:t>Country</w:t>
            </w:r>
          </w:p>
        </w:tc>
        <w:tc>
          <w:tcPr>
            <w:tcW w:w="1582" w:type="dxa"/>
            <w:gridSpan w:val="8"/>
            <w:shd w:val="clear" w:color="auto" w:fill="auto"/>
            <w:vAlign w:val="center"/>
          </w:tcPr>
          <w:p w14:paraId="39A42CFA" w14:textId="2FEF2560" w:rsidR="00245A21" w:rsidRPr="003F00AF" w:rsidRDefault="00245A21" w:rsidP="00245A21">
            <w:pPr>
              <w:rPr>
                <w:color w:val="000000"/>
                <w:sz w:val="22"/>
                <w:szCs w:val="22"/>
              </w:rPr>
            </w:pPr>
            <w:r w:rsidRPr="003F00AF">
              <w:rPr>
                <w:color w:val="000000"/>
                <w:sz w:val="22"/>
                <w:szCs w:val="22"/>
              </w:rPr>
              <w:t>Peru</w:t>
            </w:r>
          </w:p>
        </w:tc>
        <w:tc>
          <w:tcPr>
            <w:tcW w:w="2049" w:type="dxa"/>
            <w:gridSpan w:val="4"/>
            <w:shd w:val="clear" w:color="auto" w:fill="auto"/>
            <w:vAlign w:val="center"/>
          </w:tcPr>
          <w:p w14:paraId="6A5E53B3" w14:textId="04798DA6" w:rsidR="00245A21" w:rsidRPr="003F00AF" w:rsidRDefault="00245A21" w:rsidP="00245A21">
            <w:pPr>
              <w:rPr>
                <w:color w:val="000000"/>
                <w:sz w:val="22"/>
                <w:szCs w:val="22"/>
              </w:rPr>
            </w:pPr>
            <w:r w:rsidRPr="003F00AF">
              <w:rPr>
                <w:color w:val="000000"/>
                <w:sz w:val="22"/>
                <w:szCs w:val="22"/>
              </w:rPr>
              <w:t>Program</w:t>
            </w:r>
          </w:p>
        </w:tc>
        <w:tc>
          <w:tcPr>
            <w:tcW w:w="3679" w:type="dxa"/>
            <w:gridSpan w:val="9"/>
            <w:shd w:val="clear" w:color="auto" w:fill="auto"/>
            <w:vAlign w:val="center"/>
          </w:tcPr>
          <w:p w14:paraId="3FBDF4E9" w14:textId="3A838164" w:rsidR="00245A21" w:rsidRPr="003F00AF" w:rsidRDefault="00245A21" w:rsidP="00245A21">
            <w:pPr>
              <w:rPr>
                <w:color w:val="000000"/>
                <w:sz w:val="22"/>
                <w:szCs w:val="22"/>
              </w:rPr>
            </w:pPr>
            <w:r w:rsidRPr="003F00AF">
              <w:rPr>
                <w:color w:val="000000"/>
                <w:sz w:val="22"/>
                <w:szCs w:val="22"/>
              </w:rPr>
              <w:t>Second Programmatic Environmental Development Policy Loan</w:t>
            </w:r>
          </w:p>
        </w:tc>
      </w:tr>
      <w:tr w:rsidR="00245A21" w:rsidRPr="003F00AF" w14:paraId="4F8A2941" w14:textId="77777777" w:rsidTr="00BD53A2">
        <w:trPr>
          <w:gridAfter w:val="1"/>
          <w:wAfter w:w="544" w:type="dxa"/>
        </w:trPr>
        <w:tc>
          <w:tcPr>
            <w:tcW w:w="2040" w:type="dxa"/>
            <w:gridSpan w:val="2"/>
            <w:shd w:val="clear" w:color="auto" w:fill="auto"/>
            <w:vAlign w:val="center"/>
          </w:tcPr>
          <w:p w14:paraId="48AEE5D5" w14:textId="77777777" w:rsidR="00245A21" w:rsidRPr="003F00AF" w:rsidRDefault="00245A21" w:rsidP="00245A21">
            <w:pPr>
              <w:rPr>
                <w:color w:val="000000"/>
                <w:sz w:val="22"/>
                <w:szCs w:val="22"/>
              </w:rPr>
            </w:pPr>
            <w:r w:rsidRPr="003F00AF">
              <w:rPr>
                <w:color w:val="000000"/>
                <w:sz w:val="22"/>
                <w:szCs w:val="22"/>
              </w:rPr>
              <w:t>Program ID</w:t>
            </w:r>
          </w:p>
        </w:tc>
        <w:tc>
          <w:tcPr>
            <w:tcW w:w="1582" w:type="dxa"/>
            <w:gridSpan w:val="8"/>
            <w:shd w:val="clear" w:color="auto" w:fill="auto"/>
            <w:vAlign w:val="center"/>
          </w:tcPr>
          <w:p w14:paraId="78B4019B" w14:textId="77777777" w:rsidR="00245A21" w:rsidRPr="003F00AF" w:rsidRDefault="00245A21" w:rsidP="00245A21">
            <w:pPr>
              <w:rPr>
                <w:color w:val="000000"/>
                <w:sz w:val="22"/>
                <w:szCs w:val="22"/>
              </w:rPr>
            </w:pPr>
            <w:r w:rsidRPr="003F00AF">
              <w:rPr>
                <w:color w:val="000000"/>
                <w:sz w:val="22"/>
                <w:szCs w:val="22"/>
              </w:rPr>
              <w:t>P116152</w:t>
            </w:r>
          </w:p>
        </w:tc>
        <w:tc>
          <w:tcPr>
            <w:tcW w:w="2049" w:type="dxa"/>
            <w:gridSpan w:val="4"/>
            <w:shd w:val="clear" w:color="auto" w:fill="auto"/>
            <w:vAlign w:val="center"/>
          </w:tcPr>
          <w:p w14:paraId="2CAE805C" w14:textId="77777777" w:rsidR="00245A21" w:rsidRPr="003F00AF" w:rsidRDefault="00245A21" w:rsidP="00245A21">
            <w:pPr>
              <w:rPr>
                <w:color w:val="000000"/>
                <w:sz w:val="22"/>
                <w:szCs w:val="22"/>
              </w:rPr>
            </w:pPr>
            <w:r w:rsidRPr="003F00AF">
              <w:rPr>
                <w:color w:val="000000"/>
                <w:sz w:val="22"/>
                <w:szCs w:val="22"/>
              </w:rPr>
              <w:t>L/C/TF Number</w:t>
            </w:r>
          </w:p>
        </w:tc>
        <w:tc>
          <w:tcPr>
            <w:tcW w:w="3679" w:type="dxa"/>
            <w:gridSpan w:val="9"/>
            <w:shd w:val="clear" w:color="auto" w:fill="auto"/>
            <w:vAlign w:val="center"/>
          </w:tcPr>
          <w:p w14:paraId="3D7F1660" w14:textId="77777777" w:rsidR="00245A21" w:rsidRPr="003F00AF" w:rsidRDefault="00245A21" w:rsidP="00245A21">
            <w:pPr>
              <w:rPr>
                <w:color w:val="000000"/>
                <w:sz w:val="22"/>
                <w:szCs w:val="22"/>
              </w:rPr>
            </w:pPr>
            <w:r w:rsidRPr="003F00AF">
              <w:rPr>
                <w:color w:val="000000"/>
                <w:sz w:val="22"/>
                <w:szCs w:val="22"/>
              </w:rPr>
              <w:t>IBRD-76740, IBRD-78100</w:t>
            </w:r>
          </w:p>
        </w:tc>
      </w:tr>
      <w:tr w:rsidR="00245A21" w:rsidRPr="003F00AF" w14:paraId="3EDD796B" w14:textId="77777777" w:rsidTr="00BD53A2">
        <w:trPr>
          <w:gridAfter w:val="1"/>
          <w:wAfter w:w="544" w:type="dxa"/>
        </w:trPr>
        <w:tc>
          <w:tcPr>
            <w:tcW w:w="2040" w:type="dxa"/>
            <w:gridSpan w:val="2"/>
            <w:shd w:val="clear" w:color="auto" w:fill="auto"/>
            <w:vAlign w:val="center"/>
          </w:tcPr>
          <w:p w14:paraId="3BD86E7E" w14:textId="7690BFCE" w:rsidR="00245A21" w:rsidRPr="003F00AF" w:rsidRDefault="00245A21" w:rsidP="00245A21">
            <w:pPr>
              <w:rPr>
                <w:color w:val="000000"/>
                <w:sz w:val="22"/>
                <w:szCs w:val="22"/>
              </w:rPr>
            </w:pPr>
            <w:r w:rsidRPr="003F00AF">
              <w:rPr>
                <w:color w:val="000000"/>
                <w:sz w:val="22"/>
                <w:szCs w:val="22"/>
              </w:rPr>
              <w:t>ICR Date</w:t>
            </w:r>
          </w:p>
        </w:tc>
        <w:tc>
          <w:tcPr>
            <w:tcW w:w="1582" w:type="dxa"/>
            <w:gridSpan w:val="8"/>
            <w:shd w:val="clear" w:color="auto" w:fill="auto"/>
            <w:vAlign w:val="center"/>
          </w:tcPr>
          <w:p w14:paraId="7913BCB3" w14:textId="08A9D9AC" w:rsidR="00245A21" w:rsidRPr="003F00AF" w:rsidRDefault="00504CFB" w:rsidP="00245A21">
            <w:pPr>
              <w:rPr>
                <w:color w:val="000000"/>
                <w:sz w:val="22"/>
                <w:szCs w:val="22"/>
              </w:rPr>
            </w:pPr>
            <w:r>
              <w:rPr>
                <w:color w:val="000000"/>
                <w:sz w:val="22"/>
                <w:szCs w:val="22"/>
              </w:rPr>
              <w:t>9/3</w:t>
            </w:r>
            <w:r w:rsidR="00CE1637">
              <w:rPr>
                <w:color w:val="000000"/>
                <w:sz w:val="22"/>
                <w:szCs w:val="22"/>
              </w:rPr>
              <w:t>0</w:t>
            </w:r>
            <w:r w:rsidR="00245A21" w:rsidRPr="003F00AF">
              <w:rPr>
                <w:color w:val="000000"/>
                <w:sz w:val="22"/>
                <w:szCs w:val="22"/>
              </w:rPr>
              <w:t>/2016</w:t>
            </w:r>
          </w:p>
        </w:tc>
        <w:tc>
          <w:tcPr>
            <w:tcW w:w="2049" w:type="dxa"/>
            <w:gridSpan w:val="4"/>
            <w:shd w:val="clear" w:color="auto" w:fill="auto"/>
            <w:vAlign w:val="center"/>
          </w:tcPr>
          <w:p w14:paraId="053B1292" w14:textId="72990D30" w:rsidR="00245A21" w:rsidRPr="003F00AF" w:rsidRDefault="00245A21" w:rsidP="00245A21">
            <w:pPr>
              <w:rPr>
                <w:color w:val="000000"/>
                <w:sz w:val="22"/>
                <w:szCs w:val="22"/>
              </w:rPr>
            </w:pPr>
            <w:r w:rsidRPr="003F00AF">
              <w:rPr>
                <w:color w:val="000000"/>
                <w:sz w:val="22"/>
                <w:szCs w:val="22"/>
              </w:rPr>
              <w:t>ICR Type</w:t>
            </w:r>
          </w:p>
        </w:tc>
        <w:tc>
          <w:tcPr>
            <w:tcW w:w="3679" w:type="dxa"/>
            <w:gridSpan w:val="9"/>
            <w:shd w:val="clear" w:color="auto" w:fill="auto"/>
            <w:vAlign w:val="center"/>
          </w:tcPr>
          <w:p w14:paraId="4644221C" w14:textId="749BDE20" w:rsidR="00245A21" w:rsidRPr="003F00AF" w:rsidRDefault="00245A21" w:rsidP="00245A21">
            <w:pPr>
              <w:rPr>
                <w:color w:val="000000"/>
                <w:sz w:val="22"/>
                <w:szCs w:val="22"/>
              </w:rPr>
            </w:pPr>
            <w:r w:rsidRPr="003F00AF">
              <w:rPr>
                <w:color w:val="000000"/>
                <w:sz w:val="22"/>
                <w:szCs w:val="22"/>
              </w:rPr>
              <w:t>Core ICR</w:t>
            </w:r>
          </w:p>
        </w:tc>
      </w:tr>
      <w:tr w:rsidR="00245A21" w:rsidRPr="003F00AF" w14:paraId="01344786" w14:textId="77777777" w:rsidTr="00BD53A2">
        <w:trPr>
          <w:gridAfter w:val="1"/>
          <w:wAfter w:w="544" w:type="dxa"/>
        </w:trPr>
        <w:tc>
          <w:tcPr>
            <w:tcW w:w="2040" w:type="dxa"/>
            <w:gridSpan w:val="2"/>
            <w:shd w:val="clear" w:color="auto" w:fill="auto"/>
            <w:vAlign w:val="center"/>
          </w:tcPr>
          <w:p w14:paraId="025D8E4A" w14:textId="75F4D520" w:rsidR="00245A21" w:rsidRPr="003F00AF" w:rsidRDefault="00245A21" w:rsidP="00245A21">
            <w:pPr>
              <w:rPr>
                <w:color w:val="000000"/>
                <w:sz w:val="22"/>
                <w:szCs w:val="22"/>
              </w:rPr>
            </w:pPr>
            <w:r w:rsidRPr="003F00AF">
              <w:rPr>
                <w:color w:val="000000"/>
                <w:sz w:val="22"/>
                <w:szCs w:val="22"/>
              </w:rPr>
              <w:t>Lending Instrument</w:t>
            </w:r>
          </w:p>
        </w:tc>
        <w:tc>
          <w:tcPr>
            <w:tcW w:w="1582" w:type="dxa"/>
            <w:gridSpan w:val="8"/>
            <w:shd w:val="clear" w:color="auto" w:fill="auto"/>
            <w:vAlign w:val="center"/>
          </w:tcPr>
          <w:p w14:paraId="5A286108" w14:textId="4CA12CAD" w:rsidR="00245A21" w:rsidRPr="003F00AF" w:rsidRDefault="00245A21" w:rsidP="00245A21">
            <w:pPr>
              <w:rPr>
                <w:color w:val="000000"/>
                <w:sz w:val="22"/>
                <w:szCs w:val="22"/>
              </w:rPr>
            </w:pPr>
            <w:r w:rsidRPr="003F00AF">
              <w:rPr>
                <w:color w:val="000000"/>
                <w:sz w:val="22"/>
                <w:szCs w:val="22"/>
              </w:rPr>
              <w:t>DPL</w:t>
            </w:r>
          </w:p>
        </w:tc>
        <w:tc>
          <w:tcPr>
            <w:tcW w:w="2049" w:type="dxa"/>
            <w:gridSpan w:val="4"/>
            <w:shd w:val="clear" w:color="auto" w:fill="auto"/>
            <w:vAlign w:val="center"/>
          </w:tcPr>
          <w:p w14:paraId="5A1F59EE" w14:textId="5E3BD305" w:rsidR="00245A21" w:rsidRPr="003F00AF" w:rsidRDefault="00245A21" w:rsidP="00245A21">
            <w:pPr>
              <w:rPr>
                <w:color w:val="000000"/>
                <w:sz w:val="22"/>
                <w:szCs w:val="22"/>
              </w:rPr>
            </w:pPr>
            <w:r w:rsidRPr="003F00AF">
              <w:rPr>
                <w:color w:val="000000"/>
                <w:sz w:val="22"/>
                <w:szCs w:val="22"/>
              </w:rPr>
              <w:t>Borrower</w:t>
            </w:r>
          </w:p>
        </w:tc>
        <w:tc>
          <w:tcPr>
            <w:tcW w:w="3679" w:type="dxa"/>
            <w:gridSpan w:val="9"/>
            <w:shd w:val="clear" w:color="auto" w:fill="auto"/>
            <w:vAlign w:val="center"/>
          </w:tcPr>
          <w:p w14:paraId="7FC9F120" w14:textId="529926CC" w:rsidR="00245A21" w:rsidRPr="003F00AF" w:rsidRDefault="00245A21" w:rsidP="003B22AD">
            <w:pPr>
              <w:rPr>
                <w:color w:val="000000"/>
                <w:sz w:val="22"/>
                <w:szCs w:val="22"/>
              </w:rPr>
            </w:pPr>
            <w:r w:rsidRPr="003F00AF">
              <w:rPr>
                <w:color w:val="000000"/>
                <w:sz w:val="22"/>
                <w:szCs w:val="22"/>
              </w:rPr>
              <w:t>M</w:t>
            </w:r>
            <w:r w:rsidR="003B22AD" w:rsidRPr="003F00AF">
              <w:rPr>
                <w:color w:val="000000"/>
                <w:sz w:val="22"/>
                <w:szCs w:val="22"/>
              </w:rPr>
              <w:t>EF</w:t>
            </w:r>
          </w:p>
        </w:tc>
      </w:tr>
      <w:tr w:rsidR="00245A21" w:rsidRPr="003F00AF" w14:paraId="4CFEA3E9" w14:textId="77777777" w:rsidTr="00BD53A2">
        <w:trPr>
          <w:gridAfter w:val="1"/>
          <w:wAfter w:w="544" w:type="dxa"/>
        </w:trPr>
        <w:tc>
          <w:tcPr>
            <w:tcW w:w="2040" w:type="dxa"/>
            <w:gridSpan w:val="2"/>
            <w:shd w:val="clear" w:color="auto" w:fill="auto"/>
            <w:vAlign w:val="center"/>
          </w:tcPr>
          <w:p w14:paraId="292EBD73" w14:textId="4D040CC9" w:rsidR="00245A21" w:rsidRPr="003F00AF" w:rsidRDefault="00245A21" w:rsidP="00245A21">
            <w:pPr>
              <w:rPr>
                <w:color w:val="000000"/>
                <w:sz w:val="22"/>
                <w:szCs w:val="22"/>
              </w:rPr>
            </w:pPr>
            <w:r w:rsidRPr="003F00AF">
              <w:rPr>
                <w:color w:val="000000"/>
                <w:sz w:val="22"/>
                <w:szCs w:val="22"/>
              </w:rPr>
              <w:t>Original Total Commitment</w:t>
            </w:r>
          </w:p>
        </w:tc>
        <w:tc>
          <w:tcPr>
            <w:tcW w:w="1582" w:type="dxa"/>
            <w:gridSpan w:val="8"/>
            <w:shd w:val="clear" w:color="auto" w:fill="auto"/>
            <w:vAlign w:val="center"/>
          </w:tcPr>
          <w:p w14:paraId="0126A273" w14:textId="2F6B5011" w:rsidR="00245A21" w:rsidRPr="003F00AF" w:rsidRDefault="00245A21" w:rsidP="00245A21">
            <w:pPr>
              <w:rPr>
                <w:color w:val="000000"/>
                <w:sz w:val="22"/>
                <w:szCs w:val="22"/>
              </w:rPr>
            </w:pPr>
            <w:r w:rsidRPr="003F00AF">
              <w:rPr>
                <w:color w:val="000000"/>
                <w:sz w:val="22"/>
                <w:szCs w:val="22"/>
              </w:rPr>
              <w:t>US$50.00 million</w:t>
            </w:r>
          </w:p>
        </w:tc>
        <w:tc>
          <w:tcPr>
            <w:tcW w:w="2049" w:type="dxa"/>
            <w:gridSpan w:val="4"/>
            <w:shd w:val="clear" w:color="auto" w:fill="auto"/>
            <w:vAlign w:val="center"/>
          </w:tcPr>
          <w:p w14:paraId="4232B5B2" w14:textId="42EB55DF" w:rsidR="00245A21" w:rsidRPr="003F00AF" w:rsidRDefault="00245A21" w:rsidP="00245A21">
            <w:pPr>
              <w:rPr>
                <w:color w:val="000000"/>
                <w:sz w:val="22"/>
                <w:szCs w:val="22"/>
              </w:rPr>
            </w:pPr>
            <w:r w:rsidRPr="003F00AF">
              <w:rPr>
                <w:color w:val="000000"/>
                <w:sz w:val="22"/>
                <w:szCs w:val="22"/>
              </w:rPr>
              <w:t>Disbursed Amount</w:t>
            </w:r>
          </w:p>
        </w:tc>
        <w:tc>
          <w:tcPr>
            <w:tcW w:w="3679" w:type="dxa"/>
            <w:gridSpan w:val="9"/>
            <w:shd w:val="clear" w:color="auto" w:fill="auto"/>
            <w:vAlign w:val="center"/>
          </w:tcPr>
          <w:p w14:paraId="2E71560B" w14:textId="594A209B" w:rsidR="00245A21" w:rsidRPr="003F00AF" w:rsidRDefault="00245A21" w:rsidP="00245A21">
            <w:pPr>
              <w:rPr>
                <w:color w:val="000000"/>
                <w:sz w:val="22"/>
                <w:szCs w:val="22"/>
              </w:rPr>
            </w:pPr>
            <w:r w:rsidRPr="003F00AF">
              <w:rPr>
                <w:color w:val="000000"/>
                <w:sz w:val="22"/>
                <w:szCs w:val="22"/>
              </w:rPr>
              <w:t>US$50.00 million</w:t>
            </w:r>
          </w:p>
        </w:tc>
      </w:tr>
      <w:tr w:rsidR="00245A21" w:rsidRPr="003F00AF" w14:paraId="05259127" w14:textId="77777777" w:rsidTr="00BD53A2">
        <w:trPr>
          <w:gridAfter w:val="1"/>
          <w:wAfter w:w="544" w:type="dxa"/>
        </w:trPr>
        <w:tc>
          <w:tcPr>
            <w:tcW w:w="9350" w:type="dxa"/>
            <w:gridSpan w:val="23"/>
            <w:shd w:val="clear" w:color="auto" w:fill="auto"/>
            <w:vAlign w:val="center"/>
          </w:tcPr>
          <w:p w14:paraId="1659913D" w14:textId="4E20BFA2" w:rsidR="00245A21" w:rsidRPr="003F00AF" w:rsidRDefault="00245A21" w:rsidP="00245A21">
            <w:pPr>
              <w:rPr>
                <w:color w:val="000000"/>
                <w:sz w:val="22"/>
                <w:szCs w:val="22"/>
              </w:rPr>
            </w:pPr>
            <w:r w:rsidRPr="003F00AF">
              <w:rPr>
                <w:rStyle w:val="Strong"/>
                <w:b w:val="0"/>
                <w:color w:val="000000"/>
                <w:sz w:val="22"/>
                <w:szCs w:val="22"/>
              </w:rPr>
              <w:t xml:space="preserve">Implementing Agencies: </w:t>
            </w:r>
            <w:r w:rsidRPr="003F00AF">
              <w:rPr>
                <w:color w:val="000000"/>
                <w:sz w:val="22"/>
                <w:szCs w:val="22"/>
              </w:rPr>
              <w:t>MEF</w:t>
            </w:r>
          </w:p>
        </w:tc>
      </w:tr>
      <w:tr w:rsidR="00245A21" w:rsidRPr="003F00AF" w14:paraId="239D6A97" w14:textId="77777777" w:rsidTr="00BD53A2">
        <w:trPr>
          <w:gridAfter w:val="1"/>
          <w:wAfter w:w="544" w:type="dxa"/>
        </w:trPr>
        <w:tc>
          <w:tcPr>
            <w:tcW w:w="9350" w:type="dxa"/>
            <w:gridSpan w:val="23"/>
            <w:shd w:val="clear" w:color="auto" w:fill="auto"/>
            <w:vAlign w:val="center"/>
          </w:tcPr>
          <w:p w14:paraId="12BACED5" w14:textId="59649932" w:rsidR="00245A21" w:rsidRPr="003F00AF" w:rsidRDefault="00245A21" w:rsidP="00245A21">
            <w:pPr>
              <w:rPr>
                <w:color w:val="000000"/>
                <w:sz w:val="22"/>
                <w:szCs w:val="22"/>
              </w:rPr>
            </w:pPr>
            <w:r w:rsidRPr="003F00AF">
              <w:rPr>
                <w:rStyle w:val="Strong"/>
                <w:b w:val="0"/>
                <w:sz w:val="22"/>
                <w:szCs w:val="22"/>
              </w:rPr>
              <w:t>Cofinanciers and Other External Partners: n.a.</w:t>
            </w:r>
          </w:p>
        </w:tc>
      </w:tr>
      <w:tr w:rsidR="00245A21" w:rsidRPr="003F00AF" w14:paraId="56254295" w14:textId="77777777" w:rsidTr="00BD53A2">
        <w:trPr>
          <w:gridAfter w:val="1"/>
          <w:wAfter w:w="544" w:type="dxa"/>
        </w:trPr>
        <w:tc>
          <w:tcPr>
            <w:tcW w:w="9350" w:type="dxa"/>
            <w:gridSpan w:val="23"/>
            <w:shd w:val="clear" w:color="auto" w:fill="auto"/>
            <w:vAlign w:val="center"/>
          </w:tcPr>
          <w:p w14:paraId="4DA88C90" w14:textId="5CBBB64D" w:rsidR="00245A21" w:rsidRPr="003F00AF" w:rsidRDefault="00245A21" w:rsidP="00245A21">
            <w:pPr>
              <w:rPr>
                <w:b/>
                <w:sz w:val="22"/>
                <w:szCs w:val="22"/>
              </w:rPr>
            </w:pPr>
            <w:r w:rsidRPr="003F00AF">
              <w:rPr>
                <w:b/>
                <w:sz w:val="22"/>
                <w:szCs w:val="22"/>
              </w:rPr>
              <w:t>Program 3</w:t>
            </w:r>
          </w:p>
        </w:tc>
      </w:tr>
      <w:tr w:rsidR="00245A21" w:rsidRPr="003F00AF" w14:paraId="490188DD" w14:textId="77777777" w:rsidTr="00BD53A2">
        <w:trPr>
          <w:gridAfter w:val="1"/>
          <w:wAfter w:w="544" w:type="dxa"/>
        </w:trPr>
        <w:tc>
          <w:tcPr>
            <w:tcW w:w="2040" w:type="dxa"/>
            <w:gridSpan w:val="2"/>
            <w:shd w:val="clear" w:color="auto" w:fill="auto"/>
            <w:vAlign w:val="center"/>
          </w:tcPr>
          <w:p w14:paraId="63DCFAA2" w14:textId="5AEC6944" w:rsidR="00245A21" w:rsidRPr="003F00AF" w:rsidRDefault="00245A21" w:rsidP="00245A21">
            <w:pPr>
              <w:rPr>
                <w:color w:val="000000"/>
                <w:sz w:val="22"/>
                <w:szCs w:val="22"/>
              </w:rPr>
            </w:pPr>
            <w:r w:rsidRPr="003F00AF">
              <w:rPr>
                <w:color w:val="000000"/>
                <w:sz w:val="22"/>
                <w:szCs w:val="22"/>
              </w:rPr>
              <w:t>Country</w:t>
            </w:r>
          </w:p>
        </w:tc>
        <w:tc>
          <w:tcPr>
            <w:tcW w:w="1582" w:type="dxa"/>
            <w:gridSpan w:val="8"/>
            <w:shd w:val="clear" w:color="auto" w:fill="auto"/>
            <w:vAlign w:val="center"/>
          </w:tcPr>
          <w:p w14:paraId="2F87FCCF" w14:textId="3A8F2D85" w:rsidR="00245A21" w:rsidRPr="003F00AF" w:rsidRDefault="00245A21" w:rsidP="00245A21">
            <w:pPr>
              <w:rPr>
                <w:color w:val="000000"/>
                <w:sz w:val="22"/>
                <w:szCs w:val="22"/>
              </w:rPr>
            </w:pPr>
            <w:r w:rsidRPr="003F00AF">
              <w:rPr>
                <w:color w:val="000000"/>
                <w:sz w:val="22"/>
                <w:szCs w:val="22"/>
              </w:rPr>
              <w:t>Peru</w:t>
            </w:r>
          </w:p>
        </w:tc>
        <w:tc>
          <w:tcPr>
            <w:tcW w:w="2049" w:type="dxa"/>
            <w:gridSpan w:val="4"/>
            <w:shd w:val="clear" w:color="auto" w:fill="auto"/>
            <w:vAlign w:val="center"/>
          </w:tcPr>
          <w:p w14:paraId="0EFA6785" w14:textId="21D21CA9" w:rsidR="00245A21" w:rsidRPr="003F00AF" w:rsidRDefault="00245A21" w:rsidP="00245A21">
            <w:pPr>
              <w:rPr>
                <w:color w:val="000000"/>
                <w:sz w:val="22"/>
                <w:szCs w:val="22"/>
              </w:rPr>
            </w:pPr>
            <w:r w:rsidRPr="003F00AF">
              <w:rPr>
                <w:color w:val="000000"/>
                <w:sz w:val="22"/>
                <w:szCs w:val="22"/>
              </w:rPr>
              <w:t>Program</w:t>
            </w:r>
          </w:p>
        </w:tc>
        <w:tc>
          <w:tcPr>
            <w:tcW w:w="3679" w:type="dxa"/>
            <w:gridSpan w:val="9"/>
            <w:shd w:val="clear" w:color="auto" w:fill="auto"/>
            <w:vAlign w:val="center"/>
          </w:tcPr>
          <w:p w14:paraId="37621662" w14:textId="409C58AF" w:rsidR="00245A21" w:rsidRPr="003F00AF" w:rsidRDefault="00245A21" w:rsidP="00245A21">
            <w:pPr>
              <w:rPr>
                <w:color w:val="000000"/>
                <w:sz w:val="22"/>
                <w:szCs w:val="22"/>
              </w:rPr>
            </w:pPr>
            <w:r w:rsidRPr="003F00AF">
              <w:rPr>
                <w:color w:val="000000"/>
                <w:sz w:val="22"/>
                <w:szCs w:val="22"/>
              </w:rPr>
              <w:t>Third Programmatic Environmental Development Policy Loan</w:t>
            </w:r>
          </w:p>
        </w:tc>
      </w:tr>
      <w:tr w:rsidR="00245A21" w:rsidRPr="003F00AF" w14:paraId="21E6FAE9" w14:textId="77777777" w:rsidTr="00BD53A2">
        <w:trPr>
          <w:gridAfter w:val="1"/>
          <w:wAfter w:w="544" w:type="dxa"/>
        </w:trPr>
        <w:tc>
          <w:tcPr>
            <w:tcW w:w="2040" w:type="dxa"/>
            <w:gridSpan w:val="2"/>
            <w:shd w:val="clear" w:color="auto" w:fill="auto"/>
            <w:vAlign w:val="center"/>
          </w:tcPr>
          <w:p w14:paraId="6E78445D" w14:textId="77777777" w:rsidR="00245A21" w:rsidRPr="003F00AF" w:rsidRDefault="00245A21" w:rsidP="00245A21">
            <w:pPr>
              <w:rPr>
                <w:color w:val="000000"/>
                <w:sz w:val="22"/>
                <w:szCs w:val="22"/>
              </w:rPr>
            </w:pPr>
            <w:r w:rsidRPr="003F00AF">
              <w:rPr>
                <w:color w:val="000000"/>
                <w:sz w:val="22"/>
                <w:szCs w:val="22"/>
              </w:rPr>
              <w:t>Program ID</w:t>
            </w:r>
          </w:p>
        </w:tc>
        <w:tc>
          <w:tcPr>
            <w:tcW w:w="1582" w:type="dxa"/>
            <w:gridSpan w:val="8"/>
            <w:shd w:val="clear" w:color="auto" w:fill="auto"/>
            <w:vAlign w:val="center"/>
          </w:tcPr>
          <w:p w14:paraId="16E395C1" w14:textId="77777777" w:rsidR="00245A21" w:rsidRPr="003F00AF" w:rsidRDefault="00245A21" w:rsidP="00245A21">
            <w:pPr>
              <w:rPr>
                <w:color w:val="000000"/>
                <w:sz w:val="22"/>
                <w:szCs w:val="22"/>
              </w:rPr>
            </w:pPr>
            <w:bookmarkStart w:id="9" w:name="projid_fld"/>
            <w:r w:rsidRPr="003F00AF">
              <w:rPr>
                <w:color w:val="000000"/>
                <w:sz w:val="22"/>
                <w:szCs w:val="22"/>
              </w:rPr>
              <w:t>P118713</w:t>
            </w:r>
            <w:bookmarkEnd w:id="9"/>
          </w:p>
        </w:tc>
        <w:tc>
          <w:tcPr>
            <w:tcW w:w="2049" w:type="dxa"/>
            <w:gridSpan w:val="4"/>
            <w:shd w:val="clear" w:color="auto" w:fill="auto"/>
            <w:vAlign w:val="center"/>
          </w:tcPr>
          <w:p w14:paraId="33F4CB3B" w14:textId="77777777" w:rsidR="00245A21" w:rsidRPr="003F00AF" w:rsidRDefault="00245A21" w:rsidP="00245A21">
            <w:pPr>
              <w:rPr>
                <w:color w:val="000000"/>
                <w:sz w:val="22"/>
                <w:szCs w:val="22"/>
              </w:rPr>
            </w:pPr>
            <w:r w:rsidRPr="003F00AF">
              <w:rPr>
                <w:color w:val="000000"/>
                <w:sz w:val="22"/>
                <w:szCs w:val="22"/>
              </w:rPr>
              <w:t>L/C/TF Number</w:t>
            </w:r>
          </w:p>
        </w:tc>
        <w:tc>
          <w:tcPr>
            <w:tcW w:w="3679" w:type="dxa"/>
            <w:gridSpan w:val="9"/>
            <w:shd w:val="clear" w:color="auto" w:fill="auto"/>
            <w:vAlign w:val="center"/>
          </w:tcPr>
          <w:p w14:paraId="5125602A" w14:textId="77777777" w:rsidR="00245A21" w:rsidRPr="003F00AF" w:rsidRDefault="00245A21" w:rsidP="00245A21">
            <w:pPr>
              <w:rPr>
                <w:color w:val="000000"/>
                <w:sz w:val="22"/>
                <w:szCs w:val="22"/>
              </w:rPr>
            </w:pPr>
            <w:r w:rsidRPr="003F00AF">
              <w:rPr>
                <w:color w:val="000000"/>
                <w:sz w:val="22"/>
                <w:szCs w:val="22"/>
              </w:rPr>
              <w:t>IBRD-78100, IBRD-79500</w:t>
            </w:r>
          </w:p>
        </w:tc>
      </w:tr>
      <w:tr w:rsidR="00245A21" w:rsidRPr="003F00AF" w14:paraId="108E253A" w14:textId="77777777" w:rsidTr="00BD53A2">
        <w:trPr>
          <w:gridAfter w:val="1"/>
          <w:wAfter w:w="544" w:type="dxa"/>
        </w:trPr>
        <w:tc>
          <w:tcPr>
            <w:tcW w:w="2040" w:type="dxa"/>
            <w:gridSpan w:val="2"/>
            <w:shd w:val="clear" w:color="auto" w:fill="auto"/>
            <w:vAlign w:val="center"/>
          </w:tcPr>
          <w:p w14:paraId="0AE6B76A" w14:textId="54CCDDDA" w:rsidR="00245A21" w:rsidRPr="003F00AF" w:rsidRDefault="00245A21" w:rsidP="00245A21">
            <w:pPr>
              <w:rPr>
                <w:color w:val="000000"/>
                <w:sz w:val="22"/>
                <w:szCs w:val="22"/>
              </w:rPr>
            </w:pPr>
            <w:r w:rsidRPr="003F00AF">
              <w:rPr>
                <w:color w:val="000000"/>
                <w:sz w:val="22"/>
                <w:szCs w:val="22"/>
              </w:rPr>
              <w:t>ICR Date</w:t>
            </w:r>
          </w:p>
        </w:tc>
        <w:tc>
          <w:tcPr>
            <w:tcW w:w="1582" w:type="dxa"/>
            <w:gridSpan w:val="8"/>
            <w:shd w:val="clear" w:color="auto" w:fill="auto"/>
            <w:vAlign w:val="center"/>
          </w:tcPr>
          <w:p w14:paraId="50171E8B" w14:textId="49CB8CDB" w:rsidR="00245A21" w:rsidRPr="003F00AF" w:rsidRDefault="00504CFB" w:rsidP="00245A21">
            <w:pPr>
              <w:rPr>
                <w:color w:val="000000"/>
                <w:sz w:val="22"/>
                <w:szCs w:val="22"/>
              </w:rPr>
            </w:pPr>
            <w:r>
              <w:rPr>
                <w:color w:val="000000"/>
                <w:sz w:val="22"/>
                <w:szCs w:val="22"/>
              </w:rPr>
              <w:t>9/3</w:t>
            </w:r>
            <w:r w:rsidR="00CE1637">
              <w:rPr>
                <w:color w:val="000000"/>
                <w:sz w:val="22"/>
                <w:szCs w:val="22"/>
              </w:rPr>
              <w:t>0</w:t>
            </w:r>
            <w:r w:rsidR="00245A21" w:rsidRPr="003F00AF">
              <w:rPr>
                <w:color w:val="000000"/>
                <w:sz w:val="22"/>
                <w:szCs w:val="22"/>
              </w:rPr>
              <w:t>/2016</w:t>
            </w:r>
          </w:p>
        </w:tc>
        <w:tc>
          <w:tcPr>
            <w:tcW w:w="2049" w:type="dxa"/>
            <w:gridSpan w:val="4"/>
            <w:shd w:val="clear" w:color="auto" w:fill="auto"/>
            <w:vAlign w:val="center"/>
          </w:tcPr>
          <w:p w14:paraId="21FBADD0" w14:textId="727D8AC4" w:rsidR="00245A21" w:rsidRPr="003F00AF" w:rsidRDefault="00245A21" w:rsidP="00245A21">
            <w:pPr>
              <w:rPr>
                <w:color w:val="000000"/>
                <w:sz w:val="22"/>
                <w:szCs w:val="22"/>
              </w:rPr>
            </w:pPr>
            <w:r w:rsidRPr="003F00AF">
              <w:rPr>
                <w:color w:val="000000"/>
                <w:sz w:val="22"/>
                <w:szCs w:val="22"/>
              </w:rPr>
              <w:t>ICR Type</w:t>
            </w:r>
          </w:p>
        </w:tc>
        <w:tc>
          <w:tcPr>
            <w:tcW w:w="3679" w:type="dxa"/>
            <w:gridSpan w:val="9"/>
            <w:shd w:val="clear" w:color="auto" w:fill="auto"/>
            <w:vAlign w:val="center"/>
          </w:tcPr>
          <w:p w14:paraId="4F47CCF1" w14:textId="55418740" w:rsidR="00245A21" w:rsidRPr="003F00AF" w:rsidRDefault="00245A21" w:rsidP="00245A21">
            <w:pPr>
              <w:rPr>
                <w:color w:val="000000"/>
                <w:sz w:val="22"/>
                <w:szCs w:val="22"/>
              </w:rPr>
            </w:pPr>
            <w:r w:rsidRPr="003F00AF">
              <w:rPr>
                <w:color w:val="000000"/>
                <w:sz w:val="22"/>
                <w:szCs w:val="22"/>
              </w:rPr>
              <w:t>Core ICR</w:t>
            </w:r>
          </w:p>
        </w:tc>
      </w:tr>
      <w:tr w:rsidR="00245A21" w:rsidRPr="003F00AF" w14:paraId="41A47DE0" w14:textId="77777777" w:rsidTr="00BD53A2">
        <w:trPr>
          <w:gridAfter w:val="1"/>
          <w:wAfter w:w="544" w:type="dxa"/>
        </w:trPr>
        <w:tc>
          <w:tcPr>
            <w:tcW w:w="2040" w:type="dxa"/>
            <w:gridSpan w:val="2"/>
            <w:shd w:val="clear" w:color="auto" w:fill="auto"/>
            <w:vAlign w:val="center"/>
          </w:tcPr>
          <w:p w14:paraId="35347358" w14:textId="683B7FD7" w:rsidR="00245A21" w:rsidRPr="003F00AF" w:rsidRDefault="00245A21" w:rsidP="00245A21">
            <w:pPr>
              <w:rPr>
                <w:color w:val="000000"/>
                <w:sz w:val="22"/>
                <w:szCs w:val="22"/>
              </w:rPr>
            </w:pPr>
            <w:r w:rsidRPr="003F00AF">
              <w:rPr>
                <w:color w:val="000000"/>
                <w:sz w:val="22"/>
                <w:szCs w:val="22"/>
              </w:rPr>
              <w:t>Lending Instrument</w:t>
            </w:r>
          </w:p>
        </w:tc>
        <w:tc>
          <w:tcPr>
            <w:tcW w:w="1582" w:type="dxa"/>
            <w:gridSpan w:val="8"/>
            <w:shd w:val="clear" w:color="auto" w:fill="auto"/>
            <w:vAlign w:val="center"/>
          </w:tcPr>
          <w:p w14:paraId="3839C160" w14:textId="4DA446ED" w:rsidR="00245A21" w:rsidRPr="003F00AF" w:rsidRDefault="00245A21" w:rsidP="00245A21">
            <w:pPr>
              <w:rPr>
                <w:color w:val="000000"/>
                <w:sz w:val="22"/>
                <w:szCs w:val="22"/>
              </w:rPr>
            </w:pPr>
            <w:r w:rsidRPr="003F00AF">
              <w:rPr>
                <w:color w:val="000000"/>
                <w:sz w:val="22"/>
                <w:szCs w:val="22"/>
              </w:rPr>
              <w:t>DPL</w:t>
            </w:r>
          </w:p>
        </w:tc>
        <w:tc>
          <w:tcPr>
            <w:tcW w:w="2049" w:type="dxa"/>
            <w:gridSpan w:val="4"/>
            <w:shd w:val="clear" w:color="auto" w:fill="auto"/>
            <w:vAlign w:val="center"/>
          </w:tcPr>
          <w:p w14:paraId="1ABC4184" w14:textId="3241DA8D" w:rsidR="00245A21" w:rsidRPr="003F00AF" w:rsidRDefault="00245A21" w:rsidP="00245A21">
            <w:pPr>
              <w:rPr>
                <w:color w:val="000000"/>
                <w:sz w:val="22"/>
                <w:szCs w:val="22"/>
              </w:rPr>
            </w:pPr>
            <w:r w:rsidRPr="003F00AF">
              <w:rPr>
                <w:color w:val="000000"/>
                <w:sz w:val="22"/>
                <w:szCs w:val="22"/>
              </w:rPr>
              <w:t>Borrower</w:t>
            </w:r>
          </w:p>
        </w:tc>
        <w:tc>
          <w:tcPr>
            <w:tcW w:w="3679" w:type="dxa"/>
            <w:gridSpan w:val="9"/>
            <w:shd w:val="clear" w:color="auto" w:fill="auto"/>
            <w:vAlign w:val="center"/>
          </w:tcPr>
          <w:p w14:paraId="432A1CED" w14:textId="42C74D3F" w:rsidR="00245A21" w:rsidRPr="003F00AF" w:rsidRDefault="00245A21" w:rsidP="003B22AD">
            <w:pPr>
              <w:rPr>
                <w:color w:val="000000"/>
                <w:sz w:val="22"/>
                <w:szCs w:val="22"/>
              </w:rPr>
            </w:pPr>
            <w:r w:rsidRPr="003F00AF">
              <w:rPr>
                <w:color w:val="000000"/>
                <w:sz w:val="22"/>
                <w:szCs w:val="22"/>
              </w:rPr>
              <w:t>M</w:t>
            </w:r>
            <w:r w:rsidR="003B22AD" w:rsidRPr="003F00AF">
              <w:rPr>
                <w:color w:val="000000"/>
                <w:sz w:val="22"/>
                <w:szCs w:val="22"/>
              </w:rPr>
              <w:t>EF</w:t>
            </w:r>
          </w:p>
        </w:tc>
      </w:tr>
      <w:tr w:rsidR="00245A21" w:rsidRPr="003F00AF" w14:paraId="20CBD442" w14:textId="77777777" w:rsidTr="00BD53A2">
        <w:trPr>
          <w:gridAfter w:val="1"/>
          <w:wAfter w:w="544" w:type="dxa"/>
        </w:trPr>
        <w:tc>
          <w:tcPr>
            <w:tcW w:w="2040" w:type="dxa"/>
            <w:gridSpan w:val="2"/>
            <w:shd w:val="clear" w:color="auto" w:fill="auto"/>
            <w:vAlign w:val="center"/>
          </w:tcPr>
          <w:p w14:paraId="5E7DC2AE" w14:textId="6CEBF409" w:rsidR="00245A21" w:rsidRPr="003F00AF" w:rsidRDefault="00245A21" w:rsidP="00245A21">
            <w:pPr>
              <w:rPr>
                <w:color w:val="000000"/>
                <w:sz w:val="22"/>
                <w:szCs w:val="22"/>
              </w:rPr>
            </w:pPr>
            <w:r w:rsidRPr="003F00AF">
              <w:rPr>
                <w:color w:val="000000"/>
                <w:sz w:val="22"/>
                <w:szCs w:val="22"/>
              </w:rPr>
              <w:t>Original Total Commitment</w:t>
            </w:r>
          </w:p>
        </w:tc>
        <w:tc>
          <w:tcPr>
            <w:tcW w:w="1582" w:type="dxa"/>
            <w:gridSpan w:val="8"/>
            <w:shd w:val="clear" w:color="auto" w:fill="auto"/>
            <w:vAlign w:val="center"/>
          </w:tcPr>
          <w:p w14:paraId="19A271EB" w14:textId="32FDDC94" w:rsidR="00245A21" w:rsidRPr="003F00AF" w:rsidRDefault="00245A21" w:rsidP="00245A21">
            <w:pPr>
              <w:rPr>
                <w:color w:val="000000"/>
                <w:sz w:val="22"/>
                <w:szCs w:val="22"/>
              </w:rPr>
            </w:pPr>
            <w:r w:rsidRPr="003F00AF">
              <w:rPr>
                <w:color w:val="000000"/>
                <w:sz w:val="22"/>
                <w:szCs w:val="22"/>
              </w:rPr>
              <w:t>US$75.00 million</w:t>
            </w:r>
          </w:p>
        </w:tc>
        <w:tc>
          <w:tcPr>
            <w:tcW w:w="2049" w:type="dxa"/>
            <w:gridSpan w:val="4"/>
            <w:shd w:val="clear" w:color="auto" w:fill="auto"/>
            <w:vAlign w:val="center"/>
          </w:tcPr>
          <w:p w14:paraId="07F8FCA5" w14:textId="5003F567" w:rsidR="00245A21" w:rsidRPr="003F00AF" w:rsidRDefault="00245A21" w:rsidP="00245A21">
            <w:pPr>
              <w:rPr>
                <w:color w:val="000000"/>
                <w:sz w:val="22"/>
                <w:szCs w:val="22"/>
              </w:rPr>
            </w:pPr>
            <w:r w:rsidRPr="003F00AF">
              <w:rPr>
                <w:color w:val="000000"/>
                <w:sz w:val="22"/>
                <w:szCs w:val="22"/>
              </w:rPr>
              <w:t>Disbursed Amount</w:t>
            </w:r>
          </w:p>
        </w:tc>
        <w:tc>
          <w:tcPr>
            <w:tcW w:w="3679" w:type="dxa"/>
            <w:gridSpan w:val="9"/>
            <w:shd w:val="clear" w:color="auto" w:fill="auto"/>
            <w:vAlign w:val="center"/>
          </w:tcPr>
          <w:p w14:paraId="76010939" w14:textId="42EA4FE0" w:rsidR="00245A21" w:rsidRPr="003F00AF" w:rsidRDefault="00245A21" w:rsidP="00245A21">
            <w:pPr>
              <w:rPr>
                <w:color w:val="000000"/>
                <w:sz w:val="22"/>
                <w:szCs w:val="22"/>
              </w:rPr>
            </w:pPr>
            <w:r w:rsidRPr="003F00AF">
              <w:rPr>
                <w:color w:val="000000"/>
                <w:sz w:val="22"/>
                <w:szCs w:val="22"/>
              </w:rPr>
              <w:t>US$75.00 million</w:t>
            </w:r>
          </w:p>
        </w:tc>
      </w:tr>
      <w:tr w:rsidR="00245A21" w:rsidRPr="003F00AF" w14:paraId="54C1DB28" w14:textId="77777777" w:rsidTr="00BD53A2">
        <w:trPr>
          <w:gridAfter w:val="1"/>
          <w:wAfter w:w="544" w:type="dxa"/>
        </w:trPr>
        <w:tc>
          <w:tcPr>
            <w:tcW w:w="9350" w:type="dxa"/>
            <w:gridSpan w:val="23"/>
            <w:shd w:val="clear" w:color="auto" w:fill="auto"/>
            <w:vAlign w:val="center"/>
          </w:tcPr>
          <w:p w14:paraId="31F31037" w14:textId="4A36B520" w:rsidR="00245A21" w:rsidRPr="003F00AF" w:rsidRDefault="00245A21" w:rsidP="00245A21">
            <w:pPr>
              <w:keepNext/>
              <w:rPr>
                <w:b/>
                <w:color w:val="000000"/>
                <w:sz w:val="22"/>
                <w:szCs w:val="22"/>
              </w:rPr>
            </w:pPr>
            <w:bookmarkStart w:id="10" w:name="revamt_fld_lbl"/>
            <w:bookmarkEnd w:id="10"/>
            <w:r w:rsidRPr="003F00AF">
              <w:rPr>
                <w:rStyle w:val="Strong"/>
                <w:b w:val="0"/>
                <w:color w:val="000000"/>
                <w:sz w:val="22"/>
                <w:szCs w:val="22"/>
              </w:rPr>
              <w:t>Implementing Agencies</w:t>
            </w:r>
            <w:bookmarkStart w:id="11" w:name="IMP_AGEN"/>
            <w:bookmarkEnd w:id="11"/>
            <w:r w:rsidRPr="003F00AF">
              <w:rPr>
                <w:rStyle w:val="Strong"/>
                <w:b w:val="0"/>
                <w:color w:val="000000"/>
                <w:sz w:val="22"/>
                <w:szCs w:val="22"/>
              </w:rPr>
              <w:t xml:space="preserve">: </w:t>
            </w:r>
            <w:r w:rsidRPr="003F00AF">
              <w:rPr>
                <w:color w:val="000000"/>
                <w:sz w:val="22"/>
                <w:szCs w:val="22"/>
              </w:rPr>
              <w:t>MEF</w:t>
            </w:r>
          </w:p>
        </w:tc>
      </w:tr>
      <w:tr w:rsidR="00245A21" w:rsidRPr="003F00AF" w14:paraId="2E1708A5" w14:textId="77777777" w:rsidTr="00BD53A2">
        <w:trPr>
          <w:gridAfter w:val="1"/>
          <w:wAfter w:w="544" w:type="dxa"/>
        </w:trPr>
        <w:tc>
          <w:tcPr>
            <w:tcW w:w="9350" w:type="dxa"/>
            <w:gridSpan w:val="23"/>
            <w:shd w:val="clear" w:color="auto" w:fill="auto"/>
            <w:vAlign w:val="center"/>
          </w:tcPr>
          <w:p w14:paraId="44B9FC76" w14:textId="10BDDEB7" w:rsidR="00245A21" w:rsidRPr="003F00AF" w:rsidRDefault="00245A21" w:rsidP="00245A21">
            <w:pPr>
              <w:keepNext/>
              <w:rPr>
                <w:rStyle w:val="Strong"/>
                <w:b w:val="0"/>
                <w:color w:val="000000"/>
                <w:sz w:val="22"/>
                <w:szCs w:val="22"/>
              </w:rPr>
            </w:pPr>
            <w:r w:rsidRPr="003F00AF">
              <w:rPr>
                <w:rStyle w:val="Strong"/>
                <w:b w:val="0"/>
                <w:sz w:val="22"/>
                <w:szCs w:val="22"/>
              </w:rPr>
              <w:t>Cofinanciers a</w:t>
            </w:r>
            <w:r w:rsidR="004B5E70">
              <w:rPr>
                <w:rStyle w:val="Strong"/>
                <w:b w:val="0"/>
                <w:sz w:val="22"/>
                <w:szCs w:val="22"/>
              </w:rPr>
              <w:t>nd Other External Partners: KfW</w:t>
            </w:r>
            <w:r w:rsidR="00C275E0">
              <w:rPr>
                <w:rStyle w:val="Strong"/>
                <w:b w:val="0"/>
                <w:sz w:val="22"/>
                <w:szCs w:val="22"/>
              </w:rPr>
              <w:t xml:space="preserve"> Development Bank</w:t>
            </w:r>
          </w:p>
        </w:tc>
      </w:tr>
      <w:tr w:rsidR="00245A21" w:rsidRPr="003F00AF" w14:paraId="4D6BB33C" w14:textId="77777777" w:rsidTr="00BD53A2">
        <w:trPr>
          <w:gridAfter w:val="1"/>
          <w:wAfter w:w="544" w:type="dxa"/>
        </w:trPr>
        <w:tc>
          <w:tcPr>
            <w:tcW w:w="9350" w:type="dxa"/>
            <w:gridSpan w:val="23"/>
            <w:shd w:val="clear" w:color="auto" w:fill="auto"/>
            <w:vAlign w:val="center"/>
          </w:tcPr>
          <w:p w14:paraId="2C016AD2" w14:textId="77777777" w:rsidR="00245A21" w:rsidRPr="003F00AF" w:rsidRDefault="00245A21" w:rsidP="00245A21">
            <w:pPr>
              <w:pStyle w:val="ICRTOC"/>
              <w:rPr>
                <w:sz w:val="22"/>
                <w:szCs w:val="22"/>
              </w:rPr>
            </w:pPr>
            <w:bookmarkStart w:id="12" w:name="_Toc448507192"/>
            <w:bookmarkStart w:id="13" w:name="_Toc448507354"/>
            <w:bookmarkStart w:id="14" w:name="KeyDates" w:colFirst="0" w:colLast="0"/>
            <w:r w:rsidRPr="003F00AF">
              <w:rPr>
                <w:rStyle w:val="Strong"/>
                <w:b/>
                <w:color w:val="auto"/>
                <w:sz w:val="22"/>
                <w:szCs w:val="22"/>
              </w:rPr>
              <w:t>B. Key Dates</w:t>
            </w:r>
            <w:bookmarkEnd w:id="12"/>
            <w:bookmarkEnd w:id="13"/>
            <w:r w:rsidRPr="003F00AF">
              <w:rPr>
                <w:color w:val="FFFFFF" w:themeColor="background1"/>
                <w:sz w:val="22"/>
                <w:szCs w:val="22"/>
              </w:rPr>
              <w:t xml:space="preserve"> </w:t>
            </w:r>
          </w:p>
        </w:tc>
      </w:tr>
      <w:bookmarkEnd w:id="14"/>
      <w:tr w:rsidR="00245A21" w:rsidRPr="003F00AF" w14:paraId="09F9E1C9" w14:textId="77777777" w:rsidTr="00BD53A2">
        <w:trPr>
          <w:gridAfter w:val="1"/>
          <w:wAfter w:w="544" w:type="dxa"/>
        </w:trPr>
        <w:tc>
          <w:tcPr>
            <w:tcW w:w="9350" w:type="dxa"/>
            <w:gridSpan w:val="23"/>
            <w:shd w:val="clear" w:color="auto" w:fill="auto"/>
            <w:vAlign w:val="center"/>
          </w:tcPr>
          <w:p w14:paraId="37C7E06F" w14:textId="14969670" w:rsidR="00245A21" w:rsidRPr="003F00AF" w:rsidRDefault="00245A21" w:rsidP="00245A21">
            <w:pPr>
              <w:keepNext/>
              <w:keepLines/>
              <w:rPr>
                <w:b/>
                <w:bCs/>
                <w:color w:val="606060"/>
                <w:sz w:val="22"/>
                <w:szCs w:val="22"/>
              </w:rPr>
            </w:pPr>
            <w:r w:rsidRPr="003F00AF">
              <w:rPr>
                <w:b/>
                <w:bCs/>
                <w:sz w:val="22"/>
                <w:szCs w:val="22"/>
              </w:rPr>
              <w:t xml:space="preserve"> Peru First Programmatic Environmental Development Policy Loan/DDO</w:t>
            </w:r>
          </w:p>
        </w:tc>
      </w:tr>
      <w:tr w:rsidR="00245A21" w:rsidRPr="003F00AF" w14:paraId="1101F3EF" w14:textId="77777777" w:rsidTr="00BD53A2">
        <w:trPr>
          <w:gridAfter w:val="1"/>
          <w:wAfter w:w="544" w:type="dxa"/>
        </w:trPr>
        <w:tc>
          <w:tcPr>
            <w:tcW w:w="1794" w:type="dxa"/>
            <w:shd w:val="clear" w:color="auto" w:fill="auto"/>
            <w:vAlign w:val="center"/>
          </w:tcPr>
          <w:p w14:paraId="52579F3B" w14:textId="77777777" w:rsidR="00245A21" w:rsidRPr="003F00AF" w:rsidRDefault="00245A21" w:rsidP="00245A21">
            <w:pPr>
              <w:keepNext/>
              <w:keepLines/>
              <w:jc w:val="center"/>
              <w:rPr>
                <w:b/>
                <w:bCs/>
                <w:color w:val="606060"/>
                <w:sz w:val="22"/>
                <w:szCs w:val="22"/>
              </w:rPr>
            </w:pPr>
            <w:r w:rsidRPr="003F00AF">
              <w:rPr>
                <w:b/>
                <w:bCs/>
                <w:color w:val="606060"/>
                <w:sz w:val="22"/>
                <w:szCs w:val="22"/>
              </w:rPr>
              <w:t>Process</w:t>
            </w:r>
          </w:p>
        </w:tc>
        <w:tc>
          <w:tcPr>
            <w:tcW w:w="1793" w:type="dxa"/>
            <w:gridSpan w:val="7"/>
            <w:shd w:val="clear" w:color="auto" w:fill="auto"/>
            <w:vAlign w:val="center"/>
          </w:tcPr>
          <w:p w14:paraId="068471A7" w14:textId="77777777" w:rsidR="00245A21" w:rsidRPr="003F00AF" w:rsidRDefault="00245A21" w:rsidP="00245A21">
            <w:pPr>
              <w:keepNext/>
              <w:keepLines/>
              <w:jc w:val="center"/>
              <w:rPr>
                <w:b/>
                <w:bCs/>
                <w:color w:val="606060"/>
                <w:sz w:val="22"/>
                <w:szCs w:val="22"/>
              </w:rPr>
            </w:pPr>
            <w:r w:rsidRPr="003F00AF">
              <w:rPr>
                <w:b/>
                <w:bCs/>
                <w:color w:val="606060"/>
                <w:sz w:val="22"/>
                <w:szCs w:val="22"/>
              </w:rPr>
              <w:t>Date</w:t>
            </w:r>
          </w:p>
        </w:tc>
        <w:tc>
          <w:tcPr>
            <w:tcW w:w="1794" w:type="dxa"/>
            <w:gridSpan w:val="5"/>
            <w:shd w:val="clear" w:color="auto" w:fill="auto"/>
            <w:vAlign w:val="center"/>
          </w:tcPr>
          <w:p w14:paraId="2208D7A1" w14:textId="77777777" w:rsidR="00245A21" w:rsidRPr="003F00AF" w:rsidRDefault="00245A21" w:rsidP="00245A21">
            <w:pPr>
              <w:keepNext/>
              <w:keepLines/>
              <w:jc w:val="center"/>
              <w:rPr>
                <w:b/>
                <w:bCs/>
                <w:color w:val="606060"/>
                <w:sz w:val="22"/>
                <w:szCs w:val="22"/>
              </w:rPr>
            </w:pPr>
            <w:r w:rsidRPr="003F00AF">
              <w:rPr>
                <w:b/>
                <w:bCs/>
                <w:color w:val="606060"/>
                <w:sz w:val="22"/>
                <w:szCs w:val="22"/>
              </w:rPr>
              <w:t>Process</w:t>
            </w:r>
          </w:p>
        </w:tc>
        <w:tc>
          <w:tcPr>
            <w:tcW w:w="2097" w:type="dxa"/>
            <w:gridSpan w:val="8"/>
            <w:shd w:val="clear" w:color="auto" w:fill="auto"/>
            <w:vAlign w:val="center"/>
          </w:tcPr>
          <w:p w14:paraId="48450BA9" w14:textId="77777777" w:rsidR="00245A21" w:rsidRPr="003F00AF" w:rsidRDefault="00245A21" w:rsidP="00245A21">
            <w:pPr>
              <w:keepNext/>
              <w:keepLines/>
              <w:jc w:val="center"/>
              <w:rPr>
                <w:b/>
                <w:bCs/>
                <w:color w:val="606060"/>
                <w:sz w:val="22"/>
                <w:szCs w:val="22"/>
              </w:rPr>
            </w:pPr>
            <w:r w:rsidRPr="003F00AF">
              <w:rPr>
                <w:b/>
                <w:bCs/>
                <w:color w:val="606060"/>
                <w:sz w:val="22"/>
                <w:szCs w:val="22"/>
              </w:rPr>
              <w:t>Original Date</w:t>
            </w:r>
          </w:p>
        </w:tc>
        <w:tc>
          <w:tcPr>
            <w:tcW w:w="1872" w:type="dxa"/>
            <w:gridSpan w:val="2"/>
            <w:shd w:val="clear" w:color="auto" w:fill="auto"/>
            <w:vAlign w:val="center"/>
          </w:tcPr>
          <w:p w14:paraId="1BDD39DF" w14:textId="77777777" w:rsidR="00245A21" w:rsidRPr="003F00AF" w:rsidRDefault="00245A21" w:rsidP="00245A21">
            <w:pPr>
              <w:keepNext/>
              <w:keepLines/>
              <w:jc w:val="center"/>
              <w:rPr>
                <w:b/>
                <w:bCs/>
                <w:color w:val="606060"/>
                <w:sz w:val="22"/>
                <w:szCs w:val="22"/>
              </w:rPr>
            </w:pPr>
            <w:r w:rsidRPr="003F00AF">
              <w:rPr>
                <w:b/>
                <w:bCs/>
                <w:color w:val="606060"/>
                <w:sz w:val="22"/>
                <w:szCs w:val="22"/>
              </w:rPr>
              <w:t>Revised / Actual Date(s)</w:t>
            </w:r>
          </w:p>
        </w:tc>
      </w:tr>
      <w:tr w:rsidR="00245A21" w:rsidRPr="003F00AF" w14:paraId="7AE04254" w14:textId="77777777" w:rsidTr="00BD53A2">
        <w:trPr>
          <w:gridAfter w:val="1"/>
          <w:wAfter w:w="544" w:type="dxa"/>
        </w:trPr>
        <w:tc>
          <w:tcPr>
            <w:tcW w:w="1794" w:type="dxa"/>
            <w:shd w:val="clear" w:color="auto" w:fill="auto"/>
            <w:vAlign w:val="center"/>
          </w:tcPr>
          <w:p w14:paraId="12F7DC16" w14:textId="77777777" w:rsidR="00245A21" w:rsidRPr="003F00AF" w:rsidRDefault="00245A21" w:rsidP="00245A21">
            <w:pPr>
              <w:rPr>
                <w:color w:val="000000"/>
                <w:sz w:val="22"/>
                <w:szCs w:val="22"/>
              </w:rPr>
            </w:pPr>
            <w:r w:rsidRPr="003F00AF">
              <w:rPr>
                <w:color w:val="000000"/>
                <w:sz w:val="22"/>
                <w:szCs w:val="22"/>
              </w:rPr>
              <w:t xml:space="preserve"> Concept Review:</w:t>
            </w:r>
          </w:p>
        </w:tc>
        <w:tc>
          <w:tcPr>
            <w:tcW w:w="1793" w:type="dxa"/>
            <w:gridSpan w:val="7"/>
            <w:shd w:val="clear" w:color="auto" w:fill="auto"/>
            <w:vAlign w:val="center"/>
          </w:tcPr>
          <w:p w14:paraId="49C2FDAD" w14:textId="77777777" w:rsidR="00245A21" w:rsidRPr="003F00AF" w:rsidRDefault="00245A21" w:rsidP="00245A21">
            <w:pPr>
              <w:jc w:val="center"/>
              <w:rPr>
                <w:color w:val="000000"/>
                <w:sz w:val="22"/>
                <w:szCs w:val="22"/>
              </w:rPr>
            </w:pPr>
            <w:r w:rsidRPr="003F00AF">
              <w:rPr>
                <w:color w:val="000000"/>
                <w:sz w:val="22"/>
                <w:szCs w:val="22"/>
              </w:rPr>
              <w:t>08/07/2008</w:t>
            </w:r>
          </w:p>
        </w:tc>
        <w:tc>
          <w:tcPr>
            <w:tcW w:w="1794" w:type="dxa"/>
            <w:gridSpan w:val="5"/>
            <w:shd w:val="clear" w:color="auto" w:fill="auto"/>
            <w:vAlign w:val="center"/>
          </w:tcPr>
          <w:p w14:paraId="588AACD7" w14:textId="77777777" w:rsidR="00245A21" w:rsidRPr="003F00AF" w:rsidRDefault="00245A21" w:rsidP="00245A21">
            <w:pPr>
              <w:rPr>
                <w:color w:val="000000"/>
                <w:sz w:val="22"/>
                <w:szCs w:val="22"/>
              </w:rPr>
            </w:pPr>
            <w:r w:rsidRPr="003F00AF">
              <w:rPr>
                <w:color w:val="000000"/>
                <w:sz w:val="22"/>
                <w:szCs w:val="22"/>
              </w:rPr>
              <w:t>Effectiveness:</w:t>
            </w:r>
          </w:p>
        </w:tc>
        <w:tc>
          <w:tcPr>
            <w:tcW w:w="2097" w:type="dxa"/>
            <w:gridSpan w:val="8"/>
            <w:shd w:val="clear" w:color="auto" w:fill="auto"/>
            <w:vAlign w:val="center"/>
          </w:tcPr>
          <w:p w14:paraId="5B158986" w14:textId="77777777" w:rsidR="00245A21" w:rsidRPr="003F00AF" w:rsidRDefault="00245A21" w:rsidP="00245A21">
            <w:pPr>
              <w:jc w:val="center"/>
              <w:rPr>
                <w:color w:val="000000"/>
                <w:sz w:val="22"/>
                <w:szCs w:val="22"/>
              </w:rPr>
            </w:pPr>
            <w:r w:rsidRPr="003F00AF">
              <w:rPr>
                <w:color w:val="000000"/>
                <w:sz w:val="22"/>
                <w:szCs w:val="22"/>
              </w:rPr>
              <w:t>09/25/2009</w:t>
            </w:r>
          </w:p>
        </w:tc>
        <w:tc>
          <w:tcPr>
            <w:tcW w:w="1872" w:type="dxa"/>
            <w:gridSpan w:val="2"/>
            <w:shd w:val="clear" w:color="auto" w:fill="auto"/>
            <w:vAlign w:val="center"/>
          </w:tcPr>
          <w:p w14:paraId="6449B637" w14:textId="77777777" w:rsidR="00245A21" w:rsidRPr="003F00AF" w:rsidRDefault="00245A21" w:rsidP="00245A21">
            <w:pPr>
              <w:jc w:val="center"/>
              <w:rPr>
                <w:color w:val="000000"/>
                <w:sz w:val="22"/>
                <w:szCs w:val="22"/>
              </w:rPr>
            </w:pPr>
            <w:r w:rsidRPr="003F00AF">
              <w:rPr>
                <w:color w:val="000000"/>
                <w:sz w:val="22"/>
                <w:szCs w:val="22"/>
              </w:rPr>
              <w:t>09/25/2009</w:t>
            </w:r>
          </w:p>
        </w:tc>
      </w:tr>
      <w:tr w:rsidR="00245A21" w:rsidRPr="003F00AF" w14:paraId="76B71AEA" w14:textId="77777777" w:rsidTr="00BD53A2">
        <w:trPr>
          <w:gridAfter w:val="1"/>
          <w:wAfter w:w="544" w:type="dxa"/>
        </w:trPr>
        <w:tc>
          <w:tcPr>
            <w:tcW w:w="1794" w:type="dxa"/>
            <w:shd w:val="clear" w:color="auto" w:fill="auto"/>
            <w:vAlign w:val="center"/>
          </w:tcPr>
          <w:p w14:paraId="085D955E" w14:textId="77777777" w:rsidR="00245A21" w:rsidRPr="003F00AF" w:rsidRDefault="00245A21" w:rsidP="00245A21">
            <w:pPr>
              <w:rPr>
                <w:color w:val="000000"/>
                <w:sz w:val="22"/>
                <w:szCs w:val="22"/>
              </w:rPr>
            </w:pPr>
            <w:r w:rsidRPr="003F00AF">
              <w:rPr>
                <w:color w:val="000000"/>
                <w:sz w:val="22"/>
                <w:szCs w:val="22"/>
              </w:rPr>
              <w:t xml:space="preserve"> Appraisal:</w:t>
            </w:r>
          </w:p>
        </w:tc>
        <w:tc>
          <w:tcPr>
            <w:tcW w:w="1793" w:type="dxa"/>
            <w:gridSpan w:val="7"/>
            <w:shd w:val="clear" w:color="auto" w:fill="auto"/>
            <w:vAlign w:val="center"/>
          </w:tcPr>
          <w:p w14:paraId="0937EC93" w14:textId="77777777" w:rsidR="00245A21" w:rsidRPr="003F00AF" w:rsidRDefault="00245A21" w:rsidP="00245A21">
            <w:pPr>
              <w:jc w:val="center"/>
              <w:rPr>
                <w:color w:val="000000"/>
                <w:sz w:val="22"/>
                <w:szCs w:val="22"/>
              </w:rPr>
            </w:pPr>
            <w:r w:rsidRPr="003F00AF">
              <w:rPr>
                <w:color w:val="000000"/>
                <w:sz w:val="22"/>
                <w:szCs w:val="22"/>
              </w:rPr>
              <w:t>11/24/2008</w:t>
            </w:r>
          </w:p>
        </w:tc>
        <w:tc>
          <w:tcPr>
            <w:tcW w:w="1794" w:type="dxa"/>
            <w:gridSpan w:val="5"/>
            <w:shd w:val="clear" w:color="auto" w:fill="auto"/>
            <w:vAlign w:val="center"/>
          </w:tcPr>
          <w:p w14:paraId="417B8A6F" w14:textId="77777777" w:rsidR="00245A21" w:rsidRPr="003F00AF" w:rsidRDefault="00245A21" w:rsidP="00245A21">
            <w:pPr>
              <w:rPr>
                <w:color w:val="000000"/>
                <w:sz w:val="22"/>
                <w:szCs w:val="22"/>
              </w:rPr>
            </w:pPr>
            <w:r w:rsidRPr="003F00AF">
              <w:rPr>
                <w:color w:val="000000"/>
                <w:sz w:val="22"/>
                <w:szCs w:val="22"/>
              </w:rPr>
              <w:t>Restructuring(s):</w:t>
            </w:r>
          </w:p>
        </w:tc>
        <w:tc>
          <w:tcPr>
            <w:tcW w:w="2097" w:type="dxa"/>
            <w:gridSpan w:val="8"/>
            <w:shd w:val="clear" w:color="auto" w:fill="auto"/>
            <w:vAlign w:val="center"/>
          </w:tcPr>
          <w:p w14:paraId="3B7AA5A8" w14:textId="7015FB82" w:rsidR="00245A21" w:rsidRPr="003F00AF" w:rsidRDefault="00245A21" w:rsidP="00245A21">
            <w:pPr>
              <w:jc w:val="center"/>
              <w:rPr>
                <w:color w:val="000000"/>
                <w:sz w:val="22"/>
                <w:szCs w:val="22"/>
              </w:rPr>
            </w:pPr>
            <w:r w:rsidRPr="003F00AF">
              <w:rPr>
                <w:color w:val="000000"/>
                <w:sz w:val="22"/>
                <w:szCs w:val="22"/>
              </w:rPr>
              <w:t>n.a.</w:t>
            </w:r>
          </w:p>
        </w:tc>
        <w:tc>
          <w:tcPr>
            <w:tcW w:w="1872" w:type="dxa"/>
            <w:gridSpan w:val="2"/>
            <w:shd w:val="clear" w:color="auto" w:fill="auto"/>
            <w:vAlign w:val="center"/>
          </w:tcPr>
          <w:p w14:paraId="6B31F5FF" w14:textId="2920061D" w:rsidR="00245A21" w:rsidRPr="003F00AF" w:rsidRDefault="00292ECC" w:rsidP="00292ECC">
            <w:pPr>
              <w:jc w:val="center"/>
              <w:rPr>
                <w:color w:val="000000"/>
                <w:sz w:val="22"/>
                <w:szCs w:val="22"/>
              </w:rPr>
            </w:pPr>
            <w:r>
              <w:rPr>
                <w:color w:val="000000"/>
                <w:sz w:val="22"/>
                <w:szCs w:val="22"/>
              </w:rPr>
              <w:t>06/01/2012</w:t>
            </w:r>
          </w:p>
        </w:tc>
      </w:tr>
      <w:tr w:rsidR="00245A21" w:rsidRPr="003F00AF" w14:paraId="31868AE6" w14:textId="77777777" w:rsidTr="00BD53A2">
        <w:trPr>
          <w:gridAfter w:val="1"/>
          <w:wAfter w:w="544" w:type="dxa"/>
        </w:trPr>
        <w:tc>
          <w:tcPr>
            <w:tcW w:w="1794" w:type="dxa"/>
            <w:shd w:val="clear" w:color="auto" w:fill="auto"/>
            <w:vAlign w:val="center"/>
          </w:tcPr>
          <w:p w14:paraId="699076C5" w14:textId="77777777" w:rsidR="00245A21" w:rsidRPr="003F00AF" w:rsidRDefault="00245A21" w:rsidP="00245A21">
            <w:pPr>
              <w:rPr>
                <w:color w:val="000000"/>
                <w:sz w:val="22"/>
                <w:szCs w:val="22"/>
              </w:rPr>
            </w:pPr>
            <w:r w:rsidRPr="003F00AF">
              <w:rPr>
                <w:color w:val="000000"/>
                <w:sz w:val="22"/>
                <w:szCs w:val="22"/>
              </w:rPr>
              <w:t xml:space="preserve"> Approval:</w:t>
            </w:r>
          </w:p>
        </w:tc>
        <w:tc>
          <w:tcPr>
            <w:tcW w:w="1793" w:type="dxa"/>
            <w:gridSpan w:val="7"/>
            <w:shd w:val="clear" w:color="auto" w:fill="auto"/>
            <w:vAlign w:val="center"/>
          </w:tcPr>
          <w:p w14:paraId="662955D4" w14:textId="77777777" w:rsidR="00245A21" w:rsidRPr="003F00AF" w:rsidRDefault="00245A21" w:rsidP="00245A21">
            <w:pPr>
              <w:jc w:val="center"/>
              <w:rPr>
                <w:color w:val="000000"/>
                <w:sz w:val="22"/>
                <w:szCs w:val="22"/>
              </w:rPr>
            </w:pPr>
            <w:r w:rsidRPr="003F00AF">
              <w:rPr>
                <w:color w:val="000000"/>
                <w:sz w:val="22"/>
                <w:szCs w:val="22"/>
              </w:rPr>
              <w:t>02/17/2009</w:t>
            </w:r>
          </w:p>
        </w:tc>
        <w:tc>
          <w:tcPr>
            <w:tcW w:w="1794" w:type="dxa"/>
            <w:gridSpan w:val="5"/>
            <w:shd w:val="clear" w:color="auto" w:fill="auto"/>
            <w:vAlign w:val="center"/>
          </w:tcPr>
          <w:p w14:paraId="5ACEA64B" w14:textId="77777777" w:rsidR="00245A21" w:rsidRPr="003F00AF" w:rsidRDefault="00245A21" w:rsidP="00245A21">
            <w:pPr>
              <w:rPr>
                <w:color w:val="000000"/>
                <w:sz w:val="22"/>
                <w:szCs w:val="22"/>
              </w:rPr>
            </w:pPr>
            <w:r w:rsidRPr="003F00AF">
              <w:rPr>
                <w:color w:val="000000"/>
                <w:sz w:val="22"/>
                <w:szCs w:val="22"/>
              </w:rPr>
              <w:t>Mid-term Review:</w:t>
            </w:r>
          </w:p>
        </w:tc>
        <w:tc>
          <w:tcPr>
            <w:tcW w:w="2097" w:type="dxa"/>
            <w:gridSpan w:val="8"/>
            <w:shd w:val="clear" w:color="auto" w:fill="auto"/>
            <w:vAlign w:val="center"/>
          </w:tcPr>
          <w:p w14:paraId="44CE63E3" w14:textId="49106BE2" w:rsidR="00245A21" w:rsidRPr="003F00AF" w:rsidRDefault="00245A21" w:rsidP="00245A21">
            <w:pPr>
              <w:jc w:val="center"/>
              <w:rPr>
                <w:color w:val="000000"/>
                <w:sz w:val="22"/>
                <w:szCs w:val="22"/>
              </w:rPr>
            </w:pPr>
            <w:r w:rsidRPr="003F00AF">
              <w:rPr>
                <w:color w:val="000000"/>
                <w:sz w:val="22"/>
                <w:szCs w:val="22"/>
              </w:rPr>
              <w:t>n.a.</w:t>
            </w:r>
          </w:p>
        </w:tc>
        <w:tc>
          <w:tcPr>
            <w:tcW w:w="1872" w:type="dxa"/>
            <w:gridSpan w:val="2"/>
            <w:shd w:val="clear" w:color="auto" w:fill="auto"/>
            <w:vAlign w:val="center"/>
          </w:tcPr>
          <w:p w14:paraId="3CDAD0BC" w14:textId="16079213" w:rsidR="00245A21" w:rsidRPr="003F00AF" w:rsidRDefault="00245A21" w:rsidP="00245A21">
            <w:pPr>
              <w:jc w:val="center"/>
              <w:rPr>
                <w:color w:val="000000"/>
                <w:sz w:val="22"/>
                <w:szCs w:val="22"/>
              </w:rPr>
            </w:pPr>
            <w:r w:rsidRPr="003F00AF">
              <w:rPr>
                <w:color w:val="000000"/>
                <w:sz w:val="22"/>
                <w:szCs w:val="22"/>
              </w:rPr>
              <w:t>n.a.</w:t>
            </w:r>
          </w:p>
        </w:tc>
      </w:tr>
      <w:tr w:rsidR="00245A21" w:rsidRPr="003F00AF" w14:paraId="21FA8A7F" w14:textId="77777777" w:rsidTr="00BD53A2">
        <w:trPr>
          <w:gridAfter w:val="1"/>
          <w:wAfter w:w="544" w:type="dxa"/>
        </w:trPr>
        <w:tc>
          <w:tcPr>
            <w:tcW w:w="1794" w:type="dxa"/>
            <w:shd w:val="clear" w:color="auto" w:fill="auto"/>
            <w:vAlign w:val="center"/>
          </w:tcPr>
          <w:p w14:paraId="118B61CA" w14:textId="77777777" w:rsidR="00245A21" w:rsidRPr="003F00AF" w:rsidRDefault="00245A21" w:rsidP="00245A21">
            <w:pPr>
              <w:rPr>
                <w:color w:val="000000"/>
                <w:sz w:val="22"/>
                <w:szCs w:val="22"/>
              </w:rPr>
            </w:pPr>
            <w:r w:rsidRPr="003F00AF">
              <w:rPr>
                <w:color w:val="000000"/>
                <w:sz w:val="22"/>
                <w:szCs w:val="22"/>
              </w:rPr>
              <w:t xml:space="preserve"> </w:t>
            </w:r>
          </w:p>
        </w:tc>
        <w:tc>
          <w:tcPr>
            <w:tcW w:w="1793" w:type="dxa"/>
            <w:gridSpan w:val="7"/>
            <w:shd w:val="clear" w:color="auto" w:fill="auto"/>
            <w:vAlign w:val="center"/>
          </w:tcPr>
          <w:p w14:paraId="2B3339C2" w14:textId="77777777" w:rsidR="00245A21" w:rsidRPr="003F00AF" w:rsidRDefault="00245A21" w:rsidP="00245A21">
            <w:pPr>
              <w:jc w:val="center"/>
              <w:rPr>
                <w:color w:val="000000"/>
                <w:sz w:val="22"/>
                <w:szCs w:val="22"/>
              </w:rPr>
            </w:pPr>
          </w:p>
        </w:tc>
        <w:tc>
          <w:tcPr>
            <w:tcW w:w="1794" w:type="dxa"/>
            <w:gridSpan w:val="5"/>
            <w:shd w:val="clear" w:color="auto" w:fill="auto"/>
            <w:vAlign w:val="center"/>
          </w:tcPr>
          <w:p w14:paraId="673B83DE" w14:textId="77777777" w:rsidR="00245A21" w:rsidRPr="003F00AF" w:rsidRDefault="00245A21" w:rsidP="00245A21">
            <w:pPr>
              <w:rPr>
                <w:color w:val="000000"/>
                <w:sz w:val="22"/>
                <w:szCs w:val="22"/>
              </w:rPr>
            </w:pPr>
            <w:r w:rsidRPr="003F00AF">
              <w:rPr>
                <w:color w:val="000000"/>
                <w:sz w:val="22"/>
                <w:szCs w:val="22"/>
              </w:rPr>
              <w:t>Closing:</w:t>
            </w:r>
          </w:p>
        </w:tc>
        <w:tc>
          <w:tcPr>
            <w:tcW w:w="2097" w:type="dxa"/>
            <w:gridSpan w:val="8"/>
            <w:shd w:val="clear" w:color="auto" w:fill="auto"/>
            <w:vAlign w:val="center"/>
          </w:tcPr>
          <w:p w14:paraId="713EC4EC" w14:textId="77777777" w:rsidR="00245A21" w:rsidRPr="003F00AF" w:rsidRDefault="00245A21" w:rsidP="00245A21">
            <w:pPr>
              <w:jc w:val="center"/>
              <w:rPr>
                <w:color w:val="000000"/>
                <w:sz w:val="22"/>
                <w:szCs w:val="22"/>
              </w:rPr>
            </w:pPr>
            <w:r w:rsidRPr="003F00AF">
              <w:rPr>
                <w:color w:val="000000"/>
                <w:sz w:val="22"/>
                <w:szCs w:val="22"/>
              </w:rPr>
              <w:t>02/17/2012</w:t>
            </w:r>
          </w:p>
        </w:tc>
        <w:tc>
          <w:tcPr>
            <w:tcW w:w="1872" w:type="dxa"/>
            <w:gridSpan w:val="2"/>
            <w:shd w:val="clear" w:color="auto" w:fill="auto"/>
            <w:vAlign w:val="center"/>
          </w:tcPr>
          <w:p w14:paraId="10157372" w14:textId="77777777" w:rsidR="00245A21" w:rsidRPr="003F00AF" w:rsidRDefault="00245A21" w:rsidP="00245A21">
            <w:pPr>
              <w:jc w:val="center"/>
              <w:rPr>
                <w:color w:val="000000"/>
                <w:sz w:val="22"/>
                <w:szCs w:val="22"/>
              </w:rPr>
            </w:pPr>
            <w:r w:rsidRPr="003F00AF">
              <w:rPr>
                <w:color w:val="000000"/>
                <w:sz w:val="22"/>
                <w:szCs w:val="22"/>
              </w:rPr>
              <w:t>09/08/2015</w:t>
            </w:r>
          </w:p>
        </w:tc>
      </w:tr>
      <w:tr w:rsidR="00245A21" w:rsidRPr="003F00AF" w14:paraId="4B1912C3" w14:textId="77777777" w:rsidTr="00BD53A2">
        <w:trPr>
          <w:gridAfter w:val="1"/>
          <w:wAfter w:w="544" w:type="dxa"/>
        </w:trPr>
        <w:tc>
          <w:tcPr>
            <w:tcW w:w="9350" w:type="dxa"/>
            <w:gridSpan w:val="23"/>
            <w:shd w:val="clear" w:color="auto" w:fill="auto"/>
            <w:vAlign w:val="center"/>
          </w:tcPr>
          <w:p w14:paraId="239FF8D0" w14:textId="0F281A35" w:rsidR="00245A21" w:rsidRPr="003F00AF" w:rsidRDefault="00245A21" w:rsidP="00245A21">
            <w:pPr>
              <w:keepNext/>
              <w:keepLines/>
              <w:rPr>
                <w:b/>
                <w:bCs/>
                <w:color w:val="606060"/>
                <w:sz w:val="22"/>
                <w:szCs w:val="22"/>
              </w:rPr>
            </w:pPr>
            <w:r w:rsidRPr="003F00AF">
              <w:rPr>
                <w:b/>
                <w:bCs/>
                <w:color w:val="606060"/>
                <w:sz w:val="22"/>
                <w:szCs w:val="22"/>
              </w:rPr>
              <w:t xml:space="preserve"> </w:t>
            </w:r>
            <w:r w:rsidRPr="003F00AF">
              <w:rPr>
                <w:b/>
                <w:bCs/>
                <w:sz w:val="22"/>
                <w:szCs w:val="22"/>
              </w:rPr>
              <w:t>Second Programmatic Environmental Development Policy Loan</w:t>
            </w:r>
          </w:p>
        </w:tc>
      </w:tr>
      <w:tr w:rsidR="00245A21" w:rsidRPr="003F00AF" w14:paraId="7E2B015E" w14:textId="77777777" w:rsidTr="00BD53A2">
        <w:trPr>
          <w:gridAfter w:val="1"/>
          <w:wAfter w:w="544" w:type="dxa"/>
        </w:trPr>
        <w:tc>
          <w:tcPr>
            <w:tcW w:w="1794" w:type="dxa"/>
            <w:shd w:val="clear" w:color="auto" w:fill="auto"/>
            <w:vAlign w:val="center"/>
          </w:tcPr>
          <w:p w14:paraId="1BF19C75" w14:textId="77777777" w:rsidR="00245A21" w:rsidRPr="003F00AF" w:rsidRDefault="00245A21" w:rsidP="00245A21">
            <w:pPr>
              <w:rPr>
                <w:color w:val="000000"/>
                <w:sz w:val="22"/>
                <w:szCs w:val="22"/>
              </w:rPr>
            </w:pPr>
            <w:r w:rsidRPr="003F00AF">
              <w:rPr>
                <w:color w:val="000000"/>
                <w:sz w:val="22"/>
                <w:szCs w:val="22"/>
              </w:rPr>
              <w:t xml:space="preserve"> Concept Review:</w:t>
            </w:r>
          </w:p>
        </w:tc>
        <w:tc>
          <w:tcPr>
            <w:tcW w:w="1793" w:type="dxa"/>
            <w:gridSpan w:val="7"/>
            <w:shd w:val="clear" w:color="auto" w:fill="auto"/>
            <w:vAlign w:val="center"/>
          </w:tcPr>
          <w:p w14:paraId="1F0BF146" w14:textId="77777777" w:rsidR="00245A21" w:rsidRPr="003F00AF" w:rsidRDefault="00245A21" w:rsidP="00245A21">
            <w:pPr>
              <w:jc w:val="center"/>
              <w:rPr>
                <w:color w:val="000000"/>
                <w:sz w:val="22"/>
                <w:szCs w:val="22"/>
              </w:rPr>
            </w:pPr>
            <w:r w:rsidRPr="003F00AF">
              <w:rPr>
                <w:color w:val="000000"/>
                <w:sz w:val="22"/>
                <w:szCs w:val="22"/>
              </w:rPr>
              <w:t>09/10/2009</w:t>
            </w:r>
          </w:p>
        </w:tc>
        <w:tc>
          <w:tcPr>
            <w:tcW w:w="1794" w:type="dxa"/>
            <w:gridSpan w:val="5"/>
            <w:shd w:val="clear" w:color="auto" w:fill="auto"/>
            <w:vAlign w:val="center"/>
          </w:tcPr>
          <w:p w14:paraId="2833C9D2" w14:textId="77777777" w:rsidR="00245A21" w:rsidRPr="003F00AF" w:rsidRDefault="00245A21" w:rsidP="00245A21">
            <w:pPr>
              <w:rPr>
                <w:color w:val="000000"/>
                <w:sz w:val="22"/>
                <w:szCs w:val="22"/>
              </w:rPr>
            </w:pPr>
            <w:r w:rsidRPr="003F00AF">
              <w:rPr>
                <w:color w:val="000000"/>
                <w:sz w:val="22"/>
                <w:szCs w:val="22"/>
              </w:rPr>
              <w:t>Effectiveness:</w:t>
            </w:r>
          </w:p>
        </w:tc>
        <w:tc>
          <w:tcPr>
            <w:tcW w:w="2097" w:type="dxa"/>
            <w:gridSpan w:val="8"/>
            <w:shd w:val="clear" w:color="auto" w:fill="auto"/>
            <w:vAlign w:val="center"/>
          </w:tcPr>
          <w:p w14:paraId="65D24A63" w14:textId="77777777" w:rsidR="00245A21" w:rsidRPr="003F00AF" w:rsidRDefault="00245A21" w:rsidP="00245A21">
            <w:pPr>
              <w:jc w:val="center"/>
              <w:rPr>
                <w:color w:val="000000"/>
                <w:sz w:val="22"/>
                <w:szCs w:val="22"/>
              </w:rPr>
            </w:pPr>
            <w:r w:rsidRPr="003F00AF">
              <w:rPr>
                <w:color w:val="000000"/>
                <w:sz w:val="22"/>
                <w:szCs w:val="22"/>
              </w:rPr>
              <w:t>12/22/2009</w:t>
            </w:r>
          </w:p>
        </w:tc>
        <w:tc>
          <w:tcPr>
            <w:tcW w:w="1872" w:type="dxa"/>
            <w:gridSpan w:val="2"/>
            <w:shd w:val="clear" w:color="auto" w:fill="auto"/>
            <w:vAlign w:val="center"/>
          </w:tcPr>
          <w:p w14:paraId="4F7CB4A5" w14:textId="77777777" w:rsidR="00245A21" w:rsidRPr="003F00AF" w:rsidRDefault="00245A21" w:rsidP="00245A21">
            <w:pPr>
              <w:jc w:val="center"/>
              <w:rPr>
                <w:color w:val="000000"/>
                <w:sz w:val="22"/>
                <w:szCs w:val="22"/>
              </w:rPr>
            </w:pPr>
            <w:r w:rsidRPr="003F00AF">
              <w:rPr>
                <w:color w:val="000000"/>
                <w:sz w:val="22"/>
                <w:szCs w:val="22"/>
              </w:rPr>
              <w:t>12/22/2009</w:t>
            </w:r>
          </w:p>
        </w:tc>
      </w:tr>
      <w:tr w:rsidR="00245A21" w:rsidRPr="003F00AF" w14:paraId="19E17D4A" w14:textId="77777777" w:rsidTr="00BD53A2">
        <w:trPr>
          <w:gridAfter w:val="1"/>
          <w:wAfter w:w="544" w:type="dxa"/>
        </w:trPr>
        <w:tc>
          <w:tcPr>
            <w:tcW w:w="1794" w:type="dxa"/>
            <w:shd w:val="clear" w:color="auto" w:fill="auto"/>
            <w:vAlign w:val="center"/>
          </w:tcPr>
          <w:p w14:paraId="52E074C6" w14:textId="77777777" w:rsidR="00245A21" w:rsidRPr="003F00AF" w:rsidRDefault="00245A21" w:rsidP="00245A21">
            <w:pPr>
              <w:rPr>
                <w:color w:val="000000"/>
                <w:sz w:val="22"/>
                <w:szCs w:val="22"/>
              </w:rPr>
            </w:pPr>
            <w:r w:rsidRPr="003F00AF">
              <w:rPr>
                <w:color w:val="000000"/>
                <w:sz w:val="22"/>
                <w:szCs w:val="22"/>
              </w:rPr>
              <w:t xml:space="preserve"> Appraisal:</w:t>
            </w:r>
          </w:p>
        </w:tc>
        <w:tc>
          <w:tcPr>
            <w:tcW w:w="1793" w:type="dxa"/>
            <w:gridSpan w:val="7"/>
            <w:shd w:val="clear" w:color="auto" w:fill="auto"/>
            <w:vAlign w:val="center"/>
          </w:tcPr>
          <w:p w14:paraId="07ECB310" w14:textId="77777777" w:rsidR="00245A21" w:rsidRPr="003F00AF" w:rsidRDefault="00245A21" w:rsidP="00245A21">
            <w:pPr>
              <w:jc w:val="center"/>
              <w:rPr>
                <w:color w:val="000000"/>
                <w:sz w:val="22"/>
                <w:szCs w:val="22"/>
              </w:rPr>
            </w:pPr>
            <w:r w:rsidRPr="003F00AF">
              <w:rPr>
                <w:color w:val="000000"/>
                <w:sz w:val="22"/>
                <w:szCs w:val="22"/>
              </w:rPr>
              <w:t>10/16/2009</w:t>
            </w:r>
          </w:p>
        </w:tc>
        <w:tc>
          <w:tcPr>
            <w:tcW w:w="1794" w:type="dxa"/>
            <w:gridSpan w:val="5"/>
            <w:shd w:val="clear" w:color="auto" w:fill="auto"/>
            <w:vAlign w:val="center"/>
          </w:tcPr>
          <w:p w14:paraId="1E9E2C34" w14:textId="77777777" w:rsidR="00245A21" w:rsidRPr="003F00AF" w:rsidRDefault="00245A21" w:rsidP="00245A21">
            <w:pPr>
              <w:rPr>
                <w:color w:val="000000"/>
                <w:sz w:val="22"/>
                <w:szCs w:val="22"/>
              </w:rPr>
            </w:pPr>
            <w:r w:rsidRPr="003F00AF">
              <w:rPr>
                <w:color w:val="000000"/>
                <w:sz w:val="22"/>
                <w:szCs w:val="22"/>
              </w:rPr>
              <w:t>Restructuring(s):</w:t>
            </w:r>
          </w:p>
        </w:tc>
        <w:tc>
          <w:tcPr>
            <w:tcW w:w="2097" w:type="dxa"/>
            <w:gridSpan w:val="8"/>
            <w:shd w:val="clear" w:color="auto" w:fill="auto"/>
            <w:vAlign w:val="center"/>
          </w:tcPr>
          <w:p w14:paraId="351293FE" w14:textId="10821921" w:rsidR="00245A21" w:rsidRPr="003F00AF" w:rsidRDefault="00245A21" w:rsidP="00245A21">
            <w:pPr>
              <w:jc w:val="center"/>
              <w:rPr>
                <w:color w:val="000000"/>
                <w:sz w:val="22"/>
                <w:szCs w:val="22"/>
              </w:rPr>
            </w:pPr>
            <w:r w:rsidRPr="003F00AF">
              <w:rPr>
                <w:color w:val="000000"/>
                <w:sz w:val="22"/>
                <w:szCs w:val="22"/>
              </w:rPr>
              <w:t>n.a.</w:t>
            </w:r>
          </w:p>
        </w:tc>
        <w:tc>
          <w:tcPr>
            <w:tcW w:w="1872" w:type="dxa"/>
            <w:gridSpan w:val="2"/>
            <w:shd w:val="clear" w:color="auto" w:fill="auto"/>
            <w:vAlign w:val="center"/>
          </w:tcPr>
          <w:p w14:paraId="24C44D98" w14:textId="6A0AD177" w:rsidR="00245A21" w:rsidRPr="003F00AF" w:rsidRDefault="00245A21" w:rsidP="00245A21">
            <w:pPr>
              <w:jc w:val="center"/>
              <w:rPr>
                <w:color w:val="000000"/>
                <w:sz w:val="22"/>
                <w:szCs w:val="22"/>
              </w:rPr>
            </w:pPr>
            <w:r w:rsidRPr="003F00AF">
              <w:rPr>
                <w:color w:val="000000"/>
                <w:sz w:val="22"/>
                <w:szCs w:val="22"/>
              </w:rPr>
              <w:t>n.a.</w:t>
            </w:r>
          </w:p>
        </w:tc>
      </w:tr>
      <w:tr w:rsidR="00245A21" w:rsidRPr="003F00AF" w14:paraId="61FE589A" w14:textId="77777777" w:rsidTr="00BD53A2">
        <w:trPr>
          <w:gridAfter w:val="1"/>
          <w:wAfter w:w="544" w:type="dxa"/>
        </w:trPr>
        <w:tc>
          <w:tcPr>
            <w:tcW w:w="1794" w:type="dxa"/>
            <w:shd w:val="clear" w:color="auto" w:fill="auto"/>
            <w:vAlign w:val="center"/>
          </w:tcPr>
          <w:p w14:paraId="7A9034C7" w14:textId="77777777" w:rsidR="00245A21" w:rsidRPr="003F00AF" w:rsidRDefault="00245A21" w:rsidP="00245A21">
            <w:pPr>
              <w:rPr>
                <w:color w:val="000000"/>
                <w:sz w:val="22"/>
                <w:szCs w:val="22"/>
              </w:rPr>
            </w:pPr>
            <w:r w:rsidRPr="003F00AF">
              <w:rPr>
                <w:color w:val="000000"/>
                <w:sz w:val="22"/>
                <w:szCs w:val="22"/>
              </w:rPr>
              <w:t xml:space="preserve"> Approval:</w:t>
            </w:r>
          </w:p>
        </w:tc>
        <w:tc>
          <w:tcPr>
            <w:tcW w:w="1793" w:type="dxa"/>
            <w:gridSpan w:val="7"/>
            <w:shd w:val="clear" w:color="auto" w:fill="auto"/>
            <w:vAlign w:val="center"/>
          </w:tcPr>
          <w:p w14:paraId="0945BFA4" w14:textId="77777777" w:rsidR="00245A21" w:rsidRPr="003F00AF" w:rsidRDefault="00245A21" w:rsidP="00245A21">
            <w:pPr>
              <w:jc w:val="center"/>
              <w:rPr>
                <w:color w:val="000000"/>
                <w:sz w:val="22"/>
                <w:szCs w:val="22"/>
              </w:rPr>
            </w:pPr>
            <w:r w:rsidRPr="003F00AF">
              <w:rPr>
                <w:color w:val="000000"/>
                <w:sz w:val="22"/>
                <w:szCs w:val="22"/>
              </w:rPr>
              <w:t>12/08/2009</w:t>
            </w:r>
          </w:p>
        </w:tc>
        <w:tc>
          <w:tcPr>
            <w:tcW w:w="1794" w:type="dxa"/>
            <w:gridSpan w:val="5"/>
            <w:shd w:val="clear" w:color="auto" w:fill="auto"/>
            <w:vAlign w:val="center"/>
          </w:tcPr>
          <w:p w14:paraId="53D5A81B" w14:textId="77777777" w:rsidR="00245A21" w:rsidRPr="003F00AF" w:rsidRDefault="00245A21" w:rsidP="00245A21">
            <w:pPr>
              <w:rPr>
                <w:color w:val="000000"/>
                <w:sz w:val="22"/>
                <w:szCs w:val="22"/>
              </w:rPr>
            </w:pPr>
            <w:r w:rsidRPr="003F00AF">
              <w:rPr>
                <w:color w:val="000000"/>
                <w:sz w:val="22"/>
                <w:szCs w:val="22"/>
              </w:rPr>
              <w:t>Mid-term Review:</w:t>
            </w:r>
          </w:p>
        </w:tc>
        <w:tc>
          <w:tcPr>
            <w:tcW w:w="2097" w:type="dxa"/>
            <w:gridSpan w:val="8"/>
            <w:shd w:val="clear" w:color="auto" w:fill="auto"/>
            <w:vAlign w:val="center"/>
          </w:tcPr>
          <w:p w14:paraId="469EF01F" w14:textId="3C12B133" w:rsidR="00245A21" w:rsidRPr="003F00AF" w:rsidRDefault="00245A21" w:rsidP="00245A21">
            <w:pPr>
              <w:jc w:val="center"/>
              <w:rPr>
                <w:color w:val="000000"/>
                <w:sz w:val="22"/>
                <w:szCs w:val="22"/>
              </w:rPr>
            </w:pPr>
            <w:r w:rsidRPr="003F00AF">
              <w:rPr>
                <w:color w:val="000000"/>
                <w:sz w:val="22"/>
                <w:szCs w:val="22"/>
              </w:rPr>
              <w:t>n.a.</w:t>
            </w:r>
          </w:p>
        </w:tc>
        <w:tc>
          <w:tcPr>
            <w:tcW w:w="1872" w:type="dxa"/>
            <w:gridSpan w:val="2"/>
            <w:shd w:val="clear" w:color="auto" w:fill="auto"/>
            <w:vAlign w:val="center"/>
          </w:tcPr>
          <w:p w14:paraId="5A6EA6B5" w14:textId="3424CBBE" w:rsidR="00245A21" w:rsidRPr="003F00AF" w:rsidRDefault="00245A21" w:rsidP="00245A21">
            <w:pPr>
              <w:jc w:val="center"/>
              <w:rPr>
                <w:color w:val="000000"/>
                <w:sz w:val="22"/>
                <w:szCs w:val="22"/>
              </w:rPr>
            </w:pPr>
            <w:r w:rsidRPr="003F00AF">
              <w:rPr>
                <w:color w:val="000000"/>
                <w:sz w:val="22"/>
                <w:szCs w:val="22"/>
              </w:rPr>
              <w:t>n.a.</w:t>
            </w:r>
          </w:p>
        </w:tc>
      </w:tr>
      <w:tr w:rsidR="00245A21" w:rsidRPr="003F00AF" w14:paraId="4D37A8E4" w14:textId="77777777" w:rsidTr="00BD53A2">
        <w:trPr>
          <w:gridAfter w:val="1"/>
          <w:wAfter w:w="544" w:type="dxa"/>
        </w:trPr>
        <w:tc>
          <w:tcPr>
            <w:tcW w:w="1794" w:type="dxa"/>
            <w:shd w:val="clear" w:color="auto" w:fill="auto"/>
            <w:vAlign w:val="center"/>
          </w:tcPr>
          <w:p w14:paraId="7599E688" w14:textId="77777777" w:rsidR="00245A21" w:rsidRPr="003F00AF" w:rsidRDefault="00245A21" w:rsidP="00245A21">
            <w:pPr>
              <w:rPr>
                <w:color w:val="000000"/>
                <w:sz w:val="22"/>
                <w:szCs w:val="22"/>
              </w:rPr>
            </w:pPr>
            <w:r w:rsidRPr="003F00AF">
              <w:rPr>
                <w:color w:val="000000"/>
                <w:sz w:val="22"/>
                <w:szCs w:val="22"/>
              </w:rPr>
              <w:t xml:space="preserve"> </w:t>
            </w:r>
          </w:p>
        </w:tc>
        <w:tc>
          <w:tcPr>
            <w:tcW w:w="1793" w:type="dxa"/>
            <w:gridSpan w:val="7"/>
            <w:shd w:val="clear" w:color="auto" w:fill="auto"/>
            <w:vAlign w:val="center"/>
          </w:tcPr>
          <w:p w14:paraId="2C2DE066" w14:textId="77777777" w:rsidR="00245A21" w:rsidRPr="003F00AF" w:rsidRDefault="00245A21" w:rsidP="00245A21">
            <w:pPr>
              <w:jc w:val="center"/>
              <w:rPr>
                <w:color w:val="000000"/>
                <w:sz w:val="22"/>
                <w:szCs w:val="22"/>
              </w:rPr>
            </w:pPr>
          </w:p>
        </w:tc>
        <w:tc>
          <w:tcPr>
            <w:tcW w:w="1794" w:type="dxa"/>
            <w:gridSpan w:val="5"/>
            <w:shd w:val="clear" w:color="auto" w:fill="auto"/>
            <w:vAlign w:val="center"/>
          </w:tcPr>
          <w:p w14:paraId="77067F98" w14:textId="77777777" w:rsidR="00245A21" w:rsidRPr="003F00AF" w:rsidRDefault="00245A21" w:rsidP="00245A21">
            <w:pPr>
              <w:rPr>
                <w:color w:val="000000"/>
                <w:sz w:val="22"/>
                <w:szCs w:val="22"/>
              </w:rPr>
            </w:pPr>
            <w:r w:rsidRPr="003F00AF">
              <w:rPr>
                <w:color w:val="000000"/>
                <w:sz w:val="22"/>
                <w:szCs w:val="22"/>
              </w:rPr>
              <w:t>Closing:</w:t>
            </w:r>
          </w:p>
        </w:tc>
        <w:tc>
          <w:tcPr>
            <w:tcW w:w="2097" w:type="dxa"/>
            <w:gridSpan w:val="8"/>
            <w:shd w:val="clear" w:color="auto" w:fill="auto"/>
            <w:vAlign w:val="center"/>
          </w:tcPr>
          <w:p w14:paraId="4F59E28E" w14:textId="77777777" w:rsidR="00245A21" w:rsidRPr="003F00AF" w:rsidRDefault="00245A21" w:rsidP="00245A21">
            <w:pPr>
              <w:jc w:val="center"/>
              <w:rPr>
                <w:color w:val="000000"/>
                <w:sz w:val="22"/>
                <w:szCs w:val="22"/>
              </w:rPr>
            </w:pPr>
            <w:r w:rsidRPr="003F00AF">
              <w:rPr>
                <w:color w:val="000000"/>
                <w:sz w:val="22"/>
                <w:szCs w:val="22"/>
              </w:rPr>
              <w:t>12/31/2012</w:t>
            </w:r>
          </w:p>
        </w:tc>
        <w:tc>
          <w:tcPr>
            <w:tcW w:w="1872" w:type="dxa"/>
            <w:gridSpan w:val="2"/>
            <w:shd w:val="clear" w:color="auto" w:fill="auto"/>
            <w:vAlign w:val="center"/>
          </w:tcPr>
          <w:p w14:paraId="465530A3" w14:textId="77777777" w:rsidR="00245A21" w:rsidRPr="003F00AF" w:rsidRDefault="00245A21" w:rsidP="00245A21">
            <w:pPr>
              <w:jc w:val="center"/>
              <w:rPr>
                <w:color w:val="000000"/>
                <w:sz w:val="22"/>
                <w:szCs w:val="22"/>
              </w:rPr>
            </w:pPr>
            <w:r w:rsidRPr="003F00AF">
              <w:rPr>
                <w:color w:val="000000"/>
                <w:sz w:val="22"/>
                <w:szCs w:val="22"/>
              </w:rPr>
              <w:t>12/31/2012</w:t>
            </w:r>
          </w:p>
        </w:tc>
      </w:tr>
      <w:tr w:rsidR="00245A21" w:rsidRPr="003F00AF" w14:paraId="082E6F89" w14:textId="77777777" w:rsidTr="00BD53A2">
        <w:trPr>
          <w:gridAfter w:val="1"/>
          <w:wAfter w:w="544" w:type="dxa"/>
        </w:trPr>
        <w:tc>
          <w:tcPr>
            <w:tcW w:w="9350" w:type="dxa"/>
            <w:gridSpan w:val="23"/>
            <w:shd w:val="clear" w:color="auto" w:fill="auto"/>
            <w:vAlign w:val="center"/>
          </w:tcPr>
          <w:p w14:paraId="6B571E33" w14:textId="295EB122" w:rsidR="00245A21" w:rsidRPr="003F00AF" w:rsidRDefault="00245A21" w:rsidP="00245A21">
            <w:pPr>
              <w:keepNext/>
              <w:keepLines/>
              <w:rPr>
                <w:b/>
                <w:bCs/>
                <w:color w:val="606060"/>
                <w:sz w:val="22"/>
                <w:szCs w:val="22"/>
              </w:rPr>
            </w:pPr>
            <w:r w:rsidRPr="003F00AF">
              <w:rPr>
                <w:b/>
                <w:bCs/>
                <w:color w:val="606060"/>
                <w:sz w:val="22"/>
                <w:szCs w:val="22"/>
              </w:rPr>
              <w:t xml:space="preserve"> </w:t>
            </w:r>
            <w:r w:rsidRPr="003F00AF">
              <w:rPr>
                <w:b/>
                <w:bCs/>
                <w:sz w:val="22"/>
                <w:szCs w:val="22"/>
              </w:rPr>
              <w:t>Peru Third Programmatic Environmental Development Policy Loan</w:t>
            </w:r>
          </w:p>
        </w:tc>
      </w:tr>
      <w:tr w:rsidR="00245A21" w:rsidRPr="003F00AF" w14:paraId="6069ACD8" w14:textId="77777777" w:rsidTr="00BD53A2">
        <w:trPr>
          <w:gridAfter w:val="1"/>
          <w:wAfter w:w="544" w:type="dxa"/>
        </w:trPr>
        <w:tc>
          <w:tcPr>
            <w:tcW w:w="1794" w:type="dxa"/>
            <w:shd w:val="clear" w:color="auto" w:fill="auto"/>
            <w:vAlign w:val="center"/>
          </w:tcPr>
          <w:p w14:paraId="7879888C" w14:textId="77777777" w:rsidR="00245A21" w:rsidRPr="003F00AF" w:rsidRDefault="00245A21" w:rsidP="00245A21">
            <w:pPr>
              <w:rPr>
                <w:color w:val="000000"/>
                <w:sz w:val="22"/>
                <w:szCs w:val="22"/>
              </w:rPr>
            </w:pPr>
            <w:r w:rsidRPr="003F00AF">
              <w:rPr>
                <w:color w:val="000000"/>
                <w:sz w:val="22"/>
                <w:szCs w:val="22"/>
              </w:rPr>
              <w:t xml:space="preserve"> Concept Review:</w:t>
            </w:r>
          </w:p>
        </w:tc>
        <w:tc>
          <w:tcPr>
            <w:tcW w:w="1793" w:type="dxa"/>
            <w:gridSpan w:val="7"/>
            <w:shd w:val="clear" w:color="auto" w:fill="auto"/>
            <w:vAlign w:val="center"/>
          </w:tcPr>
          <w:p w14:paraId="69786263" w14:textId="77777777" w:rsidR="00245A21" w:rsidRPr="003F00AF" w:rsidRDefault="00245A21" w:rsidP="00245A21">
            <w:pPr>
              <w:jc w:val="center"/>
              <w:rPr>
                <w:color w:val="000000"/>
                <w:sz w:val="22"/>
                <w:szCs w:val="22"/>
              </w:rPr>
            </w:pPr>
            <w:r w:rsidRPr="003F00AF">
              <w:rPr>
                <w:color w:val="000000"/>
                <w:sz w:val="22"/>
                <w:szCs w:val="22"/>
              </w:rPr>
              <w:t>06/07/2010</w:t>
            </w:r>
          </w:p>
        </w:tc>
        <w:tc>
          <w:tcPr>
            <w:tcW w:w="1794" w:type="dxa"/>
            <w:gridSpan w:val="5"/>
            <w:shd w:val="clear" w:color="auto" w:fill="auto"/>
            <w:vAlign w:val="center"/>
          </w:tcPr>
          <w:p w14:paraId="4A634FCC" w14:textId="77777777" w:rsidR="00245A21" w:rsidRPr="003F00AF" w:rsidRDefault="00245A21" w:rsidP="00245A21">
            <w:pPr>
              <w:rPr>
                <w:color w:val="000000"/>
                <w:sz w:val="22"/>
                <w:szCs w:val="22"/>
              </w:rPr>
            </w:pPr>
            <w:r w:rsidRPr="003F00AF">
              <w:rPr>
                <w:color w:val="000000"/>
                <w:sz w:val="22"/>
                <w:szCs w:val="22"/>
              </w:rPr>
              <w:t>Effectiveness:</w:t>
            </w:r>
          </w:p>
        </w:tc>
        <w:tc>
          <w:tcPr>
            <w:tcW w:w="2097" w:type="dxa"/>
            <w:gridSpan w:val="8"/>
            <w:shd w:val="clear" w:color="auto" w:fill="auto"/>
            <w:vAlign w:val="center"/>
          </w:tcPr>
          <w:p w14:paraId="5EF92B29" w14:textId="77777777" w:rsidR="00245A21" w:rsidRPr="003F00AF" w:rsidRDefault="00245A21" w:rsidP="00245A21">
            <w:pPr>
              <w:jc w:val="center"/>
              <w:rPr>
                <w:color w:val="000000"/>
                <w:sz w:val="22"/>
                <w:szCs w:val="22"/>
              </w:rPr>
            </w:pPr>
            <w:r w:rsidRPr="003F00AF">
              <w:rPr>
                <w:color w:val="000000"/>
                <w:sz w:val="22"/>
                <w:szCs w:val="22"/>
              </w:rPr>
              <w:t>09/23/2010</w:t>
            </w:r>
          </w:p>
        </w:tc>
        <w:tc>
          <w:tcPr>
            <w:tcW w:w="1872" w:type="dxa"/>
            <w:gridSpan w:val="2"/>
            <w:shd w:val="clear" w:color="auto" w:fill="auto"/>
            <w:vAlign w:val="center"/>
          </w:tcPr>
          <w:p w14:paraId="17F9ACDF" w14:textId="77777777" w:rsidR="00245A21" w:rsidRPr="003F00AF" w:rsidRDefault="00245A21" w:rsidP="00245A21">
            <w:pPr>
              <w:jc w:val="center"/>
              <w:rPr>
                <w:color w:val="000000"/>
                <w:sz w:val="22"/>
                <w:szCs w:val="22"/>
              </w:rPr>
            </w:pPr>
            <w:r w:rsidRPr="003F00AF">
              <w:rPr>
                <w:color w:val="000000"/>
                <w:sz w:val="22"/>
                <w:szCs w:val="22"/>
              </w:rPr>
              <w:t>09/23/2010</w:t>
            </w:r>
          </w:p>
        </w:tc>
      </w:tr>
      <w:tr w:rsidR="00245A21" w:rsidRPr="003F00AF" w14:paraId="0D75945F" w14:textId="77777777" w:rsidTr="00BD53A2">
        <w:trPr>
          <w:gridAfter w:val="1"/>
          <w:wAfter w:w="544" w:type="dxa"/>
          <w:trHeight w:val="186"/>
        </w:trPr>
        <w:tc>
          <w:tcPr>
            <w:tcW w:w="1794" w:type="dxa"/>
            <w:shd w:val="clear" w:color="auto" w:fill="auto"/>
            <w:vAlign w:val="center"/>
          </w:tcPr>
          <w:p w14:paraId="5118BF65" w14:textId="77777777" w:rsidR="00245A21" w:rsidRPr="003F00AF" w:rsidRDefault="00245A21" w:rsidP="00245A21">
            <w:pPr>
              <w:rPr>
                <w:color w:val="000000"/>
                <w:sz w:val="22"/>
                <w:szCs w:val="22"/>
              </w:rPr>
            </w:pPr>
            <w:r w:rsidRPr="003F00AF">
              <w:rPr>
                <w:color w:val="000000"/>
                <w:sz w:val="22"/>
                <w:szCs w:val="22"/>
              </w:rPr>
              <w:t xml:space="preserve"> Appraisal:</w:t>
            </w:r>
          </w:p>
        </w:tc>
        <w:tc>
          <w:tcPr>
            <w:tcW w:w="1793" w:type="dxa"/>
            <w:gridSpan w:val="7"/>
            <w:shd w:val="clear" w:color="auto" w:fill="auto"/>
            <w:vAlign w:val="center"/>
          </w:tcPr>
          <w:p w14:paraId="3D73793B" w14:textId="2906F324" w:rsidR="00245A21" w:rsidRPr="003F00AF" w:rsidRDefault="00453F98" w:rsidP="00245A21">
            <w:pPr>
              <w:jc w:val="center"/>
              <w:rPr>
                <w:color w:val="000000"/>
                <w:sz w:val="22"/>
                <w:szCs w:val="22"/>
              </w:rPr>
            </w:pPr>
            <w:r>
              <w:rPr>
                <w:color w:val="000000"/>
                <w:sz w:val="22"/>
                <w:szCs w:val="22"/>
              </w:rPr>
              <w:t>06/16/2010</w:t>
            </w:r>
          </w:p>
        </w:tc>
        <w:tc>
          <w:tcPr>
            <w:tcW w:w="1794" w:type="dxa"/>
            <w:gridSpan w:val="5"/>
            <w:shd w:val="clear" w:color="auto" w:fill="auto"/>
            <w:vAlign w:val="center"/>
          </w:tcPr>
          <w:p w14:paraId="11FEA9B9" w14:textId="77777777" w:rsidR="00245A21" w:rsidRPr="003F00AF" w:rsidRDefault="00245A21" w:rsidP="00245A21">
            <w:pPr>
              <w:rPr>
                <w:color w:val="000000"/>
                <w:sz w:val="22"/>
                <w:szCs w:val="22"/>
              </w:rPr>
            </w:pPr>
            <w:r w:rsidRPr="003F00AF">
              <w:rPr>
                <w:color w:val="000000"/>
                <w:sz w:val="22"/>
                <w:szCs w:val="22"/>
              </w:rPr>
              <w:t>Restructuring(s):</w:t>
            </w:r>
          </w:p>
        </w:tc>
        <w:tc>
          <w:tcPr>
            <w:tcW w:w="2097" w:type="dxa"/>
            <w:gridSpan w:val="8"/>
            <w:shd w:val="clear" w:color="auto" w:fill="auto"/>
            <w:vAlign w:val="center"/>
          </w:tcPr>
          <w:p w14:paraId="71C1D726" w14:textId="30BE3574" w:rsidR="00245A21" w:rsidRPr="003F00AF" w:rsidRDefault="00245A21" w:rsidP="00245A21">
            <w:pPr>
              <w:jc w:val="center"/>
              <w:rPr>
                <w:color w:val="000000"/>
                <w:sz w:val="22"/>
                <w:szCs w:val="22"/>
              </w:rPr>
            </w:pPr>
            <w:r w:rsidRPr="003F00AF">
              <w:rPr>
                <w:color w:val="000000"/>
                <w:sz w:val="22"/>
                <w:szCs w:val="22"/>
              </w:rPr>
              <w:t>n.a.</w:t>
            </w:r>
          </w:p>
        </w:tc>
        <w:tc>
          <w:tcPr>
            <w:tcW w:w="1872" w:type="dxa"/>
            <w:gridSpan w:val="2"/>
            <w:shd w:val="clear" w:color="auto" w:fill="auto"/>
            <w:vAlign w:val="center"/>
          </w:tcPr>
          <w:p w14:paraId="3467CECE" w14:textId="0C15744B" w:rsidR="00245A21" w:rsidRPr="003F00AF" w:rsidRDefault="00245A21" w:rsidP="00245A21">
            <w:pPr>
              <w:jc w:val="center"/>
              <w:rPr>
                <w:color w:val="000000"/>
                <w:sz w:val="22"/>
                <w:szCs w:val="22"/>
              </w:rPr>
            </w:pPr>
            <w:r w:rsidRPr="003F00AF">
              <w:rPr>
                <w:color w:val="000000"/>
                <w:sz w:val="22"/>
                <w:szCs w:val="22"/>
              </w:rPr>
              <w:t>n.a.</w:t>
            </w:r>
          </w:p>
        </w:tc>
      </w:tr>
      <w:tr w:rsidR="00245A21" w:rsidRPr="003F00AF" w14:paraId="0990E316" w14:textId="77777777" w:rsidTr="00BD53A2">
        <w:trPr>
          <w:gridAfter w:val="1"/>
          <w:wAfter w:w="544" w:type="dxa"/>
        </w:trPr>
        <w:tc>
          <w:tcPr>
            <w:tcW w:w="1794" w:type="dxa"/>
            <w:shd w:val="clear" w:color="auto" w:fill="auto"/>
            <w:vAlign w:val="center"/>
          </w:tcPr>
          <w:p w14:paraId="72C9CAB0" w14:textId="77777777" w:rsidR="00245A21" w:rsidRPr="003F00AF" w:rsidRDefault="00245A21" w:rsidP="00245A21">
            <w:pPr>
              <w:rPr>
                <w:color w:val="000000"/>
                <w:sz w:val="22"/>
                <w:szCs w:val="22"/>
              </w:rPr>
            </w:pPr>
            <w:r w:rsidRPr="003F00AF">
              <w:rPr>
                <w:color w:val="000000"/>
                <w:sz w:val="22"/>
                <w:szCs w:val="22"/>
              </w:rPr>
              <w:t xml:space="preserve"> Approval:</w:t>
            </w:r>
          </w:p>
        </w:tc>
        <w:tc>
          <w:tcPr>
            <w:tcW w:w="1793" w:type="dxa"/>
            <w:gridSpan w:val="7"/>
            <w:shd w:val="clear" w:color="auto" w:fill="auto"/>
            <w:vAlign w:val="center"/>
          </w:tcPr>
          <w:p w14:paraId="4271BB65" w14:textId="77777777" w:rsidR="00245A21" w:rsidRPr="003F00AF" w:rsidRDefault="00245A21" w:rsidP="00245A21">
            <w:pPr>
              <w:jc w:val="center"/>
              <w:rPr>
                <w:color w:val="000000"/>
                <w:sz w:val="22"/>
                <w:szCs w:val="22"/>
              </w:rPr>
            </w:pPr>
            <w:r w:rsidRPr="003F00AF">
              <w:rPr>
                <w:color w:val="000000"/>
                <w:sz w:val="22"/>
                <w:szCs w:val="22"/>
              </w:rPr>
              <w:t>08/05/2010</w:t>
            </w:r>
          </w:p>
        </w:tc>
        <w:tc>
          <w:tcPr>
            <w:tcW w:w="1794" w:type="dxa"/>
            <w:gridSpan w:val="5"/>
            <w:shd w:val="clear" w:color="auto" w:fill="auto"/>
            <w:vAlign w:val="center"/>
          </w:tcPr>
          <w:p w14:paraId="202EFC77" w14:textId="77777777" w:rsidR="00245A21" w:rsidRPr="003F00AF" w:rsidRDefault="00245A21" w:rsidP="00245A21">
            <w:pPr>
              <w:rPr>
                <w:color w:val="000000"/>
                <w:sz w:val="22"/>
                <w:szCs w:val="22"/>
              </w:rPr>
            </w:pPr>
            <w:r w:rsidRPr="003F00AF">
              <w:rPr>
                <w:color w:val="000000"/>
                <w:sz w:val="22"/>
                <w:szCs w:val="22"/>
              </w:rPr>
              <w:t>Mid-term Review:</w:t>
            </w:r>
          </w:p>
        </w:tc>
        <w:tc>
          <w:tcPr>
            <w:tcW w:w="2097" w:type="dxa"/>
            <w:gridSpan w:val="8"/>
            <w:shd w:val="clear" w:color="auto" w:fill="auto"/>
            <w:vAlign w:val="center"/>
          </w:tcPr>
          <w:p w14:paraId="459834DA" w14:textId="2E1B09DC" w:rsidR="00245A21" w:rsidRPr="003F00AF" w:rsidRDefault="00245A21" w:rsidP="00245A21">
            <w:pPr>
              <w:jc w:val="center"/>
              <w:rPr>
                <w:color w:val="000000"/>
                <w:sz w:val="22"/>
                <w:szCs w:val="22"/>
              </w:rPr>
            </w:pPr>
            <w:r w:rsidRPr="003F00AF">
              <w:rPr>
                <w:color w:val="000000"/>
                <w:sz w:val="22"/>
                <w:szCs w:val="22"/>
              </w:rPr>
              <w:t>n.a.</w:t>
            </w:r>
          </w:p>
        </w:tc>
        <w:tc>
          <w:tcPr>
            <w:tcW w:w="1872" w:type="dxa"/>
            <w:gridSpan w:val="2"/>
            <w:shd w:val="clear" w:color="auto" w:fill="auto"/>
            <w:vAlign w:val="center"/>
          </w:tcPr>
          <w:p w14:paraId="7B305DF1" w14:textId="5E5601A1" w:rsidR="00245A21" w:rsidRPr="003F00AF" w:rsidRDefault="00245A21" w:rsidP="00245A21">
            <w:pPr>
              <w:jc w:val="center"/>
              <w:rPr>
                <w:color w:val="000000"/>
                <w:sz w:val="22"/>
                <w:szCs w:val="22"/>
              </w:rPr>
            </w:pPr>
            <w:r w:rsidRPr="003F00AF">
              <w:rPr>
                <w:color w:val="000000"/>
                <w:sz w:val="22"/>
                <w:szCs w:val="22"/>
              </w:rPr>
              <w:t>n.a.</w:t>
            </w:r>
          </w:p>
        </w:tc>
      </w:tr>
      <w:tr w:rsidR="00245A21" w:rsidRPr="003F00AF" w14:paraId="068F1F57" w14:textId="77777777" w:rsidTr="00BD53A2">
        <w:trPr>
          <w:gridAfter w:val="1"/>
          <w:wAfter w:w="544" w:type="dxa"/>
        </w:trPr>
        <w:tc>
          <w:tcPr>
            <w:tcW w:w="1794" w:type="dxa"/>
            <w:shd w:val="clear" w:color="auto" w:fill="auto"/>
            <w:vAlign w:val="center"/>
          </w:tcPr>
          <w:p w14:paraId="16647246" w14:textId="77777777" w:rsidR="00245A21" w:rsidRPr="003F00AF" w:rsidRDefault="00245A21" w:rsidP="00245A21">
            <w:pPr>
              <w:rPr>
                <w:color w:val="000000"/>
                <w:sz w:val="22"/>
                <w:szCs w:val="22"/>
              </w:rPr>
            </w:pPr>
            <w:r w:rsidRPr="003F00AF">
              <w:rPr>
                <w:color w:val="000000"/>
                <w:sz w:val="22"/>
                <w:szCs w:val="22"/>
              </w:rPr>
              <w:t xml:space="preserve"> </w:t>
            </w:r>
          </w:p>
        </w:tc>
        <w:tc>
          <w:tcPr>
            <w:tcW w:w="1793" w:type="dxa"/>
            <w:gridSpan w:val="7"/>
            <w:shd w:val="clear" w:color="auto" w:fill="auto"/>
            <w:vAlign w:val="center"/>
          </w:tcPr>
          <w:p w14:paraId="2680B282" w14:textId="77777777" w:rsidR="00245A21" w:rsidRPr="003F00AF" w:rsidRDefault="00245A21" w:rsidP="00245A21">
            <w:pPr>
              <w:jc w:val="center"/>
              <w:rPr>
                <w:color w:val="000000"/>
                <w:sz w:val="22"/>
                <w:szCs w:val="22"/>
              </w:rPr>
            </w:pPr>
          </w:p>
        </w:tc>
        <w:tc>
          <w:tcPr>
            <w:tcW w:w="1794" w:type="dxa"/>
            <w:gridSpan w:val="5"/>
            <w:shd w:val="clear" w:color="auto" w:fill="auto"/>
            <w:vAlign w:val="center"/>
          </w:tcPr>
          <w:p w14:paraId="324CFF37" w14:textId="77777777" w:rsidR="00245A21" w:rsidRPr="003F00AF" w:rsidRDefault="00245A21" w:rsidP="00245A21">
            <w:pPr>
              <w:rPr>
                <w:color w:val="000000"/>
                <w:sz w:val="22"/>
                <w:szCs w:val="22"/>
              </w:rPr>
            </w:pPr>
            <w:r w:rsidRPr="003F00AF">
              <w:rPr>
                <w:color w:val="000000"/>
                <w:sz w:val="22"/>
                <w:szCs w:val="22"/>
              </w:rPr>
              <w:t>Closing:</w:t>
            </w:r>
          </w:p>
        </w:tc>
        <w:tc>
          <w:tcPr>
            <w:tcW w:w="2097" w:type="dxa"/>
            <w:gridSpan w:val="8"/>
            <w:shd w:val="clear" w:color="auto" w:fill="auto"/>
            <w:vAlign w:val="center"/>
          </w:tcPr>
          <w:p w14:paraId="4EE7C097" w14:textId="77777777" w:rsidR="00245A21" w:rsidRPr="003F00AF" w:rsidRDefault="00245A21" w:rsidP="00245A21">
            <w:pPr>
              <w:jc w:val="center"/>
              <w:rPr>
                <w:color w:val="000000"/>
                <w:sz w:val="22"/>
                <w:szCs w:val="22"/>
              </w:rPr>
            </w:pPr>
            <w:bookmarkStart w:id="15" w:name="MILESTONE_COL_4"/>
            <w:r w:rsidRPr="003F00AF">
              <w:rPr>
                <w:color w:val="000000"/>
                <w:sz w:val="22"/>
                <w:szCs w:val="22"/>
              </w:rPr>
              <w:t>12/31/2013</w:t>
            </w:r>
            <w:bookmarkEnd w:id="15"/>
          </w:p>
        </w:tc>
        <w:tc>
          <w:tcPr>
            <w:tcW w:w="1872" w:type="dxa"/>
            <w:gridSpan w:val="2"/>
            <w:shd w:val="clear" w:color="auto" w:fill="auto"/>
            <w:vAlign w:val="center"/>
          </w:tcPr>
          <w:p w14:paraId="2BD43201" w14:textId="77777777" w:rsidR="00245A21" w:rsidRPr="003F00AF" w:rsidRDefault="00245A21" w:rsidP="00245A21">
            <w:pPr>
              <w:jc w:val="center"/>
              <w:rPr>
                <w:color w:val="000000"/>
                <w:sz w:val="22"/>
                <w:szCs w:val="22"/>
              </w:rPr>
            </w:pPr>
            <w:bookmarkStart w:id="16" w:name="MILESTONE_COL_5"/>
            <w:r w:rsidRPr="003F00AF">
              <w:rPr>
                <w:color w:val="000000"/>
                <w:sz w:val="22"/>
                <w:szCs w:val="22"/>
              </w:rPr>
              <w:t>12/31/2013</w:t>
            </w:r>
            <w:bookmarkEnd w:id="16"/>
          </w:p>
        </w:tc>
      </w:tr>
      <w:tr w:rsidR="008E18F4" w:rsidRPr="003F00AF" w14:paraId="2A944137" w14:textId="77777777" w:rsidTr="00BD53A2">
        <w:tc>
          <w:tcPr>
            <w:tcW w:w="9894" w:type="dxa"/>
            <w:gridSpan w:val="24"/>
            <w:shd w:val="clear" w:color="auto" w:fill="auto"/>
            <w:vAlign w:val="center"/>
          </w:tcPr>
          <w:p w14:paraId="394F198E" w14:textId="77777777" w:rsidR="008E18F4" w:rsidRPr="003F00AF" w:rsidRDefault="008E18F4" w:rsidP="00FA4ABA">
            <w:pPr>
              <w:pStyle w:val="ICRTOC"/>
              <w:rPr>
                <w:sz w:val="22"/>
                <w:szCs w:val="22"/>
              </w:rPr>
            </w:pPr>
            <w:bookmarkStart w:id="17" w:name="MILESTONES"/>
            <w:bookmarkStart w:id="18" w:name="_Toc448507193"/>
            <w:bookmarkStart w:id="19" w:name="_Toc448507355"/>
            <w:bookmarkStart w:id="20" w:name="RatingsSummary" w:colFirst="0" w:colLast="0"/>
            <w:bookmarkEnd w:id="17"/>
            <w:r w:rsidRPr="003F00AF">
              <w:rPr>
                <w:rStyle w:val="Strong"/>
                <w:b/>
                <w:color w:val="auto"/>
                <w:sz w:val="22"/>
                <w:szCs w:val="22"/>
              </w:rPr>
              <w:t>C. Ratings Summary</w:t>
            </w:r>
            <w:bookmarkEnd w:id="18"/>
            <w:bookmarkEnd w:id="19"/>
            <w:r w:rsidRPr="003F00AF">
              <w:rPr>
                <w:color w:val="FFFFFF" w:themeColor="background1"/>
                <w:sz w:val="22"/>
                <w:szCs w:val="22"/>
              </w:rPr>
              <w:t xml:space="preserve"> </w:t>
            </w:r>
          </w:p>
        </w:tc>
      </w:tr>
      <w:bookmarkEnd w:id="20"/>
      <w:tr w:rsidR="008E18F4" w:rsidRPr="003F00AF" w14:paraId="745051B5" w14:textId="77777777" w:rsidTr="00BD53A2">
        <w:tc>
          <w:tcPr>
            <w:tcW w:w="9894" w:type="dxa"/>
            <w:gridSpan w:val="24"/>
            <w:shd w:val="clear" w:color="auto" w:fill="auto"/>
            <w:vAlign w:val="center"/>
          </w:tcPr>
          <w:p w14:paraId="1496B2A6" w14:textId="77777777" w:rsidR="008E18F4" w:rsidRPr="003F00AF" w:rsidRDefault="008E18F4" w:rsidP="00FA4ABA">
            <w:pPr>
              <w:keepNext/>
              <w:keepLines/>
              <w:rPr>
                <w:b/>
                <w:sz w:val="22"/>
                <w:szCs w:val="22"/>
              </w:rPr>
            </w:pPr>
            <w:r w:rsidRPr="003F00AF">
              <w:rPr>
                <w:b/>
                <w:sz w:val="22"/>
                <w:szCs w:val="22"/>
              </w:rPr>
              <w:t>C.1 Performance Rating by ICR</w:t>
            </w:r>
          </w:p>
        </w:tc>
      </w:tr>
      <w:tr w:rsidR="008E18F4" w:rsidRPr="003F00AF" w14:paraId="7BD3BDD1" w14:textId="77777777" w:rsidTr="00BD53A2">
        <w:tc>
          <w:tcPr>
            <w:tcW w:w="9894" w:type="dxa"/>
            <w:gridSpan w:val="24"/>
            <w:shd w:val="clear" w:color="auto" w:fill="auto"/>
            <w:vAlign w:val="center"/>
          </w:tcPr>
          <w:p w14:paraId="485B90ED" w14:textId="77777777" w:rsidR="008E18F4" w:rsidRPr="003F00AF" w:rsidRDefault="008E18F4" w:rsidP="00FA4ABA">
            <w:pPr>
              <w:keepNext/>
              <w:keepLines/>
              <w:rPr>
                <w:b/>
                <w:sz w:val="22"/>
                <w:szCs w:val="22"/>
              </w:rPr>
            </w:pPr>
            <w:r w:rsidRPr="003F00AF">
              <w:rPr>
                <w:b/>
                <w:bCs/>
                <w:color w:val="606060"/>
                <w:sz w:val="22"/>
                <w:szCs w:val="22"/>
              </w:rPr>
              <w:t xml:space="preserve">   Overall Program Rating</w:t>
            </w:r>
          </w:p>
        </w:tc>
      </w:tr>
      <w:tr w:rsidR="008E18F4" w:rsidRPr="003F00AF" w14:paraId="793B4C03" w14:textId="77777777" w:rsidTr="00BD53A2">
        <w:trPr>
          <w:trHeight w:val="159"/>
        </w:trPr>
        <w:tc>
          <w:tcPr>
            <w:tcW w:w="3500" w:type="dxa"/>
            <w:gridSpan w:val="7"/>
            <w:shd w:val="clear" w:color="auto" w:fill="auto"/>
            <w:vAlign w:val="center"/>
          </w:tcPr>
          <w:p w14:paraId="05260672" w14:textId="24896CFC" w:rsidR="008E18F4" w:rsidRPr="003F00AF" w:rsidRDefault="008E18F4" w:rsidP="00745096">
            <w:pPr>
              <w:spacing w:line="300" w:lineRule="atLeast"/>
              <w:rPr>
                <w:i/>
                <w:color w:val="000000"/>
                <w:sz w:val="22"/>
                <w:szCs w:val="22"/>
              </w:rPr>
            </w:pPr>
            <w:r w:rsidRPr="003F00AF">
              <w:rPr>
                <w:i/>
                <w:color w:val="000000"/>
                <w:sz w:val="22"/>
                <w:szCs w:val="22"/>
              </w:rPr>
              <w:t xml:space="preserve"> Outcome</w:t>
            </w:r>
            <w:r w:rsidR="00745096" w:rsidRPr="003F00AF">
              <w:rPr>
                <w:i/>
                <w:color w:val="000000"/>
                <w:sz w:val="22"/>
                <w:szCs w:val="22"/>
              </w:rPr>
              <w:t>:</w:t>
            </w:r>
          </w:p>
        </w:tc>
        <w:tc>
          <w:tcPr>
            <w:tcW w:w="6394" w:type="dxa"/>
            <w:gridSpan w:val="17"/>
            <w:shd w:val="clear" w:color="auto" w:fill="auto"/>
            <w:vAlign w:val="center"/>
          </w:tcPr>
          <w:p w14:paraId="1ED1FF49" w14:textId="77777777" w:rsidR="008E18F4" w:rsidRPr="003F00AF" w:rsidRDefault="008E18F4" w:rsidP="00FA4ABA">
            <w:pPr>
              <w:spacing w:line="300" w:lineRule="atLeast"/>
              <w:rPr>
                <w:color w:val="000000"/>
                <w:sz w:val="22"/>
                <w:szCs w:val="22"/>
              </w:rPr>
            </w:pPr>
            <w:r w:rsidRPr="003F00AF">
              <w:rPr>
                <w:color w:val="000000"/>
                <w:sz w:val="22"/>
                <w:szCs w:val="22"/>
              </w:rPr>
              <w:t>Satisfactory</w:t>
            </w:r>
          </w:p>
        </w:tc>
      </w:tr>
      <w:tr w:rsidR="008E18F4" w:rsidRPr="003F00AF" w14:paraId="58F5B41C" w14:textId="77777777" w:rsidTr="00BD53A2">
        <w:tc>
          <w:tcPr>
            <w:tcW w:w="3500" w:type="dxa"/>
            <w:gridSpan w:val="7"/>
            <w:shd w:val="clear" w:color="auto" w:fill="auto"/>
            <w:vAlign w:val="center"/>
          </w:tcPr>
          <w:p w14:paraId="72E00DA4" w14:textId="77777777" w:rsidR="008E18F4" w:rsidRPr="003F00AF" w:rsidRDefault="008E18F4" w:rsidP="00FA4ABA">
            <w:pPr>
              <w:spacing w:line="300" w:lineRule="atLeast"/>
              <w:rPr>
                <w:i/>
                <w:color w:val="000000"/>
                <w:sz w:val="22"/>
                <w:szCs w:val="22"/>
              </w:rPr>
            </w:pPr>
            <w:r w:rsidRPr="003F00AF">
              <w:rPr>
                <w:i/>
                <w:color w:val="000000"/>
                <w:sz w:val="22"/>
                <w:szCs w:val="22"/>
              </w:rPr>
              <w:t xml:space="preserve"> Risk to Development Outcome</w:t>
            </w:r>
          </w:p>
        </w:tc>
        <w:tc>
          <w:tcPr>
            <w:tcW w:w="6394" w:type="dxa"/>
            <w:gridSpan w:val="17"/>
            <w:shd w:val="clear" w:color="auto" w:fill="auto"/>
            <w:vAlign w:val="center"/>
          </w:tcPr>
          <w:p w14:paraId="187844D7" w14:textId="77777777" w:rsidR="008E18F4" w:rsidRPr="003F00AF" w:rsidRDefault="008E18F4" w:rsidP="00FA4ABA">
            <w:pPr>
              <w:spacing w:line="300" w:lineRule="atLeast"/>
              <w:rPr>
                <w:color w:val="000000"/>
                <w:sz w:val="22"/>
                <w:szCs w:val="22"/>
              </w:rPr>
            </w:pPr>
            <w:r w:rsidRPr="003F00AF">
              <w:rPr>
                <w:color w:val="000000"/>
                <w:sz w:val="22"/>
                <w:szCs w:val="22"/>
              </w:rPr>
              <w:t>Low</w:t>
            </w:r>
          </w:p>
        </w:tc>
      </w:tr>
      <w:tr w:rsidR="008E18F4" w:rsidRPr="003F00AF" w14:paraId="03229913" w14:textId="77777777" w:rsidTr="00BD53A2">
        <w:tc>
          <w:tcPr>
            <w:tcW w:w="3500" w:type="dxa"/>
            <w:gridSpan w:val="7"/>
            <w:shd w:val="clear" w:color="auto" w:fill="auto"/>
            <w:vAlign w:val="center"/>
          </w:tcPr>
          <w:p w14:paraId="650B855D" w14:textId="77777777" w:rsidR="008E18F4" w:rsidRPr="003F00AF" w:rsidRDefault="008E18F4" w:rsidP="00FA4ABA">
            <w:pPr>
              <w:spacing w:line="300" w:lineRule="atLeast"/>
              <w:rPr>
                <w:i/>
                <w:color w:val="000000"/>
                <w:sz w:val="22"/>
                <w:szCs w:val="22"/>
              </w:rPr>
            </w:pPr>
            <w:r w:rsidRPr="003F00AF">
              <w:rPr>
                <w:i/>
                <w:color w:val="000000"/>
                <w:sz w:val="22"/>
                <w:szCs w:val="22"/>
              </w:rPr>
              <w:t xml:space="preserve"> Bank Performance</w:t>
            </w:r>
          </w:p>
        </w:tc>
        <w:tc>
          <w:tcPr>
            <w:tcW w:w="6394" w:type="dxa"/>
            <w:gridSpan w:val="17"/>
            <w:shd w:val="clear" w:color="auto" w:fill="auto"/>
            <w:vAlign w:val="center"/>
          </w:tcPr>
          <w:p w14:paraId="06082FE8" w14:textId="77777777" w:rsidR="008E18F4" w:rsidRPr="003F00AF" w:rsidRDefault="008E18F4" w:rsidP="00FA4ABA">
            <w:pPr>
              <w:spacing w:line="300" w:lineRule="atLeast"/>
              <w:rPr>
                <w:color w:val="000000"/>
                <w:sz w:val="22"/>
                <w:szCs w:val="22"/>
              </w:rPr>
            </w:pPr>
            <w:r w:rsidRPr="003F00AF">
              <w:rPr>
                <w:color w:val="000000"/>
                <w:sz w:val="22"/>
                <w:szCs w:val="22"/>
              </w:rPr>
              <w:t>Satisfactory</w:t>
            </w:r>
          </w:p>
        </w:tc>
      </w:tr>
      <w:tr w:rsidR="008E18F4" w:rsidRPr="003F00AF" w14:paraId="4E176F1F" w14:textId="77777777" w:rsidTr="00BD53A2">
        <w:tc>
          <w:tcPr>
            <w:tcW w:w="3500" w:type="dxa"/>
            <w:gridSpan w:val="7"/>
            <w:shd w:val="clear" w:color="auto" w:fill="auto"/>
            <w:vAlign w:val="center"/>
          </w:tcPr>
          <w:p w14:paraId="61570D72" w14:textId="77777777" w:rsidR="008E18F4" w:rsidRPr="003F00AF" w:rsidRDefault="008E18F4" w:rsidP="00FA4ABA">
            <w:pPr>
              <w:spacing w:line="300" w:lineRule="atLeast"/>
              <w:rPr>
                <w:i/>
                <w:color w:val="000000"/>
                <w:sz w:val="22"/>
                <w:szCs w:val="22"/>
              </w:rPr>
            </w:pPr>
            <w:r w:rsidRPr="003F00AF">
              <w:rPr>
                <w:i/>
                <w:color w:val="000000"/>
                <w:sz w:val="22"/>
                <w:szCs w:val="22"/>
              </w:rPr>
              <w:t xml:space="preserve"> </w:t>
            </w:r>
            <w:bookmarkStart w:id="21" w:name="C_1_RATING_COL_1"/>
            <w:r w:rsidRPr="003F00AF">
              <w:rPr>
                <w:i/>
                <w:color w:val="000000"/>
                <w:sz w:val="22"/>
                <w:szCs w:val="22"/>
              </w:rPr>
              <w:t>Borrower Performance</w:t>
            </w:r>
            <w:bookmarkEnd w:id="21"/>
          </w:p>
        </w:tc>
        <w:tc>
          <w:tcPr>
            <w:tcW w:w="6394" w:type="dxa"/>
            <w:gridSpan w:val="17"/>
            <w:shd w:val="clear" w:color="auto" w:fill="auto"/>
            <w:vAlign w:val="center"/>
          </w:tcPr>
          <w:p w14:paraId="63ABBA50" w14:textId="77777777" w:rsidR="008E18F4" w:rsidRPr="003F00AF" w:rsidRDefault="008E18F4" w:rsidP="00FA4ABA">
            <w:pPr>
              <w:spacing w:line="300" w:lineRule="atLeast"/>
              <w:rPr>
                <w:color w:val="000000"/>
                <w:sz w:val="22"/>
                <w:szCs w:val="22"/>
              </w:rPr>
            </w:pPr>
            <w:bookmarkStart w:id="22" w:name="C_1_RATING_COL_2"/>
            <w:bookmarkEnd w:id="22"/>
            <w:r w:rsidRPr="003F00AF">
              <w:rPr>
                <w:color w:val="000000"/>
                <w:sz w:val="22"/>
                <w:szCs w:val="22"/>
              </w:rPr>
              <w:t>Satisfactory</w:t>
            </w:r>
          </w:p>
        </w:tc>
      </w:tr>
      <w:tr w:rsidR="008E18F4" w:rsidRPr="003F00AF" w14:paraId="76D5CA2B"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740ECCDA" w14:textId="77777777" w:rsidR="008E18F4" w:rsidRPr="003F00AF" w:rsidRDefault="008E18F4" w:rsidP="00FA4ABA">
            <w:pPr>
              <w:rPr>
                <w:b/>
                <w:bCs/>
                <w:color w:val="606060"/>
                <w:sz w:val="22"/>
                <w:szCs w:val="22"/>
              </w:rPr>
            </w:pPr>
            <w:bookmarkStart w:id="23" w:name="C_1_RATING"/>
            <w:bookmarkStart w:id="24" w:name="SEC_C_1"/>
            <w:bookmarkEnd w:id="23"/>
            <w:bookmarkEnd w:id="24"/>
            <w:r w:rsidRPr="003F00AF">
              <w:rPr>
                <w:b/>
                <w:sz w:val="22"/>
                <w:szCs w:val="22"/>
              </w:rPr>
              <w:t>C.2  Detailed Ratings of Bank and Borrower Performance (by ICR)</w:t>
            </w:r>
          </w:p>
        </w:tc>
      </w:tr>
      <w:tr w:rsidR="008E18F4" w:rsidRPr="003F00AF" w14:paraId="2B2BB7FE"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02B9C0F2" w14:textId="77777777" w:rsidR="008E18F4" w:rsidRPr="003F00AF" w:rsidRDefault="008E18F4" w:rsidP="00FA4ABA">
            <w:pPr>
              <w:rPr>
                <w:b/>
                <w:bCs/>
                <w:color w:val="606060"/>
                <w:sz w:val="22"/>
                <w:szCs w:val="22"/>
              </w:rPr>
            </w:pPr>
            <w:r w:rsidRPr="003F00AF">
              <w:rPr>
                <w:b/>
                <w:bCs/>
                <w:color w:val="606060"/>
                <w:sz w:val="22"/>
                <w:szCs w:val="22"/>
              </w:rPr>
              <w:t xml:space="preserve">   Overall Program Rating</w:t>
            </w:r>
          </w:p>
        </w:tc>
      </w:tr>
      <w:tr w:rsidR="008E18F4" w:rsidRPr="003F00AF" w14:paraId="31307216" w14:textId="77777777" w:rsidTr="00BD53A2">
        <w:tblPrEx>
          <w:tblCellMar>
            <w:top w:w="10" w:type="dxa"/>
            <w:left w:w="10" w:type="dxa"/>
            <w:bottom w:w="10" w:type="dxa"/>
            <w:right w:w="10" w:type="dxa"/>
          </w:tblCellMar>
        </w:tblPrEx>
        <w:tc>
          <w:tcPr>
            <w:tcW w:w="2340" w:type="dxa"/>
            <w:gridSpan w:val="5"/>
            <w:shd w:val="clear" w:color="auto" w:fill="auto"/>
            <w:vAlign w:val="center"/>
          </w:tcPr>
          <w:p w14:paraId="473E47F8" w14:textId="77777777" w:rsidR="008E18F4" w:rsidRPr="003F00AF" w:rsidRDefault="008E18F4" w:rsidP="00FA4ABA">
            <w:pPr>
              <w:jc w:val="center"/>
              <w:rPr>
                <w:b/>
                <w:bCs/>
                <w:color w:val="606060"/>
                <w:sz w:val="22"/>
                <w:szCs w:val="22"/>
              </w:rPr>
            </w:pPr>
            <w:r w:rsidRPr="003F00AF">
              <w:rPr>
                <w:b/>
                <w:bCs/>
                <w:color w:val="606060"/>
                <w:sz w:val="22"/>
                <w:szCs w:val="22"/>
              </w:rPr>
              <w:t>Bank</w:t>
            </w:r>
          </w:p>
        </w:tc>
        <w:tc>
          <w:tcPr>
            <w:tcW w:w="2338" w:type="dxa"/>
            <w:gridSpan w:val="7"/>
            <w:shd w:val="clear" w:color="auto" w:fill="auto"/>
            <w:vAlign w:val="center"/>
          </w:tcPr>
          <w:p w14:paraId="3B5BC485" w14:textId="77777777" w:rsidR="008E18F4" w:rsidRPr="003F00AF" w:rsidRDefault="008E18F4" w:rsidP="00FA4ABA">
            <w:pPr>
              <w:jc w:val="center"/>
              <w:rPr>
                <w:b/>
                <w:bCs/>
                <w:color w:val="606060"/>
                <w:sz w:val="22"/>
                <w:szCs w:val="22"/>
              </w:rPr>
            </w:pPr>
            <w:r w:rsidRPr="003F00AF">
              <w:rPr>
                <w:b/>
                <w:bCs/>
                <w:color w:val="606060"/>
                <w:sz w:val="22"/>
                <w:szCs w:val="22"/>
              </w:rPr>
              <w:t>Ratings</w:t>
            </w:r>
          </w:p>
        </w:tc>
        <w:tc>
          <w:tcPr>
            <w:tcW w:w="2339" w:type="dxa"/>
            <w:gridSpan w:val="6"/>
            <w:shd w:val="clear" w:color="auto" w:fill="auto"/>
            <w:vAlign w:val="center"/>
          </w:tcPr>
          <w:p w14:paraId="4A8EEA79" w14:textId="77777777" w:rsidR="008E18F4" w:rsidRPr="003F00AF" w:rsidRDefault="008E18F4" w:rsidP="00FA4ABA">
            <w:pPr>
              <w:jc w:val="center"/>
              <w:rPr>
                <w:b/>
                <w:bCs/>
                <w:color w:val="606060"/>
                <w:sz w:val="22"/>
                <w:szCs w:val="22"/>
              </w:rPr>
            </w:pPr>
            <w:r w:rsidRPr="003F00AF">
              <w:rPr>
                <w:b/>
                <w:bCs/>
                <w:color w:val="606060"/>
                <w:sz w:val="22"/>
                <w:szCs w:val="22"/>
              </w:rPr>
              <w:t>Borrower</w:t>
            </w:r>
          </w:p>
        </w:tc>
        <w:tc>
          <w:tcPr>
            <w:tcW w:w="2877" w:type="dxa"/>
            <w:gridSpan w:val="6"/>
            <w:shd w:val="clear" w:color="auto" w:fill="auto"/>
            <w:vAlign w:val="center"/>
          </w:tcPr>
          <w:p w14:paraId="67C5FAB9" w14:textId="77777777" w:rsidR="008E18F4" w:rsidRPr="003F00AF" w:rsidRDefault="008E18F4" w:rsidP="00FA4ABA">
            <w:pPr>
              <w:jc w:val="center"/>
              <w:rPr>
                <w:b/>
                <w:bCs/>
                <w:color w:val="606060"/>
                <w:sz w:val="22"/>
                <w:szCs w:val="22"/>
              </w:rPr>
            </w:pPr>
            <w:r w:rsidRPr="003F00AF">
              <w:rPr>
                <w:b/>
                <w:bCs/>
                <w:color w:val="606060"/>
                <w:sz w:val="22"/>
                <w:szCs w:val="22"/>
              </w:rPr>
              <w:t>Ratings</w:t>
            </w:r>
          </w:p>
        </w:tc>
      </w:tr>
      <w:tr w:rsidR="008E18F4" w:rsidRPr="003F00AF" w14:paraId="6107CAD5" w14:textId="77777777" w:rsidTr="00BD53A2">
        <w:tblPrEx>
          <w:tblCellMar>
            <w:top w:w="10" w:type="dxa"/>
            <w:left w:w="10" w:type="dxa"/>
            <w:bottom w:w="10" w:type="dxa"/>
            <w:right w:w="10" w:type="dxa"/>
          </w:tblCellMar>
        </w:tblPrEx>
        <w:tc>
          <w:tcPr>
            <w:tcW w:w="2340" w:type="dxa"/>
            <w:gridSpan w:val="5"/>
            <w:shd w:val="clear" w:color="auto" w:fill="auto"/>
            <w:vAlign w:val="center"/>
          </w:tcPr>
          <w:p w14:paraId="2A957888" w14:textId="77777777" w:rsidR="008E18F4" w:rsidRPr="003F00AF" w:rsidRDefault="008E18F4" w:rsidP="00FA4ABA">
            <w:pPr>
              <w:spacing w:line="200" w:lineRule="atLeast"/>
              <w:rPr>
                <w:i/>
                <w:color w:val="000000"/>
                <w:sz w:val="22"/>
                <w:szCs w:val="22"/>
              </w:rPr>
            </w:pPr>
            <w:r w:rsidRPr="003F00AF">
              <w:rPr>
                <w:i/>
                <w:color w:val="000000"/>
                <w:sz w:val="22"/>
                <w:szCs w:val="22"/>
              </w:rPr>
              <w:t xml:space="preserve"> Quality at Entry</w:t>
            </w:r>
          </w:p>
        </w:tc>
        <w:tc>
          <w:tcPr>
            <w:tcW w:w="2338" w:type="dxa"/>
            <w:gridSpan w:val="7"/>
            <w:shd w:val="clear" w:color="auto" w:fill="auto"/>
            <w:vAlign w:val="center"/>
          </w:tcPr>
          <w:p w14:paraId="433DB845" w14:textId="77777777" w:rsidR="008E18F4" w:rsidRPr="003F00AF" w:rsidRDefault="008E18F4" w:rsidP="00FA4ABA">
            <w:pPr>
              <w:spacing w:line="200" w:lineRule="atLeast"/>
              <w:jc w:val="center"/>
              <w:rPr>
                <w:color w:val="000000"/>
                <w:sz w:val="22"/>
                <w:szCs w:val="22"/>
              </w:rPr>
            </w:pPr>
            <w:r w:rsidRPr="003F00AF">
              <w:rPr>
                <w:color w:val="000000"/>
                <w:sz w:val="22"/>
                <w:szCs w:val="22"/>
              </w:rPr>
              <w:t>Satisfactory</w:t>
            </w:r>
          </w:p>
        </w:tc>
        <w:tc>
          <w:tcPr>
            <w:tcW w:w="2339" w:type="dxa"/>
            <w:gridSpan w:val="6"/>
            <w:shd w:val="clear" w:color="auto" w:fill="auto"/>
            <w:vAlign w:val="center"/>
          </w:tcPr>
          <w:p w14:paraId="31D3181E" w14:textId="77777777" w:rsidR="008E18F4" w:rsidRPr="003F00AF" w:rsidRDefault="008E18F4" w:rsidP="00FA4ABA">
            <w:pPr>
              <w:spacing w:line="200" w:lineRule="atLeast"/>
              <w:rPr>
                <w:i/>
                <w:color w:val="000000"/>
                <w:sz w:val="22"/>
                <w:szCs w:val="22"/>
              </w:rPr>
            </w:pPr>
            <w:r w:rsidRPr="003F00AF">
              <w:rPr>
                <w:i/>
                <w:color w:val="000000"/>
                <w:sz w:val="22"/>
                <w:szCs w:val="22"/>
              </w:rPr>
              <w:t xml:space="preserve"> Government:</w:t>
            </w:r>
          </w:p>
        </w:tc>
        <w:tc>
          <w:tcPr>
            <w:tcW w:w="2877" w:type="dxa"/>
            <w:gridSpan w:val="6"/>
            <w:shd w:val="clear" w:color="auto" w:fill="auto"/>
            <w:vAlign w:val="center"/>
          </w:tcPr>
          <w:p w14:paraId="0A5103B4" w14:textId="77777777" w:rsidR="008E18F4" w:rsidRPr="003F00AF" w:rsidRDefault="008E18F4" w:rsidP="00FA4ABA">
            <w:pPr>
              <w:spacing w:line="200" w:lineRule="atLeast"/>
              <w:jc w:val="center"/>
              <w:rPr>
                <w:color w:val="000000"/>
                <w:sz w:val="22"/>
                <w:szCs w:val="22"/>
              </w:rPr>
            </w:pPr>
            <w:r w:rsidRPr="003F00AF">
              <w:rPr>
                <w:color w:val="000000"/>
                <w:sz w:val="22"/>
                <w:szCs w:val="22"/>
              </w:rPr>
              <w:t>Satisfactory</w:t>
            </w:r>
          </w:p>
        </w:tc>
      </w:tr>
      <w:tr w:rsidR="008E18F4" w:rsidRPr="003F00AF" w14:paraId="34E01820" w14:textId="77777777" w:rsidTr="00BD53A2">
        <w:tblPrEx>
          <w:tblCellMar>
            <w:top w:w="10" w:type="dxa"/>
            <w:left w:w="10" w:type="dxa"/>
            <w:bottom w:w="10" w:type="dxa"/>
            <w:right w:w="10" w:type="dxa"/>
          </w:tblCellMar>
        </w:tblPrEx>
        <w:tc>
          <w:tcPr>
            <w:tcW w:w="2340" w:type="dxa"/>
            <w:gridSpan w:val="5"/>
            <w:shd w:val="clear" w:color="auto" w:fill="auto"/>
            <w:vAlign w:val="center"/>
          </w:tcPr>
          <w:p w14:paraId="02FD414C" w14:textId="77777777" w:rsidR="008E18F4" w:rsidRPr="003F00AF" w:rsidRDefault="008E18F4" w:rsidP="00FA4ABA">
            <w:pPr>
              <w:spacing w:line="200" w:lineRule="atLeast"/>
              <w:rPr>
                <w:i/>
                <w:color w:val="000000"/>
                <w:sz w:val="22"/>
                <w:szCs w:val="22"/>
              </w:rPr>
            </w:pPr>
            <w:r w:rsidRPr="003F00AF">
              <w:rPr>
                <w:i/>
                <w:color w:val="000000"/>
                <w:sz w:val="22"/>
                <w:szCs w:val="22"/>
              </w:rPr>
              <w:t xml:space="preserve"> Quality of Supervision:</w:t>
            </w:r>
          </w:p>
        </w:tc>
        <w:tc>
          <w:tcPr>
            <w:tcW w:w="2338" w:type="dxa"/>
            <w:gridSpan w:val="7"/>
            <w:shd w:val="clear" w:color="auto" w:fill="auto"/>
            <w:vAlign w:val="center"/>
          </w:tcPr>
          <w:p w14:paraId="48BEB403" w14:textId="77777777" w:rsidR="008E18F4" w:rsidRPr="003F00AF" w:rsidRDefault="008E18F4" w:rsidP="00FA4ABA">
            <w:pPr>
              <w:spacing w:line="200" w:lineRule="atLeast"/>
              <w:jc w:val="center"/>
              <w:rPr>
                <w:color w:val="000000"/>
                <w:sz w:val="22"/>
                <w:szCs w:val="22"/>
              </w:rPr>
            </w:pPr>
            <w:r w:rsidRPr="003F00AF">
              <w:rPr>
                <w:color w:val="000000"/>
                <w:sz w:val="22"/>
                <w:szCs w:val="22"/>
              </w:rPr>
              <w:t>Satisfactory</w:t>
            </w:r>
          </w:p>
        </w:tc>
        <w:tc>
          <w:tcPr>
            <w:tcW w:w="2339" w:type="dxa"/>
            <w:gridSpan w:val="6"/>
            <w:shd w:val="clear" w:color="auto" w:fill="auto"/>
            <w:vAlign w:val="center"/>
          </w:tcPr>
          <w:p w14:paraId="570CA1CB" w14:textId="77777777" w:rsidR="008E18F4" w:rsidRPr="003F00AF" w:rsidRDefault="008E18F4" w:rsidP="00FA4ABA">
            <w:pPr>
              <w:spacing w:line="200" w:lineRule="atLeast"/>
              <w:rPr>
                <w:i/>
                <w:color w:val="000000"/>
                <w:sz w:val="22"/>
                <w:szCs w:val="22"/>
              </w:rPr>
            </w:pPr>
            <w:r w:rsidRPr="003F00AF">
              <w:rPr>
                <w:i/>
                <w:color w:val="000000"/>
                <w:sz w:val="22"/>
                <w:szCs w:val="22"/>
              </w:rPr>
              <w:t xml:space="preserve"> Implementing Agency/Agencies:</w:t>
            </w:r>
          </w:p>
        </w:tc>
        <w:tc>
          <w:tcPr>
            <w:tcW w:w="2877" w:type="dxa"/>
            <w:gridSpan w:val="6"/>
            <w:shd w:val="clear" w:color="auto" w:fill="auto"/>
            <w:vAlign w:val="center"/>
          </w:tcPr>
          <w:p w14:paraId="1AA7DD43" w14:textId="77777777" w:rsidR="008E18F4" w:rsidRPr="003F00AF" w:rsidRDefault="008E18F4" w:rsidP="00FA4ABA">
            <w:pPr>
              <w:spacing w:line="200" w:lineRule="atLeast"/>
              <w:jc w:val="center"/>
              <w:rPr>
                <w:color w:val="000000"/>
                <w:sz w:val="22"/>
                <w:szCs w:val="22"/>
              </w:rPr>
            </w:pPr>
            <w:r w:rsidRPr="003F00AF">
              <w:rPr>
                <w:color w:val="000000"/>
                <w:sz w:val="22"/>
                <w:szCs w:val="22"/>
              </w:rPr>
              <w:t>Satisfactory</w:t>
            </w:r>
          </w:p>
        </w:tc>
      </w:tr>
      <w:tr w:rsidR="008E18F4" w:rsidRPr="003F00AF" w14:paraId="5D1AFFC0" w14:textId="77777777" w:rsidTr="00BD53A2">
        <w:tblPrEx>
          <w:tblCellMar>
            <w:top w:w="10" w:type="dxa"/>
            <w:left w:w="10" w:type="dxa"/>
            <w:bottom w:w="10" w:type="dxa"/>
            <w:right w:w="10" w:type="dxa"/>
          </w:tblCellMar>
        </w:tblPrEx>
        <w:tc>
          <w:tcPr>
            <w:tcW w:w="2340" w:type="dxa"/>
            <w:gridSpan w:val="5"/>
            <w:shd w:val="clear" w:color="auto" w:fill="auto"/>
            <w:vAlign w:val="center"/>
          </w:tcPr>
          <w:p w14:paraId="140A53BA" w14:textId="77777777" w:rsidR="008E18F4" w:rsidRPr="003F00AF" w:rsidRDefault="008E18F4" w:rsidP="00FA4ABA">
            <w:pPr>
              <w:spacing w:line="200" w:lineRule="atLeast"/>
              <w:rPr>
                <w:b/>
                <w:i/>
                <w:color w:val="000000"/>
                <w:sz w:val="22"/>
                <w:szCs w:val="22"/>
              </w:rPr>
            </w:pPr>
            <w:r w:rsidRPr="003F00AF">
              <w:rPr>
                <w:i/>
                <w:color w:val="000000"/>
                <w:sz w:val="22"/>
                <w:szCs w:val="22"/>
              </w:rPr>
              <w:t xml:space="preserve"> </w:t>
            </w:r>
            <w:bookmarkStart w:id="25" w:name="C_2_RATING_COL_1"/>
            <w:r w:rsidRPr="003F00AF">
              <w:rPr>
                <w:b/>
                <w:i/>
                <w:color w:val="000000"/>
                <w:sz w:val="22"/>
                <w:szCs w:val="22"/>
              </w:rPr>
              <w:t>Overall Bank Performance</w:t>
            </w:r>
            <w:bookmarkEnd w:id="25"/>
          </w:p>
        </w:tc>
        <w:tc>
          <w:tcPr>
            <w:tcW w:w="2338" w:type="dxa"/>
            <w:gridSpan w:val="7"/>
            <w:shd w:val="clear" w:color="auto" w:fill="auto"/>
            <w:vAlign w:val="center"/>
          </w:tcPr>
          <w:p w14:paraId="6B3AC0B6" w14:textId="77777777" w:rsidR="008E18F4" w:rsidRPr="003F00AF" w:rsidRDefault="008E18F4" w:rsidP="00FA4ABA">
            <w:pPr>
              <w:spacing w:line="200" w:lineRule="atLeast"/>
              <w:jc w:val="center"/>
              <w:rPr>
                <w:color w:val="000000"/>
                <w:sz w:val="22"/>
                <w:szCs w:val="22"/>
              </w:rPr>
            </w:pPr>
            <w:bookmarkStart w:id="26" w:name="C_2_RATING_COL_2"/>
            <w:bookmarkEnd w:id="26"/>
            <w:r w:rsidRPr="003F00AF">
              <w:rPr>
                <w:color w:val="000000"/>
                <w:sz w:val="22"/>
                <w:szCs w:val="22"/>
              </w:rPr>
              <w:t>Satisfactory</w:t>
            </w:r>
          </w:p>
        </w:tc>
        <w:tc>
          <w:tcPr>
            <w:tcW w:w="2339" w:type="dxa"/>
            <w:gridSpan w:val="6"/>
            <w:shd w:val="clear" w:color="auto" w:fill="auto"/>
            <w:vAlign w:val="center"/>
          </w:tcPr>
          <w:p w14:paraId="48000485" w14:textId="77777777" w:rsidR="008E18F4" w:rsidRPr="003F00AF" w:rsidRDefault="008E18F4" w:rsidP="00FA4ABA">
            <w:pPr>
              <w:spacing w:line="200" w:lineRule="atLeast"/>
              <w:rPr>
                <w:b/>
                <w:i/>
                <w:color w:val="000000"/>
                <w:sz w:val="22"/>
                <w:szCs w:val="22"/>
              </w:rPr>
            </w:pPr>
            <w:r w:rsidRPr="003F00AF">
              <w:rPr>
                <w:b/>
                <w:i/>
                <w:color w:val="000000"/>
                <w:sz w:val="22"/>
                <w:szCs w:val="22"/>
              </w:rPr>
              <w:t xml:space="preserve"> </w:t>
            </w:r>
            <w:bookmarkStart w:id="27" w:name="C_2_RATING_COL_3"/>
            <w:r w:rsidRPr="003F00AF">
              <w:rPr>
                <w:b/>
                <w:i/>
                <w:color w:val="000000"/>
                <w:sz w:val="22"/>
                <w:szCs w:val="22"/>
              </w:rPr>
              <w:t>Overall Borrower Performance</w:t>
            </w:r>
            <w:bookmarkEnd w:id="27"/>
          </w:p>
        </w:tc>
        <w:tc>
          <w:tcPr>
            <w:tcW w:w="2877" w:type="dxa"/>
            <w:gridSpan w:val="6"/>
            <w:shd w:val="clear" w:color="auto" w:fill="auto"/>
            <w:vAlign w:val="center"/>
          </w:tcPr>
          <w:p w14:paraId="43BA4CA4" w14:textId="77777777" w:rsidR="008E18F4" w:rsidRPr="003F00AF" w:rsidRDefault="008E18F4" w:rsidP="00FA4ABA">
            <w:pPr>
              <w:spacing w:line="200" w:lineRule="atLeast"/>
              <w:jc w:val="center"/>
              <w:rPr>
                <w:color w:val="000000"/>
                <w:sz w:val="22"/>
                <w:szCs w:val="22"/>
              </w:rPr>
            </w:pPr>
            <w:bookmarkStart w:id="28" w:name="C_2_RATING_COL_4"/>
            <w:bookmarkEnd w:id="28"/>
            <w:r w:rsidRPr="003F00AF">
              <w:rPr>
                <w:color w:val="000000"/>
                <w:sz w:val="22"/>
                <w:szCs w:val="22"/>
              </w:rPr>
              <w:t>Satisfactory</w:t>
            </w:r>
          </w:p>
        </w:tc>
      </w:tr>
      <w:tr w:rsidR="008E18F4" w:rsidRPr="003F00AF" w14:paraId="725C94FD" w14:textId="77777777" w:rsidTr="00BD53A2">
        <w:tc>
          <w:tcPr>
            <w:tcW w:w="9894" w:type="dxa"/>
            <w:gridSpan w:val="24"/>
            <w:shd w:val="clear" w:color="auto" w:fill="auto"/>
            <w:vAlign w:val="center"/>
          </w:tcPr>
          <w:p w14:paraId="6FD25039" w14:textId="77777777" w:rsidR="008E18F4" w:rsidRPr="003F00AF" w:rsidRDefault="008E18F4" w:rsidP="00FA4ABA">
            <w:pPr>
              <w:keepNext/>
              <w:keepLines/>
              <w:rPr>
                <w:sz w:val="22"/>
                <w:szCs w:val="22"/>
              </w:rPr>
            </w:pPr>
            <w:bookmarkStart w:id="29" w:name="C_2_RATING"/>
            <w:bookmarkStart w:id="30" w:name="SEC_C_2"/>
            <w:bookmarkEnd w:id="29"/>
            <w:bookmarkEnd w:id="30"/>
            <w:r w:rsidRPr="003F00AF">
              <w:rPr>
                <w:b/>
                <w:sz w:val="22"/>
                <w:szCs w:val="22"/>
              </w:rPr>
              <w:t>C.3 Quality at Entry and Implementation Performance Indicators</w:t>
            </w:r>
          </w:p>
        </w:tc>
      </w:tr>
      <w:tr w:rsidR="008E18F4" w:rsidRPr="003F00AF" w14:paraId="5DF6254E" w14:textId="77777777" w:rsidTr="00BD53A2">
        <w:tc>
          <w:tcPr>
            <w:tcW w:w="3016" w:type="dxa"/>
            <w:gridSpan w:val="6"/>
            <w:shd w:val="clear" w:color="auto" w:fill="auto"/>
            <w:vAlign w:val="center"/>
          </w:tcPr>
          <w:p w14:paraId="64CC9888" w14:textId="77777777" w:rsidR="008E18F4" w:rsidRPr="003F00AF" w:rsidRDefault="008E18F4" w:rsidP="00FA4ABA">
            <w:pPr>
              <w:keepNext/>
              <w:keepLines/>
              <w:jc w:val="center"/>
              <w:rPr>
                <w:b/>
                <w:bCs/>
                <w:color w:val="606060"/>
                <w:sz w:val="22"/>
                <w:szCs w:val="22"/>
              </w:rPr>
            </w:pPr>
            <w:r w:rsidRPr="003F00AF">
              <w:rPr>
                <w:b/>
                <w:bCs/>
                <w:color w:val="606060"/>
                <w:sz w:val="22"/>
                <w:szCs w:val="22"/>
              </w:rPr>
              <w:t>Implementation Performance</w:t>
            </w:r>
          </w:p>
        </w:tc>
        <w:tc>
          <w:tcPr>
            <w:tcW w:w="1662" w:type="dxa"/>
            <w:gridSpan w:val="6"/>
            <w:shd w:val="clear" w:color="auto" w:fill="auto"/>
            <w:vAlign w:val="center"/>
          </w:tcPr>
          <w:p w14:paraId="18048588" w14:textId="77777777" w:rsidR="008E18F4" w:rsidRPr="003F00AF" w:rsidRDefault="008E18F4" w:rsidP="00FA4ABA">
            <w:pPr>
              <w:keepNext/>
              <w:keepLines/>
              <w:jc w:val="center"/>
              <w:rPr>
                <w:b/>
                <w:bCs/>
                <w:color w:val="606060"/>
                <w:sz w:val="22"/>
                <w:szCs w:val="22"/>
              </w:rPr>
            </w:pPr>
            <w:r w:rsidRPr="003F00AF">
              <w:rPr>
                <w:b/>
                <w:bCs/>
                <w:color w:val="606060"/>
                <w:sz w:val="22"/>
                <w:szCs w:val="22"/>
              </w:rPr>
              <w:t>Indicators</w:t>
            </w:r>
          </w:p>
        </w:tc>
        <w:tc>
          <w:tcPr>
            <w:tcW w:w="2729" w:type="dxa"/>
            <w:gridSpan w:val="8"/>
            <w:shd w:val="clear" w:color="auto" w:fill="auto"/>
            <w:vAlign w:val="center"/>
          </w:tcPr>
          <w:p w14:paraId="00836A02" w14:textId="77777777" w:rsidR="008E18F4" w:rsidRPr="003F00AF" w:rsidRDefault="008E18F4" w:rsidP="00FA4ABA">
            <w:pPr>
              <w:keepNext/>
              <w:keepLines/>
              <w:jc w:val="center"/>
              <w:rPr>
                <w:b/>
                <w:bCs/>
                <w:color w:val="606060"/>
                <w:sz w:val="22"/>
                <w:szCs w:val="22"/>
              </w:rPr>
            </w:pPr>
            <w:r w:rsidRPr="003F00AF">
              <w:rPr>
                <w:b/>
                <w:bCs/>
                <w:color w:val="606060"/>
                <w:sz w:val="22"/>
                <w:szCs w:val="22"/>
              </w:rPr>
              <w:t>QAG Assessments (if any)</w:t>
            </w:r>
          </w:p>
        </w:tc>
        <w:tc>
          <w:tcPr>
            <w:tcW w:w="2487" w:type="dxa"/>
            <w:gridSpan w:val="4"/>
            <w:shd w:val="clear" w:color="auto" w:fill="auto"/>
            <w:vAlign w:val="center"/>
          </w:tcPr>
          <w:p w14:paraId="4C8679A9" w14:textId="77777777" w:rsidR="008E18F4" w:rsidRPr="003F00AF" w:rsidRDefault="008E18F4" w:rsidP="00FA4ABA">
            <w:pPr>
              <w:keepNext/>
              <w:keepLines/>
              <w:jc w:val="center"/>
              <w:rPr>
                <w:b/>
                <w:bCs/>
                <w:color w:val="606060"/>
                <w:sz w:val="22"/>
                <w:szCs w:val="22"/>
              </w:rPr>
            </w:pPr>
            <w:r w:rsidRPr="003F00AF">
              <w:rPr>
                <w:b/>
                <w:bCs/>
                <w:color w:val="606060"/>
                <w:sz w:val="22"/>
                <w:szCs w:val="22"/>
              </w:rPr>
              <w:t>Rating:</w:t>
            </w:r>
          </w:p>
        </w:tc>
      </w:tr>
      <w:tr w:rsidR="008D5034" w:rsidRPr="003F00AF" w14:paraId="01B8B0C0" w14:textId="77777777" w:rsidTr="00BD53A2">
        <w:tc>
          <w:tcPr>
            <w:tcW w:w="9894" w:type="dxa"/>
            <w:gridSpan w:val="24"/>
            <w:shd w:val="clear" w:color="auto" w:fill="auto"/>
            <w:vAlign w:val="center"/>
          </w:tcPr>
          <w:p w14:paraId="53871EE2" w14:textId="3A0B5756" w:rsidR="008D5034" w:rsidRPr="003F00AF" w:rsidRDefault="008D5034" w:rsidP="008D5034">
            <w:pPr>
              <w:keepNext/>
              <w:keepLines/>
              <w:rPr>
                <w:b/>
                <w:bCs/>
                <w:color w:val="606060"/>
                <w:sz w:val="22"/>
                <w:szCs w:val="22"/>
              </w:rPr>
            </w:pPr>
            <w:r w:rsidRPr="003F00AF">
              <w:rPr>
                <w:b/>
                <w:bCs/>
                <w:sz w:val="22"/>
                <w:szCs w:val="22"/>
              </w:rPr>
              <w:t>Peru First Programmatic Environmental Development Policy Loan/DDO</w:t>
            </w:r>
          </w:p>
        </w:tc>
      </w:tr>
      <w:tr w:rsidR="008D5034" w:rsidRPr="003F00AF" w14:paraId="4C897619" w14:textId="77777777" w:rsidTr="00BD53A2">
        <w:tc>
          <w:tcPr>
            <w:tcW w:w="3016" w:type="dxa"/>
            <w:gridSpan w:val="6"/>
            <w:shd w:val="clear" w:color="auto" w:fill="auto"/>
            <w:vAlign w:val="center"/>
          </w:tcPr>
          <w:p w14:paraId="4EC5BF11" w14:textId="444BD6F8" w:rsidR="008D5034" w:rsidRPr="003F00AF" w:rsidRDefault="008D5034" w:rsidP="008D5034">
            <w:pPr>
              <w:keepNext/>
              <w:keepLines/>
              <w:jc w:val="center"/>
              <w:rPr>
                <w:b/>
                <w:bCs/>
                <w:color w:val="606060"/>
                <w:sz w:val="22"/>
                <w:szCs w:val="22"/>
              </w:rPr>
            </w:pPr>
            <w:r w:rsidRPr="003F00AF">
              <w:rPr>
                <w:bCs/>
                <w:i/>
                <w:sz w:val="22"/>
                <w:szCs w:val="22"/>
              </w:rPr>
              <w:t>Potential Problem Program at any time (Yes/No):</w:t>
            </w:r>
          </w:p>
        </w:tc>
        <w:tc>
          <w:tcPr>
            <w:tcW w:w="1662" w:type="dxa"/>
            <w:gridSpan w:val="6"/>
            <w:shd w:val="clear" w:color="auto" w:fill="auto"/>
            <w:vAlign w:val="center"/>
          </w:tcPr>
          <w:p w14:paraId="133FD9CD" w14:textId="2C82D26B" w:rsidR="008D5034" w:rsidRPr="003F00AF" w:rsidRDefault="008D5034" w:rsidP="008D5034">
            <w:pPr>
              <w:keepNext/>
              <w:keepLines/>
              <w:jc w:val="center"/>
              <w:rPr>
                <w:b/>
                <w:bCs/>
                <w:color w:val="606060"/>
                <w:sz w:val="22"/>
                <w:szCs w:val="22"/>
              </w:rPr>
            </w:pPr>
            <w:r w:rsidRPr="003F00AF">
              <w:rPr>
                <w:bCs/>
                <w:sz w:val="22"/>
                <w:szCs w:val="22"/>
              </w:rPr>
              <w:t>No</w:t>
            </w:r>
          </w:p>
        </w:tc>
        <w:tc>
          <w:tcPr>
            <w:tcW w:w="2729" w:type="dxa"/>
            <w:gridSpan w:val="8"/>
            <w:shd w:val="clear" w:color="auto" w:fill="auto"/>
            <w:vAlign w:val="center"/>
          </w:tcPr>
          <w:p w14:paraId="13935329" w14:textId="31CF230C" w:rsidR="008D5034" w:rsidRPr="003F00AF" w:rsidRDefault="008D5034" w:rsidP="008D5034">
            <w:pPr>
              <w:keepNext/>
              <w:keepLines/>
              <w:jc w:val="center"/>
              <w:rPr>
                <w:b/>
                <w:bCs/>
                <w:color w:val="606060"/>
                <w:sz w:val="22"/>
                <w:szCs w:val="22"/>
              </w:rPr>
            </w:pPr>
            <w:r w:rsidRPr="003F00AF">
              <w:rPr>
                <w:bCs/>
                <w:i/>
                <w:sz w:val="22"/>
                <w:szCs w:val="22"/>
              </w:rPr>
              <w:t>Quality at Entry</w:t>
            </w:r>
          </w:p>
        </w:tc>
        <w:tc>
          <w:tcPr>
            <w:tcW w:w="2487" w:type="dxa"/>
            <w:gridSpan w:val="4"/>
            <w:shd w:val="clear" w:color="auto" w:fill="auto"/>
            <w:vAlign w:val="center"/>
          </w:tcPr>
          <w:p w14:paraId="15E9FC87" w14:textId="72804478" w:rsidR="008D5034" w:rsidRPr="003F00AF" w:rsidRDefault="008D5034" w:rsidP="008D5034">
            <w:pPr>
              <w:keepNext/>
              <w:keepLines/>
              <w:jc w:val="center"/>
              <w:rPr>
                <w:b/>
                <w:bCs/>
                <w:color w:val="606060"/>
                <w:sz w:val="22"/>
                <w:szCs w:val="22"/>
              </w:rPr>
            </w:pPr>
            <w:r w:rsidRPr="003F00AF">
              <w:rPr>
                <w:bCs/>
                <w:sz w:val="22"/>
                <w:szCs w:val="22"/>
              </w:rPr>
              <w:t>None</w:t>
            </w:r>
          </w:p>
        </w:tc>
      </w:tr>
      <w:tr w:rsidR="008D5034" w:rsidRPr="003F00AF" w14:paraId="32194FC6" w14:textId="77777777" w:rsidTr="00BD53A2">
        <w:tc>
          <w:tcPr>
            <w:tcW w:w="3016" w:type="dxa"/>
            <w:gridSpan w:val="6"/>
            <w:shd w:val="clear" w:color="auto" w:fill="auto"/>
            <w:vAlign w:val="center"/>
          </w:tcPr>
          <w:p w14:paraId="0A70A2A8" w14:textId="3DCFA9E1" w:rsidR="008D5034" w:rsidRPr="003F00AF" w:rsidRDefault="008D5034" w:rsidP="008D5034">
            <w:pPr>
              <w:keepNext/>
              <w:keepLines/>
              <w:jc w:val="center"/>
              <w:rPr>
                <w:b/>
                <w:bCs/>
                <w:color w:val="606060"/>
                <w:sz w:val="22"/>
                <w:szCs w:val="22"/>
              </w:rPr>
            </w:pPr>
            <w:r w:rsidRPr="003F00AF">
              <w:rPr>
                <w:bCs/>
                <w:i/>
                <w:sz w:val="22"/>
                <w:szCs w:val="22"/>
              </w:rPr>
              <w:t>Problem Program at any time (Yes/No):</w:t>
            </w:r>
          </w:p>
        </w:tc>
        <w:tc>
          <w:tcPr>
            <w:tcW w:w="1662" w:type="dxa"/>
            <w:gridSpan w:val="6"/>
            <w:shd w:val="clear" w:color="auto" w:fill="auto"/>
            <w:vAlign w:val="center"/>
          </w:tcPr>
          <w:p w14:paraId="1E1CC633" w14:textId="62B4E0FF" w:rsidR="008D5034" w:rsidRPr="003F00AF" w:rsidRDefault="008D5034" w:rsidP="008D5034">
            <w:pPr>
              <w:keepNext/>
              <w:keepLines/>
              <w:jc w:val="center"/>
              <w:rPr>
                <w:b/>
                <w:bCs/>
                <w:color w:val="606060"/>
                <w:sz w:val="22"/>
                <w:szCs w:val="22"/>
              </w:rPr>
            </w:pPr>
            <w:r w:rsidRPr="003F00AF">
              <w:rPr>
                <w:bCs/>
                <w:sz w:val="22"/>
                <w:szCs w:val="22"/>
              </w:rPr>
              <w:t>No</w:t>
            </w:r>
          </w:p>
        </w:tc>
        <w:tc>
          <w:tcPr>
            <w:tcW w:w="2729" w:type="dxa"/>
            <w:gridSpan w:val="8"/>
            <w:shd w:val="clear" w:color="auto" w:fill="auto"/>
            <w:vAlign w:val="center"/>
          </w:tcPr>
          <w:p w14:paraId="50EC4AB9" w14:textId="502882AF" w:rsidR="008D5034" w:rsidRPr="003F00AF" w:rsidRDefault="008D5034" w:rsidP="008D5034">
            <w:pPr>
              <w:keepNext/>
              <w:keepLines/>
              <w:jc w:val="center"/>
              <w:rPr>
                <w:b/>
                <w:bCs/>
                <w:color w:val="606060"/>
                <w:sz w:val="22"/>
                <w:szCs w:val="22"/>
              </w:rPr>
            </w:pPr>
            <w:r w:rsidRPr="003F00AF">
              <w:rPr>
                <w:bCs/>
                <w:i/>
                <w:sz w:val="22"/>
                <w:szCs w:val="22"/>
              </w:rPr>
              <w:t>Quality of Supervision</w:t>
            </w:r>
          </w:p>
        </w:tc>
        <w:tc>
          <w:tcPr>
            <w:tcW w:w="2487" w:type="dxa"/>
            <w:gridSpan w:val="4"/>
            <w:shd w:val="clear" w:color="auto" w:fill="auto"/>
            <w:vAlign w:val="center"/>
          </w:tcPr>
          <w:p w14:paraId="13FB7DE4" w14:textId="3D2A4A91" w:rsidR="008D5034" w:rsidRPr="003F00AF" w:rsidRDefault="008D5034" w:rsidP="008D5034">
            <w:pPr>
              <w:keepNext/>
              <w:keepLines/>
              <w:jc w:val="center"/>
              <w:rPr>
                <w:b/>
                <w:bCs/>
                <w:color w:val="606060"/>
                <w:sz w:val="22"/>
                <w:szCs w:val="22"/>
              </w:rPr>
            </w:pPr>
            <w:r w:rsidRPr="003F00AF">
              <w:rPr>
                <w:color w:val="000000"/>
                <w:sz w:val="22"/>
                <w:szCs w:val="22"/>
              </w:rPr>
              <w:t>None</w:t>
            </w:r>
          </w:p>
        </w:tc>
      </w:tr>
      <w:tr w:rsidR="008D5034" w:rsidRPr="003F00AF" w14:paraId="0AB2B13E" w14:textId="77777777" w:rsidTr="00BD53A2">
        <w:tc>
          <w:tcPr>
            <w:tcW w:w="3016" w:type="dxa"/>
            <w:gridSpan w:val="6"/>
            <w:shd w:val="clear" w:color="auto" w:fill="auto"/>
            <w:vAlign w:val="center"/>
          </w:tcPr>
          <w:p w14:paraId="0947C8A6" w14:textId="1A7B7219" w:rsidR="008D5034" w:rsidRPr="003F00AF" w:rsidRDefault="008D5034" w:rsidP="008D5034">
            <w:pPr>
              <w:keepNext/>
              <w:keepLines/>
              <w:jc w:val="center"/>
              <w:rPr>
                <w:b/>
                <w:bCs/>
                <w:color w:val="606060"/>
                <w:sz w:val="22"/>
                <w:szCs w:val="22"/>
              </w:rPr>
            </w:pPr>
            <w:r w:rsidRPr="003F00AF">
              <w:rPr>
                <w:bCs/>
                <w:i/>
                <w:sz w:val="22"/>
                <w:szCs w:val="22"/>
              </w:rPr>
              <w:t>DO rating before Closing/Inactive status</w:t>
            </w:r>
          </w:p>
        </w:tc>
        <w:tc>
          <w:tcPr>
            <w:tcW w:w="1662" w:type="dxa"/>
            <w:gridSpan w:val="6"/>
            <w:shd w:val="clear" w:color="auto" w:fill="auto"/>
            <w:vAlign w:val="center"/>
          </w:tcPr>
          <w:p w14:paraId="21E93052" w14:textId="0CD4DF42" w:rsidR="008D5034" w:rsidRPr="003F00AF" w:rsidRDefault="008D5034" w:rsidP="008D5034">
            <w:pPr>
              <w:keepNext/>
              <w:keepLines/>
              <w:jc w:val="center"/>
              <w:rPr>
                <w:b/>
                <w:bCs/>
                <w:color w:val="606060"/>
                <w:sz w:val="22"/>
                <w:szCs w:val="22"/>
              </w:rPr>
            </w:pPr>
            <w:r w:rsidRPr="003F00AF">
              <w:rPr>
                <w:bCs/>
                <w:sz w:val="22"/>
                <w:szCs w:val="22"/>
              </w:rPr>
              <w:t>Satisfactory</w:t>
            </w:r>
          </w:p>
        </w:tc>
        <w:tc>
          <w:tcPr>
            <w:tcW w:w="2729" w:type="dxa"/>
            <w:gridSpan w:val="8"/>
            <w:shd w:val="clear" w:color="auto" w:fill="auto"/>
            <w:vAlign w:val="center"/>
          </w:tcPr>
          <w:p w14:paraId="09EF7B7F" w14:textId="77777777" w:rsidR="008D5034" w:rsidRPr="003F00AF" w:rsidRDefault="008D5034" w:rsidP="008D5034">
            <w:pPr>
              <w:keepNext/>
              <w:keepLines/>
              <w:jc w:val="center"/>
              <w:rPr>
                <w:b/>
                <w:bCs/>
                <w:color w:val="606060"/>
                <w:sz w:val="22"/>
                <w:szCs w:val="22"/>
              </w:rPr>
            </w:pPr>
          </w:p>
        </w:tc>
        <w:tc>
          <w:tcPr>
            <w:tcW w:w="2487" w:type="dxa"/>
            <w:gridSpan w:val="4"/>
            <w:shd w:val="clear" w:color="auto" w:fill="auto"/>
            <w:vAlign w:val="center"/>
          </w:tcPr>
          <w:p w14:paraId="436166D4" w14:textId="77777777" w:rsidR="008D5034" w:rsidRPr="003F00AF" w:rsidRDefault="008D5034" w:rsidP="008D5034">
            <w:pPr>
              <w:keepNext/>
              <w:keepLines/>
              <w:jc w:val="center"/>
              <w:rPr>
                <w:b/>
                <w:bCs/>
                <w:color w:val="606060"/>
                <w:sz w:val="22"/>
                <w:szCs w:val="22"/>
              </w:rPr>
            </w:pPr>
          </w:p>
        </w:tc>
      </w:tr>
      <w:tr w:rsidR="008D5034" w:rsidRPr="003F00AF" w14:paraId="38338A86" w14:textId="77777777" w:rsidTr="00BD53A2">
        <w:tc>
          <w:tcPr>
            <w:tcW w:w="9894" w:type="dxa"/>
            <w:gridSpan w:val="24"/>
            <w:shd w:val="clear" w:color="auto" w:fill="auto"/>
            <w:vAlign w:val="center"/>
          </w:tcPr>
          <w:p w14:paraId="3317EEDE" w14:textId="38924C87" w:rsidR="008D5034" w:rsidRPr="003F00AF" w:rsidRDefault="008D5034" w:rsidP="008D5034">
            <w:pPr>
              <w:keepNext/>
              <w:keepLines/>
              <w:rPr>
                <w:b/>
                <w:bCs/>
                <w:color w:val="606060"/>
                <w:sz w:val="22"/>
                <w:szCs w:val="22"/>
              </w:rPr>
            </w:pPr>
            <w:r w:rsidRPr="003F00AF">
              <w:rPr>
                <w:b/>
                <w:bCs/>
                <w:sz w:val="22"/>
                <w:szCs w:val="22"/>
              </w:rPr>
              <w:t>Second Programmatic Environmental Development Policy Loan</w:t>
            </w:r>
          </w:p>
        </w:tc>
      </w:tr>
      <w:tr w:rsidR="008D5034" w:rsidRPr="003F00AF" w14:paraId="7ACC1562" w14:textId="77777777" w:rsidTr="00BD53A2">
        <w:tc>
          <w:tcPr>
            <w:tcW w:w="3016" w:type="dxa"/>
            <w:gridSpan w:val="6"/>
            <w:shd w:val="clear" w:color="auto" w:fill="auto"/>
            <w:vAlign w:val="center"/>
          </w:tcPr>
          <w:p w14:paraId="5300560A" w14:textId="1710A392" w:rsidR="008D5034" w:rsidRPr="003F00AF" w:rsidRDefault="008D5034" w:rsidP="008D5034">
            <w:pPr>
              <w:keepNext/>
              <w:keepLines/>
              <w:jc w:val="center"/>
              <w:rPr>
                <w:b/>
                <w:bCs/>
                <w:color w:val="606060"/>
                <w:sz w:val="22"/>
                <w:szCs w:val="22"/>
              </w:rPr>
            </w:pPr>
            <w:r w:rsidRPr="003F00AF">
              <w:rPr>
                <w:bCs/>
                <w:i/>
                <w:sz w:val="22"/>
                <w:szCs w:val="22"/>
              </w:rPr>
              <w:t>Potential Problem Program at any time (Yes/No):</w:t>
            </w:r>
          </w:p>
        </w:tc>
        <w:tc>
          <w:tcPr>
            <w:tcW w:w="1662" w:type="dxa"/>
            <w:gridSpan w:val="6"/>
            <w:shd w:val="clear" w:color="auto" w:fill="auto"/>
            <w:vAlign w:val="center"/>
          </w:tcPr>
          <w:p w14:paraId="4EF1ADCD" w14:textId="745FD64D" w:rsidR="008D5034" w:rsidRPr="003F00AF" w:rsidRDefault="008D5034" w:rsidP="008D5034">
            <w:pPr>
              <w:keepNext/>
              <w:keepLines/>
              <w:jc w:val="center"/>
              <w:rPr>
                <w:b/>
                <w:bCs/>
                <w:color w:val="606060"/>
                <w:sz w:val="22"/>
                <w:szCs w:val="22"/>
              </w:rPr>
            </w:pPr>
            <w:r w:rsidRPr="003F00AF">
              <w:rPr>
                <w:bCs/>
                <w:sz w:val="22"/>
                <w:szCs w:val="22"/>
              </w:rPr>
              <w:t>No</w:t>
            </w:r>
          </w:p>
        </w:tc>
        <w:tc>
          <w:tcPr>
            <w:tcW w:w="2729" w:type="dxa"/>
            <w:gridSpan w:val="8"/>
            <w:shd w:val="clear" w:color="auto" w:fill="auto"/>
            <w:vAlign w:val="center"/>
          </w:tcPr>
          <w:p w14:paraId="28A56817" w14:textId="1BAD4601" w:rsidR="008D5034" w:rsidRPr="003F00AF" w:rsidRDefault="008D5034" w:rsidP="008D5034">
            <w:pPr>
              <w:keepNext/>
              <w:keepLines/>
              <w:jc w:val="center"/>
              <w:rPr>
                <w:b/>
                <w:bCs/>
                <w:color w:val="606060"/>
                <w:sz w:val="22"/>
                <w:szCs w:val="22"/>
              </w:rPr>
            </w:pPr>
            <w:r w:rsidRPr="003F00AF">
              <w:rPr>
                <w:bCs/>
                <w:i/>
                <w:sz w:val="22"/>
                <w:szCs w:val="22"/>
              </w:rPr>
              <w:t>Quality at Entry</w:t>
            </w:r>
          </w:p>
        </w:tc>
        <w:tc>
          <w:tcPr>
            <w:tcW w:w="2487" w:type="dxa"/>
            <w:gridSpan w:val="4"/>
            <w:shd w:val="clear" w:color="auto" w:fill="auto"/>
            <w:vAlign w:val="center"/>
          </w:tcPr>
          <w:p w14:paraId="6C97134B" w14:textId="61635BEB" w:rsidR="008D5034" w:rsidRPr="003F00AF" w:rsidRDefault="008D5034" w:rsidP="008D5034">
            <w:pPr>
              <w:keepNext/>
              <w:keepLines/>
              <w:jc w:val="center"/>
              <w:rPr>
                <w:b/>
                <w:bCs/>
                <w:color w:val="606060"/>
                <w:sz w:val="22"/>
                <w:szCs w:val="22"/>
              </w:rPr>
            </w:pPr>
            <w:r w:rsidRPr="003F00AF">
              <w:rPr>
                <w:bCs/>
                <w:sz w:val="22"/>
                <w:szCs w:val="22"/>
              </w:rPr>
              <w:t>None</w:t>
            </w:r>
          </w:p>
        </w:tc>
      </w:tr>
      <w:tr w:rsidR="008D5034" w:rsidRPr="003F00AF" w14:paraId="02799212" w14:textId="77777777" w:rsidTr="00BD53A2">
        <w:tc>
          <w:tcPr>
            <w:tcW w:w="3016" w:type="dxa"/>
            <w:gridSpan w:val="6"/>
            <w:shd w:val="clear" w:color="auto" w:fill="auto"/>
            <w:vAlign w:val="center"/>
          </w:tcPr>
          <w:p w14:paraId="2BFE1684" w14:textId="3BCA321E" w:rsidR="008D5034" w:rsidRPr="003F00AF" w:rsidRDefault="008D5034" w:rsidP="008D5034">
            <w:pPr>
              <w:keepNext/>
              <w:keepLines/>
              <w:jc w:val="center"/>
              <w:rPr>
                <w:b/>
                <w:bCs/>
                <w:color w:val="606060"/>
                <w:sz w:val="22"/>
                <w:szCs w:val="22"/>
              </w:rPr>
            </w:pPr>
            <w:r w:rsidRPr="003F00AF">
              <w:rPr>
                <w:bCs/>
                <w:i/>
                <w:sz w:val="22"/>
                <w:szCs w:val="22"/>
              </w:rPr>
              <w:t>Problem Program at any time (Yes/No):</w:t>
            </w:r>
          </w:p>
        </w:tc>
        <w:tc>
          <w:tcPr>
            <w:tcW w:w="1662" w:type="dxa"/>
            <w:gridSpan w:val="6"/>
            <w:shd w:val="clear" w:color="auto" w:fill="auto"/>
            <w:vAlign w:val="center"/>
          </w:tcPr>
          <w:p w14:paraId="4DB2820C" w14:textId="56F18A61" w:rsidR="008D5034" w:rsidRPr="003F00AF" w:rsidRDefault="008D5034" w:rsidP="008D5034">
            <w:pPr>
              <w:keepNext/>
              <w:keepLines/>
              <w:jc w:val="center"/>
              <w:rPr>
                <w:b/>
                <w:bCs/>
                <w:color w:val="606060"/>
                <w:sz w:val="22"/>
                <w:szCs w:val="22"/>
              </w:rPr>
            </w:pPr>
            <w:r w:rsidRPr="003F00AF">
              <w:rPr>
                <w:bCs/>
                <w:sz w:val="22"/>
                <w:szCs w:val="22"/>
              </w:rPr>
              <w:t>No</w:t>
            </w:r>
          </w:p>
        </w:tc>
        <w:tc>
          <w:tcPr>
            <w:tcW w:w="2729" w:type="dxa"/>
            <w:gridSpan w:val="8"/>
            <w:shd w:val="clear" w:color="auto" w:fill="auto"/>
            <w:vAlign w:val="center"/>
          </w:tcPr>
          <w:p w14:paraId="5433D3C2" w14:textId="0B569125" w:rsidR="008D5034" w:rsidRPr="003F00AF" w:rsidRDefault="008D5034" w:rsidP="008D5034">
            <w:pPr>
              <w:keepNext/>
              <w:keepLines/>
              <w:jc w:val="center"/>
              <w:rPr>
                <w:b/>
                <w:bCs/>
                <w:color w:val="606060"/>
                <w:sz w:val="22"/>
                <w:szCs w:val="22"/>
              </w:rPr>
            </w:pPr>
            <w:r w:rsidRPr="003F00AF">
              <w:rPr>
                <w:bCs/>
                <w:i/>
                <w:sz w:val="22"/>
                <w:szCs w:val="22"/>
              </w:rPr>
              <w:t>Quality of Supervision</w:t>
            </w:r>
          </w:p>
        </w:tc>
        <w:tc>
          <w:tcPr>
            <w:tcW w:w="2487" w:type="dxa"/>
            <w:gridSpan w:val="4"/>
            <w:shd w:val="clear" w:color="auto" w:fill="auto"/>
            <w:vAlign w:val="center"/>
          </w:tcPr>
          <w:p w14:paraId="634FABAA" w14:textId="130AED1E" w:rsidR="008D5034" w:rsidRPr="003F00AF" w:rsidRDefault="008D5034" w:rsidP="008D5034">
            <w:pPr>
              <w:keepNext/>
              <w:keepLines/>
              <w:jc w:val="center"/>
              <w:rPr>
                <w:b/>
                <w:bCs/>
                <w:color w:val="606060"/>
                <w:sz w:val="22"/>
                <w:szCs w:val="22"/>
              </w:rPr>
            </w:pPr>
            <w:r w:rsidRPr="003F00AF">
              <w:rPr>
                <w:color w:val="000000"/>
                <w:sz w:val="22"/>
                <w:szCs w:val="22"/>
              </w:rPr>
              <w:t>None</w:t>
            </w:r>
          </w:p>
        </w:tc>
      </w:tr>
      <w:tr w:rsidR="008D5034" w:rsidRPr="003F00AF" w14:paraId="13C0F73D" w14:textId="77777777" w:rsidTr="00BD53A2">
        <w:tc>
          <w:tcPr>
            <w:tcW w:w="3016" w:type="dxa"/>
            <w:gridSpan w:val="6"/>
            <w:shd w:val="clear" w:color="auto" w:fill="auto"/>
            <w:vAlign w:val="center"/>
          </w:tcPr>
          <w:p w14:paraId="0D5E489A" w14:textId="253765FA" w:rsidR="008D5034" w:rsidRPr="003F00AF" w:rsidRDefault="008D5034" w:rsidP="008D5034">
            <w:pPr>
              <w:keepNext/>
              <w:keepLines/>
              <w:jc w:val="center"/>
              <w:rPr>
                <w:b/>
                <w:bCs/>
                <w:color w:val="606060"/>
                <w:sz w:val="22"/>
                <w:szCs w:val="22"/>
              </w:rPr>
            </w:pPr>
            <w:r w:rsidRPr="003F00AF">
              <w:rPr>
                <w:bCs/>
                <w:i/>
                <w:sz w:val="22"/>
                <w:szCs w:val="22"/>
              </w:rPr>
              <w:t>DO rating before Closing/Inactive status</w:t>
            </w:r>
          </w:p>
        </w:tc>
        <w:tc>
          <w:tcPr>
            <w:tcW w:w="1662" w:type="dxa"/>
            <w:gridSpan w:val="6"/>
            <w:shd w:val="clear" w:color="auto" w:fill="auto"/>
            <w:vAlign w:val="center"/>
          </w:tcPr>
          <w:p w14:paraId="75140692" w14:textId="594FE5A3" w:rsidR="008D5034" w:rsidRPr="003F00AF" w:rsidRDefault="008D5034" w:rsidP="008D5034">
            <w:pPr>
              <w:keepNext/>
              <w:keepLines/>
              <w:jc w:val="center"/>
              <w:rPr>
                <w:b/>
                <w:bCs/>
                <w:color w:val="606060"/>
                <w:sz w:val="22"/>
                <w:szCs w:val="22"/>
              </w:rPr>
            </w:pPr>
            <w:r w:rsidRPr="003F00AF">
              <w:rPr>
                <w:bCs/>
                <w:sz w:val="22"/>
                <w:szCs w:val="22"/>
              </w:rPr>
              <w:t>Satisfactory</w:t>
            </w:r>
          </w:p>
        </w:tc>
        <w:tc>
          <w:tcPr>
            <w:tcW w:w="2729" w:type="dxa"/>
            <w:gridSpan w:val="8"/>
            <w:shd w:val="clear" w:color="auto" w:fill="auto"/>
            <w:vAlign w:val="center"/>
          </w:tcPr>
          <w:p w14:paraId="1C4D0BF2" w14:textId="77777777" w:rsidR="008D5034" w:rsidRPr="003F00AF" w:rsidRDefault="008D5034" w:rsidP="008D5034">
            <w:pPr>
              <w:keepNext/>
              <w:keepLines/>
              <w:jc w:val="center"/>
              <w:rPr>
                <w:b/>
                <w:bCs/>
                <w:color w:val="606060"/>
                <w:sz w:val="22"/>
                <w:szCs w:val="22"/>
              </w:rPr>
            </w:pPr>
          </w:p>
        </w:tc>
        <w:tc>
          <w:tcPr>
            <w:tcW w:w="2487" w:type="dxa"/>
            <w:gridSpan w:val="4"/>
            <w:shd w:val="clear" w:color="auto" w:fill="auto"/>
            <w:vAlign w:val="center"/>
          </w:tcPr>
          <w:p w14:paraId="52D014F6" w14:textId="77777777" w:rsidR="008D5034" w:rsidRPr="003F00AF" w:rsidRDefault="008D5034" w:rsidP="008D5034">
            <w:pPr>
              <w:keepNext/>
              <w:keepLines/>
              <w:jc w:val="center"/>
              <w:rPr>
                <w:b/>
                <w:bCs/>
                <w:color w:val="606060"/>
                <w:sz w:val="22"/>
                <w:szCs w:val="22"/>
              </w:rPr>
            </w:pPr>
          </w:p>
        </w:tc>
      </w:tr>
      <w:tr w:rsidR="008D5034" w:rsidRPr="003F00AF" w14:paraId="4B0503AB" w14:textId="77777777" w:rsidTr="00BD53A2">
        <w:tc>
          <w:tcPr>
            <w:tcW w:w="9894" w:type="dxa"/>
            <w:gridSpan w:val="24"/>
            <w:shd w:val="clear" w:color="auto" w:fill="auto"/>
            <w:vAlign w:val="center"/>
          </w:tcPr>
          <w:p w14:paraId="46BC909F" w14:textId="41FDA0B7" w:rsidR="008D5034" w:rsidRPr="003F00AF" w:rsidRDefault="008D5034" w:rsidP="008D5034">
            <w:pPr>
              <w:keepNext/>
              <w:keepLines/>
              <w:rPr>
                <w:b/>
                <w:bCs/>
                <w:color w:val="606060"/>
                <w:sz w:val="22"/>
                <w:szCs w:val="22"/>
              </w:rPr>
            </w:pPr>
            <w:r w:rsidRPr="003F00AF">
              <w:rPr>
                <w:b/>
                <w:bCs/>
                <w:sz w:val="22"/>
                <w:szCs w:val="22"/>
              </w:rPr>
              <w:t>Peru Third Programmatic Environmental Development Policy Loan</w:t>
            </w:r>
          </w:p>
        </w:tc>
      </w:tr>
      <w:tr w:rsidR="008D5034" w:rsidRPr="003F00AF" w14:paraId="2AA72540" w14:textId="77777777" w:rsidTr="00BD53A2">
        <w:tc>
          <w:tcPr>
            <w:tcW w:w="3016" w:type="dxa"/>
            <w:gridSpan w:val="6"/>
            <w:shd w:val="clear" w:color="auto" w:fill="auto"/>
            <w:vAlign w:val="center"/>
          </w:tcPr>
          <w:p w14:paraId="47020FA1" w14:textId="77777777" w:rsidR="008D5034" w:rsidRPr="003F00AF" w:rsidRDefault="008D5034" w:rsidP="008D5034">
            <w:pPr>
              <w:keepNext/>
              <w:keepLines/>
              <w:jc w:val="right"/>
              <w:rPr>
                <w:bCs/>
                <w:i/>
                <w:sz w:val="22"/>
                <w:szCs w:val="22"/>
              </w:rPr>
            </w:pPr>
            <w:r w:rsidRPr="003F00AF">
              <w:rPr>
                <w:bCs/>
                <w:i/>
                <w:sz w:val="22"/>
                <w:szCs w:val="22"/>
              </w:rPr>
              <w:t>Potential Problem Program at any time (Yes/No):</w:t>
            </w:r>
          </w:p>
        </w:tc>
        <w:tc>
          <w:tcPr>
            <w:tcW w:w="1662" w:type="dxa"/>
            <w:gridSpan w:val="6"/>
            <w:shd w:val="clear" w:color="auto" w:fill="auto"/>
            <w:vAlign w:val="center"/>
          </w:tcPr>
          <w:p w14:paraId="351E7BB7" w14:textId="77777777" w:rsidR="008D5034" w:rsidRPr="003F00AF" w:rsidRDefault="008D5034" w:rsidP="008D5034">
            <w:pPr>
              <w:keepNext/>
              <w:keepLines/>
              <w:rPr>
                <w:bCs/>
                <w:sz w:val="22"/>
                <w:szCs w:val="22"/>
              </w:rPr>
            </w:pPr>
            <w:r w:rsidRPr="003F00AF">
              <w:rPr>
                <w:bCs/>
                <w:sz w:val="22"/>
                <w:szCs w:val="22"/>
              </w:rPr>
              <w:t>No</w:t>
            </w:r>
          </w:p>
        </w:tc>
        <w:tc>
          <w:tcPr>
            <w:tcW w:w="2729" w:type="dxa"/>
            <w:gridSpan w:val="8"/>
            <w:shd w:val="clear" w:color="auto" w:fill="auto"/>
            <w:vAlign w:val="center"/>
          </w:tcPr>
          <w:p w14:paraId="6D7CE85B" w14:textId="0E435A21" w:rsidR="008D5034" w:rsidRPr="003F00AF" w:rsidRDefault="008D5034" w:rsidP="008D5034">
            <w:pPr>
              <w:keepNext/>
              <w:keepLines/>
              <w:rPr>
                <w:bCs/>
                <w:i/>
                <w:sz w:val="22"/>
                <w:szCs w:val="22"/>
              </w:rPr>
            </w:pPr>
            <w:r w:rsidRPr="003F00AF">
              <w:rPr>
                <w:bCs/>
                <w:i/>
                <w:sz w:val="22"/>
                <w:szCs w:val="22"/>
              </w:rPr>
              <w:t>Quality at Entry</w:t>
            </w:r>
          </w:p>
        </w:tc>
        <w:tc>
          <w:tcPr>
            <w:tcW w:w="2487" w:type="dxa"/>
            <w:gridSpan w:val="4"/>
            <w:shd w:val="clear" w:color="auto" w:fill="auto"/>
            <w:vAlign w:val="center"/>
          </w:tcPr>
          <w:p w14:paraId="6BEAD2D5" w14:textId="38EF0FCE" w:rsidR="008D5034" w:rsidRPr="003F00AF" w:rsidRDefault="008D5034" w:rsidP="008D5034">
            <w:pPr>
              <w:keepNext/>
              <w:keepLines/>
              <w:rPr>
                <w:bCs/>
                <w:sz w:val="22"/>
                <w:szCs w:val="22"/>
              </w:rPr>
            </w:pPr>
            <w:r w:rsidRPr="003F00AF">
              <w:rPr>
                <w:bCs/>
                <w:sz w:val="22"/>
                <w:szCs w:val="22"/>
              </w:rPr>
              <w:t>None</w:t>
            </w:r>
          </w:p>
        </w:tc>
      </w:tr>
      <w:tr w:rsidR="008D5034" w:rsidRPr="003F00AF" w14:paraId="4553D9B6" w14:textId="77777777" w:rsidTr="00BD53A2">
        <w:tc>
          <w:tcPr>
            <w:tcW w:w="3016" w:type="dxa"/>
            <w:gridSpan w:val="6"/>
            <w:shd w:val="clear" w:color="auto" w:fill="auto"/>
            <w:vAlign w:val="center"/>
          </w:tcPr>
          <w:p w14:paraId="694CC311" w14:textId="77777777" w:rsidR="008D5034" w:rsidRPr="003F00AF" w:rsidRDefault="008D5034" w:rsidP="008D5034">
            <w:pPr>
              <w:keepNext/>
              <w:keepLines/>
              <w:jc w:val="right"/>
              <w:rPr>
                <w:bCs/>
                <w:i/>
                <w:sz w:val="22"/>
                <w:szCs w:val="22"/>
              </w:rPr>
            </w:pPr>
            <w:r w:rsidRPr="003F00AF">
              <w:rPr>
                <w:bCs/>
                <w:i/>
                <w:sz w:val="22"/>
                <w:szCs w:val="22"/>
              </w:rPr>
              <w:t>Problem Program at any time (Yes/No):</w:t>
            </w:r>
          </w:p>
        </w:tc>
        <w:tc>
          <w:tcPr>
            <w:tcW w:w="1662" w:type="dxa"/>
            <w:gridSpan w:val="6"/>
            <w:shd w:val="clear" w:color="auto" w:fill="auto"/>
            <w:vAlign w:val="center"/>
          </w:tcPr>
          <w:p w14:paraId="40E45392" w14:textId="77777777" w:rsidR="008D5034" w:rsidRPr="003F00AF" w:rsidRDefault="008D5034" w:rsidP="008D5034">
            <w:pPr>
              <w:keepNext/>
              <w:keepLines/>
              <w:rPr>
                <w:bCs/>
                <w:sz w:val="22"/>
                <w:szCs w:val="22"/>
              </w:rPr>
            </w:pPr>
            <w:r w:rsidRPr="003F00AF">
              <w:rPr>
                <w:bCs/>
                <w:sz w:val="22"/>
                <w:szCs w:val="22"/>
              </w:rPr>
              <w:t>No</w:t>
            </w:r>
          </w:p>
        </w:tc>
        <w:tc>
          <w:tcPr>
            <w:tcW w:w="2729" w:type="dxa"/>
            <w:gridSpan w:val="8"/>
            <w:shd w:val="clear" w:color="auto" w:fill="auto"/>
            <w:vAlign w:val="center"/>
          </w:tcPr>
          <w:p w14:paraId="1266CD33" w14:textId="48E554C4" w:rsidR="008D5034" w:rsidRPr="003F00AF" w:rsidRDefault="008D5034" w:rsidP="008D5034">
            <w:pPr>
              <w:keepNext/>
              <w:keepLines/>
              <w:rPr>
                <w:bCs/>
                <w:i/>
                <w:sz w:val="22"/>
                <w:szCs w:val="22"/>
              </w:rPr>
            </w:pPr>
            <w:r w:rsidRPr="003F00AF">
              <w:rPr>
                <w:bCs/>
                <w:i/>
                <w:sz w:val="22"/>
                <w:szCs w:val="22"/>
              </w:rPr>
              <w:t>Quality of Supervision</w:t>
            </w:r>
          </w:p>
        </w:tc>
        <w:tc>
          <w:tcPr>
            <w:tcW w:w="2487" w:type="dxa"/>
            <w:gridSpan w:val="4"/>
            <w:shd w:val="clear" w:color="auto" w:fill="auto"/>
            <w:vAlign w:val="center"/>
          </w:tcPr>
          <w:p w14:paraId="0CDAEA1C" w14:textId="371EF606" w:rsidR="008D5034" w:rsidRPr="003F00AF" w:rsidRDefault="008D5034" w:rsidP="008D5034">
            <w:pPr>
              <w:keepNext/>
              <w:keepLines/>
              <w:rPr>
                <w:bCs/>
                <w:sz w:val="22"/>
                <w:szCs w:val="22"/>
              </w:rPr>
            </w:pPr>
            <w:r w:rsidRPr="003F00AF">
              <w:rPr>
                <w:color w:val="000000"/>
                <w:sz w:val="22"/>
                <w:szCs w:val="22"/>
              </w:rPr>
              <w:t>None</w:t>
            </w:r>
          </w:p>
        </w:tc>
      </w:tr>
      <w:tr w:rsidR="008D5034" w:rsidRPr="003F00AF" w14:paraId="28AEB517" w14:textId="77777777" w:rsidTr="00BD53A2">
        <w:tc>
          <w:tcPr>
            <w:tcW w:w="3016" w:type="dxa"/>
            <w:gridSpan w:val="6"/>
            <w:shd w:val="clear" w:color="auto" w:fill="auto"/>
            <w:vAlign w:val="center"/>
          </w:tcPr>
          <w:p w14:paraId="3CD3F508" w14:textId="77777777" w:rsidR="008D5034" w:rsidRPr="003F00AF" w:rsidRDefault="008D5034" w:rsidP="008D5034">
            <w:pPr>
              <w:keepNext/>
              <w:keepLines/>
              <w:jc w:val="right"/>
              <w:rPr>
                <w:bCs/>
                <w:i/>
                <w:sz w:val="22"/>
                <w:szCs w:val="22"/>
              </w:rPr>
            </w:pPr>
            <w:r w:rsidRPr="003F00AF">
              <w:rPr>
                <w:bCs/>
                <w:i/>
                <w:sz w:val="22"/>
                <w:szCs w:val="22"/>
              </w:rPr>
              <w:t>DO rating before Closing/Inactive status</w:t>
            </w:r>
          </w:p>
        </w:tc>
        <w:tc>
          <w:tcPr>
            <w:tcW w:w="1662" w:type="dxa"/>
            <w:gridSpan w:val="6"/>
            <w:shd w:val="clear" w:color="auto" w:fill="auto"/>
            <w:vAlign w:val="center"/>
          </w:tcPr>
          <w:p w14:paraId="2A6C0C8C" w14:textId="77777777" w:rsidR="008D5034" w:rsidRPr="003F00AF" w:rsidRDefault="008D5034" w:rsidP="008D5034">
            <w:pPr>
              <w:keepNext/>
              <w:keepLines/>
              <w:rPr>
                <w:bCs/>
                <w:sz w:val="22"/>
                <w:szCs w:val="22"/>
              </w:rPr>
            </w:pPr>
            <w:r w:rsidRPr="003F00AF">
              <w:rPr>
                <w:bCs/>
                <w:sz w:val="22"/>
                <w:szCs w:val="22"/>
              </w:rPr>
              <w:t>Satisfactory</w:t>
            </w:r>
          </w:p>
        </w:tc>
        <w:tc>
          <w:tcPr>
            <w:tcW w:w="2729" w:type="dxa"/>
            <w:gridSpan w:val="8"/>
            <w:shd w:val="clear" w:color="auto" w:fill="auto"/>
            <w:vAlign w:val="center"/>
          </w:tcPr>
          <w:p w14:paraId="0E2A2C22" w14:textId="77777777" w:rsidR="008D5034" w:rsidRPr="003F00AF" w:rsidRDefault="008D5034" w:rsidP="008D5034">
            <w:pPr>
              <w:keepNext/>
              <w:keepLines/>
              <w:rPr>
                <w:bCs/>
                <w:sz w:val="22"/>
                <w:szCs w:val="22"/>
              </w:rPr>
            </w:pPr>
          </w:p>
        </w:tc>
        <w:tc>
          <w:tcPr>
            <w:tcW w:w="2487" w:type="dxa"/>
            <w:gridSpan w:val="4"/>
            <w:shd w:val="clear" w:color="auto" w:fill="auto"/>
            <w:vAlign w:val="center"/>
          </w:tcPr>
          <w:p w14:paraId="02EBBC98" w14:textId="77777777" w:rsidR="008D5034" w:rsidRPr="003F00AF" w:rsidRDefault="008D5034" w:rsidP="008D5034">
            <w:pPr>
              <w:keepNext/>
              <w:keepLines/>
              <w:rPr>
                <w:bCs/>
                <w:sz w:val="22"/>
                <w:szCs w:val="22"/>
              </w:rPr>
            </w:pPr>
          </w:p>
        </w:tc>
      </w:tr>
      <w:tr w:rsidR="008D5034" w:rsidRPr="003F00AF" w14:paraId="4DEADB54" w14:textId="77777777" w:rsidTr="00BD53A2">
        <w:tc>
          <w:tcPr>
            <w:tcW w:w="9894" w:type="dxa"/>
            <w:gridSpan w:val="24"/>
            <w:shd w:val="clear" w:color="auto" w:fill="auto"/>
            <w:vAlign w:val="center"/>
          </w:tcPr>
          <w:p w14:paraId="5165EABB" w14:textId="77777777" w:rsidR="008D5034" w:rsidRPr="003F00AF" w:rsidRDefault="008D5034" w:rsidP="008D5034">
            <w:pPr>
              <w:pStyle w:val="ICRTOC"/>
              <w:rPr>
                <w:sz w:val="22"/>
                <w:szCs w:val="22"/>
              </w:rPr>
            </w:pPr>
            <w:bookmarkStart w:id="31" w:name="C_3_RATING"/>
            <w:bookmarkStart w:id="32" w:name="SEC_C_3"/>
            <w:bookmarkStart w:id="33" w:name="_Toc448507194"/>
            <w:bookmarkStart w:id="34" w:name="_Toc448507356"/>
            <w:bookmarkStart w:id="35" w:name="SectorThemeCodes" w:colFirst="0" w:colLast="0"/>
            <w:bookmarkEnd w:id="31"/>
            <w:bookmarkEnd w:id="32"/>
            <w:r w:rsidRPr="003F00AF">
              <w:rPr>
                <w:rStyle w:val="Strong"/>
                <w:b/>
                <w:color w:val="auto"/>
                <w:sz w:val="22"/>
                <w:szCs w:val="22"/>
              </w:rPr>
              <w:t>D. Sector and Theme Codes</w:t>
            </w:r>
            <w:bookmarkEnd w:id="33"/>
            <w:bookmarkEnd w:id="34"/>
            <w:r w:rsidRPr="003F00AF">
              <w:rPr>
                <w:color w:val="FFFFFF" w:themeColor="background1"/>
                <w:sz w:val="22"/>
                <w:szCs w:val="22"/>
              </w:rPr>
              <w:t xml:space="preserve"> </w:t>
            </w:r>
          </w:p>
        </w:tc>
      </w:tr>
      <w:bookmarkEnd w:id="35"/>
      <w:tr w:rsidR="008D5034" w:rsidRPr="003F00AF" w14:paraId="31016CBD" w14:textId="77777777" w:rsidTr="00BD53A2">
        <w:tc>
          <w:tcPr>
            <w:tcW w:w="9894" w:type="dxa"/>
            <w:gridSpan w:val="24"/>
            <w:shd w:val="clear" w:color="auto" w:fill="auto"/>
            <w:vAlign w:val="center"/>
          </w:tcPr>
          <w:p w14:paraId="45ED05B9" w14:textId="20F1C68F" w:rsidR="008D5034" w:rsidRPr="003F00AF" w:rsidRDefault="008D5034" w:rsidP="008D5034">
            <w:pPr>
              <w:keepNext/>
              <w:keepLines/>
              <w:rPr>
                <w:b/>
                <w:bCs/>
                <w:color w:val="606060"/>
                <w:sz w:val="22"/>
                <w:szCs w:val="22"/>
              </w:rPr>
            </w:pPr>
            <w:r w:rsidRPr="003F00AF">
              <w:rPr>
                <w:b/>
                <w:bCs/>
                <w:color w:val="606060"/>
                <w:sz w:val="22"/>
                <w:szCs w:val="22"/>
              </w:rPr>
              <w:t xml:space="preserve"> Peru First Programmatic Environmental Development Policy Loan/DDO </w:t>
            </w:r>
          </w:p>
        </w:tc>
      </w:tr>
      <w:tr w:rsidR="008D5034" w:rsidRPr="003F00AF" w14:paraId="5A19674C" w14:textId="77777777" w:rsidTr="00BD53A2">
        <w:tc>
          <w:tcPr>
            <w:tcW w:w="5943" w:type="dxa"/>
            <w:gridSpan w:val="16"/>
            <w:shd w:val="clear" w:color="auto" w:fill="auto"/>
            <w:vAlign w:val="center"/>
          </w:tcPr>
          <w:p w14:paraId="1EB56308" w14:textId="77777777" w:rsidR="008D5034" w:rsidRPr="003F00AF" w:rsidRDefault="008D5034" w:rsidP="008D5034">
            <w:pPr>
              <w:keepNext/>
              <w:keepLines/>
              <w:jc w:val="center"/>
              <w:rPr>
                <w:b/>
                <w:bCs/>
                <w:color w:val="606060"/>
                <w:sz w:val="22"/>
                <w:szCs w:val="22"/>
              </w:rPr>
            </w:pPr>
          </w:p>
        </w:tc>
        <w:tc>
          <w:tcPr>
            <w:tcW w:w="1952" w:type="dxa"/>
            <w:gridSpan w:val="6"/>
            <w:shd w:val="clear" w:color="auto" w:fill="auto"/>
            <w:vAlign w:val="center"/>
          </w:tcPr>
          <w:p w14:paraId="2FA4F19D" w14:textId="77777777" w:rsidR="008D5034" w:rsidRPr="003F00AF" w:rsidRDefault="008D5034" w:rsidP="008D5034">
            <w:pPr>
              <w:keepNext/>
              <w:keepLines/>
              <w:jc w:val="center"/>
              <w:rPr>
                <w:b/>
                <w:bCs/>
                <w:color w:val="606060"/>
                <w:sz w:val="22"/>
                <w:szCs w:val="22"/>
              </w:rPr>
            </w:pPr>
            <w:r w:rsidRPr="003F00AF">
              <w:rPr>
                <w:b/>
                <w:bCs/>
                <w:color w:val="606060"/>
                <w:sz w:val="22"/>
                <w:szCs w:val="22"/>
              </w:rPr>
              <w:t>Original</w:t>
            </w:r>
          </w:p>
        </w:tc>
        <w:tc>
          <w:tcPr>
            <w:tcW w:w="1999" w:type="dxa"/>
            <w:gridSpan w:val="2"/>
            <w:shd w:val="clear" w:color="auto" w:fill="auto"/>
            <w:vAlign w:val="center"/>
          </w:tcPr>
          <w:p w14:paraId="65D5E75A" w14:textId="77777777" w:rsidR="008D5034" w:rsidRPr="003F00AF" w:rsidRDefault="008D5034" w:rsidP="008D5034">
            <w:pPr>
              <w:keepNext/>
              <w:keepLines/>
              <w:jc w:val="center"/>
              <w:rPr>
                <w:b/>
                <w:bCs/>
                <w:color w:val="606060"/>
                <w:sz w:val="22"/>
                <w:szCs w:val="22"/>
              </w:rPr>
            </w:pPr>
            <w:r w:rsidRPr="003F00AF">
              <w:rPr>
                <w:b/>
                <w:bCs/>
                <w:color w:val="606060"/>
                <w:sz w:val="22"/>
                <w:szCs w:val="22"/>
              </w:rPr>
              <w:t>Actual</w:t>
            </w:r>
          </w:p>
        </w:tc>
      </w:tr>
      <w:tr w:rsidR="008D5034" w:rsidRPr="003F00AF" w14:paraId="3298F085" w14:textId="77777777" w:rsidTr="00BD53A2">
        <w:tc>
          <w:tcPr>
            <w:tcW w:w="5943" w:type="dxa"/>
            <w:gridSpan w:val="16"/>
            <w:shd w:val="clear" w:color="auto" w:fill="auto"/>
            <w:vAlign w:val="center"/>
          </w:tcPr>
          <w:p w14:paraId="1B9CB544" w14:textId="77777777" w:rsidR="008D5034" w:rsidRPr="003F00AF" w:rsidRDefault="008D5034" w:rsidP="008D5034">
            <w:pPr>
              <w:keepNext/>
              <w:keepLines/>
              <w:spacing w:line="300" w:lineRule="atLeast"/>
              <w:rPr>
                <w:b/>
                <w:color w:val="000000"/>
                <w:sz w:val="22"/>
                <w:szCs w:val="22"/>
              </w:rPr>
            </w:pPr>
            <w:r w:rsidRPr="003F00AF">
              <w:rPr>
                <w:rStyle w:val="Strong"/>
                <w:color w:val="000000"/>
                <w:sz w:val="22"/>
                <w:szCs w:val="22"/>
              </w:rPr>
              <w:t>Sector Code (as % of total Bank financing)</w:t>
            </w:r>
          </w:p>
        </w:tc>
        <w:tc>
          <w:tcPr>
            <w:tcW w:w="1952" w:type="dxa"/>
            <w:gridSpan w:val="6"/>
            <w:shd w:val="clear" w:color="auto" w:fill="auto"/>
            <w:vAlign w:val="center"/>
          </w:tcPr>
          <w:p w14:paraId="65E29F55" w14:textId="77777777" w:rsidR="008D5034" w:rsidRPr="003F00AF" w:rsidRDefault="008D5034" w:rsidP="008D5034">
            <w:pPr>
              <w:keepNext/>
              <w:keepLines/>
              <w:spacing w:line="300" w:lineRule="atLeast"/>
              <w:jc w:val="center"/>
              <w:rPr>
                <w:color w:val="000000"/>
                <w:sz w:val="22"/>
                <w:szCs w:val="22"/>
              </w:rPr>
            </w:pPr>
          </w:p>
        </w:tc>
        <w:tc>
          <w:tcPr>
            <w:tcW w:w="1999" w:type="dxa"/>
            <w:gridSpan w:val="2"/>
            <w:shd w:val="clear" w:color="auto" w:fill="auto"/>
            <w:vAlign w:val="center"/>
          </w:tcPr>
          <w:p w14:paraId="42077178" w14:textId="77777777" w:rsidR="008D5034" w:rsidRPr="003F00AF" w:rsidRDefault="008D5034" w:rsidP="008D5034">
            <w:pPr>
              <w:keepNext/>
              <w:keepLines/>
              <w:spacing w:line="300" w:lineRule="atLeast"/>
              <w:jc w:val="center"/>
              <w:rPr>
                <w:color w:val="000000"/>
                <w:sz w:val="22"/>
                <w:szCs w:val="22"/>
              </w:rPr>
            </w:pPr>
          </w:p>
        </w:tc>
      </w:tr>
      <w:tr w:rsidR="008D5034" w:rsidRPr="003F00AF" w14:paraId="4D0E9639" w14:textId="77777777" w:rsidTr="00BD53A2">
        <w:trPr>
          <w:trHeight w:val="204"/>
        </w:trPr>
        <w:tc>
          <w:tcPr>
            <w:tcW w:w="5943" w:type="dxa"/>
            <w:gridSpan w:val="16"/>
            <w:shd w:val="clear" w:color="auto" w:fill="auto"/>
            <w:vAlign w:val="center"/>
          </w:tcPr>
          <w:p w14:paraId="3CBA3C2E" w14:textId="77777777" w:rsidR="008D5034" w:rsidRPr="003F00AF" w:rsidRDefault="008D5034" w:rsidP="008D5034">
            <w:pPr>
              <w:spacing w:line="300" w:lineRule="atLeast"/>
              <w:rPr>
                <w:color w:val="000000"/>
                <w:sz w:val="22"/>
                <w:szCs w:val="22"/>
              </w:rPr>
            </w:pPr>
            <w:r w:rsidRPr="003F00AF">
              <w:rPr>
                <w:color w:val="000000"/>
                <w:sz w:val="22"/>
                <w:szCs w:val="22"/>
              </w:rPr>
              <w:t xml:space="preserve"> Animal production</w:t>
            </w:r>
          </w:p>
        </w:tc>
        <w:tc>
          <w:tcPr>
            <w:tcW w:w="1952" w:type="dxa"/>
            <w:gridSpan w:val="6"/>
            <w:shd w:val="clear" w:color="auto" w:fill="auto"/>
            <w:vAlign w:val="center"/>
          </w:tcPr>
          <w:p w14:paraId="4FA3721F" w14:textId="77777777" w:rsidR="008D5034" w:rsidRPr="003F00AF" w:rsidRDefault="008D5034" w:rsidP="008D5034">
            <w:pPr>
              <w:spacing w:line="300" w:lineRule="atLeast"/>
              <w:jc w:val="center"/>
              <w:rPr>
                <w:color w:val="000000"/>
                <w:sz w:val="22"/>
                <w:szCs w:val="22"/>
              </w:rPr>
            </w:pPr>
            <w:r w:rsidRPr="003F00AF">
              <w:rPr>
                <w:color w:val="000000"/>
                <w:sz w:val="22"/>
                <w:szCs w:val="22"/>
              </w:rPr>
              <w:t>25</w:t>
            </w:r>
          </w:p>
        </w:tc>
        <w:tc>
          <w:tcPr>
            <w:tcW w:w="1999" w:type="dxa"/>
            <w:gridSpan w:val="2"/>
            <w:shd w:val="clear" w:color="auto" w:fill="auto"/>
            <w:vAlign w:val="center"/>
          </w:tcPr>
          <w:p w14:paraId="4C5DFF0E" w14:textId="77777777" w:rsidR="008D5034" w:rsidRPr="003F00AF" w:rsidRDefault="008D5034" w:rsidP="008D5034">
            <w:pPr>
              <w:spacing w:line="300" w:lineRule="atLeast"/>
              <w:jc w:val="center"/>
              <w:rPr>
                <w:color w:val="000000"/>
                <w:sz w:val="22"/>
                <w:szCs w:val="22"/>
              </w:rPr>
            </w:pPr>
            <w:r w:rsidRPr="003F00AF">
              <w:rPr>
                <w:color w:val="000000"/>
                <w:sz w:val="22"/>
                <w:szCs w:val="22"/>
              </w:rPr>
              <w:t>25</w:t>
            </w:r>
          </w:p>
        </w:tc>
      </w:tr>
      <w:tr w:rsidR="008D5034" w:rsidRPr="003F00AF" w14:paraId="6E326DA9" w14:textId="77777777" w:rsidTr="00BD53A2">
        <w:tc>
          <w:tcPr>
            <w:tcW w:w="5943" w:type="dxa"/>
            <w:gridSpan w:val="16"/>
            <w:shd w:val="clear" w:color="auto" w:fill="auto"/>
            <w:vAlign w:val="center"/>
          </w:tcPr>
          <w:p w14:paraId="43A5F641" w14:textId="6E6026CA" w:rsidR="008D5034" w:rsidRPr="003F00AF" w:rsidRDefault="008D5034" w:rsidP="008D5034">
            <w:pPr>
              <w:spacing w:line="300" w:lineRule="atLeast"/>
              <w:rPr>
                <w:color w:val="000000"/>
                <w:sz w:val="22"/>
                <w:szCs w:val="22"/>
              </w:rPr>
            </w:pPr>
            <w:r w:rsidRPr="003F00AF">
              <w:rPr>
                <w:color w:val="000000"/>
                <w:sz w:val="22"/>
                <w:szCs w:val="22"/>
              </w:rPr>
              <w:t xml:space="preserve"> </w:t>
            </w:r>
            <w:r w:rsidR="00287027" w:rsidRPr="003F00AF">
              <w:rPr>
                <w:color w:val="000000"/>
                <w:sz w:val="22"/>
                <w:szCs w:val="22"/>
              </w:rPr>
              <w:t>General transportation sector</w:t>
            </w:r>
          </w:p>
        </w:tc>
        <w:tc>
          <w:tcPr>
            <w:tcW w:w="1952" w:type="dxa"/>
            <w:gridSpan w:val="6"/>
            <w:shd w:val="clear" w:color="auto" w:fill="auto"/>
            <w:vAlign w:val="center"/>
          </w:tcPr>
          <w:p w14:paraId="50E4E485" w14:textId="77777777" w:rsidR="008D5034" w:rsidRPr="003F00AF" w:rsidRDefault="008D5034" w:rsidP="008D5034">
            <w:pPr>
              <w:spacing w:line="300" w:lineRule="atLeast"/>
              <w:jc w:val="center"/>
              <w:rPr>
                <w:color w:val="000000"/>
                <w:sz w:val="22"/>
                <w:szCs w:val="22"/>
              </w:rPr>
            </w:pPr>
            <w:r w:rsidRPr="003F00AF">
              <w:rPr>
                <w:color w:val="000000"/>
                <w:sz w:val="22"/>
                <w:szCs w:val="22"/>
              </w:rPr>
              <w:t>25</w:t>
            </w:r>
          </w:p>
        </w:tc>
        <w:tc>
          <w:tcPr>
            <w:tcW w:w="1999" w:type="dxa"/>
            <w:gridSpan w:val="2"/>
            <w:shd w:val="clear" w:color="auto" w:fill="auto"/>
            <w:vAlign w:val="center"/>
          </w:tcPr>
          <w:p w14:paraId="781F9209" w14:textId="77777777" w:rsidR="008D5034" w:rsidRPr="003F00AF" w:rsidRDefault="008D5034" w:rsidP="008D5034">
            <w:pPr>
              <w:spacing w:line="300" w:lineRule="atLeast"/>
              <w:jc w:val="center"/>
              <w:rPr>
                <w:color w:val="000000"/>
                <w:sz w:val="22"/>
                <w:szCs w:val="22"/>
              </w:rPr>
            </w:pPr>
            <w:r w:rsidRPr="003F00AF">
              <w:rPr>
                <w:color w:val="000000"/>
                <w:sz w:val="22"/>
                <w:szCs w:val="22"/>
              </w:rPr>
              <w:t>25</w:t>
            </w:r>
          </w:p>
        </w:tc>
      </w:tr>
      <w:tr w:rsidR="008D5034" w:rsidRPr="003F00AF" w14:paraId="582257C2" w14:textId="77777777" w:rsidTr="00BD53A2">
        <w:tc>
          <w:tcPr>
            <w:tcW w:w="5943" w:type="dxa"/>
            <w:gridSpan w:val="16"/>
            <w:shd w:val="clear" w:color="auto" w:fill="auto"/>
            <w:vAlign w:val="center"/>
          </w:tcPr>
          <w:p w14:paraId="1FA5D91E" w14:textId="77777777" w:rsidR="008D5034" w:rsidRPr="003F00AF" w:rsidRDefault="008D5034" w:rsidP="008D5034">
            <w:pPr>
              <w:spacing w:line="300" w:lineRule="atLeast"/>
              <w:rPr>
                <w:color w:val="000000"/>
                <w:sz w:val="22"/>
                <w:szCs w:val="22"/>
              </w:rPr>
            </w:pPr>
            <w:r w:rsidRPr="003F00AF">
              <w:rPr>
                <w:color w:val="000000"/>
                <w:sz w:val="22"/>
                <w:szCs w:val="22"/>
              </w:rPr>
              <w:t xml:space="preserve"> General water, sanitation and flood protection sector</w:t>
            </w:r>
          </w:p>
        </w:tc>
        <w:tc>
          <w:tcPr>
            <w:tcW w:w="1952" w:type="dxa"/>
            <w:gridSpan w:val="6"/>
            <w:shd w:val="clear" w:color="auto" w:fill="auto"/>
            <w:vAlign w:val="center"/>
          </w:tcPr>
          <w:p w14:paraId="38871CF4" w14:textId="77777777" w:rsidR="008D5034" w:rsidRPr="003F00AF" w:rsidRDefault="008D5034" w:rsidP="008D5034">
            <w:pPr>
              <w:spacing w:line="300" w:lineRule="atLeast"/>
              <w:jc w:val="center"/>
              <w:rPr>
                <w:color w:val="000000"/>
                <w:sz w:val="22"/>
                <w:szCs w:val="22"/>
              </w:rPr>
            </w:pPr>
            <w:r w:rsidRPr="003F00AF">
              <w:rPr>
                <w:color w:val="000000"/>
                <w:sz w:val="22"/>
                <w:szCs w:val="22"/>
              </w:rPr>
              <w:t>25</w:t>
            </w:r>
          </w:p>
        </w:tc>
        <w:tc>
          <w:tcPr>
            <w:tcW w:w="1999" w:type="dxa"/>
            <w:gridSpan w:val="2"/>
            <w:shd w:val="clear" w:color="auto" w:fill="auto"/>
            <w:vAlign w:val="center"/>
          </w:tcPr>
          <w:p w14:paraId="326E9A4D" w14:textId="5188C4A3" w:rsidR="008D5034" w:rsidRPr="003F00AF" w:rsidRDefault="008D5034" w:rsidP="008D5034">
            <w:pPr>
              <w:spacing w:line="300" w:lineRule="atLeast"/>
              <w:jc w:val="center"/>
              <w:rPr>
                <w:color w:val="000000"/>
                <w:sz w:val="22"/>
                <w:szCs w:val="22"/>
              </w:rPr>
            </w:pPr>
            <w:r w:rsidRPr="003F00AF">
              <w:rPr>
                <w:color w:val="000000"/>
                <w:sz w:val="22"/>
                <w:szCs w:val="22"/>
              </w:rPr>
              <w:t>25</w:t>
            </w:r>
          </w:p>
        </w:tc>
      </w:tr>
      <w:tr w:rsidR="008D5034" w:rsidRPr="003F00AF" w14:paraId="4B167A18" w14:textId="77777777" w:rsidTr="00BD53A2">
        <w:tc>
          <w:tcPr>
            <w:tcW w:w="5943" w:type="dxa"/>
            <w:gridSpan w:val="16"/>
            <w:shd w:val="clear" w:color="auto" w:fill="auto"/>
            <w:vAlign w:val="center"/>
          </w:tcPr>
          <w:p w14:paraId="5425BB7F" w14:textId="7F00AB9E" w:rsidR="008D5034" w:rsidRPr="003F00AF" w:rsidRDefault="00287027" w:rsidP="008D5034">
            <w:pPr>
              <w:spacing w:line="300" w:lineRule="atLeast"/>
              <w:rPr>
                <w:color w:val="000000"/>
                <w:sz w:val="22"/>
                <w:szCs w:val="22"/>
              </w:rPr>
            </w:pPr>
            <w:r>
              <w:rPr>
                <w:color w:val="000000"/>
                <w:sz w:val="22"/>
                <w:szCs w:val="22"/>
              </w:rPr>
              <w:t xml:space="preserve"> Mining and extractives</w:t>
            </w:r>
          </w:p>
        </w:tc>
        <w:tc>
          <w:tcPr>
            <w:tcW w:w="1952" w:type="dxa"/>
            <w:gridSpan w:val="6"/>
            <w:shd w:val="clear" w:color="auto" w:fill="auto"/>
            <w:vAlign w:val="center"/>
          </w:tcPr>
          <w:p w14:paraId="4696E0C9" w14:textId="725B03A8" w:rsidR="008D5034" w:rsidRPr="003F00AF" w:rsidRDefault="008D5034" w:rsidP="008D5034">
            <w:pPr>
              <w:spacing w:line="300" w:lineRule="atLeast"/>
              <w:jc w:val="center"/>
              <w:rPr>
                <w:color w:val="000000"/>
                <w:sz w:val="22"/>
                <w:szCs w:val="22"/>
              </w:rPr>
            </w:pPr>
            <w:r w:rsidRPr="003F00AF">
              <w:rPr>
                <w:color w:val="000000"/>
                <w:sz w:val="22"/>
                <w:szCs w:val="22"/>
              </w:rPr>
              <w:t>25</w:t>
            </w:r>
          </w:p>
        </w:tc>
        <w:tc>
          <w:tcPr>
            <w:tcW w:w="1999" w:type="dxa"/>
            <w:gridSpan w:val="2"/>
            <w:shd w:val="clear" w:color="auto" w:fill="auto"/>
            <w:vAlign w:val="center"/>
          </w:tcPr>
          <w:p w14:paraId="253A5D35" w14:textId="3C39173A" w:rsidR="008D5034" w:rsidRPr="003F00AF" w:rsidRDefault="008D5034" w:rsidP="008D5034">
            <w:pPr>
              <w:spacing w:line="300" w:lineRule="atLeast"/>
              <w:jc w:val="center"/>
              <w:rPr>
                <w:color w:val="000000"/>
                <w:sz w:val="22"/>
                <w:szCs w:val="22"/>
              </w:rPr>
            </w:pPr>
            <w:r w:rsidRPr="003F00AF">
              <w:rPr>
                <w:color w:val="000000"/>
                <w:sz w:val="22"/>
                <w:szCs w:val="22"/>
              </w:rPr>
              <w:t>25</w:t>
            </w:r>
          </w:p>
        </w:tc>
      </w:tr>
      <w:tr w:rsidR="008D5034" w:rsidRPr="003F00AF" w14:paraId="52C992FB" w14:textId="77777777" w:rsidTr="00BD53A2">
        <w:tc>
          <w:tcPr>
            <w:tcW w:w="5943" w:type="dxa"/>
            <w:gridSpan w:val="16"/>
            <w:shd w:val="clear" w:color="auto" w:fill="auto"/>
            <w:vAlign w:val="center"/>
          </w:tcPr>
          <w:p w14:paraId="29ECF223" w14:textId="2356A1A0" w:rsidR="008D5034" w:rsidRPr="003F00AF" w:rsidRDefault="008D5034" w:rsidP="008D5034">
            <w:pPr>
              <w:keepNext/>
              <w:keepLines/>
              <w:spacing w:line="300" w:lineRule="atLeast"/>
              <w:rPr>
                <w:b/>
                <w:color w:val="000000"/>
                <w:sz w:val="22"/>
                <w:szCs w:val="22"/>
              </w:rPr>
            </w:pPr>
            <w:r w:rsidRPr="003F00AF">
              <w:rPr>
                <w:rStyle w:val="Strong"/>
                <w:color w:val="000000"/>
                <w:sz w:val="22"/>
                <w:szCs w:val="22"/>
              </w:rPr>
              <w:t>Theme Code (Primary/Secondary)</w:t>
            </w:r>
          </w:p>
        </w:tc>
        <w:tc>
          <w:tcPr>
            <w:tcW w:w="1952" w:type="dxa"/>
            <w:gridSpan w:val="6"/>
            <w:shd w:val="clear" w:color="auto" w:fill="auto"/>
            <w:vAlign w:val="center"/>
          </w:tcPr>
          <w:p w14:paraId="0211ED94" w14:textId="77777777" w:rsidR="008D5034" w:rsidRPr="003F00AF" w:rsidRDefault="008D5034" w:rsidP="008D5034">
            <w:pPr>
              <w:keepNext/>
              <w:keepLines/>
              <w:spacing w:line="300" w:lineRule="atLeast"/>
              <w:jc w:val="center"/>
              <w:rPr>
                <w:color w:val="000000"/>
                <w:sz w:val="22"/>
                <w:szCs w:val="22"/>
              </w:rPr>
            </w:pPr>
          </w:p>
        </w:tc>
        <w:tc>
          <w:tcPr>
            <w:tcW w:w="1999" w:type="dxa"/>
            <w:gridSpan w:val="2"/>
            <w:shd w:val="clear" w:color="auto" w:fill="auto"/>
            <w:vAlign w:val="center"/>
          </w:tcPr>
          <w:p w14:paraId="04D3F779" w14:textId="77777777" w:rsidR="008D5034" w:rsidRPr="003F00AF" w:rsidRDefault="008D5034" w:rsidP="008D5034">
            <w:pPr>
              <w:keepNext/>
              <w:keepLines/>
              <w:spacing w:line="300" w:lineRule="atLeast"/>
              <w:jc w:val="center"/>
              <w:rPr>
                <w:color w:val="000000"/>
                <w:sz w:val="22"/>
                <w:szCs w:val="22"/>
              </w:rPr>
            </w:pPr>
          </w:p>
        </w:tc>
      </w:tr>
      <w:tr w:rsidR="008D5034" w:rsidRPr="003F00AF" w14:paraId="597CB961" w14:textId="77777777" w:rsidTr="00BD53A2">
        <w:tc>
          <w:tcPr>
            <w:tcW w:w="5943" w:type="dxa"/>
            <w:gridSpan w:val="16"/>
            <w:shd w:val="clear" w:color="auto" w:fill="auto"/>
            <w:vAlign w:val="center"/>
          </w:tcPr>
          <w:p w14:paraId="1A189698" w14:textId="77777777" w:rsidR="008D5034" w:rsidRPr="003F00AF" w:rsidRDefault="008D5034" w:rsidP="008D5034">
            <w:pPr>
              <w:spacing w:line="300" w:lineRule="atLeast"/>
              <w:rPr>
                <w:color w:val="000000"/>
                <w:sz w:val="22"/>
                <w:szCs w:val="22"/>
              </w:rPr>
            </w:pPr>
            <w:r w:rsidRPr="003F00AF">
              <w:rPr>
                <w:color w:val="000000"/>
                <w:sz w:val="22"/>
                <w:szCs w:val="22"/>
              </w:rPr>
              <w:t xml:space="preserve"> Biodiversity</w:t>
            </w:r>
          </w:p>
        </w:tc>
        <w:tc>
          <w:tcPr>
            <w:tcW w:w="1952" w:type="dxa"/>
            <w:gridSpan w:val="6"/>
            <w:shd w:val="clear" w:color="auto" w:fill="auto"/>
            <w:vAlign w:val="center"/>
          </w:tcPr>
          <w:p w14:paraId="3C561398" w14:textId="77777777" w:rsidR="008D5034" w:rsidRPr="003F00AF" w:rsidRDefault="008D5034" w:rsidP="008D5034">
            <w:pPr>
              <w:spacing w:line="300" w:lineRule="atLeast"/>
              <w:jc w:val="center"/>
              <w:rPr>
                <w:color w:val="000000"/>
                <w:sz w:val="22"/>
                <w:szCs w:val="22"/>
              </w:rPr>
            </w:pPr>
            <w:r w:rsidRPr="003F00AF">
              <w:rPr>
                <w:color w:val="000000"/>
                <w:sz w:val="22"/>
                <w:szCs w:val="22"/>
              </w:rPr>
              <w:t>33</w:t>
            </w:r>
          </w:p>
        </w:tc>
        <w:tc>
          <w:tcPr>
            <w:tcW w:w="1999" w:type="dxa"/>
            <w:gridSpan w:val="2"/>
            <w:shd w:val="clear" w:color="auto" w:fill="auto"/>
            <w:vAlign w:val="center"/>
          </w:tcPr>
          <w:p w14:paraId="4D3A87E8" w14:textId="0F6806BA" w:rsidR="008D5034" w:rsidRPr="003F00AF" w:rsidRDefault="008D5034" w:rsidP="008D5034">
            <w:pPr>
              <w:spacing w:line="300" w:lineRule="atLeast"/>
              <w:jc w:val="center"/>
              <w:rPr>
                <w:color w:val="000000"/>
                <w:sz w:val="22"/>
                <w:szCs w:val="22"/>
              </w:rPr>
            </w:pPr>
            <w:r w:rsidRPr="003F00AF">
              <w:rPr>
                <w:color w:val="000000"/>
                <w:sz w:val="22"/>
                <w:szCs w:val="22"/>
              </w:rPr>
              <w:t>33</w:t>
            </w:r>
          </w:p>
        </w:tc>
      </w:tr>
      <w:tr w:rsidR="008D5034" w:rsidRPr="003F00AF" w14:paraId="10DC6915" w14:textId="77777777" w:rsidTr="00BD53A2">
        <w:tc>
          <w:tcPr>
            <w:tcW w:w="5943" w:type="dxa"/>
            <w:gridSpan w:val="16"/>
            <w:shd w:val="clear" w:color="auto" w:fill="auto"/>
            <w:vAlign w:val="center"/>
          </w:tcPr>
          <w:p w14:paraId="20E09FDF" w14:textId="77777777" w:rsidR="008D5034" w:rsidRPr="003F00AF" w:rsidRDefault="008D5034" w:rsidP="008D5034">
            <w:pPr>
              <w:spacing w:line="300" w:lineRule="atLeast"/>
              <w:rPr>
                <w:color w:val="000000"/>
                <w:sz w:val="22"/>
                <w:szCs w:val="22"/>
              </w:rPr>
            </w:pPr>
            <w:r w:rsidRPr="003F00AF">
              <w:rPr>
                <w:color w:val="000000"/>
                <w:sz w:val="22"/>
                <w:szCs w:val="22"/>
              </w:rPr>
              <w:t xml:space="preserve"> Environmental policies and institutions</w:t>
            </w:r>
          </w:p>
        </w:tc>
        <w:tc>
          <w:tcPr>
            <w:tcW w:w="1952" w:type="dxa"/>
            <w:gridSpan w:val="6"/>
            <w:shd w:val="clear" w:color="auto" w:fill="auto"/>
            <w:vAlign w:val="center"/>
          </w:tcPr>
          <w:p w14:paraId="6461FB7C" w14:textId="77777777" w:rsidR="008D5034" w:rsidRPr="003F00AF" w:rsidRDefault="008D5034" w:rsidP="008D5034">
            <w:pPr>
              <w:spacing w:line="300" w:lineRule="atLeast"/>
              <w:jc w:val="center"/>
              <w:rPr>
                <w:color w:val="000000"/>
                <w:sz w:val="22"/>
                <w:szCs w:val="22"/>
              </w:rPr>
            </w:pPr>
            <w:r w:rsidRPr="003F00AF">
              <w:rPr>
                <w:color w:val="000000"/>
                <w:sz w:val="22"/>
                <w:szCs w:val="22"/>
              </w:rPr>
              <w:t>27</w:t>
            </w:r>
          </w:p>
        </w:tc>
        <w:tc>
          <w:tcPr>
            <w:tcW w:w="1999" w:type="dxa"/>
            <w:gridSpan w:val="2"/>
            <w:shd w:val="clear" w:color="auto" w:fill="auto"/>
            <w:vAlign w:val="center"/>
          </w:tcPr>
          <w:p w14:paraId="1DF9BD35" w14:textId="76F54239" w:rsidR="008D5034" w:rsidRPr="003F00AF" w:rsidRDefault="008D5034" w:rsidP="008D5034">
            <w:pPr>
              <w:spacing w:line="300" w:lineRule="atLeast"/>
              <w:jc w:val="center"/>
              <w:rPr>
                <w:color w:val="000000"/>
                <w:sz w:val="22"/>
                <w:szCs w:val="22"/>
              </w:rPr>
            </w:pPr>
            <w:r w:rsidRPr="003F00AF">
              <w:rPr>
                <w:color w:val="000000"/>
                <w:sz w:val="22"/>
                <w:szCs w:val="22"/>
              </w:rPr>
              <w:t>27</w:t>
            </w:r>
          </w:p>
        </w:tc>
      </w:tr>
      <w:tr w:rsidR="008D5034" w:rsidRPr="003F00AF" w14:paraId="17AED2CB" w14:textId="77777777" w:rsidTr="00BD53A2">
        <w:tc>
          <w:tcPr>
            <w:tcW w:w="5943" w:type="dxa"/>
            <w:gridSpan w:val="16"/>
            <w:shd w:val="clear" w:color="auto" w:fill="auto"/>
            <w:vAlign w:val="center"/>
          </w:tcPr>
          <w:p w14:paraId="72B80166" w14:textId="77777777" w:rsidR="008D5034" w:rsidRPr="003F00AF" w:rsidRDefault="008D5034" w:rsidP="008D5034">
            <w:pPr>
              <w:spacing w:line="300" w:lineRule="atLeast"/>
              <w:rPr>
                <w:color w:val="000000"/>
                <w:sz w:val="22"/>
                <w:szCs w:val="22"/>
              </w:rPr>
            </w:pPr>
            <w:r w:rsidRPr="003F00AF">
              <w:rPr>
                <w:color w:val="000000"/>
                <w:sz w:val="22"/>
                <w:szCs w:val="22"/>
              </w:rPr>
              <w:t xml:space="preserve"> Participation and civic engagement</w:t>
            </w:r>
          </w:p>
        </w:tc>
        <w:tc>
          <w:tcPr>
            <w:tcW w:w="1952" w:type="dxa"/>
            <w:gridSpan w:val="6"/>
            <w:shd w:val="clear" w:color="auto" w:fill="auto"/>
            <w:vAlign w:val="center"/>
          </w:tcPr>
          <w:p w14:paraId="181A9DCB" w14:textId="77777777" w:rsidR="008D5034" w:rsidRPr="003F00AF" w:rsidRDefault="008D5034" w:rsidP="008D5034">
            <w:pPr>
              <w:spacing w:line="300" w:lineRule="atLeast"/>
              <w:jc w:val="center"/>
              <w:rPr>
                <w:color w:val="000000"/>
                <w:sz w:val="22"/>
                <w:szCs w:val="22"/>
              </w:rPr>
            </w:pPr>
            <w:r w:rsidRPr="003F00AF">
              <w:rPr>
                <w:color w:val="000000"/>
                <w:sz w:val="22"/>
                <w:szCs w:val="22"/>
              </w:rPr>
              <w:t>4</w:t>
            </w:r>
          </w:p>
        </w:tc>
        <w:tc>
          <w:tcPr>
            <w:tcW w:w="1999" w:type="dxa"/>
            <w:gridSpan w:val="2"/>
            <w:shd w:val="clear" w:color="auto" w:fill="auto"/>
            <w:vAlign w:val="center"/>
          </w:tcPr>
          <w:p w14:paraId="50243269" w14:textId="77777777" w:rsidR="008D5034" w:rsidRPr="003F00AF" w:rsidRDefault="008D5034" w:rsidP="008D5034">
            <w:pPr>
              <w:spacing w:line="300" w:lineRule="atLeast"/>
              <w:jc w:val="center"/>
              <w:rPr>
                <w:color w:val="000000"/>
                <w:sz w:val="22"/>
                <w:szCs w:val="22"/>
              </w:rPr>
            </w:pPr>
            <w:r w:rsidRPr="003F00AF">
              <w:rPr>
                <w:color w:val="000000"/>
                <w:sz w:val="22"/>
                <w:szCs w:val="22"/>
              </w:rPr>
              <w:t>4</w:t>
            </w:r>
          </w:p>
        </w:tc>
      </w:tr>
      <w:tr w:rsidR="008D5034" w:rsidRPr="003F00AF" w14:paraId="6270990C" w14:textId="77777777" w:rsidTr="00BD53A2">
        <w:tc>
          <w:tcPr>
            <w:tcW w:w="5943" w:type="dxa"/>
            <w:gridSpan w:val="16"/>
            <w:shd w:val="clear" w:color="auto" w:fill="auto"/>
            <w:vAlign w:val="center"/>
          </w:tcPr>
          <w:p w14:paraId="28D977C2" w14:textId="77777777" w:rsidR="008D5034" w:rsidRPr="003F00AF" w:rsidRDefault="008D5034" w:rsidP="008D5034">
            <w:pPr>
              <w:spacing w:line="300" w:lineRule="atLeast"/>
              <w:rPr>
                <w:color w:val="000000"/>
                <w:sz w:val="22"/>
                <w:szCs w:val="22"/>
              </w:rPr>
            </w:pPr>
            <w:r w:rsidRPr="003F00AF">
              <w:rPr>
                <w:color w:val="000000"/>
                <w:sz w:val="22"/>
                <w:szCs w:val="22"/>
              </w:rPr>
              <w:t xml:space="preserve"> Pollution management and environmental health</w:t>
            </w:r>
          </w:p>
        </w:tc>
        <w:tc>
          <w:tcPr>
            <w:tcW w:w="1952" w:type="dxa"/>
            <w:gridSpan w:val="6"/>
            <w:shd w:val="clear" w:color="auto" w:fill="auto"/>
            <w:vAlign w:val="center"/>
          </w:tcPr>
          <w:p w14:paraId="39D4284A" w14:textId="77777777" w:rsidR="008D5034" w:rsidRPr="003F00AF" w:rsidRDefault="008D5034" w:rsidP="008D5034">
            <w:pPr>
              <w:spacing w:line="300" w:lineRule="atLeast"/>
              <w:jc w:val="center"/>
              <w:rPr>
                <w:color w:val="000000"/>
                <w:sz w:val="22"/>
                <w:szCs w:val="22"/>
              </w:rPr>
            </w:pPr>
            <w:r w:rsidRPr="003F00AF">
              <w:rPr>
                <w:color w:val="000000"/>
                <w:sz w:val="22"/>
                <w:szCs w:val="22"/>
              </w:rPr>
              <w:t>36</w:t>
            </w:r>
          </w:p>
        </w:tc>
        <w:tc>
          <w:tcPr>
            <w:tcW w:w="1999" w:type="dxa"/>
            <w:gridSpan w:val="2"/>
            <w:shd w:val="clear" w:color="auto" w:fill="auto"/>
            <w:vAlign w:val="center"/>
          </w:tcPr>
          <w:p w14:paraId="1B1A7E6B" w14:textId="77777777" w:rsidR="008D5034" w:rsidRPr="003F00AF" w:rsidRDefault="008D5034" w:rsidP="008D5034">
            <w:pPr>
              <w:spacing w:line="300" w:lineRule="atLeast"/>
              <w:jc w:val="center"/>
              <w:rPr>
                <w:color w:val="000000"/>
                <w:sz w:val="22"/>
                <w:szCs w:val="22"/>
              </w:rPr>
            </w:pPr>
            <w:r w:rsidRPr="003F00AF">
              <w:rPr>
                <w:color w:val="000000"/>
                <w:sz w:val="22"/>
                <w:szCs w:val="22"/>
              </w:rPr>
              <w:t>36</w:t>
            </w:r>
          </w:p>
        </w:tc>
      </w:tr>
      <w:tr w:rsidR="008D5034" w:rsidRPr="003F00AF" w14:paraId="3324EEA0" w14:textId="77777777" w:rsidTr="00BD53A2">
        <w:tc>
          <w:tcPr>
            <w:tcW w:w="9894" w:type="dxa"/>
            <w:gridSpan w:val="24"/>
            <w:shd w:val="clear" w:color="auto" w:fill="auto"/>
            <w:vAlign w:val="center"/>
          </w:tcPr>
          <w:p w14:paraId="14AC5AD2" w14:textId="77777777" w:rsidR="008D5034" w:rsidRPr="003F00AF" w:rsidRDefault="008D5034" w:rsidP="008D5034">
            <w:pPr>
              <w:keepNext/>
              <w:keepLines/>
              <w:rPr>
                <w:b/>
                <w:bCs/>
                <w:color w:val="606060"/>
                <w:sz w:val="22"/>
                <w:szCs w:val="22"/>
              </w:rPr>
            </w:pPr>
            <w:r w:rsidRPr="003F00AF">
              <w:rPr>
                <w:b/>
                <w:bCs/>
                <w:color w:val="606060"/>
                <w:sz w:val="22"/>
                <w:szCs w:val="22"/>
              </w:rPr>
              <w:t xml:space="preserve"> Second Programmatic Environmental Development Policy Loan </w:t>
            </w:r>
          </w:p>
        </w:tc>
      </w:tr>
      <w:tr w:rsidR="008D5034" w:rsidRPr="003F00AF" w14:paraId="048481BE" w14:textId="77777777" w:rsidTr="00BD53A2">
        <w:tc>
          <w:tcPr>
            <w:tcW w:w="5943" w:type="dxa"/>
            <w:gridSpan w:val="16"/>
            <w:shd w:val="clear" w:color="auto" w:fill="auto"/>
            <w:vAlign w:val="center"/>
          </w:tcPr>
          <w:p w14:paraId="2AE33CC7" w14:textId="77777777" w:rsidR="008D5034" w:rsidRPr="003F00AF" w:rsidRDefault="008D5034" w:rsidP="008D5034">
            <w:pPr>
              <w:keepNext/>
              <w:keepLines/>
              <w:spacing w:line="300" w:lineRule="atLeast"/>
              <w:rPr>
                <w:b/>
                <w:color w:val="000000"/>
                <w:sz w:val="22"/>
                <w:szCs w:val="22"/>
              </w:rPr>
            </w:pPr>
            <w:r w:rsidRPr="003F00AF">
              <w:rPr>
                <w:rStyle w:val="Strong"/>
                <w:color w:val="000000"/>
                <w:sz w:val="22"/>
                <w:szCs w:val="22"/>
              </w:rPr>
              <w:t>Sector Code (as % of total Bank financing)</w:t>
            </w:r>
          </w:p>
        </w:tc>
        <w:tc>
          <w:tcPr>
            <w:tcW w:w="1952" w:type="dxa"/>
            <w:gridSpan w:val="6"/>
            <w:shd w:val="clear" w:color="auto" w:fill="auto"/>
            <w:vAlign w:val="center"/>
          </w:tcPr>
          <w:p w14:paraId="6A9F7129" w14:textId="77777777" w:rsidR="008D5034" w:rsidRPr="003F00AF" w:rsidRDefault="008D5034" w:rsidP="008D5034">
            <w:pPr>
              <w:keepNext/>
              <w:keepLines/>
              <w:spacing w:line="300" w:lineRule="atLeast"/>
              <w:jc w:val="center"/>
              <w:rPr>
                <w:color w:val="000000"/>
                <w:sz w:val="22"/>
                <w:szCs w:val="22"/>
              </w:rPr>
            </w:pPr>
          </w:p>
        </w:tc>
        <w:tc>
          <w:tcPr>
            <w:tcW w:w="1999" w:type="dxa"/>
            <w:gridSpan w:val="2"/>
            <w:shd w:val="clear" w:color="auto" w:fill="auto"/>
            <w:vAlign w:val="center"/>
          </w:tcPr>
          <w:p w14:paraId="01C52E0E" w14:textId="77777777" w:rsidR="008D5034" w:rsidRPr="003F00AF" w:rsidRDefault="008D5034" w:rsidP="008D5034">
            <w:pPr>
              <w:keepNext/>
              <w:keepLines/>
              <w:spacing w:line="300" w:lineRule="atLeast"/>
              <w:jc w:val="center"/>
              <w:rPr>
                <w:color w:val="000000"/>
                <w:sz w:val="22"/>
                <w:szCs w:val="22"/>
              </w:rPr>
            </w:pPr>
          </w:p>
        </w:tc>
      </w:tr>
      <w:tr w:rsidR="008D5034" w:rsidRPr="003F00AF" w14:paraId="22C8B073" w14:textId="77777777" w:rsidTr="00BD53A2">
        <w:tc>
          <w:tcPr>
            <w:tcW w:w="5943" w:type="dxa"/>
            <w:gridSpan w:val="16"/>
            <w:shd w:val="clear" w:color="auto" w:fill="auto"/>
            <w:vAlign w:val="center"/>
          </w:tcPr>
          <w:p w14:paraId="6A720168" w14:textId="5BF4C0AA" w:rsidR="008D5034" w:rsidRPr="003F00AF" w:rsidRDefault="008D5034" w:rsidP="00287027">
            <w:pPr>
              <w:spacing w:line="300" w:lineRule="atLeast"/>
              <w:rPr>
                <w:color w:val="000000"/>
                <w:sz w:val="22"/>
                <w:szCs w:val="22"/>
              </w:rPr>
            </w:pPr>
            <w:r w:rsidRPr="003F00AF">
              <w:rPr>
                <w:color w:val="000000"/>
                <w:sz w:val="22"/>
                <w:szCs w:val="22"/>
              </w:rPr>
              <w:t xml:space="preserve"> Central </w:t>
            </w:r>
            <w:r w:rsidR="00287027">
              <w:rPr>
                <w:color w:val="000000"/>
                <w:sz w:val="22"/>
                <w:szCs w:val="22"/>
              </w:rPr>
              <w:t>g</w:t>
            </w:r>
            <w:r w:rsidRPr="003F00AF">
              <w:rPr>
                <w:color w:val="000000"/>
                <w:sz w:val="22"/>
                <w:szCs w:val="22"/>
              </w:rPr>
              <w:t>overnment (Central Agencies)</w:t>
            </w:r>
          </w:p>
        </w:tc>
        <w:tc>
          <w:tcPr>
            <w:tcW w:w="1952" w:type="dxa"/>
            <w:gridSpan w:val="6"/>
            <w:shd w:val="clear" w:color="auto" w:fill="auto"/>
            <w:vAlign w:val="center"/>
          </w:tcPr>
          <w:p w14:paraId="32ACEA22" w14:textId="77777777" w:rsidR="008D5034" w:rsidRPr="003F00AF" w:rsidRDefault="008D5034" w:rsidP="008D5034">
            <w:pPr>
              <w:spacing w:line="300" w:lineRule="atLeast"/>
              <w:jc w:val="center"/>
              <w:rPr>
                <w:color w:val="000000"/>
                <w:sz w:val="22"/>
                <w:szCs w:val="22"/>
              </w:rPr>
            </w:pPr>
            <w:r w:rsidRPr="003F00AF">
              <w:rPr>
                <w:color w:val="000000"/>
                <w:sz w:val="22"/>
                <w:szCs w:val="22"/>
              </w:rPr>
              <w:t>33</w:t>
            </w:r>
          </w:p>
        </w:tc>
        <w:tc>
          <w:tcPr>
            <w:tcW w:w="1999" w:type="dxa"/>
            <w:gridSpan w:val="2"/>
            <w:shd w:val="clear" w:color="auto" w:fill="auto"/>
            <w:vAlign w:val="center"/>
          </w:tcPr>
          <w:p w14:paraId="2E9EF278" w14:textId="77777777" w:rsidR="008D5034" w:rsidRPr="003F00AF" w:rsidRDefault="008D5034" w:rsidP="008D5034">
            <w:pPr>
              <w:spacing w:line="300" w:lineRule="atLeast"/>
              <w:jc w:val="center"/>
              <w:rPr>
                <w:color w:val="000000"/>
                <w:sz w:val="22"/>
                <w:szCs w:val="22"/>
              </w:rPr>
            </w:pPr>
            <w:r w:rsidRPr="003F00AF">
              <w:rPr>
                <w:color w:val="000000"/>
                <w:sz w:val="22"/>
                <w:szCs w:val="22"/>
              </w:rPr>
              <w:t>33</w:t>
            </w:r>
          </w:p>
        </w:tc>
      </w:tr>
      <w:tr w:rsidR="008D5034" w:rsidRPr="003F00AF" w14:paraId="2AF5FF85" w14:textId="77777777" w:rsidTr="00BD53A2">
        <w:tc>
          <w:tcPr>
            <w:tcW w:w="5943" w:type="dxa"/>
            <w:gridSpan w:val="16"/>
            <w:shd w:val="clear" w:color="auto" w:fill="auto"/>
            <w:vAlign w:val="center"/>
          </w:tcPr>
          <w:p w14:paraId="0825F0DD" w14:textId="51F9C394" w:rsidR="008D5034" w:rsidRPr="003F00AF" w:rsidRDefault="008D5034" w:rsidP="00287027">
            <w:pPr>
              <w:spacing w:line="300" w:lineRule="atLeast"/>
              <w:rPr>
                <w:color w:val="000000"/>
                <w:sz w:val="22"/>
                <w:szCs w:val="22"/>
              </w:rPr>
            </w:pPr>
            <w:r w:rsidRPr="003F00AF">
              <w:rPr>
                <w:color w:val="000000"/>
                <w:sz w:val="22"/>
                <w:szCs w:val="22"/>
              </w:rPr>
              <w:t xml:space="preserve"> General </w:t>
            </w:r>
            <w:r w:rsidR="00287027">
              <w:rPr>
                <w:color w:val="000000"/>
                <w:sz w:val="22"/>
                <w:szCs w:val="22"/>
              </w:rPr>
              <w:t>a</w:t>
            </w:r>
            <w:r w:rsidRPr="003F00AF">
              <w:rPr>
                <w:color w:val="000000"/>
                <w:sz w:val="22"/>
                <w:szCs w:val="22"/>
              </w:rPr>
              <w:t xml:space="preserve">griculture, </w:t>
            </w:r>
            <w:r w:rsidR="00287027">
              <w:rPr>
                <w:color w:val="000000"/>
                <w:sz w:val="22"/>
                <w:szCs w:val="22"/>
              </w:rPr>
              <w:t>f</w:t>
            </w:r>
            <w:r w:rsidRPr="003F00AF">
              <w:rPr>
                <w:color w:val="000000"/>
                <w:sz w:val="22"/>
                <w:szCs w:val="22"/>
              </w:rPr>
              <w:t xml:space="preserve">ishing and </w:t>
            </w:r>
            <w:r w:rsidR="00287027">
              <w:rPr>
                <w:color w:val="000000"/>
                <w:sz w:val="22"/>
                <w:szCs w:val="22"/>
              </w:rPr>
              <w:t>f</w:t>
            </w:r>
            <w:r w:rsidRPr="003F00AF">
              <w:rPr>
                <w:color w:val="000000"/>
                <w:sz w:val="22"/>
                <w:szCs w:val="22"/>
              </w:rPr>
              <w:t xml:space="preserve">orestry </w:t>
            </w:r>
          </w:p>
        </w:tc>
        <w:tc>
          <w:tcPr>
            <w:tcW w:w="1952" w:type="dxa"/>
            <w:gridSpan w:val="6"/>
            <w:shd w:val="clear" w:color="auto" w:fill="auto"/>
            <w:vAlign w:val="center"/>
          </w:tcPr>
          <w:p w14:paraId="329613E5" w14:textId="77777777" w:rsidR="008D5034" w:rsidRPr="003F00AF" w:rsidRDefault="008D5034" w:rsidP="008D5034">
            <w:pPr>
              <w:spacing w:line="300" w:lineRule="atLeast"/>
              <w:jc w:val="center"/>
              <w:rPr>
                <w:color w:val="000000"/>
                <w:sz w:val="22"/>
                <w:szCs w:val="22"/>
              </w:rPr>
            </w:pPr>
            <w:r w:rsidRPr="003F00AF">
              <w:rPr>
                <w:color w:val="000000"/>
                <w:sz w:val="22"/>
                <w:szCs w:val="22"/>
              </w:rPr>
              <w:t>12</w:t>
            </w:r>
          </w:p>
        </w:tc>
        <w:tc>
          <w:tcPr>
            <w:tcW w:w="1999" w:type="dxa"/>
            <w:gridSpan w:val="2"/>
            <w:shd w:val="clear" w:color="auto" w:fill="auto"/>
            <w:vAlign w:val="center"/>
          </w:tcPr>
          <w:p w14:paraId="42860837" w14:textId="77777777" w:rsidR="008D5034" w:rsidRPr="003F00AF" w:rsidRDefault="008D5034" w:rsidP="008D5034">
            <w:pPr>
              <w:spacing w:line="300" w:lineRule="atLeast"/>
              <w:jc w:val="center"/>
              <w:rPr>
                <w:color w:val="000000"/>
                <w:sz w:val="22"/>
                <w:szCs w:val="22"/>
              </w:rPr>
            </w:pPr>
            <w:r w:rsidRPr="003F00AF">
              <w:rPr>
                <w:color w:val="000000"/>
                <w:sz w:val="22"/>
                <w:szCs w:val="22"/>
              </w:rPr>
              <w:t>12</w:t>
            </w:r>
          </w:p>
        </w:tc>
      </w:tr>
      <w:tr w:rsidR="008D5034" w:rsidRPr="003F00AF" w14:paraId="25D449AB" w14:textId="77777777" w:rsidTr="00BD53A2">
        <w:tc>
          <w:tcPr>
            <w:tcW w:w="5943" w:type="dxa"/>
            <w:gridSpan w:val="16"/>
            <w:shd w:val="clear" w:color="auto" w:fill="auto"/>
            <w:vAlign w:val="center"/>
          </w:tcPr>
          <w:p w14:paraId="3A586D7B" w14:textId="71B0D125" w:rsidR="008D5034" w:rsidRPr="003F00AF" w:rsidRDefault="008D5034" w:rsidP="008D5034">
            <w:pPr>
              <w:spacing w:line="300" w:lineRule="atLeast"/>
              <w:rPr>
                <w:color w:val="000000"/>
                <w:sz w:val="22"/>
                <w:szCs w:val="22"/>
              </w:rPr>
            </w:pPr>
            <w:r w:rsidRPr="003F00AF">
              <w:rPr>
                <w:color w:val="000000"/>
                <w:sz w:val="22"/>
                <w:szCs w:val="22"/>
              </w:rPr>
              <w:t xml:space="preserve"> </w:t>
            </w:r>
            <w:r w:rsidR="00287027" w:rsidRPr="003F00AF">
              <w:rPr>
                <w:color w:val="000000"/>
                <w:sz w:val="22"/>
                <w:szCs w:val="22"/>
              </w:rPr>
              <w:t>General transportation sector</w:t>
            </w:r>
          </w:p>
        </w:tc>
        <w:tc>
          <w:tcPr>
            <w:tcW w:w="1952" w:type="dxa"/>
            <w:gridSpan w:val="6"/>
            <w:shd w:val="clear" w:color="auto" w:fill="auto"/>
            <w:vAlign w:val="center"/>
          </w:tcPr>
          <w:p w14:paraId="6D6CCB31" w14:textId="77777777" w:rsidR="008D5034" w:rsidRPr="003F00AF" w:rsidRDefault="008D5034" w:rsidP="008D5034">
            <w:pPr>
              <w:spacing w:line="300" w:lineRule="atLeast"/>
              <w:jc w:val="center"/>
              <w:rPr>
                <w:color w:val="000000"/>
                <w:sz w:val="22"/>
                <w:szCs w:val="22"/>
              </w:rPr>
            </w:pPr>
            <w:r w:rsidRPr="003F00AF">
              <w:rPr>
                <w:color w:val="000000"/>
                <w:sz w:val="22"/>
                <w:szCs w:val="22"/>
              </w:rPr>
              <w:t>33</w:t>
            </w:r>
          </w:p>
        </w:tc>
        <w:tc>
          <w:tcPr>
            <w:tcW w:w="1999" w:type="dxa"/>
            <w:gridSpan w:val="2"/>
            <w:shd w:val="clear" w:color="auto" w:fill="auto"/>
            <w:vAlign w:val="center"/>
          </w:tcPr>
          <w:p w14:paraId="01BC09E5" w14:textId="77777777" w:rsidR="008D5034" w:rsidRPr="003F00AF" w:rsidRDefault="008D5034" w:rsidP="008D5034">
            <w:pPr>
              <w:spacing w:line="300" w:lineRule="atLeast"/>
              <w:jc w:val="center"/>
              <w:rPr>
                <w:color w:val="000000"/>
                <w:sz w:val="22"/>
                <w:szCs w:val="22"/>
              </w:rPr>
            </w:pPr>
            <w:r w:rsidRPr="003F00AF">
              <w:rPr>
                <w:color w:val="000000"/>
                <w:sz w:val="22"/>
                <w:szCs w:val="22"/>
              </w:rPr>
              <w:t>33</w:t>
            </w:r>
          </w:p>
        </w:tc>
      </w:tr>
      <w:tr w:rsidR="008D5034" w:rsidRPr="003F00AF" w14:paraId="3D993CBD" w14:textId="77777777" w:rsidTr="00BD53A2">
        <w:tc>
          <w:tcPr>
            <w:tcW w:w="5943" w:type="dxa"/>
            <w:gridSpan w:val="16"/>
            <w:shd w:val="clear" w:color="auto" w:fill="auto"/>
            <w:vAlign w:val="center"/>
          </w:tcPr>
          <w:p w14:paraId="5C1AF6CB" w14:textId="0FE60CEC" w:rsidR="008D5034" w:rsidRPr="003F00AF" w:rsidRDefault="008D5034" w:rsidP="008D5034">
            <w:pPr>
              <w:spacing w:line="300" w:lineRule="atLeast"/>
              <w:rPr>
                <w:color w:val="000000"/>
                <w:sz w:val="22"/>
                <w:szCs w:val="22"/>
              </w:rPr>
            </w:pPr>
            <w:r w:rsidRPr="003F00AF">
              <w:rPr>
                <w:color w:val="000000"/>
                <w:sz w:val="22"/>
                <w:szCs w:val="22"/>
              </w:rPr>
              <w:t xml:space="preserve"> </w:t>
            </w:r>
            <w:r w:rsidR="00287027">
              <w:rPr>
                <w:color w:val="000000"/>
                <w:sz w:val="22"/>
                <w:szCs w:val="22"/>
              </w:rPr>
              <w:t>Mining and extractives</w:t>
            </w:r>
          </w:p>
        </w:tc>
        <w:tc>
          <w:tcPr>
            <w:tcW w:w="1952" w:type="dxa"/>
            <w:gridSpan w:val="6"/>
            <w:shd w:val="clear" w:color="auto" w:fill="auto"/>
            <w:vAlign w:val="center"/>
          </w:tcPr>
          <w:p w14:paraId="117ABA24" w14:textId="77777777" w:rsidR="008D5034" w:rsidRPr="003F00AF" w:rsidRDefault="008D5034" w:rsidP="008D5034">
            <w:pPr>
              <w:spacing w:line="300" w:lineRule="atLeast"/>
              <w:jc w:val="center"/>
              <w:rPr>
                <w:color w:val="000000"/>
                <w:sz w:val="22"/>
                <w:szCs w:val="22"/>
              </w:rPr>
            </w:pPr>
            <w:r w:rsidRPr="003F00AF">
              <w:rPr>
                <w:color w:val="000000"/>
                <w:sz w:val="22"/>
                <w:szCs w:val="22"/>
              </w:rPr>
              <w:t>22</w:t>
            </w:r>
          </w:p>
        </w:tc>
        <w:tc>
          <w:tcPr>
            <w:tcW w:w="1999" w:type="dxa"/>
            <w:gridSpan w:val="2"/>
            <w:shd w:val="clear" w:color="auto" w:fill="auto"/>
            <w:vAlign w:val="center"/>
          </w:tcPr>
          <w:p w14:paraId="2C43BC3D" w14:textId="77777777" w:rsidR="008D5034" w:rsidRPr="003F00AF" w:rsidRDefault="008D5034" w:rsidP="008D5034">
            <w:pPr>
              <w:spacing w:line="300" w:lineRule="atLeast"/>
              <w:jc w:val="center"/>
              <w:rPr>
                <w:color w:val="000000"/>
                <w:sz w:val="22"/>
                <w:szCs w:val="22"/>
              </w:rPr>
            </w:pPr>
            <w:r w:rsidRPr="003F00AF">
              <w:rPr>
                <w:color w:val="000000"/>
                <w:sz w:val="22"/>
                <w:szCs w:val="22"/>
              </w:rPr>
              <w:t>22</w:t>
            </w:r>
          </w:p>
        </w:tc>
      </w:tr>
      <w:tr w:rsidR="008D5034" w:rsidRPr="003F00AF" w14:paraId="420AD063" w14:textId="77777777" w:rsidTr="00BD53A2">
        <w:tc>
          <w:tcPr>
            <w:tcW w:w="5943" w:type="dxa"/>
            <w:gridSpan w:val="16"/>
            <w:shd w:val="clear" w:color="auto" w:fill="auto"/>
            <w:vAlign w:val="center"/>
          </w:tcPr>
          <w:p w14:paraId="3ABBEA90" w14:textId="643C6D20" w:rsidR="008D5034" w:rsidRPr="003F00AF" w:rsidRDefault="008D5034" w:rsidP="008D5034">
            <w:pPr>
              <w:keepNext/>
              <w:keepLines/>
              <w:spacing w:line="300" w:lineRule="atLeast"/>
              <w:rPr>
                <w:b/>
                <w:color w:val="000000"/>
                <w:sz w:val="22"/>
                <w:szCs w:val="22"/>
              </w:rPr>
            </w:pPr>
            <w:r w:rsidRPr="003F00AF">
              <w:rPr>
                <w:rStyle w:val="Strong"/>
                <w:color w:val="000000"/>
                <w:sz w:val="22"/>
                <w:szCs w:val="22"/>
              </w:rPr>
              <w:t>Theme Code (Primary/Secondary)</w:t>
            </w:r>
          </w:p>
        </w:tc>
        <w:tc>
          <w:tcPr>
            <w:tcW w:w="1952" w:type="dxa"/>
            <w:gridSpan w:val="6"/>
            <w:shd w:val="clear" w:color="auto" w:fill="auto"/>
            <w:vAlign w:val="center"/>
          </w:tcPr>
          <w:p w14:paraId="5622703A" w14:textId="77777777" w:rsidR="008D5034" w:rsidRPr="003F00AF" w:rsidRDefault="008D5034" w:rsidP="008D5034">
            <w:pPr>
              <w:keepNext/>
              <w:keepLines/>
              <w:spacing w:line="300" w:lineRule="atLeast"/>
              <w:jc w:val="center"/>
              <w:rPr>
                <w:color w:val="000000"/>
                <w:sz w:val="22"/>
                <w:szCs w:val="22"/>
              </w:rPr>
            </w:pPr>
          </w:p>
        </w:tc>
        <w:tc>
          <w:tcPr>
            <w:tcW w:w="1999" w:type="dxa"/>
            <w:gridSpan w:val="2"/>
            <w:shd w:val="clear" w:color="auto" w:fill="auto"/>
            <w:vAlign w:val="center"/>
          </w:tcPr>
          <w:p w14:paraId="023839B7" w14:textId="77777777" w:rsidR="008D5034" w:rsidRPr="003F00AF" w:rsidRDefault="008D5034" w:rsidP="008D5034">
            <w:pPr>
              <w:keepNext/>
              <w:keepLines/>
              <w:spacing w:line="300" w:lineRule="atLeast"/>
              <w:jc w:val="center"/>
              <w:rPr>
                <w:color w:val="000000"/>
                <w:sz w:val="22"/>
                <w:szCs w:val="22"/>
              </w:rPr>
            </w:pPr>
          </w:p>
        </w:tc>
      </w:tr>
      <w:tr w:rsidR="008D5034" w:rsidRPr="003F00AF" w14:paraId="221868A5" w14:textId="77777777" w:rsidTr="00BD53A2">
        <w:tc>
          <w:tcPr>
            <w:tcW w:w="5943" w:type="dxa"/>
            <w:gridSpan w:val="16"/>
            <w:shd w:val="clear" w:color="auto" w:fill="auto"/>
            <w:vAlign w:val="center"/>
          </w:tcPr>
          <w:p w14:paraId="33E93491" w14:textId="77777777" w:rsidR="008D5034" w:rsidRPr="003F00AF" w:rsidRDefault="008D5034" w:rsidP="008D5034">
            <w:pPr>
              <w:spacing w:line="300" w:lineRule="atLeast"/>
              <w:rPr>
                <w:color w:val="000000"/>
                <w:sz w:val="22"/>
                <w:szCs w:val="22"/>
              </w:rPr>
            </w:pPr>
            <w:r w:rsidRPr="003F00AF">
              <w:rPr>
                <w:color w:val="000000"/>
                <w:sz w:val="22"/>
                <w:szCs w:val="22"/>
              </w:rPr>
              <w:t xml:space="preserve"> Biodiversity</w:t>
            </w:r>
          </w:p>
        </w:tc>
        <w:tc>
          <w:tcPr>
            <w:tcW w:w="1952" w:type="dxa"/>
            <w:gridSpan w:val="6"/>
            <w:shd w:val="clear" w:color="auto" w:fill="auto"/>
            <w:vAlign w:val="center"/>
          </w:tcPr>
          <w:p w14:paraId="14927DEA" w14:textId="77777777" w:rsidR="008D5034" w:rsidRPr="003F00AF" w:rsidRDefault="008D5034" w:rsidP="008D5034">
            <w:pPr>
              <w:spacing w:line="300" w:lineRule="atLeast"/>
              <w:jc w:val="center"/>
              <w:rPr>
                <w:color w:val="000000"/>
                <w:sz w:val="22"/>
                <w:szCs w:val="22"/>
              </w:rPr>
            </w:pPr>
            <w:r w:rsidRPr="003F00AF">
              <w:rPr>
                <w:color w:val="000000"/>
                <w:sz w:val="22"/>
                <w:szCs w:val="22"/>
              </w:rPr>
              <w:t>11</w:t>
            </w:r>
          </w:p>
        </w:tc>
        <w:tc>
          <w:tcPr>
            <w:tcW w:w="1999" w:type="dxa"/>
            <w:gridSpan w:val="2"/>
            <w:shd w:val="clear" w:color="auto" w:fill="auto"/>
            <w:vAlign w:val="center"/>
          </w:tcPr>
          <w:p w14:paraId="52F52850" w14:textId="77777777" w:rsidR="008D5034" w:rsidRPr="003F00AF" w:rsidRDefault="008D5034" w:rsidP="008D5034">
            <w:pPr>
              <w:spacing w:line="300" w:lineRule="atLeast"/>
              <w:jc w:val="center"/>
              <w:rPr>
                <w:color w:val="000000"/>
                <w:sz w:val="22"/>
                <w:szCs w:val="22"/>
              </w:rPr>
            </w:pPr>
            <w:r w:rsidRPr="003F00AF">
              <w:rPr>
                <w:color w:val="000000"/>
                <w:sz w:val="22"/>
                <w:szCs w:val="22"/>
              </w:rPr>
              <w:t>11</w:t>
            </w:r>
          </w:p>
        </w:tc>
      </w:tr>
      <w:tr w:rsidR="008D5034" w:rsidRPr="003F00AF" w14:paraId="1A761842" w14:textId="77777777" w:rsidTr="00BD53A2">
        <w:tc>
          <w:tcPr>
            <w:tcW w:w="5943" w:type="dxa"/>
            <w:gridSpan w:val="16"/>
            <w:shd w:val="clear" w:color="auto" w:fill="auto"/>
            <w:vAlign w:val="center"/>
          </w:tcPr>
          <w:p w14:paraId="1D7344C8" w14:textId="77777777" w:rsidR="008D5034" w:rsidRPr="003F00AF" w:rsidRDefault="008D5034" w:rsidP="008D5034">
            <w:pPr>
              <w:spacing w:line="300" w:lineRule="atLeast"/>
              <w:rPr>
                <w:color w:val="000000"/>
                <w:sz w:val="22"/>
                <w:szCs w:val="22"/>
              </w:rPr>
            </w:pPr>
            <w:r w:rsidRPr="003F00AF">
              <w:rPr>
                <w:color w:val="000000"/>
                <w:sz w:val="22"/>
                <w:szCs w:val="22"/>
              </w:rPr>
              <w:t xml:space="preserve"> Environmental policies and institutions</w:t>
            </w:r>
          </w:p>
        </w:tc>
        <w:tc>
          <w:tcPr>
            <w:tcW w:w="1952" w:type="dxa"/>
            <w:gridSpan w:val="6"/>
            <w:shd w:val="clear" w:color="auto" w:fill="auto"/>
            <w:vAlign w:val="center"/>
          </w:tcPr>
          <w:p w14:paraId="6A226107" w14:textId="77777777" w:rsidR="008D5034" w:rsidRPr="003F00AF" w:rsidRDefault="008D5034" w:rsidP="008D5034">
            <w:pPr>
              <w:spacing w:line="300" w:lineRule="atLeast"/>
              <w:jc w:val="center"/>
              <w:rPr>
                <w:color w:val="000000"/>
                <w:sz w:val="22"/>
                <w:szCs w:val="22"/>
              </w:rPr>
            </w:pPr>
            <w:r w:rsidRPr="003F00AF">
              <w:rPr>
                <w:color w:val="000000"/>
                <w:sz w:val="22"/>
                <w:szCs w:val="22"/>
              </w:rPr>
              <w:t>67</w:t>
            </w:r>
          </w:p>
        </w:tc>
        <w:tc>
          <w:tcPr>
            <w:tcW w:w="1999" w:type="dxa"/>
            <w:gridSpan w:val="2"/>
            <w:shd w:val="clear" w:color="auto" w:fill="auto"/>
            <w:vAlign w:val="center"/>
          </w:tcPr>
          <w:p w14:paraId="43F14879" w14:textId="77777777" w:rsidR="008D5034" w:rsidRPr="003F00AF" w:rsidRDefault="008D5034" w:rsidP="008D5034">
            <w:pPr>
              <w:spacing w:line="300" w:lineRule="atLeast"/>
              <w:jc w:val="center"/>
              <w:rPr>
                <w:color w:val="000000"/>
                <w:sz w:val="22"/>
                <w:szCs w:val="22"/>
              </w:rPr>
            </w:pPr>
            <w:r w:rsidRPr="003F00AF">
              <w:rPr>
                <w:color w:val="000000"/>
                <w:sz w:val="22"/>
                <w:szCs w:val="22"/>
              </w:rPr>
              <w:t>67</w:t>
            </w:r>
          </w:p>
        </w:tc>
      </w:tr>
      <w:tr w:rsidR="008D5034" w:rsidRPr="003F00AF" w14:paraId="45ED0D6B" w14:textId="77777777" w:rsidTr="00BD53A2">
        <w:tc>
          <w:tcPr>
            <w:tcW w:w="5943" w:type="dxa"/>
            <w:gridSpan w:val="16"/>
            <w:shd w:val="clear" w:color="auto" w:fill="auto"/>
            <w:vAlign w:val="center"/>
          </w:tcPr>
          <w:p w14:paraId="3F8D6EB3" w14:textId="77777777" w:rsidR="008D5034" w:rsidRPr="003F00AF" w:rsidRDefault="008D5034" w:rsidP="008D5034">
            <w:pPr>
              <w:spacing w:line="300" w:lineRule="atLeast"/>
              <w:rPr>
                <w:color w:val="000000"/>
                <w:sz w:val="22"/>
                <w:szCs w:val="22"/>
              </w:rPr>
            </w:pPr>
            <w:r w:rsidRPr="003F00AF">
              <w:rPr>
                <w:color w:val="000000"/>
                <w:sz w:val="22"/>
                <w:szCs w:val="22"/>
              </w:rPr>
              <w:t xml:space="preserve"> Pollution management and environmental health</w:t>
            </w:r>
          </w:p>
        </w:tc>
        <w:tc>
          <w:tcPr>
            <w:tcW w:w="1952" w:type="dxa"/>
            <w:gridSpan w:val="6"/>
            <w:shd w:val="clear" w:color="auto" w:fill="auto"/>
            <w:vAlign w:val="center"/>
          </w:tcPr>
          <w:p w14:paraId="2FDC90E3" w14:textId="77777777" w:rsidR="008D5034" w:rsidRPr="003F00AF" w:rsidRDefault="008D5034" w:rsidP="008D5034">
            <w:pPr>
              <w:spacing w:line="300" w:lineRule="atLeast"/>
              <w:jc w:val="center"/>
              <w:rPr>
                <w:color w:val="000000"/>
                <w:sz w:val="22"/>
                <w:szCs w:val="22"/>
              </w:rPr>
            </w:pPr>
            <w:r w:rsidRPr="003F00AF">
              <w:rPr>
                <w:color w:val="000000"/>
                <w:sz w:val="22"/>
                <w:szCs w:val="22"/>
              </w:rPr>
              <w:t>22</w:t>
            </w:r>
          </w:p>
        </w:tc>
        <w:tc>
          <w:tcPr>
            <w:tcW w:w="1999" w:type="dxa"/>
            <w:gridSpan w:val="2"/>
            <w:shd w:val="clear" w:color="auto" w:fill="auto"/>
            <w:vAlign w:val="center"/>
          </w:tcPr>
          <w:p w14:paraId="3BAF0F5C" w14:textId="77777777" w:rsidR="008D5034" w:rsidRPr="003F00AF" w:rsidRDefault="008D5034" w:rsidP="008D5034">
            <w:pPr>
              <w:spacing w:line="300" w:lineRule="atLeast"/>
              <w:jc w:val="center"/>
              <w:rPr>
                <w:color w:val="000000"/>
                <w:sz w:val="22"/>
                <w:szCs w:val="22"/>
              </w:rPr>
            </w:pPr>
            <w:r w:rsidRPr="003F00AF">
              <w:rPr>
                <w:color w:val="000000"/>
                <w:sz w:val="22"/>
                <w:szCs w:val="22"/>
              </w:rPr>
              <w:t>22</w:t>
            </w:r>
          </w:p>
        </w:tc>
      </w:tr>
      <w:tr w:rsidR="008D5034" w:rsidRPr="003F00AF" w14:paraId="5CF2AF61" w14:textId="77777777" w:rsidTr="00BD53A2">
        <w:tc>
          <w:tcPr>
            <w:tcW w:w="9894" w:type="dxa"/>
            <w:gridSpan w:val="24"/>
            <w:shd w:val="clear" w:color="auto" w:fill="auto"/>
            <w:vAlign w:val="center"/>
          </w:tcPr>
          <w:p w14:paraId="3228A946" w14:textId="77777777" w:rsidR="008D5034" w:rsidRPr="003F00AF" w:rsidRDefault="008D5034" w:rsidP="008D5034">
            <w:pPr>
              <w:keepNext/>
              <w:keepLines/>
              <w:rPr>
                <w:b/>
                <w:bCs/>
                <w:color w:val="606060"/>
                <w:sz w:val="22"/>
                <w:szCs w:val="22"/>
              </w:rPr>
            </w:pPr>
            <w:r w:rsidRPr="003F00AF">
              <w:rPr>
                <w:b/>
                <w:bCs/>
                <w:color w:val="606060"/>
                <w:sz w:val="22"/>
                <w:szCs w:val="22"/>
              </w:rPr>
              <w:t xml:space="preserve"> Peru Third Programmatic Environmental Development Policy Loan </w:t>
            </w:r>
          </w:p>
        </w:tc>
      </w:tr>
      <w:tr w:rsidR="008D5034" w:rsidRPr="003F00AF" w14:paraId="5B4F1290" w14:textId="77777777" w:rsidTr="00BD53A2">
        <w:tc>
          <w:tcPr>
            <w:tcW w:w="5943" w:type="dxa"/>
            <w:gridSpan w:val="16"/>
            <w:shd w:val="clear" w:color="auto" w:fill="auto"/>
            <w:vAlign w:val="center"/>
          </w:tcPr>
          <w:p w14:paraId="653F0AFB" w14:textId="77777777" w:rsidR="008D5034" w:rsidRPr="003F00AF" w:rsidRDefault="008D5034" w:rsidP="008D5034">
            <w:pPr>
              <w:keepNext/>
              <w:keepLines/>
              <w:spacing w:line="300" w:lineRule="atLeast"/>
              <w:rPr>
                <w:b/>
                <w:color w:val="000000"/>
                <w:sz w:val="22"/>
                <w:szCs w:val="22"/>
              </w:rPr>
            </w:pPr>
            <w:r w:rsidRPr="003F00AF">
              <w:rPr>
                <w:rStyle w:val="Strong"/>
                <w:color w:val="000000"/>
                <w:sz w:val="22"/>
                <w:szCs w:val="22"/>
              </w:rPr>
              <w:t>Sector Code (as % of total Bank financing)</w:t>
            </w:r>
          </w:p>
        </w:tc>
        <w:tc>
          <w:tcPr>
            <w:tcW w:w="1952" w:type="dxa"/>
            <w:gridSpan w:val="6"/>
            <w:shd w:val="clear" w:color="auto" w:fill="auto"/>
            <w:vAlign w:val="center"/>
          </w:tcPr>
          <w:p w14:paraId="3E952ADB" w14:textId="77777777" w:rsidR="008D5034" w:rsidRPr="003F00AF" w:rsidRDefault="008D5034" w:rsidP="008D5034">
            <w:pPr>
              <w:keepNext/>
              <w:keepLines/>
              <w:spacing w:line="300" w:lineRule="atLeast"/>
              <w:jc w:val="center"/>
              <w:rPr>
                <w:color w:val="000000"/>
                <w:sz w:val="22"/>
                <w:szCs w:val="22"/>
              </w:rPr>
            </w:pPr>
          </w:p>
        </w:tc>
        <w:tc>
          <w:tcPr>
            <w:tcW w:w="1999" w:type="dxa"/>
            <w:gridSpan w:val="2"/>
            <w:shd w:val="clear" w:color="auto" w:fill="auto"/>
            <w:vAlign w:val="center"/>
          </w:tcPr>
          <w:p w14:paraId="7B99EE12" w14:textId="77777777" w:rsidR="008D5034" w:rsidRPr="003F00AF" w:rsidRDefault="008D5034" w:rsidP="008D5034">
            <w:pPr>
              <w:keepNext/>
              <w:keepLines/>
              <w:spacing w:line="300" w:lineRule="atLeast"/>
              <w:jc w:val="center"/>
              <w:rPr>
                <w:color w:val="000000"/>
                <w:sz w:val="22"/>
                <w:szCs w:val="22"/>
              </w:rPr>
            </w:pPr>
          </w:p>
        </w:tc>
      </w:tr>
      <w:tr w:rsidR="008D5034" w:rsidRPr="003F00AF" w14:paraId="256C4ECC" w14:textId="77777777" w:rsidTr="00BD53A2">
        <w:tc>
          <w:tcPr>
            <w:tcW w:w="5943" w:type="dxa"/>
            <w:gridSpan w:val="16"/>
            <w:shd w:val="clear" w:color="auto" w:fill="auto"/>
            <w:vAlign w:val="center"/>
          </w:tcPr>
          <w:p w14:paraId="0387F90E" w14:textId="77777777" w:rsidR="008D5034" w:rsidRPr="003F00AF" w:rsidRDefault="008D5034" w:rsidP="008D5034">
            <w:pPr>
              <w:spacing w:line="300" w:lineRule="atLeast"/>
              <w:rPr>
                <w:color w:val="000000"/>
                <w:sz w:val="22"/>
                <w:szCs w:val="22"/>
              </w:rPr>
            </w:pPr>
            <w:r w:rsidRPr="003F00AF">
              <w:rPr>
                <w:color w:val="000000"/>
                <w:sz w:val="22"/>
                <w:szCs w:val="22"/>
              </w:rPr>
              <w:t xml:space="preserve"> Animal production</w:t>
            </w:r>
          </w:p>
        </w:tc>
        <w:tc>
          <w:tcPr>
            <w:tcW w:w="1952" w:type="dxa"/>
            <w:gridSpan w:val="6"/>
            <w:shd w:val="clear" w:color="auto" w:fill="auto"/>
            <w:vAlign w:val="center"/>
          </w:tcPr>
          <w:p w14:paraId="126A404A"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c>
          <w:tcPr>
            <w:tcW w:w="1999" w:type="dxa"/>
            <w:gridSpan w:val="2"/>
            <w:shd w:val="clear" w:color="auto" w:fill="auto"/>
            <w:vAlign w:val="center"/>
          </w:tcPr>
          <w:p w14:paraId="11312530"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r>
      <w:tr w:rsidR="008D5034" w:rsidRPr="003F00AF" w14:paraId="70E7ACC1" w14:textId="77777777" w:rsidTr="00BD53A2">
        <w:tc>
          <w:tcPr>
            <w:tcW w:w="5943" w:type="dxa"/>
            <w:gridSpan w:val="16"/>
            <w:shd w:val="clear" w:color="auto" w:fill="auto"/>
            <w:vAlign w:val="center"/>
          </w:tcPr>
          <w:p w14:paraId="4717AFF7" w14:textId="77777777" w:rsidR="008D5034" w:rsidRPr="003F00AF" w:rsidRDefault="008D5034" w:rsidP="008D5034">
            <w:pPr>
              <w:spacing w:line="300" w:lineRule="atLeast"/>
              <w:rPr>
                <w:color w:val="000000"/>
                <w:sz w:val="22"/>
                <w:szCs w:val="22"/>
              </w:rPr>
            </w:pPr>
            <w:r w:rsidRPr="003F00AF">
              <w:rPr>
                <w:color w:val="000000"/>
                <w:sz w:val="22"/>
                <w:szCs w:val="22"/>
              </w:rPr>
              <w:t xml:space="preserve"> Forestry</w:t>
            </w:r>
          </w:p>
        </w:tc>
        <w:tc>
          <w:tcPr>
            <w:tcW w:w="1952" w:type="dxa"/>
            <w:gridSpan w:val="6"/>
            <w:shd w:val="clear" w:color="auto" w:fill="auto"/>
            <w:vAlign w:val="center"/>
          </w:tcPr>
          <w:p w14:paraId="72C677FC"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c>
          <w:tcPr>
            <w:tcW w:w="1999" w:type="dxa"/>
            <w:gridSpan w:val="2"/>
            <w:shd w:val="clear" w:color="auto" w:fill="auto"/>
            <w:vAlign w:val="center"/>
          </w:tcPr>
          <w:p w14:paraId="42F5F5E8"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r>
      <w:tr w:rsidR="008D5034" w:rsidRPr="003F00AF" w14:paraId="102BE42B" w14:textId="77777777" w:rsidTr="00BD53A2">
        <w:tc>
          <w:tcPr>
            <w:tcW w:w="5943" w:type="dxa"/>
            <w:gridSpan w:val="16"/>
            <w:shd w:val="clear" w:color="auto" w:fill="auto"/>
            <w:vAlign w:val="center"/>
          </w:tcPr>
          <w:p w14:paraId="02DB6266" w14:textId="77777777" w:rsidR="008D5034" w:rsidRPr="003F00AF" w:rsidRDefault="008D5034" w:rsidP="008D5034">
            <w:pPr>
              <w:spacing w:line="300" w:lineRule="atLeast"/>
              <w:rPr>
                <w:color w:val="000000"/>
                <w:sz w:val="22"/>
                <w:szCs w:val="22"/>
              </w:rPr>
            </w:pPr>
            <w:r w:rsidRPr="003F00AF">
              <w:rPr>
                <w:color w:val="000000"/>
                <w:sz w:val="22"/>
                <w:szCs w:val="22"/>
              </w:rPr>
              <w:t xml:space="preserve"> General transportation sector</w:t>
            </w:r>
          </w:p>
        </w:tc>
        <w:tc>
          <w:tcPr>
            <w:tcW w:w="1952" w:type="dxa"/>
            <w:gridSpan w:val="6"/>
            <w:shd w:val="clear" w:color="auto" w:fill="auto"/>
            <w:vAlign w:val="center"/>
          </w:tcPr>
          <w:p w14:paraId="355AA751" w14:textId="77777777" w:rsidR="008D5034" w:rsidRPr="003F00AF" w:rsidRDefault="008D5034" w:rsidP="008D5034">
            <w:pPr>
              <w:spacing w:line="300" w:lineRule="atLeast"/>
              <w:jc w:val="center"/>
              <w:rPr>
                <w:color w:val="000000"/>
                <w:sz w:val="22"/>
                <w:szCs w:val="22"/>
              </w:rPr>
            </w:pPr>
            <w:r w:rsidRPr="003F00AF">
              <w:rPr>
                <w:color w:val="000000"/>
                <w:sz w:val="22"/>
                <w:szCs w:val="22"/>
              </w:rPr>
              <w:t>14</w:t>
            </w:r>
          </w:p>
        </w:tc>
        <w:tc>
          <w:tcPr>
            <w:tcW w:w="1999" w:type="dxa"/>
            <w:gridSpan w:val="2"/>
            <w:shd w:val="clear" w:color="auto" w:fill="auto"/>
            <w:vAlign w:val="center"/>
          </w:tcPr>
          <w:p w14:paraId="71D1941C" w14:textId="77777777" w:rsidR="008D5034" w:rsidRPr="003F00AF" w:rsidRDefault="008D5034" w:rsidP="008D5034">
            <w:pPr>
              <w:spacing w:line="300" w:lineRule="atLeast"/>
              <w:jc w:val="center"/>
              <w:rPr>
                <w:color w:val="000000"/>
                <w:sz w:val="22"/>
                <w:szCs w:val="22"/>
              </w:rPr>
            </w:pPr>
            <w:r w:rsidRPr="003F00AF">
              <w:rPr>
                <w:color w:val="000000"/>
                <w:sz w:val="22"/>
                <w:szCs w:val="22"/>
              </w:rPr>
              <w:t>14</w:t>
            </w:r>
          </w:p>
        </w:tc>
      </w:tr>
      <w:tr w:rsidR="008D5034" w:rsidRPr="003F00AF" w14:paraId="35B26427" w14:textId="77777777" w:rsidTr="00BD53A2">
        <w:tc>
          <w:tcPr>
            <w:tcW w:w="5943" w:type="dxa"/>
            <w:gridSpan w:val="16"/>
            <w:shd w:val="clear" w:color="auto" w:fill="auto"/>
            <w:vAlign w:val="center"/>
          </w:tcPr>
          <w:p w14:paraId="7EDD11F8" w14:textId="66B18996" w:rsidR="008D5034" w:rsidRPr="003F00AF" w:rsidRDefault="008D5034" w:rsidP="008D5034">
            <w:pPr>
              <w:spacing w:line="300" w:lineRule="atLeast"/>
              <w:rPr>
                <w:color w:val="000000"/>
                <w:sz w:val="22"/>
                <w:szCs w:val="22"/>
              </w:rPr>
            </w:pPr>
            <w:r w:rsidRPr="003F00AF">
              <w:rPr>
                <w:color w:val="000000"/>
                <w:sz w:val="22"/>
                <w:szCs w:val="22"/>
              </w:rPr>
              <w:t xml:space="preserve"> </w:t>
            </w:r>
            <w:r w:rsidR="00287027">
              <w:rPr>
                <w:color w:val="000000"/>
                <w:sz w:val="22"/>
                <w:szCs w:val="22"/>
              </w:rPr>
              <w:t>Mining and extractives</w:t>
            </w:r>
          </w:p>
        </w:tc>
        <w:tc>
          <w:tcPr>
            <w:tcW w:w="1952" w:type="dxa"/>
            <w:gridSpan w:val="6"/>
            <w:shd w:val="clear" w:color="auto" w:fill="auto"/>
            <w:vAlign w:val="center"/>
          </w:tcPr>
          <w:p w14:paraId="02075AD2" w14:textId="77777777" w:rsidR="008D5034" w:rsidRPr="003F00AF" w:rsidRDefault="008D5034" w:rsidP="008D5034">
            <w:pPr>
              <w:spacing w:line="300" w:lineRule="atLeast"/>
              <w:jc w:val="center"/>
              <w:rPr>
                <w:color w:val="000000"/>
                <w:sz w:val="22"/>
                <w:szCs w:val="22"/>
              </w:rPr>
            </w:pPr>
            <w:r w:rsidRPr="003F00AF">
              <w:rPr>
                <w:color w:val="000000"/>
                <w:sz w:val="22"/>
                <w:szCs w:val="22"/>
              </w:rPr>
              <w:t>14</w:t>
            </w:r>
          </w:p>
        </w:tc>
        <w:tc>
          <w:tcPr>
            <w:tcW w:w="1999" w:type="dxa"/>
            <w:gridSpan w:val="2"/>
            <w:shd w:val="clear" w:color="auto" w:fill="auto"/>
            <w:vAlign w:val="center"/>
          </w:tcPr>
          <w:p w14:paraId="6F33EA5A" w14:textId="77777777" w:rsidR="008D5034" w:rsidRPr="003F00AF" w:rsidRDefault="008D5034" w:rsidP="008D5034">
            <w:pPr>
              <w:spacing w:line="300" w:lineRule="atLeast"/>
              <w:jc w:val="center"/>
              <w:rPr>
                <w:color w:val="000000"/>
                <w:sz w:val="22"/>
                <w:szCs w:val="22"/>
              </w:rPr>
            </w:pPr>
            <w:r w:rsidRPr="003F00AF">
              <w:rPr>
                <w:color w:val="000000"/>
                <w:sz w:val="22"/>
                <w:szCs w:val="22"/>
              </w:rPr>
              <w:t>14</w:t>
            </w:r>
          </w:p>
        </w:tc>
      </w:tr>
      <w:tr w:rsidR="008D5034" w:rsidRPr="003F00AF" w14:paraId="61609A31" w14:textId="77777777" w:rsidTr="00BD53A2">
        <w:tc>
          <w:tcPr>
            <w:tcW w:w="5943" w:type="dxa"/>
            <w:gridSpan w:val="16"/>
            <w:shd w:val="clear" w:color="auto" w:fill="auto"/>
            <w:vAlign w:val="center"/>
          </w:tcPr>
          <w:p w14:paraId="17B8F47A" w14:textId="77777777" w:rsidR="008D5034" w:rsidRPr="003F00AF" w:rsidRDefault="008D5034" w:rsidP="008D5034">
            <w:pPr>
              <w:spacing w:line="300" w:lineRule="atLeast"/>
              <w:rPr>
                <w:color w:val="000000"/>
                <w:sz w:val="22"/>
                <w:szCs w:val="22"/>
              </w:rPr>
            </w:pPr>
            <w:r w:rsidRPr="003F00AF">
              <w:rPr>
                <w:color w:val="000000"/>
                <w:sz w:val="22"/>
                <w:szCs w:val="22"/>
              </w:rPr>
              <w:t xml:space="preserve"> </w:t>
            </w:r>
            <w:bookmarkStart w:id="36" w:name="SECTOR_COL_1"/>
            <w:r w:rsidRPr="003F00AF">
              <w:rPr>
                <w:color w:val="000000"/>
                <w:sz w:val="22"/>
                <w:szCs w:val="22"/>
              </w:rPr>
              <w:t>Oil and gas</w:t>
            </w:r>
            <w:bookmarkEnd w:id="36"/>
          </w:p>
        </w:tc>
        <w:tc>
          <w:tcPr>
            <w:tcW w:w="1952" w:type="dxa"/>
            <w:gridSpan w:val="6"/>
            <w:shd w:val="clear" w:color="auto" w:fill="auto"/>
            <w:vAlign w:val="center"/>
          </w:tcPr>
          <w:p w14:paraId="2D87AAA9" w14:textId="77777777" w:rsidR="008D5034" w:rsidRPr="003F00AF" w:rsidRDefault="008D5034" w:rsidP="008D5034">
            <w:pPr>
              <w:spacing w:line="300" w:lineRule="atLeast"/>
              <w:jc w:val="center"/>
              <w:rPr>
                <w:color w:val="000000"/>
                <w:sz w:val="22"/>
                <w:szCs w:val="22"/>
              </w:rPr>
            </w:pPr>
            <w:bookmarkStart w:id="37" w:name="SECTOR_COL_2"/>
            <w:r w:rsidRPr="003F00AF">
              <w:rPr>
                <w:color w:val="000000"/>
                <w:sz w:val="22"/>
                <w:szCs w:val="22"/>
              </w:rPr>
              <w:t>14</w:t>
            </w:r>
            <w:bookmarkEnd w:id="37"/>
          </w:p>
        </w:tc>
        <w:tc>
          <w:tcPr>
            <w:tcW w:w="1999" w:type="dxa"/>
            <w:gridSpan w:val="2"/>
            <w:shd w:val="clear" w:color="auto" w:fill="auto"/>
            <w:vAlign w:val="center"/>
          </w:tcPr>
          <w:p w14:paraId="48AAF407" w14:textId="77777777" w:rsidR="008D5034" w:rsidRPr="003F00AF" w:rsidRDefault="008D5034" w:rsidP="008D5034">
            <w:pPr>
              <w:spacing w:line="300" w:lineRule="atLeast"/>
              <w:jc w:val="center"/>
              <w:rPr>
                <w:color w:val="000000"/>
                <w:sz w:val="22"/>
                <w:szCs w:val="22"/>
              </w:rPr>
            </w:pPr>
            <w:bookmarkStart w:id="38" w:name="SECTOR_COL_3"/>
            <w:bookmarkEnd w:id="38"/>
            <w:r w:rsidRPr="003F00AF">
              <w:rPr>
                <w:color w:val="000000"/>
                <w:sz w:val="22"/>
                <w:szCs w:val="22"/>
              </w:rPr>
              <w:t>14</w:t>
            </w:r>
          </w:p>
        </w:tc>
      </w:tr>
      <w:tr w:rsidR="008D5034" w:rsidRPr="003F00AF" w14:paraId="1BA43991" w14:textId="77777777" w:rsidTr="00BD53A2">
        <w:tc>
          <w:tcPr>
            <w:tcW w:w="5943" w:type="dxa"/>
            <w:gridSpan w:val="16"/>
            <w:shd w:val="clear" w:color="auto" w:fill="auto"/>
            <w:vAlign w:val="center"/>
          </w:tcPr>
          <w:p w14:paraId="520827FC" w14:textId="36B2F612" w:rsidR="008D5034" w:rsidRPr="003F00AF" w:rsidRDefault="008D5034" w:rsidP="008D5034">
            <w:pPr>
              <w:keepNext/>
              <w:keepLines/>
              <w:spacing w:line="300" w:lineRule="atLeast"/>
              <w:rPr>
                <w:b/>
                <w:color w:val="000000"/>
                <w:sz w:val="22"/>
                <w:szCs w:val="22"/>
              </w:rPr>
            </w:pPr>
            <w:bookmarkStart w:id="39" w:name="SECTOR"/>
            <w:bookmarkEnd w:id="39"/>
            <w:r w:rsidRPr="003F00AF">
              <w:rPr>
                <w:rStyle w:val="Strong"/>
                <w:color w:val="000000"/>
                <w:sz w:val="22"/>
                <w:szCs w:val="22"/>
              </w:rPr>
              <w:t>Theme Code (Primary/Secondary)</w:t>
            </w:r>
          </w:p>
        </w:tc>
        <w:tc>
          <w:tcPr>
            <w:tcW w:w="1952" w:type="dxa"/>
            <w:gridSpan w:val="6"/>
            <w:shd w:val="clear" w:color="auto" w:fill="auto"/>
            <w:vAlign w:val="center"/>
          </w:tcPr>
          <w:p w14:paraId="1DF2D4C0" w14:textId="77777777" w:rsidR="008D5034" w:rsidRPr="003F00AF" w:rsidRDefault="008D5034" w:rsidP="008D5034">
            <w:pPr>
              <w:keepNext/>
              <w:keepLines/>
              <w:spacing w:line="300" w:lineRule="atLeast"/>
              <w:jc w:val="center"/>
              <w:rPr>
                <w:color w:val="000000"/>
                <w:sz w:val="22"/>
                <w:szCs w:val="22"/>
              </w:rPr>
            </w:pPr>
          </w:p>
        </w:tc>
        <w:tc>
          <w:tcPr>
            <w:tcW w:w="1999" w:type="dxa"/>
            <w:gridSpan w:val="2"/>
            <w:shd w:val="clear" w:color="auto" w:fill="auto"/>
            <w:vAlign w:val="center"/>
          </w:tcPr>
          <w:p w14:paraId="07D89A4D" w14:textId="77777777" w:rsidR="008D5034" w:rsidRPr="003F00AF" w:rsidRDefault="008D5034" w:rsidP="008D5034">
            <w:pPr>
              <w:keepNext/>
              <w:keepLines/>
              <w:spacing w:line="300" w:lineRule="atLeast"/>
              <w:jc w:val="center"/>
              <w:rPr>
                <w:color w:val="000000"/>
                <w:sz w:val="22"/>
                <w:szCs w:val="22"/>
              </w:rPr>
            </w:pPr>
          </w:p>
        </w:tc>
      </w:tr>
      <w:tr w:rsidR="008D5034" w:rsidRPr="003F00AF" w14:paraId="2F27E366" w14:textId="77777777" w:rsidTr="00BD53A2">
        <w:tc>
          <w:tcPr>
            <w:tcW w:w="5943" w:type="dxa"/>
            <w:gridSpan w:val="16"/>
            <w:shd w:val="clear" w:color="auto" w:fill="auto"/>
            <w:vAlign w:val="center"/>
          </w:tcPr>
          <w:p w14:paraId="06412EFE" w14:textId="77777777" w:rsidR="008D5034" w:rsidRPr="003F00AF" w:rsidRDefault="008D5034" w:rsidP="008D5034">
            <w:pPr>
              <w:spacing w:line="300" w:lineRule="atLeast"/>
              <w:rPr>
                <w:color w:val="000000"/>
                <w:sz w:val="22"/>
                <w:szCs w:val="22"/>
              </w:rPr>
            </w:pPr>
            <w:r w:rsidRPr="003F00AF">
              <w:rPr>
                <w:color w:val="000000"/>
                <w:sz w:val="22"/>
                <w:szCs w:val="22"/>
              </w:rPr>
              <w:t xml:space="preserve"> Biodiversity</w:t>
            </w:r>
          </w:p>
        </w:tc>
        <w:tc>
          <w:tcPr>
            <w:tcW w:w="1952" w:type="dxa"/>
            <w:gridSpan w:val="6"/>
            <w:shd w:val="clear" w:color="auto" w:fill="auto"/>
            <w:vAlign w:val="center"/>
          </w:tcPr>
          <w:p w14:paraId="0DB48C69" w14:textId="77777777" w:rsidR="008D5034" w:rsidRPr="003F00AF" w:rsidRDefault="008D5034" w:rsidP="008D5034">
            <w:pPr>
              <w:spacing w:line="300" w:lineRule="atLeast"/>
              <w:jc w:val="center"/>
              <w:rPr>
                <w:color w:val="000000"/>
                <w:sz w:val="22"/>
                <w:szCs w:val="22"/>
              </w:rPr>
            </w:pPr>
            <w:r w:rsidRPr="003F00AF">
              <w:rPr>
                <w:color w:val="000000"/>
                <w:sz w:val="22"/>
                <w:szCs w:val="22"/>
              </w:rPr>
              <w:t>13</w:t>
            </w:r>
          </w:p>
        </w:tc>
        <w:tc>
          <w:tcPr>
            <w:tcW w:w="1999" w:type="dxa"/>
            <w:gridSpan w:val="2"/>
            <w:shd w:val="clear" w:color="auto" w:fill="auto"/>
            <w:vAlign w:val="center"/>
          </w:tcPr>
          <w:p w14:paraId="627B4C38" w14:textId="77777777" w:rsidR="008D5034" w:rsidRPr="003F00AF" w:rsidRDefault="008D5034" w:rsidP="008D5034">
            <w:pPr>
              <w:spacing w:line="300" w:lineRule="atLeast"/>
              <w:jc w:val="center"/>
              <w:rPr>
                <w:color w:val="000000"/>
                <w:sz w:val="22"/>
                <w:szCs w:val="22"/>
              </w:rPr>
            </w:pPr>
            <w:r w:rsidRPr="003F00AF">
              <w:rPr>
                <w:color w:val="000000"/>
                <w:sz w:val="22"/>
                <w:szCs w:val="22"/>
              </w:rPr>
              <w:t>13</w:t>
            </w:r>
          </w:p>
        </w:tc>
      </w:tr>
      <w:tr w:rsidR="008D5034" w:rsidRPr="003F00AF" w14:paraId="1D4DD288" w14:textId="77777777" w:rsidTr="00BD53A2">
        <w:tc>
          <w:tcPr>
            <w:tcW w:w="5943" w:type="dxa"/>
            <w:gridSpan w:val="16"/>
            <w:shd w:val="clear" w:color="auto" w:fill="auto"/>
            <w:vAlign w:val="center"/>
          </w:tcPr>
          <w:p w14:paraId="284B9ED7" w14:textId="77777777" w:rsidR="008D5034" w:rsidRPr="003F00AF" w:rsidRDefault="008D5034" w:rsidP="008D5034">
            <w:pPr>
              <w:spacing w:line="300" w:lineRule="atLeast"/>
              <w:rPr>
                <w:color w:val="000000"/>
                <w:sz w:val="22"/>
                <w:szCs w:val="22"/>
              </w:rPr>
            </w:pPr>
            <w:r w:rsidRPr="003F00AF">
              <w:rPr>
                <w:color w:val="000000"/>
                <w:sz w:val="22"/>
                <w:szCs w:val="22"/>
              </w:rPr>
              <w:t xml:space="preserve"> Environmental policies and institutions</w:t>
            </w:r>
          </w:p>
        </w:tc>
        <w:tc>
          <w:tcPr>
            <w:tcW w:w="1952" w:type="dxa"/>
            <w:gridSpan w:val="6"/>
            <w:shd w:val="clear" w:color="auto" w:fill="auto"/>
            <w:vAlign w:val="center"/>
          </w:tcPr>
          <w:p w14:paraId="78196F53"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c>
          <w:tcPr>
            <w:tcW w:w="1999" w:type="dxa"/>
            <w:gridSpan w:val="2"/>
            <w:shd w:val="clear" w:color="auto" w:fill="auto"/>
            <w:vAlign w:val="center"/>
          </w:tcPr>
          <w:p w14:paraId="02D0BF76"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r>
      <w:tr w:rsidR="008D5034" w:rsidRPr="003F00AF" w14:paraId="3B3DE0EB" w14:textId="77777777" w:rsidTr="00BD53A2">
        <w:tc>
          <w:tcPr>
            <w:tcW w:w="5943" w:type="dxa"/>
            <w:gridSpan w:val="16"/>
            <w:shd w:val="clear" w:color="auto" w:fill="auto"/>
            <w:vAlign w:val="center"/>
          </w:tcPr>
          <w:p w14:paraId="4D927BE2" w14:textId="77777777" w:rsidR="008D5034" w:rsidRPr="003F00AF" w:rsidRDefault="008D5034" w:rsidP="008D5034">
            <w:pPr>
              <w:spacing w:line="300" w:lineRule="atLeast"/>
              <w:rPr>
                <w:color w:val="000000"/>
                <w:sz w:val="22"/>
                <w:szCs w:val="22"/>
              </w:rPr>
            </w:pPr>
            <w:r w:rsidRPr="003F00AF">
              <w:rPr>
                <w:color w:val="000000"/>
                <w:sz w:val="22"/>
                <w:szCs w:val="22"/>
              </w:rPr>
              <w:t xml:space="preserve"> Pollution management and environmental health</w:t>
            </w:r>
          </w:p>
        </w:tc>
        <w:tc>
          <w:tcPr>
            <w:tcW w:w="1952" w:type="dxa"/>
            <w:gridSpan w:val="6"/>
            <w:shd w:val="clear" w:color="auto" w:fill="auto"/>
            <w:vAlign w:val="center"/>
          </w:tcPr>
          <w:p w14:paraId="07A75ABB"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c>
          <w:tcPr>
            <w:tcW w:w="1999" w:type="dxa"/>
            <w:gridSpan w:val="2"/>
            <w:shd w:val="clear" w:color="auto" w:fill="auto"/>
            <w:vAlign w:val="center"/>
          </w:tcPr>
          <w:p w14:paraId="3A50724E" w14:textId="77777777" w:rsidR="008D5034" w:rsidRPr="003F00AF" w:rsidRDefault="008D5034" w:rsidP="008D5034">
            <w:pPr>
              <w:spacing w:line="300" w:lineRule="atLeast"/>
              <w:jc w:val="center"/>
              <w:rPr>
                <w:color w:val="000000"/>
                <w:sz w:val="22"/>
                <w:szCs w:val="22"/>
              </w:rPr>
            </w:pPr>
            <w:r w:rsidRPr="003F00AF">
              <w:rPr>
                <w:color w:val="000000"/>
                <w:sz w:val="22"/>
                <w:szCs w:val="22"/>
              </w:rPr>
              <w:t>29</w:t>
            </w:r>
          </w:p>
        </w:tc>
      </w:tr>
      <w:tr w:rsidR="008D5034" w:rsidRPr="003F00AF" w14:paraId="17CE8CAF" w14:textId="77777777" w:rsidTr="00BD53A2">
        <w:tc>
          <w:tcPr>
            <w:tcW w:w="5943" w:type="dxa"/>
            <w:gridSpan w:val="16"/>
            <w:shd w:val="clear" w:color="auto" w:fill="auto"/>
            <w:vAlign w:val="center"/>
          </w:tcPr>
          <w:p w14:paraId="4FEA7541" w14:textId="77777777" w:rsidR="008D5034" w:rsidRPr="003F00AF" w:rsidRDefault="008D5034" w:rsidP="008D5034">
            <w:pPr>
              <w:spacing w:line="300" w:lineRule="atLeast"/>
              <w:rPr>
                <w:color w:val="000000"/>
                <w:sz w:val="22"/>
                <w:szCs w:val="22"/>
              </w:rPr>
            </w:pPr>
            <w:r w:rsidRPr="003F00AF">
              <w:rPr>
                <w:color w:val="000000"/>
                <w:sz w:val="22"/>
                <w:szCs w:val="22"/>
              </w:rPr>
              <w:t xml:space="preserve"> </w:t>
            </w:r>
            <w:bookmarkStart w:id="40" w:name="THEME_COL_1"/>
            <w:r w:rsidRPr="003F00AF">
              <w:rPr>
                <w:color w:val="000000"/>
                <w:sz w:val="22"/>
                <w:szCs w:val="22"/>
              </w:rPr>
              <w:t>Water resource management</w:t>
            </w:r>
            <w:bookmarkEnd w:id="40"/>
          </w:p>
        </w:tc>
        <w:tc>
          <w:tcPr>
            <w:tcW w:w="1952" w:type="dxa"/>
            <w:gridSpan w:val="6"/>
            <w:shd w:val="clear" w:color="auto" w:fill="auto"/>
            <w:vAlign w:val="center"/>
          </w:tcPr>
          <w:p w14:paraId="70A12F4E" w14:textId="77777777" w:rsidR="008D5034" w:rsidRPr="003F00AF" w:rsidRDefault="008D5034" w:rsidP="008D5034">
            <w:pPr>
              <w:spacing w:line="300" w:lineRule="atLeast"/>
              <w:jc w:val="center"/>
              <w:rPr>
                <w:color w:val="000000"/>
                <w:sz w:val="22"/>
                <w:szCs w:val="22"/>
              </w:rPr>
            </w:pPr>
            <w:bookmarkStart w:id="41" w:name="THEME_COL_2"/>
            <w:r w:rsidRPr="003F00AF">
              <w:rPr>
                <w:color w:val="000000"/>
                <w:sz w:val="22"/>
                <w:szCs w:val="22"/>
              </w:rPr>
              <w:t>29</w:t>
            </w:r>
            <w:bookmarkEnd w:id="41"/>
          </w:p>
        </w:tc>
        <w:tc>
          <w:tcPr>
            <w:tcW w:w="1999" w:type="dxa"/>
            <w:gridSpan w:val="2"/>
            <w:shd w:val="clear" w:color="auto" w:fill="auto"/>
            <w:vAlign w:val="center"/>
          </w:tcPr>
          <w:p w14:paraId="72A0A45E" w14:textId="77777777" w:rsidR="008D5034" w:rsidRPr="003F00AF" w:rsidRDefault="008D5034" w:rsidP="008D5034">
            <w:pPr>
              <w:spacing w:line="300" w:lineRule="atLeast"/>
              <w:jc w:val="center"/>
              <w:rPr>
                <w:color w:val="000000"/>
                <w:sz w:val="22"/>
                <w:szCs w:val="22"/>
              </w:rPr>
            </w:pPr>
            <w:bookmarkStart w:id="42" w:name="THEME_COL_3"/>
            <w:bookmarkEnd w:id="42"/>
            <w:r w:rsidRPr="003F00AF">
              <w:rPr>
                <w:color w:val="000000"/>
                <w:sz w:val="22"/>
                <w:szCs w:val="22"/>
              </w:rPr>
              <w:t>29</w:t>
            </w:r>
          </w:p>
        </w:tc>
      </w:tr>
      <w:tr w:rsidR="008D5034" w:rsidRPr="003F00AF" w14:paraId="6119D2B4" w14:textId="77777777" w:rsidTr="00BD53A2">
        <w:tc>
          <w:tcPr>
            <w:tcW w:w="9894" w:type="dxa"/>
            <w:gridSpan w:val="24"/>
            <w:shd w:val="clear" w:color="auto" w:fill="auto"/>
            <w:vAlign w:val="center"/>
          </w:tcPr>
          <w:p w14:paraId="69F7C3A7" w14:textId="51349B7B" w:rsidR="008D5034" w:rsidRPr="003F00AF" w:rsidRDefault="008D5034" w:rsidP="008D5034">
            <w:pPr>
              <w:pStyle w:val="ICRTOC"/>
              <w:rPr>
                <w:sz w:val="22"/>
                <w:szCs w:val="22"/>
              </w:rPr>
            </w:pPr>
            <w:bookmarkStart w:id="43" w:name="THEME"/>
            <w:bookmarkStart w:id="44" w:name="SECTORSTHEMES"/>
            <w:bookmarkStart w:id="45" w:name="_Toc448507195"/>
            <w:bookmarkStart w:id="46" w:name="_Toc448507357"/>
            <w:bookmarkStart w:id="47" w:name="BankStaff"/>
            <w:bookmarkEnd w:id="43"/>
            <w:bookmarkEnd w:id="44"/>
            <w:r w:rsidRPr="003F00AF">
              <w:rPr>
                <w:rStyle w:val="Strong"/>
                <w:b/>
                <w:color w:val="auto"/>
                <w:sz w:val="22"/>
                <w:szCs w:val="22"/>
              </w:rPr>
              <w:t>E. Bank Staff</w:t>
            </w:r>
            <w:bookmarkEnd w:id="45"/>
            <w:bookmarkEnd w:id="46"/>
            <w:r w:rsidRPr="003F00AF">
              <w:rPr>
                <w:rStyle w:val="Strong"/>
              </w:rPr>
              <w:t xml:space="preserve"> </w:t>
            </w:r>
            <w:bookmarkEnd w:id="47"/>
          </w:p>
        </w:tc>
      </w:tr>
      <w:tr w:rsidR="008D5034" w:rsidRPr="003F00AF" w14:paraId="0679D0C8" w14:textId="77777777" w:rsidTr="00BD53A2">
        <w:tc>
          <w:tcPr>
            <w:tcW w:w="2237" w:type="dxa"/>
            <w:gridSpan w:val="4"/>
            <w:vMerge w:val="restart"/>
            <w:shd w:val="clear" w:color="auto" w:fill="auto"/>
            <w:vAlign w:val="center"/>
          </w:tcPr>
          <w:p w14:paraId="36B538F4" w14:textId="77777777" w:rsidR="008D5034" w:rsidRPr="003F00AF" w:rsidRDefault="008D5034" w:rsidP="008D5034">
            <w:pPr>
              <w:keepNext/>
              <w:keepLines/>
              <w:jc w:val="center"/>
              <w:rPr>
                <w:b/>
                <w:bCs/>
                <w:color w:val="606060"/>
                <w:sz w:val="22"/>
                <w:szCs w:val="22"/>
              </w:rPr>
            </w:pPr>
            <w:r w:rsidRPr="003F00AF">
              <w:rPr>
                <w:b/>
                <w:bCs/>
                <w:color w:val="606060"/>
                <w:sz w:val="22"/>
                <w:szCs w:val="22"/>
              </w:rPr>
              <w:t>Positions</w:t>
            </w:r>
          </w:p>
        </w:tc>
        <w:tc>
          <w:tcPr>
            <w:tcW w:w="2258" w:type="dxa"/>
            <w:gridSpan w:val="7"/>
            <w:vMerge w:val="restart"/>
            <w:shd w:val="clear" w:color="auto" w:fill="auto"/>
            <w:vAlign w:val="center"/>
          </w:tcPr>
          <w:p w14:paraId="6156C241" w14:textId="77777777" w:rsidR="008D5034" w:rsidRPr="003F00AF" w:rsidRDefault="008D5034" w:rsidP="008D5034">
            <w:pPr>
              <w:keepNext/>
              <w:keepLines/>
              <w:jc w:val="center"/>
              <w:rPr>
                <w:b/>
                <w:bCs/>
                <w:color w:val="606060"/>
                <w:sz w:val="22"/>
                <w:szCs w:val="22"/>
              </w:rPr>
            </w:pPr>
            <w:r w:rsidRPr="003F00AF">
              <w:rPr>
                <w:b/>
                <w:bCs/>
                <w:color w:val="606060"/>
                <w:sz w:val="22"/>
                <w:szCs w:val="22"/>
              </w:rPr>
              <w:t>At ICR</w:t>
            </w:r>
          </w:p>
        </w:tc>
        <w:tc>
          <w:tcPr>
            <w:tcW w:w="5399" w:type="dxa"/>
            <w:gridSpan w:val="13"/>
            <w:shd w:val="clear" w:color="auto" w:fill="auto"/>
            <w:vAlign w:val="center"/>
          </w:tcPr>
          <w:p w14:paraId="58671ABE" w14:textId="77777777" w:rsidR="008D5034" w:rsidRPr="003F00AF" w:rsidRDefault="008D5034" w:rsidP="008D5034">
            <w:pPr>
              <w:keepNext/>
              <w:keepLines/>
              <w:jc w:val="center"/>
              <w:rPr>
                <w:b/>
                <w:bCs/>
                <w:color w:val="606060"/>
                <w:sz w:val="22"/>
                <w:szCs w:val="22"/>
              </w:rPr>
            </w:pPr>
            <w:r w:rsidRPr="003F00AF">
              <w:rPr>
                <w:b/>
                <w:bCs/>
                <w:color w:val="606060"/>
                <w:sz w:val="22"/>
                <w:szCs w:val="22"/>
              </w:rPr>
              <w:t>At Approval</w:t>
            </w:r>
          </w:p>
        </w:tc>
      </w:tr>
      <w:tr w:rsidR="008D5034" w:rsidRPr="003F00AF" w14:paraId="1416F69A" w14:textId="77777777" w:rsidTr="00BD53A2">
        <w:tc>
          <w:tcPr>
            <w:tcW w:w="2237" w:type="dxa"/>
            <w:gridSpan w:val="4"/>
            <w:vMerge/>
            <w:shd w:val="clear" w:color="auto" w:fill="auto"/>
            <w:vAlign w:val="center"/>
          </w:tcPr>
          <w:p w14:paraId="0A4B2F66" w14:textId="77777777" w:rsidR="008D5034" w:rsidRPr="003F00AF" w:rsidRDefault="008D5034" w:rsidP="008D5034">
            <w:pPr>
              <w:keepNext/>
              <w:keepLines/>
              <w:ind w:left="72" w:hanging="72"/>
              <w:rPr>
                <w:bCs/>
                <w:sz w:val="22"/>
                <w:szCs w:val="22"/>
              </w:rPr>
            </w:pPr>
          </w:p>
        </w:tc>
        <w:tc>
          <w:tcPr>
            <w:tcW w:w="2258" w:type="dxa"/>
            <w:gridSpan w:val="7"/>
            <w:vMerge/>
            <w:shd w:val="clear" w:color="auto" w:fill="auto"/>
            <w:vAlign w:val="center"/>
          </w:tcPr>
          <w:p w14:paraId="01660C03" w14:textId="77777777" w:rsidR="008D5034" w:rsidRPr="003F00AF" w:rsidRDefault="008D5034" w:rsidP="008D5034">
            <w:pPr>
              <w:keepNext/>
              <w:keepLines/>
              <w:rPr>
                <w:bCs/>
                <w:sz w:val="22"/>
                <w:szCs w:val="22"/>
              </w:rPr>
            </w:pPr>
          </w:p>
        </w:tc>
        <w:tc>
          <w:tcPr>
            <w:tcW w:w="1546" w:type="dxa"/>
            <w:gridSpan w:val="6"/>
            <w:shd w:val="clear" w:color="auto" w:fill="auto"/>
            <w:vAlign w:val="center"/>
          </w:tcPr>
          <w:p w14:paraId="42E78C28" w14:textId="0A96D51A" w:rsidR="008D5034" w:rsidRPr="003F00AF" w:rsidRDefault="008D5034" w:rsidP="008D5034">
            <w:pPr>
              <w:keepNext/>
              <w:keepLines/>
              <w:jc w:val="center"/>
              <w:rPr>
                <w:b/>
                <w:bCs/>
                <w:color w:val="606060"/>
                <w:sz w:val="22"/>
                <w:szCs w:val="22"/>
              </w:rPr>
            </w:pPr>
            <w:r w:rsidRPr="003F00AF">
              <w:rPr>
                <w:b/>
                <w:bCs/>
                <w:color w:val="606060"/>
                <w:sz w:val="22"/>
                <w:szCs w:val="22"/>
              </w:rPr>
              <w:t>Peru First Programmatic Environmental Development Policy Loan/DDO</w:t>
            </w:r>
          </w:p>
        </w:tc>
        <w:tc>
          <w:tcPr>
            <w:tcW w:w="1854" w:type="dxa"/>
            <w:gridSpan w:val="5"/>
            <w:shd w:val="clear" w:color="auto" w:fill="auto"/>
            <w:vAlign w:val="center"/>
          </w:tcPr>
          <w:p w14:paraId="47F8B5CB" w14:textId="577A01A3" w:rsidR="008D5034" w:rsidRPr="003F00AF" w:rsidRDefault="008D5034" w:rsidP="008D5034">
            <w:pPr>
              <w:keepNext/>
              <w:keepLines/>
              <w:jc w:val="center"/>
              <w:rPr>
                <w:b/>
                <w:bCs/>
                <w:color w:val="606060"/>
                <w:sz w:val="22"/>
                <w:szCs w:val="22"/>
              </w:rPr>
            </w:pPr>
            <w:r w:rsidRPr="003F00AF">
              <w:rPr>
                <w:b/>
                <w:bCs/>
                <w:color w:val="606060"/>
                <w:sz w:val="22"/>
                <w:szCs w:val="22"/>
              </w:rPr>
              <w:t>Second Programmatic Environmental Development Policy Loan</w:t>
            </w:r>
          </w:p>
        </w:tc>
        <w:tc>
          <w:tcPr>
            <w:tcW w:w="1999" w:type="dxa"/>
            <w:gridSpan w:val="2"/>
            <w:shd w:val="clear" w:color="auto" w:fill="auto"/>
            <w:vAlign w:val="center"/>
          </w:tcPr>
          <w:p w14:paraId="2B631B31" w14:textId="7E9DB715" w:rsidR="008D5034" w:rsidRPr="003F00AF" w:rsidRDefault="008D5034" w:rsidP="008D5034">
            <w:pPr>
              <w:keepNext/>
              <w:keepLines/>
              <w:jc w:val="center"/>
              <w:rPr>
                <w:b/>
                <w:bCs/>
                <w:color w:val="606060"/>
                <w:sz w:val="22"/>
                <w:szCs w:val="22"/>
              </w:rPr>
            </w:pPr>
            <w:r w:rsidRPr="003F00AF">
              <w:rPr>
                <w:b/>
                <w:bCs/>
                <w:color w:val="606060"/>
                <w:sz w:val="22"/>
                <w:szCs w:val="22"/>
              </w:rPr>
              <w:t>Peru Third Programmatic Environmental Development Policy Loan</w:t>
            </w:r>
          </w:p>
        </w:tc>
      </w:tr>
      <w:tr w:rsidR="008D5034" w:rsidRPr="003F00AF" w14:paraId="6AEEC390" w14:textId="77777777" w:rsidTr="00BD53A2">
        <w:tc>
          <w:tcPr>
            <w:tcW w:w="2237" w:type="dxa"/>
            <w:gridSpan w:val="4"/>
            <w:shd w:val="clear" w:color="auto" w:fill="auto"/>
            <w:vAlign w:val="center"/>
          </w:tcPr>
          <w:p w14:paraId="4FFF3694" w14:textId="77777777" w:rsidR="008D5034" w:rsidRPr="003F00AF" w:rsidRDefault="008D5034" w:rsidP="008D5034">
            <w:pPr>
              <w:keepNext/>
              <w:keepLines/>
              <w:ind w:left="72" w:hanging="72"/>
              <w:rPr>
                <w:bCs/>
                <w:sz w:val="22"/>
                <w:szCs w:val="22"/>
              </w:rPr>
            </w:pPr>
            <w:r w:rsidRPr="003F00AF">
              <w:rPr>
                <w:bCs/>
                <w:sz w:val="22"/>
                <w:szCs w:val="22"/>
              </w:rPr>
              <w:t xml:space="preserve"> Vice President:</w:t>
            </w:r>
          </w:p>
        </w:tc>
        <w:tc>
          <w:tcPr>
            <w:tcW w:w="2258" w:type="dxa"/>
            <w:gridSpan w:val="7"/>
            <w:shd w:val="clear" w:color="auto" w:fill="auto"/>
            <w:vAlign w:val="center"/>
          </w:tcPr>
          <w:p w14:paraId="0CDDB44B" w14:textId="0AAA76DC" w:rsidR="008D5034" w:rsidRPr="00491A24" w:rsidRDefault="008D5034" w:rsidP="00453F98">
            <w:pPr>
              <w:keepNext/>
              <w:keepLines/>
              <w:rPr>
                <w:bCs/>
                <w:sz w:val="22"/>
                <w:szCs w:val="22"/>
                <w:lang w:val="pt-BR"/>
              </w:rPr>
            </w:pPr>
            <w:r w:rsidRPr="003F00AF">
              <w:rPr>
                <w:bCs/>
                <w:sz w:val="22"/>
                <w:szCs w:val="22"/>
              </w:rPr>
              <w:t>Jorge Familiar</w:t>
            </w:r>
          </w:p>
        </w:tc>
        <w:tc>
          <w:tcPr>
            <w:tcW w:w="1546" w:type="dxa"/>
            <w:gridSpan w:val="6"/>
            <w:shd w:val="clear" w:color="auto" w:fill="auto"/>
            <w:vAlign w:val="center"/>
          </w:tcPr>
          <w:p w14:paraId="305A63A2" w14:textId="77777777" w:rsidR="008D5034" w:rsidRPr="003F00AF" w:rsidRDefault="008D5034" w:rsidP="008D5034">
            <w:pPr>
              <w:keepNext/>
              <w:keepLines/>
              <w:rPr>
                <w:bCs/>
                <w:sz w:val="22"/>
                <w:szCs w:val="22"/>
              </w:rPr>
            </w:pPr>
            <w:r w:rsidRPr="003F00AF">
              <w:rPr>
                <w:bCs/>
                <w:sz w:val="22"/>
                <w:szCs w:val="22"/>
              </w:rPr>
              <w:t>Pamela Cox</w:t>
            </w:r>
          </w:p>
        </w:tc>
        <w:tc>
          <w:tcPr>
            <w:tcW w:w="1854" w:type="dxa"/>
            <w:gridSpan w:val="5"/>
            <w:shd w:val="clear" w:color="auto" w:fill="auto"/>
            <w:vAlign w:val="center"/>
          </w:tcPr>
          <w:p w14:paraId="16AD1525" w14:textId="77777777" w:rsidR="008D5034" w:rsidRPr="003F00AF" w:rsidRDefault="008D5034" w:rsidP="008D5034">
            <w:pPr>
              <w:keepNext/>
              <w:keepLines/>
              <w:rPr>
                <w:bCs/>
                <w:sz w:val="22"/>
                <w:szCs w:val="22"/>
              </w:rPr>
            </w:pPr>
            <w:r w:rsidRPr="003F00AF">
              <w:rPr>
                <w:bCs/>
                <w:sz w:val="22"/>
                <w:szCs w:val="22"/>
              </w:rPr>
              <w:t>Pamela Cox</w:t>
            </w:r>
          </w:p>
        </w:tc>
        <w:tc>
          <w:tcPr>
            <w:tcW w:w="1999" w:type="dxa"/>
            <w:gridSpan w:val="2"/>
            <w:shd w:val="clear" w:color="auto" w:fill="auto"/>
            <w:vAlign w:val="center"/>
          </w:tcPr>
          <w:p w14:paraId="0910F760" w14:textId="77777777" w:rsidR="008D5034" w:rsidRPr="003F00AF" w:rsidRDefault="008D5034" w:rsidP="008D5034">
            <w:pPr>
              <w:keepNext/>
              <w:keepLines/>
              <w:rPr>
                <w:bCs/>
                <w:sz w:val="22"/>
                <w:szCs w:val="22"/>
              </w:rPr>
            </w:pPr>
            <w:r w:rsidRPr="003F00AF">
              <w:rPr>
                <w:bCs/>
                <w:sz w:val="22"/>
                <w:szCs w:val="22"/>
              </w:rPr>
              <w:t>Pamela Cox</w:t>
            </w:r>
          </w:p>
        </w:tc>
      </w:tr>
      <w:tr w:rsidR="008D5034" w:rsidRPr="003F00AF" w14:paraId="39582C5A" w14:textId="77777777" w:rsidTr="00BD53A2">
        <w:tc>
          <w:tcPr>
            <w:tcW w:w="2237" w:type="dxa"/>
            <w:gridSpan w:val="4"/>
            <w:shd w:val="clear" w:color="auto" w:fill="auto"/>
            <w:vAlign w:val="center"/>
          </w:tcPr>
          <w:p w14:paraId="64D15329" w14:textId="77777777" w:rsidR="008D5034" w:rsidRPr="003F00AF" w:rsidRDefault="008D5034" w:rsidP="008D5034">
            <w:pPr>
              <w:keepNext/>
              <w:keepLines/>
              <w:ind w:left="72" w:hanging="72"/>
              <w:rPr>
                <w:bCs/>
                <w:sz w:val="22"/>
                <w:szCs w:val="22"/>
              </w:rPr>
            </w:pPr>
            <w:r w:rsidRPr="003F00AF">
              <w:rPr>
                <w:bCs/>
                <w:sz w:val="22"/>
                <w:szCs w:val="22"/>
              </w:rPr>
              <w:t xml:space="preserve"> Country Director:</w:t>
            </w:r>
          </w:p>
        </w:tc>
        <w:tc>
          <w:tcPr>
            <w:tcW w:w="2258" w:type="dxa"/>
            <w:gridSpan w:val="7"/>
            <w:shd w:val="clear" w:color="auto" w:fill="auto"/>
            <w:vAlign w:val="center"/>
          </w:tcPr>
          <w:p w14:paraId="4D7042CE" w14:textId="77777777" w:rsidR="008D5034" w:rsidRPr="003F00AF" w:rsidRDefault="008D5034" w:rsidP="008D5034">
            <w:pPr>
              <w:keepNext/>
              <w:keepLines/>
              <w:rPr>
                <w:bCs/>
                <w:sz w:val="22"/>
                <w:szCs w:val="22"/>
              </w:rPr>
            </w:pPr>
            <w:r w:rsidRPr="003F00AF">
              <w:rPr>
                <w:bCs/>
                <w:sz w:val="22"/>
                <w:szCs w:val="22"/>
              </w:rPr>
              <w:t>Alberto Rodriguez</w:t>
            </w:r>
          </w:p>
        </w:tc>
        <w:tc>
          <w:tcPr>
            <w:tcW w:w="1546" w:type="dxa"/>
            <w:gridSpan w:val="6"/>
            <w:shd w:val="clear" w:color="auto" w:fill="auto"/>
            <w:vAlign w:val="center"/>
          </w:tcPr>
          <w:p w14:paraId="66BFBCCA" w14:textId="4F89290D" w:rsidR="008D5034" w:rsidRPr="003F00AF" w:rsidRDefault="00491A24" w:rsidP="008D5034">
            <w:pPr>
              <w:keepNext/>
              <w:keepLines/>
              <w:rPr>
                <w:bCs/>
                <w:sz w:val="22"/>
                <w:szCs w:val="22"/>
              </w:rPr>
            </w:pPr>
            <w:r>
              <w:rPr>
                <w:bCs/>
                <w:sz w:val="22"/>
                <w:szCs w:val="22"/>
              </w:rPr>
              <w:t xml:space="preserve">Carlos </w:t>
            </w:r>
            <w:r w:rsidR="008D5034" w:rsidRPr="003F00AF">
              <w:rPr>
                <w:bCs/>
                <w:sz w:val="22"/>
                <w:szCs w:val="22"/>
              </w:rPr>
              <w:t>Felipe Jaramillo</w:t>
            </w:r>
          </w:p>
        </w:tc>
        <w:tc>
          <w:tcPr>
            <w:tcW w:w="1854" w:type="dxa"/>
            <w:gridSpan w:val="5"/>
            <w:shd w:val="clear" w:color="auto" w:fill="auto"/>
            <w:vAlign w:val="center"/>
          </w:tcPr>
          <w:p w14:paraId="64BA770F" w14:textId="5BF8BA8D" w:rsidR="008D5034" w:rsidRPr="003F00AF" w:rsidRDefault="00491A24" w:rsidP="008D5034">
            <w:pPr>
              <w:keepNext/>
              <w:keepLines/>
              <w:rPr>
                <w:bCs/>
                <w:sz w:val="22"/>
                <w:szCs w:val="22"/>
              </w:rPr>
            </w:pPr>
            <w:r>
              <w:rPr>
                <w:bCs/>
                <w:sz w:val="22"/>
                <w:szCs w:val="22"/>
              </w:rPr>
              <w:t xml:space="preserve">Carlos </w:t>
            </w:r>
            <w:r w:rsidR="008D5034" w:rsidRPr="003F00AF">
              <w:rPr>
                <w:bCs/>
                <w:sz w:val="22"/>
                <w:szCs w:val="22"/>
              </w:rPr>
              <w:t>Felipe Jaramillo</w:t>
            </w:r>
          </w:p>
        </w:tc>
        <w:tc>
          <w:tcPr>
            <w:tcW w:w="1999" w:type="dxa"/>
            <w:gridSpan w:val="2"/>
            <w:shd w:val="clear" w:color="auto" w:fill="auto"/>
            <w:vAlign w:val="center"/>
          </w:tcPr>
          <w:p w14:paraId="607666F2" w14:textId="7019A376" w:rsidR="008D5034" w:rsidRPr="003F00AF" w:rsidRDefault="00491A24" w:rsidP="008D5034">
            <w:pPr>
              <w:keepNext/>
              <w:keepLines/>
              <w:rPr>
                <w:bCs/>
                <w:sz w:val="22"/>
                <w:szCs w:val="22"/>
              </w:rPr>
            </w:pPr>
            <w:r>
              <w:rPr>
                <w:bCs/>
                <w:sz w:val="22"/>
                <w:szCs w:val="22"/>
              </w:rPr>
              <w:t xml:space="preserve">Carlos </w:t>
            </w:r>
            <w:r w:rsidR="008D5034" w:rsidRPr="003F00AF">
              <w:rPr>
                <w:bCs/>
                <w:sz w:val="22"/>
                <w:szCs w:val="22"/>
              </w:rPr>
              <w:t>Felipe Jaramillo</w:t>
            </w:r>
          </w:p>
        </w:tc>
      </w:tr>
      <w:tr w:rsidR="008D5034" w:rsidRPr="003F00AF" w14:paraId="48E71F54" w14:textId="77777777" w:rsidTr="00BD53A2">
        <w:tc>
          <w:tcPr>
            <w:tcW w:w="2237" w:type="dxa"/>
            <w:gridSpan w:val="4"/>
            <w:shd w:val="clear" w:color="auto" w:fill="auto"/>
            <w:vAlign w:val="center"/>
          </w:tcPr>
          <w:p w14:paraId="06AA5BC1" w14:textId="2F717AC1" w:rsidR="008D5034" w:rsidRPr="003F00AF" w:rsidRDefault="008D5034" w:rsidP="008D5034">
            <w:pPr>
              <w:keepNext/>
              <w:keepLines/>
              <w:ind w:left="72" w:hanging="72"/>
              <w:rPr>
                <w:bCs/>
                <w:sz w:val="22"/>
                <w:szCs w:val="22"/>
              </w:rPr>
            </w:pPr>
            <w:r w:rsidRPr="003F00AF">
              <w:rPr>
                <w:bCs/>
                <w:sz w:val="22"/>
                <w:szCs w:val="22"/>
              </w:rPr>
              <w:t xml:space="preserve"> </w:t>
            </w:r>
            <w:r w:rsidR="001B5638">
              <w:rPr>
                <w:bCs/>
                <w:sz w:val="22"/>
                <w:szCs w:val="22"/>
              </w:rPr>
              <w:t>Practice</w:t>
            </w:r>
            <w:r w:rsidRPr="003F00AF">
              <w:rPr>
                <w:bCs/>
                <w:sz w:val="22"/>
                <w:szCs w:val="22"/>
              </w:rPr>
              <w:t xml:space="preserve"> Manager:</w:t>
            </w:r>
          </w:p>
        </w:tc>
        <w:tc>
          <w:tcPr>
            <w:tcW w:w="2258" w:type="dxa"/>
            <w:gridSpan w:val="7"/>
            <w:shd w:val="clear" w:color="auto" w:fill="auto"/>
            <w:vAlign w:val="center"/>
          </w:tcPr>
          <w:p w14:paraId="508EB389" w14:textId="2244FD46" w:rsidR="008D5034" w:rsidRPr="003F00AF" w:rsidRDefault="008D5034" w:rsidP="00765ADF">
            <w:pPr>
              <w:keepNext/>
              <w:keepLines/>
              <w:rPr>
                <w:bCs/>
                <w:sz w:val="22"/>
                <w:szCs w:val="22"/>
              </w:rPr>
            </w:pPr>
            <w:r w:rsidRPr="003F00AF">
              <w:rPr>
                <w:bCs/>
                <w:sz w:val="22"/>
                <w:szCs w:val="22"/>
              </w:rPr>
              <w:t>Raul</w:t>
            </w:r>
            <w:r w:rsidR="00491A24">
              <w:rPr>
                <w:bCs/>
                <w:sz w:val="22"/>
                <w:szCs w:val="22"/>
              </w:rPr>
              <w:t xml:space="preserve"> Iván </w:t>
            </w:r>
            <w:r w:rsidRPr="003F00AF">
              <w:rPr>
                <w:bCs/>
                <w:sz w:val="22"/>
                <w:szCs w:val="22"/>
              </w:rPr>
              <w:t>Alfaro</w:t>
            </w:r>
            <w:r w:rsidR="00DA7C31">
              <w:rPr>
                <w:bCs/>
                <w:sz w:val="22"/>
                <w:szCs w:val="22"/>
              </w:rPr>
              <w:t>-Pelico</w:t>
            </w:r>
          </w:p>
        </w:tc>
        <w:tc>
          <w:tcPr>
            <w:tcW w:w="1546" w:type="dxa"/>
            <w:gridSpan w:val="6"/>
            <w:shd w:val="clear" w:color="auto" w:fill="auto"/>
            <w:vAlign w:val="center"/>
          </w:tcPr>
          <w:p w14:paraId="0D8A5FFF" w14:textId="332DA098" w:rsidR="008D5034" w:rsidRPr="003F00AF" w:rsidRDefault="008D5034" w:rsidP="008D5034">
            <w:pPr>
              <w:keepNext/>
              <w:keepLines/>
              <w:rPr>
                <w:bCs/>
                <w:sz w:val="22"/>
                <w:szCs w:val="22"/>
              </w:rPr>
            </w:pPr>
            <w:r w:rsidRPr="003F00AF">
              <w:rPr>
                <w:bCs/>
                <w:sz w:val="22"/>
                <w:szCs w:val="22"/>
              </w:rPr>
              <w:t xml:space="preserve">Laura </w:t>
            </w:r>
            <w:r w:rsidR="00491A24">
              <w:rPr>
                <w:bCs/>
                <w:sz w:val="22"/>
                <w:szCs w:val="22"/>
              </w:rPr>
              <w:t xml:space="preserve">E. </w:t>
            </w:r>
            <w:r w:rsidRPr="003F00AF">
              <w:rPr>
                <w:bCs/>
                <w:sz w:val="22"/>
                <w:szCs w:val="22"/>
              </w:rPr>
              <w:t>Tlaiye</w:t>
            </w:r>
          </w:p>
        </w:tc>
        <w:tc>
          <w:tcPr>
            <w:tcW w:w="1854" w:type="dxa"/>
            <w:gridSpan w:val="5"/>
            <w:shd w:val="clear" w:color="auto" w:fill="auto"/>
            <w:vAlign w:val="center"/>
          </w:tcPr>
          <w:p w14:paraId="10916938" w14:textId="7876B5D1" w:rsidR="008D5034" w:rsidRPr="003F00AF" w:rsidRDefault="008D5034" w:rsidP="008D5034">
            <w:pPr>
              <w:keepNext/>
              <w:keepLines/>
              <w:rPr>
                <w:bCs/>
                <w:sz w:val="22"/>
                <w:szCs w:val="22"/>
              </w:rPr>
            </w:pPr>
            <w:r w:rsidRPr="003F00AF">
              <w:rPr>
                <w:bCs/>
                <w:sz w:val="22"/>
                <w:szCs w:val="22"/>
              </w:rPr>
              <w:t xml:space="preserve">Laura </w:t>
            </w:r>
            <w:r w:rsidR="00491A24">
              <w:rPr>
                <w:bCs/>
                <w:sz w:val="22"/>
                <w:szCs w:val="22"/>
              </w:rPr>
              <w:t xml:space="preserve">E. </w:t>
            </w:r>
            <w:r w:rsidRPr="003F00AF">
              <w:rPr>
                <w:bCs/>
                <w:sz w:val="22"/>
                <w:szCs w:val="22"/>
              </w:rPr>
              <w:t>Tlaiye</w:t>
            </w:r>
          </w:p>
        </w:tc>
        <w:tc>
          <w:tcPr>
            <w:tcW w:w="1999" w:type="dxa"/>
            <w:gridSpan w:val="2"/>
            <w:shd w:val="clear" w:color="auto" w:fill="auto"/>
            <w:vAlign w:val="center"/>
          </w:tcPr>
          <w:p w14:paraId="357E49EF" w14:textId="4313DDFB" w:rsidR="008D5034" w:rsidRPr="003F00AF" w:rsidRDefault="008D5034" w:rsidP="008D5034">
            <w:pPr>
              <w:keepNext/>
              <w:keepLines/>
              <w:rPr>
                <w:bCs/>
                <w:sz w:val="22"/>
                <w:szCs w:val="22"/>
              </w:rPr>
            </w:pPr>
            <w:r w:rsidRPr="003F00AF">
              <w:rPr>
                <w:bCs/>
                <w:sz w:val="22"/>
                <w:szCs w:val="22"/>
              </w:rPr>
              <w:t xml:space="preserve">Karin </w:t>
            </w:r>
            <w:r w:rsidR="00491A24">
              <w:rPr>
                <w:bCs/>
                <w:sz w:val="22"/>
                <w:szCs w:val="22"/>
              </w:rPr>
              <w:t xml:space="preserve">Erika </w:t>
            </w:r>
            <w:r w:rsidRPr="003F00AF">
              <w:rPr>
                <w:bCs/>
                <w:sz w:val="22"/>
                <w:szCs w:val="22"/>
              </w:rPr>
              <w:t>Kemper</w:t>
            </w:r>
          </w:p>
        </w:tc>
      </w:tr>
      <w:tr w:rsidR="008D5034" w:rsidRPr="005D2AA4" w14:paraId="0CC72E2E" w14:textId="77777777" w:rsidTr="00BD53A2">
        <w:tc>
          <w:tcPr>
            <w:tcW w:w="2237" w:type="dxa"/>
            <w:gridSpan w:val="4"/>
            <w:shd w:val="clear" w:color="auto" w:fill="auto"/>
            <w:vAlign w:val="center"/>
          </w:tcPr>
          <w:p w14:paraId="65A9BA9F" w14:textId="77777777" w:rsidR="008D5034" w:rsidRPr="003F00AF" w:rsidRDefault="008D5034" w:rsidP="008D5034">
            <w:pPr>
              <w:keepNext/>
              <w:keepLines/>
              <w:ind w:left="72" w:hanging="72"/>
              <w:rPr>
                <w:bCs/>
                <w:sz w:val="22"/>
                <w:szCs w:val="22"/>
              </w:rPr>
            </w:pPr>
            <w:r w:rsidRPr="003F00AF">
              <w:rPr>
                <w:bCs/>
                <w:sz w:val="22"/>
                <w:szCs w:val="22"/>
              </w:rPr>
              <w:t xml:space="preserve"> Task Team Leader:</w:t>
            </w:r>
          </w:p>
        </w:tc>
        <w:tc>
          <w:tcPr>
            <w:tcW w:w="2258" w:type="dxa"/>
            <w:gridSpan w:val="7"/>
            <w:shd w:val="clear" w:color="auto" w:fill="auto"/>
            <w:vAlign w:val="center"/>
          </w:tcPr>
          <w:p w14:paraId="3B694F30" w14:textId="77777777" w:rsidR="008D5034" w:rsidRPr="003F00AF" w:rsidRDefault="008D5034" w:rsidP="008D5034">
            <w:pPr>
              <w:keepNext/>
              <w:keepLines/>
              <w:rPr>
                <w:bCs/>
                <w:sz w:val="22"/>
                <w:szCs w:val="22"/>
              </w:rPr>
            </w:pPr>
            <w:r w:rsidRPr="003F00AF">
              <w:rPr>
                <w:bCs/>
                <w:sz w:val="22"/>
                <w:szCs w:val="22"/>
              </w:rPr>
              <w:t>Ernesto Sanchez-Triana</w:t>
            </w:r>
          </w:p>
        </w:tc>
        <w:tc>
          <w:tcPr>
            <w:tcW w:w="1546" w:type="dxa"/>
            <w:gridSpan w:val="6"/>
            <w:shd w:val="clear" w:color="auto" w:fill="auto"/>
            <w:vAlign w:val="center"/>
          </w:tcPr>
          <w:p w14:paraId="520FADB7" w14:textId="1236CBD3" w:rsidR="008D5034" w:rsidRPr="003F00AF" w:rsidRDefault="008D5034" w:rsidP="00491A24">
            <w:pPr>
              <w:keepNext/>
              <w:keepLines/>
              <w:rPr>
                <w:bCs/>
                <w:sz w:val="22"/>
                <w:szCs w:val="22"/>
              </w:rPr>
            </w:pPr>
            <w:r w:rsidRPr="003F00AF">
              <w:rPr>
                <w:bCs/>
                <w:sz w:val="22"/>
                <w:szCs w:val="22"/>
              </w:rPr>
              <w:t>Renan A</w:t>
            </w:r>
            <w:r w:rsidR="00491A24">
              <w:rPr>
                <w:bCs/>
                <w:sz w:val="22"/>
                <w:szCs w:val="22"/>
              </w:rPr>
              <w:t>lberto</w:t>
            </w:r>
            <w:r w:rsidRPr="003F00AF">
              <w:rPr>
                <w:bCs/>
                <w:sz w:val="22"/>
                <w:szCs w:val="22"/>
              </w:rPr>
              <w:t xml:space="preserve"> Poveda</w:t>
            </w:r>
          </w:p>
        </w:tc>
        <w:tc>
          <w:tcPr>
            <w:tcW w:w="1854" w:type="dxa"/>
            <w:gridSpan w:val="5"/>
            <w:shd w:val="clear" w:color="auto" w:fill="auto"/>
            <w:vAlign w:val="center"/>
          </w:tcPr>
          <w:p w14:paraId="3E88380C" w14:textId="77777777" w:rsidR="008D5034" w:rsidRPr="003F00AF" w:rsidRDefault="008D5034" w:rsidP="008D5034">
            <w:pPr>
              <w:keepNext/>
              <w:keepLines/>
              <w:rPr>
                <w:bCs/>
                <w:sz w:val="22"/>
                <w:szCs w:val="22"/>
              </w:rPr>
            </w:pPr>
            <w:r w:rsidRPr="003F00AF">
              <w:rPr>
                <w:bCs/>
                <w:sz w:val="22"/>
                <w:szCs w:val="22"/>
              </w:rPr>
              <w:t>Juan C. Belausteguigoitia</w:t>
            </w:r>
          </w:p>
        </w:tc>
        <w:tc>
          <w:tcPr>
            <w:tcW w:w="1999" w:type="dxa"/>
            <w:gridSpan w:val="2"/>
            <w:shd w:val="clear" w:color="auto" w:fill="auto"/>
            <w:vAlign w:val="center"/>
          </w:tcPr>
          <w:p w14:paraId="0ADAF3C9" w14:textId="6197BF23" w:rsidR="008D5034" w:rsidRPr="00F44FB7" w:rsidRDefault="008D5034" w:rsidP="008D5034">
            <w:pPr>
              <w:keepNext/>
              <w:keepLines/>
              <w:rPr>
                <w:bCs/>
                <w:sz w:val="22"/>
                <w:szCs w:val="22"/>
                <w:lang w:val="pt-BR"/>
              </w:rPr>
            </w:pPr>
            <w:r w:rsidRPr="00F44FB7">
              <w:rPr>
                <w:bCs/>
                <w:sz w:val="22"/>
                <w:szCs w:val="22"/>
                <w:lang w:val="pt-BR"/>
              </w:rPr>
              <w:t>Juan C. Belausteguigoitia</w:t>
            </w:r>
            <w:r w:rsidR="00F44FB7" w:rsidRPr="00F44FB7">
              <w:rPr>
                <w:bCs/>
                <w:sz w:val="22"/>
                <w:szCs w:val="22"/>
                <w:lang w:val="pt-BR"/>
              </w:rPr>
              <w:t xml:space="preserve"> </w:t>
            </w:r>
            <w:r w:rsidRPr="00F44FB7">
              <w:rPr>
                <w:bCs/>
                <w:sz w:val="22"/>
                <w:szCs w:val="22"/>
                <w:lang w:val="pt-BR"/>
              </w:rPr>
              <w:t>/</w:t>
            </w:r>
            <w:r w:rsidR="00F44FB7" w:rsidRPr="00F44FB7">
              <w:rPr>
                <w:bCs/>
                <w:sz w:val="22"/>
                <w:szCs w:val="22"/>
                <w:lang w:val="pt-BR"/>
              </w:rPr>
              <w:t xml:space="preserve"> </w:t>
            </w:r>
            <w:r w:rsidRPr="00F44FB7">
              <w:rPr>
                <w:sz w:val="22"/>
                <w:szCs w:val="22"/>
                <w:lang w:val="pt-BR" w:eastAsia="zh-TW"/>
              </w:rPr>
              <w:t>Anjali Acharya</w:t>
            </w:r>
          </w:p>
        </w:tc>
      </w:tr>
      <w:tr w:rsidR="008D5034" w:rsidRPr="005D2AA4" w14:paraId="26EA6A3A" w14:textId="77777777" w:rsidTr="00BD53A2">
        <w:tc>
          <w:tcPr>
            <w:tcW w:w="2237" w:type="dxa"/>
            <w:gridSpan w:val="4"/>
            <w:shd w:val="clear" w:color="auto" w:fill="auto"/>
            <w:vAlign w:val="center"/>
          </w:tcPr>
          <w:p w14:paraId="50434B1D" w14:textId="236407F0" w:rsidR="008D5034" w:rsidRPr="003F00AF" w:rsidRDefault="008D5034" w:rsidP="008D5034">
            <w:pPr>
              <w:keepNext/>
              <w:keepLines/>
              <w:ind w:left="72" w:hanging="72"/>
              <w:rPr>
                <w:bCs/>
                <w:sz w:val="22"/>
                <w:szCs w:val="22"/>
              </w:rPr>
            </w:pPr>
            <w:r w:rsidRPr="00F44FB7">
              <w:rPr>
                <w:bCs/>
                <w:sz w:val="22"/>
                <w:szCs w:val="22"/>
                <w:lang w:val="pt-BR"/>
              </w:rPr>
              <w:t xml:space="preserve"> </w:t>
            </w:r>
            <w:r w:rsidRPr="003F00AF">
              <w:rPr>
                <w:bCs/>
                <w:sz w:val="22"/>
                <w:szCs w:val="22"/>
              </w:rPr>
              <w:t>ICR Team Leader</w:t>
            </w:r>
            <w:r w:rsidR="00554584">
              <w:rPr>
                <w:bCs/>
                <w:sz w:val="22"/>
                <w:szCs w:val="22"/>
              </w:rPr>
              <w:t>s</w:t>
            </w:r>
            <w:r w:rsidRPr="003F00AF">
              <w:rPr>
                <w:bCs/>
                <w:sz w:val="22"/>
                <w:szCs w:val="22"/>
              </w:rPr>
              <w:t>:</w:t>
            </w:r>
          </w:p>
        </w:tc>
        <w:tc>
          <w:tcPr>
            <w:tcW w:w="2258" w:type="dxa"/>
            <w:gridSpan w:val="7"/>
            <w:shd w:val="clear" w:color="auto" w:fill="auto"/>
            <w:vAlign w:val="center"/>
          </w:tcPr>
          <w:p w14:paraId="40A57E69" w14:textId="7CA1A2FB" w:rsidR="008D5034" w:rsidRPr="00F44FB7" w:rsidRDefault="00491A24" w:rsidP="00DA7C31">
            <w:pPr>
              <w:keepNext/>
              <w:keepLines/>
              <w:rPr>
                <w:bCs/>
                <w:sz w:val="22"/>
                <w:szCs w:val="22"/>
                <w:lang w:val="pt-BR"/>
              </w:rPr>
            </w:pPr>
            <w:r w:rsidRPr="00F44FB7">
              <w:rPr>
                <w:bCs/>
                <w:sz w:val="22"/>
                <w:szCs w:val="22"/>
                <w:lang w:val="pt-BR"/>
              </w:rPr>
              <w:t>Ernesto Sanchez-Triana</w:t>
            </w:r>
            <w:r w:rsidR="00F44FB7" w:rsidRPr="00F44FB7">
              <w:rPr>
                <w:bCs/>
                <w:sz w:val="22"/>
                <w:szCs w:val="22"/>
                <w:lang w:val="pt-BR"/>
              </w:rPr>
              <w:t xml:space="preserve"> / Ana Luisa Gomes Lima</w:t>
            </w:r>
          </w:p>
        </w:tc>
        <w:tc>
          <w:tcPr>
            <w:tcW w:w="5399" w:type="dxa"/>
            <w:gridSpan w:val="13"/>
            <w:vMerge w:val="restart"/>
            <w:shd w:val="clear" w:color="auto" w:fill="auto"/>
            <w:vAlign w:val="center"/>
          </w:tcPr>
          <w:p w14:paraId="27EF6B0C" w14:textId="77777777" w:rsidR="008D5034" w:rsidRPr="00F44FB7" w:rsidRDefault="008D5034" w:rsidP="008D5034">
            <w:pPr>
              <w:keepNext/>
              <w:keepLines/>
              <w:rPr>
                <w:bCs/>
                <w:sz w:val="22"/>
                <w:szCs w:val="22"/>
                <w:lang w:val="pt-BR"/>
              </w:rPr>
            </w:pPr>
          </w:p>
        </w:tc>
      </w:tr>
      <w:tr w:rsidR="008D5034" w:rsidRPr="003F00AF" w14:paraId="7713B57E" w14:textId="77777777" w:rsidTr="00BD53A2">
        <w:tc>
          <w:tcPr>
            <w:tcW w:w="2237" w:type="dxa"/>
            <w:gridSpan w:val="4"/>
            <w:shd w:val="clear" w:color="auto" w:fill="auto"/>
            <w:vAlign w:val="center"/>
          </w:tcPr>
          <w:p w14:paraId="09F9F5C3" w14:textId="77777777" w:rsidR="008D5034" w:rsidRPr="003F00AF" w:rsidRDefault="008D5034" w:rsidP="008D5034">
            <w:pPr>
              <w:keepNext/>
              <w:keepLines/>
              <w:ind w:left="72" w:hanging="72"/>
              <w:rPr>
                <w:bCs/>
                <w:sz w:val="22"/>
                <w:szCs w:val="22"/>
              </w:rPr>
            </w:pPr>
            <w:r w:rsidRPr="00F44FB7">
              <w:rPr>
                <w:bCs/>
                <w:sz w:val="22"/>
                <w:szCs w:val="22"/>
                <w:lang w:val="pt-BR"/>
              </w:rPr>
              <w:t xml:space="preserve"> </w:t>
            </w:r>
            <w:r w:rsidRPr="003F00AF">
              <w:rPr>
                <w:bCs/>
                <w:sz w:val="22"/>
                <w:szCs w:val="22"/>
              </w:rPr>
              <w:t>ICR Primary Author:</w:t>
            </w:r>
          </w:p>
        </w:tc>
        <w:tc>
          <w:tcPr>
            <w:tcW w:w="2258" w:type="dxa"/>
            <w:gridSpan w:val="7"/>
            <w:shd w:val="clear" w:color="auto" w:fill="auto"/>
            <w:vAlign w:val="center"/>
          </w:tcPr>
          <w:p w14:paraId="5555E047" w14:textId="3C84F8F6" w:rsidR="008D5034" w:rsidRPr="003F00AF" w:rsidRDefault="008D5034" w:rsidP="008D5034">
            <w:pPr>
              <w:keepNext/>
              <w:keepLines/>
              <w:rPr>
                <w:bCs/>
                <w:sz w:val="22"/>
                <w:szCs w:val="22"/>
              </w:rPr>
            </w:pPr>
            <w:r w:rsidRPr="003F00AF">
              <w:rPr>
                <w:bCs/>
                <w:sz w:val="22"/>
                <w:szCs w:val="22"/>
              </w:rPr>
              <w:t xml:space="preserve">Ana Luisa </w:t>
            </w:r>
            <w:r w:rsidR="00DA7C31">
              <w:rPr>
                <w:bCs/>
                <w:sz w:val="22"/>
                <w:szCs w:val="22"/>
              </w:rPr>
              <w:t xml:space="preserve">Gomes </w:t>
            </w:r>
            <w:r w:rsidRPr="003F00AF">
              <w:rPr>
                <w:bCs/>
                <w:sz w:val="22"/>
                <w:szCs w:val="22"/>
              </w:rPr>
              <w:t>Lima</w:t>
            </w:r>
          </w:p>
        </w:tc>
        <w:tc>
          <w:tcPr>
            <w:tcW w:w="5399" w:type="dxa"/>
            <w:gridSpan w:val="13"/>
            <w:vMerge/>
            <w:shd w:val="clear" w:color="auto" w:fill="auto"/>
            <w:vAlign w:val="center"/>
          </w:tcPr>
          <w:p w14:paraId="5A89E499" w14:textId="77777777" w:rsidR="008D5034" w:rsidRPr="003F00AF" w:rsidRDefault="008D5034" w:rsidP="008D5034">
            <w:pPr>
              <w:keepNext/>
              <w:keepLines/>
              <w:rPr>
                <w:bCs/>
                <w:sz w:val="22"/>
                <w:szCs w:val="22"/>
              </w:rPr>
            </w:pPr>
          </w:p>
        </w:tc>
      </w:tr>
      <w:tr w:rsidR="008D5034" w:rsidRPr="003F00AF" w14:paraId="474442C5" w14:textId="77777777" w:rsidTr="00BD53A2">
        <w:tblPrEx>
          <w:jc w:val="center"/>
          <w:tblCellMar>
            <w:top w:w="0" w:type="dxa"/>
            <w:left w:w="108" w:type="dxa"/>
            <w:bottom w:w="0" w:type="dxa"/>
            <w:right w:w="108" w:type="dxa"/>
          </w:tblCellMar>
          <w:tblLook w:val="01E0" w:firstRow="1" w:lastRow="1" w:firstColumn="1" w:lastColumn="1" w:noHBand="0" w:noVBand="0"/>
        </w:tblPrEx>
        <w:trPr>
          <w:trHeight w:val="288"/>
          <w:jc w:val="center"/>
        </w:trPr>
        <w:tc>
          <w:tcPr>
            <w:tcW w:w="9894" w:type="dxa"/>
            <w:gridSpan w:val="24"/>
            <w:shd w:val="clear" w:color="auto" w:fill="auto"/>
            <w:vAlign w:val="center"/>
          </w:tcPr>
          <w:p w14:paraId="4A26A2E7" w14:textId="77777777" w:rsidR="008D5034" w:rsidRPr="003F00AF" w:rsidRDefault="008D5034" w:rsidP="008D5034">
            <w:pPr>
              <w:pStyle w:val="ICRTOC"/>
              <w:rPr>
                <w:b w:val="0"/>
                <w:color w:val="FFFFFF"/>
                <w:sz w:val="22"/>
                <w:szCs w:val="22"/>
              </w:rPr>
            </w:pPr>
            <w:bookmarkStart w:id="48" w:name="_IL13"/>
            <w:bookmarkStart w:id="49" w:name="ResultsFrameworkAnalysis" w:colFirst="0" w:colLast="0"/>
            <w:r w:rsidRPr="003F00AF">
              <w:rPr>
                <w:rStyle w:val="Strong"/>
                <w:b/>
                <w:color w:val="auto"/>
                <w:sz w:val="22"/>
                <w:szCs w:val="22"/>
              </w:rPr>
              <w:t>F. Results Framework Analysis</w:t>
            </w:r>
            <w:bookmarkEnd w:id="48"/>
          </w:p>
        </w:tc>
      </w:tr>
      <w:bookmarkEnd w:id="49"/>
      <w:tr w:rsidR="008D5034" w:rsidRPr="003F00AF" w14:paraId="5D903E0F" w14:textId="77777777" w:rsidTr="00BD53A2">
        <w:tblPrEx>
          <w:jc w:val="center"/>
          <w:tblCellMar>
            <w:top w:w="0" w:type="dxa"/>
            <w:left w:w="108" w:type="dxa"/>
            <w:bottom w:w="0" w:type="dxa"/>
            <w:right w:w="108" w:type="dxa"/>
          </w:tblCellMar>
          <w:tblLook w:val="01E0" w:firstRow="1" w:lastRow="1" w:firstColumn="1" w:lastColumn="1" w:noHBand="0" w:noVBand="0"/>
        </w:tblPrEx>
        <w:trPr>
          <w:trHeight w:val="288"/>
          <w:jc w:val="center"/>
        </w:trPr>
        <w:tc>
          <w:tcPr>
            <w:tcW w:w="9894" w:type="dxa"/>
            <w:gridSpan w:val="24"/>
            <w:shd w:val="clear" w:color="auto" w:fill="auto"/>
            <w:vAlign w:val="center"/>
          </w:tcPr>
          <w:p w14:paraId="20C26B04" w14:textId="1CADF361" w:rsidR="008D5034" w:rsidRPr="003F00AF" w:rsidRDefault="008D5034" w:rsidP="008D5034">
            <w:pPr>
              <w:rPr>
                <w:b/>
                <w:sz w:val="22"/>
                <w:szCs w:val="22"/>
              </w:rPr>
            </w:pPr>
            <w:r w:rsidRPr="003F00AF">
              <w:rPr>
                <w:rStyle w:val="Strong"/>
                <w:sz w:val="22"/>
                <w:szCs w:val="22"/>
              </w:rPr>
              <w:t>Program Development Objective (from Program Document)</w:t>
            </w:r>
          </w:p>
        </w:tc>
      </w:tr>
      <w:tr w:rsidR="008D5034" w:rsidRPr="003F00AF" w14:paraId="6797DA48" w14:textId="77777777" w:rsidTr="00BD53A2">
        <w:tblPrEx>
          <w:jc w:val="center"/>
          <w:tblCellMar>
            <w:top w:w="0" w:type="dxa"/>
            <w:left w:w="108" w:type="dxa"/>
            <w:bottom w:w="0" w:type="dxa"/>
            <w:right w:w="108" w:type="dxa"/>
          </w:tblCellMar>
          <w:tblLook w:val="01E0" w:firstRow="1" w:lastRow="1" w:firstColumn="1" w:lastColumn="1" w:noHBand="0" w:noVBand="0"/>
        </w:tblPrEx>
        <w:trPr>
          <w:trHeight w:val="450"/>
          <w:jc w:val="center"/>
        </w:trPr>
        <w:tc>
          <w:tcPr>
            <w:tcW w:w="9894" w:type="dxa"/>
            <w:gridSpan w:val="24"/>
            <w:shd w:val="clear" w:color="auto" w:fill="auto"/>
          </w:tcPr>
          <w:p w14:paraId="01A9BBD7" w14:textId="4726BDD0" w:rsidR="008D5034" w:rsidRPr="003F00AF" w:rsidRDefault="008D5034" w:rsidP="00044522">
            <w:pPr>
              <w:autoSpaceDE w:val="0"/>
              <w:autoSpaceDN w:val="0"/>
              <w:adjustRightInd w:val="0"/>
              <w:spacing w:before="60" w:after="60"/>
              <w:jc w:val="both"/>
              <w:rPr>
                <w:sz w:val="22"/>
                <w:szCs w:val="22"/>
                <w:lang w:eastAsia="zh-TW"/>
              </w:rPr>
            </w:pPr>
            <w:r w:rsidRPr="003F00AF">
              <w:rPr>
                <w:sz w:val="22"/>
                <w:szCs w:val="22"/>
                <w:lang w:eastAsia="zh-TW"/>
              </w:rPr>
              <w:t>The proposed Environmental Development Policy Loan (ENVDPL) Program aims at supporting the government’s efforts to strengthen environmental governance and institutions in Peru, and mainstream environmental sustainability in the development agenda of key sectors (mining, fisheries, and urban transport and energy).</w:t>
            </w:r>
          </w:p>
        </w:tc>
      </w:tr>
      <w:tr w:rsidR="008D5034" w:rsidRPr="003F00AF" w14:paraId="0D8090C4" w14:textId="77777777" w:rsidTr="00BD53A2">
        <w:tblPrEx>
          <w:jc w:val="center"/>
          <w:tblCellMar>
            <w:top w:w="0" w:type="dxa"/>
            <w:left w:w="108" w:type="dxa"/>
            <w:bottom w:w="0" w:type="dxa"/>
            <w:right w:w="108" w:type="dxa"/>
          </w:tblCellMar>
          <w:tblLook w:val="01E0" w:firstRow="1" w:lastRow="1" w:firstColumn="1" w:lastColumn="1" w:noHBand="0" w:noVBand="0"/>
        </w:tblPrEx>
        <w:trPr>
          <w:trHeight w:val="288"/>
          <w:jc w:val="center"/>
        </w:trPr>
        <w:tc>
          <w:tcPr>
            <w:tcW w:w="9894" w:type="dxa"/>
            <w:gridSpan w:val="24"/>
            <w:shd w:val="clear" w:color="auto" w:fill="auto"/>
            <w:vAlign w:val="center"/>
          </w:tcPr>
          <w:p w14:paraId="479DD852" w14:textId="7C781AD6" w:rsidR="008D5034" w:rsidRPr="003F00AF" w:rsidRDefault="008D5034" w:rsidP="008D5034">
            <w:pPr>
              <w:rPr>
                <w:b/>
                <w:sz w:val="22"/>
                <w:szCs w:val="22"/>
              </w:rPr>
            </w:pPr>
            <w:r w:rsidRPr="003F00AF">
              <w:rPr>
                <w:rStyle w:val="Strong"/>
                <w:sz w:val="22"/>
                <w:szCs w:val="22"/>
              </w:rPr>
              <w:t>Revised Program Development Objectives (if any, as approved by original approving authority)</w:t>
            </w:r>
          </w:p>
        </w:tc>
      </w:tr>
      <w:tr w:rsidR="008D5034" w:rsidRPr="003F00AF" w14:paraId="2EF1A124" w14:textId="77777777" w:rsidTr="00BD53A2">
        <w:tblPrEx>
          <w:jc w:val="center"/>
          <w:tblCellMar>
            <w:top w:w="0" w:type="dxa"/>
            <w:left w:w="108" w:type="dxa"/>
            <w:bottom w:w="0" w:type="dxa"/>
            <w:right w:w="108" w:type="dxa"/>
          </w:tblCellMar>
          <w:tblLook w:val="01E0" w:firstRow="1" w:lastRow="1" w:firstColumn="1" w:lastColumn="1" w:noHBand="0" w:noVBand="0"/>
        </w:tblPrEx>
        <w:trPr>
          <w:jc w:val="center"/>
        </w:trPr>
        <w:tc>
          <w:tcPr>
            <w:tcW w:w="9894" w:type="dxa"/>
            <w:gridSpan w:val="24"/>
            <w:shd w:val="clear" w:color="auto" w:fill="auto"/>
          </w:tcPr>
          <w:p w14:paraId="183E73EA" w14:textId="4BB5327B" w:rsidR="008D5034" w:rsidRPr="003F00AF" w:rsidRDefault="008D5034" w:rsidP="0064762F">
            <w:pPr>
              <w:spacing w:beforeLines="60" w:before="144" w:after="60"/>
              <w:rPr>
                <w:b/>
                <w:bCs/>
                <w:color w:val="333333"/>
                <w:sz w:val="22"/>
                <w:szCs w:val="22"/>
                <w:lang w:eastAsia="en-US"/>
              </w:rPr>
            </w:pPr>
            <w:r w:rsidRPr="003F00AF">
              <w:rPr>
                <w:bCs/>
                <w:sz w:val="22"/>
                <w:szCs w:val="22"/>
                <w:lang w:eastAsia="en-US"/>
              </w:rPr>
              <w:t>The program development objective (PDO) was not revised.</w:t>
            </w:r>
          </w:p>
        </w:tc>
      </w:tr>
      <w:tr w:rsidR="008D5034" w:rsidRPr="003F00AF" w14:paraId="007727A4"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06BFA059" w14:textId="77777777" w:rsidR="008D5034" w:rsidRPr="003F00AF" w:rsidRDefault="008D5034" w:rsidP="008D5034">
            <w:pPr>
              <w:pStyle w:val="ListParagraph"/>
              <w:keepNext/>
              <w:numPr>
                <w:ilvl w:val="0"/>
                <w:numId w:val="23"/>
              </w:numPr>
              <w:ind w:left="360"/>
              <w:rPr>
                <w:b/>
                <w:bCs/>
                <w:sz w:val="22"/>
                <w:szCs w:val="22"/>
              </w:rPr>
            </w:pPr>
            <w:r w:rsidRPr="003F00AF">
              <w:rPr>
                <w:b/>
                <w:bCs/>
                <w:sz w:val="22"/>
                <w:szCs w:val="22"/>
              </w:rPr>
              <w:t>PDO Indicators</w:t>
            </w:r>
          </w:p>
        </w:tc>
      </w:tr>
      <w:tr w:rsidR="008D5034" w:rsidRPr="003F00AF" w14:paraId="6BB93492" w14:textId="77777777" w:rsidTr="00BD53A2">
        <w:tblPrEx>
          <w:tblCellMar>
            <w:top w:w="10" w:type="dxa"/>
            <w:left w:w="10" w:type="dxa"/>
            <w:bottom w:w="10" w:type="dxa"/>
            <w:right w:w="10" w:type="dxa"/>
          </w:tblCellMar>
        </w:tblPrEx>
        <w:tc>
          <w:tcPr>
            <w:tcW w:w="9894" w:type="dxa"/>
            <w:gridSpan w:val="24"/>
            <w:shd w:val="clear" w:color="auto" w:fill="FFFFFF" w:themeFill="background1"/>
            <w:vAlign w:val="center"/>
          </w:tcPr>
          <w:p w14:paraId="76385F9E" w14:textId="4E120F1C" w:rsidR="008D5034" w:rsidRPr="003F00AF" w:rsidRDefault="008D5034" w:rsidP="00CC6101">
            <w:pPr>
              <w:keepNext/>
              <w:rPr>
                <w:b/>
                <w:bCs/>
                <w:sz w:val="22"/>
                <w:szCs w:val="22"/>
              </w:rPr>
            </w:pPr>
            <w:r w:rsidRPr="003F00AF">
              <w:rPr>
                <w:b/>
                <w:bCs/>
                <w:sz w:val="22"/>
                <w:szCs w:val="22"/>
              </w:rPr>
              <w:t>First, Second, and Third Programmatic Environmental Development Policy Loans</w:t>
            </w:r>
            <w:r w:rsidR="00CC6101">
              <w:rPr>
                <w:rStyle w:val="FootnoteReference"/>
                <w:b/>
                <w:bCs/>
                <w:sz w:val="22"/>
                <w:szCs w:val="22"/>
              </w:rPr>
              <w:footnoteReference w:id="1"/>
            </w:r>
          </w:p>
        </w:tc>
      </w:tr>
      <w:tr w:rsidR="008D5034" w:rsidRPr="003F00AF" w14:paraId="2B18EF14" w14:textId="77777777" w:rsidTr="00BD53A2">
        <w:tblPrEx>
          <w:tblCellMar>
            <w:top w:w="10" w:type="dxa"/>
            <w:left w:w="10" w:type="dxa"/>
            <w:bottom w:w="10" w:type="dxa"/>
            <w:right w:w="10" w:type="dxa"/>
          </w:tblCellMar>
        </w:tblPrEx>
        <w:tc>
          <w:tcPr>
            <w:tcW w:w="2135" w:type="dxa"/>
            <w:gridSpan w:val="3"/>
            <w:shd w:val="clear" w:color="auto" w:fill="auto"/>
            <w:vAlign w:val="center"/>
          </w:tcPr>
          <w:p w14:paraId="3B22BA4D" w14:textId="77777777" w:rsidR="008D5034" w:rsidRPr="003F00AF" w:rsidRDefault="008D5034" w:rsidP="008D5034">
            <w:pPr>
              <w:keepNext/>
              <w:jc w:val="center"/>
              <w:rPr>
                <w:b/>
                <w:bCs/>
                <w:color w:val="606060"/>
                <w:sz w:val="22"/>
                <w:szCs w:val="22"/>
              </w:rPr>
            </w:pPr>
          </w:p>
        </w:tc>
        <w:tc>
          <w:tcPr>
            <w:tcW w:w="1468" w:type="dxa"/>
            <w:gridSpan w:val="6"/>
            <w:shd w:val="clear" w:color="auto" w:fill="auto"/>
          </w:tcPr>
          <w:p w14:paraId="3E520027" w14:textId="4C11F83C" w:rsidR="008D5034" w:rsidRPr="003F00AF" w:rsidRDefault="008D5034" w:rsidP="008D5034">
            <w:pPr>
              <w:keepNext/>
              <w:jc w:val="center"/>
              <w:rPr>
                <w:b/>
                <w:bCs/>
                <w:color w:val="606060"/>
                <w:sz w:val="22"/>
                <w:szCs w:val="22"/>
              </w:rPr>
            </w:pPr>
            <w:r w:rsidRPr="003F00AF">
              <w:rPr>
                <w:b/>
                <w:bCs/>
                <w:color w:val="606060"/>
                <w:sz w:val="22"/>
                <w:szCs w:val="22"/>
              </w:rPr>
              <w:t>Baseline Value (from approval documents)</w:t>
            </w:r>
            <w:r w:rsidR="00D5112C">
              <w:rPr>
                <w:rStyle w:val="FootnoteReference"/>
                <w:b/>
                <w:bCs/>
                <w:color w:val="606060"/>
                <w:sz w:val="22"/>
                <w:szCs w:val="22"/>
              </w:rPr>
              <w:footnoteReference w:id="2"/>
            </w:r>
          </w:p>
        </w:tc>
        <w:tc>
          <w:tcPr>
            <w:tcW w:w="2340" w:type="dxa"/>
            <w:gridSpan w:val="7"/>
            <w:shd w:val="clear" w:color="auto" w:fill="auto"/>
          </w:tcPr>
          <w:p w14:paraId="6ADCAC63" w14:textId="77777777" w:rsidR="008D5034" w:rsidRPr="003F00AF" w:rsidRDefault="008D5034" w:rsidP="008D5034">
            <w:pPr>
              <w:pStyle w:val="Default"/>
              <w:jc w:val="center"/>
              <w:rPr>
                <w:rFonts w:ascii="Times New Roman" w:hAnsi="Times New Roman" w:cs="Times New Roman"/>
                <w:b/>
                <w:bCs/>
                <w:color w:val="606060"/>
                <w:sz w:val="22"/>
                <w:szCs w:val="22"/>
                <w:lang w:eastAsia="ja-JP"/>
              </w:rPr>
            </w:pPr>
            <w:r w:rsidRPr="003F00AF">
              <w:rPr>
                <w:rFonts w:ascii="Times New Roman" w:hAnsi="Times New Roman" w:cs="Times New Roman"/>
                <w:b/>
                <w:bCs/>
                <w:color w:val="606060"/>
                <w:sz w:val="22"/>
                <w:szCs w:val="22"/>
                <w:lang w:eastAsia="ja-JP"/>
              </w:rPr>
              <w:t>Original Target Values</w:t>
            </w:r>
          </w:p>
          <w:p w14:paraId="2ECE3219" w14:textId="32587744" w:rsidR="008D5034" w:rsidRPr="003F00AF" w:rsidRDefault="008D5034" w:rsidP="008D5034">
            <w:pPr>
              <w:keepNext/>
              <w:jc w:val="center"/>
              <w:rPr>
                <w:b/>
                <w:bCs/>
                <w:color w:val="606060"/>
                <w:sz w:val="22"/>
                <w:szCs w:val="22"/>
              </w:rPr>
            </w:pPr>
            <w:r w:rsidRPr="003F00AF">
              <w:rPr>
                <w:b/>
                <w:bCs/>
                <w:color w:val="606060"/>
                <w:sz w:val="22"/>
                <w:szCs w:val="22"/>
              </w:rPr>
              <w:t>(from approval documents)</w:t>
            </w:r>
            <w:r w:rsidR="00544089">
              <w:rPr>
                <w:rStyle w:val="FootnoteReference"/>
                <w:b/>
                <w:bCs/>
                <w:color w:val="606060"/>
                <w:sz w:val="22"/>
                <w:szCs w:val="22"/>
              </w:rPr>
              <w:footnoteReference w:id="3"/>
            </w:r>
          </w:p>
        </w:tc>
        <w:tc>
          <w:tcPr>
            <w:tcW w:w="1360" w:type="dxa"/>
            <w:gridSpan w:val="3"/>
            <w:shd w:val="clear" w:color="auto" w:fill="auto"/>
          </w:tcPr>
          <w:p w14:paraId="3764C4B8" w14:textId="3BB1D8CA" w:rsidR="008D5034" w:rsidRPr="003F00AF" w:rsidRDefault="008D5034" w:rsidP="00995AC5">
            <w:pPr>
              <w:keepNext/>
              <w:jc w:val="center"/>
              <w:rPr>
                <w:b/>
                <w:bCs/>
                <w:color w:val="606060"/>
                <w:sz w:val="22"/>
                <w:szCs w:val="22"/>
              </w:rPr>
            </w:pPr>
            <w:r w:rsidRPr="003F00AF">
              <w:rPr>
                <w:b/>
                <w:bCs/>
                <w:color w:val="606060"/>
                <w:sz w:val="22"/>
                <w:szCs w:val="22"/>
              </w:rPr>
              <w:t>Formally Revised Target Values</w:t>
            </w:r>
          </w:p>
        </w:tc>
        <w:tc>
          <w:tcPr>
            <w:tcW w:w="2591" w:type="dxa"/>
            <w:gridSpan w:val="5"/>
            <w:shd w:val="clear" w:color="auto" w:fill="auto"/>
          </w:tcPr>
          <w:p w14:paraId="2FDBA64E" w14:textId="77777777" w:rsidR="008D5034" w:rsidRPr="003F00AF" w:rsidRDefault="008D5034" w:rsidP="008D5034">
            <w:pPr>
              <w:pStyle w:val="Default"/>
              <w:jc w:val="center"/>
              <w:rPr>
                <w:rFonts w:ascii="Times New Roman" w:hAnsi="Times New Roman" w:cs="Times New Roman"/>
                <w:b/>
                <w:bCs/>
                <w:color w:val="606060"/>
                <w:sz w:val="22"/>
                <w:szCs w:val="22"/>
                <w:lang w:eastAsia="ja-JP"/>
              </w:rPr>
            </w:pPr>
            <w:r w:rsidRPr="003F00AF">
              <w:rPr>
                <w:rFonts w:ascii="Times New Roman" w:hAnsi="Times New Roman" w:cs="Times New Roman"/>
                <w:b/>
                <w:bCs/>
                <w:color w:val="606060"/>
                <w:sz w:val="22"/>
                <w:szCs w:val="22"/>
                <w:lang w:eastAsia="ja-JP"/>
              </w:rPr>
              <w:t>Actual Values Achieved</w:t>
            </w:r>
          </w:p>
          <w:p w14:paraId="1887C18D" w14:textId="77777777" w:rsidR="008D5034" w:rsidRPr="003F00AF" w:rsidRDefault="008D5034" w:rsidP="008D5034">
            <w:pPr>
              <w:keepNext/>
              <w:jc w:val="center"/>
              <w:rPr>
                <w:b/>
                <w:bCs/>
                <w:color w:val="606060"/>
                <w:sz w:val="22"/>
                <w:szCs w:val="22"/>
              </w:rPr>
            </w:pPr>
            <w:r w:rsidRPr="003F00AF">
              <w:rPr>
                <w:b/>
                <w:bCs/>
                <w:color w:val="606060"/>
                <w:sz w:val="22"/>
                <w:szCs w:val="22"/>
              </w:rPr>
              <w:t>at Completion or Target Years</w:t>
            </w:r>
          </w:p>
        </w:tc>
      </w:tr>
      <w:tr w:rsidR="008D5034" w:rsidRPr="003F00AF" w14:paraId="56C7FF3E"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76989639" w14:textId="772D05BB" w:rsidR="008D5034" w:rsidRPr="003F00AF" w:rsidRDefault="008D5034" w:rsidP="00044522">
            <w:pPr>
              <w:keepNext/>
              <w:jc w:val="both"/>
              <w:rPr>
                <w:b/>
                <w:bCs/>
                <w:sz w:val="22"/>
                <w:szCs w:val="22"/>
              </w:rPr>
            </w:pPr>
            <w:r w:rsidRPr="003F00AF">
              <w:rPr>
                <w:b/>
                <w:bCs/>
                <w:sz w:val="22"/>
                <w:szCs w:val="22"/>
              </w:rPr>
              <w:t xml:space="preserve">PDO Indicator 1: </w:t>
            </w:r>
            <w:r w:rsidRPr="003F00AF">
              <w:rPr>
                <w:bCs/>
                <w:sz w:val="22"/>
                <w:szCs w:val="22"/>
              </w:rPr>
              <w:t>Number of Environmental Impact Assessments (</w:t>
            </w:r>
            <w:r w:rsidRPr="003F00AF">
              <w:rPr>
                <w:bCs/>
                <w:i/>
                <w:sz w:val="22"/>
                <w:szCs w:val="22"/>
              </w:rPr>
              <w:t>Evaluaciones de Impacto Ambiental</w:t>
            </w:r>
            <w:r w:rsidRPr="003F00AF">
              <w:rPr>
                <w:bCs/>
                <w:sz w:val="22"/>
                <w:szCs w:val="22"/>
              </w:rPr>
              <w:t>, EIAs) of large infrastructure/investment projects with potentially significant impacts reviewed by Ministry of Environment (</w:t>
            </w:r>
            <w:r w:rsidRPr="003F00AF">
              <w:rPr>
                <w:bCs/>
                <w:i/>
                <w:sz w:val="22"/>
                <w:szCs w:val="22"/>
              </w:rPr>
              <w:t>Ministerio del Ambiente</w:t>
            </w:r>
            <w:r w:rsidRPr="003F00AF">
              <w:rPr>
                <w:bCs/>
                <w:sz w:val="22"/>
                <w:szCs w:val="22"/>
              </w:rPr>
              <w:t>, MINAM).</w:t>
            </w:r>
          </w:p>
        </w:tc>
      </w:tr>
      <w:tr w:rsidR="008D5034" w:rsidRPr="003F00AF" w14:paraId="04FDE8E4" w14:textId="77777777" w:rsidTr="00BD53A2">
        <w:tblPrEx>
          <w:tblCellMar>
            <w:top w:w="10" w:type="dxa"/>
            <w:left w:w="10" w:type="dxa"/>
            <w:bottom w:w="10" w:type="dxa"/>
            <w:right w:w="10" w:type="dxa"/>
          </w:tblCellMar>
        </w:tblPrEx>
        <w:trPr>
          <w:trHeight w:val="1449"/>
        </w:trPr>
        <w:tc>
          <w:tcPr>
            <w:tcW w:w="2135" w:type="dxa"/>
            <w:gridSpan w:val="3"/>
            <w:shd w:val="clear" w:color="auto" w:fill="auto"/>
            <w:vAlign w:val="center"/>
          </w:tcPr>
          <w:p w14:paraId="5197D526" w14:textId="77777777" w:rsidR="008D5034" w:rsidRPr="003F00AF" w:rsidRDefault="008D5034" w:rsidP="008D5034">
            <w:pPr>
              <w:pStyle w:val="Default"/>
              <w:rPr>
                <w:rFonts w:ascii="Times New Roman" w:hAnsi="Times New Roman" w:cs="Times New Roman"/>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 xml:space="preserve">qualitative) </w:t>
            </w:r>
          </w:p>
        </w:tc>
        <w:tc>
          <w:tcPr>
            <w:tcW w:w="1468" w:type="dxa"/>
            <w:gridSpan w:val="6"/>
            <w:shd w:val="clear" w:color="auto" w:fill="auto"/>
            <w:vAlign w:val="center"/>
          </w:tcPr>
          <w:p w14:paraId="48D8F4A9" w14:textId="77777777" w:rsidR="008D5034" w:rsidRPr="003F00AF" w:rsidRDefault="008D5034" w:rsidP="008D5034">
            <w:pPr>
              <w:keepNext/>
              <w:rPr>
                <w:bCs/>
                <w:sz w:val="22"/>
                <w:szCs w:val="22"/>
              </w:rPr>
            </w:pPr>
            <w:r w:rsidRPr="003F00AF">
              <w:rPr>
                <w:sz w:val="22"/>
                <w:szCs w:val="22"/>
              </w:rPr>
              <w:t>Zero</w:t>
            </w:r>
          </w:p>
        </w:tc>
        <w:tc>
          <w:tcPr>
            <w:tcW w:w="2340" w:type="dxa"/>
            <w:gridSpan w:val="7"/>
            <w:shd w:val="clear" w:color="auto" w:fill="auto"/>
            <w:vAlign w:val="center"/>
          </w:tcPr>
          <w:p w14:paraId="462ED9C6" w14:textId="3EC18034" w:rsidR="008D5034" w:rsidRPr="003F00AF" w:rsidRDefault="008D5034" w:rsidP="008D5034">
            <w:pPr>
              <w:keepNext/>
              <w:rPr>
                <w:bCs/>
                <w:sz w:val="22"/>
                <w:szCs w:val="22"/>
              </w:rPr>
            </w:pPr>
            <w:r w:rsidRPr="003F00AF">
              <w:rPr>
                <w:bCs/>
                <w:sz w:val="22"/>
                <w:szCs w:val="22"/>
              </w:rPr>
              <w:t>MINAM reviews at least 10 EIAs of large infrastructure/investment projects with potentially significant impacts per year</w:t>
            </w:r>
          </w:p>
        </w:tc>
        <w:tc>
          <w:tcPr>
            <w:tcW w:w="1360" w:type="dxa"/>
            <w:gridSpan w:val="3"/>
            <w:shd w:val="clear" w:color="auto" w:fill="auto"/>
            <w:vAlign w:val="center"/>
          </w:tcPr>
          <w:p w14:paraId="0E656DBB" w14:textId="56B91909" w:rsidR="003A1343" w:rsidRPr="003F00AF" w:rsidRDefault="008D5034" w:rsidP="008D5034">
            <w:pPr>
              <w:autoSpaceDE w:val="0"/>
              <w:autoSpaceDN w:val="0"/>
              <w:adjustRightInd w:val="0"/>
              <w:rPr>
                <w:bCs/>
                <w:sz w:val="22"/>
                <w:szCs w:val="22"/>
              </w:rPr>
            </w:pPr>
            <w:r w:rsidRPr="003F00AF">
              <w:rPr>
                <w:bCs/>
                <w:sz w:val="22"/>
                <w:szCs w:val="22"/>
              </w:rPr>
              <w:t>MINAM has the capacity to review EIAs of large infrastructure</w:t>
            </w:r>
            <w:r w:rsidR="005F40E9" w:rsidRPr="003F00AF">
              <w:rPr>
                <w:bCs/>
                <w:sz w:val="22"/>
                <w:szCs w:val="22"/>
              </w:rPr>
              <w:t xml:space="preserve"> </w:t>
            </w:r>
            <w:r w:rsidRPr="003F00AF">
              <w:rPr>
                <w:bCs/>
                <w:sz w:val="22"/>
                <w:szCs w:val="22"/>
              </w:rPr>
              <w:t>/</w:t>
            </w:r>
            <w:r w:rsidR="005F40E9" w:rsidRPr="003F00AF">
              <w:rPr>
                <w:bCs/>
                <w:sz w:val="22"/>
                <w:szCs w:val="22"/>
              </w:rPr>
              <w:t xml:space="preserve"> </w:t>
            </w:r>
            <w:r w:rsidRPr="003F00AF">
              <w:rPr>
                <w:bCs/>
                <w:sz w:val="22"/>
                <w:szCs w:val="22"/>
              </w:rPr>
              <w:t>investment  projects with potentially significant impacts (select at least 10 projects per year based on technical and legal criteria)</w:t>
            </w:r>
          </w:p>
        </w:tc>
        <w:tc>
          <w:tcPr>
            <w:tcW w:w="2591" w:type="dxa"/>
            <w:gridSpan w:val="5"/>
            <w:shd w:val="clear" w:color="auto" w:fill="auto"/>
            <w:vAlign w:val="center"/>
          </w:tcPr>
          <w:p w14:paraId="02A18275" w14:textId="6E3EC5DC" w:rsidR="003A1343" w:rsidRPr="003F00AF" w:rsidRDefault="003A1343" w:rsidP="003A1343">
            <w:pPr>
              <w:keepNext/>
              <w:rPr>
                <w:bCs/>
                <w:sz w:val="22"/>
                <w:szCs w:val="22"/>
              </w:rPr>
            </w:pPr>
            <w:r w:rsidRPr="003F00AF">
              <w:rPr>
                <w:bCs/>
                <w:sz w:val="22"/>
                <w:szCs w:val="22"/>
              </w:rPr>
              <w:t xml:space="preserve">MINAM </w:t>
            </w:r>
            <w:r w:rsidR="00150D6C">
              <w:rPr>
                <w:bCs/>
                <w:sz w:val="22"/>
                <w:szCs w:val="22"/>
              </w:rPr>
              <w:t xml:space="preserve">has the </w:t>
            </w:r>
            <w:r w:rsidRPr="003F00AF">
              <w:rPr>
                <w:bCs/>
                <w:sz w:val="22"/>
                <w:szCs w:val="22"/>
              </w:rPr>
              <w:t>capacity to review EIAs of large infrastructure / investment projects with potentially significant impacts.</w:t>
            </w:r>
          </w:p>
          <w:p w14:paraId="642F4884" w14:textId="27E29E32" w:rsidR="008D5034" w:rsidRPr="003F00AF" w:rsidRDefault="00044522" w:rsidP="005C460D">
            <w:pPr>
              <w:keepNext/>
              <w:rPr>
                <w:bCs/>
                <w:sz w:val="22"/>
                <w:szCs w:val="22"/>
              </w:rPr>
            </w:pPr>
            <w:r w:rsidRPr="003F00AF">
              <w:rPr>
                <w:bCs/>
                <w:sz w:val="22"/>
                <w:szCs w:val="22"/>
              </w:rPr>
              <w:t xml:space="preserve">In </w:t>
            </w:r>
            <w:r w:rsidR="003A1343" w:rsidRPr="003F00AF">
              <w:rPr>
                <w:bCs/>
                <w:sz w:val="22"/>
                <w:szCs w:val="22"/>
              </w:rPr>
              <w:t>2</w:t>
            </w:r>
            <w:r w:rsidRPr="003F00AF">
              <w:rPr>
                <w:bCs/>
                <w:sz w:val="22"/>
                <w:szCs w:val="22"/>
              </w:rPr>
              <w:t xml:space="preserve">011 and 2012, </w:t>
            </w:r>
            <w:r w:rsidR="008D5034" w:rsidRPr="003F00AF">
              <w:rPr>
                <w:bCs/>
                <w:sz w:val="22"/>
                <w:szCs w:val="22"/>
              </w:rPr>
              <w:t xml:space="preserve">MINAM </w:t>
            </w:r>
            <w:r w:rsidRPr="003F00AF">
              <w:rPr>
                <w:bCs/>
                <w:sz w:val="22"/>
                <w:szCs w:val="22"/>
              </w:rPr>
              <w:t xml:space="preserve">randomly </w:t>
            </w:r>
            <w:r w:rsidR="008D5034" w:rsidRPr="003F00AF">
              <w:rPr>
                <w:bCs/>
                <w:sz w:val="22"/>
                <w:szCs w:val="22"/>
              </w:rPr>
              <w:t xml:space="preserve">reviewed 242 EIAs approved </w:t>
            </w:r>
            <w:r w:rsidRPr="003F00AF">
              <w:rPr>
                <w:bCs/>
                <w:sz w:val="22"/>
                <w:szCs w:val="22"/>
              </w:rPr>
              <w:t xml:space="preserve">by sectoral agencies </w:t>
            </w:r>
            <w:r w:rsidR="008D5034" w:rsidRPr="003F00AF">
              <w:rPr>
                <w:bCs/>
                <w:sz w:val="22"/>
                <w:szCs w:val="22"/>
              </w:rPr>
              <w:t>between 2001 and 2011</w:t>
            </w:r>
            <w:r w:rsidR="007A684A" w:rsidRPr="003F00AF">
              <w:rPr>
                <w:bCs/>
                <w:sz w:val="22"/>
                <w:szCs w:val="22"/>
              </w:rPr>
              <w:t xml:space="preserve"> </w:t>
            </w:r>
            <w:r w:rsidR="008D5034" w:rsidRPr="003F00AF">
              <w:rPr>
                <w:bCs/>
                <w:sz w:val="22"/>
                <w:szCs w:val="22"/>
              </w:rPr>
              <w:t xml:space="preserve">for projects </w:t>
            </w:r>
            <w:r w:rsidR="005C460D" w:rsidRPr="003F00AF">
              <w:rPr>
                <w:bCs/>
                <w:sz w:val="22"/>
                <w:szCs w:val="22"/>
              </w:rPr>
              <w:t>with potentially significant impacts</w:t>
            </w:r>
            <w:r w:rsidR="007A684A" w:rsidRPr="003F00AF">
              <w:rPr>
                <w:bCs/>
                <w:sz w:val="22"/>
                <w:szCs w:val="22"/>
              </w:rPr>
              <w:t>, based on technical and legal criteria.</w:t>
            </w:r>
          </w:p>
        </w:tc>
      </w:tr>
      <w:tr w:rsidR="008D5034" w:rsidRPr="003F00AF" w14:paraId="6D41501C" w14:textId="77777777" w:rsidTr="00BD53A2">
        <w:tblPrEx>
          <w:tblCellMar>
            <w:top w:w="10" w:type="dxa"/>
            <w:left w:w="10" w:type="dxa"/>
            <w:bottom w:w="10" w:type="dxa"/>
            <w:right w:w="10" w:type="dxa"/>
          </w:tblCellMar>
        </w:tblPrEx>
        <w:trPr>
          <w:trHeight w:val="322"/>
        </w:trPr>
        <w:tc>
          <w:tcPr>
            <w:tcW w:w="2135" w:type="dxa"/>
            <w:gridSpan w:val="3"/>
            <w:shd w:val="clear" w:color="auto" w:fill="auto"/>
            <w:vAlign w:val="center"/>
          </w:tcPr>
          <w:p w14:paraId="1BDC2CC0" w14:textId="0BA98D61"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68AD84E2" w14:textId="77777777" w:rsidR="008D5034" w:rsidRPr="003F00AF" w:rsidRDefault="008D5034" w:rsidP="008D5034">
            <w:pPr>
              <w:keepNext/>
              <w:rPr>
                <w:sz w:val="22"/>
                <w:szCs w:val="22"/>
              </w:rPr>
            </w:pPr>
            <w:r w:rsidRPr="003F00AF">
              <w:rPr>
                <w:sz w:val="22"/>
                <w:szCs w:val="22"/>
              </w:rPr>
              <w:t>8/30/2008</w:t>
            </w:r>
          </w:p>
        </w:tc>
        <w:tc>
          <w:tcPr>
            <w:tcW w:w="2330" w:type="dxa"/>
            <w:gridSpan w:val="6"/>
            <w:shd w:val="clear" w:color="auto" w:fill="auto"/>
            <w:vAlign w:val="center"/>
          </w:tcPr>
          <w:p w14:paraId="6F9BFC8F" w14:textId="1B4A59DA" w:rsidR="008D5034" w:rsidRPr="003F00AF" w:rsidRDefault="008D5034" w:rsidP="008D5034">
            <w:pPr>
              <w:keepNext/>
              <w:rPr>
                <w:bCs/>
                <w:sz w:val="22"/>
                <w:szCs w:val="22"/>
              </w:rPr>
            </w:pPr>
            <w:r w:rsidRPr="003F00AF">
              <w:rPr>
                <w:bCs/>
                <w:sz w:val="22"/>
                <w:szCs w:val="22"/>
              </w:rPr>
              <w:t xml:space="preserve"> </w:t>
            </w:r>
            <w:r w:rsidR="00D04DA8" w:rsidRPr="003F00AF">
              <w:rPr>
                <w:bCs/>
                <w:sz w:val="22"/>
                <w:szCs w:val="22"/>
              </w:rPr>
              <w:t>12/31/2013</w:t>
            </w:r>
          </w:p>
        </w:tc>
        <w:tc>
          <w:tcPr>
            <w:tcW w:w="1370" w:type="dxa"/>
            <w:gridSpan w:val="4"/>
            <w:shd w:val="clear" w:color="auto" w:fill="auto"/>
            <w:vAlign w:val="center"/>
          </w:tcPr>
          <w:p w14:paraId="63CFC8B6" w14:textId="236F1DCC" w:rsidR="008D5034" w:rsidRPr="003F00AF" w:rsidRDefault="00995AC5" w:rsidP="008D5034">
            <w:pPr>
              <w:keepNext/>
              <w:rPr>
                <w:bCs/>
                <w:sz w:val="22"/>
                <w:szCs w:val="22"/>
              </w:rPr>
            </w:pPr>
            <w:r w:rsidRPr="003F00AF">
              <w:rPr>
                <w:bCs/>
                <w:sz w:val="22"/>
                <w:szCs w:val="22"/>
              </w:rPr>
              <w:t>12/31/2013</w:t>
            </w:r>
          </w:p>
        </w:tc>
        <w:tc>
          <w:tcPr>
            <w:tcW w:w="2591" w:type="dxa"/>
            <w:gridSpan w:val="5"/>
            <w:shd w:val="clear" w:color="auto" w:fill="auto"/>
            <w:vAlign w:val="center"/>
          </w:tcPr>
          <w:p w14:paraId="3553DC90" w14:textId="186E52DD" w:rsidR="008D5034" w:rsidRPr="003F00AF" w:rsidRDefault="002305FC" w:rsidP="00320EE8">
            <w:pPr>
              <w:keepNext/>
              <w:rPr>
                <w:bCs/>
                <w:sz w:val="22"/>
                <w:szCs w:val="22"/>
              </w:rPr>
            </w:pPr>
            <w:r w:rsidRPr="003F00AF">
              <w:rPr>
                <w:bCs/>
                <w:sz w:val="22"/>
                <w:szCs w:val="22"/>
              </w:rPr>
              <w:t>1</w:t>
            </w:r>
            <w:r w:rsidR="00320EE8">
              <w:rPr>
                <w:bCs/>
                <w:sz w:val="22"/>
                <w:szCs w:val="22"/>
              </w:rPr>
              <w:t>2</w:t>
            </w:r>
            <w:r w:rsidR="003A1343" w:rsidRPr="003F00AF">
              <w:rPr>
                <w:bCs/>
                <w:sz w:val="22"/>
                <w:szCs w:val="22"/>
              </w:rPr>
              <w:t>/</w:t>
            </w:r>
            <w:r w:rsidR="00320EE8">
              <w:rPr>
                <w:bCs/>
                <w:sz w:val="22"/>
                <w:szCs w:val="22"/>
              </w:rPr>
              <w:t>31</w:t>
            </w:r>
            <w:r w:rsidR="003A1343" w:rsidRPr="003F00AF">
              <w:rPr>
                <w:bCs/>
                <w:sz w:val="22"/>
                <w:szCs w:val="22"/>
              </w:rPr>
              <w:t>/201</w:t>
            </w:r>
            <w:r w:rsidR="00320EE8">
              <w:rPr>
                <w:bCs/>
                <w:sz w:val="22"/>
                <w:szCs w:val="22"/>
              </w:rPr>
              <w:t>5</w:t>
            </w:r>
          </w:p>
        </w:tc>
      </w:tr>
      <w:tr w:rsidR="008D5034" w:rsidRPr="003F00AF" w14:paraId="2626BDF7" w14:textId="77777777" w:rsidTr="00BD53A2">
        <w:tblPrEx>
          <w:tblCellMar>
            <w:top w:w="10" w:type="dxa"/>
            <w:left w:w="10" w:type="dxa"/>
            <w:bottom w:w="10" w:type="dxa"/>
            <w:right w:w="10" w:type="dxa"/>
          </w:tblCellMar>
        </w:tblPrEx>
        <w:trPr>
          <w:trHeight w:val="322"/>
        </w:trPr>
        <w:tc>
          <w:tcPr>
            <w:tcW w:w="2135" w:type="dxa"/>
            <w:gridSpan w:val="3"/>
            <w:shd w:val="clear" w:color="auto" w:fill="auto"/>
            <w:vAlign w:val="center"/>
          </w:tcPr>
          <w:p w14:paraId="7DAB2D2B" w14:textId="15957F95"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2AF0B326" w14:textId="71276F6D" w:rsidR="008D5034" w:rsidRPr="003F00AF" w:rsidRDefault="00AE1DF9" w:rsidP="008D5034">
            <w:pPr>
              <w:autoSpaceDE w:val="0"/>
              <w:autoSpaceDN w:val="0"/>
              <w:adjustRightInd w:val="0"/>
              <w:rPr>
                <w:bCs/>
                <w:sz w:val="22"/>
                <w:szCs w:val="22"/>
              </w:rPr>
            </w:pPr>
            <w:r>
              <w:rPr>
                <w:bCs/>
                <w:sz w:val="22"/>
                <w:szCs w:val="22"/>
              </w:rPr>
              <w:t>Fully a</w:t>
            </w:r>
            <w:r w:rsidR="008D5034" w:rsidRPr="003F00AF">
              <w:rPr>
                <w:bCs/>
                <w:sz w:val="22"/>
                <w:szCs w:val="22"/>
              </w:rPr>
              <w:t>chieve</w:t>
            </w:r>
            <w:r>
              <w:rPr>
                <w:bCs/>
                <w:sz w:val="22"/>
                <w:szCs w:val="22"/>
              </w:rPr>
              <w:t>d and target surpassed.</w:t>
            </w:r>
            <w:r w:rsidR="00B62F98">
              <w:rPr>
                <w:bCs/>
                <w:sz w:val="22"/>
                <w:szCs w:val="22"/>
              </w:rPr>
              <w:t xml:space="preserve"> (Average of </w:t>
            </w:r>
            <w:r w:rsidR="00B62F98">
              <w:t>22 EIAs per year</w:t>
            </w:r>
            <w:r>
              <w:t xml:space="preserve"> for the period 2001-2011</w:t>
            </w:r>
            <w:r w:rsidR="00B62F98">
              <w:t>)</w:t>
            </w:r>
          </w:p>
          <w:p w14:paraId="6F157B43" w14:textId="3E87F98E" w:rsidR="00995AC5" w:rsidRPr="003F00AF" w:rsidRDefault="002A085A" w:rsidP="00233DD0">
            <w:pPr>
              <w:autoSpaceDE w:val="0"/>
              <w:autoSpaceDN w:val="0"/>
              <w:adjustRightInd w:val="0"/>
              <w:ind w:right="79"/>
              <w:jc w:val="both"/>
              <w:rPr>
                <w:bCs/>
                <w:sz w:val="22"/>
                <w:szCs w:val="22"/>
              </w:rPr>
            </w:pPr>
            <w:r w:rsidRPr="003F00AF">
              <w:rPr>
                <w:bCs/>
                <w:sz w:val="22"/>
                <w:szCs w:val="22"/>
              </w:rPr>
              <w:t>The Program Documen</w:t>
            </w:r>
            <w:r w:rsidR="003A1343" w:rsidRPr="003F00AF">
              <w:rPr>
                <w:bCs/>
                <w:sz w:val="22"/>
                <w:szCs w:val="22"/>
              </w:rPr>
              <w:t xml:space="preserve">t (PD) of the ENVDPL III refined the result indicator to clarify the responsibilities of MINAM in relation to EIAs. </w:t>
            </w:r>
            <w:r w:rsidR="00F44FB7">
              <w:rPr>
                <w:bCs/>
                <w:sz w:val="22"/>
                <w:szCs w:val="22"/>
              </w:rPr>
              <w:t>The Ministry wa</w:t>
            </w:r>
            <w:r w:rsidR="008D5034" w:rsidRPr="003F00AF">
              <w:rPr>
                <w:bCs/>
                <w:sz w:val="22"/>
                <w:szCs w:val="22"/>
              </w:rPr>
              <w:t xml:space="preserve">s mandated to randomly </w:t>
            </w:r>
            <w:r w:rsidR="00044522" w:rsidRPr="003F00AF">
              <w:rPr>
                <w:bCs/>
                <w:sz w:val="22"/>
                <w:szCs w:val="22"/>
              </w:rPr>
              <w:t xml:space="preserve">review </w:t>
            </w:r>
            <w:r w:rsidR="008D5034" w:rsidRPr="003F00AF">
              <w:rPr>
                <w:bCs/>
                <w:sz w:val="22"/>
                <w:szCs w:val="22"/>
              </w:rPr>
              <w:t>EIAs approved by sectoral a</w:t>
            </w:r>
            <w:r w:rsidR="00150D6C">
              <w:rPr>
                <w:bCs/>
                <w:sz w:val="22"/>
                <w:szCs w:val="22"/>
              </w:rPr>
              <w:t xml:space="preserve">gencies </w:t>
            </w:r>
            <w:r w:rsidR="008D5034" w:rsidRPr="003F00AF">
              <w:rPr>
                <w:bCs/>
                <w:sz w:val="22"/>
                <w:szCs w:val="22"/>
              </w:rPr>
              <w:t>in the three levels of the Government</w:t>
            </w:r>
            <w:r w:rsidR="00F44FB7">
              <w:rPr>
                <w:bCs/>
                <w:sz w:val="22"/>
                <w:szCs w:val="22"/>
              </w:rPr>
              <w:t xml:space="preserve">, in order to </w:t>
            </w:r>
            <w:r w:rsidR="00044522" w:rsidRPr="003F00AF">
              <w:rPr>
                <w:bCs/>
                <w:sz w:val="22"/>
                <w:szCs w:val="22"/>
              </w:rPr>
              <w:t xml:space="preserve">assess the </w:t>
            </w:r>
            <w:r w:rsidR="00F44FB7" w:rsidRPr="003F00AF">
              <w:rPr>
                <w:bCs/>
                <w:sz w:val="22"/>
                <w:szCs w:val="22"/>
              </w:rPr>
              <w:t>National System for Environmental Impact Assessment (</w:t>
            </w:r>
            <w:r w:rsidR="00F44FB7" w:rsidRPr="003F00AF">
              <w:rPr>
                <w:bCs/>
                <w:i/>
                <w:sz w:val="22"/>
                <w:szCs w:val="22"/>
              </w:rPr>
              <w:t>Sistema Nacional de Evaluación de Impact</w:t>
            </w:r>
            <w:r w:rsidR="0064762F">
              <w:rPr>
                <w:bCs/>
                <w:i/>
                <w:sz w:val="22"/>
                <w:szCs w:val="22"/>
              </w:rPr>
              <w:t>o</w:t>
            </w:r>
            <w:r w:rsidR="00F44FB7" w:rsidRPr="003F00AF">
              <w:rPr>
                <w:bCs/>
                <w:i/>
                <w:sz w:val="22"/>
                <w:szCs w:val="22"/>
              </w:rPr>
              <w:t xml:space="preserve"> Ambiental</w:t>
            </w:r>
            <w:r w:rsidR="00F44FB7" w:rsidRPr="003F00AF">
              <w:rPr>
                <w:bCs/>
                <w:sz w:val="22"/>
                <w:szCs w:val="22"/>
              </w:rPr>
              <w:t>, SEIA)</w:t>
            </w:r>
            <w:r w:rsidR="00F44FB7">
              <w:rPr>
                <w:bCs/>
                <w:sz w:val="22"/>
                <w:szCs w:val="22"/>
              </w:rPr>
              <w:t xml:space="preserve"> and </w:t>
            </w:r>
            <w:r w:rsidR="00044522" w:rsidRPr="003F00AF">
              <w:rPr>
                <w:bCs/>
                <w:sz w:val="22"/>
                <w:szCs w:val="22"/>
              </w:rPr>
              <w:t>determine the actions needed to improve and consolidate</w:t>
            </w:r>
            <w:r w:rsidR="002F4426" w:rsidRPr="003F00AF">
              <w:rPr>
                <w:bCs/>
                <w:sz w:val="22"/>
                <w:szCs w:val="22"/>
              </w:rPr>
              <w:t xml:space="preserve"> such system. </w:t>
            </w:r>
            <w:r w:rsidR="00320EE8" w:rsidRPr="00320EE8">
              <w:rPr>
                <w:bCs/>
                <w:sz w:val="22"/>
                <w:szCs w:val="22"/>
              </w:rPr>
              <w:t>On November 24, 2010, MINAM established the technical procedures, legal criteria and the unit in charge of such review, acquiring capacity to review EIAs as stated in the PDO indicator</w:t>
            </w:r>
            <w:r w:rsidR="005C460D">
              <w:rPr>
                <w:bCs/>
                <w:sz w:val="22"/>
                <w:szCs w:val="22"/>
              </w:rPr>
              <w:t xml:space="preserve">. The random review of EIAs provided MINAM with the analytical underpinnings for assessing SEIA. As a result of such assessment, </w:t>
            </w:r>
            <w:r w:rsidR="005C460D" w:rsidRPr="002305FC">
              <w:rPr>
                <w:bCs/>
                <w:sz w:val="22"/>
                <w:szCs w:val="22"/>
              </w:rPr>
              <w:t>the GoP created the National Service of Environmental Certification for Sustainable Investments</w:t>
            </w:r>
            <w:r w:rsidR="005C460D" w:rsidRPr="002305FC">
              <w:rPr>
                <w:sz w:val="22"/>
                <w:szCs w:val="22"/>
              </w:rPr>
              <w:t xml:space="preserve"> (</w:t>
            </w:r>
            <w:r w:rsidR="005C460D" w:rsidRPr="002305FC">
              <w:rPr>
                <w:i/>
                <w:sz w:val="22"/>
                <w:szCs w:val="22"/>
              </w:rPr>
              <w:t>Servicio Nacional de Certificación Ambiental para Inversiones Sostenibles</w:t>
            </w:r>
            <w:r w:rsidR="005C460D" w:rsidRPr="002305FC">
              <w:rPr>
                <w:sz w:val="22"/>
                <w:szCs w:val="22"/>
              </w:rPr>
              <w:t xml:space="preserve">, </w:t>
            </w:r>
            <w:r w:rsidR="005C460D">
              <w:rPr>
                <w:sz w:val="22"/>
                <w:szCs w:val="22"/>
              </w:rPr>
              <w:t>SENACE)</w:t>
            </w:r>
            <w:r w:rsidR="00B60A9D">
              <w:rPr>
                <w:sz w:val="22"/>
                <w:szCs w:val="22"/>
              </w:rPr>
              <w:t>,</w:t>
            </w:r>
            <w:r w:rsidR="005C460D" w:rsidRPr="002305FC">
              <w:rPr>
                <w:sz w:val="22"/>
                <w:szCs w:val="22"/>
              </w:rPr>
              <w:t xml:space="preserve"> under the auspices of MINAM</w:t>
            </w:r>
            <w:r w:rsidR="00233DD0">
              <w:rPr>
                <w:sz w:val="22"/>
                <w:szCs w:val="22"/>
              </w:rPr>
              <w:t xml:space="preserve">, to </w:t>
            </w:r>
            <w:r w:rsidR="005C460D" w:rsidRPr="002305FC">
              <w:rPr>
                <w:sz w:val="22"/>
                <w:szCs w:val="22"/>
              </w:rPr>
              <w:t>review and approv</w:t>
            </w:r>
            <w:r w:rsidR="00233DD0">
              <w:rPr>
                <w:sz w:val="22"/>
                <w:szCs w:val="22"/>
              </w:rPr>
              <w:t>e</w:t>
            </w:r>
            <w:r w:rsidR="005C460D" w:rsidRPr="002305FC">
              <w:rPr>
                <w:sz w:val="22"/>
                <w:szCs w:val="22"/>
              </w:rPr>
              <w:t xml:space="preserve"> EIAs </w:t>
            </w:r>
            <w:r w:rsidR="00233DD0">
              <w:rPr>
                <w:sz w:val="22"/>
                <w:szCs w:val="22"/>
              </w:rPr>
              <w:t>of</w:t>
            </w:r>
            <w:r w:rsidR="005C460D" w:rsidRPr="002305FC">
              <w:rPr>
                <w:sz w:val="22"/>
                <w:szCs w:val="22"/>
              </w:rPr>
              <w:t xml:space="preserve"> </w:t>
            </w:r>
            <w:r w:rsidR="005C460D" w:rsidRPr="002305FC">
              <w:rPr>
                <w:bCs/>
                <w:sz w:val="22"/>
                <w:szCs w:val="22"/>
              </w:rPr>
              <w:t xml:space="preserve">projects with potentially significant </w:t>
            </w:r>
            <w:r w:rsidR="005C460D">
              <w:rPr>
                <w:bCs/>
                <w:sz w:val="22"/>
                <w:szCs w:val="22"/>
              </w:rPr>
              <w:t>impacts.</w:t>
            </w:r>
          </w:p>
        </w:tc>
      </w:tr>
      <w:tr w:rsidR="008D5034" w:rsidRPr="003F00AF" w14:paraId="712D014C"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375273B0" w14:textId="29820E20" w:rsidR="008D5034" w:rsidRPr="003F00AF" w:rsidRDefault="008D5034" w:rsidP="00182D78">
            <w:pPr>
              <w:autoSpaceDE w:val="0"/>
              <w:autoSpaceDN w:val="0"/>
              <w:adjustRightInd w:val="0"/>
              <w:jc w:val="both"/>
              <w:rPr>
                <w:bCs/>
                <w:sz w:val="22"/>
                <w:szCs w:val="22"/>
              </w:rPr>
            </w:pPr>
            <w:r w:rsidRPr="003F00AF">
              <w:rPr>
                <w:b/>
                <w:bCs/>
                <w:sz w:val="22"/>
                <w:szCs w:val="22"/>
              </w:rPr>
              <w:t xml:space="preserve">PDO Indicator 2: </w:t>
            </w:r>
            <w:r w:rsidRPr="00182D78">
              <w:rPr>
                <w:bCs/>
                <w:sz w:val="22"/>
                <w:szCs w:val="22"/>
              </w:rPr>
              <w:t xml:space="preserve">The </w:t>
            </w:r>
            <w:r w:rsidR="00182D78" w:rsidRPr="00182D78">
              <w:rPr>
                <w:sz w:val="22"/>
                <w:szCs w:val="22"/>
              </w:rPr>
              <w:t>National Service of Natural Protected Areas by the State (</w:t>
            </w:r>
            <w:r w:rsidR="00182D78" w:rsidRPr="00182D78">
              <w:rPr>
                <w:i/>
                <w:sz w:val="22"/>
                <w:szCs w:val="22"/>
              </w:rPr>
              <w:t>Servicio Nacional de Áreas Naturales Protegidas por el Estado</w:t>
            </w:r>
            <w:r w:rsidRPr="00182D78">
              <w:rPr>
                <w:bCs/>
                <w:sz w:val="22"/>
                <w:szCs w:val="22"/>
              </w:rPr>
              <w:t>, SERNANP) applies financial strategy</w:t>
            </w:r>
            <w:r w:rsidRPr="003F00AF">
              <w:rPr>
                <w:bCs/>
                <w:sz w:val="22"/>
                <w:szCs w:val="22"/>
              </w:rPr>
              <w:t xml:space="preserve"> to increase funding for managing natural protected areas (NPA) from various sources (including private sector).</w:t>
            </w:r>
          </w:p>
        </w:tc>
      </w:tr>
      <w:tr w:rsidR="008D5034" w:rsidRPr="003F00AF" w14:paraId="296EE422" w14:textId="77777777" w:rsidTr="00BD53A2">
        <w:tblPrEx>
          <w:tblCellMar>
            <w:top w:w="10" w:type="dxa"/>
            <w:left w:w="10" w:type="dxa"/>
            <w:bottom w:w="10" w:type="dxa"/>
            <w:right w:w="10" w:type="dxa"/>
          </w:tblCellMar>
        </w:tblPrEx>
        <w:trPr>
          <w:trHeight w:val="1035"/>
        </w:trPr>
        <w:tc>
          <w:tcPr>
            <w:tcW w:w="2135" w:type="dxa"/>
            <w:gridSpan w:val="3"/>
            <w:shd w:val="clear" w:color="auto" w:fill="auto"/>
            <w:vAlign w:val="center"/>
          </w:tcPr>
          <w:p w14:paraId="6697C30F"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6722F96D" w14:textId="234C3C97" w:rsidR="008D5034" w:rsidRPr="003F00AF" w:rsidRDefault="008D5034" w:rsidP="008D5034">
            <w:pPr>
              <w:keepNext/>
              <w:rPr>
                <w:bCs/>
                <w:sz w:val="22"/>
                <w:szCs w:val="22"/>
              </w:rPr>
            </w:pPr>
            <w:r w:rsidRPr="003F00AF">
              <w:rPr>
                <w:bCs/>
                <w:sz w:val="22"/>
                <w:szCs w:val="22"/>
              </w:rPr>
              <w:t>NPA funding of US$14.2 million</w:t>
            </w:r>
          </w:p>
        </w:tc>
        <w:tc>
          <w:tcPr>
            <w:tcW w:w="2340" w:type="dxa"/>
            <w:gridSpan w:val="7"/>
            <w:shd w:val="clear" w:color="auto" w:fill="auto"/>
            <w:vAlign w:val="center"/>
          </w:tcPr>
          <w:p w14:paraId="43C7C8C7" w14:textId="3EBD2EF1" w:rsidR="008D5034" w:rsidRPr="003F00AF" w:rsidRDefault="008D5034" w:rsidP="008D5034">
            <w:pPr>
              <w:keepNext/>
              <w:rPr>
                <w:bCs/>
                <w:sz w:val="22"/>
                <w:szCs w:val="22"/>
              </w:rPr>
            </w:pPr>
            <w:r w:rsidRPr="003F00AF">
              <w:rPr>
                <w:bCs/>
                <w:sz w:val="22"/>
                <w:szCs w:val="22"/>
              </w:rPr>
              <w:t>Increase NPA funding by at least US$2 million per year</w:t>
            </w:r>
          </w:p>
        </w:tc>
        <w:tc>
          <w:tcPr>
            <w:tcW w:w="1360" w:type="dxa"/>
            <w:gridSpan w:val="3"/>
            <w:shd w:val="clear" w:color="auto" w:fill="auto"/>
            <w:vAlign w:val="center"/>
          </w:tcPr>
          <w:p w14:paraId="626E4FA2" w14:textId="7ABEB554"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3CF1F5C9" w14:textId="036DA119" w:rsidR="008D5034" w:rsidRPr="003F00AF" w:rsidRDefault="008D5034" w:rsidP="009E4BAF">
            <w:pPr>
              <w:keepNext/>
              <w:rPr>
                <w:bCs/>
                <w:sz w:val="22"/>
                <w:szCs w:val="22"/>
              </w:rPr>
            </w:pPr>
            <w:r w:rsidRPr="003F00AF">
              <w:rPr>
                <w:bCs/>
                <w:sz w:val="22"/>
                <w:szCs w:val="22"/>
              </w:rPr>
              <w:t xml:space="preserve">NPA funding increased </w:t>
            </w:r>
            <w:r w:rsidR="002E6625">
              <w:rPr>
                <w:bCs/>
                <w:sz w:val="22"/>
                <w:szCs w:val="22"/>
              </w:rPr>
              <w:t>from US$1</w:t>
            </w:r>
            <w:r w:rsidR="00B2062E">
              <w:rPr>
                <w:bCs/>
                <w:sz w:val="22"/>
                <w:szCs w:val="22"/>
              </w:rPr>
              <w:t>9</w:t>
            </w:r>
            <w:r w:rsidR="002E6625">
              <w:rPr>
                <w:bCs/>
                <w:sz w:val="22"/>
                <w:szCs w:val="22"/>
              </w:rPr>
              <w:t xml:space="preserve"> million in 2012 to</w:t>
            </w:r>
            <w:r w:rsidRPr="003F00AF">
              <w:rPr>
                <w:bCs/>
                <w:sz w:val="22"/>
                <w:szCs w:val="22"/>
              </w:rPr>
              <w:t xml:space="preserve"> US$2</w:t>
            </w:r>
            <w:r w:rsidR="009E4BAF">
              <w:rPr>
                <w:bCs/>
                <w:sz w:val="22"/>
                <w:szCs w:val="22"/>
              </w:rPr>
              <w:t>8</w:t>
            </w:r>
            <w:r w:rsidRPr="003F00AF">
              <w:rPr>
                <w:bCs/>
                <w:sz w:val="22"/>
                <w:szCs w:val="22"/>
              </w:rPr>
              <w:t>.</w:t>
            </w:r>
            <w:r w:rsidR="009E4BAF">
              <w:rPr>
                <w:bCs/>
                <w:sz w:val="22"/>
                <w:szCs w:val="22"/>
              </w:rPr>
              <w:t>5</w:t>
            </w:r>
            <w:r w:rsidRPr="003F00AF">
              <w:rPr>
                <w:bCs/>
                <w:sz w:val="22"/>
                <w:szCs w:val="22"/>
              </w:rPr>
              <w:t xml:space="preserve"> million </w:t>
            </w:r>
            <w:r w:rsidR="00CB2D5D">
              <w:rPr>
                <w:bCs/>
                <w:sz w:val="22"/>
                <w:szCs w:val="22"/>
              </w:rPr>
              <w:t xml:space="preserve">in </w:t>
            </w:r>
            <w:r w:rsidRPr="003F00AF">
              <w:rPr>
                <w:bCs/>
                <w:sz w:val="22"/>
                <w:szCs w:val="22"/>
              </w:rPr>
              <w:t>2015</w:t>
            </w:r>
            <w:r w:rsidR="00725A5C">
              <w:rPr>
                <w:bCs/>
                <w:sz w:val="22"/>
                <w:szCs w:val="22"/>
              </w:rPr>
              <w:t>.</w:t>
            </w:r>
          </w:p>
        </w:tc>
      </w:tr>
      <w:tr w:rsidR="008D5034" w:rsidRPr="003F00AF" w14:paraId="147681F1" w14:textId="77777777" w:rsidTr="00BD53A2">
        <w:tblPrEx>
          <w:tblCellMar>
            <w:top w:w="10" w:type="dxa"/>
            <w:left w:w="10" w:type="dxa"/>
            <w:bottom w:w="10" w:type="dxa"/>
            <w:right w:w="10" w:type="dxa"/>
          </w:tblCellMar>
        </w:tblPrEx>
        <w:trPr>
          <w:trHeight w:val="268"/>
        </w:trPr>
        <w:tc>
          <w:tcPr>
            <w:tcW w:w="2135" w:type="dxa"/>
            <w:gridSpan w:val="3"/>
            <w:shd w:val="clear" w:color="auto" w:fill="auto"/>
            <w:vAlign w:val="center"/>
          </w:tcPr>
          <w:p w14:paraId="1E32A41A"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17CE3252" w14:textId="77777777" w:rsidR="008D5034" w:rsidRPr="003F00AF" w:rsidRDefault="008D5034" w:rsidP="008D5034">
            <w:pPr>
              <w:keepNext/>
              <w:rPr>
                <w:bCs/>
                <w:sz w:val="22"/>
                <w:szCs w:val="22"/>
              </w:rPr>
            </w:pPr>
            <w:r w:rsidRPr="003F00AF">
              <w:rPr>
                <w:sz w:val="22"/>
                <w:szCs w:val="22"/>
              </w:rPr>
              <w:t>8/30/2008</w:t>
            </w:r>
          </w:p>
        </w:tc>
        <w:tc>
          <w:tcPr>
            <w:tcW w:w="2340" w:type="dxa"/>
            <w:gridSpan w:val="7"/>
            <w:shd w:val="clear" w:color="auto" w:fill="auto"/>
            <w:vAlign w:val="center"/>
          </w:tcPr>
          <w:p w14:paraId="5C6D2218" w14:textId="0D2CDD62" w:rsidR="008D5034" w:rsidRPr="003F00AF" w:rsidRDefault="00D04DA8" w:rsidP="008D5034">
            <w:pPr>
              <w:keepNext/>
              <w:rPr>
                <w:bCs/>
                <w:sz w:val="22"/>
                <w:szCs w:val="22"/>
              </w:rPr>
            </w:pPr>
            <w:r w:rsidRPr="003F00AF">
              <w:rPr>
                <w:bCs/>
                <w:sz w:val="22"/>
                <w:szCs w:val="22"/>
              </w:rPr>
              <w:t>12/31/2013</w:t>
            </w:r>
          </w:p>
        </w:tc>
        <w:tc>
          <w:tcPr>
            <w:tcW w:w="1360" w:type="dxa"/>
            <w:gridSpan w:val="3"/>
            <w:shd w:val="clear" w:color="auto" w:fill="auto"/>
            <w:vAlign w:val="center"/>
          </w:tcPr>
          <w:p w14:paraId="61C1D64C" w14:textId="77777777" w:rsidR="008D5034" w:rsidRPr="003F00AF" w:rsidRDefault="008D5034" w:rsidP="008D5034">
            <w:pPr>
              <w:keepNext/>
              <w:rPr>
                <w:bCs/>
                <w:sz w:val="22"/>
                <w:szCs w:val="22"/>
              </w:rPr>
            </w:pPr>
          </w:p>
        </w:tc>
        <w:tc>
          <w:tcPr>
            <w:tcW w:w="2591" w:type="dxa"/>
            <w:gridSpan w:val="5"/>
            <w:shd w:val="clear" w:color="auto" w:fill="auto"/>
            <w:vAlign w:val="center"/>
          </w:tcPr>
          <w:p w14:paraId="64470ACF" w14:textId="77777777" w:rsidR="008D5034" w:rsidRPr="003F00AF" w:rsidRDefault="008D5034" w:rsidP="008D5034">
            <w:pPr>
              <w:keepNext/>
              <w:rPr>
                <w:bCs/>
                <w:sz w:val="22"/>
                <w:szCs w:val="22"/>
              </w:rPr>
            </w:pPr>
            <w:r w:rsidRPr="003F00AF">
              <w:rPr>
                <w:bCs/>
                <w:sz w:val="22"/>
                <w:szCs w:val="22"/>
              </w:rPr>
              <w:t>12/31/2015</w:t>
            </w:r>
          </w:p>
        </w:tc>
      </w:tr>
      <w:tr w:rsidR="008D5034" w:rsidRPr="003F00AF" w14:paraId="68C8C64A" w14:textId="77777777" w:rsidTr="00BD53A2">
        <w:tblPrEx>
          <w:tblCellMar>
            <w:top w:w="10" w:type="dxa"/>
            <w:left w:w="10" w:type="dxa"/>
            <w:bottom w:w="10" w:type="dxa"/>
            <w:right w:w="10" w:type="dxa"/>
          </w:tblCellMar>
        </w:tblPrEx>
        <w:trPr>
          <w:trHeight w:val="241"/>
        </w:trPr>
        <w:tc>
          <w:tcPr>
            <w:tcW w:w="2135" w:type="dxa"/>
            <w:gridSpan w:val="3"/>
            <w:shd w:val="clear" w:color="auto" w:fill="auto"/>
            <w:vAlign w:val="center"/>
          </w:tcPr>
          <w:p w14:paraId="2163ACC1" w14:textId="76515CCC"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07E7366B" w14:textId="288A72F2" w:rsidR="008D5034" w:rsidRDefault="00AE1DF9" w:rsidP="008D5034">
            <w:pPr>
              <w:keepNext/>
              <w:rPr>
                <w:bCs/>
                <w:sz w:val="22"/>
                <w:szCs w:val="22"/>
              </w:rPr>
            </w:pPr>
            <w:r>
              <w:rPr>
                <w:bCs/>
                <w:sz w:val="22"/>
                <w:szCs w:val="22"/>
              </w:rPr>
              <w:t>Fully a</w:t>
            </w:r>
            <w:r w:rsidR="008D5034" w:rsidRPr="007E5B47">
              <w:rPr>
                <w:bCs/>
                <w:sz w:val="22"/>
                <w:szCs w:val="22"/>
              </w:rPr>
              <w:t>chieve</w:t>
            </w:r>
            <w:r>
              <w:rPr>
                <w:bCs/>
                <w:sz w:val="22"/>
                <w:szCs w:val="22"/>
              </w:rPr>
              <w:t>d</w:t>
            </w:r>
          </w:p>
          <w:p w14:paraId="4C1F533A" w14:textId="25EF4F47" w:rsidR="008D5034" w:rsidRPr="003F00AF" w:rsidRDefault="00E70B25" w:rsidP="004953CE">
            <w:pPr>
              <w:keepNext/>
              <w:jc w:val="both"/>
              <w:rPr>
                <w:bCs/>
                <w:sz w:val="22"/>
                <w:szCs w:val="22"/>
              </w:rPr>
            </w:pPr>
            <w:r>
              <w:rPr>
                <w:rFonts w:eastAsiaTheme="minorEastAsia"/>
              </w:rPr>
              <w:t xml:space="preserve">The indicator refers to </w:t>
            </w:r>
            <w:r w:rsidRPr="007B261C">
              <w:rPr>
                <w:rFonts w:eastAsiaTheme="minorEastAsia"/>
              </w:rPr>
              <w:t>increasing the NPA funding by at least US$2 million per year from December 31, 2013, onward</w:t>
            </w:r>
            <w:r>
              <w:rPr>
                <w:rFonts w:eastAsiaTheme="minorEastAsia"/>
              </w:rPr>
              <w:t xml:space="preserve">. </w:t>
            </w:r>
            <w:r w:rsidR="008D5034" w:rsidRPr="003F00AF">
              <w:rPr>
                <w:bCs/>
                <w:sz w:val="22"/>
                <w:szCs w:val="22"/>
              </w:rPr>
              <w:t>The actual v</w:t>
            </w:r>
            <w:r w:rsidR="00250588" w:rsidRPr="003F00AF">
              <w:rPr>
                <w:bCs/>
                <w:sz w:val="22"/>
                <w:szCs w:val="22"/>
              </w:rPr>
              <w:t xml:space="preserve">alue achieved by 2015 included </w:t>
            </w:r>
            <w:r w:rsidR="0074485B">
              <w:rPr>
                <w:bCs/>
                <w:sz w:val="22"/>
                <w:szCs w:val="22"/>
              </w:rPr>
              <w:t xml:space="preserve">(a) </w:t>
            </w:r>
            <w:r w:rsidR="008D5034" w:rsidRPr="003F00AF">
              <w:rPr>
                <w:bCs/>
                <w:sz w:val="22"/>
                <w:szCs w:val="22"/>
              </w:rPr>
              <w:t>SERNANP’s budget (that is, ordinary resources, directly collected resources, donations, and transfer</w:t>
            </w:r>
            <w:r w:rsidR="00041FD6">
              <w:rPr>
                <w:bCs/>
                <w:sz w:val="22"/>
                <w:szCs w:val="22"/>
              </w:rPr>
              <w:t>s</w:t>
            </w:r>
            <w:r w:rsidR="008D5034" w:rsidRPr="003F00AF">
              <w:rPr>
                <w:bCs/>
                <w:sz w:val="22"/>
                <w:szCs w:val="22"/>
              </w:rPr>
              <w:t xml:space="preserve">) </w:t>
            </w:r>
            <w:r w:rsidR="00250588" w:rsidRPr="003F00AF">
              <w:rPr>
                <w:bCs/>
                <w:sz w:val="22"/>
                <w:szCs w:val="22"/>
              </w:rPr>
              <w:t xml:space="preserve">in the amount </w:t>
            </w:r>
            <w:r w:rsidR="008D5034" w:rsidRPr="003F00AF">
              <w:rPr>
                <w:bCs/>
                <w:sz w:val="22"/>
                <w:szCs w:val="22"/>
              </w:rPr>
              <w:t>of US$22.3 million</w:t>
            </w:r>
            <w:r w:rsidR="003F24F8">
              <w:rPr>
                <w:bCs/>
                <w:sz w:val="22"/>
                <w:szCs w:val="22"/>
              </w:rPr>
              <w:t xml:space="preserve">, and (b) additional resources from the </w:t>
            </w:r>
            <w:r w:rsidR="003F24F8" w:rsidRPr="003F24F8">
              <w:rPr>
                <w:bCs/>
                <w:sz w:val="22"/>
                <w:szCs w:val="22"/>
              </w:rPr>
              <w:t>Peruvian Trust Fund for National Parks and Protected Areas (</w:t>
            </w:r>
            <w:r w:rsidR="003F24F8" w:rsidRPr="003F24F8">
              <w:rPr>
                <w:bCs/>
                <w:i/>
                <w:sz w:val="22"/>
                <w:szCs w:val="22"/>
              </w:rPr>
              <w:t>Fondo de Promoción de las Áreas Naturales Protegidas del Perú</w:t>
            </w:r>
            <w:r w:rsidR="003F24F8" w:rsidRPr="003F24F8">
              <w:rPr>
                <w:bCs/>
                <w:sz w:val="22"/>
                <w:szCs w:val="22"/>
              </w:rPr>
              <w:t>, PROFONANPE</w:t>
            </w:r>
            <w:r w:rsidR="003F24F8">
              <w:rPr>
                <w:bCs/>
                <w:sz w:val="22"/>
                <w:szCs w:val="22"/>
              </w:rPr>
              <w:t xml:space="preserve">) in the amount of </w:t>
            </w:r>
            <w:r w:rsidR="003F24F8" w:rsidRPr="003F00AF">
              <w:rPr>
                <w:bCs/>
                <w:sz w:val="22"/>
                <w:szCs w:val="22"/>
              </w:rPr>
              <w:t>US$</w:t>
            </w:r>
            <w:r w:rsidR="003F24F8">
              <w:rPr>
                <w:bCs/>
                <w:sz w:val="22"/>
                <w:szCs w:val="22"/>
              </w:rPr>
              <w:t>7</w:t>
            </w:r>
            <w:r w:rsidR="003F24F8" w:rsidRPr="003F00AF">
              <w:rPr>
                <w:bCs/>
                <w:sz w:val="22"/>
                <w:szCs w:val="22"/>
              </w:rPr>
              <w:t>.</w:t>
            </w:r>
            <w:r w:rsidR="003F24F8">
              <w:rPr>
                <w:bCs/>
                <w:sz w:val="22"/>
                <w:szCs w:val="22"/>
              </w:rPr>
              <w:t>4</w:t>
            </w:r>
            <w:r w:rsidR="003F24F8" w:rsidRPr="003F00AF">
              <w:rPr>
                <w:bCs/>
                <w:sz w:val="22"/>
                <w:szCs w:val="22"/>
              </w:rPr>
              <w:t xml:space="preserve"> million</w:t>
            </w:r>
            <w:r w:rsidR="003F24F8">
              <w:rPr>
                <w:bCs/>
                <w:sz w:val="22"/>
                <w:szCs w:val="22"/>
              </w:rPr>
              <w:t>.</w:t>
            </w:r>
          </w:p>
        </w:tc>
      </w:tr>
      <w:tr w:rsidR="008D5034" w:rsidRPr="003F00AF" w14:paraId="3B68C414"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796BE623" w14:textId="773C6758" w:rsidR="008D5034" w:rsidRPr="003F00AF" w:rsidRDefault="008D5034" w:rsidP="003925BE">
            <w:pPr>
              <w:keepNext/>
              <w:rPr>
                <w:bCs/>
                <w:sz w:val="22"/>
                <w:szCs w:val="22"/>
              </w:rPr>
            </w:pPr>
            <w:r w:rsidRPr="003F00AF">
              <w:rPr>
                <w:b/>
                <w:bCs/>
                <w:sz w:val="22"/>
                <w:szCs w:val="22"/>
              </w:rPr>
              <w:t xml:space="preserve">PDO Indicator 3: </w:t>
            </w:r>
            <w:r w:rsidRPr="003F00AF">
              <w:rPr>
                <w:bCs/>
                <w:sz w:val="22"/>
                <w:szCs w:val="22"/>
              </w:rPr>
              <w:t>Air quality data for the Lima-Callao Metropolitan Region (LCMR) widely published and disseminated (in real time) through a harmonized and integrated monitoring network</w:t>
            </w:r>
          </w:p>
        </w:tc>
      </w:tr>
      <w:tr w:rsidR="008D5034" w:rsidRPr="003F00AF" w14:paraId="68A2930B" w14:textId="77777777" w:rsidTr="00BD53A2">
        <w:tblPrEx>
          <w:tblCellMar>
            <w:top w:w="10" w:type="dxa"/>
            <w:left w:w="10" w:type="dxa"/>
            <w:bottom w:w="10" w:type="dxa"/>
            <w:right w:w="10" w:type="dxa"/>
          </w:tblCellMar>
        </w:tblPrEx>
        <w:trPr>
          <w:trHeight w:val="1242"/>
        </w:trPr>
        <w:tc>
          <w:tcPr>
            <w:tcW w:w="2135" w:type="dxa"/>
            <w:gridSpan w:val="3"/>
            <w:shd w:val="clear" w:color="auto" w:fill="auto"/>
            <w:vAlign w:val="center"/>
          </w:tcPr>
          <w:p w14:paraId="3D36F461"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004A012A" w14:textId="77777777" w:rsidR="008D5034" w:rsidRPr="003F00AF" w:rsidRDefault="008D5034" w:rsidP="008D5034">
            <w:pPr>
              <w:keepNext/>
              <w:rPr>
                <w:bCs/>
                <w:sz w:val="22"/>
                <w:szCs w:val="22"/>
              </w:rPr>
            </w:pPr>
            <w:r w:rsidRPr="003F00AF">
              <w:rPr>
                <w:bCs/>
                <w:sz w:val="22"/>
                <w:szCs w:val="22"/>
              </w:rPr>
              <w:t>Air quality data for LCMR is not disseminated in real time</w:t>
            </w:r>
          </w:p>
        </w:tc>
        <w:tc>
          <w:tcPr>
            <w:tcW w:w="2340" w:type="dxa"/>
            <w:gridSpan w:val="7"/>
            <w:shd w:val="clear" w:color="auto" w:fill="auto"/>
            <w:vAlign w:val="center"/>
          </w:tcPr>
          <w:p w14:paraId="321B4628" w14:textId="77777777" w:rsidR="008D5034" w:rsidRPr="003F00AF" w:rsidRDefault="008D5034" w:rsidP="008D5034">
            <w:pPr>
              <w:keepNext/>
              <w:rPr>
                <w:bCs/>
                <w:sz w:val="22"/>
                <w:szCs w:val="22"/>
              </w:rPr>
            </w:pPr>
            <w:r w:rsidRPr="003F00AF">
              <w:rPr>
                <w:bCs/>
                <w:sz w:val="22"/>
                <w:szCs w:val="22"/>
              </w:rPr>
              <w:t>Harmonized monitoring network publishes air quality data in real time for LCMR.</w:t>
            </w:r>
          </w:p>
        </w:tc>
        <w:tc>
          <w:tcPr>
            <w:tcW w:w="1360" w:type="dxa"/>
            <w:gridSpan w:val="3"/>
            <w:shd w:val="clear" w:color="auto" w:fill="auto"/>
            <w:vAlign w:val="center"/>
          </w:tcPr>
          <w:p w14:paraId="5B5F3237" w14:textId="0ADC51FF"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6E164D5B" w14:textId="46F10296" w:rsidR="008D5034" w:rsidRPr="003F00AF" w:rsidRDefault="008D5034" w:rsidP="002C52F5">
            <w:pPr>
              <w:keepNext/>
              <w:rPr>
                <w:bCs/>
                <w:sz w:val="22"/>
                <w:szCs w:val="22"/>
              </w:rPr>
            </w:pPr>
            <w:r w:rsidRPr="003F00AF">
              <w:rPr>
                <w:bCs/>
                <w:sz w:val="22"/>
                <w:szCs w:val="22"/>
              </w:rPr>
              <w:t xml:space="preserve">Air quality data for LCMR is published </w:t>
            </w:r>
            <w:r w:rsidRPr="00A13DF9">
              <w:rPr>
                <w:bCs/>
                <w:sz w:val="22"/>
                <w:szCs w:val="22"/>
              </w:rPr>
              <w:t xml:space="preserve">by </w:t>
            </w:r>
            <w:r w:rsidR="009478AF">
              <w:rPr>
                <w:bCs/>
                <w:sz w:val="22"/>
                <w:szCs w:val="22"/>
              </w:rPr>
              <w:t xml:space="preserve">the </w:t>
            </w:r>
            <w:r w:rsidR="00A13DF9" w:rsidRPr="00A13DF9">
              <w:rPr>
                <w:sz w:val="22"/>
                <w:szCs w:val="22"/>
              </w:rPr>
              <w:t>Peru National</w:t>
            </w:r>
            <w:r w:rsidR="00A13DF9" w:rsidRPr="00A13DF9">
              <w:rPr>
                <w:spacing w:val="44"/>
                <w:sz w:val="22"/>
                <w:szCs w:val="22"/>
              </w:rPr>
              <w:t xml:space="preserve"> </w:t>
            </w:r>
            <w:r w:rsidR="00A13DF9" w:rsidRPr="00A13DF9">
              <w:rPr>
                <w:sz w:val="22"/>
                <w:szCs w:val="22"/>
              </w:rPr>
              <w:t>Service for Meteorology and Hydrology (</w:t>
            </w:r>
            <w:r w:rsidR="00A13DF9" w:rsidRPr="00A13DF9">
              <w:rPr>
                <w:i/>
                <w:sz w:val="22"/>
                <w:szCs w:val="22"/>
              </w:rPr>
              <w:t>Servicio Nacional de Meteorología e Hidrología del Perú</w:t>
            </w:r>
            <w:r w:rsidR="00A13DF9" w:rsidRPr="00A13DF9">
              <w:rPr>
                <w:sz w:val="22"/>
                <w:szCs w:val="22"/>
              </w:rPr>
              <w:t xml:space="preserve">, </w:t>
            </w:r>
            <w:r w:rsidRPr="00A13DF9">
              <w:rPr>
                <w:bCs/>
                <w:sz w:val="22"/>
                <w:szCs w:val="22"/>
              </w:rPr>
              <w:t>SENAMHI)</w:t>
            </w:r>
            <w:r w:rsidR="00A13DF9" w:rsidRPr="005E0766">
              <w:rPr>
                <w:bCs/>
                <w:sz w:val="22"/>
                <w:szCs w:val="22"/>
              </w:rPr>
              <w:t xml:space="preserve"> in real time</w:t>
            </w:r>
            <w:r w:rsidR="00A13DF9" w:rsidRPr="00A13DF9">
              <w:rPr>
                <w:bCs/>
                <w:sz w:val="22"/>
                <w:szCs w:val="22"/>
              </w:rPr>
              <w:t xml:space="preserve"> </w:t>
            </w:r>
            <w:r w:rsidR="00972652" w:rsidRPr="00A13DF9">
              <w:rPr>
                <w:bCs/>
                <w:sz w:val="22"/>
                <w:szCs w:val="22"/>
              </w:rPr>
              <w:t xml:space="preserve">and </w:t>
            </w:r>
            <w:r w:rsidR="00A13DF9">
              <w:rPr>
                <w:bCs/>
                <w:sz w:val="22"/>
                <w:szCs w:val="22"/>
              </w:rPr>
              <w:t xml:space="preserve">by </w:t>
            </w:r>
            <w:r w:rsidR="00972652" w:rsidRPr="005E0766">
              <w:rPr>
                <w:bCs/>
                <w:sz w:val="22"/>
                <w:szCs w:val="22"/>
              </w:rPr>
              <w:t xml:space="preserve">the </w:t>
            </w:r>
            <w:r w:rsidR="005E0766" w:rsidRPr="005E0766">
              <w:rPr>
                <w:sz w:val="22"/>
                <w:szCs w:val="22"/>
              </w:rPr>
              <w:t>General Directorate</w:t>
            </w:r>
            <w:r w:rsidR="005E0766" w:rsidRPr="005E0766">
              <w:rPr>
                <w:spacing w:val="23"/>
                <w:sz w:val="22"/>
                <w:szCs w:val="22"/>
              </w:rPr>
              <w:t xml:space="preserve"> </w:t>
            </w:r>
            <w:r w:rsidR="005E0766" w:rsidRPr="005E0766">
              <w:rPr>
                <w:sz w:val="22"/>
                <w:szCs w:val="22"/>
              </w:rPr>
              <w:t>of</w:t>
            </w:r>
            <w:r w:rsidR="005E0766" w:rsidRPr="005E0766">
              <w:rPr>
                <w:spacing w:val="9"/>
                <w:sz w:val="22"/>
                <w:szCs w:val="22"/>
              </w:rPr>
              <w:t xml:space="preserve"> </w:t>
            </w:r>
            <w:r w:rsidR="005E0766" w:rsidRPr="005E0766">
              <w:rPr>
                <w:sz w:val="22"/>
                <w:szCs w:val="22"/>
              </w:rPr>
              <w:t>Environmental</w:t>
            </w:r>
            <w:r w:rsidR="005E0766" w:rsidRPr="005E0766">
              <w:rPr>
                <w:spacing w:val="31"/>
                <w:sz w:val="22"/>
                <w:szCs w:val="22"/>
              </w:rPr>
              <w:t xml:space="preserve"> </w:t>
            </w:r>
            <w:r w:rsidR="005E0766" w:rsidRPr="005E0766">
              <w:rPr>
                <w:sz w:val="22"/>
                <w:szCs w:val="22"/>
              </w:rPr>
              <w:t>Health (</w:t>
            </w:r>
            <w:r w:rsidR="005E0766" w:rsidRPr="005E0766">
              <w:rPr>
                <w:i/>
                <w:sz w:val="22"/>
                <w:szCs w:val="22"/>
              </w:rPr>
              <w:t>Dirección General de Salud Ambiental</w:t>
            </w:r>
            <w:r w:rsidR="005E0766" w:rsidRPr="005E0766">
              <w:rPr>
                <w:sz w:val="22"/>
                <w:szCs w:val="22"/>
              </w:rPr>
              <w:t xml:space="preserve">, </w:t>
            </w:r>
            <w:r w:rsidRPr="005E0766">
              <w:rPr>
                <w:bCs/>
                <w:sz w:val="22"/>
                <w:szCs w:val="22"/>
              </w:rPr>
              <w:t>DIGESA</w:t>
            </w:r>
            <w:r w:rsidR="00972652" w:rsidRPr="005E0766">
              <w:rPr>
                <w:bCs/>
                <w:sz w:val="22"/>
                <w:szCs w:val="22"/>
              </w:rPr>
              <w:t>.</w:t>
            </w:r>
          </w:p>
        </w:tc>
      </w:tr>
      <w:tr w:rsidR="008D5034" w:rsidRPr="003F00AF" w14:paraId="60C7D1AE" w14:textId="77777777" w:rsidTr="00BD53A2">
        <w:tblPrEx>
          <w:tblCellMar>
            <w:top w:w="10" w:type="dxa"/>
            <w:left w:w="10" w:type="dxa"/>
            <w:bottom w:w="10" w:type="dxa"/>
            <w:right w:w="10" w:type="dxa"/>
          </w:tblCellMar>
        </w:tblPrEx>
        <w:trPr>
          <w:trHeight w:val="331"/>
        </w:trPr>
        <w:tc>
          <w:tcPr>
            <w:tcW w:w="2135" w:type="dxa"/>
            <w:gridSpan w:val="3"/>
            <w:shd w:val="clear" w:color="auto" w:fill="auto"/>
            <w:vAlign w:val="center"/>
          </w:tcPr>
          <w:p w14:paraId="3FEFF7EB"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7406D3ED" w14:textId="77777777" w:rsidR="008D5034" w:rsidRPr="003F00AF" w:rsidRDefault="008D5034" w:rsidP="008D5034">
            <w:pPr>
              <w:keepNext/>
              <w:rPr>
                <w:bCs/>
                <w:sz w:val="22"/>
                <w:szCs w:val="22"/>
              </w:rPr>
            </w:pPr>
            <w:r w:rsidRPr="003F00AF">
              <w:rPr>
                <w:bCs/>
                <w:sz w:val="22"/>
                <w:szCs w:val="22"/>
              </w:rPr>
              <w:t>1/7/2008</w:t>
            </w:r>
          </w:p>
        </w:tc>
        <w:tc>
          <w:tcPr>
            <w:tcW w:w="2340" w:type="dxa"/>
            <w:gridSpan w:val="7"/>
            <w:shd w:val="clear" w:color="auto" w:fill="auto"/>
            <w:vAlign w:val="center"/>
          </w:tcPr>
          <w:p w14:paraId="44FD17F8" w14:textId="728959F3" w:rsidR="008D5034" w:rsidRPr="003F00AF" w:rsidRDefault="00D04DA8" w:rsidP="008D5034">
            <w:pPr>
              <w:keepNext/>
              <w:rPr>
                <w:bCs/>
                <w:sz w:val="22"/>
                <w:szCs w:val="22"/>
              </w:rPr>
            </w:pPr>
            <w:r w:rsidRPr="003F00AF">
              <w:rPr>
                <w:bCs/>
                <w:sz w:val="22"/>
                <w:szCs w:val="22"/>
              </w:rPr>
              <w:t>12/31/2013</w:t>
            </w:r>
          </w:p>
        </w:tc>
        <w:tc>
          <w:tcPr>
            <w:tcW w:w="1360" w:type="dxa"/>
            <w:gridSpan w:val="3"/>
            <w:shd w:val="clear" w:color="auto" w:fill="auto"/>
            <w:vAlign w:val="center"/>
          </w:tcPr>
          <w:p w14:paraId="3C8D5C16" w14:textId="77777777" w:rsidR="008D5034" w:rsidRPr="003F00AF" w:rsidRDefault="008D5034" w:rsidP="008D5034">
            <w:pPr>
              <w:keepNext/>
              <w:rPr>
                <w:bCs/>
                <w:sz w:val="22"/>
                <w:szCs w:val="22"/>
              </w:rPr>
            </w:pPr>
          </w:p>
        </w:tc>
        <w:tc>
          <w:tcPr>
            <w:tcW w:w="2591" w:type="dxa"/>
            <w:gridSpan w:val="5"/>
            <w:shd w:val="clear" w:color="auto" w:fill="auto"/>
            <w:vAlign w:val="center"/>
          </w:tcPr>
          <w:p w14:paraId="16128D6A" w14:textId="4C376B7A" w:rsidR="008D5034" w:rsidRPr="003F00AF" w:rsidRDefault="00972652" w:rsidP="00A13DF9">
            <w:pPr>
              <w:keepNext/>
              <w:rPr>
                <w:bCs/>
                <w:sz w:val="22"/>
                <w:szCs w:val="22"/>
              </w:rPr>
            </w:pPr>
            <w:r w:rsidRPr="003F00AF">
              <w:rPr>
                <w:color w:val="000000"/>
                <w:sz w:val="22"/>
                <w:szCs w:val="22"/>
              </w:rPr>
              <w:t>12/</w:t>
            </w:r>
            <w:r w:rsidR="00A13DF9">
              <w:rPr>
                <w:color w:val="000000"/>
                <w:sz w:val="22"/>
                <w:szCs w:val="22"/>
              </w:rPr>
              <w:t>31</w:t>
            </w:r>
            <w:r w:rsidRPr="003F00AF">
              <w:rPr>
                <w:color w:val="000000"/>
                <w:sz w:val="22"/>
                <w:szCs w:val="22"/>
              </w:rPr>
              <w:t>/20</w:t>
            </w:r>
            <w:r w:rsidR="00A13DF9">
              <w:rPr>
                <w:color w:val="000000"/>
                <w:sz w:val="22"/>
                <w:szCs w:val="22"/>
              </w:rPr>
              <w:t>15</w:t>
            </w:r>
          </w:p>
        </w:tc>
      </w:tr>
      <w:tr w:rsidR="008D5034" w:rsidRPr="003F00AF" w14:paraId="34386DE6" w14:textId="77777777" w:rsidTr="00BD53A2">
        <w:tblPrEx>
          <w:tblCellMar>
            <w:top w:w="10" w:type="dxa"/>
            <w:left w:w="10" w:type="dxa"/>
            <w:bottom w:w="10" w:type="dxa"/>
            <w:right w:w="10" w:type="dxa"/>
          </w:tblCellMar>
        </w:tblPrEx>
        <w:trPr>
          <w:trHeight w:val="331"/>
        </w:trPr>
        <w:tc>
          <w:tcPr>
            <w:tcW w:w="2135" w:type="dxa"/>
            <w:gridSpan w:val="3"/>
            <w:shd w:val="clear" w:color="auto" w:fill="auto"/>
            <w:vAlign w:val="center"/>
          </w:tcPr>
          <w:p w14:paraId="6CC3E690" w14:textId="793EE5B5"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1B5992DA" w14:textId="4CC1A6B1" w:rsidR="008D5034" w:rsidRPr="003F00AF" w:rsidRDefault="00AE1DF9" w:rsidP="00B72761">
            <w:pPr>
              <w:keepNext/>
              <w:rPr>
                <w:bCs/>
                <w:sz w:val="22"/>
                <w:szCs w:val="22"/>
              </w:rPr>
            </w:pPr>
            <w:r>
              <w:rPr>
                <w:bCs/>
                <w:sz w:val="22"/>
                <w:szCs w:val="22"/>
              </w:rPr>
              <w:t>Partially a</w:t>
            </w:r>
            <w:r w:rsidR="008D5034" w:rsidRPr="003F00AF">
              <w:rPr>
                <w:bCs/>
                <w:sz w:val="22"/>
                <w:szCs w:val="22"/>
              </w:rPr>
              <w:t>chieve</w:t>
            </w:r>
            <w:r>
              <w:rPr>
                <w:bCs/>
                <w:sz w:val="22"/>
                <w:szCs w:val="22"/>
              </w:rPr>
              <w:t>d (</w:t>
            </w:r>
            <w:r w:rsidR="009114F4">
              <w:rPr>
                <w:bCs/>
                <w:sz w:val="22"/>
                <w:szCs w:val="22"/>
              </w:rPr>
              <w:t>5</w:t>
            </w:r>
            <w:r w:rsidR="00972652" w:rsidRPr="003F00AF">
              <w:rPr>
                <w:bCs/>
                <w:sz w:val="22"/>
                <w:szCs w:val="22"/>
              </w:rPr>
              <w:t>0%</w:t>
            </w:r>
            <w:r>
              <w:rPr>
                <w:bCs/>
                <w:sz w:val="22"/>
                <w:szCs w:val="22"/>
              </w:rPr>
              <w:t>).</w:t>
            </w:r>
            <w:r w:rsidR="004F628E">
              <w:rPr>
                <w:bCs/>
                <w:sz w:val="22"/>
                <w:szCs w:val="22"/>
              </w:rPr>
              <w:t xml:space="preserve"> </w:t>
            </w:r>
            <w:r>
              <w:rPr>
                <w:bCs/>
                <w:sz w:val="22"/>
                <w:szCs w:val="22"/>
              </w:rPr>
              <w:t>1 of the 2 monitoring networks currently publishes air quality data in real time.</w:t>
            </w:r>
          </w:p>
          <w:p w14:paraId="327100CC" w14:textId="40F2BFA4" w:rsidR="00C05623" w:rsidRPr="003F00AF" w:rsidRDefault="00A13DF9" w:rsidP="00D73395">
            <w:pPr>
              <w:keepNext/>
              <w:jc w:val="both"/>
              <w:rPr>
                <w:bCs/>
                <w:sz w:val="22"/>
                <w:szCs w:val="22"/>
              </w:rPr>
            </w:pPr>
            <w:r>
              <w:rPr>
                <w:bCs/>
                <w:sz w:val="22"/>
                <w:szCs w:val="22"/>
              </w:rPr>
              <w:t xml:space="preserve">In December, 2009, by the </w:t>
            </w:r>
            <w:r w:rsidR="00D73395">
              <w:rPr>
                <w:bCs/>
                <w:sz w:val="22"/>
                <w:szCs w:val="22"/>
              </w:rPr>
              <w:t xml:space="preserve">time of ENVDPL II </w:t>
            </w:r>
            <w:r>
              <w:rPr>
                <w:bCs/>
                <w:sz w:val="22"/>
                <w:szCs w:val="22"/>
              </w:rPr>
              <w:t>approval</w:t>
            </w:r>
            <w:r w:rsidR="00904A82">
              <w:rPr>
                <w:bCs/>
                <w:sz w:val="22"/>
                <w:szCs w:val="22"/>
              </w:rPr>
              <w:t>,</w:t>
            </w:r>
            <w:r w:rsidR="00972652" w:rsidRPr="003F00AF">
              <w:rPr>
                <w:bCs/>
                <w:sz w:val="22"/>
                <w:szCs w:val="22"/>
              </w:rPr>
              <w:t xml:space="preserve"> both </w:t>
            </w:r>
            <w:r w:rsidR="00B72761" w:rsidRPr="003F00AF">
              <w:rPr>
                <w:bCs/>
                <w:sz w:val="22"/>
                <w:szCs w:val="22"/>
              </w:rPr>
              <w:t xml:space="preserve">SENAMHI’s </w:t>
            </w:r>
            <w:r w:rsidR="00972652" w:rsidRPr="003F00AF">
              <w:rPr>
                <w:bCs/>
                <w:sz w:val="22"/>
                <w:szCs w:val="22"/>
              </w:rPr>
              <w:t xml:space="preserve">and DIGESA’s </w:t>
            </w:r>
            <w:r w:rsidR="00B72761" w:rsidRPr="003F00AF">
              <w:rPr>
                <w:bCs/>
                <w:sz w:val="22"/>
                <w:szCs w:val="22"/>
              </w:rPr>
              <w:t>monitoring network</w:t>
            </w:r>
            <w:r w:rsidR="006B3931" w:rsidRPr="003F00AF">
              <w:rPr>
                <w:bCs/>
                <w:sz w:val="22"/>
                <w:szCs w:val="22"/>
              </w:rPr>
              <w:t>s</w:t>
            </w:r>
            <w:r w:rsidR="00B72761" w:rsidRPr="003F00AF">
              <w:rPr>
                <w:bCs/>
                <w:sz w:val="22"/>
                <w:szCs w:val="22"/>
              </w:rPr>
              <w:t xml:space="preserve"> disseminate</w:t>
            </w:r>
            <w:r w:rsidR="00972652" w:rsidRPr="003F00AF">
              <w:rPr>
                <w:bCs/>
                <w:sz w:val="22"/>
                <w:szCs w:val="22"/>
              </w:rPr>
              <w:t>d</w:t>
            </w:r>
            <w:r w:rsidR="00B72761" w:rsidRPr="003F00AF">
              <w:rPr>
                <w:bCs/>
                <w:sz w:val="22"/>
                <w:szCs w:val="22"/>
              </w:rPr>
              <w:t xml:space="preserve"> air quality information from monitoring stations</w:t>
            </w:r>
            <w:r w:rsidR="00DA7C31">
              <w:rPr>
                <w:bCs/>
                <w:sz w:val="22"/>
                <w:szCs w:val="22"/>
              </w:rPr>
              <w:t xml:space="preserve"> in LCMR in real time.</w:t>
            </w:r>
            <w:r>
              <w:rPr>
                <w:bCs/>
                <w:sz w:val="22"/>
                <w:szCs w:val="22"/>
              </w:rPr>
              <w:t xml:space="preserve"> Currently, only SENAMHI disseminates its monitoring data in real time. DIGESA publishes an annual report with the results of its monitoring network.</w:t>
            </w:r>
          </w:p>
        </w:tc>
      </w:tr>
      <w:tr w:rsidR="008D5034" w:rsidRPr="003F00AF" w14:paraId="7A4776D2"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73DCD795" w14:textId="7A80446D" w:rsidR="008D5034" w:rsidRPr="003F00AF" w:rsidRDefault="008D5034" w:rsidP="003925BE">
            <w:pPr>
              <w:keepNext/>
              <w:rPr>
                <w:bCs/>
                <w:sz w:val="22"/>
                <w:szCs w:val="22"/>
              </w:rPr>
            </w:pPr>
            <w:r w:rsidRPr="003F00AF">
              <w:rPr>
                <w:b/>
                <w:bCs/>
                <w:sz w:val="22"/>
                <w:szCs w:val="22"/>
              </w:rPr>
              <w:t xml:space="preserve">PDO Indicator </w:t>
            </w:r>
            <w:r w:rsidR="003925BE">
              <w:rPr>
                <w:b/>
                <w:bCs/>
                <w:sz w:val="22"/>
                <w:szCs w:val="22"/>
              </w:rPr>
              <w:t>4</w:t>
            </w:r>
            <w:r w:rsidRPr="003F00AF">
              <w:rPr>
                <w:b/>
                <w:bCs/>
                <w:sz w:val="22"/>
                <w:szCs w:val="22"/>
              </w:rPr>
              <w:t xml:space="preserve">: </w:t>
            </w:r>
            <w:r w:rsidRPr="003F00AF">
              <w:rPr>
                <w:bCs/>
                <w:sz w:val="22"/>
                <w:szCs w:val="22"/>
              </w:rPr>
              <w:t>Air quality contingency plans developed and implemented when pollution levels largely exceed quality standards in cities</w:t>
            </w:r>
          </w:p>
        </w:tc>
      </w:tr>
      <w:tr w:rsidR="008D5034" w:rsidRPr="003F00AF" w14:paraId="1D900124" w14:textId="77777777" w:rsidTr="00BD53A2">
        <w:tblPrEx>
          <w:tblCellMar>
            <w:top w:w="10" w:type="dxa"/>
            <w:left w:w="10" w:type="dxa"/>
            <w:bottom w:w="10" w:type="dxa"/>
            <w:right w:w="10" w:type="dxa"/>
          </w:tblCellMar>
        </w:tblPrEx>
        <w:trPr>
          <w:trHeight w:val="1449"/>
        </w:trPr>
        <w:tc>
          <w:tcPr>
            <w:tcW w:w="2135" w:type="dxa"/>
            <w:gridSpan w:val="3"/>
            <w:shd w:val="clear" w:color="auto" w:fill="auto"/>
            <w:vAlign w:val="center"/>
          </w:tcPr>
          <w:p w14:paraId="22A654B2"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620BF49F" w14:textId="77777777" w:rsidR="008D5034" w:rsidRPr="003F00AF" w:rsidRDefault="008D5034" w:rsidP="008D5034">
            <w:pPr>
              <w:rPr>
                <w:sz w:val="22"/>
                <w:szCs w:val="22"/>
              </w:rPr>
            </w:pPr>
            <w:r w:rsidRPr="003F00AF">
              <w:rPr>
                <w:sz w:val="22"/>
                <w:szCs w:val="22"/>
              </w:rPr>
              <w:t>Zero</w:t>
            </w:r>
          </w:p>
        </w:tc>
        <w:tc>
          <w:tcPr>
            <w:tcW w:w="2340" w:type="dxa"/>
            <w:gridSpan w:val="7"/>
            <w:shd w:val="clear" w:color="auto" w:fill="auto"/>
            <w:vAlign w:val="center"/>
          </w:tcPr>
          <w:p w14:paraId="7FB46E4B" w14:textId="7CFF487C" w:rsidR="008D5034" w:rsidRPr="003F00AF" w:rsidRDefault="008D5034" w:rsidP="008D5034">
            <w:pPr>
              <w:autoSpaceDE w:val="0"/>
              <w:autoSpaceDN w:val="0"/>
              <w:adjustRightInd w:val="0"/>
              <w:rPr>
                <w:bCs/>
                <w:sz w:val="22"/>
                <w:szCs w:val="22"/>
              </w:rPr>
            </w:pPr>
            <w:r w:rsidRPr="003F00AF">
              <w:rPr>
                <w:bCs/>
                <w:sz w:val="22"/>
                <w:szCs w:val="22"/>
              </w:rPr>
              <w:t>Air quality contingency plans are developed and implemented in the five most polluted cities.</w:t>
            </w:r>
          </w:p>
        </w:tc>
        <w:tc>
          <w:tcPr>
            <w:tcW w:w="1360" w:type="dxa"/>
            <w:gridSpan w:val="3"/>
            <w:shd w:val="clear" w:color="auto" w:fill="auto"/>
            <w:vAlign w:val="center"/>
          </w:tcPr>
          <w:p w14:paraId="47F84116" w14:textId="688CC770"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19E5BCFD" w14:textId="43B98E00" w:rsidR="008D5034" w:rsidRPr="003F00AF" w:rsidRDefault="00D04535" w:rsidP="001554E7">
            <w:pPr>
              <w:keepNext/>
              <w:spacing w:after="120"/>
              <w:rPr>
                <w:bCs/>
                <w:sz w:val="22"/>
                <w:szCs w:val="22"/>
              </w:rPr>
            </w:pPr>
            <w:r>
              <w:rPr>
                <w:bCs/>
                <w:sz w:val="22"/>
                <w:szCs w:val="22"/>
              </w:rPr>
              <w:t xml:space="preserve">Three </w:t>
            </w:r>
            <w:r w:rsidR="001554E7">
              <w:rPr>
                <w:bCs/>
                <w:sz w:val="22"/>
                <w:szCs w:val="22"/>
              </w:rPr>
              <w:t xml:space="preserve">out of the five </w:t>
            </w:r>
            <w:r>
              <w:t>most polluted cities (Ilo, La Oroya and Arequipa) developed and implement a</w:t>
            </w:r>
            <w:r w:rsidRPr="003F00AF">
              <w:rPr>
                <w:bCs/>
                <w:sz w:val="22"/>
                <w:szCs w:val="22"/>
              </w:rPr>
              <w:t xml:space="preserve">ir quality contingency </w:t>
            </w:r>
            <w:r>
              <w:t>plans.</w:t>
            </w:r>
          </w:p>
        </w:tc>
      </w:tr>
      <w:tr w:rsidR="008D5034" w:rsidRPr="003F00AF" w14:paraId="09A233E1" w14:textId="77777777" w:rsidTr="00BD53A2">
        <w:tblPrEx>
          <w:tblCellMar>
            <w:top w:w="10" w:type="dxa"/>
            <w:left w:w="10" w:type="dxa"/>
            <w:bottom w:w="10" w:type="dxa"/>
            <w:right w:w="10" w:type="dxa"/>
          </w:tblCellMar>
        </w:tblPrEx>
        <w:trPr>
          <w:trHeight w:val="88"/>
        </w:trPr>
        <w:tc>
          <w:tcPr>
            <w:tcW w:w="2135" w:type="dxa"/>
            <w:gridSpan w:val="3"/>
            <w:shd w:val="clear" w:color="auto" w:fill="auto"/>
            <w:vAlign w:val="center"/>
          </w:tcPr>
          <w:p w14:paraId="388883A4"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682F01F1" w14:textId="77777777" w:rsidR="008D5034" w:rsidRPr="003F00AF" w:rsidRDefault="008D5034" w:rsidP="008D5034">
            <w:pPr>
              <w:rPr>
                <w:sz w:val="22"/>
                <w:szCs w:val="22"/>
              </w:rPr>
            </w:pPr>
            <w:r w:rsidRPr="003F00AF">
              <w:rPr>
                <w:sz w:val="22"/>
                <w:szCs w:val="22"/>
              </w:rPr>
              <w:t>9/28/2008</w:t>
            </w:r>
          </w:p>
        </w:tc>
        <w:tc>
          <w:tcPr>
            <w:tcW w:w="2340" w:type="dxa"/>
            <w:gridSpan w:val="7"/>
            <w:shd w:val="clear" w:color="auto" w:fill="auto"/>
            <w:vAlign w:val="center"/>
          </w:tcPr>
          <w:p w14:paraId="6E6A72CF" w14:textId="0CF607E3" w:rsidR="008D5034" w:rsidRPr="003F00AF" w:rsidRDefault="00D04DA8" w:rsidP="008D5034">
            <w:pPr>
              <w:autoSpaceDE w:val="0"/>
              <w:autoSpaceDN w:val="0"/>
              <w:adjustRightInd w:val="0"/>
              <w:rPr>
                <w:bCs/>
                <w:sz w:val="22"/>
                <w:szCs w:val="22"/>
              </w:rPr>
            </w:pPr>
            <w:r w:rsidRPr="003F00AF">
              <w:rPr>
                <w:bCs/>
                <w:sz w:val="22"/>
                <w:szCs w:val="22"/>
              </w:rPr>
              <w:t>12/31/2013</w:t>
            </w:r>
          </w:p>
        </w:tc>
        <w:tc>
          <w:tcPr>
            <w:tcW w:w="1360" w:type="dxa"/>
            <w:gridSpan w:val="3"/>
            <w:shd w:val="clear" w:color="auto" w:fill="auto"/>
            <w:vAlign w:val="center"/>
          </w:tcPr>
          <w:p w14:paraId="04C35D7F" w14:textId="77777777" w:rsidR="008D5034" w:rsidRPr="003F00AF" w:rsidRDefault="008D5034" w:rsidP="008D5034">
            <w:pPr>
              <w:keepNext/>
              <w:rPr>
                <w:bCs/>
                <w:sz w:val="22"/>
                <w:szCs w:val="22"/>
              </w:rPr>
            </w:pPr>
          </w:p>
        </w:tc>
        <w:tc>
          <w:tcPr>
            <w:tcW w:w="2591" w:type="dxa"/>
            <w:gridSpan w:val="5"/>
            <w:shd w:val="clear" w:color="auto" w:fill="auto"/>
            <w:vAlign w:val="center"/>
          </w:tcPr>
          <w:p w14:paraId="55E692FF" w14:textId="44011BD9" w:rsidR="008D5034" w:rsidRPr="003F00AF" w:rsidRDefault="008D5034" w:rsidP="00320EE8">
            <w:pPr>
              <w:keepNext/>
              <w:spacing w:after="120"/>
              <w:rPr>
                <w:bCs/>
                <w:sz w:val="22"/>
                <w:szCs w:val="22"/>
              </w:rPr>
            </w:pPr>
            <w:r w:rsidRPr="003F00AF">
              <w:rPr>
                <w:bCs/>
                <w:sz w:val="22"/>
                <w:szCs w:val="22"/>
              </w:rPr>
              <w:t>1</w:t>
            </w:r>
            <w:r w:rsidR="00320EE8">
              <w:rPr>
                <w:bCs/>
                <w:sz w:val="22"/>
                <w:szCs w:val="22"/>
              </w:rPr>
              <w:t>2</w:t>
            </w:r>
            <w:r w:rsidRPr="003F00AF">
              <w:rPr>
                <w:bCs/>
                <w:sz w:val="22"/>
                <w:szCs w:val="22"/>
              </w:rPr>
              <w:t>/3</w:t>
            </w:r>
            <w:r w:rsidR="00320EE8">
              <w:rPr>
                <w:bCs/>
                <w:sz w:val="22"/>
                <w:szCs w:val="22"/>
              </w:rPr>
              <w:t>1</w:t>
            </w:r>
            <w:r w:rsidRPr="003F00AF">
              <w:rPr>
                <w:bCs/>
                <w:sz w:val="22"/>
                <w:szCs w:val="22"/>
              </w:rPr>
              <w:t>/2015</w:t>
            </w:r>
          </w:p>
        </w:tc>
      </w:tr>
      <w:tr w:rsidR="008D5034" w:rsidRPr="003F00AF" w14:paraId="79903463" w14:textId="77777777" w:rsidTr="00BD53A2">
        <w:tblPrEx>
          <w:tblCellMar>
            <w:top w:w="10" w:type="dxa"/>
            <w:left w:w="10" w:type="dxa"/>
            <w:bottom w:w="10" w:type="dxa"/>
            <w:right w:w="10" w:type="dxa"/>
          </w:tblCellMar>
        </w:tblPrEx>
        <w:trPr>
          <w:trHeight w:val="160"/>
        </w:trPr>
        <w:tc>
          <w:tcPr>
            <w:tcW w:w="2135" w:type="dxa"/>
            <w:gridSpan w:val="3"/>
            <w:shd w:val="clear" w:color="auto" w:fill="auto"/>
            <w:vAlign w:val="center"/>
          </w:tcPr>
          <w:p w14:paraId="2EAD0027" w14:textId="7F57F3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3DEBA199" w14:textId="76C9C97A" w:rsidR="008D5034" w:rsidRDefault="00AE1DF9" w:rsidP="004953CE">
            <w:pPr>
              <w:keepNext/>
              <w:jc w:val="both"/>
              <w:rPr>
                <w:bCs/>
                <w:sz w:val="22"/>
                <w:szCs w:val="22"/>
              </w:rPr>
            </w:pPr>
            <w:r>
              <w:rPr>
                <w:bCs/>
                <w:sz w:val="22"/>
                <w:szCs w:val="22"/>
              </w:rPr>
              <w:t>Partially a</w:t>
            </w:r>
            <w:r w:rsidR="008D5034" w:rsidRPr="003F00AF">
              <w:rPr>
                <w:bCs/>
                <w:sz w:val="22"/>
                <w:szCs w:val="22"/>
              </w:rPr>
              <w:t>chieve</w:t>
            </w:r>
            <w:r>
              <w:rPr>
                <w:bCs/>
                <w:sz w:val="22"/>
                <w:szCs w:val="22"/>
              </w:rPr>
              <w:t>d (</w:t>
            </w:r>
            <w:r w:rsidR="008D5034" w:rsidRPr="003F00AF">
              <w:rPr>
                <w:bCs/>
                <w:sz w:val="22"/>
                <w:szCs w:val="22"/>
              </w:rPr>
              <w:t>60%</w:t>
            </w:r>
            <w:r>
              <w:rPr>
                <w:bCs/>
                <w:sz w:val="22"/>
                <w:szCs w:val="22"/>
              </w:rPr>
              <w:t xml:space="preserve"> i.e. </w:t>
            </w:r>
            <w:r w:rsidR="008D5034" w:rsidRPr="003F00AF">
              <w:rPr>
                <w:bCs/>
                <w:sz w:val="22"/>
                <w:szCs w:val="22"/>
              </w:rPr>
              <w:t xml:space="preserve">three out of </w:t>
            </w:r>
            <w:r>
              <w:rPr>
                <w:bCs/>
                <w:sz w:val="22"/>
                <w:szCs w:val="22"/>
              </w:rPr>
              <w:t xml:space="preserve">the </w:t>
            </w:r>
            <w:r w:rsidR="008D5034" w:rsidRPr="003F00AF">
              <w:rPr>
                <w:bCs/>
                <w:sz w:val="22"/>
                <w:szCs w:val="22"/>
              </w:rPr>
              <w:t>five most polluted cities</w:t>
            </w:r>
            <w:r>
              <w:rPr>
                <w:bCs/>
                <w:sz w:val="22"/>
                <w:szCs w:val="22"/>
              </w:rPr>
              <w:t xml:space="preserve"> implement contingency plans</w:t>
            </w:r>
            <w:r w:rsidR="008D5034" w:rsidRPr="003F00AF">
              <w:rPr>
                <w:bCs/>
                <w:sz w:val="22"/>
                <w:szCs w:val="22"/>
              </w:rPr>
              <w:t>)</w:t>
            </w:r>
            <w:r>
              <w:rPr>
                <w:bCs/>
                <w:sz w:val="22"/>
                <w:szCs w:val="22"/>
              </w:rPr>
              <w:t>.</w:t>
            </w:r>
          </w:p>
          <w:p w14:paraId="13A344B9" w14:textId="2B5C542C" w:rsidR="008D5034" w:rsidRPr="003F00AF" w:rsidRDefault="00D04535" w:rsidP="004953CE">
            <w:pPr>
              <w:keepNext/>
              <w:jc w:val="both"/>
              <w:rPr>
                <w:bCs/>
                <w:sz w:val="22"/>
                <w:szCs w:val="22"/>
              </w:rPr>
            </w:pPr>
            <w:r w:rsidRPr="001554E7">
              <w:rPr>
                <w:bCs/>
                <w:sz w:val="22"/>
                <w:szCs w:val="22"/>
              </w:rPr>
              <w:t xml:space="preserve">La Oroya and Ilo developed pollution contingency plans. Arequipa’s air quality plan includes a section on ‘Alert Measures’, referring to interventions designed and ordered by the Ministry of Health. </w:t>
            </w:r>
            <w:r w:rsidR="008D5034" w:rsidRPr="001554E7">
              <w:rPr>
                <w:bCs/>
                <w:sz w:val="22"/>
                <w:szCs w:val="22"/>
              </w:rPr>
              <w:t>Clean Air Action Plans of Lima-Callao and Chimbote</w:t>
            </w:r>
            <w:r w:rsidR="001554E7">
              <w:rPr>
                <w:bCs/>
                <w:sz w:val="22"/>
                <w:szCs w:val="22"/>
              </w:rPr>
              <w:t xml:space="preserve"> (the other two most polluted cities)</w:t>
            </w:r>
            <w:r w:rsidR="008D5034" w:rsidRPr="001554E7">
              <w:rPr>
                <w:bCs/>
                <w:sz w:val="22"/>
                <w:szCs w:val="22"/>
              </w:rPr>
              <w:t xml:space="preserve"> envisage the preparation of contingency plans, based on the national alert standards.</w:t>
            </w:r>
          </w:p>
        </w:tc>
      </w:tr>
      <w:tr w:rsidR="008D5034" w:rsidRPr="003F00AF" w14:paraId="48073298"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2C36A93C" w14:textId="6A864439" w:rsidR="008D5034" w:rsidRPr="003F00AF" w:rsidRDefault="003925BE" w:rsidP="008D5034">
            <w:pPr>
              <w:keepNext/>
              <w:rPr>
                <w:b/>
                <w:bCs/>
                <w:sz w:val="22"/>
                <w:szCs w:val="22"/>
              </w:rPr>
            </w:pPr>
            <w:r>
              <w:rPr>
                <w:b/>
                <w:bCs/>
                <w:sz w:val="22"/>
                <w:szCs w:val="22"/>
              </w:rPr>
              <w:t>PDO Indicator 5</w:t>
            </w:r>
            <w:r w:rsidR="008D5034" w:rsidRPr="003F00AF">
              <w:rPr>
                <w:b/>
                <w:bCs/>
                <w:sz w:val="22"/>
                <w:szCs w:val="22"/>
              </w:rPr>
              <w:t xml:space="preserve">: </w:t>
            </w:r>
            <w:r w:rsidR="008D5034" w:rsidRPr="003F00AF">
              <w:rPr>
                <w:bCs/>
                <w:sz w:val="22"/>
                <w:szCs w:val="22"/>
              </w:rPr>
              <w:t>Priority Mining Environmental Legacies (MELs) identified following the priority setting update of MELs’ inventory and resources for remediating priority public/private MELs</w:t>
            </w:r>
          </w:p>
        </w:tc>
      </w:tr>
      <w:tr w:rsidR="008D5034" w:rsidRPr="003F00AF" w14:paraId="2722907D" w14:textId="77777777" w:rsidTr="00BD53A2">
        <w:tblPrEx>
          <w:tblCellMar>
            <w:top w:w="10" w:type="dxa"/>
            <w:left w:w="10" w:type="dxa"/>
            <w:bottom w:w="10" w:type="dxa"/>
            <w:right w:w="10" w:type="dxa"/>
          </w:tblCellMar>
        </w:tblPrEx>
        <w:trPr>
          <w:trHeight w:val="430"/>
        </w:trPr>
        <w:tc>
          <w:tcPr>
            <w:tcW w:w="2135" w:type="dxa"/>
            <w:gridSpan w:val="3"/>
            <w:shd w:val="clear" w:color="auto" w:fill="auto"/>
            <w:vAlign w:val="center"/>
          </w:tcPr>
          <w:p w14:paraId="572CDC37"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6F091281" w14:textId="77777777" w:rsidR="008D5034" w:rsidRPr="003F00AF" w:rsidRDefault="008D5034" w:rsidP="008D5034">
            <w:pPr>
              <w:keepNext/>
              <w:rPr>
                <w:bCs/>
                <w:sz w:val="22"/>
                <w:szCs w:val="22"/>
              </w:rPr>
            </w:pPr>
            <w:r w:rsidRPr="003F00AF">
              <w:rPr>
                <w:bCs/>
                <w:sz w:val="22"/>
                <w:szCs w:val="22"/>
              </w:rPr>
              <w:t>Zero</w:t>
            </w:r>
          </w:p>
        </w:tc>
        <w:tc>
          <w:tcPr>
            <w:tcW w:w="2340" w:type="dxa"/>
            <w:gridSpan w:val="7"/>
            <w:shd w:val="clear" w:color="auto" w:fill="auto"/>
            <w:vAlign w:val="center"/>
          </w:tcPr>
          <w:p w14:paraId="4A17C79D" w14:textId="3AF8CF83" w:rsidR="008D5034" w:rsidRPr="003F00AF" w:rsidRDefault="008D5034" w:rsidP="001E0963">
            <w:pPr>
              <w:keepNext/>
              <w:rPr>
                <w:bCs/>
                <w:sz w:val="22"/>
                <w:szCs w:val="22"/>
              </w:rPr>
            </w:pPr>
            <w:r w:rsidRPr="003F00AF">
              <w:rPr>
                <w:bCs/>
                <w:sz w:val="22"/>
                <w:szCs w:val="22"/>
              </w:rPr>
              <w:t>At least 10 priority MELs are identified following the priority setting update of MELs inventory</w:t>
            </w:r>
            <w:r w:rsidR="00382C81" w:rsidRPr="003F00AF">
              <w:rPr>
                <w:bCs/>
                <w:sz w:val="22"/>
                <w:szCs w:val="22"/>
              </w:rPr>
              <w:t xml:space="preserve"> and r</w:t>
            </w:r>
            <w:r w:rsidRPr="003F00AF">
              <w:rPr>
                <w:bCs/>
                <w:sz w:val="22"/>
                <w:szCs w:val="22"/>
              </w:rPr>
              <w:t>esources for remediating priority public/private MELs confirmed.</w:t>
            </w:r>
          </w:p>
        </w:tc>
        <w:tc>
          <w:tcPr>
            <w:tcW w:w="1360" w:type="dxa"/>
            <w:gridSpan w:val="3"/>
            <w:shd w:val="clear" w:color="auto" w:fill="auto"/>
            <w:vAlign w:val="center"/>
          </w:tcPr>
          <w:p w14:paraId="0D51A97B" w14:textId="3B911B36"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2C64BF79" w14:textId="7A2B745F" w:rsidR="00361D43" w:rsidRDefault="00361D43" w:rsidP="00361D43">
            <w:pPr>
              <w:pStyle w:val="ListParagraph"/>
              <w:autoSpaceDE w:val="0"/>
              <w:autoSpaceDN w:val="0"/>
              <w:adjustRightInd w:val="0"/>
              <w:spacing w:before="120" w:after="120"/>
              <w:ind w:left="0"/>
              <w:rPr>
                <w:rFonts w:eastAsia="MS Mincho"/>
                <w:bCs/>
                <w:sz w:val="22"/>
                <w:szCs w:val="22"/>
                <w:lang w:eastAsia="ja-JP"/>
              </w:rPr>
            </w:pPr>
            <w:r w:rsidRPr="003F00AF">
              <w:rPr>
                <w:rFonts w:eastAsia="MS Mincho"/>
                <w:bCs/>
                <w:sz w:val="22"/>
                <w:szCs w:val="22"/>
                <w:lang w:eastAsia="ja-JP"/>
              </w:rPr>
              <w:t xml:space="preserve">MEM identified 8,616 MELs, and prioritized those </w:t>
            </w:r>
            <w:r w:rsidR="005B10E7">
              <w:rPr>
                <w:rFonts w:eastAsia="MS Mincho"/>
                <w:bCs/>
                <w:sz w:val="22"/>
                <w:szCs w:val="22"/>
                <w:lang w:eastAsia="ja-JP"/>
              </w:rPr>
              <w:t xml:space="preserve">legacies </w:t>
            </w:r>
            <w:r w:rsidRPr="003F00AF">
              <w:rPr>
                <w:rFonts w:eastAsia="MS Mincho"/>
                <w:bCs/>
                <w:sz w:val="22"/>
                <w:szCs w:val="22"/>
                <w:lang w:eastAsia="ja-JP"/>
              </w:rPr>
              <w:t>by risk levels. 2,546 MELs are of very high risk, and 1,735 are of high risk.</w:t>
            </w:r>
          </w:p>
          <w:p w14:paraId="75448B95" w14:textId="5E5D819E" w:rsidR="003C6859" w:rsidRPr="003F00AF" w:rsidRDefault="003C6859" w:rsidP="00361D43">
            <w:pPr>
              <w:pStyle w:val="ListParagraph"/>
              <w:autoSpaceDE w:val="0"/>
              <w:autoSpaceDN w:val="0"/>
              <w:adjustRightInd w:val="0"/>
              <w:spacing w:before="120" w:after="120"/>
              <w:ind w:left="0"/>
              <w:rPr>
                <w:rFonts w:eastAsia="MS Mincho"/>
                <w:bCs/>
                <w:sz w:val="22"/>
                <w:szCs w:val="22"/>
                <w:lang w:eastAsia="ja-JP"/>
              </w:rPr>
            </w:pPr>
            <w:r>
              <w:rPr>
                <w:rFonts w:eastAsia="MS Mincho"/>
                <w:bCs/>
                <w:sz w:val="22"/>
                <w:szCs w:val="22"/>
                <w:lang w:eastAsia="ja-JP"/>
              </w:rPr>
              <w:t>The GoP has confirmed resources to remediate</w:t>
            </w:r>
            <w:r w:rsidR="00705FE7">
              <w:rPr>
                <w:rFonts w:eastAsia="MS Mincho"/>
                <w:bCs/>
                <w:sz w:val="22"/>
                <w:szCs w:val="22"/>
                <w:lang w:eastAsia="ja-JP"/>
              </w:rPr>
              <w:t xml:space="preserve"> 801</w:t>
            </w:r>
            <w:r>
              <w:rPr>
                <w:rFonts w:eastAsia="MS Mincho"/>
                <w:bCs/>
                <w:sz w:val="22"/>
                <w:szCs w:val="22"/>
                <w:lang w:eastAsia="ja-JP"/>
              </w:rPr>
              <w:t xml:space="preserve"> </w:t>
            </w:r>
            <w:r w:rsidR="001554E7">
              <w:rPr>
                <w:rFonts w:eastAsia="MS Mincho"/>
                <w:bCs/>
                <w:sz w:val="22"/>
                <w:szCs w:val="22"/>
                <w:lang w:eastAsia="ja-JP"/>
              </w:rPr>
              <w:t xml:space="preserve">priority </w:t>
            </w:r>
            <w:r>
              <w:rPr>
                <w:rFonts w:eastAsia="MS Mincho"/>
                <w:bCs/>
                <w:sz w:val="22"/>
                <w:szCs w:val="22"/>
                <w:lang w:eastAsia="ja-JP"/>
              </w:rPr>
              <w:t xml:space="preserve">MELs </w:t>
            </w:r>
            <w:r w:rsidR="00744375">
              <w:rPr>
                <w:rFonts w:eastAsia="MS Mincho"/>
                <w:bCs/>
                <w:sz w:val="22"/>
                <w:szCs w:val="22"/>
                <w:lang w:eastAsia="ja-JP"/>
              </w:rPr>
              <w:t xml:space="preserve">(of </w:t>
            </w:r>
            <w:r w:rsidR="00744375" w:rsidRPr="003F00AF">
              <w:rPr>
                <w:rFonts w:eastAsia="MS Mincho"/>
                <w:bCs/>
                <w:sz w:val="22"/>
                <w:szCs w:val="22"/>
                <w:lang w:eastAsia="ja-JP"/>
              </w:rPr>
              <w:t xml:space="preserve">high </w:t>
            </w:r>
            <w:r w:rsidR="00744375">
              <w:rPr>
                <w:rFonts w:eastAsia="MS Mincho"/>
                <w:bCs/>
                <w:sz w:val="22"/>
                <w:szCs w:val="22"/>
                <w:lang w:eastAsia="ja-JP"/>
              </w:rPr>
              <w:t xml:space="preserve">and very </w:t>
            </w:r>
            <w:r w:rsidR="00744375" w:rsidRPr="003F00AF">
              <w:rPr>
                <w:rFonts w:eastAsia="MS Mincho"/>
                <w:bCs/>
                <w:sz w:val="22"/>
                <w:szCs w:val="22"/>
                <w:lang w:eastAsia="ja-JP"/>
              </w:rPr>
              <w:t>high risk</w:t>
            </w:r>
            <w:r w:rsidR="00744375">
              <w:rPr>
                <w:rFonts w:eastAsia="MS Mincho"/>
                <w:bCs/>
                <w:sz w:val="22"/>
                <w:szCs w:val="22"/>
                <w:lang w:eastAsia="ja-JP"/>
              </w:rPr>
              <w:t xml:space="preserve">) </w:t>
            </w:r>
            <w:r>
              <w:rPr>
                <w:rFonts w:eastAsia="MS Mincho"/>
                <w:bCs/>
                <w:sz w:val="22"/>
                <w:szCs w:val="22"/>
                <w:lang w:eastAsia="ja-JP"/>
              </w:rPr>
              <w:t>in 44 mining units.</w:t>
            </w:r>
          </w:p>
          <w:p w14:paraId="6A2BA33F" w14:textId="56CBAA75" w:rsidR="000437CF" w:rsidRPr="003F00AF" w:rsidRDefault="000437CF" w:rsidP="000437CF">
            <w:pPr>
              <w:keepNext/>
              <w:rPr>
                <w:bCs/>
                <w:sz w:val="22"/>
                <w:szCs w:val="22"/>
              </w:rPr>
            </w:pPr>
          </w:p>
        </w:tc>
      </w:tr>
      <w:tr w:rsidR="008D5034" w:rsidRPr="003F00AF" w14:paraId="62CB523E" w14:textId="77777777" w:rsidTr="00BD53A2">
        <w:tblPrEx>
          <w:tblCellMar>
            <w:top w:w="10" w:type="dxa"/>
            <w:left w:w="10" w:type="dxa"/>
            <w:bottom w:w="10" w:type="dxa"/>
            <w:right w:w="10" w:type="dxa"/>
          </w:tblCellMar>
        </w:tblPrEx>
        <w:trPr>
          <w:trHeight w:val="286"/>
        </w:trPr>
        <w:tc>
          <w:tcPr>
            <w:tcW w:w="2135" w:type="dxa"/>
            <w:gridSpan w:val="3"/>
            <w:shd w:val="clear" w:color="auto" w:fill="auto"/>
            <w:vAlign w:val="center"/>
          </w:tcPr>
          <w:p w14:paraId="740DD4C3" w14:textId="25EB3FB2" w:rsidR="008D5034" w:rsidRPr="003F00AF" w:rsidRDefault="008D5034" w:rsidP="008D5034">
            <w:pPr>
              <w:keepNext/>
              <w:rPr>
                <w:bCs/>
                <w:sz w:val="22"/>
                <w:szCs w:val="22"/>
              </w:rPr>
            </w:pPr>
            <w:r w:rsidRPr="003F00AF">
              <w:rPr>
                <w:sz w:val="22"/>
                <w:szCs w:val="22"/>
              </w:rPr>
              <w:t>Date Achieved</w:t>
            </w:r>
          </w:p>
        </w:tc>
        <w:tc>
          <w:tcPr>
            <w:tcW w:w="1468" w:type="dxa"/>
            <w:gridSpan w:val="6"/>
            <w:shd w:val="clear" w:color="auto" w:fill="auto"/>
            <w:vAlign w:val="center"/>
          </w:tcPr>
          <w:p w14:paraId="51A8365F" w14:textId="77777777" w:rsidR="008D5034" w:rsidRPr="003F00AF" w:rsidRDefault="008D5034" w:rsidP="008D5034">
            <w:pPr>
              <w:keepNext/>
              <w:rPr>
                <w:bCs/>
                <w:sz w:val="22"/>
                <w:szCs w:val="22"/>
              </w:rPr>
            </w:pPr>
            <w:r w:rsidRPr="003F00AF">
              <w:rPr>
                <w:bCs/>
                <w:sz w:val="22"/>
                <w:szCs w:val="22"/>
              </w:rPr>
              <w:t>9/30/2008</w:t>
            </w:r>
          </w:p>
        </w:tc>
        <w:tc>
          <w:tcPr>
            <w:tcW w:w="2340" w:type="dxa"/>
            <w:gridSpan w:val="7"/>
            <w:shd w:val="clear" w:color="auto" w:fill="auto"/>
            <w:vAlign w:val="center"/>
          </w:tcPr>
          <w:p w14:paraId="3D3ACC54" w14:textId="46E9AD33" w:rsidR="008D5034" w:rsidRPr="003F00AF" w:rsidRDefault="00D04DA8" w:rsidP="008D5034">
            <w:pPr>
              <w:keepNext/>
              <w:rPr>
                <w:bCs/>
                <w:sz w:val="22"/>
                <w:szCs w:val="22"/>
              </w:rPr>
            </w:pPr>
            <w:r w:rsidRPr="003F00AF">
              <w:rPr>
                <w:bCs/>
                <w:sz w:val="22"/>
                <w:szCs w:val="22"/>
              </w:rPr>
              <w:t>12/31/2013</w:t>
            </w:r>
          </w:p>
        </w:tc>
        <w:tc>
          <w:tcPr>
            <w:tcW w:w="1360" w:type="dxa"/>
            <w:gridSpan w:val="3"/>
            <w:shd w:val="clear" w:color="auto" w:fill="auto"/>
            <w:vAlign w:val="center"/>
          </w:tcPr>
          <w:p w14:paraId="13BD88FC" w14:textId="77777777" w:rsidR="008D5034" w:rsidRPr="003F00AF" w:rsidRDefault="008D5034" w:rsidP="008D5034">
            <w:pPr>
              <w:keepNext/>
              <w:rPr>
                <w:bCs/>
                <w:sz w:val="22"/>
                <w:szCs w:val="22"/>
              </w:rPr>
            </w:pPr>
          </w:p>
        </w:tc>
        <w:tc>
          <w:tcPr>
            <w:tcW w:w="2591" w:type="dxa"/>
            <w:gridSpan w:val="5"/>
            <w:shd w:val="clear" w:color="auto" w:fill="auto"/>
            <w:vAlign w:val="center"/>
          </w:tcPr>
          <w:p w14:paraId="693CF68C" w14:textId="6BF25218" w:rsidR="008D5034" w:rsidRPr="003F00AF" w:rsidRDefault="008D5034" w:rsidP="00320EE8">
            <w:pPr>
              <w:keepNext/>
              <w:rPr>
                <w:bCs/>
                <w:sz w:val="22"/>
                <w:szCs w:val="22"/>
              </w:rPr>
            </w:pPr>
            <w:r w:rsidRPr="003F00AF">
              <w:rPr>
                <w:bCs/>
                <w:sz w:val="22"/>
                <w:szCs w:val="22"/>
              </w:rPr>
              <w:t>1</w:t>
            </w:r>
            <w:r w:rsidR="00320EE8">
              <w:rPr>
                <w:bCs/>
                <w:sz w:val="22"/>
                <w:szCs w:val="22"/>
              </w:rPr>
              <w:t>2</w:t>
            </w:r>
            <w:r w:rsidRPr="003F00AF">
              <w:rPr>
                <w:bCs/>
                <w:sz w:val="22"/>
                <w:szCs w:val="22"/>
              </w:rPr>
              <w:t>/3</w:t>
            </w:r>
            <w:r w:rsidR="00320EE8">
              <w:rPr>
                <w:bCs/>
                <w:sz w:val="22"/>
                <w:szCs w:val="22"/>
              </w:rPr>
              <w:t>1</w:t>
            </w:r>
            <w:r w:rsidRPr="003F00AF">
              <w:rPr>
                <w:bCs/>
                <w:sz w:val="22"/>
                <w:szCs w:val="22"/>
              </w:rPr>
              <w:t>/2015</w:t>
            </w:r>
          </w:p>
        </w:tc>
      </w:tr>
      <w:tr w:rsidR="008D5034" w:rsidRPr="003F00AF" w14:paraId="6800E62E" w14:textId="77777777" w:rsidTr="00BD53A2">
        <w:tblPrEx>
          <w:tblCellMar>
            <w:top w:w="10" w:type="dxa"/>
            <w:left w:w="10" w:type="dxa"/>
            <w:bottom w:w="10" w:type="dxa"/>
            <w:right w:w="10" w:type="dxa"/>
          </w:tblCellMar>
        </w:tblPrEx>
        <w:trPr>
          <w:trHeight w:val="331"/>
        </w:trPr>
        <w:tc>
          <w:tcPr>
            <w:tcW w:w="2135" w:type="dxa"/>
            <w:gridSpan w:val="3"/>
            <w:shd w:val="clear" w:color="auto" w:fill="auto"/>
            <w:vAlign w:val="center"/>
          </w:tcPr>
          <w:p w14:paraId="2D1EF841" w14:textId="48CDC2A1"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Comments </w:t>
            </w:r>
            <w:r w:rsidRPr="003F00AF">
              <w:rPr>
                <w:rFonts w:ascii="Times New Roman" w:hAnsi="Times New Roman" w:cs="Times New Roman"/>
                <w:sz w:val="22"/>
                <w:szCs w:val="22"/>
              </w:rPr>
              <w:t xml:space="preserve">(including % achievement) </w:t>
            </w:r>
          </w:p>
        </w:tc>
        <w:tc>
          <w:tcPr>
            <w:tcW w:w="7759" w:type="dxa"/>
            <w:gridSpan w:val="21"/>
            <w:shd w:val="clear" w:color="auto" w:fill="auto"/>
            <w:vAlign w:val="center"/>
          </w:tcPr>
          <w:p w14:paraId="538E1A19" w14:textId="5ED2DED0" w:rsidR="008D5034" w:rsidRDefault="00AE1DF9" w:rsidP="00230621">
            <w:pPr>
              <w:keepNext/>
              <w:jc w:val="both"/>
              <w:rPr>
                <w:bCs/>
                <w:sz w:val="22"/>
                <w:szCs w:val="22"/>
              </w:rPr>
            </w:pPr>
            <w:r>
              <w:rPr>
                <w:bCs/>
                <w:sz w:val="22"/>
                <w:szCs w:val="22"/>
              </w:rPr>
              <w:t>Fully achieved and target surpassed.</w:t>
            </w:r>
          </w:p>
          <w:p w14:paraId="1DC9F677" w14:textId="7116AE6B" w:rsidR="003C6859" w:rsidRPr="003F00AF" w:rsidRDefault="00744375" w:rsidP="00744375">
            <w:pPr>
              <w:keepNext/>
              <w:jc w:val="both"/>
              <w:rPr>
                <w:bCs/>
                <w:sz w:val="22"/>
                <w:szCs w:val="22"/>
              </w:rPr>
            </w:pPr>
            <w:r>
              <w:rPr>
                <w:bCs/>
                <w:sz w:val="22"/>
                <w:szCs w:val="22"/>
              </w:rPr>
              <w:t xml:space="preserve">The 801 priority MELs comprise: (a) </w:t>
            </w:r>
            <w:r w:rsidR="003C6859" w:rsidRPr="003C6859">
              <w:rPr>
                <w:bCs/>
                <w:sz w:val="22"/>
                <w:szCs w:val="22"/>
              </w:rPr>
              <w:t>119 priority MELs in 8 mining units in Cajamarca</w:t>
            </w:r>
            <w:r>
              <w:rPr>
                <w:bCs/>
                <w:sz w:val="22"/>
                <w:szCs w:val="22"/>
              </w:rPr>
              <w:t>; (b)</w:t>
            </w:r>
            <w:r w:rsidR="001D1F99">
              <w:rPr>
                <w:bCs/>
                <w:sz w:val="22"/>
                <w:szCs w:val="22"/>
              </w:rPr>
              <w:t xml:space="preserve"> </w:t>
            </w:r>
            <w:r w:rsidR="003C6859" w:rsidRPr="003C6859">
              <w:rPr>
                <w:bCs/>
                <w:sz w:val="22"/>
                <w:szCs w:val="22"/>
              </w:rPr>
              <w:t>407 legacies in 21 former mining units</w:t>
            </w:r>
            <w:r>
              <w:rPr>
                <w:bCs/>
                <w:sz w:val="22"/>
                <w:szCs w:val="22"/>
              </w:rPr>
              <w:t xml:space="preserve"> to be remediated </w:t>
            </w:r>
            <w:r w:rsidR="003C6859" w:rsidRPr="003C6859">
              <w:rPr>
                <w:bCs/>
                <w:sz w:val="22"/>
                <w:szCs w:val="22"/>
              </w:rPr>
              <w:t xml:space="preserve">by the state-owned company </w:t>
            </w:r>
            <w:r w:rsidR="003C6859" w:rsidRPr="00111BD5">
              <w:rPr>
                <w:bCs/>
                <w:i/>
                <w:sz w:val="22"/>
                <w:szCs w:val="22"/>
              </w:rPr>
              <w:t>Activos Mineros</w:t>
            </w:r>
            <w:r w:rsidR="00BE65E3">
              <w:rPr>
                <w:bCs/>
                <w:i/>
                <w:sz w:val="22"/>
                <w:szCs w:val="22"/>
              </w:rPr>
              <w:t>,</w:t>
            </w:r>
            <w:r w:rsidR="003C6859" w:rsidRPr="003C6859">
              <w:rPr>
                <w:bCs/>
                <w:sz w:val="22"/>
                <w:szCs w:val="22"/>
              </w:rPr>
              <w:t xml:space="preserve"> and </w:t>
            </w:r>
            <w:r>
              <w:rPr>
                <w:bCs/>
                <w:sz w:val="22"/>
                <w:szCs w:val="22"/>
              </w:rPr>
              <w:t xml:space="preserve">(c) </w:t>
            </w:r>
            <w:r w:rsidR="003C6859" w:rsidRPr="003C6859">
              <w:rPr>
                <w:bCs/>
                <w:sz w:val="22"/>
                <w:szCs w:val="22"/>
              </w:rPr>
              <w:t>275 priority legacies in 15 mining units</w:t>
            </w:r>
            <w:r>
              <w:rPr>
                <w:bCs/>
                <w:sz w:val="22"/>
                <w:szCs w:val="22"/>
              </w:rPr>
              <w:t xml:space="preserve"> to be remediated </w:t>
            </w:r>
            <w:r w:rsidR="003C6859" w:rsidRPr="003C6859">
              <w:rPr>
                <w:bCs/>
                <w:sz w:val="22"/>
                <w:szCs w:val="22"/>
              </w:rPr>
              <w:t>by MEM.</w:t>
            </w:r>
          </w:p>
        </w:tc>
      </w:tr>
      <w:tr w:rsidR="008D5034" w:rsidRPr="003F00AF" w14:paraId="4EFB6CC0"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058B6056" w14:textId="213B838E" w:rsidR="008D5034" w:rsidRPr="003F00AF" w:rsidRDefault="003925BE" w:rsidP="008D5034">
            <w:pPr>
              <w:keepNext/>
              <w:rPr>
                <w:bCs/>
                <w:sz w:val="22"/>
                <w:szCs w:val="22"/>
              </w:rPr>
            </w:pPr>
            <w:r>
              <w:rPr>
                <w:b/>
                <w:bCs/>
                <w:sz w:val="22"/>
                <w:szCs w:val="22"/>
              </w:rPr>
              <w:t>PDO Indicator 6</w:t>
            </w:r>
            <w:r w:rsidR="008D5034" w:rsidRPr="003F00AF">
              <w:rPr>
                <w:b/>
                <w:bCs/>
                <w:sz w:val="22"/>
                <w:szCs w:val="22"/>
              </w:rPr>
              <w:t xml:space="preserve">: </w:t>
            </w:r>
            <w:r w:rsidR="008D5034" w:rsidRPr="003F00AF">
              <w:rPr>
                <w:bCs/>
                <w:sz w:val="22"/>
                <w:szCs w:val="22"/>
              </w:rPr>
              <w:t>Number of mining sites with environmental participatory monitoring projects</w:t>
            </w:r>
          </w:p>
        </w:tc>
      </w:tr>
      <w:tr w:rsidR="008D5034" w:rsidRPr="003F00AF" w14:paraId="0EA74BAD" w14:textId="77777777" w:rsidTr="00BD53A2">
        <w:tblPrEx>
          <w:tblCellMar>
            <w:top w:w="10" w:type="dxa"/>
            <w:left w:w="10" w:type="dxa"/>
            <w:bottom w:w="10" w:type="dxa"/>
            <w:right w:w="10" w:type="dxa"/>
          </w:tblCellMar>
        </w:tblPrEx>
        <w:trPr>
          <w:trHeight w:val="979"/>
        </w:trPr>
        <w:tc>
          <w:tcPr>
            <w:tcW w:w="2135" w:type="dxa"/>
            <w:gridSpan w:val="3"/>
            <w:shd w:val="clear" w:color="auto" w:fill="auto"/>
            <w:vAlign w:val="center"/>
          </w:tcPr>
          <w:p w14:paraId="1E87F3B8"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609D97E2" w14:textId="64B6C509" w:rsidR="008D5034" w:rsidRPr="003F00AF" w:rsidRDefault="008D5034" w:rsidP="008D5034">
            <w:pPr>
              <w:keepNext/>
              <w:rPr>
                <w:bCs/>
                <w:sz w:val="22"/>
                <w:szCs w:val="22"/>
              </w:rPr>
            </w:pPr>
            <w:r w:rsidRPr="003F00AF">
              <w:rPr>
                <w:bCs/>
                <w:sz w:val="22"/>
                <w:szCs w:val="22"/>
              </w:rPr>
              <w:t>35 community-based monitoring pilots underway</w:t>
            </w:r>
          </w:p>
        </w:tc>
        <w:tc>
          <w:tcPr>
            <w:tcW w:w="2340" w:type="dxa"/>
            <w:gridSpan w:val="7"/>
            <w:shd w:val="clear" w:color="auto" w:fill="auto"/>
            <w:vAlign w:val="center"/>
          </w:tcPr>
          <w:p w14:paraId="18D8A23B" w14:textId="19A167C5" w:rsidR="008D5034" w:rsidRPr="003F00AF" w:rsidRDefault="008D5034" w:rsidP="008D5034">
            <w:pPr>
              <w:keepNext/>
              <w:rPr>
                <w:bCs/>
                <w:sz w:val="22"/>
                <w:szCs w:val="22"/>
              </w:rPr>
            </w:pPr>
            <w:r w:rsidRPr="003F00AF">
              <w:rPr>
                <w:bCs/>
                <w:sz w:val="22"/>
                <w:szCs w:val="22"/>
              </w:rPr>
              <w:t xml:space="preserve">Environmental participatory monitoring undertaken in at least 60 </w:t>
            </w:r>
            <w:r w:rsidR="00FD3CF4">
              <w:rPr>
                <w:bCs/>
                <w:sz w:val="22"/>
                <w:szCs w:val="22"/>
              </w:rPr>
              <w:t xml:space="preserve">mining </w:t>
            </w:r>
            <w:r w:rsidRPr="003F00AF">
              <w:rPr>
                <w:bCs/>
                <w:sz w:val="22"/>
                <w:szCs w:val="22"/>
              </w:rPr>
              <w:t>sites</w:t>
            </w:r>
          </w:p>
        </w:tc>
        <w:tc>
          <w:tcPr>
            <w:tcW w:w="1360" w:type="dxa"/>
            <w:gridSpan w:val="3"/>
            <w:shd w:val="clear" w:color="auto" w:fill="auto"/>
            <w:vAlign w:val="center"/>
          </w:tcPr>
          <w:p w14:paraId="49D45ED7" w14:textId="52B1D5F1"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73473ACA" w14:textId="48CCA920" w:rsidR="008D5034" w:rsidRPr="003F00AF" w:rsidRDefault="008D5034" w:rsidP="00FD3CF4">
            <w:pPr>
              <w:keepNext/>
              <w:rPr>
                <w:bCs/>
                <w:sz w:val="22"/>
                <w:szCs w:val="22"/>
              </w:rPr>
            </w:pPr>
            <w:r w:rsidRPr="003F00AF">
              <w:rPr>
                <w:bCs/>
                <w:sz w:val="22"/>
                <w:szCs w:val="22"/>
              </w:rPr>
              <w:t xml:space="preserve">101 mining </w:t>
            </w:r>
            <w:r w:rsidR="00FD3CF4">
              <w:rPr>
                <w:bCs/>
                <w:sz w:val="22"/>
                <w:szCs w:val="22"/>
              </w:rPr>
              <w:t>sites</w:t>
            </w:r>
            <w:r w:rsidRPr="003F00AF">
              <w:rPr>
                <w:bCs/>
                <w:sz w:val="22"/>
                <w:szCs w:val="22"/>
              </w:rPr>
              <w:t xml:space="preserve"> with environmental participatory monitoring (committees or programs)</w:t>
            </w:r>
          </w:p>
        </w:tc>
      </w:tr>
      <w:tr w:rsidR="008D5034" w:rsidRPr="003F00AF" w14:paraId="285F1D56" w14:textId="77777777" w:rsidTr="00BD53A2">
        <w:tblPrEx>
          <w:tblCellMar>
            <w:top w:w="10" w:type="dxa"/>
            <w:left w:w="10" w:type="dxa"/>
            <w:bottom w:w="10" w:type="dxa"/>
            <w:right w:w="10" w:type="dxa"/>
          </w:tblCellMar>
        </w:tblPrEx>
        <w:trPr>
          <w:trHeight w:val="304"/>
        </w:trPr>
        <w:tc>
          <w:tcPr>
            <w:tcW w:w="2135" w:type="dxa"/>
            <w:gridSpan w:val="3"/>
            <w:shd w:val="clear" w:color="auto" w:fill="auto"/>
            <w:vAlign w:val="center"/>
          </w:tcPr>
          <w:p w14:paraId="430EDBBA"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2C104B09" w14:textId="77777777" w:rsidR="008D5034" w:rsidRPr="003F00AF" w:rsidRDefault="008D5034" w:rsidP="008D5034">
            <w:pPr>
              <w:keepNext/>
              <w:rPr>
                <w:bCs/>
                <w:sz w:val="22"/>
                <w:szCs w:val="22"/>
              </w:rPr>
            </w:pPr>
            <w:r w:rsidRPr="003F00AF">
              <w:rPr>
                <w:bCs/>
                <w:sz w:val="22"/>
                <w:szCs w:val="22"/>
              </w:rPr>
              <w:t>9/30/2008</w:t>
            </w:r>
          </w:p>
        </w:tc>
        <w:tc>
          <w:tcPr>
            <w:tcW w:w="2340" w:type="dxa"/>
            <w:gridSpan w:val="7"/>
            <w:shd w:val="clear" w:color="auto" w:fill="auto"/>
            <w:vAlign w:val="center"/>
          </w:tcPr>
          <w:p w14:paraId="081B514B" w14:textId="5EAE332F" w:rsidR="008D5034" w:rsidRPr="003F00AF" w:rsidRDefault="00D04DA8" w:rsidP="008D5034">
            <w:pPr>
              <w:keepNext/>
              <w:rPr>
                <w:bCs/>
                <w:sz w:val="22"/>
                <w:szCs w:val="22"/>
              </w:rPr>
            </w:pPr>
            <w:r w:rsidRPr="003F00AF">
              <w:rPr>
                <w:bCs/>
                <w:sz w:val="22"/>
                <w:szCs w:val="22"/>
              </w:rPr>
              <w:t>12/31/2013</w:t>
            </w:r>
          </w:p>
        </w:tc>
        <w:tc>
          <w:tcPr>
            <w:tcW w:w="1360" w:type="dxa"/>
            <w:gridSpan w:val="3"/>
            <w:shd w:val="clear" w:color="auto" w:fill="auto"/>
            <w:vAlign w:val="center"/>
          </w:tcPr>
          <w:p w14:paraId="1B0A667E" w14:textId="77777777" w:rsidR="008D5034" w:rsidRPr="003F00AF" w:rsidRDefault="008D5034" w:rsidP="008D5034">
            <w:pPr>
              <w:keepNext/>
              <w:rPr>
                <w:bCs/>
                <w:sz w:val="22"/>
                <w:szCs w:val="22"/>
              </w:rPr>
            </w:pPr>
          </w:p>
        </w:tc>
        <w:tc>
          <w:tcPr>
            <w:tcW w:w="2591" w:type="dxa"/>
            <w:gridSpan w:val="5"/>
            <w:shd w:val="clear" w:color="auto" w:fill="auto"/>
            <w:vAlign w:val="center"/>
          </w:tcPr>
          <w:p w14:paraId="790AA4BF" w14:textId="6983F0EE" w:rsidR="008D5034" w:rsidRPr="003F00AF" w:rsidRDefault="008D5034" w:rsidP="001B4362">
            <w:pPr>
              <w:keepNext/>
              <w:rPr>
                <w:bCs/>
                <w:sz w:val="22"/>
                <w:szCs w:val="22"/>
              </w:rPr>
            </w:pPr>
            <w:r w:rsidRPr="003F00AF">
              <w:rPr>
                <w:bCs/>
                <w:sz w:val="22"/>
                <w:szCs w:val="22"/>
              </w:rPr>
              <w:t>12/31/201</w:t>
            </w:r>
            <w:r w:rsidR="001B4362">
              <w:rPr>
                <w:bCs/>
                <w:sz w:val="22"/>
                <w:szCs w:val="22"/>
              </w:rPr>
              <w:t>5</w:t>
            </w:r>
          </w:p>
        </w:tc>
      </w:tr>
      <w:tr w:rsidR="008D5034" w:rsidRPr="003F00AF" w14:paraId="22CFFD1C" w14:textId="77777777" w:rsidTr="00BD53A2">
        <w:tblPrEx>
          <w:tblCellMar>
            <w:top w:w="10" w:type="dxa"/>
            <w:left w:w="10" w:type="dxa"/>
            <w:bottom w:w="10" w:type="dxa"/>
            <w:right w:w="10" w:type="dxa"/>
          </w:tblCellMar>
        </w:tblPrEx>
        <w:trPr>
          <w:trHeight w:val="241"/>
        </w:trPr>
        <w:tc>
          <w:tcPr>
            <w:tcW w:w="2135" w:type="dxa"/>
            <w:gridSpan w:val="3"/>
            <w:shd w:val="clear" w:color="auto" w:fill="auto"/>
            <w:vAlign w:val="center"/>
          </w:tcPr>
          <w:p w14:paraId="63F54016" w14:textId="117B4A50" w:rsidR="008D5034" w:rsidRPr="003F00AF" w:rsidRDefault="00DA7C31" w:rsidP="00DA7C31">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w:t>
            </w:r>
            <w:r w:rsidRPr="003F00AF">
              <w:rPr>
                <w:rFonts w:ascii="Times New Roman" w:hAnsi="Times New Roman" w:cs="Times New Roman"/>
                <w:sz w:val="22"/>
                <w:szCs w:val="22"/>
              </w:rPr>
              <w:t>(including % achievement)</w:t>
            </w:r>
          </w:p>
        </w:tc>
        <w:tc>
          <w:tcPr>
            <w:tcW w:w="7759" w:type="dxa"/>
            <w:gridSpan w:val="21"/>
            <w:shd w:val="clear" w:color="auto" w:fill="auto"/>
            <w:vAlign w:val="center"/>
          </w:tcPr>
          <w:p w14:paraId="5D1CF92C" w14:textId="747FD0E8" w:rsidR="00A63720" w:rsidRDefault="00AE1DF9" w:rsidP="00A63720">
            <w:pPr>
              <w:keepNext/>
              <w:rPr>
                <w:bCs/>
                <w:sz w:val="22"/>
                <w:szCs w:val="22"/>
              </w:rPr>
            </w:pPr>
            <w:r>
              <w:rPr>
                <w:bCs/>
                <w:sz w:val="22"/>
                <w:szCs w:val="22"/>
              </w:rPr>
              <w:t>Fully achieved and target surpassed</w:t>
            </w:r>
            <w:r w:rsidR="00041FD6">
              <w:rPr>
                <w:bCs/>
                <w:sz w:val="22"/>
                <w:szCs w:val="22"/>
              </w:rPr>
              <w:t xml:space="preserve"> (41 mining sites on top of the target of 60 mining sites)</w:t>
            </w:r>
            <w:r>
              <w:rPr>
                <w:bCs/>
                <w:sz w:val="22"/>
                <w:szCs w:val="22"/>
              </w:rPr>
              <w:t>.</w:t>
            </w:r>
          </w:p>
          <w:p w14:paraId="52A86FA5" w14:textId="4B0AED08" w:rsidR="00A3496D" w:rsidRPr="003F00AF" w:rsidRDefault="00A63720" w:rsidP="00182D78">
            <w:pPr>
              <w:keepNext/>
              <w:jc w:val="both"/>
              <w:rPr>
                <w:bCs/>
                <w:sz w:val="22"/>
                <w:szCs w:val="22"/>
              </w:rPr>
            </w:pPr>
            <w:r>
              <w:rPr>
                <w:bCs/>
                <w:sz w:val="22"/>
                <w:szCs w:val="22"/>
              </w:rPr>
              <w:t xml:space="preserve">MEM reviewed environmental management plans </w:t>
            </w:r>
            <w:r w:rsidR="00CE4E4F">
              <w:rPr>
                <w:bCs/>
                <w:sz w:val="22"/>
                <w:szCs w:val="22"/>
              </w:rPr>
              <w:t xml:space="preserve">(EMPs) </w:t>
            </w:r>
            <w:r>
              <w:rPr>
                <w:bCs/>
                <w:sz w:val="22"/>
                <w:szCs w:val="22"/>
              </w:rPr>
              <w:t>approved for mining projects between 2008 and 2012</w:t>
            </w:r>
            <w:r w:rsidR="00A3496D">
              <w:rPr>
                <w:bCs/>
                <w:sz w:val="22"/>
                <w:szCs w:val="22"/>
              </w:rPr>
              <w:t>,</w:t>
            </w:r>
            <w:r>
              <w:rPr>
                <w:bCs/>
                <w:sz w:val="22"/>
                <w:szCs w:val="22"/>
              </w:rPr>
              <w:t xml:space="preserve"> and found that 101 mining sites adopted environmental participatory monitoring. </w:t>
            </w:r>
            <w:r w:rsidR="00F027A1" w:rsidRPr="00182D78">
              <w:rPr>
                <w:bCs/>
                <w:sz w:val="22"/>
                <w:szCs w:val="22"/>
              </w:rPr>
              <w:t>T</w:t>
            </w:r>
            <w:r w:rsidRPr="00182D78">
              <w:rPr>
                <w:bCs/>
                <w:sz w:val="22"/>
                <w:szCs w:val="22"/>
              </w:rPr>
              <w:t xml:space="preserve">he </w:t>
            </w:r>
            <w:r w:rsidR="00182D78" w:rsidRPr="00182D78">
              <w:rPr>
                <w:bCs/>
                <w:sz w:val="22"/>
                <w:szCs w:val="22"/>
              </w:rPr>
              <w:t>Environmental Assessment and Control Agency (</w:t>
            </w:r>
            <w:r w:rsidR="00182D78" w:rsidRPr="00182D78">
              <w:rPr>
                <w:bCs/>
                <w:i/>
                <w:sz w:val="22"/>
                <w:szCs w:val="22"/>
              </w:rPr>
              <w:t>Organismo de Evaluación y Fiscalización Ambiental</w:t>
            </w:r>
            <w:r w:rsidR="00A3496D" w:rsidRPr="00182D78">
              <w:rPr>
                <w:bCs/>
                <w:sz w:val="22"/>
                <w:szCs w:val="22"/>
              </w:rPr>
              <w:t>, OEFA)</w:t>
            </w:r>
            <w:r w:rsidR="00F027A1" w:rsidRPr="00182D78">
              <w:rPr>
                <w:bCs/>
                <w:sz w:val="22"/>
                <w:szCs w:val="22"/>
              </w:rPr>
              <w:t>,</w:t>
            </w:r>
            <w:r w:rsidR="00F027A1">
              <w:rPr>
                <w:bCs/>
                <w:sz w:val="22"/>
                <w:szCs w:val="22"/>
              </w:rPr>
              <w:t xml:space="preserve"> which is charge of supervising those EMPs, found irregularities in terms of environmental monitoring (deadline, scope and/or frequency)</w:t>
            </w:r>
            <w:r w:rsidR="008246B3">
              <w:rPr>
                <w:bCs/>
                <w:sz w:val="22"/>
                <w:szCs w:val="22"/>
              </w:rPr>
              <w:t xml:space="preserve"> </w:t>
            </w:r>
            <w:r w:rsidR="00F027A1">
              <w:rPr>
                <w:bCs/>
                <w:sz w:val="22"/>
                <w:szCs w:val="22"/>
              </w:rPr>
              <w:t>in 5 out of 202 supervised sites in 2013 and none out of 206 supervised sites in 2014.</w:t>
            </w:r>
          </w:p>
        </w:tc>
      </w:tr>
      <w:tr w:rsidR="008D5034" w:rsidRPr="003F00AF" w14:paraId="1DA1AB53"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202DF1CB" w14:textId="4986FA0A" w:rsidR="008D5034" w:rsidRPr="003F00AF" w:rsidRDefault="008D5034" w:rsidP="003925BE">
            <w:pPr>
              <w:keepNext/>
              <w:rPr>
                <w:b/>
                <w:bCs/>
                <w:sz w:val="22"/>
                <w:szCs w:val="22"/>
              </w:rPr>
            </w:pPr>
            <w:r w:rsidRPr="003F00AF">
              <w:rPr>
                <w:b/>
                <w:bCs/>
                <w:sz w:val="22"/>
                <w:szCs w:val="22"/>
              </w:rPr>
              <w:t xml:space="preserve">PDO Indicator </w:t>
            </w:r>
            <w:r w:rsidR="003925BE">
              <w:rPr>
                <w:b/>
                <w:bCs/>
                <w:sz w:val="22"/>
                <w:szCs w:val="22"/>
              </w:rPr>
              <w:t>7</w:t>
            </w:r>
            <w:r w:rsidRPr="003F00AF">
              <w:rPr>
                <w:b/>
                <w:bCs/>
                <w:sz w:val="22"/>
                <w:szCs w:val="22"/>
              </w:rPr>
              <w:t xml:space="preserve">: </w:t>
            </w:r>
            <w:r w:rsidRPr="003F00AF">
              <w:rPr>
                <w:bCs/>
                <w:sz w:val="22"/>
                <w:szCs w:val="22"/>
              </w:rPr>
              <w:t>Percentage of gas stations in main cities supplying clean diesel (less than 50 ppm of sulfur content)</w:t>
            </w:r>
          </w:p>
        </w:tc>
      </w:tr>
      <w:tr w:rsidR="008D5034" w:rsidRPr="003F00AF" w14:paraId="0D2F27F6" w14:textId="77777777" w:rsidTr="00BD53A2">
        <w:tblPrEx>
          <w:tblCellMar>
            <w:top w:w="10" w:type="dxa"/>
            <w:left w:w="10" w:type="dxa"/>
            <w:bottom w:w="10" w:type="dxa"/>
            <w:right w:w="10" w:type="dxa"/>
          </w:tblCellMar>
        </w:tblPrEx>
        <w:trPr>
          <w:trHeight w:val="1656"/>
        </w:trPr>
        <w:tc>
          <w:tcPr>
            <w:tcW w:w="2135" w:type="dxa"/>
            <w:gridSpan w:val="3"/>
            <w:shd w:val="clear" w:color="auto" w:fill="auto"/>
            <w:vAlign w:val="center"/>
          </w:tcPr>
          <w:p w14:paraId="5E3659EE"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6624E3F0" w14:textId="77777777" w:rsidR="008D5034" w:rsidRPr="003F00AF" w:rsidRDefault="008D5034" w:rsidP="008D5034">
            <w:pPr>
              <w:keepNext/>
              <w:rPr>
                <w:bCs/>
                <w:sz w:val="22"/>
                <w:szCs w:val="22"/>
              </w:rPr>
            </w:pPr>
            <w:r w:rsidRPr="003F00AF">
              <w:rPr>
                <w:bCs/>
                <w:sz w:val="22"/>
                <w:szCs w:val="22"/>
              </w:rPr>
              <w:t>Zero</w:t>
            </w:r>
          </w:p>
        </w:tc>
        <w:tc>
          <w:tcPr>
            <w:tcW w:w="2340" w:type="dxa"/>
            <w:gridSpan w:val="7"/>
            <w:shd w:val="clear" w:color="auto" w:fill="auto"/>
            <w:vAlign w:val="center"/>
          </w:tcPr>
          <w:p w14:paraId="30495E48" w14:textId="58E28067" w:rsidR="008D5034" w:rsidRPr="003F00AF" w:rsidRDefault="008D5034" w:rsidP="008D5034">
            <w:pPr>
              <w:keepNext/>
              <w:rPr>
                <w:bCs/>
                <w:sz w:val="22"/>
                <w:szCs w:val="22"/>
              </w:rPr>
            </w:pPr>
            <w:r w:rsidRPr="003F00AF">
              <w:rPr>
                <w:bCs/>
                <w:sz w:val="22"/>
                <w:szCs w:val="22"/>
              </w:rPr>
              <w:t>At least 30% of gas stations in main cities (approximately 750) supplying clean diesel (less than 50 ppm of sulfur content) by 2010</w:t>
            </w:r>
          </w:p>
        </w:tc>
        <w:tc>
          <w:tcPr>
            <w:tcW w:w="1360" w:type="dxa"/>
            <w:gridSpan w:val="3"/>
            <w:shd w:val="clear" w:color="auto" w:fill="auto"/>
            <w:vAlign w:val="center"/>
          </w:tcPr>
          <w:p w14:paraId="09B2BFCF" w14:textId="0464E762"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29751EE6" w14:textId="667E3E3A" w:rsidR="008D5034" w:rsidRPr="003F00AF" w:rsidRDefault="008D5034" w:rsidP="00AE1DF9">
            <w:pPr>
              <w:rPr>
                <w:bCs/>
                <w:sz w:val="22"/>
                <w:szCs w:val="22"/>
              </w:rPr>
            </w:pPr>
            <w:r w:rsidRPr="003F00AF">
              <w:rPr>
                <w:sz w:val="22"/>
                <w:szCs w:val="22"/>
                <w:lang w:eastAsia="zh-TW"/>
              </w:rPr>
              <w:t xml:space="preserve">All </w:t>
            </w:r>
            <w:r w:rsidR="00A06354">
              <w:rPr>
                <w:sz w:val="22"/>
                <w:szCs w:val="22"/>
                <w:lang w:eastAsia="zh-TW"/>
              </w:rPr>
              <w:t>2,</w:t>
            </w:r>
            <w:r w:rsidR="00BC3B0D">
              <w:rPr>
                <w:sz w:val="22"/>
                <w:szCs w:val="22"/>
                <w:lang w:eastAsia="zh-TW"/>
              </w:rPr>
              <w:t>096</w:t>
            </w:r>
            <w:r w:rsidR="00A06354">
              <w:rPr>
                <w:sz w:val="22"/>
                <w:szCs w:val="22"/>
                <w:lang w:eastAsia="zh-TW"/>
              </w:rPr>
              <w:t xml:space="preserve"> </w:t>
            </w:r>
            <w:r w:rsidRPr="003F00AF">
              <w:rPr>
                <w:sz w:val="22"/>
                <w:szCs w:val="22"/>
                <w:lang w:eastAsia="zh-TW"/>
              </w:rPr>
              <w:t>gas stations</w:t>
            </w:r>
            <w:r w:rsidR="00A06354">
              <w:rPr>
                <w:sz w:val="22"/>
                <w:szCs w:val="22"/>
                <w:lang w:eastAsia="zh-TW"/>
              </w:rPr>
              <w:t xml:space="preserve"> </w:t>
            </w:r>
            <w:r w:rsidRPr="003F00AF">
              <w:rPr>
                <w:sz w:val="22"/>
                <w:szCs w:val="22"/>
                <w:lang w:eastAsia="zh-TW"/>
              </w:rPr>
              <w:t>in the departments of Lima, Arequipa, Cusco, Puno</w:t>
            </w:r>
            <w:r w:rsidR="00684B71">
              <w:rPr>
                <w:sz w:val="22"/>
                <w:szCs w:val="22"/>
                <w:lang w:eastAsia="zh-TW"/>
              </w:rPr>
              <w:t>,</w:t>
            </w:r>
            <w:r w:rsidRPr="003F00AF">
              <w:rPr>
                <w:sz w:val="22"/>
                <w:szCs w:val="22"/>
                <w:lang w:eastAsia="zh-TW"/>
              </w:rPr>
              <w:t xml:space="preserve"> Madre de Dios, and the constitutional province of Callao supply diesel with</w:t>
            </w:r>
            <w:r w:rsidRPr="003F00AF">
              <w:rPr>
                <w:bCs/>
                <w:sz w:val="22"/>
                <w:szCs w:val="22"/>
              </w:rPr>
              <w:t xml:space="preserve"> less than 50 ppm of sulfur content</w:t>
            </w:r>
            <w:r w:rsidR="001362F6">
              <w:rPr>
                <w:bCs/>
                <w:sz w:val="22"/>
                <w:szCs w:val="22"/>
              </w:rPr>
              <w:t>.</w:t>
            </w:r>
          </w:p>
        </w:tc>
      </w:tr>
      <w:tr w:rsidR="008D5034" w:rsidRPr="003F00AF" w14:paraId="0B37E14B" w14:textId="77777777" w:rsidTr="00BD53A2">
        <w:tblPrEx>
          <w:tblCellMar>
            <w:top w:w="10" w:type="dxa"/>
            <w:left w:w="10" w:type="dxa"/>
            <w:bottom w:w="10" w:type="dxa"/>
            <w:right w:w="10" w:type="dxa"/>
          </w:tblCellMar>
        </w:tblPrEx>
        <w:trPr>
          <w:trHeight w:val="295"/>
        </w:trPr>
        <w:tc>
          <w:tcPr>
            <w:tcW w:w="2135" w:type="dxa"/>
            <w:gridSpan w:val="3"/>
            <w:shd w:val="clear" w:color="auto" w:fill="auto"/>
            <w:vAlign w:val="center"/>
          </w:tcPr>
          <w:p w14:paraId="651CCA01"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1C7E66B3" w14:textId="77777777" w:rsidR="008D5034" w:rsidRPr="003F00AF" w:rsidRDefault="008D5034" w:rsidP="008D5034">
            <w:pPr>
              <w:keepNext/>
              <w:rPr>
                <w:bCs/>
                <w:sz w:val="22"/>
                <w:szCs w:val="22"/>
              </w:rPr>
            </w:pPr>
            <w:r w:rsidRPr="003F00AF">
              <w:rPr>
                <w:bCs/>
                <w:sz w:val="22"/>
                <w:szCs w:val="22"/>
              </w:rPr>
              <w:t>9/30/2008</w:t>
            </w:r>
          </w:p>
        </w:tc>
        <w:tc>
          <w:tcPr>
            <w:tcW w:w="2340" w:type="dxa"/>
            <w:gridSpan w:val="7"/>
            <w:shd w:val="clear" w:color="auto" w:fill="auto"/>
            <w:vAlign w:val="center"/>
          </w:tcPr>
          <w:p w14:paraId="3836AECE" w14:textId="610BB158" w:rsidR="008D5034" w:rsidRPr="003F00AF" w:rsidRDefault="00DD146C" w:rsidP="008D5034">
            <w:pPr>
              <w:keepNext/>
              <w:rPr>
                <w:bCs/>
                <w:sz w:val="22"/>
                <w:szCs w:val="22"/>
              </w:rPr>
            </w:pPr>
            <w:r w:rsidRPr="003F00AF">
              <w:rPr>
                <w:bCs/>
                <w:sz w:val="22"/>
                <w:szCs w:val="22"/>
              </w:rPr>
              <w:t>12/31/2010</w:t>
            </w:r>
          </w:p>
        </w:tc>
        <w:tc>
          <w:tcPr>
            <w:tcW w:w="1360" w:type="dxa"/>
            <w:gridSpan w:val="3"/>
            <w:shd w:val="clear" w:color="auto" w:fill="auto"/>
            <w:vAlign w:val="center"/>
          </w:tcPr>
          <w:p w14:paraId="24DCDD25" w14:textId="77777777" w:rsidR="008D5034" w:rsidRPr="003F00AF" w:rsidRDefault="008D5034" w:rsidP="008D5034">
            <w:pPr>
              <w:keepNext/>
              <w:rPr>
                <w:bCs/>
                <w:sz w:val="22"/>
                <w:szCs w:val="22"/>
              </w:rPr>
            </w:pPr>
          </w:p>
        </w:tc>
        <w:tc>
          <w:tcPr>
            <w:tcW w:w="2591" w:type="dxa"/>
            <w:gridSpan w:val="5"/>
            <w:shd w:val="clear" w:color="auto" w:fill="auto"/>
            <w:vAlign w:val="center"/>
          </w:tcPr>
          <w:p w14:paraId="481C92C8" w14:textId="24CC1CBB" w:rsidR="008D5034" w:rsidRPr="003F00AF" w:rsidRDefault="00BC3B0D" w:rsidP="00DD146C">
            <w:pPr>
              <w:rPr>
                <w:sz w:val="22"/>
                <w:szCs w:val="22"/>
                <w:lang w:eastAsia="zh-TW"/>
              </w:rPr>
            </w:pPr>
            <w:r>
              <w:rPr>
                <w:sz w:val="22"/>
                <w:szCs w:val="22"/>
                <w:lang w:eastAsia="zh-TW"/>
              </w:rPr>
              <w:t>12/31/2015</w:t>
            </w:r>
          </w:p>
        </w:tc>
      </w:tr>
      <w:tr w:rsidR="008D5034" w:rsidRPr="003F00AF" w14:paraId="3648CF22" w14:textId="77777777" w:rsidTr="00BD53A2">
        <w:tblPrEx>
          <w:tblCellMar>
            <w:top w:w="10" w:type="dxa"/>
            <w:left w:w="10" w:type="dxa"/>
            <w:bottom w:w="10" w:type="dxa"/>
            <w:right w:w="10" w:type="dxa"/>
          </w:tblCellMar>
        </w:tblPrEx>
        <w:trPr>
          <w:trHeight w:val="331"/>
        </w:trPr>
        <w:tc>
          <w:tcPr>
            <w:tcW w:w="2135" w:type="dxa"/>
            <w:gridSpan w:val="3"/>
            <w:shd w:val="clear" w:color="auto" w:fill="auto"/>
            <w:vAlign w:val="center"/>
          </w:tcPr>
          <w:p w14:paraId="79CABD87" w14:textId="25685DEB"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641902D2" w14:textId="64F3EFBE" w:rsidR="008D5034" w:rsidRDefault="00E91D3A" w:rsidP="008D5034">
            <w:pPr>
              <w:rPr>
                <w:sz w:val="22"/>
                <w:szCs w:val="22"/>
                <w:lang w:eastAsia="zh-TW"/>
              </w:rPr>
            </w:pPr>
            <w:r>
              <w:rPr>
                <w:bCs/>
                <w:sz w:val="22"/>
                <w:szCs w:val="22"/>
              </w:rPr>
              <w:t>Fully achieved and target surpassed.</w:t>
            </w:r>
          </w:p>
          <w:p w14:paraId="71D5E897" w14:textId="49919B67" w:rsidR="00DD146C" w:rsidRPr="003F00AF" w:rsidRDefault="00ED325B" w:rsidP="004953CE">
            <w:pPr>
              <w:ind w:right="79"/>
              <w:jc w:val="both"/>
              <w:rPr>
                <w:sz w:val="22"/>
                <w:szCs w:val="22"/>
                <w:lang w:eastAsia="zh-TW"/>
              </w:rPr>
            </w:pPr>
            <w:r w:rsidRPr="003F00AF">
              <w:rPr>
                <w:sz w:val="22"/>
                <w:szCs w:val="22"/>
                <w:lang w:eastAsia="zh-TW"/>
              </w:rPr>
              <w:t xml:space="preserve">The GoP prohibited gas stations </w:t>
            </w:r>
            <w:r w:rsidR="00E91D3A">
              <w:rPr>
                <w:sz w:val="22"/>
                <w:szCs w:val="22"/>
                <w:lang w:eastAsia="zh-TW"/>
              </w:rPr>
              <w:t>from</w:t>
            </w:r>
            <w:r w:rsidRPr="003F00AF">
              <w:rPr>
                <w:sz w:val="22"/>
                <w:szCs w:val="22"/>
                <w:lang w:eastAsia="zh-TW"/>
              </w:rPr>
              <w:t xml:space="preserve"> supply</w:t>
            </w:r>
            <w:r w:rsidR="00E91D3A">
              <w:rPr>
                <w:sz w:val="22"/>
                <w:szCs w:val="22"/>
                <w:lang w:eastAsia="zh-TW"/>
              </w:rPr>
              <w:t>ing</w:t>
            </w:r>
            <w:r w:rsidRPr="003F00AF">
              <w:rPr>
                <w:sz w:val="22"/>
                <w:szCs w:val="22"/>
                <w:lang w:eastAsia="zh-TW"/>
              </w:rPr>
              <w:t xml:space="preserve"> B2 diesel with more </w:t>
            </w:r>
            <w:r w:rsidRPr="003F00AF">
              <w:rPr>
                <w:bCs/>
                <w:sz w:val="22"/>
                <w:szCs w:val="22"/>
              </w:rPr>
              <w:t xml:space="preserve">than 50 ppm of sulfur content, </w:t>
            </w:r>
            <w:r w:rsidRPr="003F00AF">
              <w:rPr>
                <w:sz w:val="22"/>
                <w:szCs w:val="22"/>
                <w:lang w:eastAsia="zh-TW"/>
              </w:rPr>
              <w:t xml:space="preserve">for automotive purposes, in </w:t>
            </w:r>
            <w:r w:rsidR="00DD146C" w:rsidRPr="003F00AF">
              <w:rPr>
                <w:sz w:val="22"/>
                <w:szCs w:val="22"/>
                <w:lang w:eastAsia="zh-TW"/>
              </w:rPr>
              <w:t>Lima and Callao provinces</w:t>
            </w:r>
            <w:r w:rsidRPr="003F00AF">
              <w:rPr>
                <w:sz w:val="22"/>
                <w:szCs w:val="22"/>
                <w:lang w:eastAsia="zh-TW"/>
              </w:rPr>
              <w:t xml:space="preserve"> on January 1, 2010. The commercialization of B5 diesel with more </w:t>
            </w:r>
            <w:r w:rsidRPr="003F00AF">
              <w:rPr>
                <w:bCs/>
                <w:sz w:val="22"/>
                <w:szCs w:val="22"/>
              </w:rPr>
              <w:t xml:space="preserve">than 50 ppm of sulfur content, </w:t>
            </w:r>
            <w:r w:rsidRPr="003F00AF">
              <w:rPr>
                <w:sz w:val="22"/>
                <w:szCs w:val="22"/>
                <w:lang w:eastAsia="zh-TW"/>
              </w:rPr>
              <w:t xml:space="preserve">for all types of purposes, was banned in </w:t>
            </w:r>
            <w:r w:rsidR="00DD146C" w:rsidRPr="003F00AF">
              <w:rPr>
                <w:sz w:val="22"/>
                <w:szCs w:val="22"/>
                <w:lang w:eastAsia="zh-TW"/>
              </w:rPr>
              <w:t>Lima, Arequipa, Cusco, Puno</w:t>
            </w:r>
            <w:r w:rsidRPr="003F00AF">
              <w:rPr>
                <w:sz w:val="22"/>
                <w:szCs w:val="22"/>
                <w:lang w:eastAsia="zh-TW"/>
              </w:rPr>
              <w:t xml:space="preserve"> and </w:t>
            </w:r>
            <w:r w:rsidR="00DD146C" w:rsidRPr="003F00AF">
              <w:rPr>
                <w:sz w:val="22"/>
                <w:szCs w:val="22"/>
                <w:lang w:eastAsia="zh-TW"/>
              </w:rPr>
              <w:t>Madre de Dios departments</w:t>
            </w:r>
            <w:r w:rsidRPr="003F00AF">
              <w:rPr>
                <w:sz w:val="22"/>
                <w:szCs w:val="22"/>
                <w:lang w:eastAsia="zh-TW"/>
              </w:rPr>
              <w:t xml:space="preserve">, and the Callao province on July 16, 2013. </w:t>
            </w:r>
            <w:r w:rsidR="007606E9">
              <w:rPr>
                <w:sz w:val="22"/>
                <w:szCs w:val="22"/>
                <w:lang w:eastAsia="zh-TW"/>
              </w:rPr>
              <w:t xml:space="preserve">Additionally, </w:t>
            </w:r>
            <w:r w:rsidRPr="003F00AF">
              <w:rPr>
                <w:sz w:val="22"/>
                <w:szCs w:val="22"/>
                <w:lang w:eastAsia="zh-TW"/>
              </w:rPr>
              <w:t>on January 1, 2016, the GoP required all gas stations</w:t>
            </w:r>
            <w:r w:rsidR="00BC3B0D">
              <w:rPr>
                <w:sz w:val="22"/>
                <w:szCs w:val="22"/>
                <w:lang w:eastAsia="zh-TW"/>
              </w:rPr>
              <w:t xml:space="preserve"> (376) </w:t>
            </w:r>
            <w:r w:rsidR="00E91D3A" w:rsidRPr="003F00AF">
              <w:rPr>
                <w:sz w:val="22"/>
                <w:szCs w:val="22"/>
                <w:lang w:eastAsia="zh-TW"/>
              </w:rPr>
              <w:t xml:space="preserve">in Junín, Moquegua, and Tacna departments </w:t>
            </w:r>
            <w:r w:rsidRPr="003F00AF">
              <w:rPr>
                <w:sz w:val="22"/>
                <w:szCs w:val="22"/>
                <w:lang w:eastAsia="zh-TW"/>
              </w:rPr>
              <w:t>to supply clean diesel</w:t>
            </w:r>
            <w:r w:rsidR="00DD146C" w:rsidRPr="003F00AF">
              <w:rPr>
                <w:sz w:val="22"/>
                <w:szCs w:val="22"/>
                <w:lang w:eastAsia="zh-TW"/>
              </w:rPr>
              <w:t>.</w:t>
            </w:r>
          </w:p>
        </w:tc>
      </w:tr>
      <w:tr w:rsidR="008D5034" w:rsidRPr="003F00AF" w14:paraId="6B2C5E5A"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223F22F2" w14:textId="79623AC2" w:rsidR="008D5034" w:rsidRPr="003F00AF" w:rsidRDefault="008D5034" w:rsidP="003925BE">
            <w:pPr>
              <w:keepNext/>
              <w:rPr>
                <w:sz w:val="22"/>
                <w:szCs w:val="22"/>
                <w:lang w:eastAsia="zh-TW"/>
              </w:rPr>
            </w:pPr>
            <w:r w:rsidRPr="003F00AF">
              <w:rPr>
                <w:b/>
                <w:bCs/>
                <w:sz w:val="22"/>
                <w:szCs w:val="22"/>
              </w:rPr>
              <w:t xml:space="preserve">PDO Indicator </w:t>
            </w:r>
            <w:r w:rsidR="003925BE">
              <w:rPr>
                <w:b/>
                <w:bCs/>
                <w:sz w:val="22"/>
                <w:szCs w:val="22"/>
              </w:rPr>
              <w:t>8</w:t>
            </w:r>
            <w:r w:rsidRPr="003F00AF">
              <w:rPr>
                <w:b/>
                <w:bCs/>
                <w:sz w:val="22"/>
                <w:szCs w:val="22"/>
              </w:rPr>
              <w:t xml:space="preserve">: </w:t>
            </w:r>
            <w:r w:rsidRPr="003F00AF">
              <w:rPr>
                <w:bCs/>
                <w:sz w:val="22"/>
                <w:szCs w:val="22"/>
              </w:rPr>
              <w:t>Number of vehicles converted to natural gas and number of service stations supplying natural gas in Lima</w:t>
            </w:r>
          </w:p>
        </w:tc>
      </w:tr>
      <w:tr w:rsidR="008D5034" w:rsidRPr="003F00AF" w14:paraId="51E2ED1A" w14:textId="77777777" w:rsidTr="00BD53A2">
        <w:tblPrEx>
          <w:tblCellMar>
            <w:top w:w="10" w:type="dxa"/>
            <w:left w:w="10" w:type="dxa"/>
            <w:bottom w:w="10" w:type="dxa"/>
            <w:right w:w="10" w:type="dxa"/>
          </w:tblCellMar>
        </w:tblPrEx>
        <w:trPr>
          <w:trHeight w:val="1656"/>
        </w:trPr>
        <w:tc>
          <w:tcPr>
            <w:tcW w:w="2135" w:type="dxa"/>
            <w:gridSpan w:val="3"/>
            <w:shd w:val="clear" w:color="auto" w:fill="auto"/>
            <w:vAlign w:val="center"/>
          </w:tcPr>
          <w:p w14:paraId="202C84A1"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66E8D78C" w14:textId="2FE7CF7F" w:rsidR="008D5034" w:rsidRPr="003F00AF" w:rsidRDefault="008D5034" w:rsidP="008D5034">
            <w:pPr>
              <w:keepNext/>
              <w:rPr>
                <w:bCs/>
                <w:sz w:val="22"/>
                <w:szCs w:val="22"/>
              </w:rPr>
            </w:pPr>
            <w:r w:rsidRPr="003F00AF">
              <w:rPr>
                <w:bCs/>
                <w:sz w:val="22"/>
                <w:szCs w:val="22"/>
              </w:rPr>
              <w:t xml:space="preserve">35,000 vehicles converted to natural gas in Lima </w:t>
            </w:r>
          </w:p>
        </w:tc>
        <w:tc>
          <w:tcPr>
            <w:tcW w:w="2340" w:type="dxa"/>
            <w:gridSpan w:val="7"/>
            <w:shd w:val="clear" w:color="auto" w:fill="auto"/>
            <w:vAlign w:val="center"/>
          </w:tcPr>
          <w:p w14:paraId="0DA20582" w14:textId="77777777" w:rsidR="008D5034" w:rsidRPr="003F00AF" w:rsidRDefault="008D5034" w:rsidP="008D5034">
            <w:pPr>
              <w:autoSpaceDE w:val="0"/>
              <w:autoSpaceDN w:val="0"/>
              <w:adjustRightInd w:val="0"/>
              <w:rPr>
                <w:sz w:val="22"/>
                <w:szCs w:val="22"/>
                <w:lang w:eastAsia="zh-TW"/>
              </w:rPr>
            </w:pPr>
            <w:r w:rsidRPr="003F00AF">
              <w:rPr>
                <w:sz w:val="22"/>
                <w:szCs w:val="22"/>
                <w:lang w:eastAsia="zh-TW"/>
              </w:rPr>
              <w:t>At least 80,000 vehicles converted to natural gas and 90 service stations are installed and operating in Lima.</w:t>
            </w:r>
          </w:p>
        </w:tc>
        <w:tc>
          <w:tcPr>
            <w:tcW w:w="1360" w:type="dxa"/>
            <w:gridSpan w:val="3"/>
            <w:shd w:val="clear" w:color="auto" w:fill="auto"/>
            <w:vAlign w:val="center"/>
          </w:tcPr>
          <w:p w14:paraId="1BB9F211" w14:textId="6B100DC8"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4788459A" w14:textId="581DF5F3" w:rsidR="008D5034" w:rsidRPr="003F00AF" w:rsidRDefault="00F274DE" w:rsidP="008605B9">
            <w:pPr>
              <w:keepNext/>
              <w:rPr>
                <w:bCs/>
                <w:sz w:val="22"/>
                <w:szCs w:val="22"/>
              </w:rPr>
            </w:pPr>
            <w:r w:rsidRPr="003F00AF">
              <w:rPr>
                <w:sz w:val="22"/>
                <w:szCs w:val="22"/>
                <w:lang w:eastAsia="zh-TW"/>
              </w:rPr>
              <w:t>Approximately 2</w:t>
            </w:r>
            <w:r w:rsidR="00A8113E">
              <w:rPr>
                <w:sz w:val="22"/>
                <w:szCs w:val="22"/>
                <w:lang w:eastAsia="zh-TW"/>
              </w:rPr>
              <w:t>1</w:t>
            </w:r>
            <w:r w:rsidR="008605B9">
              <w:rPr>
                <w:sz w:val="22"/>
                <w:szCs w:val="22"/>
                <w:lang w:eastAsia="zh-TW"/>
              </w:rPr>
              <w:t>0</w:t>
            </w:r>
            <w:r w:rsidRPr="003F00AF">
              <w:rPr>
                <w:sz w:val="22"/>
                <w:szCs w:val="22"/>
                <w:lang w:eastAsia="zh-TW"/>
              </w:rPr>
              <w:t xml:space="preserve">,000 </w:t>
            </w:r>
            <w:r w:rsidR="009F64CE" w:rsidRPr="003F00AF">
              <w:rPr>
                <w:sz w:val="22"/>
                <w:szCs w:val="22"/>
                <w:lang w:eastAsia="zh-TW"/>
              </w:rPr>
              <w:t xml:space="preserve">vehicles converted to natural gas and </w:t>
            </w:r>
            <w:r>
              <w:rPr>
                <w:sz w:val="22"/>
                <w:szCs w:val="22"/>
                <w:lang w:eastAsia="zh-TW"/>
              </w:rPr>
              <w:t>2</w:t>
            </w:r>
            <w:r w:rsidR="00A8113E">
              <w:rPr>
                <w:sz w:val="22"/>
                <w:szCs w:val="22"/>
                <w:lang w:eastAsia="zh-TW"/>
              </w:rPr>
              <w:t>3</w:t>
            </w:r>
            <w:r w:rsidR="008605B9">
              <w:rPr>
                <w:sz w:val="22"/>
                <w:szCs w:val="22"/>
                <w:lang w:eastAsia="zh-TW"/>
              </w:rPr>
              <w:t>6</w:t>
            </w:r>
            <w:r w:rsidR="00A8113E">
              <w:rPr>
                <w:sz w:val="22"/>
                <w:szCs w:val="22"/>
                <w:lang w:eastAsia="zh-TW"/>
              </w:rPr>
              <w:t xml:space="preserve"> </w:t>
            </w:r>
            <w:r w:rsidR="009F64CE" w:rsidRPr="003F00AF">
              <w:rPr>
                <w:sz w:val="22"/>
                <w:szCs w:val="22"/>
                <w:lang w:eastAsia="zh-TW"/>
              </w:rPr>
              <w:t>service stations</w:t>
            </w:r>
            <w:r w:rsidR="00C436DF">
              <w:rPr>
                <w:sz w:val="22"/>
                <w:szCs w:val="22"/>
                <w:lang w:eastAsia="zh-TW"/>
              </w:rPr>
              <w:t xml:space="preserve"> offering natural gas</w:t>
            </w:r>
            <w:r w:rsidR="009F64CE" w:rsidRPr="003F00AF">
              <w:rPr>
                <w:sz w:val="22"/>
                <w:szCs w:val="22"/>
                <w:lang w:eastAsia="zh-TW"/>
              </w:rPr>
              <w:t xml:space="preserve"> are installed and operating in </w:t>
            </w:r>
            <w:r w:rsidR="00A8113E">
              <w:rPr>
                <w:sz w:val="22"/>
                <w:szCs w:val="22"/>
                <w:lang w:eastAsia="zh-TW"/>
              </w:rPr>
              <w:t>Lima</w:t>
            </w:r>
            <w:r w:rsidR="009F64CE" w:rsidRPr="003F00AF">
              <w:rPr>
                <w:sz w:val="22"/>
                <w:szCs w:val="22"/>
                <w:lang w:eastAsia="zh-TW"/>
              </w:rPr>
              <w:t>.</w:t>
            </w:r>
          </w:p>
        </w:tc>
      </w:tr>
      <w:tr w:rsidR="008D5034" w:rsidRPr="003F00AF" w14:paraId="56F5C32A"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09AED537"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13365F7F" w14:textId="77777777" w:rsidR="008D5034" w:rsidRPr="003F00AF" w:rsidRDefault="008D5034" w:rsidP="008D5034">
            <w:pPr>
              <w:keepNext/>
              <w:rPr>
                <w:bCs/>
                <w:sz w:val="22"/>
                <w:szCs w:val="22"/>
              </w:rPr>
            </w:pPr>
            <w:r w:rsidRPr="003F00AF">
              <w:rPr>
                <w:bCs/>
                <w:sz w:val="22"/>
                <w:szCs w:val="22"/>
              </w:rPr>
              <w:t>9/30/2008</w:t>
            </w:r>
          </w:p>
        </w:tc>
        <w:tc>
          <w:tcPr>
            <w:tcW w:w="2330" w:type="dxa"/>
            <w:gridSpan w:val="6"/>
            <w:shd w:val="clear" w:color="auto" w:fill="auto"/>
            <w:vAlign w:val="center"/>
          </w:tcPr>
          <w:p w14:paraId="0FF179E6" w14:textId="41E26A12" w:rsidR="008D5034" w:rsidRPr="003F00AF" w:rsidRDefault="00D04DA8" w:rsidP="008D5034">
            <w:pPr>
              <w:keepNext/>
              <w:rPr>
                <w:bCs/>
                <w:sz w:val="22"/>
                <w:szCs w:val="22"/>
              </w:rPr>
            </w:pPr>
            <w:r w:rsidRPr="003F00AF">
              <w:rPr>
                <w:bCs/>
                <w:sz w:val="22"/>
                <w:szCs w:val="22"/>
              </w:rPr>
              <w:t>12/31/2013</w:t>
            </w:r>
          </w:p>
        </w:tc>
        <w:tc>
          <w:tcPr>
            <w:tcW w:w="1370" w:type="dxa"/>
            <w:gridSpan w:val="4"/>
            <w:shd w:val="clear" w:color="auto" w:fill="auto"/>
            <w:vAlign w:val="center"/>
          </w:tcPr>
          <w:p w14:paraId="27FA4DAD" w14:textId="4F086402" w:rsidR="008D5034" w:rsidRPr="003F00AF" w:rsidRDefault="008D5034" w:rsidP="008D5034">
            <w:pPr>
              <w:keepNext/>
              <w:rPr>
                <w:bCs/>
                <w:sz w:val="22"/>
                <w:szCs w:val="22"/>
              </w:rPr>
            </w:pPr>
          </w:p>
        </w:tc>
        <w:tc>
          <w:tcPr>
            <w:tcW w:w="2591" w:type="dxa"/>
            <w:gridSpan w:val="5"/>
            <w:shd w:val="clear" w:color="auto" w:fill="auto"/>
            <w:vAlign w:val="center"/>
          </w:tcPr>
          <w:p w14:paraId="4882A4B6" w14:textId="4571501F" w:rsidR="008D5034" w:rsidRPr="003F00AF" w:rsidRDefault="00C95C77" w:rsidP="00027C47">
            <w:pPr>
              <w:keepNext/>
              <w:rPr>
                <w:sz w:val="22"/>
                <w:szCs w:val="22"/>
                <w:lang w:eastAsia="zh-TW"/>
              </w:rPr>
            </w:pPr>
            <w:r>
              <w:rPr>
                <w:sz w:val="22"/>
                <w:szCs w:val="22"/>
                <w:lang w:eastAsia="zh-TW"/>
              </w:rPr>
              <w:t>12</w:t>
            </w:r>
            <w:r w:rsidR="009F64CE" w:rsidRPr="00842037">
              <w:rPr>
                <w:sz w:val="22"/>
                <w:szCs w:val="22"/>
                <w:lang w:eastAsia="zh-TW"/>
              </w:rPr>
              <w:t>/</w:t>
            </w:r>
            <w:r>
              <w:rPr>
                <w:sz w:val="22"/>
                <w:szCs w:val="22"/>
                <w:lang w:eastAsia="zh-TW"/>
              </w:rPr>
              <w:t>31</w:t>
            </w:r>
            <w:r w:rsidR="009F64CE" w:rsidRPr="00842037">
              <w:rPr>
                <w:sz w:val="22"/>
                <w:szCs w:val="22"/>
                <w:lang w:eastAsia="zh-TW"/>
              </w:rPr>
              <w:t>/201</w:t>
            </w:r>
            <w:r w:rsidR="00027C47">
              <w:rPr>
                <w:sz w:val="22"/>
                <w:szCs w:val="22"/>
                <w:lang w:eastAsia="zh-TW"/>
              </w:rPr>
              <w:t>5</w:t>
            </w:r>
          </w:p>
        </w:tc>
      </w:tr>
      <w:tr w:rsidR="008D5034" w:rsidRPr="003F00AF" w14:paraId="6A03C08B"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2D4D156D" w14:textId="61ED98E8"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013BB10C" w14:textId="4E592B07" w:rsidR="00A8113E" w:rsidRPr="003F00AF" w:rsidRDefault="00E91D3A" w:rsidP="00E91D3A">
            <w:pPr>
              <w:keepNext/>
              <w:rPr>
                <w:sz w:val="22"/>
                <w:szCs w:val="22"/>
                <w:lang w:eastAsia="zh-TW"/>
              </w:rPr>
            </w:pPr>
            <w:r>
              <w:rPr>
                <w:sz w:val="22"/>
                <w:szCs w:val="22"/>
                <w:lang w:eastAsia="zh-TW"/>
              </w:rPr>
              <w:t>Fully achieved and target surpassed.</w:t>
            </w:r>
          </w:p>
        </w:tc>
      </w:tr>
      <w:tr w:rsidR="008D5034" w:rsidRPr="003F00AF" w14:paraId="3D98944B"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2CFE94A0" w14:textId="4D97A0CA" w:rsidR="008D5034" w:rsidRPr="003F00AF" w:rsidRDefault="008D5034" w:rsidP="003925BE">
            <w:pPr>
              <w:autoSpaceDE w:val="0"/>
              <w:autoSpaceDN w:val="0"/>
              <w:adjustRightInd w:val="0"/>
              <w:rPr>
                <w:sz w:val="22"/>
                <w:szCs w:val="22"/>
                <w:highlight w:val="yellow"/>
                <w:lang w:eastAsia="zh-TW"/>
              </w:rPr>
            </w:pPr>
            <w:r w:rsidRPr="003F00AF">
              <w:rPr>
                <w:b/>
                <w:bCs/>
                <w:sz w:val="22"/>
                <w:szCs w:val="22"/>
              </w:rPr>
              <w:t xml:space="preserve">PDO Indicator </w:t>
            </w:r>
            <w:r w:rsidR="003925BE">
              <w:rPr>
                <w:b/>
                <w:bCs/>
                <w:sz w:val="22"/>
                <w:szCs w:val="22"/>
              </w:rPr>
              <w:t>9</w:t>
            </w:r>
            <w:r w:rsidRPr="003F00AF">
              <w:rPr>
                <w:b/>
                <w:bCs/>
                <w:sz w:val="22"/>
                <w:szCs w:val="22"/>
              </w:rPr>
              <w:t xml:space="preserve">: </w:t>
            </w:r>
            <w:r w:rsidRPr="003F00AF">
              <w:rPr>
                <w:bCs/>
                <w:sz w:val="22"/>
                <w:szCs w:val="22"/>
              </w:rPr>
              <w:t>Number of vehicle inspection and maintenance systems operating in Lima and other three largest cities</w:t>
            </w:r>
          </w:p>
        </w:tc>
      </w:tr>
      <w:tr w:rsidR="008D5034" w:rsidRPr="003F00AF" w14:paraId="1C6C7E88" w14:textId="77777777" w:rsidTr="00BD53A2">
        <w:tblPrEx>
          <w:tblCellMar>
            <w:top w:w="10" w:type="dxa"/>
            <w:left w:w="10" w:type="dxa"/>
            <w:bottom w:w="10" w:type="dxa"/>
            <w:right w:w="10" w:type="dxa"/>
          </w:tblCellMar>
        </w:tblPrEx>
        <w:trPr>
          <w:trHeight w:val="3958"/>
        </w:trPr>
        <w:tc>
          <w:tcPr>
            <w:tcW w:w="2135" w:type="dxa"/>
            <w:gridSpan w:val="3"/>
            <w:shd w:val="clear" w:color="auto" w:fill="auto"/>
            <w:vAlign w:val="center"/>
          </w:tcPr>
          <w:p w14:paraId="217DD6BE"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73A3F429" w14:textId="5A9B513E" w:rsidR="008D5034" w:rsidRPr="003F00AF" w:rsidRDefault="008D5034" w:rsidP="008D5034">
            <w:pPr>
              <w:keepNext/>
              <w:rPr>
                <w:bCs/>
                <w:sz w:val="22"/>
                <w:szCs w:val="22"/>
              </w:rPr>
            </w:pPr>
            <w:r w:rsidRPr="003F00AF">
              <w:rPr>
                <w:bCs/>
                <w:sz w:val="22"/>
                <w:szCs w:val="22"/>
              </w:rPr>
              <w:t>Six inspection lanes operational in Lima for heavy duty vehicles and about 60,000 vehicles inspected in Lima</w:t>
            </w:r>
          </w:p>
        </w:tc>
        <w:tc>
          <w:tcPr>
            <w:tcW w:w="2340" w:type="dxa"/>
            <w:gridSpan w:val="7"/>
            <w:shd w:val="clear" w:color="auto" w:fill="auto"/>
            <w:vAlign w:val="center"/>
          </w:tcPr>
          <w:p w14:paraId="73DAD17C" w14:textId="0C6B265A" w:rsidR="008D5034" w:rsidRPr="003F00AF" w:rsidRDefault="0098114D" w:rsidP="008D5034">
            <w:pPr>
              <w:autoSpaceDE w:val="0"/>
              <w:autoSpaceDN w:val="0"/>
              <w:adjustRightInd w:val="0"/>
              <w:rPr>
                <w:sz w:val="22"/>
                <w:szCs w:val="22"/>
                <w:lang w:eastAsia="zh-TW"/>
              </w:rPr>
            </w:pPr>
            <w:r w:rsidRPr="003F00AF">
              <w:rPr>
                <w:bCs/>
                <w:sz w:val="22"/>
                <w:szCs w:val="22"/>
              </w:rPr>
              <w:t xml:space="preserve">Vehicle inspection and maintenance system operating in Lima </w:t>
            </w:r>
            <w:r w:rsidR="00B833CD" w:rsidRPr="003F00AF">
              <w:rPr>
                <w:bCs/>
                <w:sz w:val="22"/>
                <w:szCs w:val="22"/>
              </w:rPr>
              <w:t xml:space="preserve">with at least 20 lanes </w:t>
            </w:r>
            <w:r w:rsidRPr="003F00AF">
              <w:rPr>
                <w:bCs/>
                <w:sz w:val="22"/>
                <w:szCs w:val="22"/>
              </w:rPr>
              <w:t xml:space="preserve">(with at least 600,000 vehicles inspected), and </w:t>
            </w:r>
            <w:r w:rsidR="00B833CD" w:rsidRPr="003F00AF">
              <w:rPr>
                <w:bCs/>
                <w:sz w:val="22"/>
                <w:szCs w:val="22"/>
              </w:rPr>
              <w:t xml:space="preserve">at least three lanes in </w:t>
            </w:r>
            <w:r w:rsidRPr="003F00AF">
              <w:rPr>
                <w:bCs/>
                <w:sz w:val="22"/>
                <w:szCs w:val="22"/>
              </w:rPr>
              <w:t>each of the three largest cities (with at least 80,000 vehicles inspected)</w:t>
            </w:r>
          </w:p>
        </w:tc>
        <w:tc>
          <w:tcPr>
            <w:tcW w:w="1360" w:type="dxa"/>
            <w:gridSpan w:val="3"/>
            <w:shd w:val="clear" w:color="auto" w:fill="auto"/>
            <w:vAlign w:val="center"/>
          </w:tcPr>
          <w:p w14:paraId="2CA38759" w14:textId="6D62154E" w:rsidR="008D5034" w:rsidRPr="003F00AF" w:rsidRDefault="008D5034" w:rsidP="008D5034">
            <w:pPr>
              <w:keepNext/>
              <w:rPr>
                <w:bCs/>
                <w:sz w:val="22"/>
                <w:szCs w:val="22"/>
              </w:rPr>
            </w:pPr>
            <w:r w:rsidRPr="003F00AF">
              <w:rPr>
                <w:bCs/>
                <w:sz w:val="22"/>
                <w:szCs w:val="22"/>
              </w:rPr>
              <w:t xml:space="preserve">Vehicle inspection and maintenance system operating in Lima (with at least 600,000 vehicles inspected), and each of the three largest cities (with at least 80,000 vehicles inspected) </w:t>
            </w:r>
          </w:p>
        </w:tc>
        <w:tc>
          <w:tcPr>
            <w:tcW w:w="2591" w:type="dxa"/>
            <w:gridSpan w:val="5"/>
            <w:shd w:val="clear" w:color="auto" w:fill="auto"/>
            <w:vAlign w:val="center"/>
          </w:tcPr>
          <w:p w14:paraId="7841329F" w14:textId="0E9E5440" w:rsidR="00265F22" w:rsidRDefault="004F628E" w:rsidP="00265F22">
            <w:pPr>
              <w:autoSpaceDE w:val="0"/>
              <w:autoSpaceDN w:val="0"/>
              <w:adjustRightInd w:val="0"/>
              <w:rPr>
                <w:bCs/>
                <w:sz w:val="22"/>
                <w:szCs w:val="22"/>
              </w:rPr>
            </w:pPr>
            <w:r>
              <w:rPr>
                <w:bCs/>
                <w:sz w:val="22"/>
                <w:szCs w:val="22"/>
              </w:rPr>
              <w:t>20</w:t>
            </w:r>
            <w:r w:rsidR="00265F22">
              <w:rPr>
                <w:bCs/>
                <w:sz w:val="22"/>
                <w:szCs w:val="22"/>
              </w:rPr>
              <w:t xml:space="preserve"> vehicle</w:t>
            </w:r>
            <w:r w:rsidR="008D5034" w:rsidRPr="003F00AF">
              <w:rPr>
                <w:bCs/>
                <w:sz w:val="22"/>
                <w:szCs w:val="22"/>
              </w:rPr>
              <w:t xml:space="preserve"> inspection </w:t>
            </w:r>
            <w:r w:rsidR="00C436DF">
              <w:rPr>
                <w:bCs/>
                <w:sz w:val="22"/>
                <w:szCs w:val="22"/>
              </w:rPr>
              <w:t>and maintenance systems were operating in Lima and Callao</w:t>
            </w:r>
            <w:r w:rsidR="00265F22">
              <w:rPr>
                <w:bCs/>
                <w:sz w:val="22"/>
                <w:szCs w:val="22"/>
              </w:rPr>
              <w:t>, 7 in Arequipa and 4</w:t>
            </w:r>
            <w:r w:rsidR="00DD4873">
              <w:rPr>
                <w:bCs/>
                <w:sz w:val="22"/>
                <w:szCs w:val="22"/>
              </w:rPr>
              <w:t xml:space="preserve"> in</w:t>
            </w:r>
            <w:r w:rsidR="00265F22">
              <w:rPr>
                <w:bCs/>
                <w:sz w:val="22"/>
                <w:szCs w:val="22"/>
              </w:rPr>
              <w:t xml:space="preserve"> La Libertad.</w:t>
            </w:r>
            <w:r w:rsidR="00C436DF">
              <w:rPr>
                <w:bCs/>
                <w:sz w:val="22"/>
                <w:szCs w:val="22"/>
              </w:rPr>
              <w:t xml:space="preserve"> </w:t>
            </w:r>
          </w:p>
          <w:p w14:paraId="51D6118F" w14:textId="12122F0E" w:rsidR="008D5034" w:rsidRPr="003F00AF" w:rsidRDefault="00265F22" w:rsidP="00684B71">
            <w:pPr>
              <w:autoSpaceDE w:val="0"/>
              <w:autoSpaceDN w:val="0"/>
              <w:adjustRightInd w:val="0"/>
              <w:rPr>
                <w:bCs/>
                <w:sz w:val="22"/>
                <w:szCs w:val="22"/>
              </w:rPr>
            </w:pPr>
            <w:r>
              <w:rPr>
                <w:bCs/>
                <w:sz w:val="22"/>
                <w:szCs w:val="22"/>
              </w:rPr>
              <w:t>M</w:t>
            </w:r>
            <w:r w:rsidR="00C436DF" w:rsidRPr="003F00AF">
              <w:rPr>
                <w:bCs/>
                <w:sz w:val="22"/>
                <w:szCs w:val="22"/>
              </w:rPr>
              <w:t>ore than 1,000,000 v</w:t>
            </w:r>
            <w:r w:rsidR="00C436DF">
              <w:rPr>
                <w:bCs/>
                <w:sz w:val="22"/>
                <w:szCs w:val="22"/>
              </w:rPr>
              <w:t>ehicles inspected</w:t>
            </w:r>
            <w:r>
              <w:rPr>
                <w:bCs/>
                <w:sz w:val="22"/>
                <w:szCs w:val="22"/>
              </w:rPr>
              <w:t xml:space="preserve"> in Lima and Callao in 2015. </w:t>
            </w:r>
            <w:r w:rsidR="00684B71">
              <w:rPr>
                <w:bCs/>
                <w:sz w:val="22"/>
                <w:szCs w:val="22"/>
              </w:rPr>
              <w:t>Ano</w:t>
            </w:r>
            <w:r w:rsidR="008D5034" w:rsidRPr="003F00AF">
              <w:rPr>
                <w:bCs/>
                <w:sz w:val="22"/>
                <w:szCs w:val="22"/>
              </w:rPr>
              <w:t xml:space="preserve">ther 47,688 vehicles </w:t>
            </w:r>
            <w:r w:rsidR="00C436DF">
              <w:rPr>
                <w:bCs/>
                <w:sz w:val="22"/>
                <w:szCs w:val="22"/>
              </w:rPr>
              <w:t xml:space="preserve">were </w:t>
            </w:r>
            <w:r w:rsidR="008D5034" w:rsidRPr="003F00AF">
              <w:rPr>
                <w:bCs/>
                <w:sz w:val="22"/>
                <w:szCs w:val="22"/>
              </w:rPr>
              <w:t>inspected in Arequipa and 29,263 in La Libertad in 2012.</w:t>
            </w:r>
          </w:p>
        </w:tc>
      </w:tr>
      <w:tr w:rsidR="008D5034" w:rsidRPr="003F00AF" w14:paraId="42C265DA"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093EEA3F" w14:textId="7B07EC00"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4DAD2743" w14:textId="77777777" w:rsidR="008D5034" w:rsidRPr="003F00AF" w:rsidRDefault="008D5034" w:rsidP="008D5034">
            <w:pPr>
              <w:keepNext/>
              <w:rPr>
                <w:bCs/>
                <w:sz w:val="22"/>
                <w:szCs w:val="22"/>
              </w:rPr>
            </w:pPr>
            <w:r w:rsidRPr="003F00AF">
              <w:rPr>
                <w:bCs/>
                <w:sz w:val="22"/>
                <w:szCs w:val="22"/>
              </w:rPr>
              <w:t>9/30/2008</w:t>
            </w:r>
          </w:p>
        </w:tc>
        <w:tc>
          <w:tcPr>
            <w:tcW w:w="2330" w:type="dxa"/>
            <w:gridSpan w:val="6"/>
            <w:shd w:val="clear" w:color="auto" w:fill="auto"/>
            <w:vAlign w:val="center"/>
          </w:tcPr>
          <w:p w14:paraId="7034495A" w14:textId="70561941" w:rsidR="008D5034" w:rsidRPr="003F00AF" w:rsidRDefault="00D04DA8" w:rsidP="008D5034">
            <w:pPr>
              <w:keepNext/>
              <w:rPr>
                <w:bCs/>
                <w:sz w:val="22"/>
                <w:szCs w:val="22"/>
              </w:rPr>
            </w:pPr>
            <w:r w:rsidRPr="003F00AF">
              <w:rPr>
                <w:bCs/>
                <w:sz w:val="22"/>
                <w:szCs w:val="22"/>
              </w:rPr>
              <w:t>12/31/2013</w:t>
            </w:r>
          </w:p>
        </w:tc>
        <w:tc>
          <w:tcPr>
            <w:tcW w:w="1370" w:type="dxa"/>
            <w:gridSpan w:val="4"/>
            <w:shd w:val="clear" w:color="auto" w:fill="auto"/>
            <w:vAlign w:val="center"/>
          </w:tcPr>
          <w:p w14:paraId="06C80DE9" w14:textId="570A1FFD" w:rsidR="008D5034" w:rsidRPr="003F00AF" w:rsidRDefault="00995AC5" w:rsidP="008D5034">
            <w:pPr>
              <w:keepNext/>
              <w:rPr>
                <w:bCs/>
                <w:sz w:val="22"/>
                <w:szCs w:val="22"/>
              </w:rPr>
            </w:pPr>
            <w:r w:rsidRPr="003F00AF">
              <w:rPr>
                <w:bCs/>
                <w:sz w:val="22"/>
                <w:szCs w:val="22"/>
              </w:rPr>
              <w:t>12/31/2013</w:t>
            </w:r>
          </w:p>
        </w:tc>
        <w:tc>
          <w:tcPr>
            <w:tcW w:w="2591" w:type="dxa"/>
            <w:gridSpan w:val="5"/>
            <w:shd w:val="clear" w:color="auto" w:fill="auto"/>
            <w:vAlign w:val="center"/>
          </w:tcPr>
          <w:p w14:paraId="43CA4B95" w14:textId="257D3A6B" w:rsidR="008D5034" w:rsidRPr="003F00AF" w:rsidRDefault="001B7C93" w:rsidP="00D46C28">
            <w:pPr>
              <w:autoSpaceDE w:val="0"/>
              <w:autoSpaceDN w:val="0"/>
              <w:adjustRightInd w:val="0"/>
              <w:rPr>
                <w:sz w:val="22"/>
                <w:szCs w:val="22"/>
                <w:highlight w:val="yellow"/>
                <w:lang w:eastAsia="zh-TW"/>
              </w:rPr>
            </w:pPr>
            <w:r w:rsidRPr="003F00AF">
              <w:rPr>
                <w:sz w:val="22"/>
                <w:szCs w:val="22"/>
                <w:lang w:eastAsia="zh-TW"/>
              </w:rPr>
              <w:t>1</w:t>
            </w:r>
            <w:r w:rsidR="00D46C28">
              <w:rPr>
                <w:sz w:val="22"/>
                <w:szCs w:val="22"/>
                <w:lang w:eastAsia="zh-TW"/>
              </w:rPr>
              <w:t>2</w:t>
            </w:r>
            <w:r w:rsidRPr="003F00AF">
              <w:rPr>
                <w:sz w:val="22"/>
                <w:szCs w:val="22"/>
                <w:lang w:eastAsia="zh-TW"/>
              </w:rPr>
              <w:t>/3</w:t>
            </w:r>
            <w:r w:rsidR="00D46C28">
              <w:rPr>
                <w:sz w:val="22"/>
                <w:szCs w:val="22"/>
                <w:lang w:eastAsia="zh-TW"/>
              </w:rPr>
              <w:t>1</w:t>
            </w:r>
            <w:r w:rsidRPr="003F00AF">
              <w:rPr>
                <w:sz w:val="22"/>
                <w:szCs w:val="22"/>
                <w:lang w:eastAsia="zh-TW"/>
              </w:rPr>
              <w:t>/2015</w:t>
            </w:r>
          </w:p>
        </w:tc>
      </w:tr>
      <w:tr w:rsidR="008D5034" w:rsidRPr="003F00AF" w14:paraId="4031592E"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36CA240D" w14:textId="22E6BBE4"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223E533B" w14:textId="5D14C374" w:rsidR="00382C81" w:rsidRPr="003F00AF" w:rsidRDefault="00E91D3A" w:rsidP="008D5034">
            <w:pPr>
              <w:autoSpaceDE w:val="0"/>
              <w:autoSpaceDN w:val="0"/>
              <w:adjustRightInd w:val="0"/>
              <w:rPr>
                <w:sz w:val="22"/>
                <w:szCs w:val="22"/>
                <w:lang w:eastAsia="zh-TW"/>
              </w:rPr>
            </w:pPr>
            <w:r>
              <w:rPr>
                <w:sz w:val="22"/>
                <w:szCs w:val="22"/>
                <w:lang w:eastAsia="zh-TW"/>
              </w:rPr>
              <w:t>Fully achieved and target surpassed.</w:t>
            </w:r>
          </w:p>
          <w:p w14:paraId="03D5E7FC" w14:textId="7B05C331" w:rsidR="0098114D" w:rsidRPr="003F00AF" w:rsidRDefault="00870896" w:rsidP="00D62127">
            <w:pPr>
              <w:autoSpaceDE w:val="0"/>
              <w:autoSpaceDN w:val="0"/>
              <w:adjustRightInd w:val="0"/>
              <w:jc w:val="both"/>
              <w:rPr>
                <w:sz w:val="22"/>
                <w:szCs w:val="22"/>
                <w:lang w:eastAsia="zh-TW"/>
              </w:rPr>
            </w:pPr>
            <w:r>
              <w:rPr>
                <w:sz w:val="22"/>
                <w:szCs w:val="22"/>
                <w:lang w:eastAsia="zh-TW"/>
              </w:rPr>
              <w:t xml:space="preserve">During the preparation of </w:t>
            </w:r>
            <w:r w:rsidR="00E23552" w:rsidRPr="003F00AF">
              <w:rPr>
                <w:sz w:val="22"/>
                <w:szCs w:val="22"/>
                <w:lang w:eastAsia="zh-TW"/>
              </w:rPr>
              <w:t xml:space="preserve">the </w:t>
            </w:r>
            <w:r w:rsidR="0098114D" w:rsidRPr="003F00AF">
              <w:rPr>
                <w:sz w:val="22"/>
                <w:szCs w:val="22"/>
                <w:lang w:eastAsia="zh-TW"/>
              </w:rPr>
              <w:t>ENVDPL III, the</w:t>
            </w:r>
            <w:r w:rsidR="005F5F8F" w:rsidRPr="003F00AF">
              <w:rPr>
                <w:sz w:val="22"/>
                <w:szCs w:val="22"/>
                <w:lang w:eastAsia="zh-TW"/>
              </w:rPr>
              <w:t xml:space="preserve"> Task Team refined the target </w:t>
            </w:r>
            <w:r w:rsidR="00C436DF">
              <w:rPr>
                <w:sz w:val="22"/>
                <w:szCs w:val="22"/>
                <w:lang w:eastAsia="zh-TW"/>
              </w:rPr>
              <w:t xml:space="preserve">value </w:t>
            </w:r>
            <w:r w:rsidR="0078104F">
              <w:rPr>
                <w:sz w:val="22"/>
                <w:szCs w:val="22"/>
                <w:lang w:eastAsia="zh-TW"/>
              </w:rPr>
              <w:t xml:space="preserve">to focus on </w:t>
            </w:r>
            <w:r w:rsidR="0078104F">
              <w:rPr>
                <w:bCs/>
                <w:sz w:val="22"/>
                <w:szCs w:val="22"/>
              </w:rPr>
              <w:t>the number of the inspected vehicles</w:t>
            </w:r>
            <w:r w:rsidR="004953CE">
              <w:rPr>
                <w:bCs/>
                <w:sz w:val="22"/>
                <w:szCs w:val="22"/>
              </w:rPr>
              <w:t xml:space="preserve">: 600,000 vehicles in Lima, and a total of 80,000 in Callao, Arequipa </w:t>
            </w:r>
            <w:r w:rsidR="00D62127">
              <w:rPr>
                <w:bCs/>
                <w:sz w:val="22"/>
                <w:szCs w:val="22"/>
              </w:rPr>
              <w:t xml:space="preserve">and La Libertad. </w:t>
            </w:r>
            <w:r w:rsidR="0078104F">
              <w:rPr>
                <w:bCs/>
                <w:sz w:val="22"/>
                <w:szCs w:val="22"/>
              </w:rPr>
              <w:t xml:space="preserve">At that time, the </w:t>
            </w:r>
            <w:r w:rsidR="0078104F" w:rsidRPr="003F00AF">
              <w:rPr>
                <w:sz w:val="22"/>
                <w:szCs w:val="22"/>
                <w:lang w:eastAsia="zh-TW"/>
              </w:rPr>
              <w:t>GoP had already achieved the</w:t>
            </w:r>
            <w:r w:rsidR="0078104F">
              <w:rPr>
                <w:sz w:val="22"/>
                <w:szCs w:val="22"/>
                <w:lang w:eastAsia="zh-TW"/>
              </w:rPr>
              <w:t xml:space="preserve"> original target value (as approved in ENVDPL I and II) </w:t>
            </w:r>
            <w:r w:rsidR="0078104F" w:rsidRPr="003F00AF">
              <w:rPr>
                <w:sz w:val="22"/>
                <w:szCs w:val="22"/>
                <w:lang w:eastAsia="zh-TW"/>
              </w:rPr>
              <w:t xml:space="preserve">in </w:t>
            </w:r>
            <w:r w:rsidR="0078104F">
              <w:rPr>
                <w:sz w:val="22"/>
                <w:szCs w:val="22"/>
                <w:lang w:eastAsia="zh-TW"/>
              </w:rPr>
              <w:t xml:space="preserve">regards to </w:t>
            </w:r>
            <w:r w:rsidR="0078104F" w:rsidRPr="003F00AF">
              <w:rPr>
                <w:sz w:val="22"/>
                <w:szCs w:val="22"/>
                <w:lang w:eastAsia="zh-TW"/>
              </w:rPr>
              <w:t>the number of inspection lanes</w:t>
            </w:r>
            <w:r w:rsidR="0078104F">
              <w:rPr>
                <w:bCs/>
                <w:sz w:val="22"/>
                <w:szCs w:val="22"/>
              </w:rPr>
              <w:t xml:space="preserve">. </w:t>
            </w:r>
            <w:r w:rsidR="0078104F" w:rsidRPr="003F00AF">
              <w:rPr>
                <w:sz w:val="22"/>
                <w:szCs w:val="22"/>
                <w:lang w:eastAsia="zh-TW"/>
              </w:rPr>
              <w:t>In July 2010, there were 29 lanes operating in Lima, 8 lanes in Callao, 5 lanes in Arequipa and 3 lanes in Trujillo (La Libertad).</w:t>
            </w:r>
          </w:p>
        </w:tc>
      </w:tr>
      <w:tr w:rsidR="008D5034" w:rsidRPr="003F00AF" w14:paraId="1DFE227D"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4037211D" w14:textId="040D8427" w:rsidR="008D5034" w:rsidRPr="003F00AF" w:rsidRDefault="008D5034" w:rsidP="003925BE">
            <w:pPr>
              <w:keepNext/>
              <w:rPr>
                <w:bCs/>
                <w:sz w:val="22"/>
                <w:szCs w:val="22"/>
              </w:rPr>
            </w:pPr>
            <w:r w:rsidRPr="003F00AF">
              <w:rPr>
                <w:b/>
                <w:bCs/>
                <w:sz w:val="22"/>
                <w:szCs w:val="22"/>
              </w:rPr>
              <w:t xml:space="preserve">PDO Indicator </w:t>
            </w:r>
            <w:r w:rsidR="003925BE">
              <w:rPr>
                <w:b/>
                <w:bCs/>
                <w:sz w:val="22"/>
                <w:szCs w:val="22"/>
              </w:rPr>
              <w:t>10</w:t>
            </w:r>
            <w:r w:rsidRPr="003F00AF">
              <w:rPr>
                <w:b/>
                <w:bCs/>
                <w:sz w:val="22"/>
                <w:szCs w:val="22"/>
              </w:rPr>
              <w:t xml:space="preserve">: </w:t>
            </w:r>
            <w:r w:rsidRPr="003F00AF">
              <w:rPr>
                <w:bCs/>
                <w:sz w:val="22"/>
                <w:szCs w:val="22"/>
              </w:rPr>
              <w:t xml:space="preserve">Percentage of </w:t>
            </w:r>
            <w:r w:rsidRPr="003F00AF">
              <w:rPr>
                <w:bCs/>
                <w:i/>
                <w:sz w:val="22"/>
                <w:szCs w:val="22"/>
              </w:rPr>
              <w:t>anchoveta</w:t>
            </w:r>
            <w:r w:rsidRPr="003F00AF">
              <w:rPr>
                <w:bCs/>
                <w:sz w:val="22"/>
                <w:szCs w:val="22"/>
              </w:rPr>
              <w:t xml:space="preserve"> fleet under the quota system</w:t>
            </w:r>
          </w:p>
        </w:tc>
      </w:tr>
      <w:tr w:rsidR="008D5034" w:rsidRPr="003F00AF" w14:paraId="0B128E0F" w14:textId="77777777" w:rsidTr="00BD53A2">
        <w:tblPrEx>
          <w:tblCellMar>
            <w:top w:w="10" w:type="dxa"/>
            <w:left w:w="10" w:type="dxa"/>
            <w:bottom w:w="10" w:type="dxa"/>
            <w:right w:w="10" w:type="dxa"/>
          </w:tblCellMar>
        </w:tblPrEx>
        <w:trPr>
          <w:trHeight w:val="828"/>
        </w:trPr>
        <w:tc>
          <w:tcPr>
            <w:tcW w:w="2135" w:type="dxa"/>
            <w:gridSpan w:val="3"/>
            <w:shd w:val="clear" w:color="auto" w:fill="auto"/>
            <w:vAlign w:val="center"/>
          </w:tcPr>
          <w:p w14:paraId="397DDDCB"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2CB27A0E" w14:textId="08C2D52D" w:rsidR="008D5034" w:rsidRPr="003F00AF" w:rsidRDefault="008D5034" w:rsidP="008D5034">
            <w:pPr>
              <w:keepNext/>
              <w:rPr>
                <w:bCs/>
                <w:sz w:val="22"/>
                <w:szCs w:val="22"/>
              </w:rPr>
            </w:pPr>
            <w:r w:rsidRPr="003F00AF">
              <w:rPr>
                <w:bCs/>
                <w:sz w:val="22"/>
                <w:szCs w:val="22"/>
              </w:rPr>
              <w:t>0 out of 1,166 vessels</w:t>
            </w:r>
          </w:p>
        </w:tc>
        <w:tc>
          <w:tcPr>
            <w:tcW w:w="2340" w:type="dxa"/>
            <w:gridSpan w:val="7"/>
            <w:shd w:val="clear" w:color="auto" w:fill="auto"/>
            <w:vAlign w:val="center"/>
          </w:tcPr>
          <w:p w14:paraId="56014599" w14:textId="3578CD6E" w:rsidR="008D5034" w:rsidRPr="003F00AF" w:rsidRDefault="008D5034" w:rsidP="008D5034">
            <w:pPr>
              <w:keepNext/>
              <w:rPr>
                <w:bCs/>
                <w:sz w:val="22"/>
                <w:szCs w:val="22"/>
              </w:rPr>
            </w:pPr>
            <w:r w:rsidRPr="003F00AF">
              <w:rPr>
                <w:bCs/>
                <w:sz w:val="22"/>
                <w:szCs w:val="22"/>
              </w:rPr>
              <w:t xml:space="preserve">100% of the </w:t>
            </w:r>
            <w:r w:rsidRPr="003F00AF">
              <w:rPr>
                <w:bCs/>
                <w:i/>
                <w:sz w:val="22"/>
                <w:szCs w:val="22"/>
              </w:rPr>
              <w:t>anchoveta</w:t>
            </w:r>
            <w:r w:rsidRPr="003F00AF">
              <w:rPr>
                <w:bCs/>
                <w:sz w:val="22"/>
                <w:szCs w:val="22"/>
              </w:rPr>
              <w:t xml:space="preserve"> fleet under the quota system</w:t>
            </w:r>
          </w:p>
        </w:tc>
        <w:tc>
          <w:tcPr>
            <w:tcW w:w="1360" w:type="dxa"/>
            <w:gridSpan w:val="3"/>
            <w:shd w:val="clear" w:color="auto" w:fill="auto"/>
            <w:vAlign w:val="center"/>
          </w:tcPr>
          <w:p w14:paraId="09D7E89C" w14:textId="766DC3A2" w:rsidR="008D5034" w:rsidRPr="003F00AF" w:rsidRDefault="008D5034" w:rsidP="008D5034">
            <w:pPr>
              <w:keepNext/>
              <w:rPr>
                <w:bCs/>
                <w:sz w:val="22"/>
                <w:szCs w:val="22"/>
              </w:rPr>
            </w:pPr>
            <w:r w:rsidRPr="003F00AF">
              <w:rPr>
                <w:bCs/>
                <w:sz w:val="22"/>
                <w:szCs w:val="22"/>
              </w:rPr>
              <w:t>n.a.</w:t>
            </w:r>
          </w:p>
        </w:tc>
        <w:tc>
          <w:tcPr>
            <w:tcW w:w="2591" w:type="dxa"/>
            <w:gridSpan w:val="5"/>
            <w:shd w:val="clear" w:color="auto" w:fill="auto"/>
            <w:vAlign w:val="center"/>
          </w:tcPr>
          <w:p w14:paraId="3B035CF9" w14:textId="227A3EBB" w:rsidR="008D5034" w:rsidRPr="003F00AF" w:rsidRDefault="008D5034" w:rsidP="00687D71">
            <w:pPr>
              <w:keepNext/>
              <w:rPr>
                <w:bCs/>
                <w:sz w:val="22"/>
                <w:szCs w:val="22"/>
              </w:rPr>
            </w:pPr>
            <w:r w:rsidRPr="003F00AF">
              <w:rPr>
                <w:bCs/>
                <w:sz w:val="22"/>
                <w:szCs w:val="22"/>
              </w:rPr>
              <w:t xml:space="preserve">100% of the </w:t>
            </w:r>
            <w:r w:rsidRPr="003F00AF">
              <w:rPr>
                <w:bCs/>
                <w:i/>
                <w:sz w:val="22"/>
                <w:szCs w:val="22"/>
              </w:rPr>
              <w:t xml:space="preserve">anchoveta </w:t>
            </w:r>
            <w:r w:rsidRPr="003F00AF">
              <w:rPr>
                <w:bCs/>
                <w:sz w:val="22"/>
                <w:szCs w:val="22"/>
              </w:rPr>
              <w:t>fleet (90</w:t>
            </w:r>
            <w:r w:rsidR="00687D71">
              <w:rPr>
                <w:bCs/>
                <w:sz w:val="22"/>
                <w:szCs w:val="22"/>
              </w:rPr>
              <w:t>0</w:t>
            </w:r>
            <w:r w:rsidRPr="003F00AF">
              <w:rPr>
                <w:bCs/>
                <w:sz w:val="22"/>
                <w:szCs w:val="22"/>
              </w:rPr>
              <w:t xml:space="preserve"> vessels) regulated by the quota system</w:t>
            </w:r>
          </w:p>
        </w:tc>
      </w:tr>
      <w:tr w:rsidR="008D5034" w:rsidRPr="003F00AF" w14:paraId="1BADE966"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61E08181"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7CD52A92" w14:textId="77777777" w:rsidR="008D5034" w:rsidRPr="003F00AF" w:rsidRDefault="008D5034" w:rsidP="008D5034">
            <w:pPr>
              <w:keepNext/>
              <w:rPr>
                <w:bCs/>
                <w:sz w:val="22"/>
                <w:szCs w:val="22"/>
              </w:rPr>
            </w:pPr>
            <w:r w:rsidRPr="003F00AF">
              <w:rPr>
                <w:bCs/>
                <w:sz w:val="22"/>
                <w:szCs w:val="22"/>
              </w:rPr>
              <w:t>9/30/2008</w:t>
            </w:r>
          </w:p>
        </w:tc>
        <w:tc>
          <w:tcPr>
            <w:tcW w:w="2330" w:type="dxa"/>
            <w:gridSpan w:val="6"/>
            <w:shd w:val="clear" w:color="auto" w:fill="auto"/>
            <w:vAlign w:val="center"/>
          </w:tcPr>
          <w:p w14:paraId="7C2CAFFE" w14:textId="60CC74BF" w:rsidR="008D5034" w:rsidRPr="003F00AF" w:rsidRDefault="00D04DA8" w:rsidP="008D5034">
            <w:pPr>
              <w:keepNext/>
              <w:rPr>
                <w:bCs/>
                <w:sz w:val="22"/>
                <w:szCs w:val="22"/>
              </w:rPr>
            </w:pPr>
            <w:r w:rsidRPr="003F00AF">
              <w:rPr>
                <w:bCs/>
                <w:sz w:val="22"/>
                <w:szCs w:val="22"/>
              </w:rPr>
              <w:t>12/31/2013</w:t>
            </w:r>
          </w:p>
        </w:tc>
        <w:tc>
          <w:tcPr>
            <w:tcW w:w="1370" w:type="dxa"/>
            <w:gridSpan w:val="4"/>
            <w:shd w:val="clear" w:color="auto" w:fill="auto"/>
            <w:vAlign w:val="center"/>
          </w:tcPr>
          <w:p w14:paraId="18CF14C8" w14:textId="237C8CA7" w:rsidR="008D5034" w:rsidRPr="003F00AF" w:rsidRDefault="008D5034" w:rsidP="008D5034">
            <w:pPr>
              <w:keepNext/>
              <w:rPr>
                <w:bCs/>
                <w:sz w:val="22"/>
                <w:szCs w:val="22"/>
              </w:rPr>
            </w:pPr>
          </w:p>
        </w:tc>
        <w:tc>
          <w:tcPr>
            <w:tcW w:w="2591" w:type="dxa"/>
            <w:gridSpan w:val="5"/>
            <w:shd w:val="clear" w:color="auto" w:fill="auto"/>
            <w:vAlign w:val="center"/>
          </w:tcPr>
          <w:p w14:paraId="5B5D0C4E" w14:textId="28A67609" w:rsidR="008D5034" w:rsidRPr="003F00AF" w:rsidRDefault="00D46C28" w:rsidP="00D46C28">
            <w:pPr>
              <w:keepNext/>
              <w:rPr>
                <w:bCs/>
                <w:sz w:val="22"/>
                <w:szCs w:val="22"/>
              </w:rPr>
            </w:pPr>
            <w:r>
              <w:rPr>
                <w:bCs/>
                <w:sz w:val="22"/>
                <w:szCs w:val="22"/>
              </w:rPr>
              <w:t>12</w:t>
            </w:r>
            <w:r w:rsidR="00BB1E14" w:rsidRPr="003F00AF">
              <w:rPr>
                <w:bCs/>
                <w:sz w:val="22"/>
                <w:szCs w:val="22"/>
              </w:rPr>
              <w:t>/</w:t>
            </w:r>
            <w:r>
              <w:rPr>
                <w:bCs/>
                <w:sz w:val="22"/>
                <w:szCs w:val="22"/>
              </w:rPr>
              <w:t>31</w:t>
            </w:r>
            <w:r w:rsidR="00BB1E14" w:rsidRPr="003F00AF">
              <w:rPr>
                <w:bCs/>
                <w:sz w:val="22"/>
                <w:szCs w:val="22"/>
              </w:rPr>
              <w:t>/20</w:t>
            </w:r>
            <w:r>
              <w:rPr>
                <w:bCs/>
                <w:sz w:val="22"/>
                <w:szCs w:val="22"/>
              </w:rPr>
              <w:t>15</w:t>
            </w:r>
          </w:p>
        </w:tc>
      </w:tr>
      <w:tr w:rsidR="008D5034" w:rsidRPr="003F00AF" w14:paraId="1D4E5B33"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79DFB875" w14:textId="6BF71369"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048CE9DC" w14:textId="76C940C3" w:rsidR="009F64CE" w:rsidRPr="003F00AF" w:rsidRDefault="00E91D3A" w:rsidP="00BB1E14">
            <w:pPr>
              <w:keepNext/>
              <w:rPr>
                <w:bCs/>
                <w:sz w:val="22"/>
                <w:szCs w:val="22"/>
              </w:rPr>
            </w:pPr>
            <w:r>
              <w:rPr>
                <w:bCs/>
                <w:sz w:val="22"/>
                <w:szCs w:val="22"/>
              </w:rPr>
              <w:t>Fully achieved.</w:t>
            </w:r>
          </w:p>
          <w:p w14:paraId="16B44882" w14:textId="0CB16A4F" w:rsidR="008D5034" w:rsidRPr="003F00AF" w:rsidRDefault="008D5034" w:rsidP="00E00B86">
            <w:pPr>
              <w:keepNext/>
              <w:jc w:val="both"/>
              <w:rPr>
                <w:bCs/>
                <w:sz w:val="22"/>
                <w:szCs w:val="22"/>
              </w:rPr>
            </w:pPr>
            <w:r w:rsidRPr="003F00AF">
              <w:rPr>
                <w:bCs/>
                <w:sz w:val="22"/>
                <w:szCs w:val="22"/>
              </w:rPr>
              <w:t xml:space="preserve">The quota system regulates the commercial fishing of </w:t>
            </w:r>
            <w:r w:rsidRPr="003F00AF">
              <w:rPr>
                <w:bCs/>
                <w:i/>
                <w:sz w:val="22"/>
                <w:szCs w:val="22"/>
              </w:rPr>
              <w:t>anchoveta</w:t>
            </w:r>
            <w:r w:rsidRPr="003F00AF">
              <w:rPr>
                <w:bCs/>
                <w:sz w:val="22"/>
                <w:szCs w:val="22"/>
              </w:rPr>
              <w:t xml:space="preserve"> for indirect human consumption (Legislative Decree No. 1084</w:t>
            </w:r>
            <w:r w:rsidR="00BB1E14" w:rsidRPr="003F00AF">
              <w:rPr>
                <w:bCs/>
                <w:sz w:val="22"/>
                <w:szCs w:val="22"/>
              </w:rPr>
              <w:t xml:space="preserve"> of June 28, </w:t>
            </w:r>
            <w:r w:rsidRPr="003F00AF">
              <w:rPr>
                <w:bCs/>
                <w:sz w:val="22"/>
                <w:szCs w:val="22"/>
              </w:rPr>
              <w:t>2008).</w:t>
            </w:r>
            <w:r w:rsidR="00E00B86">
              <w:rPr>
                <w:bCs/>
                <w:sz w:val="22"/>
                <w:szCs w:val="22"/>
              </w:rPr>
              <w:t xml:space="preserve"> The fleet is comprised of all vessels used for such type of fishing.</w:t>
            </w:r>
          </w:p>
        </w:tc>
      </w:tr>
      <w:tr w:rsidR="008D5034" w:rsidRPr="003F00AF" w14:paraId="3B2655A4" w14:textId="77777777" w:rsidTr="00BD53A2">
        <w:tblPrEx>
          <w:tblCellMar>
            <w:top w:w="10" w:type="dxa"/>
            <w:left w:w="10" w:type="dxa"/>
            <w:bottom w:w="10" w:type="dxa"/>
            <w:right w:w="10" w:type="dxa"/>
          </w:tblCellMar>
        </w:tblPrEx>
        <w:tc>
          <w:tcPr>
            <w:tcW w:w="9894" w:type="dxa"/>
            <w:gridSpan w:val="24"/>
            <w:shd w:val="clear" w:color="auto" w:fill="auto"/>
            <w:vAlign w:val="center"/>
          </w:tcPr>
          <w:p w14:paraId="620D814D" w14:textId="009B0A48" w:rsidR="008D5034" w:rsidRPr="003F00AF" w:rsidRDefault="008D5034" w:rsidP="003925BE">
            <w:pPr>
              <w:keepNext/>
              <w:rPr>
                <w:bCs/>
                <w:sz w:val="22"/>
                <w:szCs w:val="22"/>
              </w:rPr>
            </w:pPr>
            <w:r w:rsidRPr="003F00AF">
              <w:rPr>
                <w:b/>
                <w:bCs/>
                <w:sz w:val="22"/>
                <w:szCs w:val="22"/>
              </w:rPr>
              <w:t>PDO Indicator 1</w:t>
            </w:r>
            <w:r w:rsidR="003925BE">
              <w:rPr>
                <w:b/>
                <w:bCs/>
                <w:sz w:val="22"/>
                <w:szCs w:val="22"/>
              </w:rPr>
              <w:t>1</w:t>
            </w:r>
            <w:r w:rsidRPr="003F00AF">
              <w:rPr>
                <w:b/>
                <w:bCs/>
                <w:sz w:val="22"/>
                <w:szCs w:val="22"/>
              </w:rPr>
              <w:t xml:space="preserve">: </w:t>
            </w:r>
            <w:r w:rsidRPr="003F00AF">
              <w:rPr>
                <w:bCs/>
                <w:sz w:val="22"/>
                <w:szCs w:val="22"/>
              </w:rPr>
              <w:t>Number of workers that benefit from economic incentives for leaving the sector</w:t>
            </w:r>
          </w:p>
        </w:tc>
      </w:tr>
      <w:tr w:rsidR="008D5034" w:rsidRPr="003F00AF" w14:paraId="1BD10781" w14:textId="77777777" w:rsidTr="00BD53A2">
        <w:tblPrEx>
          <w:tblCellMar>
            <w:top w:w="10" w:type="dxa"/>
            <w:left w:w="10" w:type="dxa"/>
            <w:bottom w:w="10" w:type="dxa"/>
            <w:right w:w="10" w:type="dxa"/>
          </w:tblCellMar>
        </w:tblPrEx>
        <w:trPr>
          <w:trHeight w:val="1242"/>
        </w:trPr>
        <w:tc>
          <w:tcPr>
            <w:tcW w:w="2135" w:type="dxa"/>
            <w:gridSpan w:val="3"/>
            <w:shd w:val="clear" w:color="auto" w:fill="auto"/>
            <w:vAlign w:val="center"/>
          </w:tcPr>
          <w:p w14:paraId="48B05948" w14:textId="77777777" w:rsidR="008D5034" w:rsidRPr="003F00AF" w:rsidRDefault="008D5034" w:rsidP="008D5034">
            <w:pPr>
              <w:pStyle w:val="Default"/>
              <w:rPr>
                <w:rFonts w:ascii="Times New Roman" w:hAnsi="Times New Roman" w:cs="Times New Roman"/>
                <w:bCs/>
                <w:sz w:val="22"/>
                <w:szCs w:val="22"/>
              </w:rPr>
            </w:pPr>
            <w:r w:rsidRPr="003F00AF">
              <w:rPr>
                <w:rFonts w:ascii="Times New Roman" w:hAnsi="Times New Roman" w:cs="Times New Roman"/>
                <w:color w:val="auto"/>
                <w:sz w:val="22"/>
                <w:szCs w:val="22"/>
                <w:lang w:eastAsia="ja-JP"/>
              </w:rPr>
              <w:t xml:space="preserve">Value (quantitative or </w:t>
            </w:r>
            <w:r w:rsidRPr="003F00AF">
              <w:rPr>
                <w:rFonts w:ascii="Times New Roman" w:hAnsi="Times New Roman" w:cs="Times New Roman"/>
                <w:sz w:val="22"/>
                <w:szCs w:val="22"/>
              </w:rPr>
              <w:t>qualitative)</w:t>
            </w:r>
          </w:p>
        </w:tc>
        <w:tc>
          <w:tcPr>
            <w:tcW w:w="1468" w:type="dxa"/>
            <w:gridSpan w:val="6"/>
            <w:shd w:val="clear" w:color="auto" w:fill="auto"/>
            <w:vAlign w:val="center"/>
          </w:tcPr>
          <w:p w14:paraId="305DFDCB" w14:textId="77777777" w:rsidR="008D5034" w:rsidRPr="003F00AF" w:rsidRDefault="008D5034" w:rsidP="008D5034">
            <w:pPr>
              <w:keepNext/>
              <w:rPr>
                <w:bCs/>
                <w:sz w:val="22"/>
                <w:szCs w:val="22"/>
              </w:rPr>
            </w:pPr>
            <w:r w:rsidRPr="003F00AF">
              <w:rPr>
                <w:bCs/>
                <w:sz w:val="22"/>
                <w:szCs w:val="22"/>
              </w:rPr>
              <w:t xml:space="preserve">Zero workers </w:t>
            </w:r>
          </w:p>
        </w:tc>
        <w:tc>
          <w:tcPr>
            <w:tcW w:w="2340" w:type="dxa"/>
            <w:gridSpan w:val="7"/>
            <w:shd w:val="clear" w:color="auto" w:fill="auto"/>
            <w:vAlign w:val="center"/>
          </w:tcPr>
          <w:p w14:paraId="20DE1809" w14:textId="77777777" w:rsidR="008D5034" w:rsidRPr="003F00AF" w:rsidRDefault="008D5034" w:rsidP="008D5034">
            <w:pPr>
              <w:keepNext/>
              <w:rPr>
                <w:bCs/>
                <w:sz w:val="22"/>
                <w:szCs w:val="22"/>
              </w:rPr>
            </w:pPr>
            <w:r w:rsidRPr="003F00AF">
              <w:rPr>
                <w:bCs/>
                <w:sz w:val="22"/>
                <w:szCs w:val="22"/>
              </w:rPr>
              <w:t>At least 5,000 workers benefit from economic incentives for leaving the sector.</w:t>
            </w:r>
          </w:p>
        </w:tc>
        <w:tc>
          <w:tcPr>
            <w:tcW w:w="1360" w:type="dxa"/>
            <w:gridSpan w:val="3"/>
            <w:shd w:val="clear" w:color="auto" w:fill="auto"/>
            <w:vAlign w:val="center"/>
          </w:tcPr>
          <w:p w14:paraId="034CC918" w14:textId="77777777" w:rsidR="008D5034" w:rsidRPr="003F00AF" w:rsidRDefault="008D5034" w:rsidP="008D5034">
            <w:pPr>
              <w:keepNext/>
              <w:rPr>
                <w:bCs/>
                <w:sz w:val="22"/>
                <w:szCs w:val="22"/>
              </w:rPr>
            </w:pPr>
            <w:r w:rsidRPr="003F00AF">
              <w:rPr>
                <w:bCs/>
                <w:sz w:val="22"/>
                <w:szCs w:val="22"/>
              </w:rPr>
              <w:t>At least 3,000 workers benefit from economic incentives for leaving the sector.</w:t>
            </w:r>
          </w:p>
        </w:tc>
        <w:tc>
          <w:tcPr>
            <w:tcW w:w="2591" w:type="dxa"/>
            <w:gridSpan w:val="5"/>
            <w:shd w:val="clear" w:color="auto" w:fill="auto"/>
            <w:vAlign w:val="center"/>
          </w:tcPr>
          <w:p w14:paraId="33CB5D8F" w14:textId="3B3D25EE" w:rsidR="008D5034" w:rsidRPr="003F00AF" w:rsidRDefault="008D5034" w:rsidP="0007292A">
            <w:pPr>
              <w:keepNext/>
              <w:rPr>
                <w:bCs/>
                <w:sz w:val="22"/>
                <w:szCs w:val="22"/>
              </w:rPr>
            </w:pPr>
            <w:r w:rsidRPr="003F00AF">
              <w:rPr>
                <w:bCs/>
                <w:sz w:val="22"/>
                <w:szCs w:val="22"/>
              </w:rPr>
              <w:t>2,</w:t>
            </w:r>
            <w:r w:rsidR="00D130D4" w:rsidRPr="003F00AF">
              <w:rPr>
                <w:bCs/>
                <w:sz w:val="22"/>
                <w:szCs w:val="22"/>
              </w:rPr>
              <w:t>283</w:t>
            </w:r>
            <w:r w:rsidRPr="003F00AF">
              <w:rPr>
                <w:bCs/>
                <w:sz w:val="22"/>
                <w:szCs w:val="22"/>
              </w:rPr>
              <w:t xml:space="preserve"> </w:t>
            </w:r>
            <w:r w:rsidR="0007292A">
              <w:rPr>
                <w:bCs/>
                <w:sz w:val="22"/>
                <w:szCs w:val="22"/>
              </w:rPr>
              <w:t>workers b</w:t>
            </w:r>
            <w:r w:rsidRPr="003F00AF">
              <w:rPr>
                <w:bCs/>
                <w:sz w:val="22"/>
                <w:szCs w:val="22"/>
              </w:rPr>
              <w:t xml:space="preserve">enefited from the economic incentives for </w:t>
            </w:r>
            <w:r w:rsidR="00D130D4" w:rsidRPr="003F00AF">
              <w:rPr>
                <w:bCs/>
                <w:sz w:val="22"/>
                <w:szCs w:val="22"/>
              </w:rPr>
              <w:t xml:space="preserve">voluntarily </w:t>
            </w:r>
            <w:r w:rsidR="00870896">
              <w:rPr>
                <w:bCs/>
                <w:sz w:val="22"/>
                <w:szCs w:val="22"/>
              </w:rPr>
              <w:t>leaving th</w:t>
            </w:r>
            <w:r w:rsidR="000F0839">
              <w:rPr>
                <w:bCs/>
                <w:sz w:val="22"/>
                <w:szCs w:val="22"/>
              </w:rPr>
              <w:t xml:space="preserve">e fisheries sector provided by </w:t>
            </w:r>
            <w:r w:rsidR="00BB42DC">
              <w:rPr>
                <w:bCs/>
                <w:sz w:val="22"/>
                <w:szCs w:val="22"/>
              </w:rPr>
              <w:t xml:space="preserve">the </w:t>
            </w:r>
            <w:r w:rsidR="000F0839" w:rsidRPr="000F0839">
              <w:rPr>
                <w:bCs/>
                <w:sz w:val="22"/>
                <w:szCs w:val="22"/>
              </w:rPr>
              <w:t>Fishing Compensation Fund (</w:t>
            </w:r>
            <w:r w:rsidR="000F0839" w:rsidRPr="000F0839">
              <w:rPr>
                <w:bCs/>
                <w:i/>
                <w:sz w:val="22"/>
                <w:szCs w:val="22"/>
              </w:rPr>
              <w:t>Fondo de Compensación para el Ordenamiento Pesquero</w:t>
            </w:r>
            <w:r w:rsidR="000F0839" w:rsidRPr="000F0839">
              <w:rPr>
                <w:bCs/>
                <w:sz w:val="22"/>
                <w:szCs w:val="22"/>
              </w:rPr>
              <w:t>, FONCOPES)</w:t>
            </w:r>
            <w:r w:rsidR="000F0839">
              <w:rPr>
                <w:bCs/>
                <w:sz w:val="22"/>
                <w:szCs w:val="22"/>
              </w:rPr>
              <w:t>.</w:t>
            </w:r>
          </w:p>
        </w:tc>
      </w:tr>
      <w:tr w:rsidR="008D5034" w:rsidRPr="003F00AF" w14:paraId="3AE2B5E5"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3D198E18" w14:textId="77777777"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Date Achieved</w:t>
            </w:r>
          </w:p>
        </w:tc>
        <w:tc>
          <w:tcPr>
            <w:tcW w:w="1468" w:type="dxa"/>
            <w:gridSpan w:val="6"/>
            <w:shd w:val="clear" w:color="auto" w:fill="auto"/>
            <w:vAlign w:val="center"/>
          </w:tcPr>
          <w:p w14:paraId="186D0B55" w14:textId="77777777" w:rsidR="008D5034" w:rsidRPr="003F00AF" w:rsidRDefault="008D5034" w:rsidP="008D5034">
            <w:pPr>
              <w:keepNext/>
              <w:rPr>
                <w:bCs/>
                <w:sz w:val="22"/>
                <w:szCs w:val="22"/>
              </w:rPr>
            </w:pPr>
            <w:r w:rsidRPr="003F00AF">
              <w:rPr>
                <w:bCs/>
                <w:sz w:val="22"/>
                <w:szCs w:val="22"/>
              </w:rPr>
              <w:t>9/30/2008</w:t>
            </w:r>
          </w:p>
        </w:tc>
        <w:tc>
          <w:tcPr>
            <w:tcW w:w="2330" w:type="dxa"/>
            <w:gridSpan w:val="6"/>
            <w:shd w:val="clear" w:color="auto" w:fill="auto"/>
            <w:vAlign w:val="center"/>
          </w:tcPr>
          <w:p w14:paraId="4EE3E516" w14:textId="4627DFC2" w:rsidR="008D5034" w:rsidRPr="003F00AF" w:rsidRDefault="008D5034" w:rsidP="008D5034">
            <w:pPr>
              <w:keepNext/>
              <w:rPr>
                <w:bCs/>
                <w:sz w:val="22"/>
                <w:szCs w:val="22"/>
              </w:rPr>
            </w:pPr>
            <w:r w:rsidRPr="003F00AF">
              <w:rPr>
                <w:bCs/>
                <w:sz w:val="22"/>
                <w:szCs w:val="22"/>
              </w:rPr>
              <w:t xml:space="preserve"> </w:t>
            </w:r>
            <w:r w:rsidR="009F64CE" w:rsidRPr="003F00AF">
              <w:rPr>
                <w:bCs/>
                <w:sz w:val="22"/>
                <w:szCs w:val="22"/>
              </w:rPr>
              <w:t>12/31/2013</w:t>
            </w:r>
          </w:p>
        </w:tc>
        <w:tc>
          <w:tcPr>
            <w:tcW w:w="1370" w:type="dxa"/>
            <w:gridSpan w:val="4"/>
            <w:shd w:val="clear" w:color="auto" w:fill="auto"/>
            <w:vAlign w:val="center"/>
          </w:tcPr>
          <w:p w14:paraId="2A5882D6" w14:textId="702A02D5" w:rsidR="008D5034" w:rsidRPr="003F00AF" w:rsidRDefault="008D5034" w:rsidP="008D5034">
            <w:pPr>
              <w:keepNext/>
              <w:rPr>
                <w:bCs/>
                <w:sz w:val="22"/>
                <w:szCs w:val="22"/>
              </w:rPr>
            </w:pPr>
            <w:r w:rsidRPr="003F00AF">
              <w:rPr>
                <w:bCs/>
                <w:sz w:val="22"/>
                <w:szCs w:val="22"/>
              </w:rPr>
              <w:t xml:space="preserve"> </w:t>
            </w:r>
            <w:r w:rsidR="00806D36" w:rsidRPr="003F00AF">
              <w:rPr>
                <w:color w:val="000000"/>
                <w:sz w:val="22"/>
                <w:szCs w:val="22"/>
              </w:rPr>
              <w:t>12/08/2009</w:t>
            </w:r>
          </w:p>
        </w:tc>
        <w:tc>
          <w:tcPr>
            <w:tcW w:w="2591" w:type="dxa"/>
            <w:gridSpan w:val="5"/>
            <w:shd w:val="clear" w:color="auto" w:fill="auto"/>
            <w:vAlign w:val="center"/>
          </w:tcPr>
          <w:p w14:paraId="20A0261C" w14:textId="79D8D329" w:rsidR="008D5034" w:rsidRPr="003F00AF" w:rsidRDefault="000E0EC9" w:rsidP="008D5034">
            <w:pPr>
              <w:keepNext/>
              <w:rPr>
                <w:bCs/>
                <w:sz w:val="22"/>
                <w:szCs w:val="22"/>
              </w:rPr>
            </w:pPr>
            <w:r>
              <w:rPr>
                <w:bCs/>
                <w:sz w:val="22"/>
                <w:szCs w:val="22"/>
              </w:rPr>
              <w:t>12/31/2015</w:t>
            </w:r>
          </w:p>
        </w:tc>
      </w:tr>
      <w:tr w:rsidR="008D5034" w:rsidRPr="003F00AF" w14:paraId="084A004B" w14:textId="77777777" w:rsidTr="00BD53A2">
        <w:tblPrEx>
          <w:tblCellMar>
            <w:top w:w="10" w:type="dxa"/>
            <w:left w:w="10" w:type="dxa"/>
            <w:bottom w:w="10" w:type="dxa"/>
            <w:right w:w="10" w:type="dxa"/>
          </w:tblCellMar>
        </w:tblPrEx>
        <w:trPr>
          <w:trHeight w:val="30"/>
        </w:trPr>
        <w:tc>
          <w:tcPr>
            <w:tcW w:w="2135" w:type="dxa"/>
            <w:gridSpan w:val="3"/>
            <w:shd w:val="clear" w:color="auto" w:fill="auto"/>
            <w:vAlign w:val="center"/>
          </w:tcPr>
          <w:p w14:paraId="2668F519" w14:textId="00B0A334" w:rsidR="008D5034" w:rsidRPr="003F00AF" w:rsidRDefault="008D5034" w:rsidP="008D5034">
            <w:pPr>
              <w:pStyle w:val="Default"/>
              <w:rPr>
                <w:rFonts w:ascii="Times New Roman" w:hAnsi="Times New Roman" w:cs="Times New Roman"/>
                <w:color w:val="auto"/>
                <w:sz w:val="22"/>
                <w:szCs w:val="22"/>
                <w:lang w:eastAsia="ja-JP"/>
              </w:rPr>
            </w:pPr>
            <w:r w:rsidRPr="003F00AF">
              <w:rPr>
                <w:rFonts w:ascii="Times New Roman" w:hAnsi="Times New Roman" w:cs="Times New Roman"/>
                <w:color w:val="auto"/>
                <w:sz w:val="22"/>
                <w:szCs w:val="22"/>
                <w:lang w:eastAsia="ja-JP"/>
              </w:rPr>
              <w:t xml:space="preserve">Comments (including % achievement) </w:t>
            </w:r>
          </w:p>
        </w:tc>
        <w:tc>
          <w:tcPr>
            <w:tcW w:w="7759" w:type="dxa"/>
            <w:gridSpan w:val="21"/>
            <w:shd w:val="clear" w:color="auto" w:fill="auto"/>
            <w:vAlign w:val="center"/>
          </w:tcPr>
          <w:p w14:paraId="238F90EF" w14:textId="1D4C3A9B" w:rsidR="008D5034" w:rsidRDefault="00E91D3A" w:rsidP="008D5034">
            <w:pPr>
              <w:keepNext/>
              <w:rPr>
                <w:bCs/>
                <w:sz w:val="22"/>
                <w:szCs w:val="22"/>
              </w:rPr>
            </w:pPr>
            <w:r>
              <w:rPr>
                <w:bCs/>
                <w:sz w:val="22"/>
                <w:szCs w:val="22"/>
              </w:rPr>
              <w:t>Partially achieved (</w:t>
            </w:r>
            <w:r w:rsidR="008F7C08" w:rsidRPr="003F00AF">
              <w:rPr>
                <w:bCs/>
                <w:sz w:val="22"/>
                <w:szCs w:val="22"/>
              </w:rPr>
              <w:t>76</w:t>
            </w:r>
            <w:r w:rsidR="008D5034" w:rsidRPr="003F00AF">
              <w:rPr>
                <w:bCs/>
                <w:sz w:val="22"/>
                <w:szCs w:val="22"/>
              </w:rPr>
              <w:t>%</w:t>
            </w:r>
            <w:r>
              <w:rPr>
                <w:bCs/>
                <w:sz w:val="22"/>
                <w:szCs w:val="22"/>
              </w:rPr>
              <w:t>)</w:t>
            </w:r>
            <w:r w:rsidR="008D5034" w:rsidRPr="003F00AF">
              <w:rPr>
                <w:bCs/>
                <w:sz w:val="22"/>
                <w:szCs w:val="22"/>
              </w:rPr>
              <w:t>.</w:t>
            </w:r>
          </w:p>
          <w:p w14:paraId="55B7D3ED" w14:textId="5B3106C2" w:rsidR="008D5034" w:rsidRPr="003F00AF" w:rsidRDefault="000F0839" w:rsidP="00E91D3A">
            <w:pPr>
              <w:keepNext/>
              <w:jc w:val="both"/>
              <w:rPr>
                <w:bCs/>
                <w:sz w:val="22"/>
                <w:szCs w:val="22"/>
              </w:rPr>
            </w:pPr>
            <w:r>
              <w:rPr>
                <w:bCs/>
                <w:sz w:val="22"/>
                <w:szCs w:val="22"/>
              </w:rPr>
              <w:t xml:space="preserve">As envisaged in </w:t>
            </w:r>
            <w:r w:rsidR="00870896" w:rsidRPr="000F0839">
              <w:rPr>
                <w:bCs/>
                <w:sz w:val="22"/>
                <w:szCs w:val="22"/>
              </w:rPr>
              <w:t>Decree 1080/2008</w:t>
            </w:r>
            <w:r>
              <w:rPr>
                <w:bCs/>
                <w:sz w:val="22"/>
                <w:szCs w:val="22"/>
              </w:rPr>
              <w:t xml:space="preserve">, </w:t>
            </w:r>
            <w:r w:rsidR="00600129" w:rsidRPr="000F0839">
              <w:rPr>
                <w:bCs/>
                <w:sz w:val="22"/>
                <w:szCs w:val="22"/>
              </w:rPr>
              <w:t>FONCOPES</w:t>
            </w:r>
            <w:r>
              <w:rPr>
                <w:bCs/>
                <w:sz w:val="22"/>
                <w:szCs w:val="22"/>
              </w:rPr>
              <w:t xml:space="preserve"> </w:t>
            </w:r>
            <w:r w:rsidR="0007292A">
              <w:rPr>
                <w:bCs/>
                <w:sz w:val="22"/>
                <w:szCs w:val="22"/>
              </w:rPr>
              <w:t xml:space="preserve">provided economic incentives </w:t>
            </w:r>
            <w:r w:rsidR="00E91D3A">
              <w:rPr>
                <w:bCs/>
                <w:sz w:val="22"/>
                <w:szCs w:val="22"/>
              </w:rPr>
              <w:t xml:space="preserve">to </w:t>
            </w:r>
            <w:r w:rsidR="0007292A">
              <w:rPr>
                <w:bCs/>
                <w:sz w:val="22"/>
                <w:szCs w:val="22"/>
              </w:rPr>
              <w:t xml:space="preserve">workers </w:t>
            </w:r>
            <w:r w:rsidR="00E91D3A">
              <w:rPr>
                <w:bCs/>
                <w:sz w:val="22"/>
                <w:szCs w:val="22"/>
              </w:rPr>
              <w:t>to</w:t>
            </w:r>
            <w:r w:rsidR="0007292A">
              <w:rPr>
                <w:bCs/>
                <w:sz w:val="22"/>
                <w:szCs w:val="22"/>
              </w:rPr>
              <w:t xml:space="preserve"> </w:t>
            </w:r>
            <w:r w:rsidR="0007292A" w:rsidRPr="003F00AF">
              <w:rPr>
                <w:bCs/>
                <w:sz w:val="22"/>
                <w:szCs w:val="22"/>
              </w:rPr>
              <w:t xml:space="preserve">voluntarily </w:t>
            </w:r>
            <w:r w:rsidR="0007292A">
              <w:rPr>
                <w:bCs/>
                <w:sz w:val="22"/>
                <w:szCs w:val="22"/>
              </w:rPr>
              <w:t>leav</w:t>
            </w:r>
            <w:r w:rsidR="00E91D3A">
              <w:rPr>
                <w:bCs/>
                <w:sz w:val="22"/>
                <w:szCs w:val="22"/>
              </w:rPr>
              <w:t>e</w:t>
            </w:r>
            <w:r w:rsidR="0007292A">
              <w:rPr>
                <w:bCs/>
                <w:sz w:val="22"/>
                <w:szCs w:val="22"/>
              </w:rPr>
              <w:t xml:space="preserve"> the fisheries sector. A</w:t>
            </w:r>
            <w:r w:rsidR="0004587B" w:rsidRPr="003F00AF">
              <w:rPr>
                <w:bCs/>
                <w:sz w:val="22"/>
                <w:szCs w:val="22"/>
              </w:rPr>
              <w:t xml:space="preserve"> </w:t>
            </w:r>
            <w:r w:rsidR="0007292A">
              <w:rPr>
                <w:bCs/>
                <w:sz w:val="22"/>
                <w:szCs w:val="22"/>
              </w:rPr>
              <w:t xml:space="preserve">second </w:t>
            </w:r>
            <w:r w:rsidR="0004587B" w:rsidRPr="003F00AF">
              <w:rPr>
                <w:bCs/>
                <w:sz w:val="22"/>
                <w:szCs w:val="22"/>
              </w:rPr>
              <w:t xml:space="preserve">group was comprised of workers </w:t>
            </w:r>
            <w:r w:rsidR="00C4736F">
              <w:rPr>
                <w:bCs/>
                <w:sz w:val="22"/>
                <w:szCs w:val="22"/>
              </w:rPr>
              <w:t xml:space="preserve">who </w:t>
            </w:r>
            <w:r w:rsidR="008D5034" w:rsidRPr="003F00AF">
              <w:rPr>
                <w:bCs/>
                <w:sz w:val="22"/>
                <w:szCs w:val="22"/>
              </w:rPr>
              <w:t xml:space="preserve">opted </w:t>
            </w:r>
            <w:r w:rsidR="00C4736F">
              <w:rPr>
                <w:bCs/>
                <w:sz w:val="22"/>
                <w:szCs w:val="22"/>
              </w:rPr>
              <w:t>to</w:t>
            </w:r>
            <w:r w:rsidR="008D5034" w:rsidRPr="003F00AF">
              <w:rPr>
                <w:bCs/>
                <w:sz w:val="22"/>
                <w:szCs w:val="22"/>
              </w:rPr>
              <w:t xml:space="preserve"> receiv</w:t>
            </w:r>
            <w:r w:rsidR="00C4736F">
              <w:rPr>
                <w:bCs/>
                <w:sz w:val="22"/>
                <w:szCs w:val="22"/>
              </w:rPr>
              <w:t>e</w:t>
            </w:r>
            <w:r w:rsidR="008D5034" w:rsidRPr="003F00AF">
              <w:rPr>
                <w:bCs/>
                <w:sz w:val="22"/>
                <w:szCs w:val="22"/>
              </w:rPr>
              <w:t xml:space="preserve"> the compensation envisaged in Peru’s labor legislation, kept their fishing permits, and</w:t>
            </w:r>
            <w:r w:rsidR="0004587B" w:rsidRPr="003F00AF">
              <w:rPr>
                <w:bCs/>
                <w:sz w:val="22"/>
                <w:szCs w:val="22"/>
              </w:rPr>
              <w:t xml:space="preserve"> joined a fleet rotation system. As a consequence, they did not need to leave the sector. A</w:t>
            </w:r>
            <w:r w:rsidR="00DA0AE9" w:rsidRPr="003F00AF">
              <w:rPr>
                <w:bCs/>
                <w:sz w:val="22"/>
                <w:szCs w:val="22"/>
              </w:rPr>
              <w:t xml:space="preserve">s the </w:t>
            </w:r>
            <w:r w:rsidR="0004587B" w:rsidRPr="003F00AF">
              <w:rPr>
                <w:bCs/>
                <w:sz w:val="22"/>
                <w:szCs w:val="22"/>
              </w:rPr>
              <w:t>PDO</w:t>
            </w:r>
            <w:r w:rsidR="00DA0AE9" w:rsidRPr="003F00AF">
              <w:rPr>
                <w:bCs/>
                <w:sz w:val="22"/>
                <w:szCs w:val="22"/>
              </w:rPr>
              <w:t xml:space="preserve"> indicator referred only to those workers who left the sector, the Bank reduced the indicator target </w:t>
            </w:r>
            <w:r w:rsidR="0007292A">
              <w:rPr>
                <w:bCs/>
                <w:sz w:val="22"/>
                <w:szCs w:val="22"/>
              </w:rPr>
              <w:t xml:space="preserve">during the preparation </w:t>
            </w:r>
            <w:r w:rsidR="00DA0AE9" w:rsidRPr="003F00AF">
              <w:rPr>
                <w:bCs/>
                <w:sz w:val="22"/>
                <w:szCs w:val="22"/>
              </w:rPr>
              <w:t>of the ENVDPL III.</w:t>
            </w:r>
          </w:p>
        </w:tc>
      </w:tr>
    </w:tbl>
    <w:p w14:paraId="19FA04E1" w14:textId="0A0FF740" w:rsidR="008E18F4" w:rsidRPr="003F00AF" w:rsidRDefault="008E18F4" w:rsidP="008E18F4">
      <w:pPr>
        <w:rPr>
          <w:b/>
          <w:sz w:val="18"/>
          <w:szCs w:val="18"/>
        </w:rPr>
      </w:pPr>
    </w:p>
    <w:p w14:paraId="2799F818" w14:textId="77777777" w:rsidR="008E18F4" w:rsidRPr="003F00AF" w:rsidRDefault="008E18F4" w:rsidP="008E18F4">
      <w:pPr>
        <w:rPr>
          <w:sz w:val="2"/>
          <w:szCs w:val="2"/>
        </w:rPr>
      </w:pPr>
      <w:bookmarkStart w:id="50" w:name="PDO_INDICATOR"/>
      <w:bookmarkEnd w:id="50"/>
    </w:p>
    <w:tbl>
      <w:tblPr>
        <w:tblW w:w="5000" w:type="pct"/>
        <w:tblLayout w:type="fixed"/>
        <w:tblCellMar>
          <w:left w:w="0" w:type="dxa"/>
          <w:right w:w="0" w:type="dxa"/>
        </w:tblCellMar>
        <w:tblLook w:val="0000" w:firstRow="0" w:lastRow="0" w:firstColumn="0" w:lastColumn="0" w:noHBand="0" w:noVBand="0"/>
      </w:tblPr>
      <w:tblGrid>
        <w:gridCol w:w="9360"/>
      </w:tblGrid>
      <w:tr w:rsidR="008E18F4" w:rsidRPr="003F00AF" w14:paraId="27CABDC2" w14:textId="77777777" w:rsidTr="00FA4ABA">
        <w:tc>
          <w:tcPr>
            <w:tcW w:w="8640" w:type="dxa"/>
            <w:vAlign w:val="center"/>
          </w:tcPr>
          <w:p w14:paraId="58CF67B7" w14:textId="77777777" w:rsidR="008E18F4" w:rsidRPr="003F00AF" w:rsidRDefault="008E18F4" w:rsidP="00FA4ABA">
            <w:pPr>
              <w:keepNext/>
              <w:spacing w:line="200" w:lineRule="atLeast"/>
              <w:rPr>
                <w:rStyle w:val="Strong"/>
                <w:color w:val="000000"/>
                <w:sz w:val="22"/>
                <w:szCs w:val="22"/>
              </w:rPr>
            </w:pPr>
            <w:r w:rsidRPr="003F00AF">
              <w:rPr>
                <w:rStyle w:val="Strong"/>
                <w:color w:val="000000"/>
                <w:sz w:val="22"/>
                <w:szCs w:val="22"/>
              </w:rPr>
              <w:t>(b) Intermediate Outcome Indicator(s)</w:t>
            </w:r>
          </w:p>
        </w:tc>
      </w:tr>
    </w:tbl>
    <w:p w14:paraId="27DE92FF" w14:textId="13719F57" w:rsidR="008E18F4" w:rsidRPr="003F00AF" w:rsidRDefault="008E18F4" w:rsidP="00895D77">
      <w:pPr>
        <w:spacing w:before="120" w:after="120"/>
        <w:rPr>
          <w:iCs/>
          <w:sz w:val="22"/>
          <w:szCs w:val="22"/>
        </w:rPr>
      </w:pPr>
      <w:bookmarkStart w:id="51" w:name="IO_INDICATOR"/>
      <w:bookmarkStart w:id="52" w:name="IO_INDICATORS"/>
      <w:bookmarkEnd w:id="51"/>
      <w:bookmarkEnd w:id="52"/>
      <w:r w:rsidRPr="003F00AF">
        <w:rPr>
          <w:iCs/>
          <w:sz w:val="22"/>
          <w:szCs w:val="22"/>
        </w:rPr>
        <w:t>Not applicable.</w:t>
      </w:r>
    </w:p>
    <w:tbl>
      <w:tblPr>
        <w:tblW w:w="5291" w:type="pct"/>
        <w:tblBorders>
          <w:top w:val="single" w:sz="4" w:space="0" w:color="auto"/>
          <w:left w:val="single" w:sz="4" w:space="0" w:color="auto"/>
          <w:bottom w:val="single" w:sz="4" w:space="0" w:color="auto"/>
          <w:right w:val="single" w:sz="4" w:space="0" w:color="auto"/>
          <w:insideH w:val="single" w:sz="4" w:space="0" w:color="auto"/>
        </w:tblBorders>
        <w:tblCellMar>
          <w:top w:w="10" w:type="dxa"/>
          <w:left w:w="10" w:type="dxa"/>
          <w:bottom w:w="10" w:type="dxa"/>
          <w:right w:w="10" w:type="dxa"/>
        </w:tblCellMar>
        <w:tblLook w:val="0000" w:firstRow="0" w:lastRow="0" w:firstColumn="0" w:lastColumn="0" w:noHBand="0" w:noVBand="0"/>
      </w:tblPr>
      <w:tblGrid>
        <w:gridCol w:w="555"/>
        <w:gridCol w:w="1938"/>
        <w:gridCol w:w="2393"/>
        <w:gridCol w:w="3028"/>
        <w:gridCol w:w="1980"/>
      </w:tblGrid>
      <w:tr w:rsidR="00F536DF" w:rsidRPr="003F00AF" w14:paraId="4A73A056" w14:textId="77777777" w:rsidTr="00C23DFB">
        <w:tc>
          <w:tcPr>
            <w:tcW w:w="9895" w:type="dxa"/>
            <w:gridSpan w:val="5"/>
            <w:tcBorders>
              <w:bottom w:val="single" w:sz="4" w:space="0" w:color="auto"/>
            </w:tcBorders>
            <w:shd w:val="clear" w:color="auto" w:fill="auto"/>
            <w:vAlign w:val="center"/>
          </w:tcPr>
          <w:p w14:paraId="0EC22E37" w14:textId="77777777" w:rsidR="00F536DF" w:rsidRPr="003F00AF" w:rsidRDefault="00F536DF" w:rsidP="00D130D4">
            <w:pPr>
              <w:pStyle w:val="ICRTOC"/>
              <w:rPr>
                <w:b w:val="0"/>
                <w:bCs w:val="0"/>
                <w:color w:val="606060"/>
                <w:sz w:val="22"/>
                <w:szCs w:val="22"/>
              </w:rPr>
            </w:pPr>
            <w:bookmarkStart w:id="53" w:name="Ratings_inISRs" w:colFirst="0" w:colLast="0"/>
            <w:r w:rsidRPr="003F00AF">
              <w:rPr>
                <w:rStyle w:val="Strong"/>
                <w:b/>
                <w:color w:val="auto"/>
                <w:sz w:val="22"/>
                <w:szCs w:val="22"/>
              </w:rPr>
              <w:t>G. Ratings of Program Performance in ISRs</w:t>
            </w:r>
          </w:p>
        </w:tc>
      </w:tr>
      <w:bookmarkEnd w:id="53"/>
      <w:tr w:rsidR="00F536DF" w:rsidRPr="003F00AF" w14:paraId="7A6E1D1F" w14:textId="77777777" w:rsidTr="00C23DFB">
        <w:tc>
          <w:tcPr>
            <w:tcW w:w="9895" w:type="dxa"/>
            <w:gridSpan w:val="5"/>
            <w:tcBorders>
              <w:bottom w:val="single" w:sz="4" w:space="0" w:color="auto"/>
            </w:tcBorders>
            <w:shd w:val="clear" w:color="auto" w:fill="auto"/>
            <w:vAlign w:val="center"/>
          </w:tcPr>
          <w:p w14:paraId="50DAF176" w14:textId="77777777" w:rsidR="00F536DF" w:rsidRPr="003F00AF" w:rsidRDefault="00F536DF" w:rsidP="00D130D4">
            <w:pPr>
              <w:rPr>
                <w:b/>
                <w:bCs/>
                <w:color w:val="606060"/>
                <w:sz w:val="22"/>
                <w:szCs w:val="22"/>
              </w:rPr>
            </w:pPr>
            <w:r w:rsidRPr="003F00AF">
              <w:rPr>
                <w:b/>
                <w:bCs/>
                <w:color w:val="606060"/>
                <w:sz w:val="22"/>
                <w:szCs w:val="22"/>
              </w:rPr>
              <w:t>Peru First Programmatic Environmental Development Policy Loan/DDO - P101471</w:t>
            </w:r>
          </w:p>
        </w:tc>
      </w:tr>
      <w:tr w:rsidR="00F536DF" w:rsidRPr="003F00AF" w14:paraId="75EC044D" w14:textId="77777777" w:rsidTr="00C23DFB">
        <w:trPr>
          <w:trHeight w:val="34"/>
        </w:trPr>
        <w:tc>
          <w:tcPr>
            <w:tcW w:w="556" w:type="dxa"/>
            <w:tcBorders>
              <w:bottom w:val="single" w:sz="4" w:space="0" w:color="auto"/>
              <w:right w:val="single" w:sz="4" w:space="0" w:color="auto"/>
            </w:tcBorders>
            <w:shd w:val="clear" w:color="auto" w:fill="auto"/>
            <w:vAlign w:val="center"/>
          </w:tcPr>
          <w:p w14:paraId="6D60259F" w14:textId="77777777" w:rsidR="00F536DF" w:rsidRPr="003F00AF" w:rsidRDefault="00F536DF" w:rsidP="00D130D4">
            <w:pPr>
              <w:jc w:val="center"/>
              <w:rPr>
                <w:b/>
                <w:bCs/>
                <w:color w:val="606060"/>
                <w:sz w:val="22"/>
                <w:szCs w:val="22"/>
              </w:rPr>
            </w:pPr>
            <w:r w:rsidRPr="003F00AF">
              <w:rPr>
                <w:b/>
                <w:bCs/>
                <w:color w:val="606060"/>
                <w:sz w:val="22"/>
                <w:szCs w:val="22"/>
              </w:rPr>
              <w:t>No.</w:t>
            </w:r>
          </w:p>
        </w:tc>
        <w:tc>
          <w:tcPr>
            <w:tcW w:w="1938" w:type="dxa"/>
            <w:tcBorders>
              <w:left w:val="single" w:sz="4" w:space="0" w:color="auto"/>
              <w:bottom w:val="single" w:sz="4" w:space="0" w:color="auto"/>
              <w:right w:val="single" w:sz="4" w:space="0" w:color="auto"/>
            </w:tcBorders>
            <w:shd w:val="clear" w:color="auto" w:fill="auto"/>
            <w:vAlign w:val="center"/>
          </w:tcPr>
          <w:p w14:paraId="1C902C3D" w14:textId="77777777" w:rsidR="00F536DF" w:rsidRPr="003F00AF" w:rsidRDefault="00F536DF" w:rsidP="00D130D4">
            <w:pPr>
              <w:keepNext/>
              <w:jc w:val="center"/>
              <w:rPr>
                <w:b/>
                <w:bCs/>
                <w:color w:val="606060"/>
                <w:sz w:val="22"/>
                <w:szCs w:val="22"/>
              </w:rPr>
            </w:pPr>
            <w:r w:rsidRPr="003F00AF">
              <w:rPr>
                <w:b/>
                <w:bCs/>
                <w:color w:val="606060"/>
                <w:sz w:val="22"/>
                <w:szCs w:val="22"/>
              </w:rPr>
              <w:t xml:space="preserve">Date ISR </w:t>
            </w:r>
          </w:p>
          <w:p w14:paraId="61FDF427" w14:textId="77777777" w:rsidR="00F536DF" w:rsidRPr="003F00AF" w:rsidRDefault="00F536DF" w:rsidP="00D130D4">
            <w:pPr>
              <w:jc w:val="center"/>
              <w:rPr>
                <w:b/>
                <w:bCs/>
                <w:color w:val="606060"/>
                <w:sz w:val="22"/>
                <w:szCs w:val="22"/>
              </w:rPr>
            </w:pPr>
            <w:r w:rsidRPr="003F00AF">
              <w:rPr>
                <w:b/>
                <w:bCs/>
                <w:color w:val="606060"/>
                <w:sz w:val="22"/>
                <w:szCs w:val="22"/>
              </w:rPr>
              <w:t>Archived</w:t>
            </w:r>
          </w:p>
        </w:tc>
        <w:tc>
          <w:tcPr>
            <w:tcW w:w="2393" w:type="dxa"/>
            <w:tcBorders>
              <w:left w:val="single" w:sz="4" w:space="0" w:color="auto"/>
              <w:bottom w:val="single" w:sz="4" w:space="0" w:color="auto"/>
              <w:right w:val="single" w:sz="4" w:space="0" w:color="auto"/>
            </w:tcBorders>
            <w:shd w:val="clear" w:color="auto" w:fill="auto"/>
            <w:vAlign w:val="center"/>
          </w:tcPr>
          <w:p w14:paraId="668C6DC2" w14:textId="77777777" w:rsidR="00F536DF" w:rsidRPr="003F00AF" w:rsidRDefault="00F536DF" w:rsidP="00D130D4">
            <w:pPr>
              <w:jc w:val="center"/>
              <w:rPr>
                <w:b/>
                <w:bCs/>
                <w:color w:val="606060"/>
                <w:sz w:val="22"/>
                <w:szCs w:val="22"/>
              </w:rPr>
            </w:pPr>
            <w:r w:rsidRPr="003F00AF">
              <w:rPr>
                <w:b/>
                <w:bCs/>
                <w:color w:val="606060"/>
                <w:sz w:val="22"/>
                <w:szCs w:val="22"/>
              </w:rPr>
              <w:t>DO</w:t>
            </w:r>
          </w:p>
        </w:tc>
        <w:tc>
          <w:tcPr>
            <w:tcW w:w="3028" w:type="dxa"/>
            <w:tcBorders>
              <w:left w:val="single" w:sz="4" w:space="0" w:color="auto"/>
              <w:bottom w:val="single" w:sz="4" w:space="0" w:color="auto"/>
              <w:right w:val="single" w:sz="4" w:space="0" w:color="auto"/>
            </w:tcBorders>
            <w:shd w:val="clear" w:color="auto" w:fill="auto"/>
            <w:vAlign w:val="center"/>
          </w:tcPr>
          <w:p w14:paraId="345B9367" w14:textId="77777777" w:rsidR="00F536DF" w:rsidRPr="003F00AF" w:rsidRDefault="00F536DF" w:rsidP="00D130D4">
            <w:pPr>
              <w:jc w:val="center"/>
              <w:rPr>
                <w:b/>
                <w:bCs/>
                <w:color w:val="606060"/>
                <w:sz w:val="22"/>
                <w:szCs w:val="22"/>
              </w:rPr>
            </w:pPr>
            <w:r w:rsidRPr="003F00AF">
              <w:rPr>
                <w:b/>
                <w:bCs/>
                <w:color w:val="606060"/>
                <w:sz w:val="22"/>
                <w:szCs w:val="22"/>
              </w:rPr>
              <w:t>IP</w:t>
            </w:r>
          </w:p>
        </w:tc>
        <w:tc>
          <w:tcPr>
            <w:tcW w:w="1980" w:type="dxa"/>
            <w:tcBorders>
              <w:left w:val="single" w:sz="4" w:space="0" w:color="auto"/>
              <w:bottom w:val="single" w:sz="4" w:space="0" w:color="auto"/>
            </w:tcBorders>
            <w:shd w:val="clear" w:color="auto" w:fill="auto"/>
            <w:vAlign w:val="center"/>
          </w:tcPr>
          <w:p w14:paraId="3832ADC9" w14:textId="77777777" w:rsidR="00F536DF" w:rsidRPr="003F00AF" w:rsidRDefault="00F536DF" w:rsidP="00D130D4">
            <w:pPr>
              <w:jc w:val="center"/>
              <w:rPr>
                <w:b/>
                <w:bCs/>
                <w:color w:val="606060"/>
                <w:sz w:val="22"/>
                <w:szCs w:val="22"/>
              </w:rPr>
            </w:pPr>
            <w:r w:rsidRPr="003F00AF">
              <w:rPr>
                <w:b/>
                <w:bCs/>
                <w:color w:val="606060"/>
                <w:sz w:val="22"/>
                <w:szCs w:val="22"/>
              </w:rPr>
              <w:t>Actual Disbursements</w:t>
            </w:r>
          </w:p>
          <w:p w14:paraId="0B41C9EB" w14:textId="77777777" w:rsidR="00F536DF" w:rsidRPr="003F00AF" w:rsidRDefault="00F536DF" w:rsidP="00D130D4">
            <w:pPr>
              <w:jc w:val="center"/>
              <w:rPr>
                <w:b/>
                <w:bCs/>
                <w:color w:val="606060"/>
                <w:sz w:val="22"/>
                <w:szCs w:val="22"/>
              </w:rPr>
            </w:pPr>
            <w:r w:rsidRPr="003F00AF">
              <w:rPr>
                <w:b/>
                <w:bCs/>
                <w:color w:val="606060"/>
                <w:sz w:val="22"/>
                <w:szCs w:val="22"/>
              </w:rPr>
              <w:t>(US$, millions)</w:t>
            </w:r>
          </w:p>
        </w:tc>
      </w:tr>
      <w:tr w:rsidR="00F536DF" w:rsidRPr="003F00AF" w14:paraId="3588D62D" w14:textId="77777777" w:rsidTr="00C23DFB">
        <w:trPr>
          <w:trHeight w:val="34"/>
        </w:trPr>
        <w:tc>
          <w:tcPr>
            <w:tcW w:w="556" w:type="dxa"/>
            <w:tcBorders>
              <w:right w:val="single" w:sz="4" w:space="0" w:color="auto"/>
            </w:tcBorders>
            <w:shd w:val="clear" w:color="auto" w:fill="auto"/>
            <w:vAlign w:val="center"/>
          </w:tcPr>
          <w:p w14:paraId="7A6DE632"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1</w:t>
            </w:r>
          </w:p>
        </w:tc>
        <w:tc>
          <w:tcPr>
            <w:tcW w:w="1938" w:type="dxa"/>
            <w:tcBorders>
              <w:left w:val="single" w:sz="4" w:space="0" w:color="auto"/>
              <w:right w:val="single" w:sz="4" w:space="0" w:color="auto"/>
            </w:tcBorders>
            <w:shd w:val="clear" w:color="auto" w:fill="auto"/>
            <w:vAlign w:val="center"/>
          </w:tcPr>
          <w:p w14:paraId="6524FF7A" w14:textId="77777777" w:rsidR="00F536DF" w:rsidRPr="003F00AF" w:rsidRDefault="00F536DF" w:rsidP="00D130D4">
            <w:pPr>
              <w:spacing w:line="200" w:lineRule="atLeast"/>
              <w:jc w:val="center"/>
              <w:rPr>
                <w:color w:val="000000"/>
                <w:sz w:val="22"/>
                <w:szCs w:val="22"/>
              </w:rPr>
            </w:pPr>
            <w:r w:rsidRPr="003F00AF">
              <w:rPr>
                <w:color w:val="000000"/>
                <w:sz w:val="22"/>
                <w:szCs w:val="22"/>
              </w:rPr>
              <w:t>04/13/2009</w:t>
            </w:r>
          </w:p>
        </w:tc>
        <w:tc>
          <w:tcPr>
            <w:tcW w:w="2393" w:type="dxa"/>
            <w:tcBorders>
              <w:left w:val="single" w:sz="4" w:space="0" w:color="auto"/>
              <w:right w:val="single" w:sz="4" w:space="0" w:color="auto"/>
            </w:tcBorders>
            <w:shd w:val="clear" w:color="auto" w:fill="auto"/>
            <w:vAlign w:val="center"/>
          </w:tcPr>
          <w:p w14:paraId="5769DA23"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12E2635C"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120A7074" w14:textId="77777777" w:rsidR="00F536DF" w:rsidRPr="003F00AF" w:rsidRDefault="00F536DF" w:rsidP="00D130D4">
            <w:pPr>
              <w:spacing w:line="200" w:lineRule="atLeast"/>
              <w:jc w:val="center"/>
              <w:rPr>
                <w:color w:val="000000"/>
                <w:sz w:val="22"/>
                <w:szCs w:val="22"/>
              </w:rPr>
            </w:pPr>
            <w:r w:rsidRPr="003F00AF">
              <w:rPr>
                <w:color w:val="000000"/>
                <w:sz w:val="22"/>
                <w:szCs w:val="22"/>
              </w:rPr>
              <w:t>0.00</w:t>
            </w:r>
          </w:p>
        </w:tc>
      </w:tr>
      <w:tr w:rsidR="00F536DF" w:rsidRPr="003F00AF" w14:paraId="5ABE96CF" w14:textId="77777777" w:rsidTr="00C23DFB">
        <w:trPr>
          <w:trHeight w:val="34"/>
        </w:trPr>
        <w:tc>
          <w:tcPr>
            <w:tcW w:w="556" w:type="dxa"/>
            <w:tcBorders>
              <w:right w:val="single" w:sz="4" w:space="0" w:color="auto"/>
            </w:tcBorders>
            <w:shd w:val="clear" w:color="auto" w:fill="auto"/>
            <w:vAlign w:val="center"/>
          </w:tcPr>
          <w:p w14:paraId="5D8D537D"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2</w:t>
            </w:r>
          </w:p>
        </w:tc>
        <w:tc>
          <w:tcPr>
            <w:tcW w:w="1938" w:type="dxa"/>
            <w:tcBorders>
              <w:left w:val="single" w:sz="4" w:space="0" w:color="auto"/>
              <w:right w:val="single" w:sz="4" w:space="0" w:color="auto"/>
            </w:tcBorders>
            <w:shd w:val="clear" w:color="auto" w:fill="auto"/>
            <w:vAlign w:val="center"/>
          </w:tcPr>
          <w:p w14:paraId="11C8C5C5" w14:textId="77777777" w:rsidR="00F536DF" w:rsidRPr="003F00AF" w:rsidRDefault="00F536DF" w:rsidP="00D130D4">
            <w:pPr>
              <w:spacing w:line="200" w:lineRule="atLeast"/>
              <w:jc w:val="center"/>
              <w:rPr>
                <w:color w:val="000000"/>
                <w:sz w:val="22"/>
                <w:szCs w:val="22"/>
              </w:rPr>
            </w:pPr>
            <w:r w:rsidRPr="003F00AF">
              <w:rPr>
                <w:color w:val="000000"/>
                <w:sz w:val="22"/>
                <w:szCs w:val="22"/>
              </w:rPr>
              <w:t>11/29/2009</w:t>
            </w:r>
          </w:p>
        </w:tc>
        <w:tc>
          <w:tcPr>
            <w:tcW w:w="2393" w:type="dxa"/>
            <w:tcBorders>
              <w:left w:val="single" w:sz="4" w:space="0" w:color="auto"/>
              <w:right w:val="single" w:sz="4" w:space="0" w:color="auto"/>
            </w:tcBorders>
            <w:shd w:val="clear" w:color="auto" w:fill="auto"/>
            <w:vAlign w:val="center"/>
          </w:tcPr>
          <w:p w14:paraId="5E57C47F" w14:textId="77777777" w:rsidR="00F536DF" w:rsidRPr="003F00AF" w:rsidRDefault="00F536DF" w:rsidP="00D130D4">
            <w:pPr>
              <w:spacing w:line="200" w:lineRule="atLeast"/>
              <w:jc w:val="center"/>
              <w:rPr>
                <w:color w:val="000000"/>
                <w:sz w:val="22"/>
                <w:szCs w:val="22"/>
              </w:rPr>
            </w:pPr>
            <w:r w:rsidRPr="003F00AF">
              <w:rPr>
                <w:color w:val="000000"/>
                <w:sz w:val="22"/>
                <w:szCs w:val="22"/>
              </w:rPr>
              <w:t>Highly Satisfactory</w:t>
            </w:r>
          </w:p>
        </w:tc>
        <w:tc>
          <w:tcPr>
            <w:tcW w:w="3028" w:type="dxa"/>
            <w:tcBorders>
              <w:left w:val="single" w:sz="4" w:space="0" w:color="auto"/>
              <w:right w:val="single" w:sz="4" w:space="0" w:color="auto"/>
            </w:tcBorders>
            <w:shd w:val="clear" w:color="auto" w:fill="auto"/>
            <w:vAlign w:val="center"/>
          </w:tcPr>
          <w:p w14:paraId="681A233C"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4DC6B29A"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2B2268DE" w14:textId="77777777" w:rsidTr="00C23DFB">
        <w:trPr>
          <w:trHeight w:val="34"/>
        </w:trPr>
        <w:tc>
          <w:tcPr>
            <w:tcW w:w="556" w:type="dxa"/>
            <w:tcBorders>
              <w:right w:val="single" w:sz="4" w:space="0" w:color="auto"/>
            </w:tcBorders>
            <w:shd w:val="clear" w:color="auto" w:fill="auto"/>
            <w:vAlign w:val="center"/>
          </w:tcPr>
          <w:p w14:paraId="5CAC6D5F"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3</w:t>
            </w:r>
          </w:p>
        </w:tc>
        <w:tc>
          <w:tcPr>
            <w:tcW w:w="1938" w:type="dxa"/>
            <w:tcBorders>
              <w:left w:val="single" w:sz="4" w:space="0" w:color="auto"/>
              <w:right w:val="single" w:sz="4" w:space="0" w:color="auto"/>
            </w:tcBorders>
            <w:shd w:val="clear" w:color="auto" w:fill="auto"/>
            <w:vAlign w:val="center"/>
          </w:tcPr>
          <w:p w14:paraId="5DECBE1C" w14:textId="77777777" w:rsidR="00F536DF" w:rsidRPr="003F00AF" w:rsidRDefault="00F536DF" w:rsidP="00D130D4">
            <w:pPr>
              <w:spacing w:line="200" w:lineRule="atLeast"/>
              <w:jc w:val="center"/>
              <w:rPr>
                <w:color w:val="000000"/>
                <w:sz w:val="22"/>
                <w:szCs w:val="22"/>
              </w:rPr>
            </w:pPr>
            <w:r w:rsidRPr="003F00AF">
              <w:rPr>
                <w:color w:val="000000"/>
                <w:sz w:val="22"/>
                <w:szCs w:val="22"/>
              </w:rPr>
              <w:t>05/17/2010</w:t>
            </w:r>
          </w:p>
        </w:tc>
        <w:tc>
          <w:tcPr>
            <w:tcW w:w="2393" w:type="dxa"/>
            <w:tcBorders>
              <w:left w:val="single" w:sz="4" w:space="0" w:color="auto"/>
              <w:right w:val="single" w:sz="4" w:space="0" w:color="auto"/>
            </w:tcBorders>
            <w:shd w:val="clear" w:color="auto" w:fill="auto"/>
            <w:vAlign w:val="center"/>
          </w:tcPr>
          <w:p w14:paraId="5E4627E3"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44752900"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5DB2B04D"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2B1D22F6" w14:textId="77777777" w:rsidTr="00C23DFB">
        <w:trPr>
          <w:trHeight w:val="34"/>
        </w:trPr>
        <w:tc>
          <w:tcPr>
            <w:tcW w:w="556" w:type="dxa"/>
            <w:tcBorders>
              <w:right w:val="single" w:sz="4" w:space="0" w:color="auto"/>
            </w:tcBorders>
            <w:shd w:val="clear" w:color="auto" w:fill="auto"/>
            <w:vAlign w:val="center"/>
          </w:tcPr>
          <w:p w14:paraId="621DDFE4"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4</w:t>
            </w:r>
          </w:p>
        </w:tc>
        <w:tc>
          <w:tcPr>
            <w:tcW w:w="1938" w:type="dxa"/>
            <w:tcBorders>
              <w:left w:val="single" w:sz="4" w:space="0" w:color="auto"/>
              <w:right w:val="single" w:sz="4" w:space="0" w:color="auto"/>
            </w:tcBorders>
            <w:shd w:val="clear" w:color="auto" w:fill="auto"/>
            <w:vAlign w:val="center"/>
          </w:tcPr>
          <w:p w14:paraId="2F232677" w14:textId="77777777" w:rsidR="00F536DF" w:rsidRPr="003F00AF" w:rsidRDefault="00F536DF" w:rsidP="00D130D4">
            <w:pPr>
              <w:spacing w:line="200" w:lineRule="atLeast"/>
              <w:jc w:val="center"/>
              <w:rPr>
                <w:color w:val="000000"/>
                <w:sz w:val="22"/>
                <w:szCs w:val="22"/>
              </w:rPr>
            </w:pPr>
            <w:r w:rsidRPr="003F00AF">
              <w:rPr>
                <w:color w:val="000000"/>
                <w:sz w:val="22"/>
                <w:szCs w:val="22"/>
              </w:rPr>
              <w:t>02/14/2011</w:t>
            </w:r>
          </w:p>
        </w:tc>
        <w:tc>
          <w:tcPr>
            <w:tcW w:w="2393" w:type="dxa"/>
            <w:tcBorders>
              <w:left w:val="single" w:sz="4" w:space="0" w:color="auto"/>
              <w:right w:val="single" w:sz="4" w:space="0" w:color="auto"/>
            </w:tcBorders>
            <w:shd w:val="clear" w:color="auto" w:fill="auto"/>
            <w:vAlign w:val="center"/>
          </w:tcPr>
          <w:p w14:paraId="728767A3"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4F9FD233"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414FBD47"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2C40A680" w14:textId="77777777" w:rsidTr="00C23DFB">
        <w:trPr>
          <w:trHeight w:val="30"/>
        </w:trPr>
        <w:tc>
          <w:tcPr>
            <w:tcW w:w="556" w:type="dxa"/>
            <w:tcBorders>
              <w:right w:val="single" w:sz="4" w:space="0" w:color="auto"/>
            </w:tcBorders>
            <w:shd w:val="clear" w:color="auto" w:fill="auto"/>
            <w:vAlign w:val="center"/>
          </w:tcPr>
          <w:p w14:paraId="17D30CDD"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5</w:t>
            </w:r>
          </w:p>
        </w:tc>
        <w:tc>
          <w:tcPr>
            <w:tcW w:w="1938" w:type="dxa"/>
            <w:tcBorders>
              <w:left w:val="single" w:sz="4" w:space="0" w:color="auto"/>
              <w:right w:val="single" w:sz="4" w:space="0" w:color="auto"/>
            </w:tcBorders>
            <w:shd w:val="clear" w:color="auto" w:fill="auto"/>
            <w:vAlign w:val="center"/>
          </w:tcPr>
          <w:p w14:paraId="16A1376E" w14:textId="77777777" w:rsidR="00F536DF" w:rsidRPr="003F00AF" w:rsidRDefault="00F536DF" w:rsidP="00D130D4">
            <w:pPr>
              <w:spacing w:line="200" w:lineRule="atLeast"/>
              <w:jc w:val="center"/>
              <w:rPr>
                <w:color w:val="000000"/>
                <w:sz w:val="22"/>
                <w:szCs w:val="22"/>
              </w:rPr>
            </w:pPr>
            <w:r w:rsidRPr="003F00AF">
              <w:rPr>
                <w:color w:val="000000"/>
                <w:sz w:val="22"/>
                <w:szCs w:val="22"/>
              </w:rPr>
              <w:t>08/10/2011</w:t>
            </w:r>
          </w:p>
        </w:tc>
        <w:tc>
          <w:tcPr>
            <w:tcW w:w="2393" w:type="dxa"/>
            <w:tcBorders>
              <w:left w:val="single" w:sz="4" w:space="0" w:color="auto"/>
              <w:right w:val="single" w:sz="4" w:space="0" w:color="auto"/>
            </w:tcBorders>
            <w:shd w:val="clear" w:color="auto" w:fill="auto"/>
            <w:vAlign w:val="center"/>
          </w:tcPr>
          <w:p w14:paraId="41D832D4"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1E22CDE1"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3840E291"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74D702AE" w14:textId="77777777" w:rsidTr="00C23DFB">
        <w:trPr>
          <w:trHeight w:val="28"/>
        </w:trPr>
        <w:tc>
          <w:tcPr>
            <w:tcW w:w="556" w:type="dxa"/>
            <w:tcBorders>
              <w:right w:val="single" w:sz="4" w:space="0" w:color="auto"/>
            </w:tcBorders>
            <w:shd w:val="clear" w:color="auto" w:fill="auto"/>
            <w:vAlign w:val="center"/>
          </w:tcPr>
          <w:p w14:paraId="47403D76"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6</w:t>
            </w:r>
          </w:p>
        </w:tc>
        <w:tc>
          <w:tcPr>
            <w:tcW w:w="1938" w:type="dxa"/>
            <w:tcBorders>
              <w:left w:val="single" w:sz="4" w:space="0" w:color="auto"/>
              <w:right w:val="single" w:sz="4" w:space="0" w:color="auto"/>
            </w:tcBorders>
            <w:shd w:val="clear" w:color="auto" w:fill="auto"/>
            <w:vAlign w:val="center"/>
          </w:tcPr>
          <w:p w14:paraId="0682C438" w14:textId="77777777" w:rsidR="00F536DF" w:rsidRPr="003F00AF" w:rsidRDefault="00F536DF" w:rsidP="00D130D4">
            <w:pPr>
              <w:spacing w:line="200" w:lineRule="atLeast"/>
              <w:jc w:val="center"/>
              <w:rPr>
                <w:color w:val="000000"/>
                <w:sz w:val="22"/>
                <w:szCs w:val="22"/>
              </w:rPr>
            </w:pPr>
            <w:r w:rsidRPr="003F00AF">
              <w:rPr>
                <w:color w:val="000000"/>
                <w:sz w:val="22"/>
                <w:szCs w:val="22"/>
              </w:rPr>
              <w:t>04/27/2012</w:t>
            </w:r>
          </w:p>
        </w:tc>
        <w:tc>
          <w:tcPr>
            <w:tcW w:w="2393" w:type="dxa"/>
            <w:tcBorders>
              <w:left w:val="single" w:sz="4" w:space="0" w:color="auto"/>
              <w:right w:val="single" w:sz="4" w:space="0" w:color="auto"/>
            </w:tcBorders>
            <w:shd w:val="clear" w:color="auto" w:fill="auto"/>
            <w:vAlign w:val="center"/>
          </w:tcPr>
          <w:p w14:paraId="61AE3E7B"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749FDFFA"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34607E38"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5B985C6D" w14:textId="77777777" w:rsidTr="00C23DFB">
        <w:trPr>
          <w:trHeight w:val="28"/>
        </w:trPr>
        <w:tc>
          <w:tcPr>
            <w:tcW w:w="556" w:type="dxa"/>
            <w:tcBorders>
              <w:right w:val="single" w:sz="4" w:space="0" w:color="auto"/>
            </w:tcBorders>
            <w:shd w:val="clear" w:color="auto" w:fill="auto"/>
            <w:vAlign w:val="center"/>
          </w:tcPr>
          <w:p w14:paraId="778ED354" w14:textId="77777777" w:rsidR="00F536DF" w:rsidRPr="003F00AF" w:rsidRDefault="00F536DF" w:rsidP="00D130D4">
            <w:pPr>
              <w:spacing w:line="200" w:lineRule="atLeast"/>
              <w:jc w:val="center"/>
              <w:rPr>
                <w:color w:val="000000"/>
                <w:sz w:val="22"/>
                <w:szCs w:val="22"/>
              </w:rPr>
            </w:pPr>
            <w:r w:rsidRPr="003F00AF">
              <w:rPr>
                <w:color w:val="000000"/>
                <w:sz w:val="22"/>
                <w:szCs w:val="22"/>
              </w:rPr>
              <w:t>7</w:t>
            </w:r>
          </w:p>
        </w:tc>
        <w:tc>
          <w:tcPr>
            <w:tcW w:w="1938" w:type="dxa"/>
            <w:tcBorders>
              <w:left w:val="single" w:sz="4" w:space="0" w:color="auto"/>
              <w:right w:val="single" w:sz="4" w:space="0" w:color="auto"/>
            </w:tcBorders>
            <w:shd w:val="clear" w:color="auto" w:fill="auto"/>
            <w:vAlign w:val="center"/>
          </w:tcPr>
          <w:p w14:paraId="3D4E431D" w14:textId="77777777" w:rsidR="00F536DF" w:rsidRPr="003F00AF" w:rsidRDefault="00F536DF" w:rsidP="00D130D4">
            <w:pPr>
              <w:spacing w:line="200" w:lineRule="atLeast"/>
              <w:jc w:val="center"/>
              <w:rPr>
                <w:color w:val="000000"/>
                <w:sz w:val="22"/>
                <w:szCs w:val="22"/>
              </w:rPr>
            </w:pPr>
            <w:r w:rsidRPr="003F00AF">
              <w:rPr>
                <w:color w:val="000000"/>
                <w:sz w:val="22"/>
                <w:szCs w:val="22"/>
              </w:rPr>
              <w:t>11/17/2012</w:t>
            </w:r>
          </w:p>
        </w:tc>
        <w:tc>
          <w:tcPr>
            <w:tcW w:w="2393" w:type="dxa"/>
            <w:tcBorders>
              <w:left w:val="single" w:sz="4" w:space="0" w:color="auto"/>
              <w:right w:val="single" w:sz="4" w:space="0" w:color="auto"/>
            </w:tcBorders>
            <w:shd w:val="clear" w:color="auto" w:fill="auto"/>
            <w:vAlign w:val="center"/>
          </w:tcPr>
          <w:p w14:paraId="7E718447"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63EC8257"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035128D6"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2A2B1F8F" w14:textId="77777777" w:rsidTr="00C23DFB">
        <w:trPr>
          <w:trHeight w:val="28"/>
        </w:trPr>
        <w:tc>
          <w:tcPr>
            <w:tcW w:w="556" w:type="dxa"/>
            <w:tcBorders>
              <w:right w:val="single" w:sz="4" w:space="0" w:color="auto"/>
            </w:tcBorders>
            <w:shd w:val="clear" w:color="auto" w:fill="auto"/>
            <w:vAlign w:val="center"/>
          </w:tcPr>
          <w:p w14:paraId="7F1EB4C3" w14:textId="77777777" w:rsidR="00F536DF" w:rsidRPr="003F00AF" w:rsidRDefault="00F536DF" w:rsidP="00D130D4">
            <w:pPr>
              <w:spacing w:line="200" w:lineRule="atLeast"/>
              <w:jc w:val="center"/>
              <w:rPr>
                <w:color w:val="000000"/>
                <w:sz w:val="22"/>
                <w:szCs w:val="22"/>
              </w:rPr>
            </w:pPr>
            <w:r w:rsidRPr="003F00AF">
              <w:rPr>
                <w:color w:val="000000"/>
                <w:sz w:val="22"/>
                <w:szCs w:val="22"/>
              </w:rPr>
              <w:t>8</w:t>
            </w:r>
          </w:p>
        </w:tc>
        <w:tc>
          <w:tcPr>
            <w:tcW w:w="1938" w:type="dxa"/>
            <w:tcBorders>
              <w:left w:val="single" w:sz="4" w:space="0" w:color="auto"/>
              <w:right w:val="single" w:sz="4" w:space="0" w:color="auto"/>
            </w:tcBorders>
            <w:shd w:val="clear" w:color="auto" w:fill="auto"/>
            <w:vAlign w:val="center"/>
          </w:tcPr>
          <w:p w14:paraId="580994A6" w14:textId="77777777" w:rsidR="00F536DF" w:rsidRPr="003F00AF" w:rsidRDefault="00F536DF" w:rsidP="00D130D4">
            <w:pPr>
              <w:spacing w:line="200" w:lineRule="atLeast"/>
              <w:jc w:val="center"/>
              <w:rPr>
                <w:color w:val="000000"/>
                <w:sz w:val="22"/>
                <w:szCs w:val="22"/>
              </w:rPr>
            </w:pPr>
            <w:r w:rsidRPr="003F00AF">
              <w:rPr>
                <w:color w:val="000000"/>
                <w:sz w:val="22"/>
                <w:szCs w:val="22"/>
              </w:rPr>
              <w:t>06/22/2013</w:t>
            </w:r>
          </w:p>
        </w:tc>
        <w:tc>
          <w:tcPr>
            <w:tcW w:w="2393" w:type="dxa"/>
            <w:tcBorders>
              <w:left w:val="single" w:sz="4" w:space="0" w:color="auto"/>
              <w:right w:val="single" w:sz="4" w:space="0" w:color="auto"/>
            </w:tcBorders>
            <w:shd w:val="clear" w:color="auto" w:fill="auto"/>
            <w:vAlign w:val="center"/>
          </w:tcPr>
          <w:p w14:paraId="02988F3B"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31BB85A1"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02023801"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3E5D7694" w14:textId="77777777" w:rsidTr="00C23DFB">
        <w:trPr>
          <w:trHeight w:val="28"/>
        </w:trPr>
        <w:tc>
          <w:tcPr>
            <w:tcW w:w="556" w:type="dxa"/>
            <w:tcBorders>
              <w:right w:val="single" w:sz="4" w:space="0" w:color="auto"/>
            </w:tcBorders>
            <w:shd w:val="clear" w:color="auto" w:fill="auto"/>
            <w:vAlign w:val="center"/>
          </w:tcPr>
          <w:p w14:paraId="53667656" w14:textId="77777777" w:rsidR="00F536DF" w:rsidRPr="003F00AF" w:rsidRDefault="00F536DF" w:rsidP="00D130D4">
            <w:pPr>
              <w:spacing w:line="200" w:lineRule="atLeast"/>
              <w:jc w:val="center"/>
              <w:rPr>
                <w:color w:val="000000"/>
                <w:sz w:val="22"/>
                <w:szCs w:val="22"/>
              </w:rPr>
            </w:pPr>
            <w:r w:rsidRPr="003F00AF">
              <w:rPr>
                <w:color w:val="000000"/>
                <w:sz w:val="22"/>
                <w:szCs w:val="22"/>
              </w:rPr>
              <w:t>9</w:t>
            </w:r>
          </w:p>
        </w:tc>
        <w:tc>
          <w:tcPr>
            <w:tcW w:w="1938" w:type="dxa"/>
            <w:tcBorders>
              <w:left w:val="single" w:sz="4" w:space="0" w:color="auto"/>
              <w:right w:val="single" w:sz="4" w:space="0" w:color="auto"/>
            </w:tcBorders>
            <w:shd w:val="clear" w:color="auto" w:fill="auto"/>
            <w:vAlign w:val="center"/>
          </w:tcPr>
          <w:p w14:paraId="1CD6935E" w14:textId="77777777" w:rsidR="00F536DF" w:rsidRPr="003F00AF" w:rsidRDefault="00F536DF" w:rsidP="00D130D4">
            <w:pPr>
              <w:spacing w:line="200" w:lineRule="atLeast"/>
              <w:jc w:val="center"/>
              <w:rPr>
                <w:color w:val="000000"/>
                <w:sz w:val="22"/>
                <w:szCs w:val="22"/>
              </w:rPr>
            </w:pPr>
            <w:r w:rsidRPr="003F00AF">
              <w:rPr>
                <w:color w:val="000000"/>
                <w:sz w:val="22"/>
                <w:szCs w:val="22"/>
              </w:rPr>
              <w:t>01/04/2014</w:t>
            </w:r>
          </w:p>
        </w:tc>
        <w:tc>
          <w:tcPr>
            <w:tcW w:w="2393" w:type="dxa"/>
            <w:tcBorders>
              <w:left w:val="single" w:sz="4" w:space="0" w:color="auto"/>
              <w:right w:val="single" w:sz="4" w:space="0" w:color="auto"/>
            </w:tcBorders>
            <w:shd w:val="clear" w:color="auto" w:fill="auto"/>
            <w:vAlign w:val="center"/>
          </w:tcPr>
          <w:p w14:paraId="6EE0339E"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2A2936A0"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0A216647" w14:textId="77777777" w:rsidR="00F536DF" w:rsidRPr="003F00AF" w:rsidRDefault="00F536DF" w:rsidP="00D130D4">
            <w:pPr>
              <w:spacing w:line="200" w:lineRule="atLeast"/>
              <w:jc w:val="center"/>
              <w:rPr>
                <w:color w:val="000000"/>
                <w:sz w:val="22"/>
                <w:szCs w:val="22"/>
              </w:rPr>
            </w:pPr>
            <w:r w:rsidRPr="003F00AF">
              <w:rPr>
                <w:color w:val="000000"/>
                <w:sz w:val="22"/>
                <w:szCs w:val="22"/>
              </w:rPr>
              <w:t>20.00</w:t>
            </w:r>
          </w:p>
        </w:tc>
      </w:tr>
      <w:tr w:rsidR="00F536DF" w:rsidRPr="003F00AF" w14:paraId="4DCC5FAA" w14:textId="77777777" w:rsidTr="00C23DFB">
        <w:trPr>
          <w:trHeight w:val="28"/>
        </w:trPr>
        <w:tc>
          <w:tcPr>
            <w:tcW w:w="556" w:type="dxa"/>
            <w:tcBorders>
              <w:right w:val="single" w:sz="4" w:space="0" w:color="auto"/>
            </w:tcBorders>
            <w:shd w:val="clear" w:color="auto" w:fill="auto"/>
            <w:vAlign w:val="center"/>
          </w:tcPr>
          <w:p w14:paraId="229ADBDE" w14:textId="77777777" w:rsidR="00F536DF" w:rsidRPr="003F00AF" w:rsidRDefault="00F536DF" w:rsidP="00D130D4">
            <w:pPr>
              <w:spacing w:line="200" w:lineRule="atLeast"/>
              <w:jc w:val="center"/>
              <w:rPr>
                <w:color w:val="000000"/>
                <w:sz w:val="22"/>
                <w:szCs w:val="22"/>
              </w:rPr>
            </w:pPr>
            <w:r w:rsidRPr="003F00AF">
              <w:rPr>
                <w:color w:val="000000"/>
                <w:sz w:val="22"/>
                <w:szCs w:val="22"/>
              </w:rPr>
              <w:t>10</w:t>
            </w:r>
          </w:p>
        </w:tc>
        <w:tc>
          <w:tcPr>
            <w:tcW w:w="1938" w:type="dxa"/>
            <w:tcBorders>
              <w:left w:val="single" w:sz="4" w:space="0" w:color="auto"/>
              <w:right w:val="single" w:sz="4" w:space="0" w:color="auto"/>
            </w:tcBorders>
            <w:shd w:val="clear" w:color="auto" w:fill="auto"/>
            <w:vAlign w:val="center"/>
          </w:tcPr>
          <w:p w14:paraId="29F18DCB" w14:textId="77777777" w:rsidR="00F536DF" w:rsidRPr="003F00AF" w:rsidRDefault="00F536DF" w:rsidP="00D130D4">
            <w:pPr>
              <w:spacing w:line="200" w:lineRule="atLeast"/>
              <w:jc w:val="center"/>
              <w:rPr>
                <w:color w:val="000000"/>
                <w:sz w:val="22"/>
                <w:szCs w:val="22"/>
              </w:rPr>
            </w:pPr>
            <w:r w:rsidRPr="003F00AF">
              <w:rPr>
                <w:color w:val="000000"/>
                <w:sz w:val="22"/>
                <w:szCs w:val="22"/>
              </w:rPr>
              <w:t>09/08/2015</w:t>
            </w:r>
          </w:p>
        </w:tc>
        <w:tc>
          <w:tcPr>
            <w:tcW w:w="2393" w:type="dxa"/>
            <w:tcBorders>
              <w:left w:val="single" w:sz="4" w:space="0" w:color="auto"/>
              <w:right w:val="single" w:sz="4" w:space="0" w:color="auto"/>
            </w:tcBorders>
            <w:shd w:val="clear" w:color="auto" w:fill="auto"/>
            <w:vAlign w:val="center"/>
          </w:tcPr>
          <w:p w14:paraId="32D97CCA"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5C951544"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5E5DC145" w14:textId="77777777" w:rsidR="00F536DF" w:rsidRPr="003F00AF" w:rsidRDefault="00F536DF" w:rsidP="00D130D4">
            <w:pPr>
              <w:spacing w:line="200" w:lineRule="atLeast"/>
              <w:jc w:val="center"/>
              <w:rPr>
                <w:color w:val="000000"/>
                <w:sz w:val="22"/>
                <w:szCs w:val="22"/>
              </w:rPr>
            </w:pPr>
            <w:r w:rsidRPr="003F00AF">
              <w:rPr>
                <w:color w:val="000000"/>
                <w:sz w:val="22"/>
                <w:szCs w:val="22"/>
              </w:rPr>
              <w:t>330.00</w:t>
            </w:r>
          </w:p>
        </w:tc>
      </w:tr>
      <w:tr w:rsidR="00F536DF" w:rsidRPr="003F00AF" w14:paraId="000A081F" w14:textId="77777777" w:rsidTr="00C23DFB">
        <w:tc>
          <w:tcPr>
            <w:tcW w:w="9895" w:type="dxa"/>
            <w:gridSpan w:val="5"/>
            <w:shd w:val="clear" w:color="auto" w:fill="auto"/>
            <w:vAlign w:val="center"/>
          </w:tcPr>
          <w:p w14:paraId="347ED04E" w14:textId="77777777" w:rsidR="00F536DF" w:rsidRPr="003F00AF" w:rsidRDefault="00F536DF" w:rsidP="00D130D4">
            <w:pPr>
              <w:rPr>
                <w:b/>
                <w:bCs/>
                <w:color w:val="606060"/>
                <w:sz w:val="22"/>
                <w:szCs w:val="22"/>
              </w:rPr>
            </w:pPr>
            <w:r w:rsidRPr="003F00AF">
              <w:rPr>
                <w:b/>
                <w:bCs/>
                <w:color w:val="606060"/>
                <w:sz w:val="22"/>
                <w:szCs w:val="22"/>
              </w:rPr>
              <w:t xml:space="preserve"> Second Programmatic Environmental Development Policy Loan - P116152</w:t>
            </w:r>
          </w:p>
        </w:tc>
      </w:tr>
      <w:tr w:rsidR="00F536DF" w:rsidRPr="003F00AF" w14:paraId="170045CB" w14:textId="77777777" w:rsidTr="00C23DFB">
        <w:tc>
          <w:tcPr>
            <w:tcW w:w="556" w:type="dxa"/>
            <w:tcBorders>
              <w:right w:val="single" w:sz="4" w:space="0" w:color="auto"/>
            </w:tcBorders>
            <w:shd w:val="clear" w:color="auto" w:fill="auto"/>
            <w:vAlign w:val="center"/>
          </w:tcPr>
          <w:p w14:paraId="1BE64131" w14:textId="77777777" w:rsidR="00F536DF" w:rsidRPr="003F00AF" w:rsidRDefault="00F536DF" w:rsidP="00D130D4">
            <w:pPr>
              <w:jc w:val="center"/>
              <w:rPr>
                <w:b/>
                <w:bCs/>
                <w:color w:val="606060"/>
                <w:sz w:val="22"/>
                <w:szCs w:val="22"/>
              </w:rPr>
            </w:pPr>
            <w:r w:rsidRPr="003F00AF">
              <w:rPr>
                <w:b/>
                <w:bCs/>
                <w:color w:val="606060"/>
                <w:sz w:val="22"/>
                <w:szCs w:val="22"/>
              </w:rPr>
              <w:t>No.</w:t>
            </w:r>
          </w:p>
        </w:tc>
        <w:tc>
          <w:tcPr>
            <w:tcW w:w="1938" w:type="dxa"/>
            <w:tcBorders>
              <w:left w:val="single" w:sz="4" w:space="0" w:color="auto"/>
              <w:right w:val="single" w:sz="4" w:space="0" w:color="auto"/>
            </w:tcBorders>
            <w:shd w:val="clear" w:color="auto" w:fill="auto"/>
            <w:vAlign w:val="center"/>
          </w:tcPr>
          <w:p w14:paraId="6B5FA38E" w14:textId="77777777" w:rsidR="00F536DF" w:rsidRPr="003F00AF" w:rsidRDefault="00F536DF" w:rsidP="00D130D4">
            <w:pPr>
              <w:keepNext/>
              <w:jc w:val="center"/>
              <w:rPr>
                <w:b/>
                <w:bCs/>
                <w:color w:val="606060"/>
                <w:sz w:val="22"/>
                <w:szCs w:val="22"/>
              </w:rPr>
            </w:pPr>
            <w:r w:rsidRPr="003F00AF">
              <w:rPr>
                <w:b/>
                <w:bCs/>
                <w:color w:val="606060"/>
                <w:sz w:val="22"/>
                <w:szCs w:val="22"/>
              </w:rPr>
              <w:t xml:space="preserve">Date ISR </w:t>
            </w:r>
          </w:p>
          <w:p w14:paraId="4F127340" w14:textId="77777777" w:rsidR="00F536DF" w:rsidRPr="003F00AF" w:rsidRDefault="00F536DF" w:rsidP="00D130D4">
            <w:pPr>
              <w:jc w:val="center"/>
              <w:rPr>
                <w:b/>
                <w:bCs/>
                <w:color w:val="606060"/>
                <w:sz w:val="22"/>
                <w:szCs w:val="22"/>
              </w:rPr>
            </w:pPr>
            <w:r w:rsidRPr="003F00AF">
              <w:rPr>
                <w:b/>
                <w:bCs/>
                <w:color w:val="606060"/>
                <w:sz w:val="22"/>
                <w:szCs w:val="22"/>
              </w:rPr>
              <w:t>Archived</w:t>
            </w:r>
          </w:p>
        </w:tc>
        <w:tc>
          <w:tcPr>
            <w:tcW w:w="2393" w:type="dxa"/>
            <w:tcBorders>
              <w:left w:val="single" w:sz="4" w:space="0" w:color="auto"/>
              <w:right w:val="single" w:sz="4" w:space="0" w:color="auto"/>
            </w:tcBorders>
            <w:shd w:val="clear" w:color="auto" w:fill="auto"/>
            <w:vAlign w:val="center"/>
          </w:tcPr>
          <w:p w14:paraId="11DC310D" w14:textId="77777777" w:rsidR="00F536DF" w:rsidRPr="003F00AF" w:rsidRDefault="00F536DF" w:rsidP="00D130D4">
            <w:pPr>
              <w:jc w:val="center"/>
              <w:rPr>
                <w:b/>
                <w:bCs/>
                <w:color w:val="606060"/>
                <w:sz w:val="22"/>
                <w:szCs w:val="22"/>
              </w:rPr>
            </w:pPr>
            <w:r w:rsidRPr="003F00AF">
              <w:rPr>
                <w:b/>
                <w:bCs/>
                <w:color w:val="606060"/>
                <w:sz w:val="22"/>
                <w:szCs w:val="22"/>
              </w:rPr>
              <w:t>DO</w:t>
            </w:r>
          </w:p>
        </w:tc>
        <w:tc>
          <w:tcPr>
            <w:tcW w:w="3028" w:type="dxa"/>
            <w:tcBorders>
              <w:left w:val="single" w:sz="4" w:space="0" w:color="auto"/>
              <w:right w:val="single" w:sz="4" w:space="0" w:color="auto"/>
            </w:tcBorders>
            <w:shd w:val="clear" w:color="auto" w:fill="auto"/>
            <w:vAlign w:val="center"/>
          </w:tcPr>
          <w:p w14:paraId="4752682F" w14:textId="77777777" w:rsidR="00F536DF" w:rsidRPr="003F00AF" w:rsidRDefault="00F536DF" w:rsidP="00D130D4">
            <w:pPr>
              <w:jc w:val="center"/>
              <w:rPr>
                <w:b/>
                <w:bCs/>
                <w:color w:val="606060"/>
                <w:sz w:val="22"/>
                <w:szCs w:val="22"/>
              </w:rPr>
            </w:pPr>
            <w:r w:rsidRPr="003F00AF">
              <w:rPr>
                <w:b/>
                <w:bCs/>
                <w:color w:val="606060"/>
                <w:sz w:val="22"/>
                <w:szCs w:val="22"/>
              </w:rPr>
              <w:t>IP</w:t>
            </w:r>
          </w:p>
        </w:tc>
        <w:tc>
          <w:tcPr>
            <w:tcW w:w="1980" w:type="dxa"/>
            <w:tcBorders>
              <w:left w:val="single" w:sz="4" w:space="0" w:color="auto"/>
            </w:tcBorders>
            <w:shd w:val="clear" w:color="auto" w:fill="auto"/>
            <w:vAlign w:val="center"/>
          </w:tcPr>
          <w:p w14:paraId="3F73B036" w14:textId="77777777" w:rsidR="00F536DF" w:rsidRPr="003F00AF" w:rsidRDefault="00F536DF" w:rsidP="00D130D4">
            <w:pPr>
              <w:jc w:val="center"/>
              <w:rPr>
                <w:b/>
                <w:bCs/>
                <w:color w:val="606060"/>
                <w:sz w:val="22"/>
                <w:szCs w:val="22"/>
              </w:rPr>
            </w:pPr>
            <w:r w:rsidRPr="003F00AF">
              <w:rPr>
                <w:b/>
                <w:bCs/>
                <w:color w:val="606060"/>
                <w:sz w:val="22"/>
                <w:szCs w:val="22"/>
              </w:rPr>
              <w:t>Actual Disbursements</w:t>
            </w:r>
          </w:p>
          <w:p w14:paraId="543BD8FD" w14:textId="77777777" w:rsidR="00F536DF" w:rsidRPr="003F00AF" w:rsidRDefault="00F536DF" w:rsidP="00D130D4">
            <w:pPr>
              <w:jc w:val="center"/>
              <w:rPr>
                <w:b/>
                <w:bCs/>
                <w:color w:val="606060"/>
                <w:sz w:val="22"/>
                <w:szCs w:val="22"/>
              </w:rPr>
            </w:pPr>
            <w:r w:rsidRPr="003F00AF">
              <w:rPr>
                <w:b/>
                <w:bCs/>
                <w:color w:val="606060"/>
                <w:sz w:val="22"/>
                <w:szCs w:val="22"/>
              </w:rPr>
              <w:t>(US$, millions)</w:t>
            </w:r>
          </w:p>
        </w:tc>
      </w:tr>
      <w:tr w:rsidR="00F536DF" w:rsidRPr="003F00AF" w14:paraId="323E40B7" w14:textId="77777777" w:rsidTr="00C23DFB">
        <w:tc>
          <w:tcPr>
            <w:tcW w:w="556" w:type="dxa"/>
            <w:tcBorders>
              <w:right w:val="single" w:sz="4" w:space="0" w:color="auto"/>
            </w:tcBorders>
            <w:shd w:val="clear" w:color="auto" w:fill="auto"/>
            <w:vAlign w:val="center"/>
          </w:tcPr>
          <w:p w14:paraId="00823519"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1</w:t>
            </w:r>
          </w:p>
        </w:tc>
        <w:tc>
          <w:tcPr>
            <w:tcW w:w="1938" w:type="dxa"/>
            <w:tcBorders>
              <w:left w:val="single" w:sz="4" w:space="0" w:color="auto"/>
              <w:right w:val="single" w:sz="4" w:space="0" w:color="auto"/>
            </w:tcBorders>
            <w:shd w:val="clear" w:color="auto" w:fill="auto"/>
            <w:vAlign w:val="center"/>
          </w:tcPr>
          <w:p w14:paraId="1E3BA3FA" w14:textId="77777777" w:rsidR="00F536DF" w:rsidRPr="003F00AF" w:rsidRDefault="00F536DF" w:rsidP="00D130D4">
            <w:pPr>
              <w:spacing w:line="200" w:lineRule="atLeast"/>
              <w:jc w:val="center"/>
              <w:rPr>
                <w:color w:val="000000"/>
                <w:sz w:val="22"/>
                <w:szCs w:val="22"/>
              </w:rPr>
            </w:pPr>
            <w:r w:rsidRPr="003F00AF">
              <w:rPr>
                <w:color w:val="000000"/>
                <w:sz w:val="22"/>
                <w:szCs w:val="22"/>
              </w:rPr>
              <w:t>02/03/2010</w:t>
            </w:r>
          </w:p>
        </w:tc>
        <w:tc>
          <w:tcPr>
            <w:tcW w:w="2393" w:type="dxa"/>
            <w:tcBorders>
              <w:left w:val="single" w:sz="4" w:space="0" w:color="auto"/>
              <w:right w:val="single" w:sz="4" w:space="0" w:color="auto"/>
            </w:tcBorders>
            <w:shd w:val="clear" w:color="auto" w:fill="auto"/>
            <w:vAlign w:val="center"/>
          </w:tcPr>
          <w:p w14:paraId="710E6185"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4FC01D65"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1834877B" w14:textId="77777777" w:rsidR="00F536DF" w:rsidRPr="003F00AF" w:rsidRDefault="00F536DF" w:rsidP="00D130D4">
            <w:pPr>
              <w:spacing w:line="200" w:lineRule="atLeast"/>
              <w:jc w:val="center"/>
              <w:rPr>
                <w:color w:val="000000"/>
                <w:sz w:val="22"/>
                <w:szCs w:val="22"/>
              </w:rPr>
            </w:pPr>
            <w:r w:rsidRPr="003F00AF">
              <w:rPr>
                <w:color w:val="000000"/>
                <w:sz w:val="22"/>
                <w:szCs w:val="22"/>
              </w:rPr>
              <w:t>50.00</w:t>
            </w:r>
          </w:p>
        </w:tc>
      </w:tr>
      <w:tr w:rsidR="00F536DF" w:rsidRPr="003F00AF" w14:paraId="370BA9A3" w14:textId="77777777" w:rsidTr="00C23DFB">
        <w:tc>
          <w:tcPr>
            <w:tcW w:w="556" w:type="dxa"/>
            <w:tcBorders>
              <w:right w:val="single" w:sz="4" w:space="0" w:color="auto"/>
            </w:tcBorders>
            <w:shd w:val="clear" w:color="auto" w:fill="auto"/>
            <w:vAlign w:val="center"/>
          </w:tcPr>
          <w:p w14:paraId="19458DD1"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2</w:t>
            </w:r>
          </w:p>
        </w:tc>
        <w:tc>
          <w:tcPr>
            <w:tcW w:w="1938" w:type="dxa"/>
            <w:tcBorders>
              <w:left w:val="single" w:sz="4" w:space="0" w:color="auto"/>
              <w:right w:val="single" w:sz="4" w:space="0" w:color="auto"/>
            </w:tcBorders>
            <w:shd w:val="clear" w:color="auto" w:fill="auto"/>
            <w:vAlign w:val="center"/>
          </w:tcPr>
          <w:p w14:paraId="1C5E3C88" w14:textId="77777777" w:rsidR="00F536DF" w:rsidRPr="003F00AF" w:rsidRDefault="00F536DF" w:rsidP="00D130D4">
            <w:pPr>
              <w:spacing w:line="200" w:lineRule="atLeast"/>
              <w:jc w:val="center"/>
              <w:rPr>
                <w:color w:val="000000"/>
                <w:sz w:val="22"/>
                <w:szCs w:val="22"/>
              </w:rPr>
            </w:pPr>
            <w:r w:rsidRPr="003F00AF">
              <w:rPr>
                <w:color w:val="000000"/>
                <w:sz w:val="22"/>
                <w:szCs w:val="22"/>
              </w:rPr>
              <w:t>03/01/2011</w:t>
            </w:r>
          </w:p>
        </w:tc>
        <w:tc>
          <w:tcPr>
            <w:tcW w:w="2393" w:type="dxa"/>
            <w:tcBorders>
              <w:left w:val="single" w:sz="4" w:space="0" w:color="auto"/>
              <w:right w:val="single" w:sz="4" w:space="0" w:color="auto"/>
            </w:tcBorders>
            <w:shd w:val="clear" w:color="auto" w:fill="auto"/>
            <w:vAlign w:val="center"/>
          </w:tcPr>
          <w:p w14:paraId="6644EA52"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7CDE3F7A"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7536168A" w14:textId="77777777" w:rsidR="00F536DF" w:rsidRPr="003F00AF" w:rsidRDefault="00F536DF" w:rsidP="00D130D4">
            <w:pPr>
              <w:spacing w:line="200" w:lineRule="atLeast"/>
              <w:jc w:val="center"/>
              <w:rPr>
                <w:color w:val="000000"/>
                <w:sz w:val="22"/>
                <w:szCs w:val="22"/>
              </w:rPr>
            </w:pPr>
            <w:r w:rsidRPr="003F00AF">
              <w:rPr>
                <w:color w:val="000000"/>
                <w:sz w:val="22"/>
                <w:szCs w:val="22"/>
              </w:rPr>
              <w:t>50.00</w:t>
            </w:r>
          </w:p>
        </w:tc>
      </w:tr>
      <w:tr w:rsidR="00F536DF" w:rsidRPr="003F00AF" w14:paraId="006C63E3" w14:textId="77777777" w:rsidTr="00C23DFB">
        <w:tc>
          <w:tcPr>
            <w:tcW w:w="556" w:type="dxa"/>
            <w:tcBorders>
              <w:right w:val="single" w:sz="4" w:space="0" w:color="auto"/>
            </w:tcBorders>
            <w:shd w:val="clear" w:color="auto" w:fill="auto"/>
            <w:vAlign w:val="center"/>
          </w:tcPr>
          <w:p w14:paraId="5577B5A5"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3</w:t>
            </w:r>
          </w:p>
        </w:tc>
        <w:tc>
          <w:tcPr>
            <w:tcW w:w="1938" w:type="dxa"/>
            <w:tcBorders>
              <w:left w:val="single" w:sz="4" w:space="0" w:color="auto"/>
              <w:right w:val="single" w:sz="4" w:space="0" w:color="auto"/>
            </w:tcBorders>
            <w:shd w:val="clear" w:color="auto" w:fill="auto"/>
            <w:vAlign w:val="center"/>
          </w:tcPr>
          <w:p w14:paraId="6C805634" w14:textId="77777777" w:rsidR="00F536DF" w:rsidRPr="003F00AF" w:rsidRDefault="00F536DF" w:rsidP="00D130D4">
            <w:pPr>
              <w:spacing w:line="200" w:lineRule="atLeast"/>
              <w:jc w:val="center"/>
              <w:rPr>
                <w:color w:val="000000"/>
                <w:sz w:val="22"/>
                <w:szCs w:val="22"/>
              </w:rPr>
            </w:pPr>
            <w:r w:rsidRPr="003F00AF">
              <w:rPr>
                <w:color w:val="000000"/>
                <w:sz w:val="22"/>
                <w:szCs w:val="22"/>
              </w:rPr>
              <w:t>07/09/2012</w:t>
            </w:r>
          </w:p>
        </w:tc>
        <w:tc>
          <w:tcPr>
            <w:tcW w:w="2393" w:type="dxa"/>
            <w:tcBorders>
              <w:left w:val="single" w:sz="4" w:space="0" w:color="auto"/>
              <w:right w:val="single" w:sz="4" w:space="0" w:color="auto"/>
            </w:tcBorders>
            <w:shd w:val="clear" w:color="auto" w:fill="auto"/>
            <w:vAlign w:val="center"/>
          </w:tcPr>
          <w:p w14:paraId="1277EBE0"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1DA0A1E8"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366FF73B" w14:textId="77777777" w:rsidR="00F536DF" w:rsidRPr="003F00AF" w:rsidRDefault="00F536DF" w:rsidP="00D130D4">
            <w:pPr>
              <w:spacing w:line="200" w:lineRule="atLeast"/>
              <w:jc w:val="center"/>
              <w:rPr>
                <w:color w:val="000000"/>
                <w:sz w:val="22"/>
                <w:szCs w:val="22"/>
              </w:rPr>
            </w:pPr>
            <w:r w:rsidRPr="003F00AF">
              <w:rPr>
                <w:color w:val="000000"/>
                <w:sz w:val="22"/>
                <w:szCs w:val="22"/>
              </w:rPr>
              <w:t>50.00</w:t>
            </w:r>
          </w:p>
        </w:tc>
      </w:tr>
      <w:tr w:rsidR="00F536DF" w:rsidRPr="003F00AF" w14:paraId="1E50EA16" w14:textId="77777777" w:rsidTr="00C23DFB">
        <w:tc>
          <w:tcPr>
            <w:tcW w:w="9895" w:type="dxa"/>
            <w:gridSpan w:val="5"/>
            <w:shd w:val="clear" w:color="auto" w:fill="auto"/>
            <w:vAlign w:val="center"/>
          </w:tcPr>
          <w:p w14:paraId="59409996" w14:textId="77777777" w:rsidR="00F536DF" w:rsidRPr="003F00AF" w:rsidRDefault="00F536DF" w:rsidP="00D130D4">
            <w:pPr>
              <w:rPr>
                <w:b/>
                <w:bCs/>
                <w:color w:val="606060"/>
                <w:sz w:val="22"/>
                <w:szCs w:val="22"/>
              </w:rPr>
            </w:pPr>
            <w:r w:rsidRPr="003F00AF">
              <w:rPr>
                <w:b/>
                <w:bCs/>
                <w:color w:val="606060"/>
                <w:sz w:val="22"/>
                <w:szCs w:val="22"/>
              </w:rPr>
              <w:t xml:space="preserve"> Peru Third Programmatic Environmental Development Policy Loan - P118713</w:t>
            </w:r>
          </w:p>
        </w:tc>
      </w:tr>
      <w:tr w:rsidR="00F536DF" w:rsidRPr="003F00AF" w14:paraId="758D1F8E" w14:textId="77777777" w:rsidTr="00C23DFB">
        <w:tc>
          <w:tcPr>
            <w:tcW w:w="556" w:type="dxa"/>
            <w:tcBorders>
              <w:right w:val="single" w:sz="4" w:space="0" w:color="auto"/>
            </w:tcBorders>
            <w:shd w:val="clear" w:color="auto" w:fill="auto"/>
            <w:vAlign w:val="center"/>
          </w:tcPr>
          <w:p w14:paraId="2130FDB9" w14:textId="77777777" w:rsidR="00F536DF" w:rsidRPr="003F00AF" w:rsidRDefault="00F536DF" w:rsidP="00D130D4">
            <w:pPr>
              <w:jc w:val="center"/>
              <w:rPr>
                <w:b/>
                <w:bCs/>
                <w:color w:val="606060"/>
                <w:sz w:val="22"/>
                <w:szCs w:val="22"/>
              </w:rPr>
            </w:pPr>
            <w:r w:rsidRPr="003F00AF">
              <w:rPr>
                <w:b/>
                <w:bCs/>
                <w:color w:val="606060"/>
                <w:sz w:val="22"/>
                <w:szCs w:val="22"/>
              </w:rPr>
              <w:t>No.</w:t>
            </w:r>
          </w:p>
        </w:tc>
        <w:tc>
          <w:tcPr>
            <w:tcW w:w="1938" w:type="dxa"/>
            <w:tcBorders>
              <w:left w:val="single" w:sz="4" w:space="0" w:color="auto"/>
              <w:right w:val="single" w:sz="4" w:space="0" w:color="auto"/>
            </w:tcBorders>
            <w:shd w:val="clear" w:color="auto" w:fill="auto"/>
            <w:vAlign w:val="center"/>
          </w:tcPr>
          <w:p w14:paraId="6F8270BB" w14:textId="77777777" w:rsidR="00F536DF" w:rsidRPr="003F00AF" w:rsidRDefault="00F536DF" w:rsidP="00D130D4">
            <w:pPr>
              <w:keepNext/>
              <w:jc w:val="center"/>
              <w:rPr>
                <w:b/>
                <w:bCs/>
                <w:color w:val="606060"/>
                <w:sz w:val="22"/>
                <w:szCs w:val="22"/>
              </w:rPr>
            </w:pPr>
            <w:r w:rsidRPr="003F00AF">
              <w:rPr>
                <w:b/>
                <w:bCs/>
                <w:color w:val="606060"/>
                <w:sz w:val="22"/>
                <w:szCs w:val="22"/>
              </w:rPr>
              <w:t xml:space="preserve">Date ISR </w:t>
            </w:r>
          </w:p>
          <w:p w14:paraId="7A2B9D8E" w14:textId="77777777" w:rsidR="00F536DF" w:rsidRPr="003F00AF" w:rsidRDefault="00F536DF" w:rsidP="00D130D4">
            <w:pPr>
              <w:jc w:val="center"/>
              <w:rPr>
                <w:b/>
                <w:bCs/>
                <w:color w:val="606060"/>
                <w:sz w:val="22"/>
                <w:szCs w:val="22"/>
              </w:rPr>
            </w:pPr>
            <w:r w:rsidRPr="003F00AF">
              <w:rPr>
                <w:b/>
                <w:bCs/>
                <w:color w:val="606060"/>
                <w:sz w:val="22"/>
                <w:szCs w:val="22"/>
              </w:rPr>
              <w:t>Archived</w:t>
            </w:r>
          </w:p>
        </w:tc>
        <w:tc>
          <w:tcPr>
            <w:tcW w:w="2393" w:type="dxa"/>
            <w:tcBorders>
              <w:left w:val="single" w:sz="4" w:space="0" w:color="auto"/>
              <w:right w:val="single" w:sz="4" w:space="0" w:color="auto"/>
            </w:tcBorders>
            <w:shd w:val="clear" w:color="auto" w:fill="auto"/>
            <w:vAlign w:val="center"/>
          </w:tcPr>
          <w:p w14:paraId="764858E1" w14:textId="77777777" w:rsidR="00F536DF" w:rsidRPr="003F00AF" w:rsidRDefault="00F536DF" w:rsidP="00D130D4">
            <w:pPr>
              <w:jc w:val="center"/>
              <w:rPr>
                <w:b/>
                <w:bCs/>
                <w:color w:val="606060"/>
                <w:sz w:val="22"/>
                <w:szCs w:val="22"/>
              </w:rPr>
            </w:pPr>
            <w:r w:rsidRPr="003F00AF">
              <w:rPr>
                <w:b/>
                <w:bCs/>
                <w:color w:val="606060"/>
                <w:sz w:val="22"/>
                <w:szCs w:val="22"/>
              </w:rPr>
              <w:t>DO</w:t>
            </w:r>
          </w:p>
        </w:tc>
        <w:tc>
          <w:tcPr>
            <w:tcW w:w="3028" w:type="dxa"/>
            <w:tcBorders>
              <w:left w:val="single" w:sz="4" w:space="0" w:color="auto"/>
              <w:right w:val="single" w:sz="4" w:space="0" w:color="auto"/>
            </w:tcBorders>
            <w:shd w:val="clear" w:color="auto" w:fill="auto"/>
            <w:vAlign w:val="center"/>
          </w:tcPr>
          <w:p w14:paraId="50869929" w14:textId="77777777" w:rsidR="00F536DF" w:rsidRPr="003F00AF" w:rsidRDefault="00F536DF" w:rsidP="00D130D4">
            <w:pPr>
              <w:jc w:val="center"/>
              <w:rPr>
                <w:b/>
                <w:bCs/>
                <w:color w:val="606060"/>
                <w:sz w:val="22"/>
                <w:szCs w:val="22"/>
              </w:rPr>
            </w:pPr>
            <w:r w:rsidRPr="003F00AF">
              <w:rPr>
                <w:b/>
                <w:bCs/>
                <w:color w:val="606060"/>
                <w:sz w:val="22"/>
                <w:szCs w:val="22"/>
              </w:rPr>
              <w:t>IP</w:t>
            </w:r>
          </w:p>
        </w:tc>
        <w:tc>
          <w:tcPr>
            <w:tcW w:w="1980" w:type="dxa"/>
            <w:tcBorders>
              <w:left w:val="single" w:sz="4" w:space="0" w:color="auto"/>
            </w:tcBorders>
            <w:shd w:val="clear" w:color="auto" w:fill="auto"/>
            <w:vAlign w:val="center"/>
          </w:tcPr>
          <w:p w14:paraId="56AEA99D" w14:textId="77777777" w:rsidR="00F536DF" w:rsidRPr="003F00AF" w:rsidRDefault="00F536DF" w:rsidP="00D130D4">
            <w:pPr>
              <w:jc w:val="center"/>
              <w:rPr>
                <w:b/>
                <w:bCs/>
                <w:color w:val="606060"/>
                <w:sz w:val="22"/>
                <w:szCs w:val="22"/>
              </w:rPr>
            </w:pPr>
            <w:r w:rsidRPr="003F00AF">
              <w:rPr>
                <w:b/>
                <w:bCs/>
                <w:color w:val="606060"/>
                <w:sz w:val="22"/>
                <w:szCs w:val="22"/>
              </w:rPr>
              <w:t>Actual Disbursements</w:t>
            </w:r>
          </w:p>
          <w:p w14:paraId="05ADBF36" w14:textId="77777777" w:rsidR="00F536DF" w:rsidRPr="003F00AF" w:rsidRDefault="00F536DF" w:rsidP="00D130D4">
            <w:pPr>
              <w:jc w:val="center"/>
              <w:rPr>
                <w:b/>
                <w:bCs/>
                <w:color w:val="606060"/>
                <w:sz w:val="22"/>
                <w:szCs w:val="22"/>
              </w:rPr>
            </w:pPr>
            <w:r w:rsidRPr="003F00AF">
              <w:rPr>
                <w:b/>
                <w:bCs/>
                <w:color w:val="606060"/>
                <w:sz w:val="22"/>
                <w:szCs w:val="22"/>
              </w:rPr>
              <w:t>(US$, millions)</w:t>
            </w:r>
          </w:p>
        </w:tc>
      </w:tr>
      <w:tr w:rsidR="00F536DF" w:rsidRPr="003F00AF" w14:paraId="28CE6AA0" w14:textId="77777777" w:rsidTr="00C23DFB">
        <w:tc>
          <w:tcPr>
            <w:tcW w:w="556" w:type="dxa"/>
            <w:tcBorders>
              <w:right w:val="single" w:sz="4" w:space="0" w:color="auto"/>
            </w:tcBorders>
            <w:shd w:val="clear" w:color="auto" w:fill="auto"/>
            <w:vAlign w:val="center"/>
          </w:tcPr>
          <w:p w14:paraId="4200797B"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1</w:t>
            </w:r>
          </w:p>
        </w:tc>
        <w:tc>
          <w:tcPr>
            <w:tcW w:w="1938" w:type="dxa"/>
            <w:tcBorders>
              <w:left w:val="single" w:sz="4" w:space="0" w:color="auto"/>
              <w:right w:val="single" w:sz="4" w:space="0" w:color="auto"/>
            </w:tcBorders>
            <w:shd w:val="clear" w:color="auto" w:fill="auto"/>
            <w:vAlign w:val="center"/>
          </w:tcPr>
          <w:p w14:paraId="274136EE" w14:textId="77777777" w:rsidR="00F536DF" w:rsidRPr="003F00AF" w:rsidRDefault="00F536DF" w:rsidP="00D130D4">
            <w:pPr>
              <w:spacing w:line="200" w:lineRule="atLeast"/>
              <w:jc w:val="center"/>
              <w:rPr>
                <w:color w:val="000000"/>
                <w:sz w:val="22"/>
                <w:szCs w:val="22"/>
              </w:rPr>
            </w:pPr>
            <w:r w:rsidRPr="003F00AF">
              <w:rPr>
                <w:color w:val="000000"/>
                <w:sz w:val="22"/>
                <w:szCs w:val="22"/>
              </w:rPr>
              <w:t>02/23/2011</w:t>
            </w:r>
          </w:p>
        </w:tc>
        <w:tc>
          <w:tcPr>
            <w:tcW w:w="2393" w:type="dxa"/>
            <w:tcBorders>
              <w:left w:val="single" w:sz="4" w:space="0" w:color="auto"/>
              <w:right w:val="single" w:sz="4" w:space="0" w:color="auto"/>
            </w:tcBorders>
            <w:shd w:val="clear" w:color="auto" w:fill="auto"/>
            <w:vAlign w:val="center"/>
          </w:tcPr>
          <w:p w14:paraId="0BE51ABC"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3028" w:type="dxa"/>
            <w:tcBorders>
              <w:left w:val="single" w:sz="4" w:space="0" w:color="auto"/>
              <w:right w:val="single" w:sz="4" w:space="0" w:color="auto"/>
            </w:tcBorders>
            <w:shd w:val="clear" w:color="auto" w:fill="auto"/>
            <w:vAlign w:val="center"/>
          </w:tcPr>
          <w:p w14:paraId="6F3F62B4" w14:textId="77777777" w:rsidR="00F536DF" w:rsidRPr="003F00AF" w:rsidRDefault="00F536DF" w:rsidP="00D130D4">
            <w:pPr>
              <w:spacing w:line="200" w:lineRule="atLeast"/>
              <w:jc w:val="center"/>
              <w:rPr>
                <w:color w:val="000000"/>
                <w:sz w:val="22"/>
                <w:szCs w:val="22"/>
              </w:rPr>
            </w:pPr>
            <w:r w:rsidRPr="003F00AF">
              <w:rPr>
                <w:color w:val="000000"/>
                <w:sz w:val="22"/>
                <w:szCs w:val="22"/>
              </w:rPr>
              <w:t>Satisfactory</w:t>
            </w:r>
          </w:p>
        </w:tc>
        <w:tc>
          <w:tcPr>
            <w:tcW w:w="1980" w:type="dxa"/>
            <w:tcBorders>
              <w:left w:val="single" w:sz="4" w:space="0" w:color="auto"/>
            </w:tcBorders>
            <w:shd w:val="clear" w:color="auto" w:fill="auto"/>
            <w:vAlign w:val="center"/>
          </w:tcPr>
          <w:p w14:paraId="6DBA8D5F" w14:textId="77777777" w:rsidR="00F536DF" w:rsidRPr="003F00AF" w:rsidRDefault="00F536DF" w:rsidP="00D130D4">
            <w:pPr>
              <w:spacing w:line="200" w:lineRule="atLeast"/>
              <w:jc w:val="center"/>
              <w:rPr>
                <w:color w:val="000000"/>
                <w:sz w:val="22"/>
                <w:szCs w:val="22"/>
              </w:rPr>
            </w:pPr>
            <w:r w:rsidRPr="003F00AF">
              <w:rPr>
                <w:color w:val="000000"/>
                <w:sz w:val="22"/>
                <w:szCs w:val="22"/>
              </w:rPr>
              <w:t>75.00</w:t>
            </w:r>
          </w:p>
        </w:tc>
      </w:tr>
      <w:tr w:rsidR="00F536DF" w:rsidRPr="003F00AF" w14:paraId="7261CD0D" w14:textId="77777777" w:rsidTr="00C23DFB">
        <w:tc>
          <w:tcPr>
            <w:tcW w:w="556" w:type="dxa"/>
            <w:tcBorders>
              <w:right w:val="single" w:sz="4" w:space="0" w:color="auto"/>
            </w:tcBorders>
            <w:shd w:val="clear" w:color="auto" w:fill="auto"/>
            <w:vAlign w:val="center"/>
          </w:tcPr>
          <w:p w14:paraId="11DD525F" w14:textId="77777777" w:rsidR="00F536DF" w:rsidRPr="003F00AF" w:rsidRDefault="00F536DF" w:rsidP="00D130D4">
            <w:pPr>
              <w:spacing w:line="200" w:lineRule="atLeast"/>
              <w:jc w:val="center"/>
              <w:rPr>
                <w:color w:val="000000"/>
                <w:sz w:val="22"/>
                <w:szCs w:val="22"/>
              </w:rPr>
            </w:pPr>
            <w:r w:rsidRPr="003F00AF">
              <w:rPr>
                <w:color w:val="000000"/>
                <w:sz w:val="22"/>
                <w:szCs w:val="22"/>
              </w:rPr>
              <w:t xml:space="preserve"> </w:t>
            </w:r>
            <w:bookmarkStart w:id="54" w:name="ARCHISR_COL_1"/>
            <w:r w:rsidRPr="003F00AF">
              <w:rPr>
                <w:color w:val="000000"/>
                <w:sz w:val="22"/>
                <w:szCs w:val="22"/>
              </w:rPr>
              <w:t>2</w:t>
            </w:r>
            <w:bookmarkEnd w:id="54"/>
          </w:p>
        </w:tc>
        <w:tc>
          <w:tcPr>
            <w:tcW w:w="1938" w:type="dxa"/>
            <w:tcBorders>
              <w:left w:val="single" w:sz="4" w:space="0" w:color="auto"/>
              <w:right w:val="single" w:sz="4" w:space="0" w:color="auto"/>
            </w:tcBorders>
            <w:shd w:val="clear" w:color="auto" w:fill="auto"/>
            <w:vAlign w:val="center"/>
          </w:tcPr>
          <w:p w14:paraId="72ADBC9B" w14:textId="77777777" w:rsidR="00F536DF" w:rsidRPr="003F00AF" w:rsidRDefault="00F536DF" w:rsidP="00D130D4">
            <w:pPr>
              <w:spacing w:line="200" w:lineRule="atLeast"/>
              <w:jc w:val="center"/>
              <w:rPr>
                <w:color w:val="000000"/>
                <w:sz w:val="22"/>
                <w:szCs w:val="22"/>
              </w:rPr>
            </w:pPr>
            <w:bookmarkStart w:id="55" w:name="ARCHISR_COL_2"/>
            <w:r w:rsidRPr="003F00AF">
              <w:rPr>
                <w:color w:val="000000"/>
                <w:sz w:val="22"/>
                <w:szCs w:val="22"/>
              </w:rPr>
              <w:t>07/09/2012</w:t>
            </w:r>
            <w:bookmarkEnd w:id="55"/>
          </w:p>
        </w:tc>
        <w:tc>
          <w:tcPr>
            <w:tcW w:w="2393" w:type="dxa"/>
            <w:tcBorders>
              <w:left w:val="single" w:sz="4" w:space="0" w:color="auto"/>
              <w:right w:val="single" w:sz="4" w:space="0" w:color="auto"/>
            </w:tcBorders>
            <w:shd w:val="clear" w:color="auto" w:fill="auto"/>
            <w:vAlign w:val="center"/>
          </w:tcPr>
          <w:p w14:paraId="0E298C0F" w14:textId="77777777" w:rsidR="00F536DF" w:rsidRPr="003F00AF" w:rsidRDefault="00F536DF" w:rsidP="00D130D4">
            <w:pPr>
              <w:spacing w:line="200" w:lineRule="atLeast"/>
              <w:jc w:val="center"/>
              <w:rPr>
                <w:color w:val="000000"/>
                <w:sz w:val="22"/>
                <w:szCs w:val="22"/>
              </w:rPr>
            </w:pPr>
            <w:bookmarkStart w:id="56" w:name="ARCHISR_COL_3"/>
            <w:r w:rsidRPr="003F00AF">
              <w:rPr>
                <w:color w:val="000000"/>
                <w:sz w:val="22"/>
                <w:szCs w:val="22"/>
              </w:rPr>
              <w:t>Satisfactory</w:t>
            </w:r>
            <w:bookmarkEnd w:id="56"/>
          </w:p>
        </w:tc>
        <w:tc>
          <w:tcPr>
            <w:tcW w:w="3028" w:type="dxa"/>
            <w:tcBorders>
              <w:left w:val="single" w:sz="4" w:space="0" w:color="auto"/>
              <w:right w:val="single" w:sz="4" w:space="0" w:color="auto"/>
            </w:tcBorders>
            <w:shd w:val="clear" w:color="auto" w:fill="auto"/>
            <w:vAlign w:val="center"/>
          </w:tcPr>
          <w:p w14:paraId="6AEED7C4" w14:textId="77777777" w:rsidR="00F536DF" w:rsidRPr="003F00AF" w:rsidRDefault="00F536DF" w:rsidP="00D130D4">
            <w:pPr>
              <w:spacing w:line="200" w:lineRule="atLeast"/>
              <w:jc w:val="center"/>
              <w:rPr>
                <w:color w:val="000000"/>
                <w:sz w:val="22"/>
                <w:szCs w:val="22"/>
              </w:rPr>
            </w:pPr>
            <w:bookmarkStart w:id="57" w:name="ARCHISR_COL_4"/>
            <w:r w:rsidRPr="003F00AF">
              <w:rPr>
                <w:color w:val="000000"/>
                <w:sz w:val="22"/>
                <w:szCs w:val="22"/>
              </w:rPr>
              <w:t>Satisfactory</w:t>
            </w:r>
            <w:bookmarkEnd w:id="57"/>
          </w:p>
        </w:tc>
        <w:tc>
          <w:tcPr>
            <w:tcW w:w="1980" w:type="dxa"/>
            <w:tcBorders>
              <w:left w:val="single" w:sz="4" w:space="0" w:color="auto"/>
            </w:tcBorders>
            <w:shd w:val="clear" w:color="auto" w:fill="auto"/>
            <w:vAlign w:val="center"/>
          </w:tcPr>
          <w:p w14:paraId="67D85C82" w14:textId="77777777" w:rsidR="00F536DF" w:rsidRPr="003F00AF" w:rsidRDefault="00F536DF" w:rsidP="00D130D4">
            <w:pPr>
              <w:spacing w:line="200" w:lineRule="atLeast"/>
              <w:jc w:val="center"/>
              <w:rPr>
                <w:color w:val="000000"/>
                <w:sz w:val="22"/>
                <w:szCs w:val="22"/>
              </w:rPr>
            </w:pPr>
            <w:bookmarkStart w:id="58" w:name="ARCHISR_COL_5"/>
            <w:r w:rsidRPr="003F00AF">
              <w:rPr>
                <w:color w:val="000000"/>
                <w:sz w:val="22"/>
                <w:szCs w:val="22"/>
              </w:rPr>
              <w:t>75.00</w:t>
            </w:r>
            <w:bookmarkEnd w:id="58"/>
          </w:p>
        </w:tc>
      </w:tr>
    </w:tbl>
    <w:p w14:paraId="31987040" w14:textId="346EB0C3" w:rsidR="00F536DF" w:rsidRDefault="00CB7AA2" w:rsidP="00895D77">
      <w:pPr>
        <w:spacing w:before="120" w:after="120"/>
        <w:rPr>
          <w:b/>
        </w:rPr>
      </w:pPr>
      <w:r>
        <w:rPr>
          <w:b/>
        </w:rPr>
        <w:t>H. Restructuring</w:t>
      </w:r>
    </w:p>
    <w:tbl>
      <w:tblPr>
        <w:tblW w:w="5291" w:type="pct"/>
        <w:tblLayout w:type="fixed"/>
        <w:tblCellMar>
          <w:top w:w="10" w:type="dxa"/>
          <w:left w:w="10" w:type="dxa"/>
          <w:bottom w:w="10" w:type="dxa"/>
          <w:right w:w="10" w:type="dxa"/>
        </w:tblCellMar>
        <w:tblLook w:val="0000" w:firstRow="0" w:lastRow="0" w:firstColumn="0" w:lastColumn="0" w:noHBand="0" w:noVBand="0"/>
      </w:tblPr>
      <w:tblGrid>
        <w:gridCol w:w="1622"/>
        <w:gridCol w:w="11"/>
        <w:gridCol w:w="1494"/>
        <w:gridCol w:w="964"/>
        <w:gridCol w:w="838"/>
        <w:gridCol w:w="8"/>
        <w:gridCol w:w="2186"/>
        <w:gridCol w:w="2771"/>
      </w:tblGrid>
      <w:tr w:rsidR="00CB7AA2" w:rsidRPr="00CB7AA2" w14:paraId="3FD20285" w14:textId="77777777" w:rsidTr="008F6E46">
        <w:trPr>
          <w:tblHeader/>
        </w:trPr>
        <w:tc>
          <w:tcPr>
            <w:tcW w:w="9894" w:type="dxa"/>
            <w:gridSpan w:val="8"/>
            <w:tcBorders>
              <w:top w:val="single" w:sz="4" w:space="0" w:color="B1B1B1"/>
              <w:left w:val="single" w:sz="4" w:space="0" w:color="B1B1B1"/>
              <w:bottom w:val="single" w:sz="4" w:space="0" w:color="B1B1B1"/>
              <w:right w:val="single" w:sz="4" w:space="0" w:color="B1B1B1"/>
            </w:tcBorders>
            <w:shd w:val="clear" w:color="auto" w:fill="auto"/>
            <w:vAlign w:val="center"/>
          </w:tcPr>
          <w:p w14:paraId="7A7D9BE1" w14:textId="77777777" w:rsidR="00CB7AA2" w:rsidRPr="00CB7AA2" w:rsidRDefault="00CB7AA2" w:rsidP="003E2483">
            <w:pPr>
              <w:rPr>
                <w:b/>
                <w:bCs/>
                <w:sz w:val="22"/>
                <w:szCs w:val="22"/>
              </w:rPr>
            </w:pPr>
            <w:bookmarkStart w:id="59" w:name="projname"/>
            <w:r w:rsidRPr="00CB7AA2">
              <w:rPr>
                <w:b/>
                <w:bCs/>
                <w:sz w:val="22"/>
                <w:szCs w:val="22"/>
              </w:rPr>
              <w:t>Peru First Programmatic Environmental Development Policy Loan /DDO</w:t>
            </w:r>
            <w:bookmarkEnd w:id="59"/>
            <w:r w:rsidRPr="00CB7AA2">
              <w:rPr>
                <w:b/>
                <w:bCs/>
                <w:sz w:val="22"/>
                <w:szCs w:val="22"/>
              </w:rPr>
              <w:t xml:space="preserve"> - </w:t>
            </w:r>
            <w:bookmarkStart w:id="60" w:name="projID"/>
            <w:r w:rsidRPr="00CB7AA2">
              <w:rPr>
                <w:b/>
                <w:bCs/>
                <w:sz w:val="22"/>
                <w:szCs w:val="22"/>
              </w:rPr>
              <w:t>P101471</w:t>
            </w:r>
            <w:bookmarkEnd w:id="60"/>
          </w:p>
        </w:tc>
      </w:tr>
      <w:tr w:rsidR="00CB7AA2" w:rsidRPr="00CB7AA2" w14:paraId="4B4826D6" w14:textId="77777777" w:rsidTr="008F6E46">
        <w:trPr>
          <w:cantSplit/>
          <w:tblHeader/>
        </w:trPr>
        <w:tc>
          <w:tcPr>
            <w:tcW w:w="1622" w:type="dxa"/>
            <w:vMerge w:val="restart"/>
            <w:tcBorders>
              <w:top w:val="single" w:sz="4" w:space="0" w:color="B1B1B1"/>
              <w:left w:val="single" w:sz="4" w:space="0" w:color="B1B1B1"/>
              <w:bottom w:val="single" w:sz="4" w:space="0" w:color="B1B1B1"/>
              <w:right w:val="single" w:sz="4" w:space="0" w:color="B1B1B1"/>
            </w:tcBorders>
            <w:shd w:val="clear" w:color="auto" w:fill="auto"/>
            <w:vAlign w:val="center"/>
          </w:tcPr>
          <w:p w14:paraId="76B784DA" w14:textId="77777777" w:rsidR="00CB7AA2" w:rsidRPr="00CB7AA2" w:rsidRDefault="00CB7AA2" w:rsidP="003E2483">
            <w:pPr>
              <w:keepNext/>
              <w:jc w:val="center"/>
              <w:rPr>
                <w:b/>
                <w:bCs/>
                <w:sz w:val="22"/>
                <w:szCs w:val="22"/>
              </w:rPr>
            </w:pPr>
            <w:r w:rsidRPr="00CB7AA2">
              <w:rPr>
                <w:b/>
                <w:bCs/>
                <w:sz w:val="22"/>
                <w:szCs w:val="22"/>
              </w:rPr>
              <w:t>Restructuring Date(s)</w:t>
            </w:r>
          </w:p>
        </w:tc>
        <w:tc>
          <w:tcPr>
            <w:tcW w:w="1505" w:type="dxa"/>
            <w:gridSpan w:val="2"/>
            <w:vMerge w:val="restart"/>
            <w:tcBorders>
              <w:top w:val="single" w:sz="4" w:space="0" w:color="B1B1B1"/>
              <w:left w:val="single" w:sz="4" w:space="0" w:color="B1B1B1"/>
              <w:bottom w:val="single" w:sz="4" w:space="0" w:color="B1B1B1"/>
              <w:right w:val="single" w:sz="4" w:space="0" w:color="B1B1B1"/>
            </w:tcBorders>
            <w:shd w:val="clear" w:color="auto" w:fill="auto"/>
            <w:vAlign w:val="center"/>
          </w:tcPr>
          <w:p w14:paraId="7970858B" w14:textId="77777777" w:rsidR="00CB7AA2" w:rsidRPr="00CB7AA2" w:rsidRDefault="00CB7AA2" w:rsidP="003E2483">
            <w:pPr>
              <w:jc w:val="center"/>
              <w:rPr>
                <w:b/>
                <w:bCs/>
                <w:sz w:val="22"/>
                <w:szCs w:val="22"/>
              </w:rPr>
            </w:pPr>
            <w:r w:rsidRPr="00CB7AA2">
              <w:rPr>
                <w:b/>
                <w:bCs/>
                <w:sz w:val="22"/>
                <w:szCs w:val="22"/>
              </w:rPr>
              <w:t>Board Approved PDO Change</w:t>
            </w:r>
          </w:p>
        </w:tc>
        <w:tc>
          <w:tcPr>
            <w:tcW w:w="1802" w:type="dxa"/>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6CC02A7E" w14:textId="77777777" w:rsidR="00CB7AA2" w:rsidRPr="00CB7AA2" w:rsidRDefault="00CB7AA2" w:rsidP="003E2483">
            <w:pPr>
              <w:jc w:val="center"/>
              <w:rPr>
                <w:b/>
                <w:bCs/>
                <w:sz w:val="22"/>
                <w:szCs w:val="22"/>
              </w:rPr>
            </w:pPr>
            <w:r w:rsidRPr="00CB7AA2">
              <w:rPr>
                <w:b/>
                <w:bCs/>
                <w:sz w:val="22"/>
                <w:szCs w:val="22"/>
              </w:rPr>
              <w:t>ISR Ratings at Restructuring</w:t>
            </w:r>
          </w:p>
        </w:tc>
        <w:tc>
          <w:tcPr>
            <w:tcW w:w="2194" w:type="dxa"/>
            <w:gridSpan w:val="2"/>
            <w:vMerge w:val="restart"/>
            <w:tcBorders>
              <w:top w:val="single" w:sz="4" w:space="0" w:color="B1B1B1"/>
              <w:left w:val="single" w:sz="4" w:space="0" w:color="B1B1B1"/>
              <w:bottom w:val="single" w:sz="4" w:space="0" w:color="B1B1B1"/>
              <w:right w:val="single" w:sz="4" w:space="0" w:color="B1B1B1"/>
            </w:tcBorders>
            <w:shd w:val="clear" w:color="auto" w:fill="auto"/>
            <w:vAlign w:val="center"/>
          </w:tcPr>
          <w:p w14:paraId="232B0D80" w14:textId="77777777" w:rsidR="00CB7AA2" w:rsidRPr="00CB7AA2" w:rsidRDefault="00CB7AA2" w:rsidP="003E2483">
            <w:pPr>
              <w:jc w:val="center"/>
              <w:rPr>
                <w:b/>
                <w:bCs/>
                <w:sz w:val="22"/>
                <w:szCs w:val="22"/>
              </w:rPr>
            </w:pPr>
            <w:r w:rsidRPr="00CB7AA2">
              <w:rPr>
                <w:b/>
                <w:bCs/>
                <w:sz w:val="22"/>
                <w:szCs w:val="22"/>
              </w:rPr>
              <w:t>Amount Disbursed at Restructuring in USD millions</w:t>
            </w:r>
          </w:p>
        </w:tc>
        <w:tc>
          <w:tcPr>
            <w:tcW w:w="2771" w:type="dxa"/>
            <w:vMerge w:val="restart"/>
            <w:tcBorders>
              <w:top w:val="single" w:sz="4" w:space="0" w:color="B1B1B1"/>
              <w:left w:val="single" w:sz="4" w:space="0" w:color="B1B1B1"/>
              <w:bottom w:val="single" w:sz="4" w:space="0" w:color="B1B1B1"/>
              <w:right w:val="single" w:sz="4" w:space="0" w:color="B1B1B1"/>
            </w:tcBorders>
            <w:shd w:val="clear" w:color="auto" w:fill="auto"/>
            <w:vAlign w:val="center"/>
          </w:tcPr>
          <w:p w14:paraId="45B1A65D" w14:textId="77777777" w:rsidR="00CB7AA2" w:rsidRPr="00CB7AA2" w:rsidRDefault="00CB7AA2" w:rsidP="003E2483">
            <w:pPr>
              <w:jc w:val="center"/>
              <w:rPr>
                <w:b/>
                <w:bCs/>
                <w:sz w:val="22"/>
                <w:szCs w:val="22"/>
              </w:rPr>
            </w:pPr>
            <w:r w:rsidRPr="00CB7AA2">
              <w:rPr>
                <w:b/>
                <w:bCs/>
                <w:sz w:val="22"/>
                <w:szCs w:val="22"/>
              </w:rPr>
              <w:t>Reason for Restructuring &amp; Key Changes Made</w:t>
            </w:r>
          </w:p>
        </w:tc>
      </w:tr>
      <w:tr w:rsidR="00CB7AA2" w:rsidRPr="00CB7AA2" w14:paraId="3B929CEC" w14:textId="77777777" w:rsidTr="008F6E46">
        <w:trPr>
          <w:cantSplit/>
          <w:tblHeader/>
        </w:trPr>
        <w:tc>
          <w:tcPr>
            <w:tcW w:w="1622" w:type="dxa"/>
            <w:vMerge/>
            <w:tcBorders>
              <w:top w:val="single" w:sz="4" w:space="0" w:color="B1B1B1"/>
              <w:left w:val="single" w:sz="4" w:space="0" w:color="B1B1B1"/>
              <w:bottom w:val="single" w:sz="4" w:space="0" w:color="B1B1B1"/>
              <w:right w:val="single" w:sz="4" w:space="0" w:color="B1B1B1"/>
            </w:tcBorders>
            <w:shd w:val="clear" w:color="auto" w:fill="auto"/>
            <w:vAlign w:val="center"/>
          </w:tcPr>
          <w:p w14:paraId="2A06AC8C" w14:textId="77777777" w:rsidR="00CB7AA2" w:rsidRPr="00CB7AA2" w:rsidRDefault="00CB7AA2" w:rsidP="003E2483">
            <w:pPr>
              <w:rPr>
                <w:b/>
                <w:bCs/>
                <w:sz w:val="22"/>
                <w:szCs w:val="22"/>
              </w:rPr>
            </w:pPr>
          </w:p>
        </w:tc>
        <w:tc>
          <w:tcPr>
            <w:tcW w:w="1505" w:type="dxa"/>
            <w:gridSpan w:val="2"/>
            <w:vMerge/>
            <w:tcBorders>
              <w:top w:val="single" w:sz="4" w:space="0" w:color="B1B1B1"/>
              <w:left w:val="single" w:sz="4" w:space="0" w:color="B1B1B1"/>
              <w:bottom w:val="single" w:sz="4" w:space="0" w:color="B1B1B1"/>
              <w:right w:val="single" w:sz="4" w:space="0" w:color="B1B1B1"/>
            </w:tcBorders>
            <w:shd w:val="clear" w:color="auto" w:fill="auto"/>
            <w:vAlign w:val="center"/>
          </w:tcPr>
          <w:p w14:paraId="5D16314D" w14:textId="77777777" w:rsidR="00CB7AA2" w:rsidRPr="00CB7AA2" w:rsidRDefault="00CB7AA2" w:rsidP="003E2483">
            <w:pPr>
              <w:rPr>
                <w:b/>
                <w:bCs/>
                <w:sz w:val="22"/>
                <w:szCs w:val="22"/>
              </w:rPr>
            </w:pPr>
          </w:p>
        </w:tc>
        <w:tc>
          <w:tcPr>
            <w:tcW w:w="96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76E4AE3" w14:textId="77777777" w:rsidR="00CB7AA2" w:rsidRPr="00CB7AA2" w:rsidRDefault="00CB7AA2" w:rsidP="003E2483">
            <w:pPr>
              <w:jc w:val="center"/>
              <w:rPr>
                <w:b/>
                <w:bCs/>
                <w:sz w:val="22"/>
                <w:szCs w:val="22"/>
              </w:rPr>
            </w:pPr>
            <w:r w:rsidRPr="00CB7AA2">
              <w:rPr>
                <w:b/>
                <w:bCs/>
                <w:sz w:val="22"/>
                <w:szCs w:val="22"/>
              </w:rPr>
              <w:t>DO</w:t>
            </w:r>
          </w:p>
        </w:tc>
        <w:tc>
          <w:tcPr>
            <w:tcW w:w="83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D3BC03B" w14:textId="77777777" w:rsidR="00CB7AA2" w:rsidRPr="00CB7AA2" w:rsidRDefault="00CB7AA2" w:rsidP="003E2483">
            <w:pPr>
              <w:jc w:val="center"/>
              <w:rPr>
                <w:b/>
                <w:bCs/>
                <w:sz w:val="22"/>
                <w:szCs w:val="22"/>
              </w:rPr>
            </w:pPr>
            <w:r w:rsidRPr="00CB7AA2">
              <w:rPr>
                <w:b/>
                <w:bCs/>
                <w:sz w:val="22"/>
                <w:szCs w:val="22"/>
              </w:rPr>
              <w:t>IP</w:t>
            </w:r>
          </w:p>
        </w:tc>
        <w:tc>
          <w:tcPr>
            <w:tcW w:w="2194" w:type="dxa"/>
            <w:gridSpan w:val="2"/>
            <w:vMerge/>
            <w:tcBorders>
              <w:top w:val="single" w:sz="4" w:space="0" w:color="B1B1B1"/>
              <w:left w:val="single" w:sz="4" w:space="0" w:color="B1B1B1"/>
              <w:bottom w:val="single" w:sz="4" w:space="0" w:color="B1B1B1"/>
              <w:right w:val="single" w:sz="4" w:space="0" w:color="B1B1B1"/>
            </w:tcBorders>
            <w:shd w:val="clear" w:color="auto" w:fill="auto"/>
            <w:vAlign w:val="center"/>
          </w:tcPr>
          <w:p w14:paraId="184A6224" w14:textId="77777777" w:rsidR="00CB7AA2" w:rsidRPr="00CB7AA2" w:rsidRDefault="00CB7AA2" w:rsidP="003E2483">
            <w:pPr>
              <w:rPr>
                <w:b/>
                <w:bCs/>
                <w:sz w:val="22"/>
                <w:szCs w:val="22"/>
              </w:rPr>
            </w:pPr>
          </w:p>
        </w:tc>
        <w:tc>
          <w:tcPr>
            <w:tcW w:w="2771" w:type="dxa"/>
            <w:vMerge/>
            <w:tcBorders>
              <w:top w:val="single" w:sz="4" w:space="0" w:color="B1B1B1"/>
              <w:left w:val="single" w:sz="4" w:space="0" w:color="B1B1B1"/>
              <w:bottom w:val="single" w:sz="4" w:space="0" w:color="B1B1B1"/>
              <w:right w:val="single" w:sz="4" w:space="0" w:color="B1B1B1"/>
            </w:tcBorders>
            <w:shd w:val="clear" w:color="auto" w:fill="auto"/>
            <w:vAlign w:val="center"/>
          </w:tcPr>
          <w:p w14:paraId="78A3B639" w14:textId="77777777" w:rsidR="00CB7AA2" w:rsidRPr="00CB7AA2" w:rsidRDefault="00CB7AA2" w:rsidP="003E2483">
            <w:pPr>
              <w:rPr>
                <w:b/>
                <w:bCs/>
                <w:sz w:val="22"/>
                <w:szCs w:val="22"/>
              </w:rPr>
            </w:pPr>
          </w:p>
        </w:tc>
      </w:tr>
      <w:tr w:rsidR="00CB7AA2" w:rsidRPr="00CB7AA2" w14:paraId="0745C98E" w14:textId="77777777" w:rsidTr="008F6E46">
        <w:tc>
          <w:tcPr>
            <w:tcW w:w="1633" w:type="dxa"/>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029AD916" w14:textId="77777777" w:rsidR="00CB7AA2" w:rsidRPr="00CB7AA2" w:rsidRDefault="00CB7AA2" w:rsidP="003E2483">
            <w:pPr>
              <w:spacing w:line="200" w:lineRule="atLeast"/>
              <w:jc w:val="center"/>
              <w:rPr>
                <w:sz w:val="22"/>
                <w:szCs w:val="22"/>
              </w:rPr>
            </w:pPr>
            <w:r w:rsidRPr="00CB7AA2">
              <w:rPr>
                <w:sz w:val="22"/>
                <w:szCs w:val="22"/>
              </w:rPr>
              <w:t xml:space="preserve"> </w:t>
            </w:r>
            <w:bookmarkStart w:id="61" w:name="RESTRUCTURING_COL_1"/>
            <w:r w:rsidRPr="00CB7AA2">
              <w:rPr>
                <w:sz w:val="22"/>
                <w:szCs w:val="22"/>
              </w:rPr>
              <w:t>06/01/2012</w:t>
            </w:r>
            <w:bookmarkEnd w:id="61"/>
          </w:p>
        </w:tc>
        <w:tc>
          <w:tcPr>
            <w:tcW w:w="149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986E22F" w14:textId="7EAC160E" w:rsidR="00CB7AA2" w:rsidRPr="00CB7AA2" w:rsidRDefault="00CB7AA2" w:rsidP="003E2483">
            <w:pPr>
              <w:spacing w:line="200" w:lineRule="atLeast"/>
              <w:jc w:val="center"/>
              <w:rPr>
                <w:sz w:val="22"/>
                <w:szCs w:val="22"/>
              </w:rPr>
            </w:pPr>
            <w:bookmarkStart w:id="62" w:name="RESTRUCTURING_COL_2"/>
            <w:bookmarkEnd w:id="62"/>
            <w:r>
              <w:rPr>
                <w:sz w:val="22"/>
                <w:szCs w:val="22"/>
              </w:rPr>
              <w:t>n.a.</w:t>
            </w:r>
          </w:p>
        </w:tc>
        <w:tc>
          <w:tcPr>
            <w:tcW w:w="96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69FD99B" w14:textId="77777777" w:rsidR="00CB7AA2" w:rsidRPr="00CB7AA2" w:rsidRDefault="00CB7AA2" w:rsidP="003E2483">
            <w:pPr>
              <w:spacing w:line="200" w:lineRule="atLeast"/>
              <w:jc w:val="center"/>
              <w:rPr>
                <w:sz w:val="22"/>
                <w:szCs w:val="22"/>
              </w:rPr>
            </w:pPr>
            <w:bookmarkStart w:id="63" w:name="RESTRUCTURING_COL_3"/>
            <w:r w:rsidRPr="00CB7AA2">
              <w:rPr>
                <w:sz w:val="22"/>
                <w:szCs w:val="22"/>
              </w:rPr>
              <w:t>S</w:t>
            </w:r>
            <w:bookmarkEnd w:id="63"/>
          </w:p>
        </w:tc>
        <w:tc>
          <w:tcPr>
            <w:tcW w:w="846" w:type="dxa"/>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0D6BC015" w14:textId="77777777" w:rsidR="00CB7AA2" w:rsidRPr="00CB7AA2" w:rsidRDefault="00CB7AA2" w:rsidP="003E2483">
            <w:pPr>
              <w:spacing w:line="200" w:lineRule="atLeast"/>
              <w:jc w:val="center"/>
              <w:rPr>
                <w:sz w:val="22"/>
                <w:szCs w:val="22"/>
              </w:rPr>
            </w:pPr>
            <w:bookmarkStart w:id="64" w:name="RESTRUCTURING_COL_4"/>
            <w:r w:rsidRPr="00CB7AA2">
              <w:rPr>
                <w:sz w:val="22"/>
                <w:szCs w:val="22"/>
              </w:rPr>
              <w:t>S</w:t>
            </w:r>
            <w:bookmarkEnd w:id="64"/>
          </w:p>
        </w:tc>
        <w:tc>
          <w:tcPr>
            <w:tcW w:w="218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9B4935F" w14:textId="77777777" w:rsidR="00CB7AA2" w:rsidRPr="00CB7AA2" w:rsidRDefault="00CB7AA2" w:rsidP="003E2483">
            <w:pPr>
              <w:tabs>
                <w:tab w:val="decimal" w:pos="1194"/>
              </w:tabs>
              <w:spacing w:line="200" w:lineRule="atLeast"/>
              <w:rPr>
                <w:sz w:val="22"/>
                <w:szCs w:val="22"/>
              </w:rPr>
            </w:pPr>
            <w:bookmarkStart w:id="65" w:name="RESTRUCTURING_COL_5"/>
            <w:r w:rsidRPr="00CB7AA2">
              <w:rPr>
                <w:sz w:val="22"/>
                <w:szCs w:val="22"/>
              </w:rPr>
              <w:t>20.00</w:t>
            </w:r>
            <w:bookmarkEnd w:id="65"/>
          </w:p>
        </w:tc>
        <w:tc>
          <w:tcPr>
            <w:tcW w:w="277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7C40D7B" w14:textId="3429C333" w:rsidR="00CB7AA2" w:rsidRPr="00CB7AA2" w:rsidRDefault="00CB7AA2" w:rsidP="00D351E8">
            <w:pPr>
              <w:ind w:left="61" w:right="80"/>
              <w:jc w:val="both"/>
              <w:rPr>
                <w:sz w:val="22"/>
                <w:szCs w:val="22"/>
              </w:rPr>
            </w:pPr>
            <w:bookmarkStart w:id="66" w:name="RESTRUCTURING_COL_6"/>
            <w:bookmarkEnd w:id="66"/>
            <w:r w:rsidRPr="00CB7AA2">
              <w:rPr>
                <w:sz w:val="22"/>
                <w:szCs w:val="22"/>
              </w:rPr>
              <w:t>Because the ENVDPL I included a DDO, m</w:t>
            </w:r>
            <w:r>
              <w:rPr>
                <w:sz w:val="22"/>
                <w:szCs w:val="22"/>
              </w:rPr>
              <w:t xml:space="preserve">ost of the funds were kept as </w:t>
            </w:r>
            <w:r w:rsidRPr="00CB7AA2">
              <w:rPr>
                <w:sz w:val="22"/>
                <w:szCs w:val="22"/>
              </w:rPr>
              <w:t>contingency fund</w:t>
            </w:r>
            <w:r>
              <w:rPr>
                <w:sz w:val="22"/>
                <w:szCs w:val="22"/>
              </w:rPr>
              <w:t>s</w:t>
            </w:r>
            <w:r w:rsidRPr="00CB7AA2">
              <w:rPr>
                <w:sz w:val="22"/>
                <w:szCs w:val="22"/>
              </w:rPr>
              <w:t xml:space="preserve"> </w:t>
            </w:r>
            <w:r>
              <w:rPr>
                <w:sz w:val="22"/>
                <w:szCs w:val="22"/>
              </w:rPr>
              <w:t>until t</w:t>
            </w:r>
            <w:r w:rsidRPr="00CB7AA2">
              <w:rPr>
                <w:sz w:val="22"/>
                <w:szCs w:val="22"/>
              </w:rPr>
              <w:t xml:space="preserve">he originally planned closing date. In April 2012, the MEF requested the World Bank </w:t>
            </w:r>
            <w:r>
              <w:rPr>
                <w:sz w:val="22"/>
                <w:szCs w:val="22"/>
              </w:rPr>
              <w:t>to extend the first operation’</w:t>
            </w:r>
            <w:r w:rsidRPr="00CB7AA2">
              <w:rPr>
                <w:sz w:val="22"/>
                <w:szCs w:val="22"/>
              </w:rPr>
              <w:t>s closin</w:t>
            </w:r>
            <w:r w:rsidR="00D351E8">
              <w:rPr>
                <w:sz w:val="22"/>
                <w:szCs w:val="22"/>
              </w:rPr>
              <w:t>g date until September 8, 2015.</w:t>
            </w:r>
          </w:p>
        </w:tc>
      </w:tr>
    </w:tbl>
    <w:p w14:paraId="29494234" w14:textId="77777777" w:rsidR="00CB7AA2" w:rsidRPr="003F00AF" w:rsidRDefault="00CB7AA2" w:rsidP="00895D77">
      <w:pPr>
        <w:spacing w:before="120" w:after="120"/>
        <w:rPr>
          <w:b/>
        </w:rPr>
      </w:pPr>
    </w:p>
    <w:p w14:paraId="20B9FA1C" w14:textId="77777777" w:rsidR="008E18F4" w:rsidRPr="003F00AF" w:rsidRDefault="008E18F4" w:rsidP="008E18F4">
      <w:pPr>
        <w:rPr>
          <w:sz w:val="2"/>
          <w:szCs w:val="2"/>
        </w:rPr>
      </w:pPr>
    </w:p>
    <w:p w14:paraId="209F82CB" w14:textId="77777777" w:rsidR="008E18F4" w:rsidRPr="003F00AF" w:rsidRDefault="008E18F4" w:rsidP="008E18F4">
      <w:pPr>
        <w:rPr>
          <w:vanish/>
        </w:rPr>
      </w:pPr>
    </w:p>
    <w:p w14:paraId="22696BBB" w14:textId="77777777" w:rsidR="008E18F4" w:rsidRPr="003F00AF" w:rsidRDefault="008E18F4" w:rsidP="008E18F4">
      <w:pPr>
        <w:sectPr w:rsidR="008E18F4" w:rsidRPr="003F00AF" w:rsidSect="00FA4ABA">
          <w:footerReference w:type="default" r:id="rId13"/>
          <w:pgSz w:w="12240" w:h="15840" w:code="1"/>
          <w:pgMar w:top="1440" w:right="1440" w:bottom="1440" w:left="1440" w:header="720" w:footer="720" w:gutter="0"/>
          <w:pgNumType w:fmt="lowerRoman" w:start="1"/>
          <w:cols w:space="720"/>
          <w:docGrid w:linePitch="360"/>
        </w:sectPr>
      </w:pPr>
    </w:p>
    <w:p w14:paraId="4156B170" w14:textId="7625A060" w:rsidR="008E18F4" w:rsidRPr="003F00AF" w:rsidRDefault="00BA4AEC" w:rsidP="008E18F4">
      <w:pPr>
        <w:pStyle w:val="Heading1"/>
        <w:keepNext/>
        <w:keepLines/>
        <w:spacing w:before="0" w:beforeAutospacing="0" w:after="240"/>
        <w:rPr>
          <w:sz w:val="24"/>
          <w:szCs w:val="24"/>
        </w:rPr>
      </w:pPr>
      <w:bookmarkStart w:id="67" w:name="_1._Program_Context,"/>
      <w:bookmarkStart w:id="68" w:name="_IL6"/>
      <w:bookmarkStart w:id="69" w:name="_Toc156197715"/>
      <w:bookmarkStart w:id="70" w:name="_Toc158020652"/>
      <w:bookmarkStart w:id="71" w:name="_Toc448507197"/>
      <w:bookmarkStart w:id="72" w:name="_Toc463040012"/>
      <w:bookmarkEnd w:id="67"/>
      <w:r w:rsidRPr="003F00AF">
        <w:rPr>
          <w:sz w:val="24"/>
          <w:szCs w:val="24"/>
        </w:rPr>
        <w:t>1.</w:t>
      </w:r>
      <w:r w:rsidRPr="003F00AF">
        <w:rPr>
          <w:sz w:val="24"/>
          <w:szCs w:val="24"/>
        </w:rPr>
        <w:tab/>
      </w:r>
      <w:r w:rsidR="008E18F4" w:rsidRPr="003F00AF">
        <w:rPr>
          <w:sz w:val="24"/>
          <w:szCs w:val="24"/>
        </w:rPr>
        <w:t>Program Context, Development Objectives and Design</w:t>
      </w:r>
      <w:bookmarkEnd w:id="68"/>
      <w:bookmarkEnd w:id="69"/>
      <w:bookmarkEnd w:id="70"/>
      <w:bookmarkEnd w:id="71"/>
      <w:bookmarkEnd w:id="72"/>
      <w:r w:rsidR="008E18F4" w:rsidRPr="003F00AF">
        <w:rPr>
          <w:sz w:val="24"/>
          <w:szCs w:val="24"/>
        </w:rPr>
        <w:t xml:space="preserve"> </w:t>
      </w:r>
    </w:p>
    <w:p w14:paraId="35E1DA9F" w14:textId="0BFD1846" w:rsidR="008E18F4" w:rsidRPr="003F00AF" w:rsidRDefault="008E18F4" w:rsidP="008E18F4">
      <w:pPr>
        <w:pStyle w:val="ListParagraph"/>
        <w:keepNext/>
        <w:keepLines/>
        <w:spacing w:after="240"/>
        <w:ind w:left="0"/>
        <w:rPr>
          <w:i/>
        </w:rPr>
      </w:pPr>
      <w:bookmarkStart w:id="73" w:name="_Toc448507198"/>
      <w:bookmarkStart w:id="74" w:name="_Toc448507360"/>
      <w:bookmarkStart w:id="75" w:name="_IL7"/>
      <w:bookmarkStart w:id="76" w:name="_Toc156197716"/>
      <w:bookmarkStart w:id="77" w:name="_Toc158020653"/>
      <w:r w:rsidRPr="003F00AF">
        <w:rPr>
          <w:i/>
        </w:rPr>
        <w:t>1.1</w:t>
      </w:r>
      <w:r w:rsidR="00BA4AEC" w:rsidRPr="003F00AF">
        <w:rPr>
          <w:i/>
        </w:rPr>
        <w:tab/>
      </w:r>
      <w:r w:rsidRPr="003F00AF">
        <w:rPr>
          <w:i/>
        </w:rPr>
        <w:t>Context at Appraisa</w:t>
      </w:r>
      <w:bookmarkStart w:id="78" w:name="SEC62"/>
      <w:bookmarkEnd w:id="73"/>
      <w:bookmarkEnd w:id="74"/>
      <w:bookmarkEnd w:id="78"/>
      <w:r w:rsidRPr="003F00AF">
        <w:rPr>
          <w:i/>
        </w:rPr>
        <w:t>l</w:t>
      </w:r>
    </w:p>
    <w:p w14:paraId="1C0BE161" w14:textId="3D7E229F" w:rsidR="008E18F4" w:rsidRPr="003F00AF" w:rsidRDefault="008E18F4" w:rsidP="00FF30FF">
      <w:pPr>
        <w:pStyle w:val="ListParagraph"/>
        <w:numPr>
          <w:ilvl w:val="0"/>
          <w:numId w:val="1"/>
        </w:numPr>
        <w:spacing w:after="240"/>
        <w:ind w:left="0" w:firstLine="0"/>
        <w:jc w:val="both"/>
      </w:pPr>
      <w:r w:rsidRPr="003F00AF">
        <w:rPr>
          <w:b/>
        </w:rPr>
        <w:t>By the early 2000s, the Government of Peru (GoP) identified environmental degradation as a significant challenge for sustained economic growth.</w:t>
      </w:r>
      <w:r w:rsidRPr="003F00AF">
        <w:t xml:space="preserve"> According to the Country Environmental Analysis (CEA), prepared with World Bank support, the main ca</w:t>
      </w:r>
      <w:r w:rsidR="009968CB">
        <w:t>uses</w:t>
      </w:r>
      <w:r w:rsidRPr="003F00AF">
        <w:t xml:space="preserve"> of environmental degradation had an estimated cost of </w:t>
      </w:r>
      <w:r w:rsidR="0062621C" w:rsidRPr="003F00AF">
        <w:t>S/.</w:t>
      </w:r>
      <w:r w:rsidRPr="003F00AF">
        <w:t>8.2 billion</w:t>
      </w:r>
      <w:r w:rsidR="00E81C71">
        <w:t xml:space="preserve"> (approximately US$2.3 billion)</w:t>
      </w:r>
      <w:r w:rsidRPr="003F00AF">
        <w:t>, an amount equivalent to 3.9 percent of the gross domestic product in 2003. The highest costs were caused by outdoor air pollution and lead exposure in urban areas; inadequate water supply, sanitation, and hygiene; natural disasters; indoor air pollution; and agricultural soil degradation. The majority of these costs reflected increased</w:t>
      </w:r>
      <w:r w:rsidRPr="003F00AF">
        <w:rPr>
          <w:spacing w:val="28"/>
        </w:rPr>
        <w:t xml:space="preserve"> </w:t>
      </w:r>
      <w:r w:rsidRPr="003F00AF">
        <w:t>morbidity</w:t>
      </w:r>
      <w:r w:rsidRPr="003F00AF">
        <w:rPr>
          <w:spacing w:val="32"/>
        </w:rPr>
        <w:t xml:space="preserve"> </w:t>
      </w:r>
      <w:r w:rsidRPr="003F00AF">
        <w:t>and</w:t>
      </w:r>
      <w:r w:rsidRPr="003F00AF">
        <w:rPr>
          <w:spacing w:val="16"/>
        </w:rPr>
        <w:t xml:space="preserve"> </w:t>
      </w:r>
      <w:r w:rsidRPr="003F00AF">
        <w:t>mortality, as well as</w:t>
      </w:r>
      <w:r w:rsidRPr="003F00AF">
        <w:rPr>
          <w:spacing w:val="14"/>
        </w:rPr>
        <w:t xml:space="preserve"> </w:t>
      </w:r>
      <w:r w:rsidRPr="003F00AF">
        <w:t>decreased</w:t>
      </w:r>
      <w:r w:rsidRPr="003F00AF">
        <w:rPr>
          <w:spacing w:val="30"/>
        </w:rPr>
        <w:t xml:space="preserve"> </w:t>
      </w:r>
      <w:r w:rsidRPr="003F00AF">
        <w:t>economic</w:t>
      </w:r>
      <w:r w:rsidRPr="003F00AF">
        <w:rPr>
          <w:w w:val="101"/>
        </w:rPr>
        <w:t xml:space="preserve"> </w:t>
      </w:r>
      <w:r w:rsidRPr="003F00AF">
        <w:t>productivity. The CEA also found that the</w:t>
      </w:r>
      <w:r w:rsidRPr="003F00AF">
        <w:rPr>
          <w:spacing w:val="41"/>
        </w:rPr>
        <w:t xml:space="preserve"> </w:t>
      </w:r>
      <w:r w:rsidRPr="003F00AF">
        <w:t>burden</w:t>
      </w:r>
      <w:r w:rsidRPr="003F00AF">
        <w:rPr>
          <w:spacing w:val="12"/>
        </w:rPr>
        <w:t xml:space="preserve"> </w:t>
      </w:r>
      <w:r w:rsidRPr="003F00AF">
        <w:t>of</w:t>
      </w:r>
      <w:r w:rsidRPr="003F00AF">
        <w:rPr>
          <w:spacing w:val="44"/>
        </w:rPr>
        <w:t xml:space="preserve"> </w:t>
      </w:r>
      <w:r w:rsidRPr="003F00AF">
        <w:t>these</w:t>
      </w:r>
      <w:r w:rsidRPr="003F00AF">
        <w:rPr>
          <w:spacing w:val="53"/>
        </w:rPr>
        <w:t xml:space="preserve"> </w:t>
      </w:r>
      <w:r w:rsidRPr="003F00AF">
        <w:t>costs</w:t>
      </w:r>
      <w:r w:rsidRPr="003F00AF">
        <w:rPr>
          <w:spacing w:val="51"/>
        </w:rPr>
        <w:t xml:space="preserve"> </w:t>
      </w:r>
      <w:r w:rsidRPr="003F00AF">
        <w:t>fell</w:t>
      </w:r>
      <w:r w:rsidRPr="003F00AF">
        <w:rPr>
          <w:spacing w:val="45"/>
        </w:rPr>
        <w:t xml:space="preserve"> </w:t>
      </w:r>
      <w:r w:rsidRPr="003F00AF">
        <w:t>heavily</w:t>
      </w:r>
      <w:r w:rsidRPr="003F00AF">
        <w:rPr>
          <w:spacing w:val="13"/>
        </w:rPr>
        <w:t xml:space="preserve"> </w:t>
      </w:r>
      <w:r w:rsidRPr="003F00AF">
        <w:t>on</w:t>
      </w:r>
      <w:r w:rsidRPr="003F00AF">
        <w:rPr>
          <w:spacing w:val="45"/>
        </w:rPr>
        <w:t xml:space="preserve"> </w:t>
      </w:r>
      <w:r w:rsidRPr="003F00AF">
        <w:t>the</w:t>
      </w:r>
      <w:r w:rsidRPr="003F00AF">
        <w:rPr>
          <w:spacing w:val="51"/>
        </w:rPr>
        <w:t xml:space="preserve"> </w:t>
      </w:r>
      <w:r w:rsidRPr="003F00AF">
        <w:t>most</w:t>
      </w:r>
      <w:r w:rsidRPr="003F00AF">
        <w:rPr>
          <w:spacing w:val="3"/>
        </w:rPr>
        <w:t xml:space="preserve"> </w:t>
      </w:r>
      <w:r w:rsidRPr="003F00AF">
        <w:t>vulnerable</w:t>
      </w:r>
      <w:r w:rsidRPr="003F00AF">
        <w:rPr>
          <w:spacing w:val="12"/>
        </w:rPr>
        <w:t xml:space="preserve"> </w:t>
      </w:r>
      <w:r w:rsidRPr="003F00AF">
        <w:t>groups, with more severe health effects on the</w:t>
      </w:r>
      <w:r w:rsidRPr="003F00AF">
        <w:rPr>
          <w:spacing w:val="26"/>
        </w:rPr>
        <w:t xml:space="preserve"> </w:t>
      </w:r>
      <w:r w:rsidRPr="003F00AF">
        <w:t>poor</w:t>
      </w:r>
      <w:r w:rsidRPr="003F00AF">
        <w:rPr>
          <w:spacing w:val="33"/>
        </w:rPr>
        <w:t xml:space="preserve"> </w:t>
      </w:r>
      <w:r w:rsidRPr="003F00AF">
        <w:t>and</w:t>
      </w:r>
      <w:r w:rsidRPr="003F00AF">
        <w:rPr>
          <w:spacing w:val="26"/>
        </w:rPr>
        <w:t xml:space="preserve"> </w:t>
      </w:r>
      <w:r w:rsidRPr="003F00AF">
        <w:t>children</w:t>
      </w:r>
      <w:r w:rsidRPr="003F00AF">
        <w:rPr>
          <w:w w:val="101"/>
        </w:rPr>
        <w:t xml:space="preserve"> </w:t>
      </w:r>
      <w:r w:rsidRPr="003F00AF">
        <w:t>under</w:t>
      </w:r>
      <w:r w:rsidRPr="003F00AF">
        <w:rPr>
          <w:spacing w:val="29"/>
        </w:rPr>
        <w:t xml:space="preserve"> </w:t>
      </w:r>
      <w:r w:rsidRPr="003F00AF">
        <w:t>five.</w:t>
      </w:r>
      <w:r w:rsidR="00FF30FF" w:rsidRPr="003F00AF">
        <w:t xml:space="preserve"> Additionally, the CEA found that </w:t>
      </w:r>
      <w:r w:rsidRPr="003F00AF">
        <w:rPr>
          <w:szCs w:val="22"/>
        </w:rPr>
        <w:t>natural resources were under significant pressure, threatening their sustainability and that of the economic activities that depended on them.</w:t>
      </w:r>
      <w:r w:rsidRPr="003F00AF">
        <w:rPr>
          <w:spacing w:val="20"/>
          <w:szCs w:val="22"/>
        </w:rPr>
        <w:t xml:space="preserve"> </w:t>
      </w:r>
      <w:r w:rsidRPr="003F00AF">
        <w:rPr>
          <w:szCs w:val="22"/>
        </w:rPr>
        <w:t>Key threats included</w:t>
      </w:r>
      <w:r w:rsidRPr="003F00AF">
        <w:rPr>
          <w:spacing w:val="11"/>
          <w:szCs w:val="22"/>
        </w:rPr>
        <w:t xml:space="preserve"> </w:t>
      </w:r>
      <w:r w:rsidRPr="003F00AF">
        <w:rPr>
          <w:szCs w:val="22"/>
        </w:rPr>
        <w:t>illeg</w:t>
      </w:r>
      <w:r w:rsidR="006114F3" w:rsidRPr="003F00AF">
        <w:rPr>
          <w:szCs w:val="22"/>
        </w:rPr>
        <w:t>al deforestation</w:t>
      </w:r>
      <w:r w:rsidR="006114F3" w:rsidRPr="003F00AF">
        <w:rPr>
          <w:spacing w:val="10"/>
          <w:szCs w:val="22"/>
        </w:rPr>
        <w:t xml:space="preserve"> and </w:t>
      </w:r>
      <w:r w:rsidRPr="003F00AF">
        <w:rPr>
          <w:szCs w:val="22"/>
        </w:rPr>
        <w:t>overfishing.</w:t>
      </w:r>
    </w:p>
    <w:p w14:paraId="283D74F7" w14:textId="6724ED80" w:rsidR="008E18F4" w:rsidRPr="003F00AF" w:rsidRDefault="008E18F4" w:rsidP="008E18F4">
      <w:pPr>
        <w:pStyle w:val="ListParagraph"/>
        <w:numPr>
          <w:ilvl w:val="0"/>
          <w:numId w:val="1"/>
        </w:numPr>
        <w:spacing w:after="240"/>
        <w:ind w:left="0" w:firstLine="0"/>
        <w:jc w:val="both"/>
      </w:pPr>
      <w:r w:rsidRPr="003F00AF">
        <w:rPr>
          <w:b/>
        </w:rPr>
        <w:t>Addressing the environmental and natural resource challenges faced by the GoP required a reform agenda targeting two key areas:</w:t>
      </w:r>
      <w:r w:rsidRPr="003F00AF">
        <w:t xml:space="preserve"> (a) strengthening the legal and institutional framework for environmental management and (b) mainstreaming principles of sustainable development in key economic sectors. </w:t>
      </w:r>
      <w:r w:rsidR="00D2438B" w:rsidRPr="003F00AF">
        <w:t>A</w:t>
      </w:r>
      <w:r w:rsidRPr="003F00AF">
        <w:t>s of early 2008, Peru lacked a ministry with a clearly defined mandate and centralized responsibilities for environmental management. The</w:t>
      </w:r>
      <w:r w:rsidRPr="003F00AF">
        <w:rPr>
          <w:spacing w:val="22"/>
        </w:rPr>
        <w:t xml:space="preserve"> </w:t>
      </w:r>
      <w:r w:rsidRPr="003F00AF">
        <w:t>core</w:t>
      </w:r>
      <w:r w:rsidRPr="003F00AF">
        <w:rPr>
          <w:spacing w:val="18"/>
        </w:rPr>
        <w:t xml:space="preserve"> </w:t>
      </w:r>
      <w:r w:rsidRPr="003F00AF">
        <w:t>responsibilities</w:t>
      </w:r>
      <w:r w:rsidRPr="003F00AF">
        <w:rPr>
          <w:spacing w:val="9"/>
        </w:rPr>
        <w:t xml:space="preserve"> </w:t>
      </w:r>
      <w:r w:rsidRPr="003F00AF">
        <w:t>for</w:t>
      </w:r>
      <w:r w:rsidRPr="003F00AF">
        <w:rPr>
          <w:spacing w:val="13"/>
        </w:rPr>
        <w:t xml:space="preserve"> </w:t>
      </w:r>
      <w:r w:rsidRPr="003F00AF">
        <w:t>environmental</w:t>
      </w:r>
      <w:r w:rsidRPr="003F00AF">
        <w:rPr>
          <w:w w:val="110"/>
        </w:rPr>
        <w:t xml:space="preserve"> </w:t>
      </w:r>
      <w:r w:rsidRPr="003F00AF">
        <w:t>management</w:t>
      </w:r>
      <w:r w:rsidRPr="003F00AF">
        <w:rPr>
          <w:spacing w:val="26"/>
        </w:rPr>
        <w:t xml:space="preserve"> </w:t>
      </w:r>
      <w:r w:rsidRPr="003F00AF">
        <w:t>had</w:t>
      </w:r>
      <w:r w:rsidRPr="003F00AF">
        <w:rPr>
          <w:spacing w:val="10"/>
        </w:rPr>
        <w:t xml:space="preserve"> </w:t>
      </w:r>
      <w:r w:rsidRPr="003F00AF">
        <w:t>been</w:t>
      </w:r>
      <w:r w:rsidRPr="003F00AF">
        <w:rPr>
          <w:spacing w:val="17"/>
        </w:rPr>
        <w:t xml:space="preserve"> </w:t>
      </w:r>
      <w:r w:rsidRPr="003F00AF">
        <w:t>shared</w:t>
      </w:r>
      <w:r w:rsidRPr="003F00AF">
        <w:rPr>
          <w:spacing w:val="4"/>
        </w:rPr>
        <w:t xml:space="preserve"> </w:t>
      </w:r>
      <w:r w:rsidRPr="003F00AF">
        <w:t>by</w:t>
      </w:r>
      <w:r w:rsidRPr="003F00AF">
        <w:rPr>
          <w:spacing w:val="3"/>
        </w:rPr>
        <w:t xml:space="preserve"> </w:t>
      </w:r>
      <w:r w:rsidRPr="003F00AF">
        <w:t>more</w:t>
      </w:r>
      <w:r w:rsidRPr="003F00AF">
        <w:rPr>
          <w:spacing w:val="1"/>
        </w:rPr>
        <w:t xml:space="preserve"> </w:t>
      </w:r>
      <w:r w:rsidRPr="003F00AF">
        <w:t>than</w:t>
      </w:r>
      <w:r w:rsidRPr="003F00AF">
        <w:rPr>
          <w:spacing w:val="9"/>
        </w:rPr>
        <w:t xml:space="preserve"> </w:t>
      </w:r>
      <w:r w:rsidRPr="003F00AF">
        <w:t>a</w:t>
      </w:r>
      <w:r w:rsidRPr="003F00AF">
        <w:rPr>
          <w:spacing w:val="51"/>
        </w:rPr>
        <w:t xml:space="preserve"> </w:t>
      </w:r>
      <w:r w:rsidRPr="003F00AF">
        <w:t>dozen</w:t>
      </w:r>
      <w:r w:rsidRPr="003F00AF">
        <w:rPr>
          <w:spacing w:val="4"/>
        </w:rPr>
        <w:t xml:space="preserve"> </w:t>
      </w:r>
      <w:r w:rsidRPr="003F00AF">
        <w:t>agencies within several ministries,</w:t>
      </w:r>
      <w:r w:rsidRPr="003F00AF">
        <w:rPr>
          <w:spacing w:val="23"/>
        </w:rPr>
        <w:t xml:space="preserve"> </w:t>
      </w:r>
      <w:r w:rsidRPr="003F00AF">
        <w:t>and</w:t>
      </w:r>
      <w:r w:rsidRPr="003F00AF">
        <w:rPr>
          <w:spacing w:val="16"/>
        </w:rPr>
        <w:t xml:space="preserve"> </w:t>
      </w:r>
      <w:r w:rsidRPr="003F00AF">
        <w:t>sectoral</w:t>
      </w:r>
      <w:r w:rsidRPr="003F00AF">
        <w:rPr>
          <w:spacing w:val="21"/>
        </w:rPr>
        <w:t xml:space="preserve"> </w:t>
      </w:r>
      <w:r w:rsidRPr="003F00AF">
        <w:t>environmental</w:t>
      </w:r>
      <w:r w:rsidRPr="003F00AF">
        <w:rPr>
          <w:spacing w:val="23"/>
        </w:rPr>
        <w:t xml:space="preserve"> </w:t>
      </w:r>
      <w:r w:rsidRPr="003F00AF">
        <w:t>agencies,</w:t>
      </w:r>
      <w:r w:rsidRPr="003F00AF">
        <w:rPr>
          <w:w w:val="97"/>
        </w:rPr>
        <w:t xml:space="preserve"> </w:t>
      </w:r>
      <w:r w:rsidRPr="003F00AF">
        <w:t>which</w:t>
      </w:r>
      <w:r w:rsidRPr="003F00AF">
        <w:rPr>
          <w:spacing w:val="26"/>
        </w:rPr>
        <w:t xml:space="preserve"> </w:t>
      </w:r>
      <w:r w:rsidRPr="003F00AF">
        <w:t>diluted</w:t>
      </w:r>
      <w:r w:rsidRPr="003F00AF">
        <w:rPr>
          <w:spacing w:val="28"/>
        </w:rPr>
        <w:t xml:space="preserve"> </w:t>
      </w:r>
      <w:r w:rsidRPr="003F00AF">
        <w:t>overall</w:t>
      </w:r>
      <w:r w:rsidRPr="003F00AF">
        <w:rPr>
          <w:spacing w:val="29"/>
        </w:rPr>
        <w:t xml:space="preserve"> </w:t>
      </w:r>
      <w:r w:rsidRPr="003F00AF">
        <w:t>efficiency</w:t>
      </w:r>
      <w:r w:rsidRPr="003F00AF">
        <w:rPr>
          <w:spacing w:val="27"/>
        </w:rPr>
        <w:t xml:space="preserve"> </w:t>
      </w:r>
      <w:r w:rsidRPr="003F00AF">
        <w:t>and</w:t>
      </w:r>
      <w:r w:rsidRPr="003F00AF">
        <w:rPr>
          <w:spacing w:val="20"/>
        </w:rPr>
        <w:t xml:space="preserve"> </w:t>
      </w:r>
      <w:r w:rsidRPr="003F00AF">
        <w:t>often</w:t>
      </w:r>
      <w:r w:rsidRPr="003F00AF">
        <w:rPr>
          <w:spacing w:val="20"/>
        </w:rPr>
        <w:t xml:space="preserve"> </w:t>
      </w:r>
      <w:r w:rsidRPr="003F00AF">
        <w:t>resulted</w:t>
      </w:r>
      <w:r w:rsidRPr="003F00AF">
        <w:rPr>
          <w:spacing w:val="38"/>
        </w:rPr>
        <w:t xml:space="preserve"> </w:t>
      </w:r>
      <w:r w:rsidRPr="003F00AF">
        <w:t>in</w:t>
      </w:r>
      <w:r w:rsidRPr="003F00AF">
        <w:rPr>
          <w:spacing w:val="22"/>
        </w:rPr>
        <w:t xml:space="preserve"> </w:t>
      </w:r>
      <w:r w:rsidRPr="003F00AF">
        <w:t>a</w:t>
      </w:r>
      <w:r w:rsidRPr="003F00AF">
        <w:rPr>
          <w:spacing w:val="11"/>
        </w:rPr>
        <w:t xml:space="preserve"> </w:t>
      </w:r>
      <w:r w:rsidRPr="003F00AF">
        <w:t>duplication</w:t>
      </w:r>
      <w:r w:rsidRPr="003F00AF">
        <w:rPr>
          <w:spacing w:val="31"/>
        </w:rPr>
        <w:t xml:space="preserve"> </w:t>
      </w:r>
      <w:r w:rsidRPr="003F00AF">
        <w:t>of</w:t>
      </w:r>
      <w:r w:rsidRPr="003F00AF">
        <w:rPr>
          <w:spacing w:val="17"/>
        </w:rPr>
        <w:t xml:space="preserve"> </w:t>
      </w:r>
      <w:r w:rsidRPr="003F00AF">
        <w:t>functions.</w:t>
      </w:r>
      <w:r w:rsidRPr="003F00AF">
        <w:rPr>
          <w:spacing w:val="26"/>
        </w:rPr>
        <w:t xml:space="preserve"> </w:t>
      </w:r>
      <w:r w:rsidRPr="003F00AF">
        <w:t>Most</w:t>
      </w:r>
      <w:r w:rsidRPr="003F00AF">
        <w:rPr>
          <w:spacing w:val="27"/>
        </w:rPr>
        <w:t xml:space="preserve"> </w:t>
      </w:r>
      <w:r w:rsidRPr="003F00AF">
        <w:t>entities</w:t>
      </w:r>
      <w:r w:rsidRPr="003F00AF">
        <w:rPr>
          <w:w w:val="98"/>
        </w:rPr>
        <w:t xml:space="preserve"> </w:t>
      </w:r>
      <w:r w:rsidRPr="003F00AF">
        <w:t>working</w:t>
      </w:r>
      <w:r w:rsidRPr="003F00AF">
        <w:rPr>
          <w:spacing w:val="44"/>
        </w:rPr>
        <w:t xml:space="preserve"> </w:t>
      </w:r>
      <w:r w:rsidRPr="003F00AF">
        <w:t>on</w:t>
      </w:r>
      <w:r w:rsidRPr="003F00AF">
        <w:rPr>
          <w:spacing w:val="26"/>
        </w:rPr>
        <w:t xml:space="preserve"> </w:t>
      </w:r>
      <w:r w:rsidRPr="003F00AF">
        <w:t>environmental issues</w:t>
      </w:r>
      <w:r w:rsidRPr="003F00AF">
        <w:rPr>
          <w:spacing w:val="29"/>
        </w:rPr>
        <w:t xml:space="preserve"> </w:t>
      </w:r>
      <w:r w:rsidRPr="003F00AF">
        <w:t>had</w:t>
      </w:r>
      <w:r w:rsidRPr="003F00AF">
        <w:rPr>
          <w:spacing w:val="35"/>
        </w:rPr>
        <w:t xml:space="preserve"> </w:t>
      </w:r>
      <w:r w:rsidRPr="003F00AF">
        <w:t>to</w:t>
      </w:r>
      <w:r w:rsidRPr="003F00AF">
        <w:rPr>
          <w:spacing w:val="28"/>
        </w:rPr>
        <w:t xml:space="preserve"> </w:t>
      </w:r>
      <w:r w:rsidRPr="003F00AF">
        <w:t>cope</w:t>
      </w:r>
      <w:r w:rsidRPr="003F00AF">
        <w:rPr>
          <w:spacing w:val="23"/>
        </w:rPr>
        <w:t xml:space="preserve"> </w:t>
      </w:r>
      <w:r w:rsidRPr="003F00AF">
        <w:t>with</w:t>
      </w:r>
      <w:r w:rsidRPr="003F00AF">
        <w:rPr>
          <w:spacing w:val="33"/>
        </w:rPr>
        <w:t xml:space="preserve"> </w:t>
      </w:r>
      <w:r w:rsidRPr="003F00AF">
        <w:t>inadequate</w:t>
      </w:r>
      <w:r w:rsidRPr="003F00AF">
        <w:rPr>
          <w:spacing w:val="41"/>
        </w:rPr>
        <w:t xml:space="preserve"> </w:t>
      </w:r>
      <w:r w:rsidRPr="003F00AF">
        <w:t>public</w:t>
      </w:r>
      <w:r w:rsidRPr="003F00AF">
        <w:rPr>
          <w:spacing w:val="41"/>
        </w:rPr>
        <w:t xml:space="preserve"> </w:t>
      </w:r>
      <w:r w:rsidRPr="003F00AF">
        <w:t>funding</w:t>
      </w:r>
      <w:r w:rsidRPr="003F00AF">
        <w:rPr>
          <w:spacing w:val="29"/>
        </w:rPr>
        <w:t xml:space="preserve"> </w:t>
      </w:r>
      <w:r w:rsidRPr="003F00AF">
        <w:t>and</w:t>
      </w:r>
      <w:r w:rsidRPr="003F00AF">
        <w:rPr>
          <w:spacing w:val="30"/>
        </w:rPr>
        <w:t xml:space="preserve"> </w:t>
      </w:r>
      <w:r w:rsidRPr="003F00AF">
        <w:t>depended</w:t>
      </w:r>
      <w:r w:rsidRPr="003F00AF">
        <w:rPr>
          <w:spacing w:val="-2"/>
        </w:rPr>
        <w:t xml:space="preserve"> </w:t>
      </w:r>
      <w:r w:rsidRPr="003F00AF">
        <w:t>mainly</w:t>
      </w:r>
      <w:r w:rsidRPr="003F00AF">
        <w:rPr>
          <w:spacing w:val="1"/>
        </w:rPr>
        <w:t xml:space="preserve"> </w:t>
      </w:r>
      <w:r w:rsidRPr="003F00AF">
        <w:t>on</w:t>
      </w:r>
      <w:r w:rsidRPr="003F00AF">
        <w:rPr>
          <w:spacing w:val="-9"/>
        </w:rPr>
        <w:t xml:space="preserve"> </w:t>
      </w:r>
      <w:r w:rsidRPr="003F00AF">
        <w:t>resources</w:t>
      </w:r>
      <w:r w:rsidRPr="003F00AF">
        <w:rPr>
          <w:spacing w:val="1"/>
        </w:rPr>
        <w:t xml:space="preserve"> </w:t>
      </w:r>
      <w:r w:rsidRPr="003F00AF">
        <w:t>provided</w:t>
      </w:r>
      <w:r w:rsidRPr="003F00AF">
        <w:rPr>
          <w:spacing w:val="5"/>
        </w:rPr>
        <w:t xml:space="preserve"> </w:t>
      </w:r>
      <w:r w:rsidRPr="003F00AF">
        <w:t>by</w:t>
      </w:r>
      <w:r w:rsidRPr="003F00AF">
        <w:rPr>
          <w:spacing w:val="-6"/>
        </w:rPr>
        <w:t xml:space="preserve"> </w:t>
      </w:r>
      <w:r w:rsidRPr="003F00AF">
        <w:t>donors.</w:t>
      </w:r>
      <w:r w:rsidRPr="003F00AF">
        <w:rPr>
          <w:spacing w:val="3"/>
        </w:rPr>
        <w:t xml:space="preserve"> </w:t>
      </w:r>
      <w:r w:rsidRPr="003F00AF">
        <w:t>Technical</w:t>
      </w:r>
      <w:r w:rsidRPr="003F00AF">
        <w:rPr>
          <w:spacing w:val="8"/>
        </w:rPr>
        <w:t xml:space="preserve"> </w:t>
      </w:r>
      <w:r w:rsidRPr="003F00AF">
        <w:t>and</w:t>
      </w:r>
      <w:r w:rsidRPr="003F00AF">
        <w:rPr>
          <w:spacing w:val="-7"/>
        </w:rPr>
        <w:t xml:space="preserve"> </w:t>
      </w:r>
      <w:r w:rsidRPr="003F00AF">
        <w:t>human</w:t>
      </w:r>
      <w:r w:rsidRPr="003F00AF">
        <w:rPr>
          <w:spacing w:val="-3"/>
        </w:rPr>
        <w:t xml:space="preserve"> </w:t>
      </w:r>
      <w:r w:rsidRPr="003F00AF">
        <w:t>resource capacities</w:t>
      </w:r>
      <w:r w:rsidRPr="003F00AF">
        <w:rPr>
          <w:spacing w:val="29"/>
        </w:rPr>
        <w:t xml:space="preserve"> </w:t>
      </w:r>
      <w:r w:rsidRPr="003F00AF">
        <w:t>also</w:t>
      </w:r>
      <w:r w:rsidRPr="003F00AF">
        <w:rPr>
          <w:spacing w:val="12"/>
        </w:rPr>
        <w:t xml:space="preserve"> </w:t>
      </w:r>
      <w:r w:rsidRPr="003F00AF">
        <w:t>varied</w:t>
      </w:r>
      <w:r w:rsidRPr="003F00AF">
        <w:rPr>
          <w:spacing w:val="31"/>
        </w:rPr>
        <w:t xml:space="preserve"> </w:t>
      </w:r>
      <w:r w:rsidRPr="003F00AF">
        <w:t>from</w:t>
      </w:r>
      <w:r w:rsidRPr="003F00AF">
        <w:rPr>
          <w:spacing w:val="17"/>
        </w:rPr>
        <w:t xml:space="preserve"> </w:t>
      </w:r>
      <w:r w:rsidRPr="003F00AF">
        <w:t>one</w:t>
      </w:r>
      <w:r w:rsidRPr="003F00AF">
        <w:rPr>
          <w:spacing w:val="13"/>
        </w:rPr>
        <w:t xml:space="preserve"> </w:t>
      </w:r>
      <w:r w:rsidRPr="003F00AF">
        <w:t>agency</w:t>
      </w:r>
      <w:r w:rsidRPr="003F00AF">
        <w:rPr>
          <w:spacing w:val="12"/>
        </w:rPr>
        <w:t xml:space="preserve"> </w:t>
      </w:r>
      <w:r w:rsidRPr="003F00AF">
        <w:t>to</w:t>
      </w:r>
      <w:r w:rsidRPr="003F00AF">
        <w:rPr>
          <w:spacing w:val="17"/>
        </w:rPr>
        <w:t xml:space="preserve"> </w:t>
      </w:r>
      <w:r w:rsidRPr="003F00AF">
        <w:t>another.</w:t>
      </w:r>
      <w:r w:rsidRPr="003F00AF">
        <w:rPr>
          <w:spacing w:val="19"/>
        </w:rPr>
        <w:t xml:space="preserve"> </w:t>
      </w:r>
      <w:r w:rsidRPr="003F00AF">
        <w:t>Peru’s</w:t>
      </w:r>
      <w:r w:rsidRPr="003F00AF">
        <w:rPr>
          <w:spacing w:val="20"/>
        </w:rPr>
        <w:t xml:space="preserve"> ‘</w:t>
      </w:r>
      <w:r w:rsidRPr="003F00AF">
        <w:t>sectorized’ approach</w:t>
      </w:r>
      <w:r w:rsidRPr="003F00AF">
        <w:rPr>
          <w:spacing w:val="14"/>
        </w:rPr>
        <w:t xml:space="preserve"> </w:t>
      </w:r>
      <w:r w:rsidRPr="003F00AF">
        <w:t>to</w:t>
      </w:r>
      <w:r w:rsidRPr="003F00AF">
        <w:rPr>
          <w:w w:val="99"/>
        </w:rPr>
        <w:t xml:space="preserve"> </w:t>
      </w:r>
      <w:r w:rsidRPr="003F00AF">
        <w:t>environmental</w:t>
      </w:r>
      <w:r w:rsidRPr="003F00AF">
        <w:rPr>
          <w:spacing w:val="47"/>
        </w:rPr>
        <w:t xml:space="preserve"> </w:t>
      </w:r>
      <w:r w:rsidRPr="003F00AF">
        <w:t>management</w:t>
      </w:r>
      <w:r w:rsidRPr="003F00AF">
        <w:rPr>
          <w:spacing w:val="47"/>
        </w:rPr>
        <w:t xml:space="preserve"> </w:t>
      </w:r>
      <w:r w:rsidRPr="003F00AF">
        <w:t>had</w:t>
      </w:r>
      <w:r w:rsidRPr="003F00AF">
        <w:rPr>
          <w:spacing w:val="23"/>
        </w:rPr>
        <w:t xml:space="preserve"> </w:t>
      </w:r>
      <w:r w:rsidRPr="003F00AF">
        <w:t>exacerbated</w:t>
      </w:r>
      <w:r w:rsidRPr="003F00AF">
        <w:rPr>
          <w:spacing w:val="33"/>
        </w:rPr>
        <w:t xml:space="preserve"> </w:t>
      </w:r>
      <w:r w:rsidRPr="003F00AF">
        <w:t>these</w:t>
      </w:r>
      <w:r w:rsidRPr="003F00AF">
        <w:rPr>
          <w:spacing w:val="27"/>
        </w:rPr>
        <w:t xml:space="preserve"> </w:t>
      </w:r>
      <w:r w:rsidRPr="003F00AF">
        <w:t>problems,</w:t>
      </w:r>
      <w:r w:rsidRPr="003F00AF">
        <w:rPr>
          <w:spacing w:val="39"/>
        </w:rPr>
        <w:t xml:space="preserve"> </w:t>
      </w:r>
      <w:r w:rsidRPr="003F00AF">
        <w:t>because</w:t>
      </w:r>
      <w:r w:rsidRPr="003F00AF">
        <w:rPr>
          <w:spacing w:val="41"/>
        </w:rPr>
        <w:t xml:space="preserve"> </w:t>
      </w:r>
      <w:r w:rsidRPr="003F00AF">
        <w:t>agencies</w:t>
      </w:r>
      <w:r w:rsidRPr="003F00AF">
        <w:rPr>
          <w:spacing w:val="30"/>
        </w:rPr>
        <w:t xml:space="preserve"> </w:t>
      </w:r>
      <w:r w:rsidRPr="003F00AF">
        <w:t>had focused</w:t>
      </w:r>
      <w:r w:rsidRPr="003F00AF">
        <w:rPr>
          <w:spacing w:val="-7"/>
        </w:rPr>
        <w:t xml:space="preserve"> </w:t>
      </w:r>
      <w:r w:rsidRPr="003F00AF">
        <w:t>on</w:t>
      </w:r>
      <w:r w:rsidRPr="003F00AF">
        <w:rPr>
          <w:spacing w:val="-15"/>
        </w:rPr>
        <w:t xml:space="preserve"> </w:t>
      </w:r>
      <w:r w:rsidRPr="003F00AF">
        <w:t>promoting</w:t>
      </w:r>
      <w:r w:rsidRPr="003F00AF">
        <w:rPr>
          <w:spacing w:val="-3"/>
        </w:rPr>
        <w:t xml:space="preserve"> </w:t>
      </w:r>
      <w:r w:rsidRPr="003F00AF">
        <w:t>their</w:t>
      </w:r>
      <w:r w:rsidRPr="003F00AF">
        <w:rPr>
          <w:spacing w:val="2"/>
        </w:rPr>
        <w:t xml:space="preserve"> </w:t>
      </w:r>
      <w:r w:rsidRPr="003F00AF">
        <w:t>specific</w:t>
      </w:r>
      <w:r w:rsidRPr="003F00AF">
        <w:rPr>
          <w:spacing w:val="-8"/>
        </w:rPr>
        <w:t xml:space="preserve"> </w:t>
      </w:r>
      <w:r w:rsidRPr="003F00AF">
        <w:t>sectoral</w:t>
      </w:r>
      <w:r w:rsidRPr="003F00AF">
        <w:rPr>
          <w:spacing w:val="-4"/>
        </w:rPr>
        <w:t xml:space="preserve"> </w:t>
      </w:r>
      <w:r w:rsidRPr="003F00AF">
        <w:t>interests.</w:t>
      </w:r>
    </w:p>
    <w:p w14:paraId="58BCEE16" w14:textId="79F7C9C4" w:rsidR="008E18F4" w:rsidRPr="003F00AF" w:rsidRDefault="008E18F4" w:rsidP="008E18F4">
      <w:pPr>
        <w:pStyle w:val="ListParagraph"/>
        <w:numPr>
          <w:ilvl w:val="0"/>
          <w:numId w:val="1"/>
        </w:numPr>
        <w:spacing w:after="240"/>
        <w:ind w:left="0" w:firstLine="0"/>
        <w:jc w:val="both"/>
      </w:pPr>
      <w:r w:rsidRPr="003F00AF">
        <w:rPr>
          <w:b/>
        </w:rPr>
        <w:t>The reform agenda to strengthen the legal and institutional framework for environmental management required several, phased actions that would be best supported by a programmatic</w:t>
      </w:r>
      <w:r w:rsidR="00E91D3A">
        <w:rPr>
          <w:b/>
        </w:rPr>
        <w:t xml:space="preserve"> development policy loan</w:t>
      </w:r>
      <w:r w:rsidRPr="003F00AF">
        <w:rPr>
          <w:b/>
        </w:rPr>
        <w:t xml:space="preserve"> approach.</w:t>
      </w:r>
      <w:r w:rsidRPr="003F00AF">
        <w:t xml:space="preserve"> Such actions included the creation of Peru’s Ministry of Environment </w:t>
      </w:r>
      <w:r w:rsidRPr="003F00AF">
        <w:rPr>
          <w:color w:val="000000"/>
        </w:rPr>
        <w:t>(</w:t>
      </w:r>
      <w:r w:rsidRPr="003F00AF">
        <w:rPr>
          <w:i/>
          <w:color w:val="000000"/>
        </w:rPr>
        <w:t>Ministerio del Ambiente</w:t>
      </w:r>
      <w:r w:rsidRPr="003F00AF">
        <w:rPr>
          <w:color w:val="000000"/>
        </w:rPr>
        <w:t>, MINAM)</w:t>
      </w:r>
      <w:r w:rsidRPr="003F00AF">
        <w:t xml:space="preserve"> and its line agencies, which would, in turn, call for the clarification of the roles and responsibilities of key agencies in areas such as environmental licensing. Additional reforms were needed to develop a suite of tools that would help Peru address priority environmental problems, such as outdoor air pollution in urban areas or water quality problems. Tools to be adopted ranged from emission and environmental quality standards (</w:t>
      </w:r>
      <w:r w:rsidRPr="003F00AF">
        <w:rPr>
          <w:i/>
        </w:rPr>
        <w:t>Estándares de Calidad Ambiental</w:t>
      </w:r>
      <w:r w:rsidRPr="003F00AF">
        <w:t xml:space="preserve">, ECAs) to making information available to support decision making and increase transparency and accountability in environmental management. Finally, actions were needed to ensure that the new organizations had the resources to fulfill their mandates, including financial resources. </w:t>
      </w:r>
    </w:p>
    <w:p w14:paraId="6306B155" w14:textId="77777777" w:rsidR="008E18F4" w:rsidRPr="003F00AF" w:rsidRDefault="008E18F4" w:rsidP="008E18F4">
      <w:pPr>
        <w:pStyle w:val="ListParagraph"/>
        <w:numPr>
          <w:ilvl w:val="0"/>
          <w:numId w:val="1"/>
        </w:numPr>
        <w:spacing w:after="240"/>
        <w:ind w:left="0" w:firstLine="0"/>
        <w:jc w:val="both"/>
      </w:pPr>
      <w:r w:rsidRPr="003F00AF">
        <w:rPr>
          <w:b/>
        </w:rPr>
        <w:t>Mainstreaming sustainable development principles in key economic sectors was fundamental to address</w:t>
      </w:r>
      <w:r w:rsidRPr="003F00AF">
        <w:rPr>
          <w:b/>
          <w:spacing w:val="-3"/>
        </w:rPr>
        <w:t xml:space="preserve"> </w:t>
      </w:r>
      <w:r w:rsidRPr="003F00AF">
        <w:rPr>
          <w:b/>
        </w:rPr>
        <w:t>core</w:t>
      </w:r>
      <w:r w:rsidRPr="003F00AF">
        <w:rPr>
          <w:b/>
          <w:spacing w:val="-5"/>
        </w:rPr>
        <w:t xml:space="preserve"> </w:t>
      </w:r>
      <w:r w:rsidRPr="003F00AF">
        <w:rPr>
          <w:b/>
        </w:rPr>
        <w:t>environmental</w:t>
      </w:r>
      <w:r w:rsidRPr="003F00AF">
        <w:rPr>
          <w:b/>
          <w:spacing w:val="17"/>
        </w:rPr>
        <w:t xml:space="preserve"> </w:t>
      </w:r>
      <w:r w:rsidRPr="003F00AF">
        <w:rPr>
          <w:b/>
        </w:rPr>
        <w:t>issues</w:t>
      </w:r>
      <w:r w:rsidRPr="003F00AF">
        <w:rPr>
          <w:b/>
          <w:spacing w:val="-4"/>
        </w:rPr>
        <w:t xml:space="preserve"> </w:t>
      </w:r>
      <w:r w:rsidRPr="003F00AF">
        <w:rPr>
          <w:b/>
        </w:rPr>
        <w:t>in</w:t>
      </w:r>
      <w:r w:rsidRPr="003F00AF">
        <w:rPr>
          <w:b/>
          <w:spacing w:val="-9"/>
        </w:rPr>
        <w:t xml:space="preserve"> </w:t>
      </w:r>
      <w:r w:rsidRPr="003F00AF">
        <w:rPr>
          <w:b/>
        </w:rPr>
        <w:t>high-growth,</w:t>
      </w:r>
      <w:r w:rsidRPr="003F00AF">
        <w:rPr>
          <w:b/>
          <w:spacing w:val="8"/>
        </w:rPr>
        <w:t xml:space="preserve"> </w:t>
      </w:r>
      <w:r w:rsidRPr="003F00AF">
        <w:rPr>
          <w:b/>
        </w:rPr>
        <w:t>natural</w:t>
      </w:r>
      <w:r w:rsidRPr="003F00AF">
        <w:rPr>
          <w:b/>
          <w:spacing w:val="3"/>
        </w:rPr>
        <w:t xml:space="preserve"> </w:t>
      </w:r>
      <w:r w:rsidRPr="003F00AF">
        <w:rPr>
          <w:b/>
        </w:rPr>
        <w:t>resource-based,</w:t>
      </w:r>
      <w:r w:rsidRPr="003F00AF">
        <w:rPr>
          <w:b/>
          <w:w w:val="96"/>
        </w:rPr>
        <w:t xml:space="preserve"> </w:t>
      </w:r>
      <w:r w:rsidRPr="003F00AF">
        <w:rPr>
          <w:b/>
        </w:rPr>
        <w:t>and</w:t>
      </w:r>
      <w:r w:rsidRPr="003F00AF">
        <w:rPr>
          <w:b/>
          <w:spacing w:val="1"/>
        </w:rPr>
        <w:t xml:space="preserve"> </w:t>
      </w:r>
      <w:r w:rsidRPr="003F00AF">
        <w:rPr>
          <w:b/>
        </w:rPr>
        <w:t>leading</w:t>
      </w:r>
      <w:r w:rsidRPr="003F00AF">
        <w:rPr>
          <w:b/>
          <w:spacing w:val="-1"/>
        </w:rPr>
        <w:t xml:space="preserve"> </w:t>
      </w:r>
      <w:r w:rsidRPr="003F00AF">
        <w:rPr>
          <w:b/>
        </w:rPr>
        <w:t>export</w:t>
      </w:r>
      <w:r w:rsidRPr="003F00AF">
        <w:rPr>
          <w:b/>
          <w:spacing w:val="7"/>
        </w:rPr>
        <w:t xml:space="preserve"> </w:t>
      </w:r>
      <w:r w:rsidRPr="003F00AF">
        <w:rPr>
          <w:b/>
        </w:rPr>
        <w:t>sectors.</w:t>
      </w:r>
      <w:r w:rsidRPr="003F00AF">
        <w:t xml:space="preserve"> The fisheries sector met these characteristics and was in need of reforms, as evidenced by declining biomass and yields, as well as by the overcapacity of fishing vessels and processing plants. Mining was another such sector, both making significant contributions to the Peruvian economy and increasingly being associated with environmental and social conflicts. In other cases, the mainstreaming approach recognized that the causes and effects of Peru’s priority environmental problems extended beyond the environment sector. This was the cause of urban air pollution, where crafting feasible responses required policy reforms in sectors such as transportation and energy.</w:t>
      </w:r>
    </w:p>
    <w:p w14:paraId="12CE06F0" w14:textId="78B196CD" w:rsidR="008E18F4" w:rsidRPr="003F00AF" w:rsidRDefault="008E18F4" w:rsidP="008E18F4">
      <w:pPr>
        <w:pStyle w:val="ListParagraph"/>
        <w:numPr>
          <w:ilvl w:val="0"/>
          <w:numId w:val="1"/>
        </w:numPr>
        <w:spacing w:after="240"/>
        <w:ind w:left="0" w:firstLine="0"/>
        <w:jc w:val="both"/>
        <w:rPr>
          <w:szCs w:val="22"/>
        </w:rPr>
      </w:pPr>
      <w:r w:rsidRPr="003F00AF">
        <w:rPr>
          <w:b/>
          <w:szCs w:val="22"/>
        </w:rPr>
        <w:t xml:space="preserve">The macroeconomic policy framework was adequate for </w:t>
      </w:r>
      <w:r w:rsidR="00815D15">
        <w:rPr>
          <w:b/>
          <w:szCs w:val="22"/>
        </w:rPr>
        <w:t xml:space="preserve">the </w:t>
      </w:r>
      <w:r w:rsidRPr="003F00AF">
        <w:rPr>
          <w:b/>
          <w:szCs w:val="22"/>
        </w:rPr>
        <w:t xml:space="preserve">programmatic series of </w:t>
      </w:r>
      <w:r w:rsidR="00815D15">
        <w:rPr>
          <w:b/>
          <w:szCs w:val="22"/>
        </w:rPr>
        <w:t xml:space="preserve">Peru Environmental </w:t>
      </w:r>
      <w:r w:rsidRPr="003F00AF">
        <w:rPr>
          <w:b/>
          <w:szCs w:val="22"/>
        </w:rPr>
        <w:t>Development Policy Loans (</w:t>
      </w:r>
      <w:r w:rsidR="00815D15">
        <w:rPr>
          <w:b/>
          <w:szCs w:val="22"/>
        </w:rPr>
        <w:t>ENV</w:t>
      </w:r>
      <w:r w:rsidRPr="003F00AF">
        <w:rPr>
          <w:b/>
          <w:szCs w:val="22"/>
        </w:rPr>
        <w:t xml:space="preserve">DPLs). </w:t>
      </w:r>
      <w:r w:rsidRPr="003F00AF">
        <w:rPr>
          <w:szCs w:val="22"/>
        </w:rPr>
        <w:t>At the beginning of the ENVDPL</w:t>
      </w:r>
      <w:r w:rsidR="00815D15">
        <w:rPr>
          <w:szCs w:val="22"/>
        </w:rPr>
        <w:t xml:space="preserve">s, which included </w:t>
      </w:r>
      <w:r w:rsidRPr="003F00AF">
        <w:rPr>
          <w:szCs w:val="22"/>
        </w:rPr>
        <w:t>three operations</w:t>
      </w:r>
      <w:r w:rsidR="00815D15">
        <w:rPr>
          <w:szCs w:val="22"/>
        </w:rPr>
        <w:t xml:space="preserve"> (</w:t>
      </w:r>
      <w:r w:rsidRPr="003F00AF">
        <w:rPr>
          <w:szCs w:val="22"/>
        </w:rPr>
        <w:t>ENVDPL I, ENVDPL II, and ENVDPL III</w:t>
      </w:r>
      <w:r w:rsidR="00815D15">
        <w:rPr>
          <w:szCs w:val="22"/>
        </w:rPr>
        <w:t>),</w:t>
      </w:r>
      <w:r w:rsidRPr="003F00AF">
        <w:rPr>
          <w:szCs w:val="22"/>
        </w:rPr>
        <w:t xml:space="preserve"> Peru faced the global economic crisis after a period of broad-based rapid economic growth. Before the global economic crisis, Peru displayed one of the strongest growth performances in the Latin America and Caribbean region, with growth accelerating from 6.4 percent in 2005 to 9.8 percent in 2008. </w:t>
      </w:r>
      <w:r w:rsidRPr="003F00AF">
        <w:t>While the slowdown in growth in 2009 was acute, Peru was one of the few economies in the region that avoided negative growth. Following a rapid pickup</w:t>
      </w:r>
      <w:r w:rsidRPr="003F00AF">
        <w:rPr>
          <w:w w:val="99"/>
        </w:rPr>
        <w:t xml:space="preserve"> </w:t>
      </w:r>
      <w:r w:rsidRPr="003F00AF">
        <w:t>in economic activity from the end of 2009 driven by both domestic demand and a recovery of commodity prices, the most likely scenario for 2010 was one of substantial recovery. Growth was</w:t>
      </w:r>
      <w:r w:rsidRPr="003F00AF">
        <w:rPr>
          <w:w w:val="99"/>
        </w:rPr>
        <w:t xml:space="preserve"> </w:t>
      </w:r>
      <w:r w:rsidRPr="003F00AF">
        <w:t>expected to increase to around 6 percent in 2010 and to hover around 5.5 percent over the</w:t>
      </w:r>
      <w:r w:rsidRPr="003F00AF">
        <w:rPr>
          <w:w w:val="99"/>
        </w:rPr>
        <w:t xml:space="preserve"> </w:t>
      </w:r>
      <w:r w:rsidRPr="003F00AF">
        <w:t xml:space="preserve">medium term. </w:t>
      </w:r>
      <w:r w:rsidRPr="003F00AF">
        <w:rPr>
          <w:szCs w:val="22"/>
        </w:rPr>
        <w:t xml:space="preserve">In light of the </w:t>
      </w:r>
      <w:r w:rsidR="00D47FFB" w:rsidRPr="003F00AF">
        <w:rPr>
          <w:szCs w:val="22"/>
        </w:rPr>
        <w:t xml:space="preserve">global </w:t>
      </w:r>
      <w:r w:rsidRPr="003F00AF">
        <w:rPr>
          <w:szCs w:val="22"/>
        </w:rPr>
        <w:t>economic crisis at the time of the preparation of the ENVDPL I, the GoP elected a deferred drawdown option (DDO) for US$310 million, or approximately 94 percent of the total amount of the loan</w:t>
      </w:r>
      <w:r w:rsidR="001E3B7E">
        <w:rPr>
          <w:szCs w:val="22"/>
        </w:rPr>
        <w:t xml:space="preserve"> </w:t>
      </w:r>
      <w:r w:rsidR="00E91D3A">
        <w:rPr>
          <w:szCs w:val="22"/>
        </w:rPr>
        <w:t>amount of</w:t>
      </w:r>
      <w:r w:rsidR="001E3B7E">
        <w:rPr>
          <w:szCs w:val="22"/>
        </w:rPr>
        <w:t xml:space="preserve"> US$330 million</w:t>
      </w:r>
      <w:r w:rsidRPr="003F00AF">
        <w:rPr>
          <w:szCs w:val="22"/>
        </w:rPr>
        <w:t>, as a disbursement option for the first operation. This instrument allowed the GoP to proactively manage risk in light of the financial downturn.</w:t>
      </w:r>
    </w:p>
    <w:p w14:paraId="04ECDEBD" w14:textId="6D7011FD" w:rsidR="008E18F4" w:rsidRPr="003F00AF" w:rsidRDefault="008E18F4" w:rsidP="00A931F3">
      <w:pPr>
        <w:pStyle w:val="ListParagraph"/>
        <w:keepNext/>
        <w:keepLines/>
        <w:numPr>
          <w:ilvl w:val="1"/>
          <w:numId w:val="27"/>
        </w:numPr>
        <w:spacing w:after="240"/>
        <w:rPr>
          <w:i/>
        </w:rPr>
      </w:pPr>
      <w:bookmarkStart w:id="79" w:name="_Toc448507199"/>
      <w:bookmarkStart w:id="80" w:name="_Toc448507361"/>
      <w:r w:rsidRPr="003F00AF">
        <w:rPr>
          <w:i/>
        </w:rPr>
        <w:t xml:space="preserve">Original Program Development Objectives (PDO) and Key Indicators (as </w:t>
      </w:r>
      <w:r w:rsidR="00BA4AEC" w:rsidRPr="003F00AF">
        <w:rPr>
          <w:i/>
        </w:rPr>
        <w:t>A</w:t>
      </w:r>
      <w:r w:rsidRPr="003F00AF">
        <w:rPr>
          <w:i/>
        </w:rPr>
        <w:t>pproved)</w:t>
      </w:r>
      <w:bookmarkEnd w:id="79"/>
      <w:bookmarkEnd w:id="80"/>
    </w:p>
    <w:p w14:paraId="32463D0A" w14:textId="390C442B" w:rsidR="00A931F3" w:rsidRPr="003F00AF" w:rsidRDefault="008E18F4" w:rsidP="001A092D">
      <w:pPr>
        <w:pStyle w:val="ListParagraph"/>
        <w:numPr>
          <w:ilvl w:val="0"/>
          <w:numId w:val="1"/>
        </w:numPr>
        <w:autoSpaceDE w:val="0"/>
        <w:autoSpaceDN w:val="0"/>
        <w:adjustRightInd w:val="0"/>
        <w:spacing w:after="240"/>
        <w:ind w:left="0" w:firstLine="0"/>
        <w:jc w:val="both"/>
      </w:pPr>
      <w:bookmarkStart w:id="81" w:name="T_SEC6TEXT_SEC62"/>
      <w:bookmarkStart w:id="82" w:name="PDO"/>
      <w:bookmarkEnd w:id="81"/>
      <w:r w:rsidRPr="003F00AF">
        <w:rPr>
          <w:b/>
          <w:szCs w:val="22"/>
        </w:rPr>
        <w:t xml:space="preserve">The PDO of the </w:t>
      </w:r>
      <w:r w:rsidR="00815D15">
        <w:rPr>
          <w:b/>
          <w:szCs w:val="22"/>
        </w:rPr>
        <w:t>E</w:t>
      </w:r>
      <w:r w:rsidRPr="003F00AF">
        <w:rPr>
          <w:b/>
          <w:szCs w:val="22"/>
        </w:rPr>
        <w:t>NVDPLs</w:t>
      </w:r>
      <w:r w:rsidR="00AC13C8" w:rsidRPr="003F00AF">
        <w:rPr>
          <w:szCs w:val="22"/>
        </w:rPr>
        <w:t xml:space="preserve"> </w:t>
      </w:r>
      <w:r w:rsidRPr="003F00AF">
        <w:rPr>
          <w:b/>
          <w:szCs w:val="22"/>
        </w:rPr>
        <w:t xml:space="preserve">was to </w:t>
      </w:r>
      <w:r w:rsidR="00A931F3" w:rsidRPr="003F00AF">
        <w:rPr>
          <w:b/>
        </w:rPr>
        <w:t xml:space="preserve">support the </w:t>
      </w:r>
      <w:r w:rsidR="00AE0FBE" w:rsidRPr="003F00AF">
        <w:rPr>
          <w:b/>
        </w:rPr>
        <w:t>GoP’s efforts to strengthen environmental governance and institutions in Peru, and mainstream environmental sustainability in the development agenda of key sectors (mining, fisheries, and urban transport and energy)</w:t>
      </w:r>
      <w:r w:rsidR="00AE0FBE" w:rsidRPr="003F00AF">
        <w:t xml:space="preserve">. </w:t>
      </w:r>
      <w:r w:rsidR="00A931F3" w:rsidRPr="003F00AF">
        <w:t xml:space="preserve">The </w:t>
      </w:r>
      <w:r w:rsidR="00AC13C8" w:rsidRPr="003F00AF">
        <w:t xml:space="preserve">objectives of </w:t>
      </w:r>
      <w:r w:rsidR="00A931F3" w:rsidRPr="003F00AF">
        <w:t>ENVDPL I</w:t>
      </w:r>
      <w:r w:rsidR="00AC13C8" w:rsidRPr="003F00AF">
        <w:t>I and ENVDPL III were</w:t>
      </w:r>
      <w:r w:rsidR="00AE0FBE" w:rsidRPr="003F00AF">
        <w:t xml:space="preserve"> </w:t>
      </w:r>
      <w:r w:rsidR="001650C4" w:rsidRPr="003F00AF">
        <w:t xml:space="preserve">to continue supporting the GoP to achieve </w:t>
      </w:r>
      <w:r w:rsidR="00AE0FBE" w:rsidRPr="003F00AF">
        <w:t>the program’s overarching development objectives.</w:t>
      </w:r>
    </w:p>
    <w:p w14:paraId="4FD6EA6F" w14:textId="4F639AA7" w:rsidR="008E18F4" w:rsidRPr="003F00AF" w:rsidRDefault="00BA4AEC" w:rsidP="008E18F4">
      <w:pPr>
        <w:pStyle w:val="ListParagraph"/>
        <w:keepNext/>
        <w:keepLines/>
        <w:spacing w:after="240"/>
        <w:ind w:left="0"/>
        <w:rPr>
          <w:i/>
        </w:rPr>
      </w:pPr>
      <w:bookmarkStart w:id="83" w:name="_Toc448507200"/>
      <w:bookmarkStart w:id="84" w:name="_Toc448507362"/>
      <w:bookmarkEnd w:id="82"/>
      <w:r w:rsidRPr="003F00AF">
        <w:rPr>
          <w:i/>
        </w:rPr>
        <w:t>1.3</w:t>
      </w:r>
      <w:r w:rsidRPr="003F00AF">
        <w:rPr>
          <w:i/>
        </w:rPr>
        <w:tab/>
      </w:r>
      <w:r w:rsidR="008E18F4" w:rsidRPr="003F00AF">
        <w:rPr>
          <w:i/>
        </w:rPr>
        <w:t xml:space="preserve">Revised PDO (as </w:t>
      </w:r>
      <w:r w:rsidRPr="003F00AF">
        <w:rPr>
          <w:i/>
        </w:rPr>
        <w:t>A</w:t>
      </w:r>
      <w:r w:rsidR="008E18F4" w:rsidRPr="003F00AF">
        <w:rPr>
          <w:i/>
        </w:rPr>
        <w:t xml:space="preserve">pproved by </w:t>
      </w:r>
      <w:r w:rsidRPr="003F00AF">
        <w:rPr>
          <w:i/>
        </w:rPr>
        <w:t>O</w:t>
      </w:r>
      <w:r w:rsidR="008E18F4" w:rsidRPr="003F00AF">
        <w:rPr>
          <w:i/>
        </w:rPr>
        <w:t xml:space="preserve">riginal </w:t>
      </w:r>
      <w:r w:rsidRPr="003F00AF">
        <w:rPr>
          <w:i/>
        </w:rPr>
        <w:t>A</w:t>
      </w:r>
      <w:r w:rsidR="008E18F4" w:rsidRPr="003F00AF">
        <w:rPr>
          <w:i/>
        </w:rPr>
        <w:t xml:space="preserve">pproving </w:t>
      </w:r>
      <w:r w:rsidRPr="003F00AF">
        <w:rPr>
          <w:i/>
        </w:rPr>
        <w:t>A</w:t>
      </w:r>
      <w:r w:rsidR="008E18F4" w:rsidRPr="003F00AF">
        <w:rPr>
          <w:i/>
        </w:rPr>
        <w:t>uthority) and Key Indicators, and Reasons/Justification</w:t>
      </w:r>
      <w:bookmarkEnd w:id="83"/>
      <w:bookmarkEnd w:id="84"/>
    </w:p>
    <w:p w14:paraId="1C404D73" w14:textId="1CFF5977" w:rsidR="00C96F0A" w:rsidRPr="003F00AF" w:rsidRDefault="001D2AFB" w:rsidP="001A092D">
      <w:pPr>
        <w:pStyle w:val="ListParagraph"/>
        <w:numPr>
          <w:ilvl w:val="0"/>
          <w:numId w:val="1"/>
        </w:numPr>
        <w:spacing w:after="240"/>
        <w:ind w:left="0" w:firstLine="0"/>
        <w:jc w:val="both"/>
        <w:rPr>
          <w:iCs/>
        </w:rPr>
      </w:pPr>
      <w:bookmarkStart w:id="85" w:name="T_SEC6TEXT_SEC63"/>
      <w:bookmarkEnd w:id="85"/>
      <w:r w:rsidRPr="003F00AF">
        <w:rPr>
          <w:iCs/>
        </w:rPr>
        <w:t>The PDO was not revised during the ENVDPL</w:t>
      </w:r>
      <w:r w:rsidR="00131351">
        <w:rPr>
          <w:iCs/>
        </w:rPr>
        <w:t>s</w:t>
      </w:r>
      <w:r w:rsidRPr="003F00AF">
        <w:rPr>
          <w:iCs/>
        </w:rPr>
        <w:t xml:space="preserve">. Although the Key Indicators were not formally revised, </w:t>
      </w:r>
      <w:r w:rsidR="001E3B7E" w:rsidRPr="00BB4242">
        <w:rPr>
          <w:iCs/>
        </w:rPr>
        <w:t xml:space="preserve">the World Bank </w:t>
      </w:r>
      <w:r w:rsidR="001E3B7E">
        <w:rPr>
          <w:iCs/>
        </w:rPr>
        <w:t xml:space="preserve">and the GoP agreed to </w:t>
      </w:r>
      <w:r w:rsidRPr="003F00AF">
        <w:rPr>
          <w:iCs/>
        </w:rPr>
        <w:t xml:space="preserve">revise three targets </w:t>
      </w:r>
      <w:r w:rsidR="004C57CD">
        <w:rPr>
          <w:iCs/>
        </w:rPr>
        <w:t xml:space="preserve">during the preparation of </w:t>
      </w:r>
      <w:r w:rsidRPr="003F00AF">
        <w:rPr>
          <w:iCs/>
        </w:rPr>
        <w:t>the ENVDPL II</w:t>
      </w:r>
      <w:r w:rsidR="004C57CD">
        <w:rPr>
          <w:iCs/>
        </w:rPr>
        <w:t xml:space="preserve"> and ENVDPL II</w:t>
      </w:r>
      <w:r w:rsidRPr="003F00AF">
        <w:rPr>
          <w:iCs/>
        </w:rPr>
        <w:t>I</w:t>
      </w:r>
      <w:r w:rsidR="00C96F0A" w:rsidRPr="003F00AF">
        <w:rPr>
          <w:iCs/>
        </w:rPr>
        <w:t>:</w:t>
      </w:r>
    </w:p>
    <w:p w14:paraId="77B65116" w14:textId="222E763D" w:rsidR="00C96F0A" w:rsidRPr="00C755C0" w:rsidRDefault="001D2AFB" w:rsidP="00EC773C">
      <w:pPr>
        <w:pStyle w:val="ListParagraph"/>
        <w:numPr>
          <w:ilvl w:val="0"/>
          <w:numId w:val="34"/>
        </w:numPr>
        <w:spacing w:after="240"/>
        <w:jc w:val="both"/>
        <w:rPr>
          <w:iCs/>
        </w:rPr>
      </w:pPr>
      <w:r w:rsidRPr="00C755C0">
        <w:rPr>
          <w:iCs/>
        </w:rPr>
        <w:t xml:space="preserve">The </w:t>
      </w:r>
      <w:r w:rsidR="00A564BD">
        <w:rPr>
          <w:iCs/>
        </w:rPr>
        <w:t xml:space="preserve">World </w:t>
      </w:r>
      <w:r w:rsidRPr="00C755C0">
        <w:rPr>
          <w:iCs/>
        </w:rPr>
        <w:t xml:space="preserve">Bank refined the target </w:t>
      </w:r>
      <w:r w:rsidR="009C1EB9" w:rsidRPr="00C755C0">
        <w:rPr>
          <w:iCs/>
        </w:rPr>
        <w:t xml:space="preserve">value </w:t>
      </w:r>
      <w:r w:rsidRPr="00C755C0">
        <w:rPr>
          <w:iCs/>
        </w:rPr>
        <w:t xml:space="preserve">description of </w:t>
      </w:r>
      <w:r w:rsidR="00ED4535">
        <w:rPr>
          <w:iCs/>
        </w:rPr>
        <w:t>PDO</w:t>
      </w:r>
      <w:r w:rsidRPr="00C755C0">
        <w:rPr>
          <w:iCs/>
        </w:rPr>
        <w:t xml:space="preserve"> Indicator 1 to clarify the responsibilities of MINAM in relation to </w:t>
      </w:r>
      <w:r w:rsidR="004C57CD" w:rsidRPr="003B12E9">
        <w:t>Environmental Impact Assessment</w:t>
      </w:r>
      <w:r w:rsidR="004C57CD">
        <w:t>s</w:t>
      </w:r>
      <w:r w:rsidR="004C57CD" w:rsidRPr="003B12E9">
        <w:t xml:space="preserve"> </w:t>
      </w:r>
      <w:r w:rsidRPr="00C755C0">
        <w:rPr>
          <w:iCs/>
        </w:rPr>
        <w:t xml:space="preserve">and their review, maintaining the target number of randomly reviewing 10 EIAs per year </w:t>
      </w:r>
      <w:r w:rsidR="00C755C0" w:rsidRPr="00C755C0">
        <w:rPr>
          <w:iCs/>
        </w:rPr>
        <w:t xml:space="preserve">(from 2003 to 2012) </w:t>
      </w:r>
      <w:r w:rsidRPr="00C755C0">
        <w:rPr>
          <w:iCs/>
        </w:rPr>
        <w:t xml:space="preserve">and emphasizing that such review would be undertaken in accordance </w:t>
      </w:r>
      <w:r w:rsidR="0077698D">
        <w:rPr>
          <w:iCs/>
        </w:rPr>
        <w:t>with</w:t>
      </w:r>
      <w:r w:rsidRPr="00C755C0">
        <w:rPr>
          <w:iCs/>
        </w:rPr>
        <w:t xml:space="preserve"> legal and technical criteria.</w:t>
      </w:r>
    </w:p>
    <w:p w14:paraId="43658741" w14:textId="3DA9DA9E" w:rsidR="00C96F0A" w:rsidRPr="003F00AF" w:rsidRDefault="004C57CD" w:rsidP="00C96F0A">
      <w:pPr>
        <w:pStyle w:val="ListParagraph"/>
        <w:numPr>
          <w:ilvl w:val="0"/>
          <w:numId w:val="34"/>
        </w:numPr>
        <w:spacing w:after="240"/>
        <w:jc w:val="both"/>
        <w:rPr>
          <w:iCs/>
        </w:rPr>
      </w:pPr>
      <w:r>
        <w:rPr>
          <w:iCs/>
        </w:rPr>
        <w:t xml:space="preserve">During the preparation of </w:t>
      </w:r>
      <w:r w:rsidR="009C1EB9" w:rsidRPr="009C1EB9">
        <w:rPr>
          <w:iCs/>
        </w:rPr>
        <w:t>the ENVDPL III, the GoP had already achieved the original target value (as approved in ENVDPL I and II) in regards to the number of inspection lanes. In July 2010, there were 29 lanes operating in Lima, 8 lanes in Callao, 5 lanes in Arequipa and 3 lanes in Trujillo (La Libertad).</w:t>
      </w:r>
      <w:r w:rsidR="00C8164E">
        <w:rPr>
          <w:iCs/>
        </w:rPr>
        <w:t xml:space="preserve"> As a consequence, </w:t>
      </w:r>
      <w:r w:rsidR="00E91D3A">
        <w:rPr>
          <w:iCs/>
        </w:rPr>
        <w:t>it was agreed to</w:t>
      </w:r>
      <w:r w:rsidR="00EC773C" w:rsidRPr="009C1EB9">
        <w:rPr>
          <w:iCs/>
        </w:rPr>
        <w:t xml:space="preserve"> refine the target value </w:t>
      </w:r>
      <w:r w:rsidR="00EC773C">
        <w:rPr>
          <w:iCs/>
        </w:rPr>
        <w:t xml:space="preserve">of Results Indicator </w:t>
      </w:r>
      <w:r w:rsidR="00ED4535">
        <w:rPr>
          <w:iCs/>
        </w:rPr>
        <w:t>9</w:t>
      </w:r>
      <w:r w:rsidR="00EC773C">
        <w:rPr>
          <w:iCs/>
        </w:rPr>
        <w:t xml:space="preserve"> </w:t>
      </w:r>
      <w:r w:rsidR="00EC773C" w:rsidRPr="009C1EB9">
        <w:rPr>
          <w:iCs/>
        </w:rPr>
        <w:t xml:space="preserve">to focus on </w:t>
      </w:r>
      <w:r w:rsidR="00C8164E">
        <w:rPr>
          <w:iCs/>
        </w:rPr>
        <w:t xml:space="preserve">(i) </w:t>
      </w:r>
      <w:r w:rsidR="00EC773C" w:rsidRPr="009C1EB9">
        <w:rPr>
          <w:iCs/>
        </w:rPr>
        <w:t xml:space="preserve">the “number of inspection and maintenance systems”, as described in the PDO Indicator, and </w:t>
      </w:r>
      <w:r w:rsidR="00C8164E">
        <w:rPr>
          <w:iCs/>
        </w:rPr>
        <w:t xml:space="preserve">(ii) </w:t>
      </w:r>
      <w:r w:rsidR="00EC773C" w:rsidRPr="009C1EB9">
        <w:rPr>
          <w:iCs/>
        </w:rPr>
        <w:t>the number of the inspected vehicles</w:t>
      </w:r>
      <w:r w:rsidR="00C8164E">
        <w:rPr>
          <w:iCs/>
        </w:rPr>
        <w:t>, which</w:t>
      </w:r>
      <w:r w:rsidR="00CF4213" w:rsidRPr="00372ABB">
        <w:rPr>
          <w:rFonts w:asciiTheme="majorBidi" w:hAnsiTheme="majorBidi" w:cstheme="majorBidi"/>
          <w:iCs/>
        </w:rPr>
        <w:t xml:space="preserve"> had not been achieved at that time.</w:t>
      </w:r>
    </w:p>
    <w:p w14:paraId="4DA3B7AB" w14:textId="0C67ECE6" w:rsidR="001D2AFB" w:rsidRPr="003F00AF" w:rsidRDefault="00C96F0A" w:rsidP="00C96F0A">
      <w:pPr>
        <w:pStyle w:val="ListParagraph"/>
        <w:numPr>
          <w:ilvl w:val="0"/>
          <w:numId w:val="34"/>
        </w:numPr>
        <w:spacing w:after="240"/>
        <w:jc w:val="both"/>
        <w:rPr>
          <w:iCs/>
        </w:rPr>
      </w:pPr>
      <w:r w:rsidRPr="003F00AF">
        <w:rPr>
          <w:iCs/>
        </w:rPr>
        <w:t>D</w:t>
      </w:r>
      <w:r w:rsidR="00372ABB" w:rsidRPr="003F00AF">
        <w:rPr>
          <w:iCs/>
        </w:rPr>
        <w:t xml:space="preserve">uring the preparation of ENVDPL II, the GoP noticed that </w:t>
      </w:r>
      <w:r w:rsidR="001D2AFB" w:rsidRPr="003F00AF">
        <w:rPr>
          <w:iCs/>
        </w:rPr>
        <w:t>a</w:t>
      </w:r>
      <w:r w:rsidR="00870896">
        <w:rPr>
          <w:iCs/>
        </w:rPr>
        <w:t xml:space="preserve"> significant </w:t>
      </w:r>
      <w:r w:rsidR="001D2AFB" w:rsidRPr="003F00AF">
        <w:rPr>
          <w:iCs/>
        </w:rPr>
        <w:t xml:space="preserve">portion of the </w:t>
      </w:r>
      <w:r w:rsidR="001D2AFB" w:rsidRPr="003F00AF">
        <w:rPr>
          <w:i/>
          <w:iCs/>
        </w:rPr>
        <w:t>anchoveta</w:t>
      </w:r>
      <w:r w:rsidR="001D2AFB" w:rsidRPr="003F00AF">
        <w:rPr>
          <w:iCs/>
        </w:rPr>
        <w:t xml:space="preserve"> fleet workers opted </w:t>
      </w:r>
      <w:r w:rsidR="0077698D">
        <w:rPr>
          <w:iCs/>
        </w:rPr>
        <w:t>to</w:t>
      </w:r>
      <w:r w:rsidR="001D2AFB" w:rsidRPr="003F00AF">
        <w:rPr>
          <w:iCs/>
        </w:rPr>
        <w:t xml:space="preserve"> receiv</w:t>
      </w:r>
      <w:r w:rsidR="0077698D">
        <w:rPr>
          <w:iCs/>
        </w:rPr>
        <w:t>e</w:t>
      </w:r>
      <w:r w:rsidR="001D2AFB" w:rsidRPr="003F00AF">
        <w:rPr>
          <w:iCs/>
        </w:rPr>
        <w:t xml:space="preserve"> the compensation envisaged in Peru’s labor legislation, kept their fishing permits, and joined a fleet rotation system – instead of leaving the sector. </w:t>
      </w:r>
      <w:r w:rsidR="00372ABB" w:rsidRPr="003F00AF">
        <w:rPr>
          <w:iCs/>
        </w:rPr>
        <w:t xml:space="preserve">The fleet rotation allowed the GoP to implement the </w:t>
      </w:r>
      <w:r w:rsidR="00372ABB" w:rsidRPr="003F00AF">
        <w:rPr>
          <w:i/>
          <w:iCs/>
        </w:rPr>
        <w:t xml:space="preserve">anchoveta </w:t>
      </w:r>
      <w:r w:rsidR="00372ABB" w:rsidRPr="003F00AF">
        <w:rPr>
          <w:iCs/>
        </w:rPr>
        <w:t>quota system with a reduced number of workers leaving the sector</w:t>
      </w:r>
      <w:r w:rsidR="002956E1" w:rsidRPr="003F00AF">
        <w:rPr>
          <w:iCs/>
        </w:rPr>
        <w:t xml:space="preserve"> and, consequently, a reduced social burden</w:t>
      </w:r>
      <w:r w:rsidR="00372ABB" w:rsidRPr="003F00AF">
        <w:rPr>
          <w:iCs/>
        </w:rPr>
        <w:t>. B</w:t>
      </w:r>
      <w:r w:rsidR="001D2AFB" w:rsidRPr="003F00AF">
        <w:rPr>
          <w:iCs/>
        </w:rPr>
        <w:t xml:space="preserve">ecause of these new circumstances, as </w:t>
      </w:r>
      <w:r w:rsidR="003A2D7F" w:rsidRPr="003F00AF">
        <w:rPr>
          <w:iCs/>
        </w:rPr>
        <w:t xml:space="preserve">PDO </w:t>
      </w:r>
      <w:r w:rsidR="001D2AFB" w:rsidRPr="003F00AF">
        <w:rPr>
          <w:iCs/>
        </w:rPr>
        <w:t xml:space="preserve">indicator </w:t>
      </w:r>
      <w:r w:rsidR="003A2D7F" w:rsidRPr="003F00AF">
        <w:rPr>
          <w:iCs/>
        </w:rPr>
        <w:t>1</w:t>
      </w:r>
      <w:r w:rsidR="00ED4535">
        <w:rPr>
          <w:iCs/>
        </w:rPr>
        <w:t>1</w:t>
      </w:r>
      <w:r w:rsidR="003A2D7F" w:rsidRPr="003F00AF">
        <w:rPr>
          <w:iCs/>
        </w:rPr>
        <w:t xml:space="preserve"> </w:t>
      </w:r>
      <w:r w:rsidR="001D2AFB" w:rsidRPr="003F00AF">
        <w:rPr>
          <w:iCs/>
        </w:rPr>
        <w:t xml:space="preserve">referred only to those workers who left the sector, the indicator target </w:t>
      </w:r>
      <w:r w:rsidR="0068410E">
        <w:rPr>
          <w:iCs/>
        </w:rPr>
        <w:t xml:space="preserve">was reduced </w:t>
      </w:r>
      <w:r w:rsidR="001D2AFB" w:rsidRPr="003F00AF">
        <w:rPr>
          <w:iCs/>
        </w:rPr>
        <w:t>upon approval of the ENVDPL II.</w:t>
      </w:r>
    </w:p>
    <w:p w14:paraId="6644C514" w14:textId="77777777" w:rsidR="001D2AFB" w:rsidRPr="003F00AF" w:rsidRDefault="001D2AFB" w:rsidP="001D2AFB">
      <w:pPr>
        <w:keepNext/>
        <w:keepLines/>
        <w:spacing w:after="240"/>
        <w:rPr>
          <w:i/>
        </w:rPr>
      </w:pPr>
      <w:bookmarkStart w:id="86" w:name="_Toc448507201"/>
      <w:bookmarkStart w:id="87" w:name="_Toc448507363"/>
      <w:r w:rsidRPr="003F00AF">
        <w:rPr>
          <w:i/>
        </w:rPr>
        <w:t>1.4</w:t>
      </w:r>
      <w:r w:rsidRPr="003F00AF">
        <w:rPr>
          <w:i/>
        </w:rPr>
        <w:tab/>
        <w:t>Original Policy Areas Supported by the Program (as Approved)</w:t>
      </w:r>
      <w:bookmarkEnd w:id="86"/>
      <w:bookmarkEnd w:id="87"/>
    </w:p>
    <w:p w14:paraId="776BE1E1" w14:textId="479F16A8" w:rsidR="008E18F4" w:rsidRPr="003F00AF" w:rsidRDefault="008E18F4" w:rsidP="008E18F4">
      <w:pPr>
        <w:pStyle w:val="ListParagraph"/>
        <w:numPr>
          <w:ilvl w:val="0"/>
          <w:numId w:val="1"/>
        </w:numPr>
        <w:spacing w:after="240"/>
        <w:ind w:left="0" w:firstLine="0"/>
        <w:jc w:val="both"/>
      </w:pPr>
      <w:r w:rsidRPr="003F00AF">
        <w:rPr>
          <w:b/>
        </w:rPr>
        <w:t xml:space="preserve">The ENVDPLs responded to the GoP’s request for support in two main areas: (a) strengthening the legal and institutional framework for environmental management and (b) mainstreaming principles of sustainable development in key economic sectors. </w:t>
      </w:r>
      <w:r w:rsidRPr="003F00AF">
        <w:t>The programmatic approach provided the GoP with sustained support to implement a series of reforms in a phased approach, building on the initial achievements to further the reform agenda, under a clearly defined policy framework. The first loan (ENVDPL I</w:t>
      </w:r>
      <w:r w:rsidR="003477DF">
        <w:t>, with a DDO</w:t>
      </w:r>
      <w:r w:rsidRPr="003F00AF">
        <w:t xml:space="preserve">) focused on </w:t>
      </w:r>
      <w:r w:rsidR="00A37314">
        <w:t>enacting</w:t>
      </w:r>
      <w:r w:rsidRPr="003F00AF">
        <w:t xml:space="preserve"> laws and issu</w:t>
      </w:r>
      <w:r w:rsidR="00A37314">
        <w:t>ing</w:t>
      </w:r>
      <w:r w:rsidRPr="003F00AF">
        <w:t xml:space="preserve"> various decrees to define roles, set environmental standards, and approve regulations to improve environmental sustainability in the mining, urban transport, and fisheries sectors. The second loan (ENVDPL II) built on the previous operation and supported the development and implementation of various programs, strategies, and initiatives to strengthen environmental governance and address environmental concerns in the key sectors. The third operation (ENVDPL III) continued efforts to boost environmental sustainability and enhance capacity building and public participation.</w:t>
      </w:r>
    </w:p>
    <w:p w14:paraId="00C56DC0" w14:textId="0337064D" w:rsidR="008E18F4" w:rsidRPr="003F00AF" w:rsidRDefault="008E18F4" w:rsidP="008E18F4">
      <w:pPr>
        <w:pStyle w:val="ListParagraph"/>
        <w:numPr>
          <w:ilvl w:val="0"/>
          <w:numId w:val="1"/>
        </w:numPr>
        <w:spacing w:after="240"/>
        <w:ind w:left="0" w:firstLine="0"/>
        <w:jc w:val="both"/>
      </w:pPr>
      <w:r w:rsidRPr="003F00AF">
        <w:rPr>
          <w:b/>
        </w:rPr>
        <w:t xml:space="preserve">World Bank support of reforms to strengthen the environmental institutional and legal framework aimed to back and provide further stimuli to the efforts that the GoP had initiated to consolidate an organizational structure more capable of responding to the country’s environmental challenges. </w:t>
      </w:r>
      <w:r w:rsidRPr="003F00AF">
        <w:t xml:space="preserve">In 1994, </w:t>
      </w:r>
      <w:r w:rsidR="00D2438B" w:rsidRPr="003F00AF">
        <w:t>the</w:t>
      </w:r>
      <w:r w:rsidR="00D2438B" w:rsidRPr="003F00AF">
        <w:rPr>
          <w:spacing w:val="33"/>
        </w:rPr>
        <w:t xml:space="preserve"> </w:t>
      </w:r>
      <w:r w:rsidR="00EA059A" w:rsidRPr="003F00AF">
        <w:t xml:space="preserve">National </w:t>
      </w:r>
      <w:r w:rsidR="00EA059A">
        <w:t xml:space="preserve">Environment </w:t>
      </w:r>
      <w:r w:rsidR="00EA059A" w:rsidRPr="003F00AF">
        <w:t>Council (</w:t>
      </w:r>
      <w:r w:rsidR="00EA059A" w:rsidRPr="003F00AF">
        <w:rPr>
          <w:i/>
        </w:rPr>
        <w:t>Con</w:t>
      </w:r>
      <w:r w:rsidR="00EA059A">
        <w:rPr>
          <w:i/>
        </w:rPr>
        <w:t>s</w:t>
      </w:r>
      <w:r w:rsidR="00EA059A" w:rsidRPr="003F00AF">
        <w:rPr>
          <w:i/>
        </w:rPr>
        <w:t>ejo Nacional del Ambiente</w:t>
      </w:r>
      <w:r w:rsidR="00D2438B" w:rsidRPr="003F00AF">
        <w:t xml:space="preserve">, CONAM) </w:t>
      </w:r>
      <w:r w:rsidR="009412D2">
        <w:t xml:space="preserve">had been </w:t>
      </w:r>
      <w:r w:rsidRPr="003F00AF">
        <w:t>established as a coordinating body with a mandate to propose, manage, and evaluate national environmental policy. Nonetheless, one of CONAM’s biggest challenges was to resolve overlapping and/or ambiguous environmental mandates between Peru’s public institutions and to promote further coordination. The organizational structure that was in place faced severe limitations that hindered an efficient response to the country’s current and future environmental challenges. Those limitations stemmed mainly from (a) the absence of an integrated environmental planning system; (b) the lack of sufficient technical and management capacity; (c) weak accountability and monitoring and enforcement capabilities; and (d) insufficient financial and human resources.</w:t>
      </w:r>
    </w:p>
    <w:p w14:paraId="31101FB7" w14:textId="05C76419" w:rsidR="008E18F4" w:rsidRPr="003F00AF" w:rsidRDefault="008E18F4" w:rsidP="008E18F4">
      <w:pPr>
        <w:pStyle w:val="ListParagraph"/>
        <w:numPr>
          <w:ilvl w:val="0"/>
          <w:numId w:val="1"/>
        </w:numPr>
        <w:spacing w:after="240"/>
        <w:ind w:left="0" w:firstLine="0"/>
        <w:jc w:val="both"/>
      </w:pPr>
      <w:r w:rsidRPr="003F00AF">
        <w:rPr>
          <w:b/>
        </w:rPr>
        <w:t xml:space="preserve">Key areas where the GoP wanted to implement reforms included (a) accountability; (b) updating of ECAs; (c) environmental monitoring capacity; (d) environmental licensing; and (e) environmental enforcement. </w:t>
      </w:r>
      <w:r w:rsidRPr="003F00AF">
        <w:t xml:space="preserve">Accountability had been weak because of (a) the absence of clear responsibilities and capacities among agencies; (b) the lack of an effective voice for the poor, stemming from a lack of awareness and the absence of sound mechanisms for public participation; and (c) a diluted government commitment to remediating environmental problems. Monitoring capacity had been constrained by (a) a lack of reliable and updated ECAs and maximum permissible emission levels (MPLs); (b) missing time series data and baselines on the state of the environment and natural resources; (c) the absence of a system of results-focused indicators of environmental quality; (d) a deficient communications strategy whereby key information was not shared with decision makers (government agencies and the public in general); and (e) a lack of resources to ensure an adequate institutional presence in the field. Environmental licensing had been constrained by (a) the uneven capacity in each sector to process EIAs and issue timely environmental licenses; (b) the weak role of </w:t>
      </w:r>
      <w:r w:rsidR="00D2438B" w:rsidRPr="003F00AF">
        <w:t>the</w:t>
      </w:r>
      <w:r w:rsidR="00D2438B" w:rsidRPr="003F00AF">
        <w:rPr>
          <w:spacing w:val="4"/>
        </w:rPr>
        <w:t xml:space="preserve"> </w:t>
      </w:r>
      <w:r w:rsidR="00D2438B" w:rsidRPr="003F00AF">
        <w:t>National</w:t>
      </w:r>
      <w:r w:rsidR="00D2438B" w:rsidRPr="003F00AF">
        <w:rPr>
          <w:spacing w:val="23"/>
        </w:rPr>
        <w:t xml:space="preserve"> </w:t>
      </w:r>
      <w:r w:rsidR="00D2438B" w:rsidRPr="003F00AF">
        <w:t>Institute</w:t>
      </w:r>
      <w:r w:rsidR="00D2438B" w:rsidRPr="003F00AF">
        <w:rPr>
          <w:spacing w:val="16"/>
        </w:rPr>
        <w:t xml:space="preserve"> </w:t>
      </w:r>
      <w:r w:rsidR="00D2438B" w:rsidRPr="003F00AF">
        <w:t>of</w:t>
      </w:r>
      <w:r w:rsidR="00D2438B" w:rsidRPr="003F00AF">
        <w:rPr>
          <w:spacing w:val="-1"/>
        </w:rPr>
        <w:t xml:space="preserve"> </w:t>
      </w:r>
      <w:r w:rsidR="00D2438B" w:rsidRPr="003F00AF">
        <w:t>Natural</w:t>
      </w:r>
      <w:r w:rsidR="00D2438B" w:rsidRPr="003F00AF">
        <w:rPr>
          <w:spacing w:val="24"/>
        </w:rPr>
        <w:t xml:space="preserve"> </w:t>
      </w:r>
      <w:r w:rsidR="00D2438B" w:rsidRPr="003F00AF">
        <w:t>Resources</w:t>
      </w:r>
      <w:r w:rsidR="00D2438B" w:rsidRPr="003F00AF">
        <w:rPr>
          <w:spacing w:val="22"/>
        </w:rPr>
        <w:t xml:space="preserve"> </w:t>
      </w:r>
      <w:r w:rsidR="00D2438B" w:rsidRPr="003F00AF">
        <w:t>(</w:t>
      </w:r>
      <w:r w:rsidR="00D2438B" w:rsidRPr="003F00AF">
        <w:rPr>
          <w:rFonts w:eastAsia="+mn-ea"/>
          <w:i/>
          <w:color w:val="000000"/>
        </w:rPr>
        <w:t>Instituto Nacional de Recursos Naturales</w:t>
      </w:r>
      <w:r w:rsidR="00D2438B" w:rsidRPr="003F00AF">
        <w:t xml:space="preserve">, INRENA) </w:t>
      </w:r>
      <w:r w:rsidRPr="003F00AF">
        <w:t>and CONAM in the review process of EIAs; (c) the failure to discriminate between projects with minimal environmental impacts and those with complex environmental and social issues; and (d) the weak enforcement of EIA commitments. Enforcement had been suboptimal mostly because the enforcement power ultimately rested with the same ministries that were responsible for promoting sector investments and development, and also because quality standards needed to be defined in many areas. In addition, there was a lack of efforts to link monitoring data with contingency pla</w:t>
      </w:r>
      <w:r w:rsidR="00D2438B" w:rsidRPr="003F00AF">
        <w:t>nning and enforcement.</w:t>
      </w:r>
    </w:p>
    <w:p w14:paraId="529D7577" w14:textId="2B210028" w:rsidR="008E18F4" w:rsidRPr="003F00AF" w:rsidRDefault="008E18F4" w:rsidP="008E18F4">
      <w:pPr>
        <w:pStyle w:val="ListParagraph"/>
        <w:numPr>
          <w:ilvl w:val="0"/>
          <w:numId w:val="1"/>
        </w:numPr>
        <w:spacing w:after="240"/>
        <w:ind w:left="0" w:firstLine="0"/>
        <w:jc w:val="both"/>
      </w:pPr>
      <w:r w:rsidRPr="003F00AF">
        <w:rPr>
          <w:b/>
        </w:rPr>
        <w:t>The absence of a formal mechanism for environmental priority setting had been associated with inadequate funding for the environmental sector and reductions in the national government’s total environmental expenditure.</w:t>
      </w:r>
      <w:r w:rsidRPr="003F00AF">
        <w:t xml:space="preserve"> For instance, between 1999 and 2005, annual environmental expenditure averaged around 0.01 percent of the gross domestic product and was low by international standards, particularly when compared to other countries in the region.</w:t>
      </w:r>
      <w:r w:rsidRPr="003F00AF">
        <w:rPr>
          <w:rStyle w:val="FootnoteReference"/>
        </w:rPr>
        <w:footnoteReference w:id="4"/>
      </w:r>
      <w:r w:rsidRPr="003F00AF">
        <w:t xml:space="preserve"> Peru’s declining budget allocations for the environmental sector had taken place within a favorable economic context and could therefore indicate a relative loss of importance of the environmental agenda relative to other social concerns. </w:t>
      </w:r>
    </w:p>
    <w:p w14:paraId="7DB02E3B" w14:textId="599C2BDE" w:rsidR="008E18F4" w:rsidRPr="003F00AF" w:rsidRDefault="008E18F4" w:rsidP="008E18F4">
      <w:pPr>
        <w:pStyle w:val="ListParagraph"/>
        <w:numPr>
          <w:ilvl w:val="0"/>
          <w:numId w:val="1"/>
        </w:numPr>
        <w:spacing w:after="240"/>
        <w:ind w:left="0" w:firstLine="0"/>
        <w:jc w:val="both"/>
        <w:rPr>
          <w:sz w:val="22"/>
          <w:szCs w:val="22"/>
        </w:rPr>
      </w:pPr>
      <w:r w:rsidRPr="003F00AF">
        <w:rPr>
          <w:b/>
        </w:rPr>
        <w:t xml:space="preserve">The selection of policy areas supported by the program was based on the GoP’s commitment, broad stakeholder consultations, and rigorous analytical work. </w:t>
      </w:r>
      <w:r w:rsidRPr="003F00AF">
        <w:t>Efforts to mainstream principles of sustainable development in key economic sectors focused on mining, fisheries, and urban transport and energy sectors. The selection of these sectors was based on World Bank analytical work</w:t>
      </w:r>
      <w:r w:rsidR="00490E21">
        <w:rPr>
          <w:rStyle w:val="FootnoteReference"/>
        </w:rPr>
        <w:footnoteReference w:id="5"/>
      </w:r>
      <w:r w:rsidRPr="003F00AF">
        <w:t xml:space="preserve"> and a comprehensive series of consultations </w:t>
      </w:r>
      <w:r w:rsidR="00C96F0A" w:rsidRPr="003F00AF">
        <w:t xml:space="preserve">with stakeholders </w:t>
      </w:r>
      <w:r w:rsidRPr="003F00AF">
        <w:t>led by the Ministry of Economy and Finance (</w:t>
      </w:r>
      <w:r w:rsidRPr="003F00AF">
        <w:rPr>
          <w:rFonts w:eastAsia="+mn-ea"/>
          <w:i/>
          <w:color w:val="000000"/>
        </w:rPr>
        <w:t>Ministerio de Economía y Finanzas</w:t>
      </w:r>
      <w:r w:rsidRPr="003F00AF">
        <w:rPr>
          <w:rFonts w:eastAsia="+mn-ea"/>
          <w:color w:val="000000"/>
        </w:rPr>
        <w:t xml:space="preserve">, </w:t>
      </w:r>
      <w:r w:rsidRPr="003F00AF">
        <w:t>MEF), with the outputs and active participation of various government agencies and consultations with other donors. Other factors that influenced the selection of sectors were the existence of supplementary support from other loans/grants</w:t>
      </w:r>
      <w:r w:rsidRPr="003F00AF">
        <w:rPr>
          <w:rStyle w:val="FootnoteReference"/>
        </w:rPr>
        <w:footnoteReference w:id="6"/>
      </w:r>
      <w:r w:rsidRPr="003F00AF">
        <w:t xml:space="preserve"> and the level of sectoral</w:t>
      </w:r>
      <w:r w:rsidRPr="003F00AF">
        <w:rPr>
          <w:w w:val="96"/>
        </w:rPr>
        <w:t xml:space="preserve"> </w:t>
      </w:r>
      <w:r w:rsidRPr="003F00AF">
        <w:t>support and commitment. Consultations with the mining sector stakeholders started under the framework of the ‘Environmental and Social Dimensions of the Mining Sector in Peru’ (2005) report. Seminars were held for specific groups of stakeholders, such as nongovernmental organizations (NGOs), the private sector, and indigenous communities, to incorporate their views into the report. Similarly, the CEA was prepared through an open participatory process. An initiation workshop built consensus on the importance, scope, and methodologies of the analysis. The CEA’s preliminary findings were presented in the Sixth Ecodialogue.</w:t>
      </w:r>
      <w:r w:rsidR="00995AC5">
        <w:rPr>
          <w:rStyle w:val="FootnoteReference"/>
        </w:rPr>
        <w:footnoteReference w:id="7"/>
      </w:r>
      <w:r w:rsidRPr="003F00AF">
        <w:t xml:space="preserve"> The findings and recommendations were disseminated in a workshop held in Lima in June 2007. A broad range of stakeholders participated in these workshops, including representatives of several government agencies (such as environment, health, finance, agriculture, energy, and mines), regional environmental authorities, business organizations, NGOs, indigenous communities, and development agencies.</w:t>
      </w:r>
    </w:p>
    <w:p w14:paraId="6AEA876A" w14:textId="6EA0817F" w:rsidR="008E18F4" w:rsidRPr="003F00AF" w:rsidRDefault="008E18F4" w:rsidP="008E18F4">
      <w:pPr>
        <w:pStyle w:val="ListParagraph"/>
        <w:numPr>
          <w:ilvl w:val="0"/>
          <w:numId w:val="1"/>
        </w:numPr>
        <w:spacing w:after="240"/>
        <w:ind w:left="0" w:firstLine="0"/>
        <w:jc w:val="both"/>
        <w:rPr>
          <w:sz w:val="22"/>
          <w:szCs w:val="22"/>
        </w:rPr>
      </w:pPr>
      <w:r w:rsidRPr="003F00AF">
        <w:rPr>
          <w:b/>
          <w:bCs/>
        </w:rPr>
        <w:t xml:space="preserve">Policy reforms in the mining sector were needed to address both the environmental and social impacts of past mining operations and to account for those </w:t>
      </w:r>
      <w:r w:rsidR="00916F9F">
        <w:rPr>
          <w:b/>
          <w:bCs/>
        </w:rPr>
        <w:t xml:space="preserve">impacts </w:t>
      </w:r>
      <w:r w:rsidRPr="003F00AF">
        <w:rPr>
          <w:b/>
          <w:bCs/>
        </w:rPr>
        <w:t xml:space="preserve">of new activities. </w:t>
      </w:r>
      <w:r w:rsidRPr="003F00AF">
        <w:t>Under Law No. 28271</w:t>
      </w:r>
      <w:r w:rsidR="00EE38B6">
        <w:t>/2004</w:t>
      </w:r>
      <w:r w:rsidRPr="003F00AF">
        <w:t xml:space="preserve">, the GoP </w:t>
      </w:r>
      <w:r w:rsidR="00EE38B6">
        <w:t>was</w:t>
      </w:r>
      <w:r w:rsidRPr="003F00AF">
        <w:t xml:space="preserve"> responsible for cleaning up and rehabilitating abandoned (orphan) mining sit</w:t>
      </w:r>
      <w:r w:rsidR="00CF11AF">
        <w:t xml:space="preserve">es and their legacies. Although </w:t>
      </w:r>
      <w:r w:rsidRPr="003F00AF">
        <w:t>MELs</w:t>
      </w:r>
      <w:r w:rsidR="00CF11AF">
        <w:rPr>
          <w:rStyle w:val="FootnoteReference"/>
        </w:rPr>
        <w:footnoteReference w:id="8"/>
      </w:r>
      <w:r w:rsidRPr="003F00AF">
        <w:t xml:space="preserve"> impacts have been well known at least for several decades, it was not until the second half of</w:t>
      </w:r>
      <w:r w:rsidRPr="003F00AF">
        <w:rPr>
          <w:w w:val="95"/>
        </w:rPr>
        <w:t xml:space="preserve"> </w:t>
      </w:r>
      <w:r w:rsidRPr="003F00AF">
        <w:t>the 1990s that the government attempted to categorize, prioritize, appraise, and map them under the Environmental Legacies Elimination (</w:t>
      </w:r>
      <w:r w:rsidRPr="003F00AF">
        <w:rPr>
          <w:i/>
          <w:color w:val="000000"/>
        </w:rPr>
        <w:t>Eliminación de Pasivos Ambientales</w:t>
      </w:r>
      <w:r w:rsidRPr="003F00AF">
        <w:t xml:space="preserve">) Project. In 2003, the </w:t>
      </w:r>
      <w:r w:rsidR="0045175E" w:rsidRPr="003F00AF">
        <w:t>p</w:t>
      </w:r>
      <w:r w:rsidRPr="003F00AF">
        <w:t>roject resulted in a preliminary inventory of 610 MELs</w:t>
      </w:r>
      <w:r w:rsidRPr="003F00AF">
        <w:rPr>
          <w:w w:val="99"/>
        </w:rPr>
        <w:t xml:space="preserve"> </w:t>
      </w:r>
      <w:r w:rsidRPr="003F00AF">
        <w:t>and reported that nearly 72 percent of them involved legitimate mining rights (that is, an identifiable</w:t>
      </w:r>
      <w:r w:rsidRPr="003F00AF">
        <w:rPr>
          <w:w w:val="102"/>
        </w:rPr>
        <w:t xml:space="preserve"> </w:t>
      </w:r>
      <w:r w:rsidRPr="003F00AF">
        <w:t>concession/owner), whereas 28 percent had neither a right nor identifiable owners (orphan).</w:t>
      </w:r>
      <w:r w:rsidRPr="003F00AF">
        <w:rPr>
          <w:w w:val="103"/>
        </w:rPr>
        <w:t xml:space="preserve"> </w:t>
      </w:r>
      <w:r w:rsidRPr="003F00AF">
        <w:t>According to a study carried out by the National Environmental Fund (</w:t>
      </w:r>
      <w:r w:rsidRPr="003F00AF">
        <w:rPr>
          <w:i/>
          <w:color w:val="000000"/>
        </w:rPr>
        <w:t>Fondo Nacional del Ambiente</w:t>
      </w:r>
      <w:r w:rsidRPr="003F00AF">
        <w:rPr>
          <w:color w:val="000000"/>
        </w:rPr>
        <w:t xml:space="preserve">, </w:t>
      </w:r>
      <w:r w:rsidRPr="003F00AF">
        <w:t>FONAM) in 2006, the inventory comprised 850 MELs, but was considered to be invalid by experts because of a</w:t>
      </w:r>
      <w:r w:rsidRPr="003F00AF">
        <w:rPr>
          <w:w w:val="104"/>
        </w:rPr>
        <w:t xml:space="preserve"> </w:t>
      </w:r>
      <w:r w:rsidRPr="003F00AF">
        <w:t>questionable MEL assessment methodology. Subsequent</w:t>
      </w:r>
      <w:r w:rsidRPr="003F00AF">
        <w:rPr>
          <w:w w:val="102"/>
        </w:rPr>
        <w:t xml:space="preserve"> </w:t>
      </w:r>
      <w:r w:rsidRPr="003F00AF">
        <w:t>efforts were undertaken to support MELs identification and remediation such as the Peru-Canada Cooperation Program</w:t>
      </w:r>
      <w:r w:rsidRPr="003F00AF">
        <w:rPr>
          <w:i/>
        </w:rPr>
        <w:t xml:space="preserve"> </w:t>
      </w:r>
      <w:r w:rsidRPr="003F00AF">
        <w:t>(PERCAN)</w:t>
      </w:r>
      <w:r w:rsidRPr="003F00AF">
        <w:rPr>
          <w:i/>
        </w:rPr>
        <w:t xml:space="preserve">, </w:t>
      </w:r>
      <w:r w:rsidRPr="003F00AF">
        <w:t>which developed a methodology to assess</w:t>
      </w:r>
      <w:r w:rsidRPr="003F00AF">
        <w:rPr>
          <w:w w:val="101"/>
        </w:rPr>
        <w:t xml:space="preserve"> </w:t>
      </w:r>
      <w:r w:rsidRPr="003F00AF">
        <w:t>priority MELs in key watersheds, thus contributing to the updating of a MEL inventory built on environmental and health impacts. The GoP also recognized its need to develop a</w:t>
      </w:r>
      <w:r w:rsidRPr="003F00AF">
        <w:rPr>
          <w:w w:val="99"/>
        </w:rPr>
        <w:t xml:space="preserve"> </w:t>
      </w:r>
      <w:r w:rsidRPr="003F00AF">
        <w:t>systematized database of MELs to help identify priority legacies, hence improving the actions</w:t>
      </w:r>
      <w:r w:rsidRPr="003F00AF">
        <w:rPr>
          <w:w w:val="101"/>
        </w:rPr>
        <w:t xml:space="preserve"> </w:t>
      </w:r>
      <w:r w:rsidRPr="003F00AF">
        <w:t>toward remediation.</w:t>
      </w:r>
    </w:p>
    <w:p w14:paraId="4259E29F" w14:textId="6BAA6B3B" w:rsidR="008E18F4" w:rsidRPr="003F00AF" w:rsidRDefault="008E18F4" w:rsidP="008E18F4">
      <w:pPr>
        <w:pStyle w:val="ListParagraph"/>
        <w:numPr>
          <w:ilvl w:val="0"/>
          <w:numId w:val="1"/>
        </w:numPr>
        <w:spacing w:after="240"/>
        <w:ind w:left="0" w:firstLine="0"/>
        <w:jc w:val="both"/>
      </w:pPr>
      <w:r w:rsidRPr="003F00AF">
        <w:rPr>
          <w:b/>
          <w:bCs/>
        </w:rPr>
        <w:t xml:space="preserve">High levels of particulate matter and other air pollutants were the main contributors to poor air quality and consequent health problems in Peru’s cities. </w:t>
      </w:r>
      <w:r w:rsidRPr="003F00AF">
        <w:rPr>
          <w:bCs/>
        </w:rPr>
        <w:t>The CEA found that u</w:t>
      </w:r>
      <w:r w:rsidRPr="003F00AF">
        <w:t>rban air pollution was most</w:t>
      </w:r>
      <w:r w:rsidRPr="003F00AF">
        <w:rPr>
          <w:w w:val="99"/>
        </w:rPr>
        <w:t xml:space="preserve"> </w:t>
      </w:r>
      <w:r w:rsidRPr="003F00AF">
        <w:t>critical in the country’s industrial corridors, such as Lima-Callao, and was responsible for an</w:t>
      </w:r>
      <w:r w:rsidRPr="003F00AF">
        <w:rPr>
          <w:w w:val="99"/>
        </w:rPr>
        <w:t xml:space="preserve"> </w:t>
      </w:r>
      <w:r w:rsidRPr="003F00AF">
        <w:t>estimated 3,900 premature deaths per year. Several reports showed that vehicles contributed the</w:t>
      </w:r>
      <w:r w:rsidRPr="003F00AF">
        <w:rPr>
          <w:w w:val="99"/>
        </w:rPr>
        <w:t xml:space="preserve"> </w:t>
      </w:r>
      <w:r w:rsidRPr="003F00AF">
        <w:t>dominant part of urban air pollution in Arequipa (76 percent) and Lima-Callao (70 percent), the two largest cities in Peru. To address this growing concern, the GoP took several steps, including the issuance of regulations in 2001, for National Environmental Standards for Air Quality for sulfur dioxide</w:t>
      </w:r>
      <w:r w:rsidRPr="003F00AF">
        <w:rPr>
          <w:w w:val="99"/>
        </w:rPr>
        <w:t xml:space="preserve"> </w:t>
      </w:r>
      <w:r w:rsidRPr="003F00AF">
        <w:t>(SO</w:t>
      </w:r>
      <w:r w:rsidRPr="003F00AF">
        <w:rPr>
          <w:vertAlign w:val="subscript"/>
        </w:rPr>
        <w:t>2</w:t>
      </w:r>
      <w:r w:rsidRPr="003F00AF">
        <w:t>), particulate matter (PM</w:t>
      </w:r>
      <w:r w:rsidRPr="003F00AF">
        <w:rPr>
          <w:vertAlign w:val="subscript"/>
        </w:rPr>
        <w:t>10</w:t>
      </w:r>
      <w:r w:rsidRPr="003F00AF">
        <w:t>), carbon monoxide (CO), nitrogen dioxide (NO</w:t>
      </w:r>
      <w:r w:rsidRPr="003F00AF">
        <w:rPr>
          <w:vertAlign w:val="subscript"/>
        </w:rPr>
        <w:t>2</w:t>
      </w:r>
      <w:r w:rsidRPr="003F00AF">
        <w:t>), and ozone</w:t>
      </w:r>
      <w:r w:rsidRPr="003F00AF">
        <w:rPr>
          <w:w w:val="99"/>
        </w:rPr>
        <w:t xml:space="preserve"> </w:t>
      </w:r>
      <w:r w:rsidRPr="003F00AF">
        <w:t>(O</w:t>
      </w:r>
      <w:r w:rsidRPr="003F00AF">
        <w:rPr>
          <w:vertAlign w:val="subscript"/>
        </w:rPr>
        <w:t>3</w:t>
      </w:r>
      <w:r w:rsidRPr="003F00AF">
        <w:t>). However, the GoP was interested in developing a more comprehensive agenda to address the severe costs of outdoor air pollution, including through actions aiming to (a)</w:t>
      </w:r>
      <w:r w:rsidRPr="003F00AF">
        <w:rPr>
          <w:i/>
        </w:rPr>
        <w:t xml:space="preserve"> </w:t>
      </w:r>
      <w:r w:rsidRPr="003F00AF">
        <w:t>promote replacement of existing diesel with</w:t>
      </w:r>
      <w:r w:rsidRPr="003F00AF">
        <w:rPr>
          <w:w w:val="99"/>
        </w:rPr>
        <w:t xml:space="preserve"> </w:t>
      </w:r>
      <w:r w:rsidRPr="003F00AF">
        <w:t>an option with lower sulfur content; (b) implement a vehicle scrappage program to replace older, polluting vehicles with newer, natural gas vehicles; (c) promote the conversion of vehicles to natural gas through technological and financial measures; and (d) implement vehicle inspection and maintenance programs.</w:t>
      </w:r>
    </w:p>
    <w:p w14:paraId="4DFAB4F5" w14:textId="612916C2" w:rsidR="008E18F4" w:rsidRPr="003F00AF" w:rsidRDefault="008E18F4" w:rsidP="00C24B97">
      <w:pPr>
        <w:pStyle w:val="ListParagraph"/>
        <w:numPr>
          <w:ilvl w:val="0"/>
          <w:numId w:val="1"/>
        </w:numPr>
        <w:spacing w:after="240"/>
        <w:ind w:left="0" w:firstLine="0"/>
        <w:jc w:val="both"/>
      </w:pPr>
      <w:r w:rsidRPr="003F00AF">
        <w:rPr>
          <w:b/>
        </w:rPr>
        <w:t>Peru’s</w:t>
      </w:r>
      <w:r w:rsidRPr="003F00AF">
        <w:rPr>
          <w:b/>
          <w:spacing w:val="46"/>
        </w:rPr>
        <w:t xml:space="preserve"> </w:t>
      </w:r>
      <w:r w:rsidRPr="003F00AF">
        <w:rPr>
          <w:b/>
        </w:rPr>
        <w:t>fishing</w:t>
      </w:r>
      <w:r w:rsidRPr="003F00AF">
        <w:rPr>
          <w:b/>
          <w:spacing w:val="45"/>
        </w:rPr>
        <w:t xml:space="preserve"> </w:t>
      </w:r>
      <w:r w:rsidRPr="003F00AF">
        <w:rPr>
          <w:b/>
        </w:rPr>
        <w:t>grounds</w:t>
      </w:r>
      <w:r w:rsidRPr="003F00AF">
        <w:rPr>
          <w:b/>
          <w:spacing w:val="50"/>
        </w:rPr>
        <w:t xml:space="preserve"> </w:t>
      </w:r>
      <w:r w:rsidRPr="003F00AF">
        <w:rPr>
          <w:b/>
        </w:rPr>
        <w:t>are</w:t>
      </w:r>
      <w:r w:rsidRPr="003F00AF">
        <w:rPr>
          <w:b/>
          <w:spacing w:val="34"/>
        </w:rPr>
        <w:t xml:space="preserve"> </w:t>
      </w:r>
      <w:r w:rsidRPr="003F00AF">
        <w:rPr>
          <w:b/>
        </w:rPr>
        <w:t>the</w:t>
      </w:r>
      <w:r w:rsidRPr="003F00AF">
        <w:rPr>
          <w:b/>
          <w:spacing w:val="43"/>
        </w:rPr>
        <w:t xml:space="preserve"> </w:t>
      </w:r>
      <w:r w:rsidRPr="003F00AF">
        <w:rPr>
          <w:b/>
        </w:rPr>
        <w:t>richest</w:t>
      </w:r>
      <w:r w:rsidRPr="003F00AF">
        <w:rPr>
          <w:b/>
          <w:spacing w:val="45"/>
        </w:rPr>
        <w:t xml:space="preserve"> </w:t>
      </w:r>
      <w:r w:rsidRPr="003F00AF">
        <w:rPr>
          <w:b/>
        </w:rPr>
        <w:t>in</w:t>
      </w:r>
      <w:r w:rsidRPr="003F00AF">
        <w:rPr>
          <w:b/>
          <w:spacing w:val="46"/>
        </w:rPr>
        <w:t xml:space="preserve"> </w:t>
      </w:r>
      <w:r w:rsidRPr="003F00AF">
        <w:rPr>
          <w:b/>
        </w:rPr>
        <w:t>the</w:t>
      </w:r>
      <w:r w:rsidRPr="003F00AF">
        <w:rPr>
          <w:b/>
          <w:spacing w:val="36"/>
        </w:rPr>
        <w:t xml:space="preserve"> </w:t>
      </w:r>
      <w:r w:rsidRPr="003F00AF">
        <w:rPr>
          <w:b/>
        </w:rPr>
        <w:t>world</w:t>
      </w:r>
      <w:r w:rsidRPr="003F00AF">
        <w:rPr>
          <w:b/>
          <w:spacing w:val="51"/>
        </w:rPr>
        <w:t xml:space="preserve"> </w:t>
      </w:r>
      <w:r w:rsidRPr="003F00AF">
        <w:rPr>
          <w:b/>
        </w:rPr>
        <w:t>and</w:t>
      </w:r>
      <w:r w:rsidRPr="003F00AF">
        <w:rPr>
          <w:b/>
          <w:spacing w:val="47"/>
        </w:rPr>
        <w:t xml:space="preserve"> </w:t>
      </w:r>
      <w:r w:rsidRPr="003F00AF">
        <w:rPr>
          <w:b/>
          <w:i/>
        </w:rPr>
        <w:t>anchoveta</w:t>
      </w:r>
      <w:r w:rsidRPr="003F00AF">
        <w:rPr>
          <w:b/>
          <w:spacing w:val="49"/>
        </w:rPr>
        <w:t xml:space="preserve"> </w:t>
      </w:r>
      <w:r w:rsidRPr="003F00AF">
        <w:rPr>
          <w:b/>
        </w:rPr>
        <w:t>remains</w:t>
      </w:r>
      <w:r w:rsidRPr="003F00AF">
        <w:rPr>
          <w:b/>
          <w:spacing w:val="39"/>
        </w:rPr>
        <w:t xml:space="preserve"> </w:t>
      </w:r>
      <w:r w:rsidRPr="003F00AF">
        <w:rPr>
          <w:b/>
        </w:rPr>
        <w:t>the world’s</w:t>
      </w:r>
      <w:r w:rsidRPr="003F00AF">
        <w:rPr>
          <w:b/>
          <w:spacing w:val="29"/>
        </w:rPr>
        <w:t xml:space="preserve"> </w:t>
      </w:r>
      <w:r w:rsidRPr="003F00AF">
        <w:rPr>
          <w:b/>
        </w:rPr>
        <w:t>largest</w:t>
      </w:r>
      <w:r w:rsidRPr="003F00AF">
        <w:rPr>
          <w:b/>
          <w:spacing w:val="19"/>
        </w:rPr>
        <w:t xml:space="preserve"> </w:t>
      </w:r>
      <w:r w:rsidRPr="003F00AF">
        <w:rPr>
          <w:b/>
        </w:rPr>
        <w:t>single</w:t>
      </w:r>
      <w:r w:rsidRPr="003F00AF">
        <w:rPr>
          <w:b/>
          <w:spacing w:val="15"/>
        </w:rPr>
        <w:t xml:space="preserve"> </w:t>
      </w:r>
      <w:r w:rsidRPr="003F00AF">
        <w:rPr>
          <w:b/>
        </w:rPr>
        <w:t>stock</w:t>
      </w:r>
      <w:r w:rsidRPr="003F00AF">
        <w:rPr>
          <w:b/>
          <w:spacing w:val="16"/>
        </w:rPr>
        <w:t xml:space="preserve"> </w:t>
      </w:r>
      <w:r w:rsidRPr="003F00AF">
        <w:rPr>
          <w:b/>
        </w:rPr>
        <w:t>fishery.</w:t>
      </w:r>
      <w:r w:rsidRPr="003F00AF">
        <w:rPr>
          <w:b/>
          <w:spacing w:val="21"/>
        </w:rPr>
        <w:t xml:space="preserve"> </w:t>
      </w:r>
      <w:r w:rsidRPr="003F00AF">
        <w:t>Over</w:t>
      </w:r>
      <w:r w:rsidRPr="003F00AF">
        <w:rPr>
          <w:spacing w:val="12"/>
        </w:rPr>
        <w:t xml:space="preserve"> </w:t>
      </w:r>
      <w:r w:rsidRPr="003F00AF">
        <w:t>300</w:t>
      </w:r>
      <w:r w:rsidRPr="003F00AF">
        <w:rPr>
          <w:spacing w:val="18"/>
        </w:rPr>
        <w:t xml:space="preserve"> </w:t>
      </w:r>
      <w:r w:rsidRPr="003F00AF">
        <w:t>million</w:t>
      </w:r>
      <w:r w:rsidR="00DD4873">
        <w:t xml:space="preserve"> metric tons (</w:t>
      </w:r>
      <w:r w:rsidRPr="003F00AF">
        <w:t>MT</w:t>
      </w:r>
      <w:r w:rsidR="00DD4873">
        <w:t>)</w:t>
      </w:r>
      <w:r w:rsidRPr="003F00AF">
        <w:rPr>
          <w:spacing w:val="15"/>
        </w:rPr>
        <w:t xml:space="preserve"> </w:t>
      </w:r>
      <w:r w:rsidRPr="003F00AF">
        <w:t>of</w:t>
      </w:r>
      <w:r w:rsidRPr="003F00AF">
        <w:rPr>
          <w:spacing w:val="10"/>
        </w:rPr>
        <w:t xml:space="preserve"> </w:t>
      </w:r>
      <w:r w:rsidRPr="003F00AF">
        <w:t>fish</w:t>
      </w:r>
      <w:r w:rsidRPr="003F00AF">
        <w:rPr>
          <w:spacing w:val="19"/>
        </w:rPr>
        <w:t xml:space="preserve"> </w:t>
      </w:r>
      <w:r w:rsidRPr="003F00AF">
        <w:t>have</w:t>
      </w:r>
      <w:r w:rsidRPr="003F00AF">
        <w:rPr>
          <w:spacing w:val="18"/>
        </w:rPr>
        <w:t xml:space="preserve"> </w:t>
      </w:r>
      <w:r w:rsidRPr="003F00AF">
        <w:t>been harvested</w:t>
      </w:r>
      <w:r w:rsidRPr="003F00AF">
        <w:rPr>
          <w:spacing w:val="24"/>
        </w:rPr>
        <w:t xml:space="preserve"> </w:t>
      </w:r>
      <w:r w:rsidRPr="003F00AF">
        <w:t>from</w:t>
      </w:r>
      <w:r w:rsidRPr="003F00AF">
        <w:rPr>
          <w:spacing w:val="22"/>
        </w:rPr>
        <w:t xml:space="preserve"> </w:t>
      </w:r>
      <w:r w:rsidRPr="003F00AF">
        <w:t>Peruvian</w:t>
      </w:r>
      <w:r w:rsidRPr="003F00AF">
        <w:rPr>
          <w:spacing w:val="17"/>
        </w:rPr>
        <w:t xml:space="preserve"> </w:t>
      </w:r>
      <w:r w:rsidRPr="003F00AF">
        <w:t>waters</w:t>
      </w:r>
      <w:r w:rsidRPr="003F00AF">
        <w:rPr>
          <w:spacing w:val="24"/>
        </w:rPr>
        <w:t xml:space="preserve"> </w:t>
      </w:r>
      <w:r w:rsidRPr="003F00AF">
        <w:t>during</w:t>
      </w:r>
      <w:r w:rsidRPr="003F00AF">
        <w:rPr>
          <w:spacing w:val="18"/>
        </w:rPr>
        <w:t xml:space="preserve"> </w:t>
      </w:r>
      <w:r w:rsidRPr="003F00AF">
        <w:t>the</w:t>
      </w:r>
      <w:r w:rsidRPr="003F00AF">
        <w:rPr>
          <w:spacing w:val="19"/>
        </w:rPr>
        <w:t xml:space="preserve"> </w:t>
      </w:r>
      <w:r w:rsidRPr="003F00AF">
        <w:t>almost</w:t>
      </w:r>
      <w:r w:rsidRPr="003F00AF">
        <w:rPr>
          <w:spacing w:val="17"/>
        </w:rPr>
        <w:t xml:space="preserve"> </w:t>
      </w:r>
      <w:r w:rsidRPr="003F00AF">
        <w:t>50</w:t>
      </w:r>
      <w:r w:rsidRPr="003F00AF">
        <w:rPr>
          <w:spacing w:val="8"/>
        </w:rPr>
        <w:t xml:space="preserve"> </w:t>
      </w:r>
      <w:r w:rsidRPr="003F00AF">
        <w:t>years</w:t>
      </w:r>
      <w:r w:rsidRPr="003F00AF">
        <w:rPr>
          <w:spacing w:val="23"/>
        </w:rPr>
        <w:t xml:space="preserve"> </w:t>
      </w:r>
      <w:r w:rsidRPr="003F00AF">
        <w:t>of</w:t>
      </w:r>
      <w:r w:rsidRPr="003F00AF">
        <w:rPr>
          <w:spacing w:val="8"/>
        </w:rPr>
        <w:t xml:space="preserve"> </w:t>
      </w:r>
      <w:r w:rsidRPr="003F00AF">
        <w:t>commercial</w:t>
      </w:r>
      <w:r w:rsidRPr="003F00AF">
        <w:rPr>
          <w:spacing w:val="27"/>
        </w:rPr>
        <w:t xml:space="preserve"> </w:t>
      </w:r>
      <w:r w:rsidRPr="003F00AF">
        <w:t>fishing. However, the</w:t>
      </w:r>
      <w:r w:rsidRPr="003F00AF">
        <w:rPr>
          <w:spacing w:val="-13"/>
        </w:rPr>
        <w:t xml:space="preserve"> </w:t>
      </w:r>
      <w:r w:rsidRPr="003F00AF">
        <w:t>sustainability</w:t>
      </w:r>
      <w:r w:rsidRPr="003F00AF">
        <w:rPr>
          <w:spacing w:val="1"/>
        </w:rPr>
        <w:t xml:space="preserve"> </w:t>
      </w:r>
      <w:r w:rsidRPr="003F00AF">
        <w:t>of</w:t>
      </w:r>
      <w:r w:rsidRPr="003F00AF">
        <w:rPr>
          <w:spacing w:val="-12"/>
        </w:rPr>
        <w:t xml:space="preserve"> </w:t>
      </w:r>
      <w:r w:rsidRPr="003F00AF">
        <w:t>Peru’s</w:t>
      </w:r>
      <w:r w:rsidRPr="003F00AF">
        <w:rPr>
          <w:spacing w:val="-5"/>
        </w:rPr>
        <w:t xml:space="preserve"> </w:t>
      </w:r>
      <w:r w:rsidRPr="003F00AF">
        <w:t>fisheries</w:t>
      </w:r>
      <w:r w:rsidRPr="003F00AF">
        <w:rPr>
          <w:spacing w:val="-2"/>
        </w:rPr>
        <w:t xml:space="preserve"> </w:t>
      </w:r>
      <w:r w:rsidRPr="003F00AF">
        <w:t>was</w:t>
      </w:r>
      <w:r w:rsidRPr="003F00AF">
        <w:rPr>
          <w:spacing w:val="-11"/>
        </w:rPr>
        <w:t xml:space="preserve"> </w:t>
      </w:r>
      <w:r w:rsidRPr="003F00AF">
        <w:t>critically</w:t>
      </w:r>
      <w:r w:rsidRPr="003F00AF">
        <w:rPr>
          <w:spacing w:val="-3"/>
        </w:rPr>
        <w:t xml:space="preserve"> </w:t>
      </w:r>
      <w:r w:rsidRPr="003F00AF">
        <w:t>threatened</w:t>
      </w:r>
      <w:r w:rsidRPr="003F00AF">
        <w:rPr>
          <w:spacing w:val="8"/>
        </w:rPr>
        <w:t xml:space="preserve"> </w:t>
      </w:r>
      <w:r w:rsidRPr="003F00AF">
        <w:t>by</w:t>
      </w:r>
      <w:r w:rsidRPr="003F00AF">
        <w:rPr>
          <w:spacing w:val="-12"/>
        </w:rPr>
        <w:t xml:space="preserve"> </w:t>
      </w:r>
      <w:r w:rsidRPr="003F00AF">
        <w:t>the</w:t>
      </w:r>
      <w:r w:rsidRPr="003F00AF">
        <w:rPr>
          <w:spacing w:val="-14"/>
        </w:rPr>
        <w:t xml:space="preserve"> </w:t>
      </w:r>
      <w:r w:rsidRPr="003F00AF">
        <w:t>extreme</w:t>
      </w:r>
      <w:r w:rsidRPr="003F00AF">
        <w:rPr>
          <w:spacing w:val="-1"/>
        </w:rPr>
        <w:t xml:space="preserve"> </w:t>
      </w:r>
      <w:r w:rsidRPr="003F00AF">
        <w:t>resource volatility</w:t>
      </w:r>
      <w:r w:rsidRPr="003F00AF">
        <w:rPr>
          <w:spacing w:val="29"/>
        </w:rPr>
        <w:t xml:space="preserve"> </w:t>
      </w:r>
      <w:r w:rsidRPr="003F00AF">
        <w:t>caused</w:t>
      </w:r>
      <w:r w:rsidRPr="003F00AF">
        <w:rPr>
          <w:spacing w:val="17"/>
        </w:rPr>
        <w:t xml:space="preserve"> </w:t>
      </w:r>
      <w:r w:rsidRPr="003F00AF">
        <w:t>by</w:t>
      </w:r>
      <w:r w:rsidRPr="003F00AF">
        <w:rPr>
          <w:spacing w:val="14"/>
        </w:rPr>
        <w:t xml:space="preserve"> </w:t>
      </w:r>
      <w:r w:rsidRPr="003F00AF">
        <w:t>the</w:t>
      </w:r>
      <w:r w:rsidRPr="003F00AF">
        <w:rPr>
          <w:spacing w:val="13"/>
        </w:rPr>
        <w:t xml:space="preserve"> </w:t>
      </w:r>
      <w:r w:rsidRPr="003F00AF">
        <w:t>periodic</w:t>
      </w:r>
      <w:r w:rsidRPr="003F00AF">
        <w:rPr>
          <w:spacing w:val="22"/>
        </w:rPr>
        <w:t xml:space="preserve"> </w:t>
      </w:r>
      <w:r w:rsidRPr="003F00AF">
        <w:t>occurrence</w:t>
      </w:r>
      <w:r w:rsidRPr="003F00AF">
        <w:rPr>
          <w:spacing w:val="22"/>
        </w:rPr>
        <w:t xml:space="preserve"> </w:t>
      </w:r>
      <w:r w:rsidRPr="003F00AF">
        <w:t>of</w:t>
      </w:r>
      <w:r w:rsidRPr="003F00AF">
        <w:rPr>
          <w:spacing w:val="7"/>
        </w:rPr>
        <w:t xml:space="preserve"> </w:t>
      </w:r>
      <w:r w:rsidRPr="003F00AF">
        <w:t>El</w:t>
      </w:r>
      <w:r w:rsidRPr="003F00AF">
        <w:rPr>
          <w:spacing w:val="11"/>
        </w:rPr>
        <w:t xml:space="preserve"> </w:t>
      </w:r>
      <w:r w:rsidRPr="003F00AF">
        <w:t>Nino,</w:t>
      </w:r>
      <w:r w:rsidRPr="003F00AF">
        <w:rPr>
          <w:spacing w:val="9"/>
        </w:rPr>
        <w:t xml:space="preserve"> </w:t>
      </w:r>
      <w:r w:rsidRPr="003F00AF">
        <w:t>which,</w:t>
      </w:r>
      <w:r w:rsidRPr="003F00AF">
        <w:rPr>
          <w:spacing w:val="17"/>
        </w:rPr>
        <w:t xml:space="preserve"> </w:t>
      </w:r>
      <w:r w:rsidRPr="003F00AF">
        <w:t>in</w:t>
      </w:r>
      <w:r w:rsidRPr="003F00AF">
        <w:rPr>
          <w:spacing w:val="14"/>
        </w:rPr>
        <w:t xml:space="preserve"> </w:t>
      </w:r>
      <w:r w:rsidRPr="003F00AF">
        <w:t>combination</w:t>
      </w:r>
      <w:r w:rsidRPr="003F00AF">
        <w:rPr>
          <w:spacing w:val="18"/>
        </w:rPr>
        <w:t xml:space="preserve"> </w:t>
      </w:r>
      <w:r w:rsidRPr="003F00AF">
        <w:t>with</w:t>
      </w:r>
      <w:r w:rsidRPr="003F00AF">
        <w:rPr>
          <w:spacing w:val="22"/>
        </w:rPr>
        <w:t xml:space="preserve"> </w:t>
      </w:r>
      <w:r w:rsidRPr="003F00AF">
        <w:t>huge overcapacity</w:t>
      </w:r>
      <w:r w:rsidRPr="003F00AF">
        <w:rPr>
          <w:spacing w:val="26"/>
        </w:rPr>
        <w:t xml:space="preserve"> </w:t>
      </w:r>
      <w:r w:rsidRPr="003F00AF">
        <w:t>and</w:t>
      </w:r>
      <w:r w:rsidRPr="003F00AF">
        <w:rPr>
          <w:spacing w:val="12"/>
        </w:rPr>
        <w:t xml:space="preserve"> </w:t>
      </w:r>
      <w:r w:rsidRPr="003F00AF">
        <w:t>inadequate</w:t>
      </w:r>
      <w:r w:rsidRPr="003F00AF">
        <w:rPr>
          <w:spacing w:val="20"/>
        </w:rPr>
        <w:t xml:space="preserve"> </w:t>
      </w:r>
      <w:r w:rsidRPr="003F00AF">
        <w:t>management,</w:t>
      </w:r>
      <w:r w:rsidRPr="003F00AF">
        <w:rPr>
          <w:spacing w:val="17"/>
        </w:rPr>
        <w:t xml:space="preserve"> </w:t>
      </w:r>
      <w:r w:rsidRPr="003F00AF">
        <w:t>led</w:t>
      </w:r>
      <w:r w:rsidRPr="003F00AF">
        <w:rPr>
          <w:spacing w:val="7"/>
        </w:rPr>
        <w:t xml:space="preserve"> </w:t>
      </w:r>
      <w:r w:rsidRPr="003F00AF">
        <w:t>to</w:t>
      </w:r>
      <w:r w:rsidRPr="003F00AF">
        <w:rPr>
          <w:spacing w:val="6"/>
        </w:rPr>
        <w:t xml:space="preserve"> </w:t>
      </w:r>
      <w:r w:rsidRPr="003F00AF">
        <w:t>periodic</w:t>
      </w:r>
      <w:r w:rsidRPr="003F00AF">
        <w:rPr>
          <w:spacing w:val="13"/>
        </w:rPr>
        <w:t xml:space="preserve"> </w:t>
      </w:r>
      <w:r w:rsidRPr="003F00AF">
        <w:t>collapses</w:t>
      </w:r>
      <w:r w:rsidRPr="003F00AF">
        <w:rPr>
          <w:spacing w:val="17"/>
        </w:rPr>
        <w:t xml:space="preserve"> </w:t>
      </w:r>
      <w:r w:rsidRPr="003F00AF">
        <w:t>of</w:t>
      </w:r>
      <w:r w:rsidRPr="003F00AF">
        <w:rPr>
          <w:spacing w:val="3"/>
        </w:rPr>
        <w:t xml:space="preserve"> </w:t>
      </w:r>
      <w:r w:rsidRPr="003F00AF">
        <w:t>the</w:t>
      </w:r>
      <w:r w:rsidRPr="003F00AF">
        <w:rPr>
          <w:spacing w:val="3"/>
        </w:rPr>
        <w:t xml:space="preserve"> </w:t>
      </w:r>
      <w:r w:rsidRPr="003F00AF">
        <w:t>fishery</w:t>
      </w:r>
      <w:r w:rsidRPr="003F00AF">
        <w:rPr>
          <w:spacing w:val="8"/>
        </w:rPr>
        <w:t xml:space="preserve"> </w:t>
      </w:r>
      <w:r w:rsidRPr="003F00AF">
        <w:t>stock and</w:t>
      </w:r>
      <w:r w:rsidRPr="003F00AF">
        <w:rPr>
          <w:spacing w:val="14"/>
        </w:rPr>
        <w:t xml:space="preserve"> </w:t>
      </w:r>
      <w:r w:rsidRPr="003F00AF">
        <w:t>severe</w:t>
      </w:r>
      <w:r w:rsidRPr="003F00AF">
        <w:rPr>
          <w:spacing w:val="14"/>
        </w:rPr>
        <w:t xml:space="preserve"> </w:t>
      </w:r>
      <w:r w:rsidRPr="003F00AF">
        <w:t>environmental</w:t>
      </w:r>
      <w:r w:rsidRPr="003F00AF">
        <w:rPr>
          <w:spacing w:val="29"/>
        </w:rPr>
        <w:t xml:space="preserve"> </w:t>
      </w:r>
      <w:r w:rsidRPr="003F00AF">
        <w:t>impacts.</w:t>
      </w:r>
      <w:r w:rsidRPr="003F00AF">
        <w:rPr>
          <w:spacing w:val="27"/>
        </w:rPr>
        <w:t xml:space="preserve"> </w:t>
      </w:r>
      <w:r w:rsidRPr="003F00AF">
        <w:t>The</w:t>
      </w:r>
      <w:r w:rsidR="00A564BD">
        <w:rPr>
          <w:spacing w:val="40"/>
        </w:rPr>
        <w:t xml:space="preserve"> </w:t>
      </w:r>
      <w:r w:rsidR="00490E21">
        <w:t>Bank</w:t>
      </w:r>
      <w:r w:rsidR="00C24B97">
        <w:t>’s</w:t>
      </w:r>
      <w:r w:rsidR="00490E21">
        <w:t xml:space="preserve"> analytical work, </w:t>
      </w:r>
      <w:r w:rsidR="003B57CC">
        <w:t xml:space="preserve">particularly </w:t>
      </w:r>
      <w:r w:rsidR="00490E21">
        <w:t xml:space="preserve"> the CEA, </w:t>
      </w:r>
      <w:r w:rsidRPr="003F00AF">
        <w:t>identified</w:t>
      </w:r>
      <w:r w:rsidRPr="003F00AF">
        <w:rPr>
          <w:spacing w:val="48"/>
        </w:rPr>
        <w:t xml:space="preserve"> </w:t>
      </w:r>
      <w:r w:rsidRPr="003F00AF">
        <w:t>the</w:t>
      </w:r>
      <w:r w:rsidRPr="003F00AF">
        <w:rPr>
          <w:spacing w:val="53"/>
        </w:rPr>
        <w:t xml:space="preserve"> </w:t>
      </w:r>
      <w:r w:rsidRPr="003F00AF">
        <w:t>following</w:t>
      </w:r>
      <w:r w:rsidRPr="003F00AF">
        <w:rPr>
          <w:spacing w:val="53"/>
        </w:rPr>
        <w:t xml:space="preserve"> </w:t>
      </w:r>
      <w:r w:rsidRPr="003F00AF">
        <w:t>main</w:t>
      </w:r>
      <w:r w:rsidRPr="003F00AF">
        <w:rPr>
          <w:spacing w:val="53"/>
        </w:rPr>
        <w:t xml:space="preserve"> </w:t>
      </w:r>
      <w:r w:rsidRPr="003F00AF">
        <w:t>challenges:</w:t>
      </w:r>
      <w:r w:rsidR="00991FB7" w:rsidRPr="003F00AF">
        <w:t xml:space="preserve"> (a) e</w:t>
      </w:r>
      <w:r w:rsidRPr="003F00AF">
        <w:t>nsuring the environmental sustainability of fish resources</w:t>
      </w:r>
      <w:r w:rsidR="00991FB7" w:rsidRPr="003F00AF">
        <w:t>; (b) i</w:t>
      </w:r>
      <w:r w:rsidRPr="003F00AF">
        <w:t>mproving and strengthening the governance and management of the sector</w:t>
      </w:r>
      <w:r w:rsidR="00991FB7" w:rsidRPr="003F00AF">
        <w:t>; (c) r</w:t>
      </w:r>
      <w:r w:rsidRPr="003F00AF">
        <w:t xml:space="preserve">educing the over-capacity of the fishing sector, particularly in </w:t>
      </w:r>
      <w:r w:rsidRPr="003F00AF">
        <w:rPr>
          <w:i/>
        </w:rPr>
        <w:t>anchoveta</w:t>
      </w:r>
      <w:r w:rsidRPr="003F00AF">
        <w:t xml:space="preserve"> fisheries</w:t>
      </w:r>
      <w:r w:rsidR="00991FB7" w:rsidRPr="003F00AF">
        <w:t>; (d) i</w:t>
      </w:r>
      <w:r w:rsidRPr="003F00AF">
        <w:t>mproving the social and equity issues in the industry and mitigating the social costs of restructuring, including easing the transition of fishermen and other individuals employed in the fisheries sector into other economic activities</w:t>
      </w:r>
      <w:r w:rsidR="00991FB7" w:rsidRPr="003F00AF">
        <w:t>; and (e) i</w:t>
      </w:r>
      <w:r w:rsidRPr="003F00AF">
        <w:t xml:space="preserve">ncreasing the added value of the sector, including through the development of a domestic market for direct consumption of </w:t>
      </w:r>
      <w:r w:rsidRPr="003F00AF">
        <w:rPr>
          <w:i/>
        </w:rPr>
        <w:t>anchoveta</w:t>
      </w:r>
      <w:r w:rsidRPr="003F00AF">
        <w:t>, which represents a potential protein source for segments of society threatened by malnutrition</w:t>
      </w:r>
      <w:r w:rsidR="00991FB7" w:rsidRPr="003F00AF">
        <w:t>.</w:t>
      </w:r>
    </w:p>
    <w:p w14:paraId="736C7E19" w14:textId="75C58176" w:rsidR="008E18F4" w:rsidRPr="003F00AF" w:rsidRDefault="008E18F4" w:rsidP="00170205">
      <w:pPr>
        <w:pStyle w:val="ListParagraph"/>
        <w:keepNext/>
        <w:keepLines/>
        <w:spacing w:after="240"/>
        <w:ind w:left="0"/>
        <w:rPr>
          <w:b/>
          <w:szCs w:val="22"/>
        </w:rPr>
      </w:pPr>
      <w:bookmarkStart w:id="88" w:name="T_SEC6TEXT_SEC64"/>
      <w:bookmarkStart w:id="89" w:name="_Toc448507202"/>
      <w:bookmarkStart w:id="90" w:name="_Toc448507364"/>
      <w:bookmarkEnd w:id="88"/>
      <w:r w:rsidRPr="003F00AF">
        <w:rPr>
          <w:i/>
        </w:rPr>
        <w:t>1.5</w:t>
      </w:r>
      <w:r w:rsidR="00BA4AEC" w:rsidRPr="003F00AF">
        <w:rPr>
          <w:i/>
        </w:rPr>
        <w:tab/>
      </w:r>
      <w:r w:rsidRPr="003F00AF">
        <w:rPr>
          <w:i/>
        </w:rPr>
        <w:t>Revised Policy Areas</w:t>
      </w:r>
      <w:bookmarkEnd w:id="89"/>
      <w:bookmarkEnd w:id="90"/>
      <w:r w:rsidR="00170205" w:rsidRPr="003F00AF">
        <w:rPr>
          <w:i/>
        </w:rPr>
        <w:t xml:space="preserve">. </w:t>
      </w:r>
      <w:r w:rsidRPr="003F00AF">
        <w:t>Not applicable</w:t>
      </w:r>
      <w:r w:rsidRPr="003F00AF">
        <w:rPr>
          <w:i/>
        </w:rPr>
        <w:t>.</w:t>
      </w:r>
    </w:p>
    <w:p w14:paraId="242E68E3" w14:textId="56E1162B" w:rsidR="008E18F4" w:rsidRPr="003F00AF" w:rsidRDefault="008E18F4" w:rsidP="008E18F4">
      <w:pPr>
        <w:pStyle w:val="ListParagraph"/>
        <w:keepNext/>
        <w:keepLines/>
        <w:spacing w:after="240"/>
        <w:ind w:left="0"/>
        <w:rPr>
          <w:i/>
        </w:rPr>
      </w:pPr>
      <w:r w:rsidRPr="003F00AF">
        <w:rPr>
          <w:i/>
        </w:rPr>
        <w:t>1.6</w:t>
      </w:r>
      <w:r w:rsidR="00BA4AEC" w:rsidRPr="003F00AF">
        <w:rPr>
          <w:i/>
        </w:rPr>
        <w:tab/>
      </w:r>
      <w:r w:rsidRPr="003F00AF">
        <w:rPr>
          <w:i/>
        </w:rPr>
        <w:t xml:space="preserve">Other </w:t>
      </w:r>
      <w:r w:rsidR="00BA4AEC" w:rsidRPr="003F00AF">
        <w:rPr>
          <w:i/>
        </w:rPr>
        <w:t>S</w:t>
      </w:r>
      <w:r w:rsidRPr="003F00AF">
        <w:rPr>
          <w:i/>
        </w:rPr>
        <w:t xml:space="preserve">ignificant </w:t>
      </w:r>
      <w:r w:rsidR="00BA4AEC" w:rsidRPr="003F00AF">
        <w:rPr>
          <w:i/>
        </w:rPr>
        <w:t>C</w:t>
      </w:r>
      <w:r w:rsidRPr="003F00AF">
        <w:rPr>
          <w:i/>
        </w:rPr>
        <w:t xml:space="preserve">hanges (in </w:t>
      </w:r>
      <w:r w:rsidR="00BA4AEC" w:rsidRPr="003F00AF">
        <w:rPr>
          <w:i/>
        </w:rPr>
        <w:t>D</w:t>
      </w:r>
      <w:r w:rsidRPr="003F00AF">
        <w:rPr>
          <w:i/>
        </w:rPr>
        <w:t xml:space="preserve">esign, </w:t>
      </w:r>
      <w:r w:rsidR="00BA4AEC" w:rsidRPr="003F00AF">
        <w:rPr>
          <w:i/>
        </w:rPr>
        <w:t>S</w:t>
      </w:r>
      <w:r w:rsidRPr="003F00AF">
        <w:rPr>
          <w:i/>
        </w:rPr>
        <w:t xml:space="preserve">cope and </w:t>
      </w:r>
      <w:r w:rsidR="00BA4AEC" w:rsidRPr="003F00AF">
        <w:rPr>
          <w:i/>
        </w:rPr>
        <w:t>S</w:t>
      </w:r>
      <w:r w:rsidRPr="003F00AF">
        <w:rPr>
          <w:i/>
        </w:rPr>
        <w:t xml:space="preserve">cale, </w:t>
      </w:r>
      <w:r w:rsidR="00BA4AEC" w:rsidRPr="003F00AF">
        <w:rPr>
          <w:i/>
        </w:rPr>
        <w:t>I</w:t>
      </w:r>
      <w:r w:rsidRPr="003F00AF">
        <w:rPr>
          <w:i/>
        </w:rPr>
        <w:t xml:space="preserve">mplementation </w:t>
      </w:r>
      <w:r w:rsidR="00BA4AEC" w:rsidRPr="003F00AF">
        <w:rPr>
          <w:i/>
        </w:rPr>
        <w:t>A</w:t>
      </w:r>
      <w:r w:rsidRPr="003F00AF">
        <w:rPr>
          <w:i/>
        </w:rPr>
        <w:t xml:space="preserve">rrangements and </w:t>
      </w:r>
      <w:r w:rsidR="00BA4AEC" w:rsidRPr="003F00AF">
        <w:rPr>
          <w:i/>
        </w:rPr>
        <w:t>S</w:t>
      </w:r>
      <w:r w:rsidRPr="003F00AF">
        <w:rPr>
          <w:i/>
        </w:rPr>
        <w:t xml:space="preserve">chedule, and </w:t>
      </w:r>
      <w:r w:rsidR="00BA4AEC" w:rsidRPr="003F00AF">
        <w:rPr>
          <w:i/>
        </w:rPr>
        <w:t>F</w:t>
      </w:r>
      <w:r w:rsidRPr="003F00AF">
        <w:rPr>
          <w:i/>
        </w:rPr>
        <w:t xml:space="preserve">unding </w:t>
      </w:r>
      <w:r w:rsidR="00BA4AEC" w:rsidRPr="003F00AF">
        <w:rPr>
          <w:i/>
        </w:rPr>
        <w:t>A</w:t>
      </w:r>
      <w:r w:rsidRPr="003F00AF">
        <w:rPr>
          <w:i/>
        </w:rPr>
        <w:t>llocations)</w:t>
      </w:r>
    </w:p>
    <w:p w14:paraId="2BCC0699" w14:textId="6AC2EEA3" w:rsidR="00946E6C" w:rsidRPr="00041FD6" w:rsidRDefault="008E18F4" w:rsidP="00946E6C">
      <w:pPr>
        <w:pStyle w:val="CommentText"/>
        <w:spacing w:after="240"/>
        <w:rPr>
          <w:rFonts w:eastAsia="Times New Roman"/>
          <w:sz w:val="24"/>
          <w:szCs w:val="24"/>
          <w:lang w:eastAsia="en-US"/>
        </w:rPr>
      </w:pPr>
      <w:r w:rsidRPr="00041FD6">
        <w:rPr>
          <w:rFonts w:eastAsia="Times New Roman"/>
          <w:sz w:val="24"/>
          <w:szCs w:val="24"/>
          <w:lang w:eastAsia="en-US"/>
        </w:rPr>
        <w:t xml:space="preserve">The closing date of ENVDPL I was originally scheduled </w:t>
      </w:r>
      <w:r w:rsidR="00490F9B">
        <w:rPr>
          <w:rFonts w:eastAsia="Times New Roman"/>
          <w:sz w:val="24"/>
          <w:szCs w:val="24"/>
          <w:lang w:eastAsia="en-US"/>
        </w:rPr>
        <w:t>for</w:t>
      </w:r>
      <w:r w:rsidRPr="00041FD6">
        <w:rPr>
          <w:rFonts w:eastAsia="Times New Roman"/>
          <w:sz w:val="24"/>
          <w:szCs w:val="24"/>
          <w:lang w:eastAsia="en-US"/>
        </w:rPr>
        <w:t xml:space="preserve"> September 8, 2012. </w:t>
      </w:r>
      <w:r w:rsidR="00C472DC" w:rsidRPr="00041FD6">
        <w:rPr>
          <w:rFonts w:eastAsia="Times New Roman"/>
          <w:sz w:val="24"/>
          <w:szCs w:val="24"/>
          <w:lang w:eastAsia="en-US"/>
        </w:rPr>
        <w:t>The closing date of the ENVDPL</w:t>
      </w:r>
      <w:r w:rsidR="00131351">
        <w:rPr>
          <w:rFonts w:eastAsia="Times New Roman"/>
          <w:sz w:val="24"/>
          <w:szCs w:val="24"/>
          <w:lang w:eastAsia="en-US"/>
        </w:rPr>
        <w:t>s</w:t>
      </w:r>
      <w:r w:rsidR="00C472DC" w:rsidRPr="00041FD6">
        <w:rPr>
          <w:rFonts w:eastAsia="Times New Roman"/>
          <w:sz w:val="24"/>
          <w:szCs w:val="24"/>
          <w:lang w:eastAsia="en-US"/>
        </w:rPr>
        <w:t xml:space="preserve"> was originally </w:t>
      </w:r>
      <w:r w:rsidR="00C24B97" w:rsidRPr="00041FD6">
        <w:rPr>
          <w:rFonts w:eastAsia="Times New Roman"/>
          <w:sz w:val="24"/>
          <w:szCs w:val="24"/>
          <w:lang w:eastAsia="en-US"/>
        </w:rPr>
        <w:t>planned for</w:t>
      </w:r>
      <w:r w:rsidR="00C472DC" w:rsidRPr="00041FD6">
        <w:rPr>
          <w:rFonts w:eastAsia="Times New Roman"/>
          <w:sz w:val="24"/>
          <w:szCs w:val="24"/>
          <w:lang w:eastAsia="en-US"/>
        </w:rPr>
        <w:t xml:space="preserve"> December 31, 2013, which was the closing date of the third operation. </w:t>
      </w:r>
      <w:r w:rsidRPr="00041FD6">
        <w:rPr>
          <w:rFonts w:eastAsia="Times New Roman"/>
          <w:sz w:val="24"/>
          <w:szCs w:val="24"/>
          <w:lang w:eastAsia="en-US"/>
        </w:rPr>
        <w:t>Because the ENVDPL I included a DDO</w:t>
      </w:r>
      <w:r w:rsidR="005F0995" w:rsidRPr="00041FD6">
        <w:rPr>
          <w:rFonts w:eastAsia="Times New Roman"/>
          <w:sz w:val="24"/>
          <w:szCs w:val="24"/>
          <w:lang w:eastAsia="en-US"/>
        </w:rPr>
        <w:t xml:space="preserve">, </w:t>
      </w:r>
      <w:r w:rsidRPr="00041FD6">
        <w:rPr>
          <w:rFonts w:eastAsia="Times New Roman"/>
          <w:sz w:val="24"/>
          <w:szCs w:val="24"/>
          <w:lang w:eastAsia="en-US"/>
        </w:rPr>
        <w:t xml:space="preserve">most of the funds were kept as a contingency fund until the closing date. In April 2012, the MEF requested the World Bank to extend the </w:t>
      </w:r>
      <w:r w:rsidR="002A085A" w:rsidRPr="00041FD6">
        <w:rPr>
          <w:rFonts w:eastAsia="Times New Roman"/>
          <w:sz w:val="24"/>
          <w:szCs w:val="24"/>
          <w:lang w:eastAsia="en-US"/>
        </w:rPr>
        <w:t xml:space="preserve">first </w:t>
      </w:r>
      <w:r w:rsidRPr="00041FD6">
        <w:rPr>
          <w:rFonts w:eastAsia="Times New Roman"/>
          <w:sz w:val="24"/>
          <w:szCs w:val="24"/>
          <w:lang w:eastAsia="en-US"/>
        </w:rPr>
        <w:t>operation’s closing date until September 8, 2015.</w:t>
      </w:r>
      <w:r w:rsidR="002A085A" w:rsidRPr="00041FD6">
        <w:rPr>
          <w:rFonts w:eastAsia="Times New Roman"/>
          <w:sz w:val="24"/>
          <w:szCs w:val="24"/>
          <w:lang w:eastAsia="en-US"/>
        </w:rPr>
        <w:t xml:space="preserve"> This date is co</w:t>
      </w:r>
      <w:r w:rsidR="003477DF" w:rsidRPr="00041FD6">
        <w:rPr>
          <w:rFonts w:eastAsia="Times New Roman"/>
          <w:sz w:val="24"/>
          <w:szCs w:val="24"/>
          <w:lang w:eastAsia="en-US"/>
        </w:rPr>
        <w:t>nsidered the</w:t>
      </w:r>
      <w:r w:rsidR="00946E6C" w:rsidRPr="00041FD6">
        <w:rPr>
          <w:rFonts w:eastAsia="Times New Roman"/>
          <w:sz w:val="24"/>
          <w:szCs w:val="24"/>
          <w:lang w:eastAsia="en-US"/>
        </w:rPr>
        <w:t xml:space="preserve"> closing date of the ENVDPL</w:t>
      </w:r>
      <w:r w:rsidR="00131351">
        <w:rPr>
          <w:rFonts w:eastAsia="Times New Roman"/>
          <w:sz w:val="24"/>
          <w:szCs w:val="24"/>
          <w:lang w:eastAsia="en-US"/>
        </w:rPr>
        <w:t>s</w:t>
      </w:r>
      <w:r w:rsidR="00946E6C" w:rsidRPr="00041FD6">
        <w:rPr>
          <w:rFonts w:eastAsia="Times New Roman"/>
          <w:sz w:val="24"/>
          <w:szCs w:val="24"/>
          <w:lang w:eastAsia="en-US"/>
        </w:rPr>
        <w:t xml:space="preserve"> and, for the purpose of measuring the PDO indicator</w:t>
      </w:r>
      <w:r w:rsidR="00041FD6" w:rsidRPr="00041FD6">
        <w:rPr>
          <w:rFonts w:eastAsia="Times New Roman"/>
          <w:sz w:val="24"/>
          <w:szCs w:val="24"/>
          <w:lang w:eastAsia="en-US"/>
        </w:rPr>
        <w:t>s</w:t>
      </w:r>
      <w:r w:rsidR="00946E6C" w:rsidRPr="00041FD6">
        <w:rPr>
          <w:rFonts w:eastAsia="Times New Roman"/>
          <w:sz w:val="24"/>
          <w:szCs w:val="24"/>
          <w:lang w:eastAsia="en-US"/>
        </w:rPr>
        <w:t>, the “end of the program date.”</w:t>
      </w:r>
    </w:p>
    <w:p w14:paraId="32FA53A1" w14:textId="0A832FDD" w:rsidR="008E18F4" w:rsidRPr="003F00AF" w:rsidRDefault="00BA4AEC" w:rsidP="008E18F4">
      <w:pPr>
        <w:pStyle w:val="Heading1"/>
        <w:keepNext/>
        <w:keepLines/>
        <w:spacing w:before="0" w:beforeAutospacing="0" w:after="240"/>
        <w:rPr>
          <w:sz w:val="24"/>
          <w:szCs w:val="24"/>
        </w:rPr>
      </w:pPr>
      <w:bookmarkStart w:id="91" w:name="T_SEC6TEXT_SEC65"/>
      <w:bookmarkStart w:id="92" w:name="_2._Key_Factors"/>
      <w:bookmarkStart w:id="93" w:name="_Toc448507203"/>
      <w:bookmarkStart w:id="94" w:name="_Toc463040013"/>
      <w:bookmarkEnd w:id="91"/>
      <w:bookmarkEnd w:id="92"/>
      <w:r w:rsidRPr="003F00AF">
        <w:rPr>
          <w:sz w:val="24"/>
          <w:szCs w:val="24"/>
        </w:rPr>
        <w:t>2.</w:t>
      </w:r>
      <w:r w:rsidRPr="003F00AF">
        <w:rPr>
          <w:sz w:val="24"/>
          <w:szCs w:val="24"/>
        </w:rPr>
        <w:tab/>
      </w:r>
      <w:r w:rsidR="008E18F4" w:rsidRPr="003F00AF">
        <w:rPr>
          <w:sz w:val="24"/>
          <w:szCs w:val="24"/>
        </w:rPr>
        <w:t>Key Factors Affecting Implementation and Outcomes</w:t>
      </w:r>
      <w:bookmarkEnd w:id="75"/>
      <w:bookmarkEnd w:id="76"/>
      <w:bookmarkEnd w:id="77"/>
      <w:bookmarkEnd w:id="93"/>
      <w:bookmarkEnd w:id="94"/>
    </w:p>
    <w:p w14:paraId="4867212D" w14:textId="7B71EC42" w:rsidR="008E18F4" w:rsidRPr="003F00AF" w:rsidRDefault="00BA4AEC" w:rsidP="008E18F4">
      <w:pPr>
        <w:pStyle w:val="ListParagraph"/>
        <w:keepNext/>
        <w:keepLines/>
        <w:spacing w:after="240"/>
        <w:ind w:left="0"/>
        <w:rPr>
          <w:i/>
        </w:rPr>
      </w:pPr>
      <w:bookmarkStart w:id="95" w:name="T_SEC6TEXT_SEC72"/>
      <w:bookmarkStart w:id="96" w:name="_Toc448507204"/>
      <w:bookmarkStart w:id="97" w:name="_Toc448507366"/>
      <w:bookmarkStart w:id="98" w:name="_IL8"/>
      <w:bookmarkStart w:id="99" w:name="_Toc156197717"/>
      <w:bookmarkStart w:id="100" w:name="_Toc158020654"/>
      <w:bookmarkEnd w:id="95"/>
      <w:r w:rsidRPr="003F00AF">
        <w:rPr>
          <w:i/>
        </w:rPr>
        <w:t>2.1</w:t>
      </w:r>
      <w:r w:rsidRPr="003F00AF">
        <w:rPr>
          <w:i/>
        </w:rPr>
        <w:tab/>
      </w:r>
      <w:r w:rsidR="008E18F4" w:rsidRPr="003F00AF">
        <w:rPr>
          <w:i/>
        </w:rPr>
        <w:t>Program Performance</w:t>
      </w:r>
      <w:bookmarkEnd w:id="96"/>
      <w:bookmarkEnd w:id="97"/>
    </w:p>
    <w:p w14:paraId="3770A572" w14:textId="3D4E7E07" w:rsidR="008E18F4" w:rsidRPr="003F00AF" w:rsidRDefault="008E18F4" w:rsidP="008E18F4">
      <w:pPr>
        <w:pStyle w:val="ListParagraph"/>
        <w:numPr>
          <w:ilvl w:val="0"/>
          <w:numId w:val="1"/>
        </w:numPr>
        <w:spacing w:after="240"/>
        <w:ind w:left="0" w:firstLine="0"/>
        <w:jc w:val="both"/>
      </w:pPr>
      <w:r w:rsidRPr="003F00AF">
        <w:rPr>
          <w:b/>
        </w:rPr>
        <w:t>The ENVDPLs consisted of three operations for a total amount of US$455 million.</w:t>
      </w:r>
      <w:r w:rsidRPr="003F00AF">
        <w:t xml:space="preserve"> The three operations were approved by the World Bank’s Board between January 2009 and July 2010. All prior actions agreed had been met at the time of signing the loan agreements (see table 2).</w:t>
      </w:r>
    </w:p>
    <w:p w14:paraId="7787E80B" w14:textId="77777777" w:rsidR="008E18F4" w:rsidRPr="003F00AF" w:rsidRDefault="008E18F4" w:rsidP="008E18F4">
      <w:pPr>
        <w:pStyle w:val="ListParagraph"/>
        <w:keepNext/>
        <w:keepLines/>
        <w:autoSpaceDE w:val="0"/>
        <w:autoSpaceDN w:val="0"/>
        <w:adjustRightInd w:val="0"/>
        <w:spacing w:before="120" w:after="120"/>
        <w:ind w:left="0"/>
        <w:jc w:val="center"/>
        <w:rPr>
          <w:b/>
          <w:sz w:val="20"/>
          <w:szCs w:val="20"/>
        </w:rPr>
      </w:pPr>
      <w:r w:rsidRPr="003F00AF">
        <w:rPr>
          <w:b/>
          <w:sz w:val="20"/>
          <w:szCs w:val="20"/>
        </w:rPr>
        <w:t xml:space="preserve">Table </w:t>
      </w:r>
      <w:r w:rsidRPr="003F00AF">
        <w:rPr>
          <w:b/>
          <w:sz w:val="20"/>
          <w:szCs w:val="20"/>
        </w:rPr>
        <w:fldChar w:fldCharType="begin"/>
      </w:r>
      <w:r w:rsidRPr="003F00AF">
        <w:rPr>
          <w:b/>
          <w:sz w:val="20"/>
          <w:szCs w:val="20"/>
        </w:rPr>
        <w:instrText xml:space="preserve"> SEQ Table \* ARABIC </w:instrText>
      </w:r>
      <w:r w:rsidRPr="003F00AF">
        <w:rPr>
          <w:b/>
          <w:sz w:val="20"/>
          <w:szCs w:val="20"/>
        </w:rPr>
        <w:fldChar w:fldCharType="separate"/>
      </w:r>
      <w:r w:rsidR="000D71B7">
        <w:rPr>
          <w:b/>
          <w:noProof/>
          <w:sz w:val="20"/>
          <w:szCs w:val="20"/>
        </w:rPr>
        <w:t>1</w:t>
      </w:r>
      <w:r w:rsidRPr="003F00AF">
        <w:rPr>
          <w:b/>
          <w:sz w:val="20"/>
          <w:szCs w:val="20"/>
        </w:rPr>
        <w:fldChar w:fldCharType="end"/>
      </w:r>
      <w:r w:rsidRPr="003F00AF">
        <w:rPr>
          <w:b/>
          <w:sz w:val="20"/>
          <w:szCs w:val="20"/>
        </w:rPr>
        <w:t>. Status of Prior Actions for the ENVDPLs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220"/>
      </w:tblGrid>
      <w:tr w:rsidR="008E18F4" w:rsidRPr="003F00AF" w14:paraId="0BA0B9B4" w14:textId="77777777" w:rsidTr="00FA4ABA">
        <w:trPr>
          <w:cantSplit/>
          <w:tblHeader/>
        </w:trPr>
        <w:tc>
          <w:tcPr>
            <w:tcW w:w="8356" w:type="dxa"/>
            <w:shd w:val="clear" w:color="auto" w:fill="auto"/>
            <w:vAlign w:val="center"/>
          </w:tcPr>
          <w:p w14:paraId="33DDE1D6" w14:textId="77777777" w:rsidR="008E18F4" w:rsidRPr="003F00AF" w:rsidRDefault="008E18F4" w:rsidP="00FA4ABA">
            <w:pPr>
              <w:keepNext/>
              <w:jc w:val="center"/>
              <w:rPr>
                <w:rFonts w:eastAsia="Times New Roman"/>
                <w:b/>
                <w:sz w:val="20"/>
                <w:szCs w:val="20"/>
              </w:rPr>
            </w:pPr>
            <w:r w:rsidRPr="003F00AF">
              <w:rPr>
                <w:rFonts w:eastAsia="Times New Roman"/>
                <w:b/>
                <w:sz w:val="20"/>
                <w:szCs w:val="20"/>
              </w:rPr>
              <w:t>Prior Actions</w:t>
            </w:r>
          </w:p>
        </w:tc>
        <w:tc>
          <w:tcPr>
            <w:tcW w:w="1220" w:type="dxa"/>
            <w:shd w:val="clear" w:color="auto" w:fill="auto"/>
            <w:vAlign w:val="center"/>
          </w:tcPr>
          <w:p w14:paraId="622DA1B0" w14:textId="77777777" w:rsidR="008E18F4" w:rsidRPr="003F00AF" w:rsidRDefault="008E18F4" w:rsidP="00FA4ABA">
            <w:pPr>
              <w:keepNext/>
              <w:jc w:val="center"/>
              <w:rPr>
                <w:rFonts w:eastAsia="Times New Roman"/>
                <w:b/>
                <w:sz w:val="20"/>
                <w:szCs w:val="20"/>
              </w:rPr>
            </w:pPr>
            <w:r w:rsidRPr="003F00AF">
              <w:rPr>
                <w:rFonts w:eastAsia="Arial Unicode MS"/>
                <w:b/>
                <w:sz w:val="20"/>
                <w:szCs w:val="20"/>
              </w:rPr>
              <w:t>Status</w:t>
            </w:r>
          </w:p>
        </w:tc>
      </w:tr>
      <w:tr w:rsidR="008E18F4" w:rsidRPr="003F00AF" w14:paraId="2C281BDB" w14:textId="77777777" w:rsidTr="00FA4ABA">
        <w:trPr>
          <w:cantSplit/>
        </w:trPr>
        <w:tc>
          <w:tcPr>
            <w:tcW w:w="9576" w:type="dxa"/>
            <w:gridSpan w:val="2"/>
            <w:shd w:val="clear" w:color="auto" w:fill="auto"/>
          </w:tcPr>
          <w:p w14:paraId="3000DCEC" w14:textId="77777777" w:rsidR="008E18F4" w:rsidRPr="003F00AF" w:rsidRDefault="008E18F4" w:rsidP="00FA4ABA">
            <w:pPr>
              <w:keepNext/>
              <w:jc w:val="center"/>
              <w:rPr>
                <w:rFonts w:eastAsia="Arial Unicode MS"/>
                <w:b/>
                <w:bCs/>
                <w:sz w:val="20"/>
                <w:szCs w:val="20"/>
              </w:rPr>
            </w:pPr>
            <w:r w:rsidRPr="003F00AF">
              <w:rPr>
                <w:rFonts w:eastAsia="Arial Unicode MS"/>
                <w:b/>
                <w:bCs/>
                <w:sz w:val="20"/>
                <w:szCs w:val="20"/>
              </w:rPr>
              <w:t>ENVDPL I</w:t>
            </w:r>
          </w:p>
        </w:tc>
      </w:tr>
      <w:tr w:rsidR="008E18F4" w:rsidRPr="003F00AF" w14:paraId="2EF4678E" w14:textId="77777777" w:rsidTr="00FA4ABA">
        <w:trPr>
          <w:cantSplit/>
        </w:trPr>
        <w:tc>
          <w:tcPr>
            <w:tcW w:w="9576" w:type="dxa"/>
            <w:gridSpan w:val="2"/>
            <w:shd w:val="clear" w:color="auto" w:fill="auto"/>
          </w:tcPr>
          <w:p w14:paraId="19C17D66" w14:textId="0C1D5AF6" w:rsidR="008E18F4" w:rsidRPr="003F00AF" w:rsidRDefault="00A60048" w:rsidP="00A60048">
            <w:pPr>
              <w:keepNext/>
              <w:rPr>
                <w:rFonts w:eastAsia="Arial Unicode MS"/>
                <w:b/>
                <w:sz w:val="20"/>
                <w:szCs w:val="20"/>
              </w:rPr>
            </w:pPr>
            <w:r w:rsidRPr="003F00AF">
              <w:rPr>
                <w:rFonts w:eastAsia="Arial Unicode MS"/>
                <w:b/>
                <w:sz w:val="20"/>
                <w:szCs w:val="20"/>
              </w:rPr>
              <w:t>Ob</w:t>
            </w:r>
            <w:r w:rsidR="008E18F4" w:rsidRPr="003F00AF">
              <w:rPr>
                <w:rFonts w:eastAsia="Arial Unicode MS"/>
                <w:b/>
                <w:sz w:val="20"/>
                <w:szCs w:val="20"/>
              </w:rPr>
              <w:t xml:space="preserve">jective A: </w:t>
            </w:r>
            <w:r w:rsidRPr="003F00AF">
              <w:rPr>
                <w:rFonts w:eastAsia="Arial Unicode MS"/>
                <w:b/>
                <w:sz w:val="20"/>
                <w:szCs w:val="20"/>
              </w:rPr>
              <w:t>Strengthening environmental governance and institutions in Peru</w:t>
            </w:r>
          </w:p>
        </w:tc>
      </w:tr>
      <w:tr w:rsidR="008E18F4" w:rsidRPr="003F00AF" w14:paraId="1869ECBC" w14:textId="77777777" w:rsidTr="00FA4ABA">
        <w:trPr>
          <w:cantSplit/>
        </w:trPr>
        <w:tc>
          <w:tcPr>
            <w:tcW w:w="8356" w:type="dxa"/>
            <w:shd w:val="clear" w:color="auto" w:fill="auto"/>
          </w:tcPr>
          <w:p w14:paraId="71358095" w14:textId="2CCDC6DF" w:rsidR="008E18F4" w:rsidRPr="003F00AF" w:rsidRDefault="008E18F4" w:rsidP="00FA4ABA">
            <w:pPr>
              <w:rPr>
                <w:rFonts w:eastAsia="Times New Roman"/>
                <w:sz w:val="20"/>
                <w:szCs w:val="20"/>
              </w:rPr>
            </w:pPr>
            <w:r w:rsidRPr="003F00AF">
              <w:rPr>
                <w:rFonts w:eastAsia="Times New Roman"/>
                <w:sz w:val="20"/>
                <w:szCs w:val="20"/>
              </w:rPr>
              <w:t>Approval of the Legislative Decree No. 1013 creating the MINAM, establishing its organization and key functions</w:t>
            </w:r>
          </w:p>
        </w:tc>
        <w:tc>
          <w:tcPr>
            <w:tcW w:w="1220" w:type="dxa"/>
            <w:shd w:val="clear" w:color="auto" w:fill="auto"/>
          </w:tcPr>
          <w:p w14:paraId="2C92D7B4"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6F07B6B2" w14:textId="77777777" w:rsidTr="00FA4ABA">
        <w:trPr>
          <w:cantSplit/>
        </w:trPr>
        <w:tc>
          <w:tcPr>
            <w:tcW w:w="8356" w:type="dxa"/>
            <w:shd w:val="clear" w:color="auto" w:fill="auto"/>
          </w:tcPr>
          <w:p w14:paraId="32ABA1B1" w14:textId="2B628BEA" w:rsidR="008E18F4" w:rsidRPr="003F00AF" w:rsidRDefault="008E18F4" w:rsidP="00FA4ABA">
            <w:pPr>
              <w:rPr>
                <w:rFonts w:eastAsia="Times New Roman"/>
                <w:sz w:val="20"/>
                <w:szCs w:val="20"/>
              </w:rPr>
            </w:pPr>
            <w:r w:rsidRPr="003F00AF">
              <w:rPr>
                <w:rFonts w:eastAsia="Times New Roman"/>
                <w:sz w:val="20"/>
                <w:szCs w:val="20"/>
              </w:rPr>
              <w:t xml:space="preserve">Issuance of regulation establishing functions of the SERNANP </w:t>
            </w:r>
          </w:p>
        </w:tc>
        <w:tc>
          <w:tcPr>
            <w:tcW w:w="1220" w:type="dxa"/>
            <w:shd w:val="clear" w:color="auto" w:fill="auto"/>
          </w:tcPr>
          <w:p w14:paraId="7D66E262"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4AC618CA" w14:textId="77777777" w:rsidTr="00FA4ABA">
        <w:trPr>
          <w:cantSplit/>
          <w:trHeight w:val="314"/>
        </w:trPr>
        <w:tc>
          <w:tcPr>
            <w:tcW w:w="8356" w:type="dxa"/>
            <w:shd w:val="clear" w:color="auto" w:fill="auto"/>
          </w:tcPr>
          <w:p w14:paraId="15F8B67D" w14:textId="060AA1C4" w:rsidR="008E18F4" w:rsidRPr="003F00AF" w:rsidRDefault="008E18F4" w:rsidP="004A3A62">
            <w:pPr>
              <w:rPr>
                <w:rFonts w:eastAsia="Times New Roman"/>
                <w:sz w:val="20"/>
                <w:szCs w:val="20"/>
              </w:rPr>
            </w:pPr>
            <w:r w:rsidRPr="003F00AF">
              <w:rPr>
                <w:rFonts w:eastAsia="Times New Roman"/>
                <w:sz w:val="20"/>
                <w:szCs w:val="20"/>
              </w:rPr>
              <w:t>Issuance of the Supreme Decree No. 002-2008-MINAM</w:t>
            </w:r>
            <w:r w:rsidR="004A3A62">
              <w:rPr>
                <w:rFonts w:eastAsia="Times New Roman"/>
                <w:sz w:val="20"/>
                <w:szCs w:val="20"/>
              </w:rPr>
              <w:t xml:space="preserve"> and No. 003-2008-MINAM</w:t>
            </w:r>
            <w:r w:rsidRPr="003F00AF">
              <w:rPr>
                <w:rFonts w:eastAsia="Times New Roman"/>
                <w:sz w:val="20"/>
                <w:szCs w:val="20"/>
              </w:rPr>
              <w:t xml:space="preserve">, which sets the ECAs and MPLs for </w:t>
            </w:r>
            <w:r w:rsidR="004A3A62">
              <w:rPr>
                <w:rFonts w:eastAsia="Times New Roman"/>
                <w:sz w:val="20"/>
                <w:szCs w:val="20"/>
              </w:rPr>
              <w:t>water and air</w:t>
            </w:r>
            <w:r w:rsidRPr="003F00AF">
              <w:rPr>
                <w:rFonts w:eastAsia="Times New Roman"/>
                <w:sz w:val="20"/>
                <w:szCs w:val="20"/>
              </w:rPr>
              <w:t xml:space="preserve"> emissions.</w:t>
            </w:r>
          </w:p>
        </w:tc>
        <w:tc>
          <w:tcPr>
            <w:tcW w:w="1220" w:type="dxa"/>
            <w:shd w:val="clear" w:color="auto" w:fill="auto"/>
          </w:tcPr>
          <w:p w14:paraId="017D9B93"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3D38C73E" w14:textId="77777777" w:rsidTr="00FA4ABA">
        <w:trPr>
          <w:cantSplit/>
        </w:trPr>
        <w:tc>
          <w:tcPr>
            <w:tcW w:w="9576" w:type="dxa"/>
            <w:gridSpan w:val="2"/>
            <w:shd w:val="clear" w:color="auto" w:fill="auto"/>
          </w:tcPr>
          <w:p w14:paraId="2CB1D4AD" w14:textId="2FF7EB42" w:rsidR="00A60048" w:rsidRPr="003F00AF" w:rsidRDefault="00A60048" w:rsidP="00A60048">
            <w:pPr>
              <w:keepNext/>
              <w:rPr>
                <w:rFonts w:eastAsia="Arial Unicode MS"/>
                <w:b/>
                <w:sz w:val="20"/>
                <w:szCs w:val="20"/>
              </w:rPr>
            </w:pPr>
            <w:r w:rsidRPr="003F00AF">
              <w:rPr>
                <w:rFonts w:eastAsia="Arial Unicode MS"/>
                <w:b/>
                <w:sz w:val="20"/>
                <w:szCs w:val="20"/>
              </w:rPr>
              <w:t>O</w:t>
            </w:r>
            <w:r w:rsidR="008E18F4" w:rsidRPr="003F00AF">
              <w:rPr>
                <w:rFonts w:eastAsia="Arial Unicode MS"/>
                <w:b/>
                <w:sz w:val="20"/>
                <w:szCs w:val="20"/>
              </w:rPr>
              <w:t xml:space="preserve">bjective B: Mainstreaming </w:t>
            </w:r>
            <w:r w:rsidRPr="003F00AF">
              <w:rPr>
                <w:rFonts w:eastAsia="Arial Unicode MS"/>
                <w:b/>
                <w:sz w:val="20"/>
                <w:szCs w:val="20"/>
              </w:rPr>
              <w:t>environmental sustainability in the development agenda of key sectors (mining, fisheries, and urban transport and energy).</w:t>
            </w:r>
          </w:p>
        </w:tc>
      </w:tr>
      <w:tr w:rsidR="008E18F4" w:rsidRPr="003F00AF" w14:paraId="2DB89A18" w14:textId="77777777" w:rsidTr="00FA4ABA">
        <w:trPr>
          <w:cantSplit/>
        </w:trPr>
        <w:tc>
          <w:tcPr>
            <w:tcW w:w="9576" w:type="dxa"/>
            <w:gridSpan w:val="2"/>
            <w:shd w:val="clear" w:color="auto" w:fill="auto"/>
          </w:tcPr>
          <w:p w14:paraId="4640598F"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Mining Sector</w:t>
            </w:r>
          </w:p>
        </w:tc>
      </w:tr>
      <w:tr w:rsidR="008E18F4" w:rsidRPr="003F00AF" w14:paraId="3108D43F" w14:textId="77777777" w:rsidTr="00FA4ABA">
        <w:trPr>
          <w:cantSplit/>
        </w:trPr>
        <w:tc>
          <w:tcPr>
            <w:tcW w:w="8356" w:type="dxa"/>
            <w:shd w:val="clear" w:color="auto" w:fill="auto"/>
          </w:tcPr>
          <w:p w14:paraId="1DFC47B6" w14:textId="5B31A6A8" w:rsidR="008E18F4" w:rsidRPr="003F00AF" w:rsidRDefault="008E18F4" w:rsidP="00FA4ABA">
            <w:pPr>
              <w:rPr>
                <w:rFonts w:eastAsia="Times New Roman"/>
                <w:sz w:val="20"/>
                <w:szCs w:val="20"/>
              </w:rPr>
            </w:pPr>
            <w:r w:rsidRPr="003F00AF">
              <w:rPr>
                <w:rFonts w:eastAsia="Times New Roman"/>
                <w:sz w:val="20"/>
                <w:szCs w:val="20"/>
              </w:rPr>
              <w:t xml:space="preserve">Approval of Legislative Decrees No. 1042 and No. 28526, which modify the MEL’s Law No. 28271, and placed the onus for remediation on </w:t>
            </w:r>
            <w:r w:rsidR="00490F9B">
              <w:rPr>
                <w:rFonts w:eastAsia="Times New Roman"/>
                <w:sz w:val="20"/>
                <w:szCs w:val="20"/>
              </w:rPr>
              <w:t xml:space="preserve">a </w:t>
            </w:r>
            <w:r w:rsidRPr="003F00AF">
              <w:rPr>
                <w:rFonts w:eastAsia="Times New Roman"/>
                <w:sz w:val="20"/>
                <w:szCs w:val="20"/>
              </w:rPr>
              <w:t>private holder (even after mining title/concession has expired) and forbids granting new mining concessions to companies that have not remediated their MELs</w:t>
            </w:r>
          </w:p>
        </w:tc>
        <w:tc>
          <w:tcPr>
            <w:tcW w:w="1220" w:type="dxa"/>
            <w:shd w:val="clear" w:color="auto" w:fill="auto"/>
          </w:tcPr>
          <w:p w14:paraId="7257E569"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40457269" w14:textId="77777777" w:rsidTr="00FA4ABA">
        <w:trPr>
          <w:cantSplit/>
        </w:trPr>
        <w:tc>
          <w:tcPr>
            <w:tcW w:w="8356" w:type="dxa"/>
            <w:shd w:val="clear" w:color="auto" w:fill="auto"/>
          </w:tcPr>
          <w:p w14:paraId="3AC34C54" w14:textId="22B4439F" w:rsidR="008E18F4" w:rsidRPr="003F00AF" w:rsidRDefault="008E18F4" w:rsidP="00FA4ABA">
            <w:pPr>
              <w:rPr>
                <w:rFonts w:eastAsia="Times New Roman"/>
                <w:sz w:val="20"/>
                <w:szCs w:val="20"/>
              </w:rPr>
            </w:pPr>
            <w:r w:rsidRPr="003F00AF">
              <w:rPr>
                <w:rFonts w:eastAsia="Times New Roman"/>
                <w:sz w:val="20"/>
                <w:szCs w:val="20"/>
              </w:rPr>
              <w:t>Issuance of Supreme Decree No. 028-2008-EM, which approved a regulation defining public and community participation during the concession, exploration, exploitation, execution, and closing of mining processes</w:t>
            </w:r>
          </w:p>
        </w:tc>
        <w:tc>
          <w:tcPr>
            <w:tcW w:w="1220" w:type="dxa"/>
            <w:shd w:val="clear" w:color="auto" w:fill="auto"/>
          </w:tcPr>
          <w:p w14:paraId="71540B61"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7E9C5E9C" w14:textId="77777777" w:rsidTr="00FA4ABA">
        <w:trPr>
          <w:cantSplit/>
        </w:trPr>
        <w:tc>
          <w:tcPr>
            <w:tcW w:w="9576" w:type="dxa"/>
            <w:gridSpan w:val="2"/>
            <w:shd w:val="clear" w:color="auto" w:fill="auto"/>
          </w:tcPr>
          <w:p w14:paraId="43430ED2"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Urban Transport Sector</w:t>
            </w:r>
          </w:p>
        </w:tc>
      </w:tr>
      <w:tr w:rsidR="008E18F4" w:rsidRPr="003F00AF" w14:paraId="3CEF225D" w14:textId="77777777" w:rsidTr="00FA4ABA">
        <w:trPr>
          <w:cantSplit/>
        </w:trPr>
        <w:tc>
          <w:tcPr>
            <w:tcW w:w="8356" w:type="dxa"/>
            <w:shd w:val="clear" w:color="auto" w:fill="auto"/>
          </w:tcPr>
          <w:p w14:paraId="4FE67C15" w14:textId="7892F52A" w:rsidR="008E18F4" w:rsidRPr="003F00AF" w:rsidRDefault="008E18F4" w:rsidP="00FA4ABA">
            <w:pPr>
              <w:rPr>
                <w:rFonts w:eastAsia="Times New Roman"/>
                <w:sz w:val="20"/>
                <w:szCs w:val="20"/>
              </w:rPr>
            </w:pPr>
            <w:r w:rsidRPr="003F00AF">
              <w:rPr>
                <w:rFonts w:eastAsia="Times New Roman"/>
                <w:sz w:val="20"/>
                <w:szCs w:val="20"/>
              </w:rPr>
              <w:t>Enactment of Law No. 28694 establishing reduction of sulfur in diesel to 50 ppm by 2010</w:t>
            </w:r>
          </w:p>
        </w:tc>
        <w:tc>
          <w:tcPr>
            <w:tcW w:w="1220" w:type="dxa"/>
            <w:shd w:val="clear" w:color="auto" w:fill="auto"/>
          </w:tcPr>
          <w:p w14:paraId="583323BE"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7A2E8738" w14:textId="77777777" w:rsidTr="00FA4ABA">
        <w:trPr>
          <w:cantSplit/>
        </w:trPr>
        <w:tc>
          <w:tcPr>
            <w:tcW w:w="8356" w:type="dxa"/>
            <w:shd w:val="clear" w:color="auto" w:fill="auto"/>
          </w:tcPr>
          <w:p w14:paraId="3D062AAB" w14:textId="3FE5A650" w:rsidR="008E18F4" w:rsidRPr="003F00AF" w:rsidRDefault="008E18F4" w:rsidP="00FA4ABA">
            <w:pPr>
              <w:rPr>
                <w:rFonts w:eastAsia="Times New Roman"/>
                <w:sz w:val="20"/>
                <w:szCs w:val="20"/>
              </w:rPr>
            </w:pPr>
            <w:r w:rsidRPr="003F00AF">
              <w:rPr>
                <w:rFonts w:eastAsia="Times New Roman"/>
                <w:sz w:val="20"/>
                <w:szCs w:val="20"/>
              </w:rPr>
              <w:t>Issuance of Supreme Decree No. 016-2008-MTC, which approved a regulation promoting vehicle conversion from gasoline to natural gas and establishment of stations supplying natural gas</w:t>
            </w:r>
          </w:p>
        </w:tc>
        <w:tc>
          <w:tcPr>
            <w:tcW w:w="1220" w:type="dxa"/>
            <w:shd w:val="clear" w:color="auto" w:fill="auto"/>
          </w:tcPr>
          <w:p w14:paraId="309FB6A4"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1DBBD929" w14:textId="77777777" w:rsidTr="00FA4ABA">
        <w:trPr>
          <w:cantSplit/>
        </w:trPr>
        <w:tc>
          <w:tcPr>
            <w:tcW w:w="9576" w:type="dxa"/>
            <w:gridSpan w:val="2"/>
            <w:shd w:val="clear" w:color="auto" w:fill="auto"/>
          </w:tcPr>
          <w:p w14:paraId="660660C8"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 xml:space="preserve">Fisheries Sector </w:t>
            </w:r>
          </w:p>
        </w:tc>
      </w:tr>
      <w:tr w:rsidR="008E18F4" w:rsidRPr="003F00AF" w14:paraId="46C998B5" w14:textId="77777777" w:rsidTr="00FA4ABA">
        <w:trPr>
          <w:cantSplit/>
        </w:trPr>
        <w:tc>
          <w:tcPr>
            <w:tcW w:w="8356" w:type="dxa"/>
            <w:shd w:val="clear" w:color="auto" w:fill="auto"/>
          </w:tcPr>
          <w:p w14:paraId="4A86C113" w14:textId="3207B86A" w:rsidR="008E18F4" w:rsidRPr="003F00AF" w:rsidRDefault="008E18F4" w:rsidP="00FA4ABA">
            <w:pPr>
              <w:rPr>
                <w:rFonts w:eastAsia="Times New Roman"/>
                <w:sz w:val="20"/>
                <w:szCs w:val="20"/>
              </w:rPr>
            </w:pPr>
            <w:r w:rsidRPr="003F00AF">
              <w:rPr>
                <w:rFonts w:eastAsia="Times New Roman"/>
                <w:sz w:val="20"/>
                <w:szCs w:val="20"/>
              </w:rPr>
              <w:t xml:space="preserve">Approval of Legislative Decree No. 1084 regulating </w:t>
            </w:r>
            <w:r w:rsidRPr="003F00AF">
              <w:rPr>
                <w:rFonts w:eastAsia="Times New Roman"/>
                <w:i/>
                <w:sz w:val="20"/>
                <w:szCs w:val="20"/>
              </w:rPr>
              <w:t>anchoveta</w:t>
            </w:r>
            <w:r w:rsidRPr="003F00AF">
              <w:rPr>
                <w:rFonts w:eastAsia="Times New Roman"/>
                <w:sz w:val="20"/>
                <w:szCs w:val="20"/>
              </w:rPr>
              <w:t xml:space="preserve"> fishing quotas by vessel and the social protection measures for displaced workers</w:t>
            </w:r>
          </w:p>
        </w:tc>
        <w:tc>
          <w:tcPr>
            <w:tcW w:w="1220" w:type="dxa"/>
            <w:shd w:val="clear" w:color="auto" w:fill="auto"/>
          </w:tcPr>
          <w:p w14:paraId="2EA9E52C" w14:textId="77777777" w:rsidR="008E18F4" w:rsidRPr="003F00AF" w:rsidRDefault="008E18F4" w:rsidP="00FA4ABA">
            <w:pPr>
              <w:jc w:val="center"/>
              <w:rPr>
                <w:rFonts w:eastAsia="Times New Roman"/>
                <w:b/>
                <w:i/>
                <w:sz w:val="20"/>
                <w:szCs w:val="20"/>
              </w:rPr>
            </w:pPr>
            <w:r w:rsidRPr="003F00AF">
              <w:rPr>
                <w:rFonts w:eastAsia="Times New Roman"/>
                <w:b/>
                <w:sz w:val="20"/>
                <w:szCs w:val="20"/>
              </w:rPr>
              <w:t>Completed</w:t>
            </w:r>
          </w:p>
        </w:tc>
      </w:tr>
      <w:tr w:rsidR="008E18F4" w:rsidRPr="003F00AF" w14:paraId="3AA6544E" w14:textId="77777777" w:rsidTr="00FA4ABA">
        <w:trPr>
          <w:cantSplit/>
          <w:trHeight w:val="215"/>
        </w:trPr>
        <w:tc>
          <w:tcPr>
            <w:tcW w:w="9576" w:type="dxa"/>
            <w:gridSpan w:val="2"/>
            <w:shd w:val="clear" w:color="auto" w:fill="auto"/>
          </w:tcPr>
          <w:p w14:paraId="3EF43BC9" w14:textId="77777777" w:rsidR="008E18F4" w:rsidRPr="003F00AF" w:rsidRDefault="008E18F4" w:rsidP="00FA4ABA">
            <w:pPr>
              <w:keepNext/>
              <w:jc w:val="center"/>
              <w:rPr>
                <w:rFonts w:eastAsia="Times New Roman"/>
                <w:i/>
                <w:sz w:val="20"/>
                <w:szCs w:val="20"/>
              </w:rPr>
            </w:pPr>
            <w:r w:rsidRPr="003F00AF">
              <w:rPr>
                <w:rFonts w:eastAsia="Arial Unicode MS"/>
                <w:b/>
                <w:bCs/>
                <w:sz w:val="20"/>
                <w:szCs w:val="20"/>
              </w:rPr>
              <w:t>ENVDPL II</w:t>
            </w:r>
          </w:p>
        </w:tc>
      </w:tr>
      <w:tr w:rsidR="008E18F4" w:rsidRPr="003F00AF" w14:paraId="18838F26" w14:textId="77777777" w:rsidTr="00FA4ABA">
        <w:trPr>
          <w:cantSplit/>
          <w:trHeight w:val="215"/>
        </w:trPr>
        <w:tc>
          <w:tcPr>
            <w:tcW w:w="9576" w:type="dxa"/>
            <w:gridSpan w:val="2"/>
            <w:shd w:val="clear" w:color="auto" w:fill="auto"/>
          </w:tcPr>
          <w:p w14:paraId="19FCF65A" w14:textId="1A21D3FC" w:rsidR="008E18F4" w:rsidRPr="003F00AF" w:rsidRDefault="00A60048" w:rsidP="00FA4ABA">
            <w:pPr>
              <w:keepNext/>
              <w:rPr>
                <w:rFonts w:eastAsia="Arial Unicode MS"/>
                <w:b/>
                <w:sz w:val="20"/>
                <w:szCs w:val="20"/>
              </w:rPr>
            </w:pPr>
            <w:r w:rsidRPr="003F00AF">
              <w:rPr>
                <w:rFonts w:eastAsia="Arial Unicode MS"/>
                <w:b/>
                <w:sz w:val="20"/>
                <w:szCs w:val="20"/>
              </w:rPr>
              <w:t>Objective A: Strengthening environmental governance and institutions in Peru</w:t>
            </w:r>
          </w:p>
        </w:tc>
      </w:tr>
      <w:tr w:rsidR="008E18F4" w:rsidRPr="003F00AF" w14:paraId="00F5751A" w14:textId="77777777" w:rsidTr="00FA4ABA">
        <w:trPr>
          <w:cantSplit/>
        </w:trPr>
        <w:tc>
          <w:tcPr>
            <w:tcW w:w="8356" w:type="dxa"/>
            <w:shd w:val="clear" w:color="auto" w:fill="auto"/>
          </w:tcPr>
          <w:p w14:paraId="0A175DFB" w14:textId="15FF76FB" w:rsidR="008E18F4" w:rsidRPr="003F00AF" w:rsidRDefault="008E18F4" w:rsidP="00FA4ABA">
            <w:pPr>
              <w:rPr>
                <w:sz w:val="20"/>
                <w:szCs w:val="20"/>
              </w:rPr>
            </w:pPr>
            <w:r w:rsidRPr="003F00AF">
              <w:rPr>
                <w:sz w:val="20"/>
                <w:szCs w:val="20"/>
              </w:rPr>
              <w:t>The GoP has defined the roles and responsibilities of MINAM in the evaluation of EIAs for large projects and key sectors pursuant to the issuance of the borrower’s Supreme Decree No. 019-2009-MINAM (Regulation of Law No. 274446 for the National System of Environmental Impact Assessment [</w:t>
            </w:r>
            <w:r w:rsidRPr="003F00AF">
              <w:rPr>
                <w:i/>
                <w:sz w:val="20"/>
                <w:szCs w:val="20"/>
              </w:rPr>
              <w:t>Sistema Nacional de Evaluación de Impacto Ambiental</w:t>
            </w:r>
            <w:r w:rsidRPr="003F00AF">
              <w:rPr>
                <w:sz w:val="20"/>
                <w:szCs w:val="20"/>
              </w:rPr>
              <w:t>, SEIA])</w:t>
            </w:r>
          </w:p>
        </w:tc>
        <w:tc>
          <w:tcPr>
            <w:tcW w:w="1220" w:type="dxa"/>
            <w:shd w:val="clear" w:color="auto" w:fill="auto"/>
          </w:tcPr>
          <w:p w14:paraId="3D7D0A00"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21197804" w14:textId="77777777" w:rsidTr="00FA4ABA">
        <w:trPr>
          <w:cantSplit/>
        </w:trPr>
        <w:tc>
          <w:tcPr>
            <w:tcW w:w="8356" w:type="dxa"/>
            <w:shd w:val="clear" w:color="auto" w:fill="auto"/>
          </w:tcPr>
          <w:p w14:paraId="639A046A" w14:textId="39EF1D9F" w:rsidR="008E18F4" w:rsidRPr="003F00AF" w:rsidRDefault="008E18F4" w:rsidP="00FA4ABA">
            <w:pPr>
              <w:rPr>
                <w:sz w:val="20"/>
                <w:szCs w:val="20"/>
              </w:rPr>
            </w:pPr>
            <w:r w:rsidRPr="003F00AF">
              <w:rPr>
                <w:sz w:val="20"/>
                <w:szCs w:val="20"/>
              </w:rPr>
              <w:t>MINAM has approved the financial strategy of the NPAs System (</w:t>
            </w:r>
            <w:r w:rsidRPr="003F00AF">
              <w:rPr>
                <w:i/>
                <w:sz w:val="20"/>
                <w:szCs w:val="20"/>
              </w:rPr>
              <w:t>Plan Financiero del Sistema de Areas Naturales Protegidas por el Estado</w:t>
            </w:r>
            <w:r w:rsidRPr="003F00AF">
              <w:rPr>
                <w:sz w:val="20"/>
                <w:szCs w:val="20"/>
              </w:rPr>
              <w:t>), pursuant to the issuance of Presidential Resolution No. 123-2009-SERNANP. Approval of the Action Plan for NPAs System (Plan Director), pursuant to the issuance of Supreme Decree No. 016-2009-MINAM</w:t>
            </w:r>
          </w:p>
        </w:tc>
        <w:tc>
          <w:tcPr>
            <w:tcW w:w="1220" w:type="dxa"/>
            <w:shd w:val="clear" w:color="auto" w:fill="auto"/>
          </w:tcPr>
          <w:p w14:paraId="26A84987"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166E315E" w14:textId="77777777" w:rsidTr="00FA4ABA">
        <w:trPr>
          <w:cantSplit/>
        </w:trPr>
        <w:tc>
          <w:tcPr>
            <w:tcW w:w="8356" w:type="dxa"/>
            <w:shd w:val="clear" w:color="auto" w:fill="auto"/>
          </w:tcPr>
          <w:p w14:paraId="691DFF3A" w14:textId="36C39DD1" w:rsidR="008E18F4" w:rsidRPr="003F00AF" w:rsidRDefault="008E18F4" w:rsidP="00FA4ABA">
            <w:pPr>
              <w:rPr>
                <w:sz w:val="20"/>
                <w:szCs w:val="20"/>
              </w:rPr>
            </w:pPr>
            <w:r w:rsidRPr="003F00AF">
              <w:rPr>
                <w:sz w:val="20"/>
                <w:szCs w:val="20"/>
              </w:rPr>
              <w:t>The GoP has issued regulatory measures to promote private sector financing and management of NPAs, as evidenced by (a) the SERNANP’s approval of “Guidelines for the Creation of Trust in National Protected Areas” and (b) the issuance of Supreme Decree No. 018-2009-MINAM, which regulates tourism activities within NPAs.</w:t>
            </w:r>
          </w:p>
        </w:tc>
        <w:tc>
          <w:tcPr>
            <w:tcW w:w="1220" w:type="dxa"/>
            <w:shd w:val="clear" w:color="auto" w:fill="auto"/>
          </w:tcPr>
          <w:p w14:paraId="3ED542BD"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6E216980" w14:textId="77777777" w:rsidTr="00FA4ABA">
        <w:trPr>
          <w:cantSplit/>
        </w:trPr>
        <w:tc>
          <w:tcPr>
            <w:tcW w:w="8356" w:type="dxa"/>
            <w:shd w:val="clear" w:color="auto" w:fill="auto"/>
          </w:tcPr>
          <w:p w14:paraId="1C689B6C" w14:textId="13EC4DD6" w:rsidR="008E18F4" w:rsidRPr="003F00AF" w:rsidRDefault="008E18F4" w:rsidP="005B2567">
            <w:pPr>
              <w:jc w:val="both"/>
              <w:rPr>
                <w:sz w:val="20"/>
                <w:szCs w:val="20"/>
              </w:rPr>
            </w:pPr>
            <w:r w:rsidRPr="003F00AF">
              <w:rPr>
                <w:sz w:val="20"/>
                <w:szCs w:val="20"/>
              </w:rPr>
              <w:t>Publication and dissemination on SENAM</w:t>
            </w:r>
            <w:r w:rsidR="0045175E" w:rsidRPr="003F00AF">
              <w:rPr>
                <w:sz w:val="20"/>
                <w:szCs w:val="20"/>
              </w:rPr>
              <w:t>H</w:t>
            </w:r>
            <w:r w:rsidRPr="003F00AF">
              <w:rPr>
                <w:sz w:val="20"/>
                <w:szCs w:val="20"/>
              </w:rPr>
              <w:t>I’s and DIGESA’s websites of daily air quality monitoring data for the cities of Lima and La Oroya</w:t>
            </w:r>
          </w:p>
        </w:tc>
        <w:tc>
          <w:tcPr>
            <w:tcW w:w="1220" w:type="dxa"/>
            <w:shd w:val="clear" w:color="auto" w:fill="auto"/>
          </w:tcPr>
          <w:p w14:paraId="741F4184"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328A5EE3" w14:textId="77777777" w:rsidTr="00FA4ABA">
        <w:trPr>
          <w:cantSplit/>
        </w:trPr>
        <w:tc>
          <w:tcPr>
            <w:tcW w:w="9576" w:type="dxa"/>
            <w:gridSpan w:val="2"/>
            <w:shd w:val="clear" w:color="auto" w:fill="auto"/>
          </w:tcPr>
          <w:p w14:paraId="12D939C8" w14:textId="783E52D2" w:rsidR="008E18F4" w:rsidRPr="003F00AF" w:rsidRDefault="00A60048" w:rsidP="00FA4ABA">
            <w:pPr>
              <w:keepNext/>
              <w:rPr>
                <w:rFonts w:eastAsia="Arial Unicode MS"/>
                <w:b/>
                <w:sz w:val="20"/>
                <w:szCs w:val="20"/>
              </w:rPr>
            </w:pPr>
            <w:r w:rsidRPr="003F00AF">
              <w:rPr>
                <w:rFonts w:eastAsia="Arial Unicode MS"/>
                <w:b/>
                <w:sz w:val="20"/>
                <w:szCs w:val="20"/>
              </w:rPr>
              <w:t>Objective B: Mainstreaming environmental sustainability in the development agenda of key sectors (mining, fisheries, and urban transport and energy).</w:t>
            </w:r>
          </w:p>
        </w:tc>
      </w:tr>
      <w:tr w:rsidR="008E18F4" w:rsidRPr="003F00AF" w14:paraId="644E81D9" w14:textId="77777777" w:rsidTr="00FA4ABA">
        <w:trPr>
          <w:cantSplit/>
        </w:trPr>
        <w:tc>
          <w:tcPr>
            <w:tcW w:w="9576" w:type="dxa"/>
            <w:gridSpan w:val="2"/>
            <w:shd w:val="clear" w:color="auto" w:fill="auto"/>
          </w:tcPr>
          <w:p w14:paraId="0166EAE8"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Mining Sector</w:t>
            </w:r>
          </w:p>
        </w:tc>
      </w:tr>
      <w:tr w:rsidR="008E18F4" w:rsidRPr="003F00AF" w14:paraId="73A4CE80" w14:textId="77777777" w:rsidTr="00FA4ABA">
        <w:trPr>
          <w:cantSplit/>
        </w:trPr>
        <w:tc>
          <w:tcPr>
            <w:tcW w:w="8356" w:type="dxa"/>
            <w:shd w:val="clear" w:color="auto" w:fill="auto"/>
          </w:tcPr>
          <w:p w14:paraId="32D84B2F" w14:textId="4736EC14" w:rsidR="008E18F4" w:rsidRPr="003F00AF" w:rsidRDefault="008E18F4" w:rsidP="00FA4ABA">
            <w:pPr>
              <w:rPr>
                <w:sz w:val="20"/>
                <w:szCs w:val="20"/>
              </w:rPr>
            </w:pPr>
            <w:r w:rsidRPr="003F00AF">
              <w:rPr>
                <w:sz w:val="20"/>
                <w:szCs w:val="20"/>
              </w:rPr>
              <w:t xml:space="preserve">The GoP has (a) approved Directorial Resolution No. 173-2009-MEM-DGM, which mandates the application of PERCAN’s methodology for the identification and prioritization of all MELs, and (b) approved a three-year work program with budget for calendar year 2010 to identify, rank, and manage MELs. </w:t>
            </w:r>
          </w:p>
        </w:tc>
        <w:tc>
          <w:tcPr>
            <w:tcW w:w="1220" w:type="dxa"/>
            <w:shd w:val="clear" w:color="auto" w:fill="auto"/>
          </w:tcPr>
          <w:p w14:paraId="2EC917DA"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77165453" w14:textId="77777777" w:rsidTr="00FA4ABA">
        <w:trPr>
          <w:cantSplit/>
        </w:trPr>
        <w:tc>
          <w:tcPr>
            <w:tcW w:w="8356" w:type="dxa"/>
            <w:shd w:val="clear" w:color="auto" w:fill="auto"/>
          </w:tcPr>
          <w:p w14:paraId="1492E935" w14:textId="7DA64842" w:rsidR="008E18F4" w:rsidRPr="003F00AF" w:rsidRDefault="008E18F4" w:rsidP="00FA4ABA">
            <w:pPr>
              <w:rPr>
                <w:sz w:val="20"/>
                <w:szCs w:val="20"/>
              </w:rPr>
            </w:pPr>
            <w:r w:rsidRPr="003F00AF">
              <w:rPr>
                <w:sz w:val="20"/>
                <w:szCs w:val="20"/>
              </w:rPr>
              <w:t>The GoP, through the Ministry of Energy and Mines (</w:t>
            </w:r>
            <w:r w:rsidRPr="003F00AF">
              <w:rPr>
                <w:i/>
                <w:sz w:val="20"/>
                <w:szCs w:val="20"/>
              </w:rPr>
              <w:t>Ministerio de Energía y Minas</w:t>
            </w:r>
            <w:r w:rsidRPr="003F00AF">
              <w:rPr>
                <w:sz w:val="20"/>
                <w:szCs w:val="20"/>
              </w:rPr>
              <w:t>, MEM), has (a) issued a Ministerial Resolution No. 304-2008-MEM/DM, which approved norms to regulate the process of participatory environmental monitoring and surveillance in mining exploitation activities, and (b) started the operation of at least 40 initiatives of environmental participatory monitoring.</w:t>
            </w:r>
          </w:p>
        </w:tc>
        <w:tc>
          <w:tcPr>
            <w:tcW w:w="1220" w:type="dxa"/>
            <w:shd w:val="clear" w:color="auto" w:fill="auto"/>
          </w:tcPr>
          <w:p w14:paraId="63094E86"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632AD14D" w14:textId="77777777" w:rsidTr="00FA4ABA">
        <w:trPr>
          <w:cantSplit/>
        </w:trPr>
        <w:tc>
          <w:tcPr>
            <w:tcW w:w="9576" w:type="dxa"/>
            <w:gridSpan w:val="2"/>
            <w:shd w:val="clear" w:color="auto" w:fill="auto"/>
          </w:tcPr>
          <w:p w14:paraId="2EADF8B4"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Urban Transport Sector</w:t>
            </w:r>
          </w:p>
        </w:tc>
      </w:tr>
      <w:tr w:rsidR="008E18F4" w:rsidRPr="003F00AF" w14:paraId="7E4685AB" w14:textId="77777777" w:rsidTr="00FA4ABA">
        <w:trPr>
          <w:cantSplit/>
        </w:trPr>
        <w:tc>
          <w:tcPr>
            <w:tcW w:w="8356" w:type="dxa"/>
            <w:shd w:val="clear" w:color="auto" w:fill="auto"/>
          </w:tcPr>
          <w:p w14:paraId="7CAC74D9" w14:textId="6F2EF912" w:rsidR="008E18F4" w:rsidRPr="003F00AF" w:rsidRDefault="008E18F4" w:rsidP="00FA4ABA">
            <w:pPr>
              <w:rPr>
                <w:sz w:val="20"/>
                <w:szCs w:val="20"/>
              </w:rPr>
            </w:pPr>
            <w:r w:rsidRPr="003F00AF">
              <w:rPr>
                <w:sz w:val="20"/>
                <w:szCs w:val="20"/>
              </w:rPr>
              <w:t>The GoP has issued Supreme Decree No. 061-2009-EM, which prohibits the supply of diesel with more than 50 ppm of sulfur content in the cities of Lima and Callao.</w:t>
            </w:r>
          </w:p>
        </w:tc>
        <w:tc>
          <w:tcPr>
            <w:tcW w:w="1220" w:type="dxa"/>
            <w:shd w:val="clear" w:color="auto" w:fill="auto"/>
          </w:tcPr>
          <w:p w14:paraId="7F0BAF06"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0B54D59C" w14:textId="77777777" w:rsidTr="00FA4ABA">
        <w:trPr>
          <w:cantSplit/>
        </w:trPr>
        <w:tc>
          <w:tcPr>
            <w:tcW w:w="8356" w:type="dxa"/>
            <w:shd w:val="clear" w:color="auto" w:fill="auto"/>
          </w:tcPr>
          <w:p w14:paraId="7282E123" w14:textId="7816135C" w:rsidR="008E18F4" w:rsidRPr="003F00AF" w:rsidRDefault="008E18F4" w:rsidP="00FA4ABA">
            <w:pPr>
              <w:rPr>
                <w:sz w:val="20"/>
                <w:szCs w:val="20"/>
              </w:rPr>
            </w:pPr>
            <w:r w:rsidRPr="003F00AF">
              <w:rPr>
                <w:sz w:val="20"/>
                <w:szCs w:val="20"/>
              </w:rPr>
              <w:t>The GoP has continued the promotion and implementation of vehicle conversions to natural gas, as evidenced by an allocation in the proposed budget for calendar year 2010.</w:t>
            </w:r>
          </w:p>
        </w:tc>
        <w:tc>
          <w:tcPr>
            <w:tcW w:w="1220" w:type="dxa"/>
            <w:shd w:val="clear" w:color="auto" w:fill="auto"/>
          </w:tcPr>
          <w:p w14:paraId="2203EAD6"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16DD06A1" w14:textId="77777777" w:rsidTr="00FA4ABA">
        <w:trPr>
          <w:cantSplit/>
        </w:trPr>
        <w:tc>
          <w:tcPr>
            <w:tcW w:w="8356" w:type="dxa"/>
            <w:shd w:val="clear" w:color="auto" w:fill="auto"/>
          </w:tcPr>
          <w:p w14:paraId="5093682F" w14:textId="01F198F3" w:rsidR="008E18F4" w:rsidRPr="003F00AF" w:rsidRDefault="008E18F4" w:rsidP="00FA4ABA">
            <w:pPr>
              <w:rPr>
                <w:sz w:val="20"/>
                <w:szCs w:val="20"/>
              </w:rPr>
            </w:pPr>
            <w:r w:rsidRPr="003F00AF">
              <w:rPr>
                <w:sz w:val="20"/>
                <w:szCs w:val="20"/>
              </w:rPr>
              <w:t>The GoP has issued Directorial Resolution No. 11645-2008-MTC/15, which regulates the implementation of a vehicle inspection and maintenance system according to a timetable based on license plate numbers in the Lima metropolitan region.</w:t>
            </w:r>
          </w:p>
        </w:tc>
        <w:tc>
          <w:tcPr>
            <w:tcW w:w="1220" w:type="dxa"/>
            <w:shd w:val="clear" w:color="auto" w:fill="auto"/>
          </w:tcPr>
          <w:p w14:paraId="4210BADA"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09E7B1E3" w14:textId="77777777" w:rsidTr="00FA4ABA">
        <w:trPr>
          <w:cantSplit/>
        </w:trPr>
        <w:tc>
          <w:tcPr>
            <w:tcW w:w="9576" w:type="dxa"/>
            <w:gridSpan w:val="2"/>
            <w:shd w:val="clear" w:color="auto" w:fill="auto"/>
          </w:tcPr>
          <w:p w14:paraId="38540244"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 xml:space="preserve">Fisheries Sector </w:t>
            </w:r>
          </w:p>
        </w:tc>
      </w:tr>
      <w:tr w:rsidR="008E18F4" w:rsidRPr="003F00AF" w14:paraId="6697A7D3" w14:textId="77777777" w:rsidTr="00FA4ABA">
        <w:trPr>
          <w:cantSplit/>
        </w:trPr>
        <w:tc>
          <w:tcPr>
            <w:tcW w:w="8356" w:type="dxa"/>
            <w:shd w:val="clear" w:color="auto" w:fill="auto"/>
          </w:tcPr>
          <w:p w14:paraId="18A01A5F" w14:textId="21D62F8C" w:rsidR="008E18F4" w:rsidRPr="003F00AF" w:rsidRDefault="008E18F4" w:rsidP="00FA4ABA">
            <w:pPr>
              <w:rPr>
                <w:sz w:val="20"/>
                <w:szCs w:val="20"/>
              </w:rPr>
            </w:pPr>
            <w:r w:rsidRPr="003F00AF">
              <w:rPr>
                <w:sz w:val="20"/>
                <w:szCs w:val="20"/>
              </w:rPr>
              <w:t>The GoP has issued Supreme Decree No. 021-2008-PRODUCE (Regulation of Legislative Decree No. 1084), which mandates (a) the implementation of fishing quotas by vessel; (b) the implementation of the social compensation fund for fisheries; and (c) the implementation of the retirement pension fund for fisheries.</w:t>
            </w:r>
          </w:p>
        </w:tc>
        <w:tc>
          <w:tcPr>
            <w:tcW w:w="1220" w:type="dxa"/>
            <w:shd w:val="clear" w:color="auto" w:fill="auto"/>
          </w:tcPr>
          <w:p w14:paraId="51207E3C"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3345E9FC" w14:textId="77777777" w:rsidTr="00FA4ABA">
        <w:trPr>
          <w:cantSplit/>
        </w:trPr>
        <w:tc>
          <w:tcPr>
            <w:tcW w:w="9576" w:type="dxa"/>
            <w:gridSpan w:val="2"/>
            <w:shd w:val="clear" w:color="auto" w:fill="auto"/>
          </w:tcPr>
          <w:p w14:paraId="630E364C" w14:textId="77777777" w:rsidR="008E18F4" w:rsidRPr="003F00AF" w:rsidRDefault="008E18F4" w:rsidP="00FA4ABA">
            <w:pPr>
              <w:jc w:val="center"/>
              <w:rPr>
                <w:i/>
                <w:sz w:val="20"/>
                <w:szCs w:val="20"/>
              </w:rPr>
            </w:pPr>
            <w:r w:rsidRPr="003F00AF">
              <w:rPr>
                <w:rFonts w:eastAsia="Arial Unicode MS"/>
                <w:b/>
                <w:bCs/>
                <w:sz w:val="20"/>
                <w:szCs w:val="20"/>
              </w:rPr>
              <w:t>ENVDPL III</w:t>
            </w:r>
          </w:p>
        </w:tc>
      </w:tr>
      <w:tr w:rsidR="008E18F4" w:rsidRPr="003F00AF" w14:paraId="35DAFFF5" w14:textId="77777777" w:rsidTr="00FA4ABA">
        <w:trPr>
          <w:cantSplit/>
        </w:trPr>
        <w:tc>
          <w:tcPr>
            <w:tcW w:w="9576" w:type="dxa"/>
            <w:gridSpan w:val="2"/>
            <w:shd w:val="clear" w:color="auto" w:fill="auto"/>
          </w:tcPr>
          <w:p w14:paraId="1C2E435D" w14:textId="65FACB7C" w:rsidR="008E18F4" w:rsidRPr="003F00AF" w:rsidRDefault="00A60048" w:rsidP="00FA4ABA">
            <w:pPr>
              <w:keepNext/>
              <w:rPr>
                <w:rFonts w:eastAsia="Arial Unicode MS"/>
                <w:b/>
                <w:sz w:val="20"/>
                <w:szCs w:val="20"/>
              </w:rPr>
            </w:pPr>
            <w:r w:rsidRPr="003F00AF">
              <w:rPr>
                <w:rFonts w:eastAsia="Arial Unicode MS"/>
                <w:b/>
                <w:sz w:val="20"/>
                <w:szCs w:val="20"/>
              </w:rPr>
              <w:t>Objective A: Strengthening environmental governance and institutions in Peru</w:t>
            </w:r>
          </w:p>
        </w:tc>
      </w:tr>
      <w:tr w:rsidR="008E18F4" w:rsidRPr="003F00AF" w14:paraId="5AD94651" w14:textId="77777777" w:rsidTr="00FA4ABA">
        <w:trPr>
          <w:cantSplit/>
        </w:trPr>
        <w:tc>
          <w:tcPr>
            <w:tcW w:w="8356" w:type="dxa"/>
            <w:shd w:val="clear" w:color="auto" w:fill="auto"/>
          </w:tcPr>
          <w:p w14:paraId="2D9A242F" w14:textId="1BBA6FA6" w:rsidR="008E18F4" w:rsidRPr="003F00AF" w:rsidRDefault="008E18F4" w:rsidP="00FA4ABA">
            <w:pPr>
              <w:rPr>
                <w:sz w:val="20"/>
                <w:szCs w:val="20"/>
              </w:rPr>
            </w:pPr>
            <w:r w:rsidRPr="003F00AF">
              <w:rPr>
                <w:sz w:val="20"/>
                <w:szCs w:val="20"/>
              </w:rPr>
              <w:t xml:space="preserve">Adoption of a master plan with three action plans all conducive to the financial sustainability of </w:t>
            </w:r>
            <w:r w:rsidR="00182D78" w:rsidRPr="00182D78">
              <w:rPr>
                <w:sz w:val="20"/>
                <w:szCs w:val="20"/>
              </w:rPr>
              <w:t>National System of Natural Protected Areas by the State (</w:t>
            </w:r>
            <w:r w:rsidR="00182D78" w:rsidRPr="00182D78">
              <w:rPr>
                <w:i/>
                <w:sz w:val="20"/>
                <w:szCs w:val="20"/>
              </w:rPr>
              <w:t>Sistema Nacional de Áreas Naturales Protegidas por el Estado</w:t>
            </w:r>
            <w:r w:rsidR="00182D78" w:rsidRPr="00182D78">
              <w:rPr>
                <w:sz w:val="20"/>
                <w:szCs w:val="20"/>
              </w:rPr>
              <w:t xml:space="preserve">, </w:t>
            </w:r>
            <w:r w:rsidRPr="003F00AF">
              <w:rPr>
                <w:sz w:val="20"/>
                <w:szCs w:val="20"/>
              </w:rPr>
              <w:t>SINANP</w:t>
            </w:r>
            <w:r w:rsidR="003F00AF" w:rsidRPr="003F00AF">
              <w:rPr>
                <w:sz w:val="20"/>
                <w:szCs w:val="20"/>
              </w:rPr>
              <w:t>E</w:t>
            </w:r>
            <w:r w:rsidRPr="003F00AF">
              <w:rPr>
                <w:sz w:val="20"/>
                <w:szCs w:val="20"/>
              </w:rPr>
              <w:t xml:space="preserve">), as evidenced through the issuance of the SERNANP Presidential Resolution No. 052-2010-SERNANP, which enacted such master plan, dated March 24, 2010 and published on the website </w:t>
            </w:r>
            <w:hyperlink r:id="rId14" w:history="1">
              <w:r w:rsidR="00991FB7" w:rsidRPr="003F00AF">
                <w:rPr>
                  <w:rStyle w:val="Hyperlink"/>
                  <w:sz w:val="20"/>
                  <w:szCs w:val="20"/>
                </w:rPr>
                <w:t>www.sernanp.gob.pe</w:t>
              </w:r>
            </w:hyperlink>
          </w:p>
        </w:tc>
        <w:tc>
          <w:tcPr>
            <w:tcW w:w="1220" w:type="dxa"/>
            <w:shd w:val="clear" w:color="auto" w:fill="auto"/>
          </w:tcPr>
          <w:p w14:paraId="0D6AF22C"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4C83F487" w14:textId="77777777" w:rsidTr="00FA4ABA">
        <w:trPr>
          <w:cantSplit/>
        </w:trPr>
        <w:tc>
          <w:tcPr>
            <w:tcW w:w="8356" w:type="dxa"/>
            <w:shd w:val="clear" w:color="auto" w:fill="auto"/>
          </w:tcPr>
          <w:p w14:paraId="5C6B8470" w14:textId="3FCF81CA" w:rsidR="008E18F4" w:rsidRPr="003F00AF" w:rsidRDefault="008E18F4" w:rsidP="00FA4ABA">
            <w:pPr>
              <w:rPr>
                <w:sz w:val="20"/>
                <w:szCs w:val="20"/>
              </w:rPr>
            </w:pPr>
            <w:r w:rsidRPr="003F00AF">
              <w:rPr>
                <w:sz w:val="20"/>
                <w:szCs w:val="20"/>
              </w:rPr>
              <w:t>Adopted mechanisms to promote private sector financing and management in favor of four newly established private conservation areas, as evidenced through Ministerial Resolutions No. 072-2010-MINAM; No. 073-2010-MINAM; No. 074-2010-MINAM; and No. 075-2010-MINAM, all dated May 6, 2010 and published in the borrower’s Official Gazette (</w:t>
            </w:r>
            <w:r w:rsidRPr="003F00AF">
              <w:rPr>
                <w:i/>
                <w:sz w:val="20"/>
                <w:szCs w:val="20"/>
              </w:rPr>
              <w:t>El Peruano</w:t>
            </w:r>
            <w:r w:rsidRPr="003F00AF">
              <w:rPr>
                <w:sz w:val="20"/>
                <w:szCs w:val="20"/>
              </w:rPr>
              <w:t>) on May 7, 2010</w:t>
            </w:r>
          </w:p>
        </w:tc>
        <w:tc>
          <w:tcPr>
            <w:tcW w:w="1220" w:type="dxa"/>
            <w:shd w:val="clear" w:color="auto" w:fill="auto"/>
          </w:tcPr>
          <w:p w14:paraId="23C4B5EC"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69C9E932" w14:textId="77777777" w:rsidTr="00FA4ABA">
        <w:trPr>
          <w:cantSplit/>
        </w:trPr>
        <w:tc>
          <w:tcPr>
            <w:tcW w:w="9576" w:type="dxa"/>
            <w:gridSpan w:val="2"/>
            <w:shd w:val="clear" w:color="auto" w:fill="auto"/>
          </w:tcPr>
          <w:p w14:paraId="7D48B80E" w14:textId="2F1C5BAD" w:rsidR="008E18F4" w:rsidRPr="003F00AF" w:rsidRDefault="00A60048" w:rsidP="00FA4ABA">
            <w:pPr>
              <w:keepNext/>
              <w:rPr>
                <w:rFonts w:eastAsia="Arial Unicode MS"/>
                <w:b/>
                <w:sz w:val="20"/>
                <w:szCs w:val="20"/>
              </w:rPr>
            </w:pPr>
            <w:r w:rsidRPr="003F00AF">
              <w:rPr>
                <w:rFonts w:eastAsia="Arial Unicode MS"/>
                <w:b/>
                <w:sz w:val="20"/>
                <w:szCs w:val="20"/>
              </w:rPr>
              <w:t>Objective B: Mainstreaming environmental sustainability in the development agenda of key sectors (mining, fisheries, and urban transport and energy).</w:t>
            </w:r>
          </w:p>
        </w:tc>
      </w:tr>
      <w:tr w:rsidR="008E18F4" w:rsidRPr="003F00AF" w14:paraId="6F0AD5A7" w14:textId="77777777" w:rsidTr="00FA4ABA">
        <w:trPr>
          <w:cantSplit/>
        </w:trPr>
        <w:tc>
          <w:tcPr>
            <w:tcW w:w="9576" w:type="dxa"/>
            <w:gridSpan w:val="2"/>
            <w:shd w:val="clear" w:color="auto" w:fill="auto"/>
          </w:tcPr>
          <w:p w14:paraId="0204039A"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Mining Sector</w:t>
            </w:r>
          </w:p>
        </w:tc>
      </w:tr>
      <w:tr w:rsidR="008E18F4" w:rsidRPr="003F00AF" w14:paraId="63BDC448" w14:textId="77777777" w:rsidTr="00FA4ABA">
        <w:trPr>
          <w:cantSplit/>
        </w:trPr>
        <w:tc>
          <w:tcPr>
            <w:tcW w:w="8356" w:type="dxa"/>
            <w:shd w:val="clear" w:color="auto" w:fill="auto"/>
          </w:tcPr>
          <w:p w14:paraId="0DB3560B" w14:textId="7E06EE69" w:rsidR="008E18F4" w:rsidRPr="003F00AF" w:rsidRDefault="008E18F4" w:rsidP="00FA4ABA">
            <w:pPr>
              <w:rPr>
                <w:sz w:val="20"/>
                <w:szCs w:val="20"/>
              </w:rPr>
            </w:pPr>
            <w:r w:rsidRPr="003F00AF">
              <w:rPr>
                <w:sz w:val="20"/>
                <w:szCs w:val="20"/>
              </w:rPr>
              <w:t xml:space="preserve">Development of technical guidelines for the adequate remediation (including maintenance, monitoring, and follow-up activities) of MELs, as evidenced through the issuance of the borrower’s Directorate Resolution No. 124-2010-MEM/AAM dated April 15, 2010 as published on the website </w:t>
            </w:r>
            <w:hyperlink r:id="rId15" w:history="1">
              <w:r w:rsidRPr="003F00AF">
                <w:rPr>
                  <w:rStyle w:val="Hyperlink"/>
                  <w:sz w:val="20"/>
                  <w:szCs w:val="20"/>
                </w:rPr>
                <w:t>www.mem.gob.pe</w:t>
              </w:r>
            </w:hyperlink>
          </w:p>
        </w:tc>
        <w:tc>
          <w:tcPr>
            <w:tcW w:w="1220" w:type="dxa"/>
            <w:shd w:val="clear" w:color="auto" w:fill="auto"/>
          </w:tcPr>
          <w:p w14:paraId="33F89D78"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1CF2C930" w14:textId="77777777" w:rsidTr="00FA4ABA">
        <w:trPr>
          <w:cantSplit/>
        </w:trPr>
        <w:tc>
          <w:tcPr>
            <w:tcW w:w="9576" w:type="dxa"/>
            <w:gridSpan w:val="2"/>
            <w:shd w:val="clear" w:color="auto" w:fill="auto"/>
          </w:tcPr>
          <w:p w14:paraId="021FE723"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Urban Transport Sector</w:t>
            </w:r>
          </w:p>
        </w:tc>
      </w:tr>
      <w:tr w:rsidR="008E18F4" w:rsidRPr="003F00AF" w14:paraId="51F7A7B7" w14:textId="77777777" w:rsidTr="00FA4ABA">
        <w:trPr>
          <w:cantSplit/>
        </w:trPr>
        <w:tc>
          <w:tcPr>
            <w:tcW w:w="8356" w:type="dxa"/>
            <w:shd w:val="clear" w:color="auto" w:fill="auto"/>
          </w:tcPr>
          <w:p w14:paraId="291CF502" w14:textId="588E550D" w:rsidR="008E18F4" w:rsidRPr="003F00AF" w:rsidRDefault="008E18F4" w:rsidP="00FA4ABA">
            <w:pPr>
              <w:rPr>
                <w:sz w:val="20"/>
                <w:szCs w:val="20"/>
              </w:rPr>
            </w:pPr>
            <w:r w:rsidRPr="003F00AF">
              <w:rPr>
                <w:sz w:val="20"/>
                <w:szCs w:val="20"/>
              </w:rPr>
              <w:t>Adoption, as a follow-up action to Supreme Decree No. 061-2009-EM, dated September 5, 2009, as published in the borrower’s Official Gazette dated September 5, 2009, of an investment plan for the modernization of PETROPERU’s refinery in Talara that reduces the sulfur content of the diesel fuel as evidenced through PETROPERU letter (</w:t>
            </w:r>
            <w:r w:rsidRPr="003F00AF">
              <w:rPr>
                <w:i/>
                <w:sz w:val="20"/>
                <w:szCs w:val="20"/>
              </w:rPr>
              <w:t>Oficio</w:t>
            </w:r>
            <w:r w:rsidRPr="003F00AF">
              <w:rPr>
                <w:sz w:val="20"/>
                <w:szCs w:val="20"/>
              </w:rPr>
              <w:t>) No. GAPP-038-2010, dated March 29, 2010</w:t>
            </w:r>
          </w:p>
        </w:tc>
        <w:tc>
          <w:tcPr>
            <w:tcW w:w="1220" w:type="dxa"/>
            <w:shd w:val="clear" w:color="auto" w:fill="auto"/>
          </w:tcPr>
          <w:p w14:paraId="56F00B8B"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5DF54F12" w14:textId="77777777" w:rsidTr="00FA4ABA">
        <w:trPr>
          <w:cantSplit/>
        </w:trPr>
        <w:tc>
          <w:tcPr>
            <w:tcW w:w="8356" w:type="dxa"/>
            <w:shd w:val="clear" w:color="auto" w:fill="auto"/>
          </w:tcPr>
          <w:p w14:paraId="24E9F79E" w14:textId="29E1B843" w:rsidR="008E18F4" w:rsidRPr="003F00AF" w:rsidRDefault="008E18F4" w:rsidP="00FA4ABA">
            <w:pPr>
              <w:rPr>
                <w:sz w:val="20"/>
                <w:szCs w:val="20"/>
              </w:rPr>
            </w:pPr>
            <w:r w:rsidRPr="003F00AF">
              <w:rPr>
                <w:sz w:val="20"/>
                <w:szCs w:val="20"/>
              </w:rPr>
              <w:t>Implementation of an effective inspection and maintenance system in Lima and three additional cities through the introduction of an information and communication system, as evidenced through the issuance of Directorate Resolution No. 3041-2009-MTC/15 dated September 23, 2009, and the issuance of Supreme Decree No. 015-2010-MTC dated March 16, 2010, as published in the borrower’s Official Gazette (</w:t>
            </w:r>
            <w:r w:rsidRPr="003F00AF">
              <w:rPr>
                <w:i/>
                <w:sz w:val="20"/>
                <w:szCs w:val="20"/>
              </w:rPr>
              <w:t>El Peruano</w:t>
            </w:r>
            <w:r w:rsidRPr="003F00AF">
              <w:rPr>
                <w:sz w:val="20"/>
                <w:szCs w:val="20"/>
              </w:rPr>
              <w:t>) on March 17, 2010, which requires the mandatory use of filming equipment to ensure proper identification of inspected vehicles</w:t>
            </w:r>
          </w:p>
        </w:tc>
        <w:tc>
          <w:tcPr>
            <w:tcW w:w="1220" w:type="dxa"/>
            <w:shd w:val="clear" w:color="auto" w:fill="auto"/>
          </w:tcPr>
          <w:p w14:paraId="3ECD1D99"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1370FBA4" w14:textId="77777777" w:rsidTr="00FA4ABA">
        <w:trPr>
          <w:cantSplit/>
        </w:trPr>
        <w:tc>
          <w:tcPr>
            <w:tcW w:w="9576" w:type="dxa"/>
            <w:gridSpan w:val="2"/>
            <w:shd w:val="clear" w:color="auto" w:fill="auto"/>
          </w:tcPr>
          <w:p w14:paraId="26E7533C" w14:textId="77777777" w:rsidR="008E18F4" w:rsidRPr="003F00AF" w:rsidRDefault="008E18F4" w:rsidP="00FA4ABA">
            <w:pPr>
              <w:keepNext/>
              <w:rPr>
                <w:rFonts w:eastAsia="Arial Unicode MS"/>
                <w:i/>
                <w:sz w:val="20"/>
                <w:szCs w:val="20"/>
                <w:lang w:val="pt-BR"/>
              </w:rPr>
            </w:pPr>
            <w:r w:rsidRPr="003F00AF">
              <w:rPr>
                <w:rFonts w:eastAsia="Arial Unicode MS"/>
                <w:i/>
                <w:sz w:val="20"/>
                <w:szCs w:val="20"/>
                <w:lang w:val="pt-BR"/>
              </w:rPr>
              <w:t xml:space="preserve">Fisheries Sector </w:t>
            </w:r>
          </w:p>
        </w:tc>
      </w:tr>
      <w:tr w:rsidR="008E18F4" w:rsidRPr="003F00AF" w14:paraId="7EBE04BF" w14:textId="77777777" w:rsidTr="00FA4ABA">
        <w:trPr>
          <w:cantSplit/>
        </w:trPr>
        <w:tc>
          <w:tcPr>
            <w:tcW w:w="8356" w:type="dxa"/>
            <w:shd w:val="clear" w:color="auto" w:fill="auto"/>
          </w:tcPr>
          <w:p w14:paraId="70728A0F" w14:textId="2693B073" w:rsidR="008E18F4" w:rsidRPr="003F00AF" w:rsidRDefault="008E18F4" w:rsidP="00FA4ABA">
            <w:pPr>
              <w:rPr>
                <w:sz w:val="20"/>
                <w:szCs w:val="20"/>
              </w:rPr>
            </w:pPr>
            <w:r w:rsidRPr="003F00AF">
              <w:rPr>
                <w:sz w:val="20"/>
                <w:szCs w:val="20"/>
              </w:rPr>
              <w:t xml:space="preserve">Established </w:t>
            </w:r>
            <w:r w:rsidRPr="003F00AF">
              <w:rPr>
                <w:i/>
                <w:sz w:val="20"/>
                <w:szCs w:val="20"/>
              </w:rPr>
              <w:t>anchoveta</w:t>
            </w:r>
            <w:r w:rsidRPr="003F00AF">
              <w:rPr>
                <w:sz w:val="20"/>
                <w:szCs w:val="20"/>
              </w:rPr>
              <w:t xml:space="preserve"> fishing quota allocations for the first fishing season in 2010 for the borrower’s north-central region, as evidenced through the issuance of Ministerial Resolution No. 100-2010-PRODUCE, dated April 16, 2010 as published in the borrower’s Official Gazette (</w:t>
            </w:r>
            <w:r w:rsidRPr="003F00AF">
              <w:rPr>
                <w:i/>
                <w:sz w:val="20"/>
                <w:szCs w:val="20"/>
              </w:rPr>
              <w:t>El Peruano</w:t>
            </w:r>
            <w:r w:rsidRPr="003F00AF">
              <w:rPr>
                <w:sz w:val="20"/>
                <w:szCs w:val="20"/>
              </w:rPr>
              <w:t>) on April 18, 2010</w:t>
            </w:r>
          </w:p>
        </w:tc>
        <w:tc>
          <w:tcPr>
            <w:tcW w:w="1220" w:type="dxa"/>
            <w:shd w:val="clear" w:color="auto" w:fill="auto"/>
          </w:tcPr>
          <w:p w14:paraId="7527463A" w14:textId="77777777" w:rsidR="008E18F4" w:rsidRPr="003F00AF" w:rsidRDefault="008E18F4" w:rsidP="00FA4ABA">
            <w:pPr>
              <w:jc w:val="center"/>
              <w:rPr>
                <w:b/>
                <w:i/>
                <w:sz w:val="20"/>
                <w:szCs w:val="20"/>
              </w:rPr>
            </w:pPr>
            <w:r w:rsidRPr="003F00AF">
              <w:rPr>
                <w:b/>
                <w:sz w:val="20"/>
                <w:szCs w:val="20"/>
              </w:rPr>
              <w:t>Completed</w:t>
            </w:r>
          </w:p>
        </w:tc>
      </w:tr>
      <w:tr w:rsidR="008E18F4" w:rsidRPr="003F00AF" w14:paraId="45C6E9F3" w14:textId="77777777" w:rsidTr="00FA4ABA">
        <w:trPr>
          <w:cantSplit/>
        </w:trPr>
        <w:tc>
          <w:tcPr>
            <w:tcW w:w="8356" w:type="dxa"/>
            <w:shd w:val="clear" w:color="auto" w:fill="auto"/>
          </w:tcPr>
          <w:p w14:paraId="5AC8FFF5" w14:textId="0D690358" w:rsidR="008E18F4" w:rsidRPr="003F00AF" w:rsidRDefault="008E18F4" w:rsidP="00FA4ABA">
            <w:pPr>
              <w:rPr>
                <w:sz w:val="20"/>
                <w:szCs w:val="20"/>
              </w:rPr>
            </w:pPr>
            <w:r w:rsidRPr="003F00AF">
              <w:rPr>
                <w:sz w:val="20"/>
                <w:szCs w:val="20"/>
              </w:rPr>
              <w:t>Enacted measures required for the monitoring and enforcement of said quota system, as evidenced through the issuance of Supreme Decree No. 002-2010-PRODUCE dated February 24, 2010 as published in the borrower’s Official Gazette (</w:t>
            </w:r>
            <w:r w:rsidRPr="003F00AF">
              <w:rPr>
                <w:i/>
                <w:sz w:val="20"/>
                <w:szCs w:val="20"/>
              </w:rPr>
              <w:t>El Peruano</w:t>
            </w:r>
            <w:r w:rsidRPr="003F00AF">
              <w:rPr>
                <w:sz w:val="20"/>
                <w:szCs w:val="20"/>
              </w:rPr>
              <w:t>) on February 25, 2010</w:t>
            </w:r>
          </w:p>
        </w:tc>
        <w:tc>
          <w:tcPr>
            <w:tcW w:w="1220" w:type="dxa"/>
            <w:shd w:val="clear" w:color="auto" w:fill="auto"/>
          </w:tcPr>
          <w:p w14:paraId="6C103B7C" w14:textId="77777777" w:rsidR="008E18F4" w:rsidRPr="003F00AF" w:rsidRDefault="008E18F4" w:rsidP="00FA4ABA">
            <w:pPr>
              <w:jc w:val="center"/>
              <w:rPr>
                <w:b/>
                <w:i/>
                <w:sz w:val="20"/>
                <w:szCs w:val="20"/>
              </w:rPr>
            </w:pPr>
            <w:r w:rsidRPr="003F00AF">
              <w:rPr>
                <w:b/>
                <w:sz w:val="20"/>
                <w:szCs w:val="20"/>
              </w:rPr>
              <w:t>Completed</w:t>
            </w:r>
          </w:p>
        </w:tc>
      </w:tr>
    </w:tbl>
    <w:p w14:paraId="7B09EA50" w14:textId="77777777" w:rsidR="008E18F4" w:rsidRPr="003F00AF" w:rsidRDefault="008E18F4" w:rsidP="008E18F4">
      <w:pPr>
        <w:jc w:val="center"/>
        <w:rPr>
          <w:sz w:val="20"/>
          <w:szCs w:val="20"/>
        </w:rPr>
      </w:pPr>
    </w:p>
    <w:p w14:paraId="466EF380" w14:textId="6DA088CA" w:rsidR="008E18F4" w:rsidRPr="003F00AF" w:rsidRDefault="00BA4AEC" w:rsidP="008E18F4">
      <w:pPr>
        <w:pStyle w:val="ListParagraph"/>
        <w:keepNext/>
        <w:keepLines/>
        <w:spacing w:after="240"/>
        <w:ind w:left="0"/>
        <w:rPr>
          <w:i/>
        </w:rPr>
      </w:pPr>
      <w:bookmarkStart w:id="101" w:name="_Toc448507206"/>
      <w:bookmarkStart w:id="102" w:name="_Toc448507368"/>
      <w:r w:rsidRPr="003F00AF">
        <w:rPr>
          <w:i/>
        </w:rPr>
        <w:t>2.2</w:t>
      </w:r>
      <w:r w:rsidRPr="003F00AF">
        <w:rPr>
          <w:i/>
        </w:rPr>
        <w:tab/>
      </w:r>
      <w:r w:rsidR="008E18F4" w:rsidRPr="003F00AF">
        <w:rPr>
          <w:i/>
        </w:rPr>
        <w:t>Major Factors Affecting Implementation</w:t>
      </w:r>
      <w:bookmarkEnd w:id="101"/>
      <w:bookmarkEnd w:id="102"/>
    </w:p>
    <w:p w14:paraId="298059D5" w14:textId="16D9197A" w:rsidR="008E18F4" w:rsidRPr="003F00AF" w:rsidRDefault="008E18F4" w:rsidP="008E18F4">
      <w:pPr>
        <w:pStyle w:val="ListParagraph"/>
        <w:numPr>
          <w:ilvl w:val="0"/>
          <w:numId w:val="1"/>
        </w:numPr>
        <w:spacing w:after="240"/>
        <w:ind w:left="0" w:firstLine="0"/>
        <w:jc w:val="both"/>
        <w:rPr>
          <w:bCs/>
          <w:szCs w:val="22"/>
        </w:rPr>
      </w:pPr>
      <w:r w:rsidRPr="003F00AF">
        <w:rPr>
          <w:bCs/>
          <w:szCs w:val="22"/>
        </w:rPr>
        <w:t xml:space="preserve">In addition to solid macroeconomic policies, there were several factors that positively affected the operation’s implementation, as follows: </w:t>
      </w:r>
    </w:p>
    <w:p w14:paraId="3C02FC2C" w14:textId="777A4A37" w:rsidR="008E18F4" w:rsidRPr="003F00AF" w:rsidRDefault="008E18F4" w:rsidP="008E18F4">
      <w:pPr>
        <w:pStyle w:val="ListParagraph"/>
        <w:numPr>
          <w:ilvl w:val="0"/>
          <w:numId w:val="26"/>
        </w:numPr>
        <w:spacing w:after="240"/>
        <w:ind w:left="1195" w:hanging="475"/>
        <w:jc w:val="both"/>
        <w:rPr>
          <w:bCs/>
          <w:szCs w:val="22"/>
        </w:rPr>
      </w:pPr>
      <w:r w:rsidRPr="003F00AF">
        <w:rPr>
          <w:b/>
          <w:szCs w:val="22"/>
        </w:rPr>
        <w:t xml:space="preserve">Strong government commitment to the reform program. </w:t>
      </w:r>
      <w:r w:rsidRPr="003F00AF">
        <w:rPr>
          <w:bCs/>
          <w:szCs w:val="22"/>
        </w:rPr>
        <w:t>The GoP was intent on pursuing an ambitious agenda to strengthen the environmental institutional and legal framework because there was increasing awareness that its previous organizational structure was inadequate, resulting in significant impacts on human health and the environment. In addition, the linkages between environmental management, competitiveness, and economic growth were evident, particularly in Peru’s natural resource-based economic sectors, including mining and fisheries.</w:t>
      </w:r>
    </w:p>
    <w:p w14:paraId="5990FBE0" w14:textId="6F613F37" w:rsidR="008E18F4" w:rsidRPr="003F00AF" w:rsidRDefault="008E18F4" w:rsidP="008E18F4">
      <w:pPr>
        <w:pStyle w:val="ListParagraph"/>
        <w:numPr>
          <w:ilvl w:val="0"/>
          <w:numId w:val="26"/>
        </w:numPr>
        <w:spacing w:after="240"/>
        <w:ind w:left="1195" w:hanging="475"/>
        <w:jc w:val="both"/>
        <w:rPr>
          <w:bCs/>
        </w:rPr>
      </w:pPr>
      <w:r w:rsidRPr="003F00AF">
        <w:rPr>
          <w:b/>
          <w:szCs w:val="22"/>
        </w:rPr>
        <w:t xml:space="preserve">In-depth dialogue between the GoP and the World Bank. </w:t>
      </w:r>
      <w:r w:rsidRPr="003F00AF">
        <w:rPr>
          <w:bCs/>
          <w:szCs w:val="22"/>
        </w:rPr>
        <w:t>The World Bank’s dialogue with the GoP was significantly strengthened with the preparation of analytical work</w:t>
      </w:r>
      <w:r w:rsidRPr="003F00AF">
        <w:rPr>
          <w:bCs/>
          <w:i/>
          <w:szCs w:val="22"/>
        </w:rPr>
        <w:t>,</w:t>
      </w:r>
      <w:r w:rsidRPr="003F00AF">
        <w:rPr>
          <w:bCs/>
          <w:szCs w:val="22"/>
        </w:rPr>
        <w:t xml:space="preserve"> such as the mining assessment and the CEA. This work provided the analytical underpinnings of the operations, presenting a clear picture of environmental degradation in Peru and proposing specific actions that could be implemented in the short to medium term to tackle priority problems. The CEA was also crucial in enhancing the dialogue between the GoP and the World Bank, because it </w:t>
      </w:r>
      <w:r w:rsidRPr="003F00AF">
        <w:rPr>
          <w:bCs/>
        </w:rPr>
        <w:t>demonstrated the value added of the World Bank’s assistance. Moreover, its preparation through a participatory process contributed to build consensus by a broad stakeholder base on the proposed reforms. In addition, through a technical assistance grant funded by the Institutional Development Fund, the World Bank contributed to ensuring that MINAM and MEF monitor the implementation of specific measures and reforms under the ENVDPLs.</w:t>
      </w:r>
    </w:p>
    <w:p w14:paraId="015032EA" w14:textId="5E5DB34F" w:rsidR="00A36D62" w:rsidRPr="003F00AF" w:rsidRDefault="008E18F4" w:rsidP="001A092D">
      <w:pPr>
        <w:pStyle w:val="ListParagraph"/>
        <w:numPr>
          <w:ilvl w:val="0"/>
          <w:numId w:val="26"/>
        </w:numPr>
        <w:spacing w:after="240"/>
        <w:ind w:left="1195" w:hanging="475"/>
        <w:jc w:val="both"/>
        <w:rPr>
          <w:bCs/>
        </w:rPr>
      </w:pPr>
      <w:r w:rsidRPr="003F00AF">
        <w:rPr>
          <w:b/>
        </w:rPr>
        <w:t xml:space="preserve">Long-standing dialogue through </w:t>
      </w:r>
      <w:r w:rsidR="00C24B97">
        <w:rPr>
          <w:b/>
        </w:rPr>
        <w:t xml:space="preserve">a </w:t>
      </w:r>
      <w:r w:rsidRPr="003F00AF">
        <w:rPr>
          <w:b/>
        </w:rPr>
        <w:t xml:space="preserve">programmatic series. </w:t>
      </w:r>
      <w:r w:rsidRPr="003F00AF">
        <w:t>The operation built on the operational experience gained and the progress achieved, in supporting reforms through programmatic DPLs in other countries.</w:t>
      </w:r>
      <w:r w:rsidRPr="003F00AF">
        <w:rPr>
          <w:bCs/>
        </w:rPr>
        <w:t xml:space="preserve"> The series of Programmatic ENVDPL</w:t>
      </w:r>
      <w:r w:rsidR="00C24B97">
        <w:rPr>
          <w:bCs/>
        </w:rPr>
        <w:t>s</w:t>
      </w:r>
      <w:r w:rsidRPr="003F00AF">
        <w:rPr>
          <w:bCs/>
        </w:rPr>
        <w:t xml:space="preserve"> implemented in Mexico, and later in Brazil and Colombia, provided evidence that this type of approach allows a sustained support to gradually implement a series of reforms, taking advantage of early achievements </w:t>
      </w:r>
      <w:r w:rsidR="00170205" w:rsidRPr="003F00AF">
        <w:rPr>
          <w:bCs/>
        </w:rPr>
        <w:t>to build on subsequent actions.</w:t>
      </w:r>
      <w:r w:rsidR="00A36D62" w:rsidRPr="003F00AF">
        <w:rPr>
          <w:bCs/>
        </w:rPr>
        <w:t xml:space="preserve"> This is particularly important for DPLs supporting environmental policy reforms, whose implementation and outcomes are seen in </w:t>
      </w:r>
      <w:r w:rsidR="00C24B97">
        <w:rPr>
          <w:bCs/>
        </w:rPr>
        <w:t xml:space="preserve">the </w:t>
      </w:r>
      <w:r w:rsidR="00A36D62" w:rsidRPr="003F00AF">
        <w:rPr>
          <w:bCs/>
        </w:rPr>
        <w:t xml:space="preserve">medium to long term. Additionally, the DDO of ENVDPL I extended the program’s closing date, which allowed </w:t>
      </w:r>
      <w:r w:rsidR="006C7F6F" w:rsidRPr="003F00AF">
        <w:rPr>
          <w:bCs/>
        </w:rPr>
        <w:t xml:space="preserve">(i) </w:t>
      </w:r>
      <w:r w:rsidR="00A36D62" w:rsidRPr="003F00AF">
        <w:rPr>
          <w:bCs/>
        </w:rPr>
        <w:t>the task team to follow up the program</w:t>
      </w:r>
      <w:r w:rsidR="00C24B97">
        <w:rPr>
          <w:bCs/>
        </w:rPr>
        <w:t>’s</w:t>
      </w:r>
      <w:r w:rsidR="00A36D62" w:rsidRPr="003F00AF">
        <w:rPr>
          <w:bCs/>
        </w:rPr>
        <w:t xml:space="preserve"> implementation for almost seven years</w:t>
      </w:r>
      <w:r w:rsidR="006C7F6F" w:rsidRPr="003F00AF">
        <w:rPr>
          <w:bCs/>
        </w:rPr>
        <w:t xml:space="preserve">, and (ii) the </w:t>
      </w:r>
      <w:r w:rsidR="00A36D62" w:rsidRPr="003F00AF">
        <w:rPr>
          <w:bCs/>
        </w:rPr>
        <w:t xml:space="preserve">GoP to </w:t>
      </w:r>
      <w:r w:rsidR="006C7F6F" w:rsidRPr="003F00AF">
        <w:rPr>
          <w:bCs/>
        </w:rPr>
        <w:t xml:space="preserve">better </w:t>
      </w:r>
      <w:r w:rsidR="00A36D62" w:rsidRPr="003F00AF">
        <w:rPr>
          <w:bCs/>
        </w:rPr>
        <w:t>demonstrate the program</w:t>
      </w:r>
      <w:r w:rsidR="006C7F6F" w:rsidRPr="003F00AF">
        <w:rPr>
          <w:bCs/>
        </w:rPr>
        <w:t xml:space="preserve">’s sustainability and </w:t>
      </w:r>
      <w:r w:rsidR="00A36D62" w:rsidRPr="003F00AF">
        <w:rPr>
          <w:bCs/>
        </w:rPr>
        <w:t>out</w:t>
      </w:r>
      <w:r w:rsidR="006C7F6F" w:rsidRPr="003F00AF">
        <w:rPr>
          <w:bCs/>
        </w:rPr>
        <w:t>comes.</w:t>
      </w:r>
    </w:p>
    <w:p w14:paraId="7745574F" w14:textId="3A4248F5" w:rsidR="001A092D" w:rsidRPr="003F00AF" w:rsidRDefault="006C7F6F" w:rsidP="001A092D">
      <w:pPr>
        <w:pStyle w:val="ListParagraph"/>
        <w:numPr>
          <w:ilvl w:val="0"/>
          <w:numId w:val="1"/>
        </w:numPr>
        <w:spacing w:after="240"/>
        <w:ind w:left="0" w:firstLine="0"/>
        <w:jc w:val="both"/>
        <w:rPr>
          <w:bCs/>
        </w:rPr>
      </w:pPr>
      <w:r w:rsidRPr="003F00AF">
        <w:rPr>
          <w:bCs/>
        </w:rPr>
        <w:t>Other factors negatively affected the program implementation.</w:t>
      </w:r>
      <w:r w:rsidR="001A092D" w:rsidRPr="003F00AF">
        <w:rPr>
          <w:bCs/>
        </w:rPr>
        <w:t xml:space="preserve"> The main challenges originated from the operation’s design:</w:t>
      </w:r>
    </w:p>
    <w:p w14:paraId="67B8539E" w14:textId="3D35009A" w:rsidR="00E415D5" w:rsidRPr="003F00AF" w:rsidRDefault="004F7A09" w:rsidP="00554584">
      <w:pPr>
        <w:pStyle w:val="ListParagraph"/>
        <w:numPr>
          <w:ilvl w:val="0"/>
          <w:numId w:val="30"/>
        </w:numPr>
        <w:spacing w:after="240"/>
        <w:ind w:left="1260" w:hanging="540"/>
        <w:jc w:val="both"/>
        <w:rPr>
          <w:bCs/>
          <w:i/>
        </w:rPr>
      </w:pPr>
      <w:r w:rsidRPr="003F00AF">
        <w:rPr>
          <w:b/>
          <w:bCs/>
        </w:rPr>
        <w:t xml:space="preserve">Coordination </w:t>
      </w:r>
      <w:r w:rsidR="00132F7D" w:rsidRPr="003F00AF">
        <w:rPr>
          <w:b/>
          <w:bCs/>
        </w:rPr>
        <w:t>and institutional capacity of</w:t>
      </w:r>
      <w:r w:rsidRPr="003F00AF">
        <w:rPr>
          <w:b/>
          <w:bCs/>
        </w:rPr>
        <w:t xml:space="preserve"> agencies </w:t>
      </w:r>
      <w:r w:rsidR="001A092D" w:rsidRPr="003F00AF">
        <w:rPr>
          <w:b/>
          <w:bCs/>
        </w:rPr>
        <w:t>involved the program</w:t>
      </w:r>
      <w:r w:rsidR="007C6917" w:rsidRPr="003F00AF">
        <w:rPr>
          <w:b/>
          <w:bCs/>
        </w:rPr>
        <w:t xml:space="preserve"> at national and subnational level</w:t>
      </w:r>
      <w:r w:rsidRPr="003F00AF">
        <w:rPr>
          <w:b/>
          <w:bCs/>
        </w:rPr>
        <w:t>s</w:t>
      </w:r>
      <w:r w:rsidR="001A092D" w:rsidRPr="003F00AF">
        <w:rPr>
          <w:bCs/>
        </w:rPr>
        <w:t xml:space="preserve">. </w:t>
      </w:r>
      <w:r w:rsidR="001A092D" w:rsidRPr="003F00AF">
        <w:rPr>
          <w:szCs w:val="22"/>
        </w:rPr>
        <w:t>MINAM, MEM</w:t>
      </w:r>
      <w:r w:rsidR="00E415D5" w:rsidRPr="003F00AF">
        <w:rPr>
          <w:szCs w:val="22"/>
        </w:rPr>
        <w:t xml:space="preserve">, </w:t>
      </w:r>
      <w:r w:rsidR="00635647" w:rsidRPr="003F00AF">
        <w:rPr>
          <w:color w:val="000000"/>
        </w:rPr>
        <w:t>Ministry of Transport and Communication (</w:t>
      </w:r>
      <w:r w:rsidR="00635647" w:rsidRPr="003F00AF">
        <w:rPr>
          <w:i/>
          <w:color w:val="000000"/>
        </w:rPr>
        <w:t>Ministerio de Transporte y Comunicación</w:t>
      </w:r>
      <w:r w:rsidR="00635647" w:rsidRPr="003F00AF">
        <w:rPr>
          <w:color w:val="000000"/>
        </w:rPr>
        <w:t xml:space="preserve">, </w:t>
      </w:r>
      <w:r w:rsidR="00635647" w:rsidRPr="003F00AF">
        <w:rPr>
          <w:rFonts w:eastAsiaTheme="minorEastAsia"/>
        </w:rPr>
        <w:t xml:space="preserve">MTC), and </w:t>
      </w:r>
      <w:r w:rsidR="00635647" w:rsidRPr="003F00AF">
        <w:rPr>
          <w:color w:val="000000"/>
        </w:rPr>
        <w:t>Ministry of Production (</w:t>
      </w:r>
      <w:r w:rsidR="00635647" w:rsidRPr="003F00AF">
        <w:rPr>
          <w:i/>
          <w:color w:val="000000"/>
        </w:rPr>
        <w:t>Ministerio de Producción</w:t>
      </w:r>
      <w:r w:rsidR="00635647" w:rsidRPr="003F00AF">
        <w:rPr>
          <w:color w:val="000000"/>
        </w:rPr>
        <w:t xml:space="preserve">, </w:t>
      </w:r>
      <w:r w:rsidR="00635647" w:rsidRPr="003F00AF">
        <w:rPr>
          <w:rFonts w:eastAsiaTheme="minorEastAsia"/>
        </w:rPr>
        <w:t>PRODUCE)</w:t>
      </w:r>
      <w:r w:rsidR="00E415D5" w:rsidRPr="003F00AF">
        <w:rPr>
          <w:szCs w:val="22"/>
        </w:rPr>
        <w:t xml:space="preserve"> satisfactorily implemented policy reforms that fell exclusively under their mandate. However, </w:t>
      </w:r>
      <w:r w:rsidR="00620494">
        <w:rPr>
          <w:szCs w:val="22"/>
        </w:rPr>
        <w:t xml:space="preserve">the GoP </w:t>
      </w:r>
      <w:r w:rsidR="00E415D5" w:rsidRPr="003F00AF">
        <w:rPr>
          <w:szCs w:val="22"/>
        </w:rPr>
        <w:t xml:space="preserve">required coordinated efforts from different agencies, at both national and subnational levels, to implement the policy reforms </w:t>
      </w:r>
      <w:r w:rsidR="00620494">
        <w:rPr>
          <w:szCs w:val="22"/>
        </w:rPr>
        <w:t>and achieve results indicators</w:t>
      </w:r>
      <w:r w:rsidR="00620494" w:rsidRPr="003F00AF">
        <w:rPr>
          <w:szCs w:val="22"/>
        </w:rPr>
        <w:t xml:space="preserve"> </w:t>
      </w:r>
      <w:r w:rsidR="00E415D5" w:rsidRPr="003F00AF">
        <w:rPr>
          <w:szCs w:val="22"/>
        </w:rPr>
        <w:t xml:space="preserve">envisaged in Component 1.3 </w:t>
      </w:r>
      <w:r w:rsidR="00E415D5" w:rsidRPr="003F00AF">
        <w:rPr>
          <w:i/>
          <w:szCs w:val="22"/>
        </w:rPr>
        <w:t xml:space="preserve">“Strengthen the framework for environmental quality standards, emissions levels, and environmental monitoring.” </w:t>
      </w:r>
      <w:r w:rsidR="00E415D5" w:rsidRPr="003F00AF">
        <w:rPr>
          <w:szCs w:val="22"/>
        </w:rPr>
        <w:t xml:space="preserve">Although MINAM supported local governments to develop air quality action plans and contingency plans, the final approval and implementation depended on municipal governments. In </w:t>
      </w:r>
      <w:r w:rsidR="00C84E44" w:rsidRPr="003F00AF">
        <w:rPr>
          <w:szCs w:val="22"/>
        </w:rPr>
        <w:t xml:space="preserve">regards to air quality monitoring, </w:t>
      </w:r>
      <w:r w:rsidR="007C6917" w:rsidRPr="003F00AF">
        <w:rPr>
          <w:szCs w:val="22"/>
        </w:rPr>
        <w:t>the program</w:t>
      </w:r>
      <w:r w:rsidR="00D43946">
        <w:rPr>
          <w:szCs w:val="22"/>
        </w:rPr>
        <w:t>’s</w:t>
      </w:r>
      <w:r w:rsidR="007C6917" w:rsidRPr="003F00AF">
        <w:rPr>
          <w:szCs w:val="22"/>
        </w:rPr>
        <w:t xml:space="preserve"> implementation </w:t>
      </w:r>
      <w:r w:rsidR="005F6AA6" w:rsidRPr="003F00AF">
        <w:rPr>
          <w:szCs w:val="22"/>
        </w:rPr>
        <w:t xml:space="preserve">was affected by insufficient technical and financial resources to integrate the monitoring networks of </w:t>
      </w:r>
      <w:r w:rsidR="00C84E44" w:rsidRPr="003F00AF">
        <w:rPr>
          <w:szCs w:val="22"/>
        </w:rPr>
        <w:t>SENAMHI</w:t>
      </w:r>
      <w:r w:rsidR="00EF654B" w:rsidRPr="003F00AF">
        <w:rPr>
          <w:szCs w:val="22"/>
        </w:rPr>
        <w:t xml:space="preserve"> and DIGESA, which are </w:t>
      </w:r>
      <w:r w:rsidR="00744759" w:rsidRPr="003F00AF">
        <w:rPr>
          <w:szCs w:val="22"/>
        </w:rPr>
        <w:t>part of two different ministries.</w:t>
      </w:r>
    </w:p>
    <w:p w14:paraId="684C6C0D" w14:textId="70C14596" w:rsidR="002D0325" w:rsidRPr="002D0325" w:rsidRDefault="005B5125" w:rsidP="005D2AA4">
      <w:pPr>
        <w:pStyle w:val="ListParagraph"/>
        <w:numPr>
          <w:ilvl w:val="0"/>
          <w:numId w:val="30"/>
        </w:numPr>
        <w:autoSpaceDE w:val="0"/>
        <w:autoSpaceDN w:val="0"/>
        <w:adjustRightInd w:val="0"/>
        <w:spacing w:after="240"/>
        <w:ind w:left="1260" w:hanging="540"/>
        <w:jc w:val="both"/>
      </w:pPr>
      <w:r w:rsidRPr="002521CA">
        <w:rPr>
          <w:b/>
          <w:bCs/>
        </w:rPr>
        <w:t xml:space="preserve">Need to refine some </w:t>
      </w:r>
      <w:r w:rsidR="00BE0F72" w:rsidRPr="002521CA">
        <w:rPr>
          <w:b/>
          <w:bCs/>
        </w:rPr>
        <w:t xml:space="preserve">PDO indicators. </w:t>
      </w:r>
      <w:r w:rsidRPr="002521CA">
        <w:rPr>
          <w:bCs/>
        </w:rPr>
        <w:t>S</w:t>
      </w:r>
      <w:r w:rsidR="00BE0F72" w:rsidRPr="002521CA">
        <w:rPr>
          <w:bCs/>
        </w:rPr>
        <w:t>ome indicator</w:t>
      </w:r>
      <w:r w:rsidRPr="002521CA">
        <w:rPr>
          <w:bCs/>
        </w:rPr>
        <w:t xml:space="preserve"> targets would have benefited from a better </w:t>
      </w:r>
      <w:r w:rsidR="00BE0F72" w:rsidRPr="003F00AF">
        <w:t xml:space="preserve">alignment with the </w:t>
      </w:r>
      <w:r w:rsidRPr="003F00AF">
        <w:t>policy actions</w:t>
      </w:r>
      <w:r w:rsidR="00BE0F72" w:rsidRPr="003F00AF">
        <w:t xml:space="preserve">. </w:t>
      </w:r>
      <w:r w:rsidR="00C33E1B" w:rsidRPr="0030360C">
        <w:t xml:space="preserve">For example, </w:t>
      </w:r>
      <w:r w:rsidR="00BE0F72" w:rsidRPr="0030360C">
        <w:t>PDO Indicator 2 referred to SERNANP’s financial strategy without considering that</w:t>
      </w:r>
      <w:r w:rsidR="00C33E1B" w:rsidRPr="0030360C">
        <w:t xml:space="preserve">, although growing faster at </w:t>
      </w:r>
      <w:r w:rsidR="00D43946">
        <w:t xml:space="preserve">the </w:t>
      </w:r>
      <w:r w:rsidR="00C33E1B" w:rsidRPr="0030360C">
        <w:t xml:space="preserve">beginning of strategy implementation, </w:t>
      </w:r>
      <w:r w:rsidR="00BE0F72" w:rsidRPr="0030360C">
        <w:t>the increase</w:t>
      </w:r>
      <w:r w:rsidR="00D43946">
        <w:t>d</w:t>
      </w:r>
      <w:r w:rsidR="00BE0F72" w:rsidRPr="0030360C">
        <w:t xml:space="preserve"> rate of NPA funding</w:t>
      </w:r>
      <w:r w:rsidR="00C33E1B" w:rsidRPr="0030360C">
        <w:t xml:space="preserve"> would become more modest over the years. Instead of the annual budget increase, the target of PDO Indicator 2 should have been the annual budget achieved in a </w:t>
      </w:r>
      <w:r w:rsidR="00C54362" w:rsidRPr="0030360C">
        <w:t xml:space="preserve">target </w:t>
      </w:r>
      <w:r w:rsidR="00C33E1B" w:rsidRPr="0030360C">
        <w:t>year, as envisaged in the financial strategy.</w:t>
      </w:r>
      <w:r w:rsidR="00C33E1B" w:rsidRPr="003F00AF">
        <w:t xml:space="preserve"> </w:t>
      </w:r>
      <w:r w:rsidR="007E2638" w:rsidRPr="003F00AF">
        <w:t xml:space="preserve">Another example is </w:t>
      </w:r>
      <w:r w:rsidR="00210773" w:rsidRPr="003F00AF">
        <w:t>PDO Indicator 3</w:t>
      </w:r>
      <w:r w:rsidR="007E2638" w:rsidRPr="003F00AF">
        <w:t xml:space="preserve">, which </w:t>
      </w:r>
      <w:r w:rsidR="00210773" w:rsidRPr="003F00AF">
        <w:t>refers to a harmonized and integrated air quality monitoring network</w:t>
      </w:r>
      <w:r w:rsidR="002521CA">
        <w:t xml:space="preserve"> for Lima and Callao</w:t>
      </w:r>
      <w:r w:rsidR="00210773" w:rsidRPr="003F00AF">
        <w:t xml:space="preserve">. </w:t>
      </w:r>
      <w:r w:rsidR="00210773" w:rsidRPr="002521CA">
        <w:rPr>
          <w:bCs/>
        </w:rPr>
        <w:t xml:space="preserve">Although </w:t>
      </w:r>
      <w:r w:rsidR="00210773" w:rsidRPr="003F00AF">
        <w:t xml:space="preserve">originally envisaged as a trigger for ENVDPL II, the approval of </w:t>
      </w:r>
      <w:r w:rsidR="00D43946">
        <w:t xml:space="preserve">a </w:t>
      </w:r>
      <w:r w:rsidR="00210773" w:rsidRPr="003F00AF">
        <w:t xml:space="preserve">protocol to harmonize different air quality monitoring networks in metropolitan Lima </w:t>
      </w:r>
      <w:r w:rsidR="007E2638" w:rsidRPr="003F00AF">
        <w:t>was</w:t>
      </w:r>
      <w:r w:rsidR="002521CA">
        <w:t xml:space="preserve"> removed from the policy matrix. </w:t>
      </w:r>
      <w:r w:rsidR="002D0325">
        <w:t>In addition, the Bank revised the target value of PDO Indicator 1</w:t>
      </w:r>
      <w:r w:rsidR="002521CA">
        <w:t>1</w:t>
      </w:r>
      <w:r w:rsidR="002D0325">
        <w:t xml:space="preserve"> at approval of </w:t>
      </w:r>
      <w:r w:rsidR="002D0325" w:rsidRPr="002D0325">
        <w:t xml:space="preserve">ENVDPL II because an important portion of the </w:t>
      </w:r>
      <w:r w:rsidR="002D0325" w:rsidRPr="002521CA">
        <w:rPr>
          <w:i/>
        </w:rPr>
        <w:t>anchoveta</w:t>
      </w:r>
      <w:r w:rsidR="002D0325" w:rsidRPr="002D0325">
        <w:t xml:space="preserve"> fleet workers opted for receiving the compensation envisaged in Peru’s labor legislation, kept their fishing permits, and joined a fleet rotation system – instead of leaving the sector. </w:t>
      </w:r>
      <w:r w:rsidR="002D0325">
        <w:t>However, the</w:t>
      </w:r>
      <w:r w:rsidR="002D0325" w:rsidRPr="002D0325">
        <w:t xml:space="preserve"> revised target value </w:t>
      </w:r>
      <w:r w:rsidR="007D1108">
        <w:t>should have been less ambitious. At that time – and at approval of ENVDPL III, the Bank and the GoP had more information on the trends of</w:t>
      </w:r>
      <w:r w:rsidR="00A564BD">
        <w:t xml:space="preserve"> the</w:t>
      </w:r>
      <w:r w:rsidR="007D1108">
        <w:t xml:space="preserve"> </w:t>
      </w:r>
      <w:r w:rsidR="007D1108" w:rsidRPr="002521CA">
        <w:rPr>
          <w:i/>
        </w:rPr>
        <w:t>anchoveta</w:t>
      </w:r>
      <w:r w:rsidR="007D1108">
        <w:t xml:space="preserve"> quota system, which started in 2008.</w:t>
      </w:r>
    </w:p>
    <w:p w14:paraId="0056DD64" w14:textId="3694D47E" w:rsidR="008E18F4" w:rsidRPr="003F00AF" w:rsidRDefault="008E18F4" w:rsidP="00635647">
      <w:pPr>
        <w:pStyle w:val="ListParagraph"/>
        <w:keepNext/>
        <w:keepLines/>
        <w:numPr>
          <w:ilvl w:val="1"/>
          <w:numId w:val="33"/>
        </w:numPr>
        <w:spacing w:after="240"/>
        <w:rPr>
          <w:i/>
        </w:rPr>
      </w:pPr>
      <w:bookmarkStart w:id="103" w:name="_Toc448507207"/>
      <w:bookmarkStart w:id="104" w:name="_Toc448507369"/>
      <w:r w:rsidRPr="003F00AF">
        <w:rPr>
          <w:i/>
        </w:rPr>
        <w:t>Monitoring and Evaluation (M&amp;E) Design, Implementation and Utilization</w:t>
      </w:r>
      <w:bookmarkEnd w:id="103"/>
      <w:bookmarkEnd w:id="104"/>
    </w:p>
    <w:p w14:paraId="1F77E374" w14:textId="41977B6F" w:rsidR="008E18F4" w:rsidRPr="003B2635" w:rsidRDefault="008E18F4" w:rsidP="00185F4E">
      <w:pPr>
        <w:pStyle w:val="ListParagraph"/>
        <w:numPr>
          <w:ilvl w:val="0"/>
          <w:numId w:val="1"/>
        </w:numPr>
        <w:spacing w:after="240"/>
        <w:ind w:left="0" w:firstLine="0"/>
        <w:jc w:val="both"/>
        <w:rPr>
          <w:rFonts w:eastAsiaTheme="minorEastAsia"/>
        </w:rPr>
      </w:pPr>
      <w:r w:rsidRPr="003B2635">
        <w:rPr>
          <w:b/>
          <w:iCs/>
        </w:rPr>
        <w:t>M&amp;E design.</w:t>
      </w:r>
      <w:r w:rsidRPr="003B2635">
        <w:rPr>
          <w:bCs/>
        </w:rPr>
        <w:t xml:space="preserve"> </w:t>
      </w:r>
      <w:r w:rsidR="002A5DD1" w:rsidRPr="003B2635">
        <w:rPr>
          <w:bCs/>
        </w:rPr>
        <w:t>Despite some design constraints</w:t>
      </w:r>
      <w:r w:rsidR="00D43946">
        <w:rPr>
          <w:bCs/>
        </w:rPr>
        <w:t>,</w:t>
      </w:r>
      <w:r w:rsidR="007D3EA4" w:rsidRPr="003B2635">
        <w:rPr>
          <w:bCs/>
        </w:rPr>
        <w:t xml:space="preserve"> such </w:t>
      </w:r>
      <w:r w:rsidR="00D43946">
        <w:rPr>
          <w:bCs/>
        </w:rPr>
        <w:t xml:space="preserve">as </w:t>
      </w:r>
      <w:r w:rsidR="007D3EA4" w:rsidRPr="003B2635">
        <w:rPr>
          <w:bCs/>
        </w:rPr>
        <w:t xml:space="preserve">the imprecision of some PDO indicators and target values, </w:t>
      </w:r>
      <w:r w:rsidR="002A5DD1" w:rsidRPr="003B2635">
        <w:rPr>
          <w:bCs/>
        </w:rPr>
        <w:t>t</w:t>
      </w:r>
      <w:r w:rsidRPr="003B2635">
        <w:rPr>
          <w:bCs/>
        </w:rPr>
        <w:t>he</w:t>
      </w:r>
      <w:r w:rsidR="003B2635" w:rsidRPr="003B2635">
        <w:rPr>
          <w:bCs/>
        </w:rPr>
        <w:t xml:space="preserve"> M&amp;E design </w:t>
      </w:r>
      <w:r w:rsidR="00760AFF">
        <w:rPr>
          <w:bCs/>
        </w:rPr>
        <w:t xml:space="preserve">allowed for </w:t>
      </w:r>
      <w:r w:rsidR="003B2635">
        <w:rPr>
          <w:bCs/>
        </w:rPr>
        <w:t xml:space="preserve">adequate follow up </w:t>
      </w:r>
      <w:r w:rsidR="00490F9B">
        <w:rPr>
          <w:bCs/>
        </w:rPr>
        <w:t>on</w:t>
      </w:r>
      <w:r w:rsidR="00760AFF">
        <w:rPr>
          <w:bCs/>
        </w:rPr>
        <w:t xml:space="preserve"> </w:t>
      </w:r>
      <w:r w:rsidR="003B2635" w:rsidRPr="003B2635">
        <w:rPr>
          <w:bCs/>
        </w:rPr>
        <w:t xml:space="preserve">the </w:t>
      </w:r>
      <w:r w:rsidR="003B2635">
        <w:rPr>
          <w:bCs/>
        </w:rPr>
        <w:t>program</w:t>
      </w:r>
      <w:r w:rsidR="00760AFF">
        <w:rPr>
          <w:bCs/>
        </w:rPr>
        <w:t>’s</w:t>
      </w:r>
      <w:r w:rsidR="003B2635" w:rsidRPr="003B2635">
        <w:rPr>
          <w:bCs/>
        </w:rPr>
        <w:t xml:space="preserve"> implementation. A </w:t>
      </w:r>
      <w:r w:rsidRPr="003B2635">
        <w:rPr>
          <w:bCs/>
        </w:rPr>
        <w:t>set of outcome indicators</w:t>
      </w:r>
      <w:r w:rsidRPr="003F00AF">
        <w:rPr>
          <w:lang w:eastAsia="zh-TW"/>
        </w:rPr>
        <w:t xml:space="preserve"> was agreed with the GoP during preparation of the first operation and</w:t>
      </w:r>
      <w:r w:rsidR="00870896">
        <w:rPr>
          <w:lang w:eastAsia="zh-TW"/>
        </w:rPr>
        <w:t xml:space="preserve"> maintained </w:t>
      </w:r>
      <w:r w:rsidR="007D3EA4">
        <w:rPr>
          <w:lang w:eastAsia="zh-TW"/>
        </w:rPr>
        <w:t>throughout the series</w:t>
      </w:r>
      <w:r w:rsidRPr="003F00AF">
        <w:rPr>
          <w:lang w:eastAsia="zh-TW"/>
        </w:rPr>
        <w:t xml:space="preserve">, with slight adjustments </w:t>
      </w:r>
      <w:r w:rsidR="004C1627" w:rsidRPr="003E2483">
        <w:rPr>
          <w:lang w:eastAsia="zh-TW"/>
        </w:rPr>
        <w:t>to three indicator targets</w:t>
      </w:r>
      <w:r w:rsidR="002A5DD1" w:rsidRPr="003E2483">
        <w:rPr>
          <w:lang w:eastAsia="zh-TW"/>
        </w:rPr>
        <w:t xml:space="preserve"> (</w:t>
      </w:r>
      <w:r w:rsidR="004C1627" w:rsidRPr="003E2483">
        <w:rPr>
          <w:lang w:eastAsia="zh-TW"/>
        </w:rPr>
        <w:t>for</w:t>
      </w:r>
      <w:r w:rsidR="002A5DD1" w:rsidRPr="003E2483">
        <w:rPr>
          <w:lang w:eastAsia="zh-TW"/>
        </w:rPr>
        <w:t xml:space="preserve"> PDO indicators 1, </w:t>
      </w:r>
      <w:r w:rsidR="00ED4535" w:rsidRPr="003E2483">
        <w:rPr>
          <w:lang w:eastAsia="zh-TW"/>
        </w:rPr>
        <w:t>9</w:t>
      </w:r>
      <w:r w:rsidR="002A5DD1" w:rsidRPr="003E2483">
        <w:rPr>
          <w:lang w:eastAsia="zh-TW"/>
        </w:rPr>
        <w:t xml:space="preserve"> and 1</w:t>
      </w:r>
      <w:r w:rsidR="00ED4535" w:rsidRPr="003E2483">
        <w:rPr>
          <w:lang w:eastAsia="zh-TW"/>
        </w:rPr>
        <w:t>1</w:t>
      </w:r>
      <w:r w:rsidR="002A5DD1" w:rsidRPr="003E2483">
        <w:rPr>
          <w:lang w:eastAsia="zh-TW"/>
        </w:rPr>
        <w:t>)</w:t>
      </w:r>
      <w:r w:rsidRPr="003E2483">
        <w:rPr>
          <w:lang w:eastAsia="zh-TW"/>
        </w:rPr>
        <w:t xml:space="preserve"> </w:t>
      </w:r>
      <w:r w:rsidR="00870896" w:rsidRPr="003E2483">
        <w:rPr>
          <w:lang w:eastAsia="zh-TW"/>
        </w:rPr>
        <w:t xml:space="preserve">during </w:t>
      </w:r>
      <w:r w:rsidRPr="003E2483">
        <w:rPr>
          <w:lang w:eastAsia="zh-TW"/>
        </w:rPr>
        <w:t xml:space="preserve">the preparation of </w:t>
      </w:r>
      <w:r w:rsidR="002A5DD1" w:rsidRPr="003E2483">
        <w:rPr>
          <w:lang w:eastAsia="zh-TW"/>
        </w:rPr>
        <w:t>ENVDPL I</w:t>
      </w:r>
      <w:r w:rsidR="00870896" w:rsidRPr="003E2483">
        <w:rPr>
          <w:lang w:eastAsia="zh-TW"/>
        </w:rPr>
        <w:t>I and I</w:t>
      </w:r>
      <w:r w:rsidR="002A5DD1" w:rsidRPr="003E2483">
        <w:rPr>
          <w:lang w:eastAsia="zh-TW"/>
        </w:rPr>
        <w:t>II</w:t>
      </w:r>
      <w:r w:rsidRPr="003F00AF">
        <w:rPr>
          <w:lang w:eastAsia="zh-TW"/>
        </w:rPr>
        <w:t xml:space="preserve">. </w:t>
      </w:r>
      <w:r w:rsidR="004C1627">
        <w:rPr>
          <w:lang w:eastAsia="zh-TW"/>
        </w:rPr>
        <w:t xml:space="preserve">The </w:t>
      </w:r>
      <w:r w:rsidR="00635647" w:rsidRPr="003F00AF">
        <w:rPr>
          <w:lang w:eastAsia="zh-TW"/>
        </w:rPr>
        <w:t xml:space="preserve">M&amp;E system </w:t>
      </w:r>
      <w:r w:rsidR="004C1627">
        <w:rPr>
          <w:lang w:eastAsia="zh-TW"/>
        </w:rPr>
        <w:t>established</w:t>
      </w:r>
      <w:r w:rsidR="00635647" w:rsidRPr="003F00AF">
        <w:rPr>
          <w:lang w:eastAsia="zh-TW"/>
        </w:rPr>
        <w:t xml:space="preserve"> effective mechanisms for data collection, taking into account existing information and methodologies</w:t>
      </w:r>
      <w:r w:rsidR="002A5DD1">
        <w:rPr>
          <w:lang w:eastAsia="zh-TW"/>
        </w:rPr>
        <w:t xml:space="preserve">, such </w:t>
      </w:r>
      <w:r w:rsidR="002A5DD1" w:rsidRPr="002853C4">
        <w:rPr>
          <w:lang w:eastAsia="zh-TW"/>
        </w:rPr>
        <w:t xml:space="preserve">as air quality data from air quality monitoring systems; regular supervision by </w:t>
      </w:r>
      <w:r w:rsidR="002853C4" w:rsidRPr="002853C4">
        <w:rPr>
          <w:bCs/>
        </w:rPr>
        <w:t>Environmental Assessment and Control Agency (</w:t>
      </w:r>
      <w:r w:rsidR="002853C4" w:rsidRPr="002853C4">
        <w:rPr>
          <w:bCs/>
          <w:i/>
        </w:rPr>
        <w:t>Organismo de Evaluación y Fiscalización Ambiental</w:t>
      </w:r>
      <w:r w:rsidR="002853C4" w:rsidRPr="002853C4">
        <w:rPr>
          <w:bCs/>
        </w:rPr>
        <w:t>, OEFA)</w:t>
      </w:r>
      <w:r w:rsidR="002A5DD1" w:rsidRPr="002853C4">
        <w:rPr>
          <w:lang w:eastAsia="zh-TW"/>
        </w:rPr>
        <w:t xml:space="preserve"> of environmental management plans involving participatory monitoring; continuous follow-up by </w:t>
      </w:r>
      <w:r w:rsidR="002853C4" w:rsidRPr="002853C4">
        <w:rPr>
          <w:lang w:eastAsia="zh-TW"/>
        </w:rPr>
        <w:t xml:space="preserve">the </w:t>
      </w:r>
      <w:r w:rsidR="002853C4" w:rsidRPr="002853C4">
        <w:rPr>
          <w:bCs/>
        </w:rPr>
        <w:t>Fishing Compensation Fund (</w:t>
      </w:r>
      <w:r w:rsidR="002853C4" w:rsidRPr="002853C4">
        <w:rPr>
          <w:bCs/>
          <w:i/>
        </w:rPr>
        <w:t>Fondo de Compensación para el Ordenamiento Pesquero</w:t>
      </w:r>
      <w:r w:rsidR="002853C4" w:rsidRPr="002853C4">
        <w:rPr>
          <w:bCs/>
        </w:rPr>
        <w:t xml:space="preserve">, FONCOPES). </w:t>
      </w:r>
      <w:r w:rsidR="002A5DD1" w:rsidRPr="002853C4">
        <w:rPr>
          <w:lang w:eastAsia="zh-TW"/>
        </w:rPr>
        <w:t xml:space="preserve">FONCOPES of job reinsertion of workers who left the </w:t>
      </w:r>
      <w:r w:rsidR="002A5DD1" w:rsidRPr="002853C4">
        <w:rPr>
          <w:i/>
          <w:lang w:eastAsia="zh-TW"/>
        </w:rPr>
        <w:t>anchoveta</w:t>
      </w:r>
      <w:r w:rsidR="002A5DD1" w:rsidRPr="002853C4">
        <w:rPr>
          <w:lang w:eastAsia="zh-TW"/>
        </w:rPr>
        <w:t xml:space="preserve"> fleet. </w:t>
      </w:r>
      <w:r w:rsidR="004C1627" w:rsidRPr="002853C4">
        <w:rPr>
          <w:lang w:eastAsia="zh-TW"/>
        </w:rPr>
        <w:t xml:space="preserve">At GoP’s </w:t>
      </w:r>
      <w:r w:rsidR="002A5DD1" w:rsidRPr="002853C4">
        <w:rPr>
          <w:lang w:eastAsia="zh-TW"/>
        </w:rPr>
        <w:t>request</w:t>
      </w:r>
      <w:r w:rsidR="004C1627" w:rsidRPr="002853C4">
        <w:rPr>
          <w:lang w:eastAsia="zh-TW"/>
        </w:rPr>
        <w:t>,</w:t>
      </w:r>
      <w:r w:rsidR="002A5DD1" w:rsidRPr="002853C4">
        <w:rPr>
          <w:lang w:eastAsia="zh-TW"/>
        </w:rPr>
        <w:t xml:space="preserve"> the </w:t>
      </w:r>
      <w:r w:rsidR="00A564BD">
        <w:rPr>
          <w:lang w:eastAsia="zh-TW"/>
        </w:rPr>
        <w:t xml:space="preserve">World </w:t>
      </w:r>
      <w:r w:rsidR="002A5DD1" w:rsidRPr="002853C4">
        <w:rPr>
          <w:lang w:eastAsia="zh-TW"/>
        </w:rPr>
        <w:t>Bank</w:t>
      </w:r>
      <w:r w:rsidR="002A5DD1">
        <w:rPr>
          <w:lang w:eastAsia="zh-TW"/>
        </w:rPr>
        <w:t xml:space="preserve"> used additional methodologies outside the program (</w:t>
      </w:r>
      <w:r w:rsidR="006547E7">
        <w:rPr>
          <w:lang w:eastAsia="zh-TW"/>
        </w:rPr>
        <w:t xml:space="preserve">for example, </w:t>
      </w:r>
      <w:r w:rsidR="002A5DD1">
        <w:rPr>
          <w:lang w:eastAsia="zh-TW"/>
        </w:rPr>
        <w:t>estimate of the economic cost of environmental degradation) to assess the results of the ENVDPLs</w:t>
      </w:r>
      <w:r w:rsidR="00793C3B">
        <w:rPr>
          <w:lang w:eastAsia="zh-TW"/>
        </w:rPr>
        <w:t xml:space="preserve"> (see Section 5.1 on Bank Performance)</w:t>
      </w:r>
      <w:r w:rsidR="002A5DD1">
        <w:rPr>
          <w:lang w:eastAsia="zh-TW"/>
        </w:rPr>
        <w:t>. A</w:t>
      </w:r>
      <w:r w:rsidR="00635647" w:rsidRPr="003F00AF">
        <w:rPr>
          <w:lang w:eastAsia="zh-TW"/>
        </w:rPr>
        <w:t xml:space="preserve">ll PDO indicators </w:t>
      </w:r>
      <w:r w:rsidR="002A5DD1">
        <w:rPr>
          <w:lang w:eastAsia="zh-TW"/>
        </w:rPr>
        <w:t>ha</w:t>
      </w:r>
      <w:r w:rsidR="004C1627">
        <w:rPr>
          <w:lang w:eastAsia="zh-TW"/>
        </w:rPr>
        <w:t>d</w:t>
      </w:r>
      <w:r w:rsidR="002A5DD1">
        <w:rPr>
          <w:lang w:eastAsia="zh-TW"/>
        </w:rPr>
        <w:t xml:space="preserve"> clear baselines, </w:t>
      </w:r>
      <w:r w:rsidR="00793C3B">
        <w:rPr>
          <w:lang w:eastAsia="zh-TW"/>
        </w:rPr>
        <w:t xml:space="preserve">which were </w:t>
      </w:r>
      <w:r w:rsidR="004C1627">
        <w:rPr>
          <w:lang w:eastAsia="zh-TW"/>
        </w:rPr>
        <w:t xml:space="preserve">established </w:t>
      </w:r>
      <w:r w:rsidR="002A5DD1">
        <w:rPr>
          <w:lang w:eastAsia="zh-TW"/>
        </w:rPr>
        <w:t>before policy reforms support</w:t>
      </w:r>
      <w:r w:rsidR="004C1627">
        <w:rPr>
          <w:lang w:eastAsia="zh-TW"/>
        </w:rPr>
        <w:t>ed</w:t>
      </w:r>
      <w:r w:rsidR="002A5DD1">
        <w:rPr>
          <w:lang w:eastAsia="zh-TW"/>
        </w:rPr>
        <w:t xml:space="preserve"> by the EN</w:t>
      </w:r>
      <w:r w:rsidR="00793C3B">
        <w:rPr>
          <w:lang w:eastAsia="zh-TW"/>
        </w:rPr>
        <w:t>V</w:t>
      </w:r>
      <w:r w:rsidR="002A5DD1">
        <w:rPr>
          <w:lang w:eastAsia="zh-TW"/>
        </w:rPr>
        <w:t>DPLs</w:t>
      </w:r>
      <w:r w:rsidR="004C1627">
        <w:rPr>
          <w:lang w:eastAsia="zh-TW"/>
        </w:rPr>
        <w:t xml:space="preserve"> entered into force</w:t>
      </w:r>
      <w:r w:rsidR="002A5DD1">
        <w:rPr>
          <w:lang w:eastAsia="zh-TW"/>
        </w:rPr>
        <w:t xml:space="preserve">. These indicators </w:t>
      </w:r>
      <w:r w:rsidR="00635647" w:rsidRPr="003F00AF">
        <w:rPr>
          <w:lang w:eastAsia="zh-TW"/>
        </w:rPr>
        <w:t xml:space="preserve">were </w:t>
      </w:r>
      <w:r w:rsidR="002A5DD1">
        <w:rPr>
          <w:lang w:eastAsia="zh-TW"/>
        </w:rPr>
        <w:t xml:space="preserve">all measurable under the M&amp;E system. Most of them were associated with recommendations from the CEA, which had broad consultations with stakeholders, particularly those agencies in charge of policy implementation. </w:t>
      </w:r>
      <w:r w:rsidRPr="003B2635">
        <w:rPr>
          <w:rFonts w:eastAsiaTheme="minorEastAsia"/>
        </w:rPr>
        <w:t xml:space="preserve">Monitoring and reporting on progress </w:t>
      </w:r>
      <w:r w:rsidR="000C3FDE">
        <w:rPr>
          <w:rFonts w:eastAsiaTheme="minorEastAsia"/>
        </w:rPr>
        <w:t>of</w:t>
      </w:r>
      <w:r w:rsidRPr="003B2635">
        <w:rPr>
          <w:rFonts w:eastAsiaTheme="minorEastAsia"/>
        </w:rPr>
        <w:t xml:space="preserve"> the various policy reforms </w:t>
      </w:r>
      <w:r w:rsidRPr="003F00AF">
        <w:t>was</w:t>
      </w:r>
      <w:r w:rsidRPr="003B2635">
        <w:rPr>
          <w:rFonts w:eastAsiaTheme="minorEastAsia"/>
        </w:rPr>
        <w:t xml:space="preserve"> the responsibility of each of the sectoral agencies involved (</w:t>
      </w:r>
      <w:r w:rsidR="006547E7">
        <w:rPr>
          <w:lang w:eastAsia="zh-TW"/>
        </w:rPr>
        <w:t xml:space="preserve">for example, </w:t>
      </w:r>
      <w:r w:rsidRPr="003B2635">
        <w:rPr>
          <w:rFonts w:eastAsiaTheme="minorEastAsia"/>
        </w:rPr>
        <w:t>MINAM, DIGESA, MEM, MTC, and PRODUCE). At the broader level, the MEF, in close coordination with MINAM, was responsible for coordinating actions and monitoring progress among the concerned agencie</w:t>
      </w:r>
      <w:r w:rsidR="003A77EB" w:rsidRPr="003B2635">
        <w:rPr>
          <w:rFonts w:eastAsiaTheme="minorEastAsia"/>
        </w:rPr>
        <w:t>s.</w:t>
      </w:r>
    </w:p>
    <w:p w14:paraId="555D8D5E" w14:textId="5F071690" w:rsidR="008E18F4" w:rsidRPr="00FD55DA" w:rsidRDefault="008E18F4" w:rsidP="00C37320">
      <w:pPr>
        <w:pStyle w:val="ListParagraph"/>
        <w:numPr>
          <w:ilvl w:val="0"/>
          <w:numId w:val="1"/>
        </w:numPr>
        <w:spacing w:after="240"/>
        <w:ind w:left="0" w:firstLine="0"/>
        <w:jc w:val="both"/>
        <w:rPr>
          <w:bCs/>
        </w:rPr>
      </w:pPr>
      <w:r w:rsidRPr="00FD55DA">
        <w:rPr>
          <w:b/>
          <w:iCs/>
        </w:rPr>
        <w:t>M&amp;E implementation.</w:t>
      </w:r>
      <w:r w:rsidRPr="00FD55DA">
        <w:rPr>
          <w:bCs/>
        </w:rPr>
        <w:t xml:space="preserve"> </w:t>
      </w:r>
      <w:r w:rsidR="00793C3B" w:rsidRPr="00FD55DA">
        <w:rPr>
          <w:bCs/>
        </w:rPr>
        <w:t>Despite some constraints in the program</w:t>
      </w:r>
      <w:r w:rsidR="0005344A">
        <w:rPr>
          <w:bCs/>
        </w:rPr>
        <w:t>’s</w:t>
      </w:r>
      <w:r w:rsidR="00793C3B" w:rsidRPr="00FD55DA">
        <w:rPr>
          <w:bCs/>
        </w:rPr>
        <w:t xml:space="preserve"> implementation</w:t>
      </w:r>
      <w:r w:rsidR="0005344A">
        <w:rPr>
          <w:bCs/>
        </w:rPr>
        <w:t>, given</w:t>
      </w:r>
      <w:r w:rsidR="00793C3B" w:rsidRPr="00FD55DA">
        <w:rPr>
          <w:bCs/>
        </w:rPr>
        <w:t xml:space="preserve"> the need </w:t>
      </w:r>
      <w:r w:rsidR="0005344A">
        <w:rPr>
          <w:bCs/>
        </w:rPr>
        <w:t>to</w:t>
      </w:r>
      <w:r w:rsidR="00793C3B" w:rsidRPr="00FD55DA">
        <w:rPr>
          <w:bCs/>
        </w:rPr>
        <w:t xml:space="preserve"> refin</w:t>
      </w:r>
      <w:r w:rsidR="0005344A">
        <w:rPr>
          <w:bCs/>
        </w:rPr>
        <w:t>e the</w:t>
      </w:r>
      <w:r w:rsidR="00793C3B" w:rsidRPr="00FD55DA">
        <w:rPr>
          <w:bCs/>
        </w:rPr>
        <w:t xml:space="preserve"> design of some indicators and challenges in coordinating actions with subnational governments, t</w:t>
      </w:r>
      <w:r w:rsidRPr="00FD55DA">
        <w:rPr>
          <w:bCs/>
        </w:rPr>
        <w:t>he MEF, MINAM, MEM, and other executing agencies</w:t>
      </w:r>
      <w:r w:rsidR="003A77EB" w:rsidRPr="00FD55DA">
        <w:rPr>
          <w:bCs/>
        </w:rPr>
        <w:t xml:space="preserve"> effectively monitored and evaluated </w:t>
      </w:r>
      <w:r w:rsidRPr="00FD55DA">
        <w:rPr>
          <w:bCs/>
        </w:rPr>
        <w:t xml:space="preserve">the actions included in the Policy Matrix, collecting data needed from the various units within these institutions, as well as the other participating agencies, on time. World </w:t>
      </w:r>
      <w:r w:rsidRPr="00FD55DA">
        <w:rPr>
          <w:rFonts w:eastAsiaTheme="minorEastAsia"/>
        </w:rPr>
        <w:t>Bank staff worked with the key agencies to ensure joint supervision in the monitoring of project activities and allowing for an active flow of policy dialogue. The GoP assessed and supervised implementation of the program, focusing on whether key agencies were carrying out the agreed policy reforms and undertaking due diligence in attaining the development objectives in confo</w:t>
      </w:r>
      <w:r w:rsidR="00370288" w:rsidRPr="00FD55DA">
        <w:rPr>
          <w:rFonts w:eastAsiaTheme="minorEastAsia"/>
        </w:rPr>
        <w:t>rmity with the legal agreement.</w:t>
      </w:r>
      <w:r w:rsidR="00FD55DA" w:rsidRPr="00FD55DA">
        <w:rPr>
          <w:rFonts w:eastAsiaTheme="minorEastAsia"/>
        </w:rPr>
        <w:t xml:space="preserve"> </w:t>
      </w:r>
      <w:r w:rsidR="00FD55DA">
        <w:rPr>
          <w:rFonts w:eastAsiaTheme="minorEastAsia"/>
        </w:rPr>
        <w:t>A</w:t>
      </w:r>
      <w:r w:rsidR="00FD55DA" w:rsidRPr="00FD55DA">
        <w:rPr>
          <w:rFonts w:eastAsiaTheme="minorEastAsia"/>
        </w:rPr>
        <w:t xml:space="preserve">s part of this process, three PDO indicators were revised </w:t>
      </w:r>
      <w:r w:rsidR="00870896">
        <w:rPr>
          <w:rFonts w:eastAsiaTheme="minorEastAsia"/>
        </w:rPr>
        <w:t xml:space="preserve">during the preparation of </w:t>
      </w:r>
      <w:r w:rsidR="00FD55DA" w:rsidRPr="00FD55DA">
        <w:rPr>
          <w:rFonts w:eastAsiaTheme="minorEastAsia"/>
        </w:rPr>
        <w:t>ENVDPL II</w:t>
      </w:r>
      <w:r w:rsidR="00ED4535">
        <w:rPr>
          <w:rFonts w:eastAsiaTheme="minorEastAsia"/>
        </w:rPr>
        <w:t xml:space="preserve"> and III</w:t>
      </w:r>
      <w:r w:rsidR="00FD55DA" w:rsidRPr="00FD55DA">
        <w:rPr>
          <w:rFonts w:eastAsiaTheme="minorEastAsia"/>
        </w:rPr>
        <w:t xml:space="preserve"> in order to improve their precision and </w:t>
      </w:r>
      <w:r w:rsidR="00D940C5">
        <w:rPr>
          <w:rFonts w:eastAsiaTheme="minorEastAsia"/>
        </w:rPr>
        <w:t>reduce ambition in target value</w:t>
      </w:r>
      <w:r w:rsidR="00FD55DA" w:rsidRPr="00FD55DA">
        <w:rPr>
          <w:rFonts w:eastAsiaTheme="minorEastAsia"/>
        </w:rPr>
        <w:t xml:space="preserve">. </w:t>
      </w:r>
      <w:r w:rsidR="003A77EB" w:rsidRPr="00FD55DA">
        <w:rPr>
          <w:rFonts w:eastAsiaTheme="minorEastAsia"/>
        </w:rPr>
        <w:t>In addition, the World Bank supported the GoP through non</w:t>
      </w:r>
      <w:r w:rsidR="00E717BF" w:rsidRPr="00FD55DA">
        <w:rPr>
          <w:rFonts w:eastAsiaTheme="minorEastAsia"/>
        </w:rPr>
        <w:t>-</w:t>
      </w:r>
      <w:r w:rsidR="003A77EB" w:rsidRPr="00FD55DA">
        <w:rPr>
          <w:rFonts w:eastAsiaTheme="minorEastAsia"/>
        </w:rPr>
        <w:t>lending technical assistance, Strengthening Environmental and Natural Resource Institutions (P123881), which was co</w:t>
      </w:r>
      <w:r w:rsidR="00E717BF" w:rsidRPr="00FD55DA">
        <w:rPr>
          <w:rFonts w:eastAsiaTheme="minorEastAsia"/>
        </w:rPr>
        <w:t>-</w:t>
      </w:r>
      <w:r w:rsidR="003A77EB" w:rsidRPr="00FD55DA">
        <w:rPr>
          <w:rFonts w:eastAsiaTheme="minorEastAsia"/>
        </w:rPr>
        <w:t xml:space="preserve">financed by a </w:t>
      </w:r>
      <w:r w:rsidR="005B5125" w:rsidRPr="00FD55DA">
        <w:rPr>
          <w:rFonts w:eastAsiaTheme="minorEastAsia"/>
        </w:rPr>
        <w:t xml:space="preserve">small </w:t>
      </w:r>
      <w:r w:rsidR="003A77EB" w:rsidRPr="00FD55DA">
        <w:rPr>
          <w:rFonts w:eastAsiaTheme="minorEastAsia"/>
        </w:rPr>
        <w:t xml:space="preserve">grant from the Spanish Trust Fund for Latin America and the Caribbean. This technical assistance supported MINAM </w:t>
      </w:r>
      <w:r w:rsidR="00F275C4">
        <w:rPr>
          <w:rFonts w:eastAsiaTheme="minorEastAsia"/>
        </w:rPr>
        <w:t xml:space="preserve">in </w:t>
      </w:r>
      <w:r w:rsidR="003A77EB" w:rsidRPr="00FD55DA">
        <w:rPr>
          <w:rFonts w:eastAsiaTheme="minorEastAsia"/>
        </w:rPr>
        <w:t>monitoring the implementation of specific measures and reforms under the DPL program, as well as identifying the next stage of environmental policy reforms.</w:t>
      </w:r>
    </w:p>
    <w:p w14:paraId="46BEFF00" w14:textId="379EF2CC" w:rsidR="00191945" w:rsidRDefault="00370288" w:rsidP="00191945">
      <w:pPr>
        <w:pStyle w:val="ListParagraph"/>
        <w:numPr>
          <w:ilvl w:val="0"/>
          <w:numId w:val="1"/>
        </w:numPr>
        <w:autoSpaceDE w:val="0"/>
        <w:autoSpaceDN w:val="0"/>
        <w:adjustRightInd w:val="0"/>
        <w:spacing w:after="240"/>
        <w:ind w:left="0" w:firstLine="0"/>
        <w:jc w:val="both"/>
        <w:rPr>
          <w:iCs/>
        </w:rPr>
      </w:pPr>
      <w:r w:rsidRPr="00191945">
        <w:rPr>
          <w:b/>
          <w:iCs/>
        </w:rPr>
        <w:t>M&amp;E utilization.</w:t>
      </w:r>
      <w:r w:rsidR="003A77EB" w:rsidRPr="00191945">
        <w:rPr>
          <w:b/>
          <w:iCs/>
        </w:rPr>
        <w:t xml:space="preserve"> </w:t>
      </w:r>
      <w:r w:rsidR="003A77EB" w:rsidRPr="00191945">
        <w:rPr>
          <w:iCs/>
        </w:rPr>
        <w:t xml:space="preserve">The </w:t>
      </w:r>
      <w:r w:rsidR="00037341" w:rsidRPr="00191945">
        <w:rPr>
          <w:iCs/>
        </w:rPr>
        <w:t xml:space="preserve">GoP disseminated to stakeholders relevant data collected by </w:t>
      </w:r>
      <w:r w:rsidR="00F275C4">
        <w:rPr>
          <w:iCs/>
        </w:rPr>
        <w:t xml:space="preserve">the </w:t>
      </w:r>
      <w:r w:rsidR="00037341" w:rsidRPr="00191945">
        <w:rPr>
          <w:iCs/>
        </w:rPr>
        <w:t>M</w:t>
      </w:r>
      <w:r w:rsidR="00635647" w:rsidRPr="00191945">
        <w:rPr>
          <w:iCs/>
        </w:rPr>
        <w:t xml:space="preserve">&amp;E system </w:t>
      </w:r>
      <w:r w:rsidR="00037341" w:rsidRPr="00191945">
        <w:rPr>
          <w:iCs/>
        </w:rPr>
        <w:t>through reports and institutional websites</w:t>
      </w:r>
      <w:r w:rsidR="00B91E62" w:rsidRPr="00191945">
        <w:rPr>
          <w:iCs/>
        </w:rPr>
        <w:t>.</w:t>
      </w:r>
      <w:r w:rsidR="00B91E62">
        <w:rPr>
          <w:rStyle w:val="FootnoteReference"/>
          <w:iCs/>
        </w:rPr>
        <w:footnoteReference w:id="9"/>
      </w:r>
      <w:r w:rsidR="00B91E62" w:rsidRPr="00191945">
        <w:rPr>
          <w:iCs/>
        </w:rPr>
        <w:t xml:space="preserve"> </w:t>
      </w:r>
      <w:r w:rsidR="00943F85" w:rsidRPr="00191945">
        <w:rPr>
          <w:iCs/>
        </w:rPr>
        <w:t xml:space="preserve">The M&amp;E </w:t>
      </w:r>
      <w:r w:rsidR="00F275C4">
        <w:rPr>
          <w:iCs/>
        </w:rPr>
        <w:t xml:space="preserve">findings </w:t>
      </w:r>
      <w:r w:rsidR="00943F85">
        <w:rPr>
          <w:iCs/>
        </w:rPr>
        <w:t xml:space="preserve">went beyond </w:t>
      </w:r>
      <w:r w:rsidR="00943F85" w:rsidRPr="00191945">
        <w:rPr>
          <w:iCs/>
        </w:rPr>
        <w:t>measur</w:t>
      </w:r>
      <w:r w:rsidR="00943F85">
        <w:rPr>
          <w:iCs/>
        </w:rPr>
        <w:t xml:space="preserve">ing </w:t>
      </w:r>
      <w:r w:rsidR="00943F85" w:rsidRPr="00191945">
        <w:rPr>
          <w:iCs/>
        </w:rPr>
        <w:t>input application or outputs</w:t>
      </w:r>
      <w:r w:rsidR="00943F85">
        <w:rPr>
          <w:iCs/>
        </w:rPr>
        <w:t xml:space="preserve">, and measured the </w:t>
      </w:r>
      <w:r w:rsidR="00F275C4">
        <w:rPr>
          <w:iCs/>
        </w:rPr>
        <w:t xml:space="preserve">extent of </w:t>
      </w:r>
      <w:r w:rsidR="00943F85">
        <w:rPr>
          <w:iCs/>
        </w:rPr>
        <w:t>outcomes achieved with the policy reforms (see Section 3.2 on</w:t>
      </w:r>
      <w:r w:rsidR="00943F85" w:rsidRPr="00191945">
        <w:rPr>
          <w:iCs/>
        </w:rPr>
        <w:t xml:space="preserve"> </w:t>
      </w:r>
      <w:r w:rsidR="00943F85" w:rsidRPr="00191945">
        <w:t>Achievement of Program Development Objectives)</w:t>
      </w:r>
      <w:r w:rsidR="00943F85">
        <w:t xml:space="preserve">. </w:t>
      </w:r>
      <w:r w:rsidR="00D44E08" w:rsidRPr="00191945">
        <w:rPr>
          <w:iCs/>
        </w:rPr>
        <w:t>T</w:t>
      </w:r>
      <w:r w:rsidR="00037341" w:rsidRPr="00191945">
        <w:rPr>
          <w:iCs/>
        </w:rPr>
        <w:t xml:space="preserve">he M&amp;E </w:t>
      </w:r>
      <w:r w:rsidR="00943F85">
        <w:rPr>
          <w:iCs/>
        </w:rPr>
        <w:t xml:space="preserve">data </w:t>
      </w:r>
      <w:r w:rsidR="00635647" w:rsidRPr="00191945">
        <w:rPr>
          <w:iCs/>
        </w:rPr>
        <w:t xml:space="preserve">informed the GoP </w:t>
      </w:r>
      <w:r w:rsidR="00D44E08" w:rsidRPr="00191945">
        <w:rPr>
          <w:iCs/>
        </w:rPr>
        <w:t>not only on possible adjustments during the DPL series</w:t>
      </w:r>
      <w:r w:rsidR="00F275C4">
        <w:rPr>
          <w:iCs/>
        </w:rPr>
        <w:t>,</w:t>
      </w:r>
      <w:r w:rsidR="00191945" w:rsidRPr="00191945">
        <w:rPr>
          <w:iCs/>
        </w:rPr>
        <w:t xml:space="preserve"> particularly in regards to triggers and results indicators</w:t>
      </w:r>
      <w:r w:rsidR="00D44E08" w:rsidRPr="00191945">
        <w:rPr>
          <w:iCs/>
        </w:rPr>
        <w:t xml:space="preserve">, but also </w:t>
      </w:r>
      <w:r w:rsidR="00635647" w:rsidRPr="00191945">
        <w:rPr>
          <w:iCs/>
        </w:rPr>
        <w:t>on new polic</w:t>
      </w:r>
      <w:r w:rsidR="00991FB7" w:rsidRPr="00191945">
        <w:rPr>
          <w:iCs/>
        </w:rPr>
        <w:t xml:space="preserve">ies </w:t>
      </w:r>
      <w:r w:rsidR="00635647" w:rsidRPr="00191945">
        <w:rPr>
          <w:iCs/>
        </w:rPr>
        <w:t>and investment</w:t>
      </w:r>
      <w:r w:rsidR="00D44E08" w:rsidRPr="00191945">
        <w:rPr>
          <w:iCs/>
        </w:rPr>
        <w:t>s</w:t>
      </w:r>
      <w:r w:rsidR="00635647" w:rsidRPr="00191945">
        <w:rPr>
          <w:iCs/>
        </w:rPr>
        <w:t>. For instance, based on the results of the EIA review</w:t>
      </w:r>
      <w:r w:rsidR="00F275C4">
        <w:rPr>
          <w:iCs/>
        </w:rPr>
        <w:t>s</w:t>
      </w:r>
      <w:r w:rsidR="00635647" w:rsidRPr="00191945">
        <w:rPr>
          <w:iCs/>
        </w:rPr>
        <w:t xml:space="preserve"> carried out by MINAM (PDO Indicator 1), the GoP reformed the country’s environmental impact assessment system and created </w:t>
      </w:r>
      <w:r w:rsidR="00F275C4">
        <w:rPr>
          <w:iCs/>
        </w:rPr>
        <w:t xml:space="preserve">the </w:t>
      </w:r>
      <w:r w:rsidR="00F44FB7" w:rsidRPr="00191945">
        <w:rPr>
          <w:iCs/>
        </w:rPr>
        <w:t>National Service of Environmental Certification for Sustainable Investments (</w:t>
      </w:r>
      <w:r w:rsidR="00F44FB7" w:rsidRPr="003E2483">
        <w:rPr>
          <w:i/>
          <w:iCs/>
        </w:rPr>
        <w:t>Servicio Nacional de Certificación Ambiental para Inversiones Sostenibles</w:t>
      </w:r>
      <w:r w:rsidR="00F44FB7" w:rsidRPr="00191945">
        <w:rPr>
          <w:iCs/>
        </w:rPr>
        <w:t>, SENACE)</w:t>
      </w:r>
      <w:r w:rsidR="00635647" w:rsidRPr="00191945">
        <w:rPr>
          <w:iCs/>
        </w:rPr>
        <w:t xml:space="preserve">. </w:t>
      </w:r>
      <w:r w:rsidR="00553B1D" w:rsidRPr="00191945">
        <w:rPr>
          <w:iCs/>
        </w:rPr>
        <w:t>A</w:t>
      </w:r>
      <w:r w:rsidR="00635647" w:rsidRPr="00191945">
        <w:rPr>
          <w:iCs/>
        </w:rPr>
        <w:t xml:space="preserve">s part of </w:t>
      </w:r>
      <w:r w:rsidR="00553B1D" w:rsidRPr="00191945">
        <w:rPr>
          <w:iCs/>
        </w:rPr>
        <w:t xml:space="preserve">the </w:t>
      </w:r>
      <w:r w:rsidR="00991FB7" w:rsidRPr="00191945">
        <w:rPr>
          <w:iCs/>
        </w:rPr>
        <w:t xml:space="preserve">M&amp;E </w:t>
      </w:r>
      <w:r w:rsidR="00553B1D" w:rsidRPr="00191945">
        <w:rPr>
          <w:iCs/>
        </w:rPr>
        <w:t xml:space="preserve">of the mining component, the GoP gathered key information to </w:t>
      </w:r>
      <w:r w:rsidR="00991FB7" w:rsidRPr="00191945">
        <w:rPr>
          <w:iCs/>
        </w:rPr>
        <w:t xml:space="preserve">better allocate </w:t>
      </w:r>
      <w:r w:rsidR="00553B1D" w:rsidRPr="00191945">
        <w:rPr>
          <w:iCs/>
        </w:rPr>
        <w:t xml:space="preserve">resources </w:t>
      </w:r>
      <w:r w:rsidR="00635647" w:rsidRPr="00191945">
        <w:rPr>
          <w:iCs/>
        </w:rPr>
        <w:t xml:space="preserve">for </w:t>
      </w:r>
      <w:r w:rsidR="00991FB7" w:rsidRPr="00191945">
        <w:rPr>
          <w:iCs/>
        </w:rPr>
        <w:t xml:space="preserve">remedying </w:t>
      </w:r>
      <w:r w:rsidR="00635647" w:rsidRPr="00191945">
        <w:rPr>
          <w:iCs/>
        </w:rPr>
        <w:t>priority MEL</w:t>
      </w:r>
      <w:r w:rsidR="00991FB7" w:rsidRPr="00191945">
        <w:rPr>
          <w:iCs/>
        </w:rPr>
        <w:t>s</w:t>
      </w:r>
      <w:r w:rsidR="00635647" w:rsidRPr="00191945">
        <w:rPr>
          <w:iCs/>
        </w:rPr>
        <w:t>.</w:t>
      </w:r>
      <w:r w:rsidR="00553B1D" w:rsidRPr="00191945">
        <w:rPr>
          <w:iCs/>
        </w:rPr>
        <w:t xml:space="preserve"> Similarly, the </w:t>
      </w:r>
      <w:r w:rsidR="00991FB7" w:rsidRPr="00191945">
        <w:rPr>
          <w:iCs/>
        </w:rPr>
        <w:t xml:space="preserve">M&amp;E of the </w:t>
      </w:r>
      <w:r w:rsidR="00553B1D" w:rsidRPr="00191945">
        <w:rPr>
          <w:iCs/>
        </w:rPr>
        <w:t>air quality management component</w:t>
      </w:r>
      <w:r w:rsidR="00991FB7" w:rsidRPr="00191945">
        <w:rPr>
          <w:iCs/>
        </w:rPr>
        <w:t xml:space="preserve"> provided </w:t>
      </w:r>
      <w:r w:rsidR="00553B1D" w:rsidRPr="00191945">
        <w:rPr>
          <w:iCs/>
        </w:rPr>
        <w:t xml:space="preserve">relevant information to </w:t>
      </w:r>
      <w:r w:rsidR="00991FB7" w:rsidRPr="00191945">
        <w:rPr>
          <w:iCs/>
        </w:rPr>
        <w:t xml:space="preserve">the GoP, which was used for defining new </w:t>
      </w:r>
      <w:r w:rsidR="00553B1D" w:rsidRPr="00191945">
        <w:rPr>
          <w:iCs/>
        </w:rPr>
        <w:t>polic</w:t>
      </w:r>
      <w:r w:rsidR="00991FB7" w:rsidRPr="00191945">
        <w:rPr>
          <w:iCs/>
        </w:rPr>
        <w:t>ies (</w:t>
      </w:r>
      <w:r w:rsidR="006547E7">
        <w:rPr>
          <w:lang w:eastAsia="zh-TW"/>
        </w:rPr>
        <w:t xml:space="preserve">for example, </w:t>
      </w:r>
      <w:r w:rsidR="00991FB7" w:rsidRPr="00191945">
        <w:rPr>
          <w:iCs/>
        </w:rPr>
        <w:t>reducing sulfur content from diesel)</w:t>
      </w:r>
      <w:r w:rsidR="00553B1D" w:rsidRPr="00191945">
        <w:rPr>
          <w:iCs/>
        </w:rPr>
        <w:t xml:space="preserve"> </w:t>
      </w:r>
      <w:r w:rsidR="00991FB7" w:rsidRPr="00191945">
        <w:rPr>
          <w:iCs/>
        </w:rPr>
        <w:t xml:space="preserve">and </w:t>
      </w:r>
      <w:r w:rsidR="00553B1D" w:rsidRPr="00191945">
        <w:rPr>
          <w:iCs/>
        </w:rPr>
        <w:t>prepar</w:t>
      </w:r>
      <w:r w:rsidR="00991FB7" w:rsidRPr="00191945">
        <w:rPr>
          <w:iCs/>
        </w:rPr>
        <w:t xml:space="preserve">ing </w:t>
      </w:r>
      <w:r w:rsidR="00553B1D" w:rsidRPr="00191945">
        <w:rPr>
          <w:iCs/>
        </w:rPr>
        <w:t>investment</w:t>
      </w:r>
      <w:r w:rsidR="00D940C5">
        <w:rPr>
          <w:iCs/>
        </w:rPr>
        <w:t>s</w:t>
      </w:r>
      <w:r w:rsidR="00991FB7" w:rsidRPr="00191945">
        <w:rPr>
          <w:iCs/>
        </w:rPr>
        <w:t xml:space="preserve"> </w:t>
      </w:r>
      <w:r w:rsidR="00D940C5">
        <w:rPr>
          <w:iCs/>
        </w:rPr>
        <w:t xml:space="preserve">from MINAM, SEMANHI and DIGESA </w:t>
      </w:r>
      <w:r w:rsidR="00530DAD">
        <w:rPr>
          <w:iCs/>
        </w:rPr>
        <w:t xml:space="preserve">to support further </w:t>
      </w:r>
      <w:r w:rsidR="00553B1D" w:rsidRPr="00191945">
        <w:rPr>
          <w:iCs/>
        </w:rPr>
        <w:t>air quality monitoring.</w:t>
      </w:r>
    </w:p>
    <w:p w14:paraId="403C4212" w14:textId="31C4F10F" w:rsidR="00FA63F1" w:rsidRPr="00DA4399" w:rsidRDefault="00DA4399" w:rsidP="00FD7152">
      <w:pPr>
        <w:pStyle w:val="ListParagraph"/>
        <w:numPr>
          <w:ilvl w:val="0"/>
          <w:numId w:val="1"/>
        </w:numPr>
        <w:autoSpaceDE w:val="0"/>
        <w:autoSpaceDN w:val="0"/>
        <w:adjustRightInd w:val="0"/>
        <w:spacing w:after="240"/>
        <w:ind w:left="0" w:firstLine="0"/>
        <w:jc w:val="both"/>
        <w:rPr>
          <w:iCs/>
        </w:rPr>
      </w:pPr>
      <w:r w:rsidRPr="00DA4399">
        <w:rPr>
          <w:iCs/>
        </w:rPr>
        <w:t xml:space="preserve">Overall, the M&amp;E system as designed and implemented was sufficient to assess the achievement of the objectives and test the links in the results chain, but there were moderate </w:t>
      </w:r>
      <w:r>
        <w:rPr>
          <w:iCs/>
        </w:rPr>
        <w:t xml:space="preserve">constraints </w:t>
      </w:r>
      <w:r w:rsidRPr="00DA4399">
        <w:rPr>
          <w:iCs/>
        </w:rPr>
        <w:t xml:space="preserve">in </w:t>
      </w:r>
      <w:r>
        <w:rPr>
          <w:iCs/>
        </w:rPr>
        <w:t>M&amp;E design and implementation.</w:t>
      </w:r>
      <w:r w:rsidRPr="00DA4399">
        <w:rPr>
          <w:iCs/>
        </w:rPr>
        <w:t xml:space="preserve"> </w:t>
      </w:r>
      <w:r w:rsidR="00FA63F1" w:rsidRPr="00DA4399">
        <w:rPr>
          <w:iCs/>
        </w:rPr>
        <w:t xml:space="preserve">The quality of the M&amp;E is rated </w:t>
      </w:r>
      <w:r w:rsidR="00FA63F1" w:rsidRPr="00DA4399">
        <w:rPr>
          <w:i/>
          <w:iCs/>
        </w:rPr>
        <w:t>Substantial.</w:t>
      </w:r>
    </w:p>
    <w:p w14:paraId="638C49C6" w14:textId="36646542" w:rsidR="008E18F4" w:rsidRPr="003F00AF" w:rsidRDefault="008E18F4" w:rsidP="008E18F4">
      <w:pPr>
        <w:pStyle w:val="ListParagraph"/>
        <w:keepNext/>
        <w:keepLines/>
        <w:spacing w:after="240"/>
        <w:ind w:left="0"/>
        <w:rPr>
          <w:i/>
        </w:rPr>
      </w:pPr>
      <w:bookmarkStart w:id="105" w:name="_Toc448507208"/>
      <w:bookmarkStart w:id="106" w:name="_Toc448507370"/>
      <w:r w:rsidRPr="003F00AF">
        <w:rPr>
          <w:i/>
        </w:rPr>
        <w:t>2.4</w:t>
      </w:r>
      <w:r w:rsidR="00BA4AEC" w:rsidRPr="003F00AF">
        <w:rPr>
          <w:i/>
        </w:rPr>
        <w:tab/>
      </w:r>
      <w:r w:rsidRPr="003F00AF">
        <w:rPr>
          <w:i/>
        </w:rPr>
        <w:t>Expected Next Phase/Follow-up Operation</w:t>
      </w:r>
      <w:bookmarkEnd w:id="105"/>
      <w:bookmarkEnd w:id="106"/>
    </w:p>
    <w:p w14:paraId="17F71B68" w14:textId="0DC9CA2C" w:rsidR="008E18F4" w:rsidRDefault="008E18F4" w:rsidP="00987667">
      <w:pPr>
        <w:pStyle w:val="ListParagraph"/>
        <w:numPr>
          <w:ilvl w:val="0"/>
          <w:numId w:val="1"/>
        </w:numPr>
        <w:spacing w:after="240"/>
        <w:ind w:left="0" w:firstLine="0"/>
        <w:jc w:val="both"/>
      </w:pPr>
      <w:r w:rsidRPr="003F00AF">
        <w:t>The ENVDPLs supported first-generation reforms, such as enacting policies and instruments, strengthening institutional capacity, and establishing pollution standards. These reforms have provided the institutional and regulatory conditions for improved environmental management and outcomes. There is a need for further investment in more complex reforms and actions that build upon the foundations of the ENVDPLs. In this context, based on preliminary assessment</w:t>
      </w:r>
      <w:r w:rsidR="006A4CF0">
        <w:t>s</w:t>
      </w:r>
      <w:r w:rsidRPr="003F00AF">
        <w:t xml:space="preserve"> of policy reforms</w:t>
      </w:r>
      <w:r w:rsidR="006A4CF0">
        <w:t>,</w:t>
      </w:r>
      <w:r w:rsidR="000D6874">
        <w:rPr>
          <w:rStyle w:val="FootnoteReference"/>
          <w:rFonts w:eastAsiaTheme="minorEastAsia"/>
        </w:rPr>
        <w:footnoteReference w:id="10"/>
      </w:r>
      <w:r w:rsidRPr="00F722E4">
        <w:rPr>
          <w:rFonts w:eastAsiaTheme="minorEastAsia"/>
        </w:rPr>
        <w:t xml:space="preserve"> </w:t>
      </w:r>
      <w:r w:rsidRPr="003F00AF">
        <w:t xml:space="preserve">the GoP requested the World Bank’s support through an investment loan, the </w:t>
      </w:r>
      <w:r w:rsidR="00587ABD">
        <w:t>“</w:t>
      </w:r>
      <w:hyperlink r:id="rId16" w:history="1">
        <w:r w:rsidRPr="00587ABD">
          <w:rPr>
            <w:i/>
            <w:iCs/>
          </w:rPr>
          <w:t>Peru</w:t>
        </w:r>
        <w:r w:rsidRPr="00587ABD">
          <w:rPr>
            <w:i/>
          </w:rPr>
          <w:t xml:space="preserve"> </w:t>
        </w:r>
        <w:r w:rsidRPr="00587ABD">
          <w:rPr>
            <w:i/>
            <w:iCs/>
          </w:rPr>
          <w:t>Investments</w:t>
        </w:r>
        <w:r w:rsidRPr="00587ABD">
          <w:rPr>
            <w:i/>
          </w:rPr>
          <w:t xml:space="preserve"> for </w:t>
        </w:r>
        <w:r w:rsidRPr="00587ABD">
          <w:rPr>
            <w:i/>
            <w:iCs/>
          </w:rPr>
          <w:t>Environmentally</w:t>
        </w:r>
        <w:r w:rsidRPr="00587ABD">
          <w:rPr>
            <w:i/>
          </w:rPr>
          <w:t xml:space="preserve"> Sustainable Development</w:t>
        </w:r>
      </w:hyperlink>
      <w:r w:rsidR="00587ABD" w:rsidRPr="00587ABD">
        <w:t>”</w:t>
      </w:r>
      <w:r w:rsidRPr="003F00AF">
        <w:t xml:space="preserve"> (P147342), which is under preparation. This operation aims to support the GoP to improve its environmental monitoring and analytical capacity, to enable the public to have timely access to environmental quality information, and to promote informed public participation in environmental quality management.</w:t>
      </w:r>
      <w:r w:rsidR="00987667">
        <w:t xml:space="preserve"> In addition, the </w:t>
      </w:r>
      <w:r w:rsidR="00A564BD">
        <w:t>World Bank</w:t>
      </w:r>
      <w:r w:rsidR="00987667">
        <w:t xml:space="preserve"> supported the GoP with the analytical work </w:t>
      </w:r>
      <w:r w:rsidR="00987667">
        <w:rPr>
          <w:i/>
        </w:rPr>
        <w:t xml:space="preserve">“Peru: Policies to Enhance Socioenvironmental Conflict Resolution in Mining” </w:t>
      </w:r>
      <w:r w:rsidR="00987667">
        <w:t>(P145711)</w:t>
      </w:r>
      <w:r w:rsidR="0077361B">
        <w:t xml:space="preserve">, </w:t>
      </w:r>
      <w:r w:rsidR="00F021F3">
        <w:t xml:space="preserve">which </w:t>
      </w:r>
      <w:r w:rsidR="0077361B">
        <w:t>proposed a series of policy, investment and capacity building options to consolidate environmental aspects in the mining sector.</w:t>
      </w:r>
    </w:p>
    <w:p w14:paraId="7DE31C86" w14:textId="24386AE0" w:rsidR="008E18F4" w:rsidRPr="003F00AF" w:rsidRDefault="00BA4AEC" w:rsidP="008E18F4">
      <w:pPr>
        <w:pStyle w:val="Heading1"/>
        <w:keepNext/>
        <w:keepLines/>
        <w:spacing w:before="0" w:beforeAutospacing="0" w:after="240"/>
        <w:rPr>
          <w:sz w:val="24"/>
          <w:szCs w:val="24"/>
        </w:rPr>
      </w:pPr>
      <w:bookmarkStart w:id="107" w:name="_Toc448507209"/>
      <w:bookmarkStart w:id="108" w:name="_Toc463040014"/>
      <w:r w:rsidRPr="003F00AF">
        <w:rPr>
          <w:sz w:val="24"/>
          <w:szCs w:val="24"/>
        </w:rPr>
        <w:t>3.</w:t>
      </w:r>
      <w:r w:rsidRPr="003F00AF">
        <w:rPr>
          <w:sz w:val="24"/>
          <w:szCs w:val="24"/>
        </w:rPr>
        <w:tab/>
      </w:r>
      <w:r w:rsidR="008E18F4" w:rsidRPr="003F00AF">
        <w:rPr>
          <w:sz w:val="24"/>
          <w:szCs w:val="24"/>
        </w:rPr>
        <w:t>Assessment of Outcomes</w:t>
      </w:r>
      <w:bookmarkEnd w:id="98"/>
      <w:bookmarkEnd w:id="99"/>
      <w:bookmarkEnd w:id="100"/>
      <w:bookmarkEnd w:id="107"/>
      <w:bookmarkEnd w:id="108"/>
      <w:r w:rsidR="008E18F4" w:rsidRPr="003F00AF">
        <w:rPr>
          <w:sz w:val="24"/>
          <w:szCs w:val="24"/>
        </w:rPr>
        <w:t xml:space="preserve"> </w:t>
      </w:r>
    </w:p>
    <w:p w14:paraId="0CCA4648" w14:textId="52BC43CF" w:rsidR="008E18F4" w:rsidRPr="003F00AF" w:rsidRDefault="008E18F4" w:rsidP="00AE6358">
      <w:pPr>
        <w:pStyle w:val="ListParagraph"/>
        <w:keepNext/>
        <w:keepLines/>
        <w:numPr>
          <w:ilvl w:val="1"/>
          <w:numId w:val="28"/>
        </w:numPr>
        <w:spacing w:after="240"/>
        <w:rPr>
          <w:i/>
        </w:rPr>
      </w:pPr>
      <w:bookmarkStart w:id="109" w:name="_Toc448507210"/>
      <w:bookmarkStart w:id="110" w:name="_Toc448507372"/>
      <w:r w:rsidRPr="003F00AF">
        <w:rPr>
          <w:i/>
        </w:rPr>
        <w:t>Relevance of Objectives, Design and Implementation</w:t>
      </w:r>
      <w:bookmarkEnd w:id="109"/>
      <w:bookmarkEnd w:id="110"/>
    </w:p>
    <w:p w14:paraId="08F70052" w14:textId="51AEFB38" w:rsidR="008E18F4" w:rsidRPr="00046DD4" w:rsidRDefault="00A533CD" w:rsidP="00046DD4">
      <w:pPr>
        <w:pStyle w:val="ListParagraph"/>
        <w:numPr>
          <w:ilvl w:val="0"/>
          <w:numId w:val="1"/>
        </w:numPr>
        <w:autoSpaceDE w:val="0"/>
        <w:autoSpaceDN w:val="0"/>
        <w:adjustRightInd w:val="0"/>
        <w:spacing w:after="240"/>
        <w:ind w:left="0" w:firstLine="0"/>
        <w:jc w:val="both"/>
        <w:rPr>
          <w:bCs/>
        </w:rPr>
      </w:pPr>
      <w:r w:rsidRPr="00046DD4">
        <w:rPr>
          <w:b/>
          <w:bCs/>
          <w:i/>
        </w:rPr>
        <w:t>Relevance of objectives.</w:t>
      </w:r>
      <w:r w:rsidR="00991FB7" w:rsidRPr="00046DD4">
        <w:rPr>
          <w:b/>
          <w:bCs/>
          <w:i/>
        </w:rPr>
        <w:t xml:space="preserve"> </w:t>
      </w:r>
      <w:r w:rsidR="00E717BF" w:rsidRPr="00046DD4">
        <w:rPr>
          <w:bCs/>
        </w:rPr>
        <w:t xml:space="preserve">Strengthening environmental management institutions and mainstreaming environmental </w:t>
      </w:r>
      <w:r w:rsidR="00F021F3" w:rsidRPr="00046DD4">
        <w:rPr>
          <w:bCs/>
        </w:rPr>
        <w:t xml:space="preserve">sustainability </w:t>
      </w:r>
      <w:r w:rsidR="00E717BF" w:rsidRPr="00046DD4">
        <w:rPr>
          <w:bCs/>
        </w:rPr>
        <w:t xml:space="preserve">is relevant to Peru’s </w:t>
      </w:r>
      <w:r w:rsidR="00E717BF" w:rsidRPr="00046DD4">
        <w:rPr>
          <w:rFonts w:eastAsiaTheme="minorEastAsia"/>
          <w:color w:val="000000"/>
        </w:rPr>
        <w:t xml:space="preserve">development priorities and the </w:t>
      </w:r>
      <w:r w:rsidR="00A564BD">
        <w:rPr>
          <w:rFonts w:eastAsiaTheme="minorEastAsia"/>
          <w:color w:val="000000"/>
        </w:rPr>
        <w:t>World Bank</w:t>
      </w:r>
      <w:r w:rsidR="00E717BF" w:rsidRPr="00046DD4">
        <w:rPr>
          <w:rFonts w:eastAsiaTheme="minorEastAsia"/>
          <w:color w:val="000000"/>
        </w:rPr>
        <w:t>’s support program in the country</w:t>
      </w:r>
      <w:r w:rsidR="009F42B0" w:rsidRPr="00046DD4">
        <w:rPr>
          <w:rFonts w:eastAsiaTheme="minorEastAsia"/>
          <w:color w:val="000000"/>
        </w:rPr>
        <w:t xml:space="preserve">, as envisaged in the </w:t>
      </w:r>
      <w:r w:rsidR="004A2B17" w:rsidRPr="00046DD4">
        <w:rPr>
          <w:rFonts w:eastAsiaTheme="minorEastAsia"/>
          <w:color w:val="000000"/>
        </w:rPr>
        <w:t xml:space="preserve">Strategic Plan for National Development and the </w:t>
      </w:r>
      <w:r w:rsidR="009F42B0" w:rsidRPr="00046DD4">
        <w:rPr>
          <w:rFonts w:eastAsiaTheme="minorEastAsia"/>
          <w:color w:val="000000"/>
        </w:rPr>
        <w:t xml:space="preserve">Strategic Axes for Environmental </w:t>
      </w:r>
      <w:r w:rsidR="004A2B17" w:rsidRPr="00046DD4">
        <w:rPr>
          <w:rFonts w:eastAsiaTheme="minorEastAsia"/>
          <w:color w:val="000000"/>
        </w:rPr>
        <w:t>Management.</w:t>
      </w:r>
      <w:r w:rsidR="004A2B17">
        <w:rPr>
          <w:rStyle w:val="FootnoteReference"/>
          <w:rFonts w:eastAsiaTheme="minorEastAsia"/>
          <w:color w:val="000000"/>
        </w:rPr>
        <w:footnoteReference w:id="11"/>
      </w:r>
      <w:r w:rsidR="004A2B17" w:rsidRPr="00046DD4">
        <w:rPr>
          <w:rFonts w:eastAsiaTheme="minorEastAsia"/>
          <w:color w:val="000000"/>
        </w:rPr>
        <w:t xml:space="preserve"> </w:t>
      </w:r>
      <w:r w:rsidR="00E717BF" w:rsidRPr="00046DD4">
        <w:rPr>
          <w:rFonts w:eastAsiaTheme="minorEastAsia"/>
          <w:color w:val="000000"/>
        </w:rPr>
        <w:t xml:space="preserve">Peru contains a wealth of natural resources. As a rapidly developing middle-income country whose economy depends to a large extent on its natural resources, there are important environmental challenges that must be carefully managed in order to sustain Peru’s progress over time. The </w:t>
      </w:r>
      <w:r w:rsidR="00991FB7" w:rsidRPr="00046DD4">
        <w:rPr>
          <w:bCs/>
        </w:rPr>
        <w:t xml:space="preserve">operation’s objectives </w:t>
      </w:r>
      <w:r w:rsidR="0084763F" w:rsidRPr="00046DD4">
        <w:rPr>
          <w:bCs/>
        </w:rPr>
        <w:t xml:space="preserve">were </w:t>
      </w:r>
      <w:r w:rsidR="00991FB7" w:rsidRPr="00046DD4">
        <w:rPr>
          <w:bCs/>
        </w:rPr>
        <w:t xml:space="preserve">also consistent with one of the key pillars of the 2006 Country Partnership Strategy (CPS) for Peru for FY07–FYI1 (and the 2009 CPS progress report) </w:t>
      </w:r>
      <w:r w:rsidR="00490F9B" w:rsidRPr="00046DD4">
        <w:rPr>
          <w:bCs/>
        </w:rPr>
        <w:t xml:space="preserve">on ‘making growth environmentally sustainable’, </w:t>
      </w:r>
      <w:r w:rsidR="00991FB7" w:rsidRPr="00046DD4">
        <w:rPr>
          <w:bCs/>
        </w:rPr>
        <w:t xml:space="preserve">laying out a strategy to support the </w:t>
      </w:r>
      <w:r w:rsidR="00D8224E" w:rsidRPr="00046DD4">
        <w:rPr>
          <w:bCs/>
        </w:rPr>
        <w:t>GoP</w:t>
      </w:r>
      <w:r w:rsidR="00991FB7" w:rsidRPr="00046DD4">
        <w:rPr>
          <w:bCs/>
        </w:rPr>
        <w:t xml:space="preserve"> to achieve its goals of sustained economic growth.</w:t>
      </w:r>
      <w:r w:rsidR="00D8224E" w:rsidRPr="00046DD4">
        <w:rPr>
          <w:bCs/>
        </w:rPr>
        <w:t xml:space="preserve"> </w:t>
      </w:r>
      <w:r w:rsidR="00490F9B" w:rsidRPr="00046DD4">
        <w:rPr>
          <w:bCs/>
        </w:rPr>
        <w:t>The DPL series was specifically mentioned in the Indicative Bank Lending Program in the CPS. T</w:t>
      </w:r>
      <w:r w:rsidR="008E18F4" w:rsidRPr="003F00AF">
        <w:t xml:space="preserve">he objectives of the </w:t>
      </w:r>
      <w:r w:rsidR="00D8224E" w:rsidRPr="003F00AF">
        <w:t>ENV</w:t>
      </w:r>
      <w:r w:rsidR="008E18F4" w:rsidRPr="003F00AF">
        <w:t>DPL</w:t>
      </w:r>
      <w:r w:rsidR="00D8224E" w:rsidRPr="003F00AF">
        <w:t>s</w:t>
      </w:r>
      <w:r w:rsidR="008E18F4" w:rsidRPr="003F00AF">
        <w:t xml:space="preserve"> continue to be highly relevant to </w:t>
      </w:r>
      <w:r w:rsidR="008E18F4" w:rsidRPr="00046DD4">
        <w:rPr>
          <w:bCs/>
        </w:rPr>
        <w:t>the GoP’s continued efforts to strengthen the environmental institutional and legal framework</w:t>
      </w:r>
      <w:r w:rsidR="009F42B0" w:rsidRPr="00046DD4">
        <w:rPr>
          <w:bCs/>
        </w:rPr>
        <w:t xml:space="preserve">, as envisaged in “Strategic Objective 3: </w:t>
      </w:r>
      <w:r w:rsidR="009F42B0" w:rsidRPr="00046DD4">
        <w:rPr>
          <w:rFonts w:eastAsia="MS Mincho"/>
          <w:bCs/>
        </w:rPr>
        <w:t>Sustainable growth and productivity</w:t>
      </w:r>
      <w:r w:rsidR="009F42B0" w:rsidRPr="00046DD4">
        <w:rPr>
          <w:bCs/>
        </w:rPr>
        <w:t>” of the 2011 CPS for Peru for FY12–F16</w:t>
      </w:r>
      <w:r w:rsidR="008E18F4" w:rsidRPr="00046DD4">
        <w:rPr>
          <w:bCs/>
        </w:rPr>
        <w:t>.</w:t>
      </w:r>
      <w:r w:rsidR="00991FB7" w:rsidRPr="003F00AF">
        <w:t xml:space="preserve"> The relevance of objectives is rated </w:t>
      </w:r>
      <w:r w:rsidR="00991FB7" w:rsidRPr="00046DD4">
        <w:rPr>
          <w:i/>
        </w:rPr>
        <w:t>High</w:t>
      </w:r>
      <w:r w:rsidR="00991FB7" w:rsidRPr="003F00AF">
        <w:t>.</w:t>
      </w:r>
    </w:p>
    <w:p w14:paraId="0C488318" w14:textId="5E56FEC5" w:rsidR="00AE6358" w:rsidRPr="003F00AF" w:rsidRDefault="00AE6358" w:rsidP="00554584">
      <w:pPr>
        <w:pStyle w:val="ListParagraph"/>
        <w:numPr>
          <w:ilvl w:val="0"/>
          <w:numId w:val="1"/>
        </w:numPr>
        <w:spacing w:after="240"/>
        <w:ind w:left="0" w:firstLine="0"/>
        <w:jc w:val="both"/>
        <w:rPr>
          <w:bCs/>
        </w:rPr>
      </w:pPr>
      <w:r w:rsidRPr="003F00AF">
        <w:rPr>
          <w:b/>
          <w:bCs/>
          <w:i/>
        </w:rPr>
        <w:t>Relevance of design</w:t>
      </w:r>
      <w:r w:rsidR="00D8224E" w:rsidRPr="003F00AF">
        <w:rPr>
          <w:b/>
          <w:bCs/>
        </w:rPr>
        <w:t xml:space="preserve">. </w:t>
      </w:r>
      <w:r w:rsidR="00A64541" w:rsidRPr="003F00AF">
        <w:rPr>
          <w:bCs/>
        </w:rPr>
        <w:t>The D</w:t>
      </w:r>
      <w:r w:rsidR="002D06FD">
        <w:rPr>
          <w:bCs/>
        </w:rPr>
        <w:t xml:space="preserve">evelopment </w:t>
      </w:r>
      <w:r w:rsidR="00A64541" w:rsidRPr="003F00AF">
        <w:rPr>
          <w:bCs/>
        </w:rPr>
        <w:t>P</w:t>
      </w:r>
      <w:r w:rsidR="002D06FD">
        <w:rPr>
          <w:bCs/>
        </w:rPr>
        <w:t xml:space="preserve">olicy Financing </w:t>
      </w:r>
      <w:r w:rsidR="00A64541" w:rsidRPr="003F00AF">
        <w:rPr>
          <w:bCs/>
        </w:rPr>
        <w:t xml:space="preserve">was the adequate </w:t>
      </w:r>
      <w:r w:rsidR="00F47413" w:rsidRPr="003F00AF">
        <w:rPr>
          <w:bCs/>
        </w:rPr>
        <w:t xml:space="preserve">lending </w:t>
      </w:r>
      <w:r w:rsidR="00A64541" w:rsidRPr="003F00AF">
        <w:rPr>
          <w:bCs/>
        </w:rPr>
        <w:t>instrument to support Peru’s environmental policy reforms</w:t>
      </w:r>
      <w:r w:rsidR="00F47413" w:rsidRPr="003F00AF">
        <w:rPr>
          <w:bCs/>
        </w:rPr>
        <w:t>, while providing</w:t>
      </w:r>
      <w:r w:rsidR="00F47413" w:rsidRPr="003F00AF">
        <w:rPr>
          <w:rFonts w:eastAsiaTheme="minorEastAsia"/>
          <w:color w:val="000000"/>
        </w:rPr>
        <w:t xml:space="preserve"> general budget support to the country. </w:t>
      </w:r>
      <w:r w:rsidR="00A64541" w:rsidRPr="003F00AF">
        <w:rPr>
          <w:bCs/>
        </w:rPr>
        <w:t xml:space="preserve">Selecting a programmatic series was particularly important because environmental policies’ implementation and outcomes tend to be seen in </w:t>
      </w:r>
      <w:r w:rsidR="00BC78E5">
        <w:rPr>
          <w:bCs/>
        </w:rPr>
        <w:t xml:space="preserve">the </w:t>
      </w:r>
      <w:r w:rsidR="00A64541" w:rsidRPr="003F00AF">
        <w:rPr>
          <w:bCs/>
        </w:rPr>
        <w:t xml:space="preserve">medium to long term. </w:t>
      </w:r>
      <w:r w:rsidR="0084763F" w:rsidRPr="003F00AF">
        <w:rPr>
          <w:bCs/>
        </w:rPr>
        <w:t xml:space="preserve">Because of its </w:t>
      </w:r>
      <w:r w:rsidR="00A64541" w:rsidRPr="003F00AF">
        <w:rPr>
          <w:bCs/>
        </w:rPr>
        <w:t>p</w:t>
      </w:r>
      <w:r w:rsidR="0084763F" w:rsidRPr="003F00AF">
        <w:rPr>
          <w:bCs/>
        </w:rPr>
        <w:t xml:space="preserve">rogrammatic nature, the ENVDPLs supported policy reforms that needed to be implemented in different stages. This programmatic approach </w:t>
      </w:r>
      <w:r w:rsidR="00D3432A" w:rsidRPr="003F00AF">
        <w:rPr>
          <w:bCs/>
        </w:rPr>
        <w:t xml:space="preserve">allowed the GoP </w:t>
      </w:r>
      <w:r w:rsidR="00A64541" w:rsidRPr="003F00AF">
        <w:rPr>
          <w:bCs/>
        </w:rPr>
        <w:t>to learn</w:t>
      </w:r>
      <w:r w:rsidR="008D01A6" w:rsidRPr="003F00AF">
        <w:rPr>
          <w:bCs/>
        </w:rPr>
        <w:t xml:space="preserve"> from the first years of the program’s </w:t>
      </w:r>
      <w:r w:rsidR="00A64541" w:rsidRPr="003F00AF">
        <w:rPr>
          <w:bCs/>
        </w:rPr>
        <w:t>implementati</w:t>
      </w:r>
      <w:r w:rsidR="008D01A6" w:rsidRPr="003F00AF">
        <w:rPr>
          <w:bCs/>
        </w:rPr>
        <w:t xml:space="preserve">on and, in the context of </w:t>
      </w:r>
      <w:r w:rsidR="00D3432A" w:rsidRPr="003F00AF">
        <w:rPr>
          <w:bCs/>
        </w:rPr>
        <w:t xml:space="preserve">subsequent </w:t>
      </w:r>
      <w:r w:rsidR="008D01A6" w:rsidRPr="003F00AF">
        <w:rPr>
          <w:bCs/>
        </w:rPr>
        <w:t xml:space="preserve">operations, refine </w:t>
      </w:r>
      <w:r w:rsidR="00D3432A" w:rsidRPr="003F00AF">
        <w:rPr>
          <w:bCs/>
        </w:rPr>
        <w:t xml:space="preserve">the </w:t>
      </w:r>
      <w:r w:rsidR="008D01A6" w:rsidRPr="003F00AF">
        <w:rPr>
          <w:bCs/>
        </w:rPr>
        <w:t>program’s design. As the</w:t>
      </w:r>
      <w:r w:rsidR="00A64541" w:rsidRPr="003F00AF">
        <w:rPr>
          <w:bCs/>
        </w:rPr>
        <w:t xml:space="preserve"> DDO</w:t>
      </w:r>
      <w:r w:rsidR="008D01A6" w:rsidRPr="003F00AF">
        <w:rPr>
          <w:bCs/>
        </w:rPr>
        <w:t xml:space="preserve"> allowed the extension of the operation’s closing date, </w:t>
      </w:r>
      <w:r w:rsidR="00A64541" w:rsidRPr="003F00AF">
        <w:rPr>
          <w:bCs/>
        </w:rPr>
        <w:t xml:space="preserve">the GoP had more time to strengthen its environmental </w:t>
      </w:r>
      <w:r w:rsidR="008D01A6" w:rsidRPr="003F00AF">
        <w:rPr>
          <w:bCs/>
        </w:rPr>
        <w:t xml:space="preserve">management </w:t>
      </w:r>
      <w:r w:rsidR="00A64541" w:rsidRPr="003F00AF">
        <w:rPr>
          <w:bCs/>
        </w:rPr>
        <w:t>institutions</w:t>
      </w:r>
      <w:r w:rsidR="008D01A6" w:rsidRPr="003F00AF">
        <w:rPr>
          <w:bCs/>
        </w:rPr>
        <w:t xml:space="preserve">, especially the recently created MINAM. This was essential to implement the policy reforms supported by the ENVDPLs. </w:t>
      </w:r>
      <w:r w:rsidR="00F47413" w:rsidRPr="003F00AF">
        <w:rPr>
          <w:bCs/>
        </w:rPr>
        <w:t xml:space="preserve">In addition, the operations targeted the appropriate level of government: </w:t>
      </w:r>
      <w:r w:rsidR="00F47413" w:rsidRPr="003F00AF">
        <w:rPr>
          <w:rFonts w:eastAsiaTheme="minorEastAsia"/>
          <w:color w:val="000000"/>
        </w:rPr>
        <w:t>many overarching environmental laws and policies are approved at the national level – by MINAM and other sectoral agencies – and the national government is largely responsible for implementing and enforcing those policies or, as applicable, coordinating and supporting subnational government to implements those regulations.</w:t>
      </w:r>
      <w:r w:rsidR="00F47413" w:rsidRPr="003F00AF">
        <w:rPr>
          <w:bCs/>
        </w:rPr>
        <w:t xml:space="preserve"> </w:t>
      </w:r>
      <w:r w:rsidR="00D3432A" w:rsidRPr="003F00AF">
        <w:rPr>
          <w:bCs/>
        </w:rPr>
        <w:t>T</w:t>
      </w:r>
      <w:r w:rsidR="0084763F" w:rsidRPr="003F00AF">
        <w:rPr>
          <w:bCs/>
        </w:rPr>
        <w:t xml:space="preserve">he causal chain </w:t>
      </w:r>
      <w:r w:rsidR="00D3432A" w:rsidRPr="003F00AF">
        <w:rPr>
          <w:bCs/>
        </w:rPr>
        <w:t>between the program’s outcomes, sub-objectives, policy actions and triggers are adequate. Notwithstanding, the results framework lacked precision in regar</w:t>
      </w:r>
      <w:r w:rsidR="00F47413" w:rsidRPr="003F00AF">
        <w:rPr>
          <w:bCs/>
        </w:rPr>
        <w:t>ds to PDO Indicator</w:t>
      </w:r>
      <w:r w:rsidR="00D14773" w:rsidRPr="003F00AF">
        <w:rPr>
          <w:bCs/>
        </w:rPr>
        <w:t>s 1 and 2</w:t>
      </w:r>
      <w:r w:rsidR="00D3432A" w:rsidRPr="003F00AF">
        <w:rPr>
          <w:bCs/>
        </w:rPr>
        <w:t xml:space="preserve">, and </w:t>
      </w:r>
      <w:r w:rsidR="004A2B17">
        <w:rPr>
          <w:bCs/>
        </w:rPr>
        <w:t>were overambitious</w:t>
      </w:r>
      <w:r w:rsidR="00D3432A" w:rsidRPr="003F00AF">
        <w:rPr>
          <w:bCs/>
        </w:rPr>
        <w:t xml:space="preserve"> in regards to PDO Indicator</w:t>
      </w:r>
      <w:r w:rsidR="00F47413" w:rsidRPr="003F00AF">
        <w:rPr>
          <w:bCs/>
        </w:rPr>
        <w:t xml:space="preserve">s </w:t>
      </w:r>
      <w:r w:rsidR="00D14773" w:rsidRPr="003F00AF">
        <w:rPr>
          <w:bCs/>
        </w:rPr>
        <w:t xml:space="preserve">3 and </w:t>
      </w:r>
      <w:r w:rsidR="00ED4535">
        <w:rPr>
          <w:bCs/>
        </w:rPr>
        <w:t>4</w:t>
      </w:r>
      <w:r w:rsidR="00D3432A" w:rsidRPr="003F00AF">
        <w:rPr>
          <w:bCs/>
        </w:rPr>
        <w:t>.</w:t>
      </w:r>
      <w:r w:rsidR="00D14773" w:rsidRPr="003F00AF">
        <w:rPr>
          <w:bCs/>
        </w:rPr>
        <w:t xml:space="preserve"> </w:t>
      </w:r>
      <w:r w:rsidR="00D3432A" w:rsidRPr="003F00AF">
        <w:rPr>
          <w:bCs/>
        </w:rPr>
        <w:t>For those reasons, t</w:t>
      </w:r>
      <w:r w:rsidR="00D8224E" w:rsidRPr="003F00AF">
        <w:t xml:space="preserve">he relevance of </w:t>
      </w:r>
      <w:r w:rsidR="00F47413" w:rsidRPr="003F00AF">
        <w:t xml:space="preserve">design </w:t>
      </w:r>
      <w:r w:rsidR="00D8224E" w:rsidRPr="003F00AF">
        <w:t xml:space="preserve">is rated </w:t>
      </w:r>
      <w:r w:rsidR="00D8224E" w:rsidRPr="003F00AF">
        <w:rPr>
          <w:i/>
        </w:rPr>
        <w:t>Mode</w:t>
      </w:r>
      <w:r w:rsidR="003A6AA0" w:rsidRPr="003F00AF">
        <w:rPr>
          <w:i/>
        </w:rPr>
        <w:t>st</w:t>
      </w:r>
      <w:r w:rsidR="00D8224E" w:rsidRPr="003F00AF">
        <w:t>.</w:t>
      </w:r>
    </w:p>
    <w:p w14:paraId="06D40882" w14:textId="1457BB5E" w:rsidR="008E18F4" w:rsidRPr="003F00AF" w:rsidRDefault="00BA4AEC" w:rsidP="008E18F4">
      <w:pPr>
        <w:pStyle w:val="ListParagraph"/>
        <w:keepNext/>
        <w:keepLines/>
        <w:spacing w:after="240"/>
        <w:ind w:left="0"/>
        <w:rPr>
          <w:i/>
        </w:rPr>
      </w:pPr>
      <w:bookmarkStart w:id="111" w:name="_Toc448507211"/>
      <w:bookmarkStart w:id="112" w:name="_Toc448507373"/>
      <w:r w:rsidRPr="003F00AF">
        <w:rPr>
          <w:i/>
        </w:rPr>
        <w:t>3.2</w:t>
      </w:r>
      <w:r w:rsidRPr="003F00AF">
        <w:rPr>
          <w:i/>
        </w:rPr>
        <w:tab/>
      </w:r>
      <w:r w:rsidR="008E18F4" w:rsidRPr="003F00AF">
        <w:rPr>
          <w:i/>
        </w:rPr>
        <w:t>Achievement of Program Development Objectives</w:t>
      </w:r>
      <w:bookmarkStart w:id="113" w:name="T_SEC8TEXT_SEC81"/>
      <w:bookmarkEnd w:id="111"/>
      <w:bookmarkEnd w:id="112"/>
      <w:bookmarkEnd w:id="113"/>
    </w:p>
    <w:p w14:paraId="615D4A0F" w14:textId="52EEFE82" w:rsidR="00A60048" w:rsidRPr="003F00AF" w:rsidRDefault="00A60048" w:rsidP="008E18F4">
      <w:pPr>
        <w:keepNext/>
        <w:keepLines/>
        <w:spacing w:after="240"/>
        <w:jc w:val="both"/>
        <w:rPr>
          <w:b/>
        </w:rPr>
      </w:pPr>
      <w:r w:rsidRPr="003F00AF">
        <w:rPr>
          <w:b/>
        </w:rPr>
        <w:t>Objective A: Strengthening environmental governance and institutions in Peru</w:t>
      </w:r>
    </w:p>
    <w:p w14:paraId="184A1056" w14:textId="7F706F78" w:rsidR="005E46DB" w:rsidRPr="003F00AF" w:rsidRDefault="005E46DB" w:rsidP="005E46DB">
      <w:pPr>
        <w:keepNext/>
        <w:keepLines/>
        <w:spacing w:after="240"/>
        <w:jc w:val="both"/>
        <w:rPr>
          <w:b/>
        </w:rPr>
      </w:pPr>
      <w:r w:rsidRPr="003F00AF">
        <w:rPr>
          <w:b/>
        </w:rPr>
        <w:t>3.2.1</w:t>
      </w:r>
      <w:r w:rsidRPr="003F00AF">
        <w:rPr>
          <w:b/>
        </w:rPr>
        <w:tab/>
      </w:r>
      <w:r w:rsidR="00A0529D" w:rsidRPr="003F00AF">
        <w:rPr>
          <w:b/>
        </w:rPr>
        <w:t xml:space="preserve">Sub-objective A.1 – </w:t>
      </w:r>
      <w:r w:rsidRPr="003F00AF">
        <w:rPr>
          <w:b/>
        </w:rPr>
        <w:t>Strengthen</w:t>
      </w:r>
      <w:r w:rsidR="00A0529D" w:rsidRPr="003F00AF">
        <w:rPr>
          <w:b/>
        </w:rPr>
        <w:t xml:space="preserve"> </w:t>
      </w:r>
      <w:r w:rsidRPr="003F00AF">
        <w:rPr>
          <w:b/>
        </w:rPr>
        <w:t>the Legal and Institutional Framework for Environmental Management</w:t>
      </w:r>
    </w:p>
    <w:p w14:paraId="73F14C57" w14:textId="7E4E2EFD" w:rsidR="008E18F4" w:rsidRPr="00401268" w:rsidRDefault="008E18F4" w:rsidP="00185F4E">
      <w:pPr>
        <w:pStyle w:val="ListParagraph"/>
        <w:numPr>
          <w:ilvl w:val="0"/>
          <w:numId w:val="1"/>
        </w:numPr>
        <w:spacing w:after="240"/>
        <w:ind w:left="0" w:firstLine="0"/>
        <w:jc w:val="both"/>
        <w:rPr>
          <w:color w:val="212121"/>
          <w:lang w:val="en"/>
        </w:rPr>
      </w:pPr>
      <w:r w:rsidRPr="00404773">
        <w:rPr>
          <w:b/>
        </w:rPr>
        <w:t>With the support of the ENVDPLs, the GoP strengthened its environ</w:t>
      </w:r>
      <w:r w:rsidR="002443EF" w:rsidRPr="00404773">
        <w:rPr>
          <w:b/>
        </w:rPr>
        <w:t>mental management institutions</w:t>
      </w:r>
      <w:r w:rsidR="00404773" w:rsidRPr="00404773">
        <w:rPr>
          <w:b/>
        </w:rPr>
        <w:t xml:space="preserve">, </w:t>
      </w:r>
      <w:r w:rsidR="002443EF" w:rsidRPr="00404773">
        <w:t xml:space="preserve">by </w:t>
      </w:r>
      <w:r w:rsidR="00404773">
        <w:t xml:space="preserve">(i) </w:t>
      </w:r>
      <w:r w:rsidR="002443EF" w:rsidRPr="00404773">
        <w:t>creating</w:t>
      </w:r>
      <w:r w:rsidR="00404773">
        <w:t xml:space="preserve"> the Ministry of Environment, establishing its organization and key functions, and (ii) regulating the National System of Environmental Impact Assessment. </w:t>
      </w:r>
      <w:r w:rsidRPr="003F00AF">
        <w:t>The</w:t>
      </w:r>
      <w:r w:rsidR="00404773">
        <w:t>se</w:t>
      </w:r>
      <w:r w:rsidRPr="003F00AF">
        <w:t xml:space="preserve"> policy reforms represented a fundamental achievement toward advancing environmental management in Peru</w:t>
      </w:r>
      <w:r w:rsidRPr="00404773">
        <w:rPr>
          <w:color w:val="212121"/>
          <w:lang w:val="en"/>
        </w:rPr>
        <w:t xml:space="preserve">. The environmental agenda is now consolidated under the auspices of MINAM, with a well-defined mandate and higher budget than the former </w:t>
      </w:r>
      <w:r w:rsidR="00404773">
        <w:rPr>
          <w:color w:val="212121"/>
          <w:lang w:val="en"/>
        </w:rPr>
        <w:t>National Environmental Commission.</w:t>
      </w:r>
      <w:r w:rsidRPr="00404773">
        <w:rPr>
          <w:color w:val="212121"/>
          <w:lang w:val="en"/>
        </w:rPr>
        <w:t xml:space="preserve"> </w:t>
      </w:r>
      <w:r w:rsidR="00973549" w:rsidRPr="00404773">
        <w:rPr>
          <w:color w:val="212121"/>
          <w:lang w:val="en"/>
        </w:rPr>
        <w:t xml:space="preserve">MINAM’s </w:t>
      </w:r>
      <w:r w:rsidR="008E19EF" w:rsidRPr="00404773">
        <w:rPr>
          <w:color w:val="212121"/>
          <w:lang w:val="en"/>
        </w:rPr>
        <w:t xml:space="preserve">current </w:t>
      </w:r>
      <w:r w:rsidR="00973549" w:rsidRPr="00404773">
        <w:rPr>
          <w:color w:val="212121"/>
          <w:lang w:val="en"/>
        </w:rPr>
        <w:t xml:space="preserve">budget </w:t>
      </w:r>
      <w:r w:rsidR="005A2A50" w:rsidRPr="00404773">
        <w:rPr>
          <w:color w:val="212121"/>
          <w:lang w:val="en"/>
        </w:rPr>
        <w:t xml:space="preserve">(FY16) </w:t>
      </w:r>
      <w:r w:rsidR="00973549" w:rsidRPr="00404773">
        <w:rPr>
          <w:color w:val="212121"/>
          <w:lang w:val="en"/>
        </w:rPr>
        <w:t>is comprised mostly o</w:t>
      </w:r>
      <w:r w:rsidR="005A2A50" w:rsidRPr="00404773">
        <w:rPr>
          <w:color w:val="212121"/>
          <w:lang w:val="en"/>
        </w:rPr>
        <w:t xml:space="preserve">f ordinary resources (56.5%) and credit operations resources (39%). Moreover, the creation of the new ministry is associated with an exponential increment in the environmental public expenditure </w:t>
      </w:r>
      <w:r w:rsidR="005A2A50" w:rsidRPr="00404773">
        <w:rPr>
          <w:rFonts w:eastAsiaTheme="minorEastAsia"/>
          <w:szCs w:val="22"/>
        </w:rPr>
        <w:t>(see figure 1</w:t>
      </w:r>
      <w:r w:rsidR="005A2A50" w:rsidRPr="00404773">
        <w:rPr>
          <w:color w:val="212121"/>
          <w:lang w:val="en"/>
        </w:rPr>
        <w:t>). Between 2002 and 2012, the executed environmental public expenditure increased six fold: from US$ 5.8 to US$ 30.3 per capita.</w:t>
      </w:r>
    </w:p>
    <w:p w14:paraId="6FD84896" w14:textId="3CFF63F7" w:rsidR="00B3769F" w:rsidRPr="003F00AF" w:rsidRDefault="00B3769F" w:rsidP="006E5BD4">
      <w:pPr>
        <w:pStyle w:val="ListParagraph"/>
        <w:spacing w:before="120" w:after="120"/>
        <w:ind w:left="0"/>
        <w:jc w:val="center"/>
        <w:rPr>
          <w:b/>
          <w:sz w:val="20"/>
        </w:rPr>
      </w:pPr>
      <w:r w:rsidRPr="003F00AF">
        <w:rPr>
          <w:b/>
          <w:sz w:val="20"/>
        </w:rPr>
        <w:t xml:space="preserve">Figure 1. </w:t>
      </w:r>
      <w:r w:rsidR="006E5BD4" w:rsidRPr="003F00AF">
        <w:rPr>
          <w:b/>
          <w:sz w:val="20"/>
        </w:rPr>
        <w:t>E</w:t>
      </w:r>
      <w:r w:rsidRPr="003F00AF">
        <w:rPr>
          <w:b/>
          <w:sz w:val="20"/>
        </w:rPr>
        <w:t xml:space="preserve">nvironmental </w:t>
      </w:r>
      <w:r w:rsidR="006E5BD4" w:rsidRPr="003F00AF">
        <w:rPr>
          <w:b/>
          <w:sz w:val="20"/>
        </w:rPr>
        <w:t>Public Expenditure (GPA), Public Expenditure (GP) and Gross Domestic Product (PBI) – Peru, 2002-2012</w:t>
      </w:r>
    </w:p>
    <w:p w14:paraId="133183B1" w14:textId="26EF4F51" w:rsidR="00B3769F" w:rsidRPr="003F00AF" w:rsidRDefault="00B3769F" w:rsidP="00E94830">
      <w:pPr>
        <w:pStyle w:val="ListParagraph"/>
        <w:ind w:left="0"/>
        <w:jc w:val="center"/>
      </w:pPr>
      <w:r w:rsidRPr="003F00AF">
        <w:rPr>
          <w:noProof/>
        </w:rPr>
        <w:drawing>
          <wp:inline distT="0" distB="0" distL="0" distR="0" wp14:anchorId="45C29690" wp14:editId="72A7CD79">
            <wp:extent cx="5364685" cy="364638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8932" cy="3696846"/>
                    </a:xfrm>
                    <a:prstGeom prst="rect">
                      <a:avLst/>
                    </a:prstGeom>
                  </pic:spPr>
                </pic:pic>
              </a:graphicData>
            </a:graphic>
          </wp:inline>
        </w:drawing>
      </w:r>
    </w:p>
    <w:p w14:paraId="71BAC421" w14:textId="44EBD672" w:rsidR="006E5BD4" w:rsidRDefault="006E5BD4" w:rsidP="00E94830">
      <w:pPr>
        <w:pStyle w:val="ListParagraph"/>
        <w:spacing w:after="120"/>
        <w:ind w:firstLine="907"/>
        <w:rPr>
          <w:sz w:val="20"/>
        </w:rPr>
      </w:pPr>
      <w:r w:rsidRPr="003F00AF">
        <w:rPr>
          <w:i/>
          <w:sz w:val="20"/>
        </w:rPr>
        <w:t>Source</w:t>
      </w:r>
      <w:r w:rsidRPr="003F00AF">
        <w:rPr>
          <w:sz w:val="20"/>
        </w:rPr>
        <w:t>: MINAM</w:t>
      </w:r>
      <w:r w:rsidR="00F07633" w:rsidRPr="003F00AF">
        <w:rPr>
          <w:sz w:val="20"/>
        </w:rPr>
        <w:t>, 2015</w:t>
      </w:r>
      <w:r w:rsidRPr="003F00AF">
        <w:rPr>
          <w:sz w:val="20"/>
        </w:rPr>
        <w:t xml:space="preserve"> (</w:t>
      </w:r>
      <w:r w:rsidR="00F07633" w:rsidRPr="003F00AF">
        <w:rPr>
          <w:sz w:val="20"/>
        </w:rPr>
        <w:t>based on MEF and INEI data)</w:t>
      </w:r>
    </w:p>
    <w:p w14:paraId="632EA252" w14:textId="6927C03F" w:rsidR="008E18F4" w:rsidRPr="001478AC" w:rsidRDefault="00404773" w:rsidP="00554584">
      <w:pPr>
        <w:pStyle w:val="ListParagraph"/>
        <w:numPr>
          <w:ilvl w:val="0"/>
          <w:numId w:val="1"/>
        </w:numPr>
        <w:spacing w:after="240"/>
        <w:ind w:left="0" w:firstLine="0"/>
        <w:jc w:val="both"/>
      </w:pPr>
      <w:r>
        <w:rPr>
          <w:b/>
        </w:rPr>
        <w:t>During the ENVDPLs implementation, the GoP adopted f</w:t>
      </w:r>
      <w:r w:rsidR="008E18F4" w:rsidRPr="003F00AF">
        <w:rPr>
          <w:b/>
        </w:rPr>
        <w:t xml:space="preserve">urther reforms in </w:t>
      </w:r>
      <w:r>
        <w:rPr>
          <w:b/>
        </w:rPr>
        <w:t>National System of Environmental Impact Assessment</w:t>
      </w:r>
      <w:r w:rsidR="008E18F4" w:rsidRPr="003F00AF">
        <w:rPr>
          <w:b/>
        </w:rPr>
        <w:t>.</w:t>
      </w:r>
      <w:r w:rsidR="00464C04" w:rsidRPr="003F00AF">
        <w:t xml:space="preserve"> </w:t>
      </w:r>
      <w:r w:rsidR="00464C04" w:rsidRPr="003F00AF">
        <w:rPr>
          <w:color w:val="212121"/>
          <w:lang w:val="en"/>
        </w:rPr>
        <w:t xml:space="preserve">With the issuance of Supreme Decree No. 019-2009-MINAM, the GoP regulated Law No. 27,446/2001 on SEIA. According to this regulation, MINAM was mandated to randomly review EIAs approved by sectoral authorities in the three levels of the Government. The review aimed to assess the SEIA, and determine the actions needed to improve and consolidate such system. On November 24, 2010, MINAM enacted Ministerial Resolution No. 239-2010-MINAM on technical procedures and legal criteria for randomly reviewing approved EIAs. The regulation mandated the Ministry’s General Directorate of Environmental Management Policies, Norms and Instruments to lead the random review of EIAs approved since Law 27,446/2001. As a result, </w:t>
      </w:r>
      <w:r w:rsidR="008E18F4" w:rsidRPr="003F00AF">
        <w:rPr>
          <w:color w:val="212121"/>
          <w:lang w:val="en"/>
        </w:rPr>
        <w:t xml:space="preserve">MINAM reviewed 242 </w:t>
      </w:r>
      <w:r w:rsidR="00464C04" w:rsidRPr="003F00AF">
        <w:rPr>
          <w:color w:val="212121"/>
          <w:lang w:val="en"/>
        </w:rPr>
        <w:t>EIAs</w:t>
      </w:r>
      <w:r w:rsidR="008E18F4" w:rsidRPr="003F00AF">
        <w:rPr>
          <w:color w:val="212121"/>
          <w:lang w:val="en"/>
        </w:rPr>
        <w:t xml:space="preserve"> of infrastructure and investment projects </w:t>
      </w:r>
      <w:r w:rsidR="00043906" w:rsidRPr="003F00AF">
        <w:rPr>
          <w:color w:val="212121"/>
          <w:lang w:val="en"/>
        </w:rPr>
        <w:t xml:space="preserve">in Category II and III, </w:t>
      </w:r>
      <w:r w:rsidR="00372E13">
        <w:rPr>
          <w:color w:val="212121"/>
          <w:lang w:val="en"/>
        </w:rPr>
        <w:t>which w</w:t>
      </w:r>
      <w:r w:rsidR="00043906" w:rsidRPr="003F00AF">
        <w:rPr>
          <w:color w:val="212121"/>
          <w:lang w:val="en"/>
        </w:rPr>
        <w:t xml:space="preserve">ere </w:t>
      </w:r>
      <w:r w:rsidR="008E18F4" w:rsidRPr="003F00AF">
        <w:rPr>
          <w:color w:val="212121"/>
          <w:lang w:val="en"/>
        </w:rPr>
        <w:t xml:space="preserve">approved between 2001 and 2011 by sectoral agencies. The review concluded that 89 percent of those EIAs were incomplete and/or did not have detailed information according to the norms, technical criteria, and/or required procedures. Based on the reviews, MINAM identified policy options to further strengthen SEIA, particularly the creation of the </w:t>
      </w:r>
      <w:r w:rsidR="008E18F4" w:rsidRPr="003F00AF">
        <w:t>National Environmental Certification Service (</w:t>
      </w:r>
      <w:r w:rsidR="008E18F4" w:rsidRPr="003F00AF">
        <w:rPr>
          <w:i/>
        </w:rPr>
        <w:t>Servicio Nacional de Certificación Ambiental para las Inversiones Sostenibles</w:t>
      </w:r>
      <w:r w:rsidR="008E18F4" w:rsidRPr="003F00AF">
        <w:t xml:space="preserve">, </w:t>
      </w:r>
      <w:r w:rsidR="008E18F4" w:rsidRPr="003F00AF">
        <w:rPr>
          <w:color w:val="212121"/>
          <w:lang w:val="en"/>
        </w:rPr>
        <w:t>SENACE) (</w:t>
      </w:r>
      <w:r w:rsidR="008E18F4" w:rsidRPr="003F00AF">
        <w:rPr>
          <w:bCs/>
        </w:rPr>
        <w:t>Law 29,968/2012)</w:t>
      </w:r>
      <w:r w:rsidR="008E18F4" w:rsidRPr="003F00AF">
        <w:rPr>
          <w:color w:val="212121"/>
          <w:lang w:val="en"/>
        </w:rPr>
        <w:t xml:space="preserve">. </w:t>
      </w:r>
      <w:r w:rsidR="008E18F4" w:rsidRPr="003F00AF">
        <w:rPr>
          <w:bCs/>
        </w:rPr>
        <w:t>SENACE’s functions include</w:t>
      </w:r>
      <w:r w:rsidR="001478AC">
        <w:rPr>
          <w:bCs/>
        </w:rPr>
        <w:t xml:space="preserve">, among other, the </w:t>
      </w:r>
      <w:r w:rsidR="008E18F4" w:rsidRPr="003F00AF">
        <w:rPr>
          <w:bCs/>
        </w:rPr>
        <w:t>review and approval of the detailed EIAs, except those that are excluded by a supreme decree and the vote of approval of the council of ministers, at the request of the corresponding sector; and</w:t>
      </w:r>
      <w:r w:rsidR="001478AC">
        <w:rPr>
          <w:bCs/>
        </w:rPr>
        <w:t xml:space="preserve"> </w:t>
      </w:r>
      <w:r w:rsidR="008E18F4" w:rsidRPr="003F00AF">
        <w:rPr>
          <w:bCs/>
        </w:rPr>
        <w:t>the implementation of a ‘</w:t>
      </w:r>
      <w:r w:rsidR="00D94E6D" w:rsidRPr="003F00AF">
        <w:rPr>
          <w:bCs/>
        </w:rPr>
        <w:t>single-</w:t>
      </w:r>
      <w:r w:rsidR="008E18F4" w:rsidRPr="003F00AF">
        <w:rPr>
          <w:bCs/>
        </w:rPr>
        <w:t>window’ system for environmental certification, to simplify and expedite administrative procedures.</w:t>
      </w:r>
    </w:p>
    <w:p w14:paraId="6B0249EE" w14:textId="14330483" w:rsidR="001478AC" w:rsidRPr="003F00AF" w:rsidRDefault="001478AC" w:rsidP="001478AC">
      <w:pPr>
        <w:pStyle w:val="ListParagraph"/>
        <w:numPr>
          <w:ilvl w:val="0"/>
          <w:numId w:val="1"/>
        </w:numPr>
        <w:spacing w:after="240"/>
        <w:ind w:left="0" w:firstLine="0"/>
        <w:jc w:val="both"/>
      </w:pPr>
      <w:r>
        <w:rPr>
          <w:b/>
        </w:rPr>
        <w:t>In addition to the ENVDPL-supported policies, t</w:t>
      </w:r>
      <w:r w:rsidRPr="003F00AF">
        <w:rPr>
          <w:b/>
        </w:rPr>
        <w:t>he GoP strengthened the National System of Environmental Assessment and Oversight</w:t>
      </w:r>
      <w:r w:rsidRPr="001478AC">
        <w:rPr>
          <w:b/>
        </w:rPr>
        <w:t xml:space="preserve">, by creating the </w:t>
      </w:r>
      <w:r w:rsidRPr="001478AC">
        <w:rPr>
          <w:b/>
          <w:bCs/>
          <w:sz w:val="22"/>
          <w:szCs w:val="22"/>
        </w:rPr>
        <w:t xml:space="preserve">Office of Environmental Assessment and Control </w:t>
      </w:r>
      <w:r>
        <w:rPr>
          <w:b/>
          <w:bCs/>
          <w:sz w:val="22"/>
          <w:szCs w:val="22"/>
        </w:rPr>
        <w:t>(Law 29,325/2009)</w:t>
      </w:r>
      <w:r w:rsidRPr="001478AC">
        <w:rPr>
          <w:b/>
          <w:bCs/>
          <w:sz w:val="22"/>
          <w:szCs w:val="22"/>
        </w:rPr>
        <w:t xml:space="preserve">. </w:t>
      </w:r>
      <w:r>
        <w:t xml:space="preserve">OEFA </w:t>
      </w:r>
      <w:r w:rsidRPr="003F00AF">
        <w:t>is the leading agency of th</w:t>
      </w:r>
      <w:r>
        <w:t>at</w:t>
      </w:r>
      <w:r w:rsidRPr="003F00AF">
        <w:t xml:space="preserve"> system, directly supervising compliance with environmental regulations in four sectors: (a) medium- and large-scale mining, (b) hydrocarbons and electricity, (c) commercial fisheries and large-scale aquaculture, and (d) the brewery, papermaking, cement, and tannery industries. Between 2012 and 2015, OEFA and MINAM approved 65 norms to strengthen environmental enforcement</w:t>
      </w:r>
      <w:r>
        <w:t xml:space="preserve"> in Peru</w:t>
      </w:r>
      <w:r w:rsidRPr="003F00AF">
        <w:t>. OEFA’s annual executed budget increased approximately US$66.5 million</w:t>
      </w:r>
      <w:r>
        <w:t xml:space="preserve"> between 2011 and 2015</w:t>
      </w:r>
      <w:r w:rsidRPr="003F00AF">
        <w:t xml:space="preserve">—an increment of 766 percent. OEFA has also increased the number of monitoring and enforcement activities (see table 3). By the end of 2015, the agency had solved 99.6 percent of the 3,070 administrative cases transferred from the </w:t>
      </w:r>
      <w:r w:rsidRPr="003F00AF">
        <w:rPr>
          <w:rFonts w:eastAsiaTheme="minorEastAsia"/>
          <w:szCs w:val="22"/>
        </w:rPr>
        <w:t>Oversight Agency of Energy and Mining Investment (</w:t>
      </w:r>
      <w:r w:rsidRPr="003F00AF">
        <w:rPr>
          <w:rFonts w:eastAsiaTheme="minorEastAsia"/>
          <w:i/>
        </w:rPr>
        <w:t>Organismo Supervisor de la Inversión en Energía y Minería</w:t>
      </w:r>
      <w:r w:rsidRPr="003F00AF">
        <w:t>, OSINERGMIN) and PRODUCE.</w:t>
      </w:r>
    </w:p>
    <w:p w14:paraId="0F16215F" w14:textId="0C19E242" w:rsidR="008E18F4" w:rsidRPr="003F00AF" w:rsidRDefault="008E18F4" w:rsidP="00185F4E">
      <w:pPr>
        <w:pStyle w:val="ListParagraph"/>
        <w:numPr>
          <w:ilvl w:val="0"/>
          <w:numId w:val="1"/>
        </w:numPr>
        <w:spacing w:after="240"/>
        <w:ind w:left="0" w:firstLine="0"/>
        <w:jc w:val="both"/>
      </w:pPr>
      <w:r w:rsidRPr="002443EF">
        <w:rPr>
          <w:b/>
        </w:rPr>
        <w:t xml:space="preserve">The GoP achieved the outcome of strengthening the legal and institutional framework for environmental management. </w:t>
      </w:r>
      <w:r w:rsidR="00464C04" w:rsidRPr="003F00AF">
        <w:t xml:space="preserve">Although slightly changing the target description of </w:t>
      </w:r>
      <w:r w:rsidR="001D24F5" w:rsidRPr="003F00AF">
        <w:t>PDO Ind</w:t>
      </w:r>
      <w:r w:rsidR="00464C04" w:rsidRPr="003F00AF">
        <w:t xml:space="preserve">icator 1, the ENVDPL III maintained the number of EIAs to be reviewed by MINAM. The Ministry </w:t>
      </w:r>
      <w:r w:rsidRPr="003F00AF">
        <w:t>exceeded the result indicator set for this component</w:t>
      </w:r>
      <w:r w:rsidR="00FF38B4">
        <w:t>. I</w:t>
      </w:r>
      <w:r w:rsidR="002443EF">
        <w:t xml:space="preserve">n 2010, MINAM acquired capacity to review </w:t>
      </w:r>
      <w:r w:rsidR="002443EF" w:rsidRPr="002443EF">
        <w:t>EIAs of large infrastructure and investment projects with potentially significant impacts. In 2011 and 2012, MINAM randomly reviewed 242 EIAs approved by sectoral agencies between 2001 and 2011 for projects classified as Category II and I</w:t>
      </w:r>
      <w:r w:rsidR="001D15D6">
        <w:t>I</w:t>
      </w:r>
      <w:r w:rsidR="002443EF" w:rsidRPr="002443EF">
        <w:t>I, based on technical and legal criteria.</w:t>
      </w:r>
      <w:r w:rsidR="002443EF">
        <w:t xml:space="preserve"> </w:t>
      </w:r>
      <w:r w:rsidR="00464C04" w:rsidRPr="002443EF">
        <w:rPr>
          <w:color w:val="212121"/>
          <w:lang w:val="en"/>
        </w:rPr>
        <w:t>Moreover, the creation of MINAM has been essential to boost the number of reforms in environmental management in Peru, including the creation of SENACE, the adoption of sector-specific regulations, strengthening of OEFA</w:t>
      </w:r>
      <w:r w:rsidR="00640DF8" w:rsidRPr="002443EF">
        <w:rPr>
          <w:color w:val="212121"/>
          <w:lang w:val="en"/>
        </w:rPr>
        <w:t>, and increasing budget allocations for environmental management</w:t>
      </w:r>
      <w:r w:rsidR="00464C04" w:rsidRPr="002443EF">
        <w:rPr>
          <w:color w:val="212121"/>
          <w:lang w:val="en"/>
        </w:rPr>
        <w:t>.</w:t>
      </w:r>
      <w:r w:rsidR="00A60048" w:rsidRPr="002443EF">
        <w:rPr>
          <w:color w:val="212121"/>
          <w:lang w:val="en"/>
        </w:rPr>
        <w:t xml:space="preserve"> </w:t>
      </w:r>
      <w:r w:rsidR="00A60048" w:rsidRPr="003F00AF">
        <w:t>For those reasons, the GoP achieved this sub-objective A.1.</w:t>
      </w:r>
    </w:p>
    <w:p w14:paraId="5F0AFD78" w14:textId="3068DE70" w:rsidR="008E18F4" w:rsidRPr="003F00AF" w:rsidRDefault="00BA4AEC" w:rsidP="00A0529D">
      <w:pPr>
        <w:keepNext/>
        <w:keepLines/>
        <w:spacing w:after="240"/>
        <w:jc w:val="both"/>
        <w:rPr>
          <w:b/>
        </w:rPr>
      </w:pPr>
      <w:r w:rsidRPr="003F00AF">
        <w:rPr>
          <w:b/>
        </w:rPr>
        <w:t>3.2.2</w:t>
      </w:r>
      <w:r w:rsidRPr="003F00AF">
        <w:rPr>
          <w:b/>
        </w:rPr>
        <w:tab/>
      </w:r>
      <w:r w:rsidR="00A0529D" w:rsidRPr="003F00AF">
        <w:rPr>
          <w:b/>
        </w:rPr>
        <w:t xml:space="preserve">Sub-objective A.2 – </w:t>
      </w:r>
      <w:r w:rsidR="008E18F4" w:rsidRPr="003F00AF">
        <w:rPr>
          <w:b/>
        </w:rPr>
        <w:t>Strengthen</w:t>
      </w:r>
      <w:r w:rsidR="00A0529D" w:rsidRPr="003F00AF">
        <w:rPr>
          <w:b/>
        </w:rPr>
        <w:t xml:space="preserve"> </w:t>
      </w:r>
      <w:r w:rsidR="008E18F4" w:rsidRPr="003F00AF">
        <w:rPr>
          <w:b/>
        </w:rPr>
        <w:t>Institutional and Legal Framework for Biodiversity Conservation and NPAs Management</w:t>
      </w:r>
    </w:p>
    <w:p w14:paraId="2CAEF94D" w14:textId="33D7013D" w:rsidR="00B31873" w:rsidRDefault="008E18F4" w:rsidP="008E18F4">
      <w:pPr>
        <w:pStyle w:val="ListParagraph"/>
        <w:numPr>
          <w:ilvl w:val="0"/>
          <w:numId w:val="1"/>
        </w:numPr>
        <w:spacing w:after="240"/>
        <w:ind w:left="0" w:firstLine="0"/>
        <w:jc w:val="both"/>
        <w:rPr>
          <w:rFonts w:eastAsiaTheme="minorEastAsia"/>
          <w:bCs/>
        </w:rPr>
      </w:pPr>
      <w:r w:rsidRPr="003F00AF">
        <w:rPr>
          <w:b/>
        </w:rPr>
        <w:t>With the support of the ENVDPLs, the GoP established t</w:t>
      </w:r>
      <w:r w:rsidRPr="003F00AF">
        <w:rPr>
          <w:rFonts w:eastAsiaTheme="minorEastAsia"/>
          <w:b/>
        </w:rPr>
        <w:t>he overarching institutional and policy framework for biodiversity conservation and PAS management, including technical guidelines and financing mechanisms.</w:t>
      </w:r>
      <w:r w:rsidRPr="003F00AF">
        <w:rPr>
          <w:rFonts w:eastAsiaTheme="minorEastAsia"/>
        </w:rPr>
        <w:t xml:space="preserve"> </w:t>
      </w:r>
      <w:r w:rsidR="00B31873">
        <w:rPr>
          <w:rFonts w:eastAsiaTheme="minorEastAsia"/>
        </w:rPr>
        <w:t>As a prior action, t</w:t>
      </w:r>
      <w:r w:rsidRPr="003F00AF">
        <w:rPr>
          <w:rFonts w:eastAsiaTheme="minorEastAsia"/>
          <w:bCs/>
        </w:rPr>
        <w:t xml:space="preserve">he GoP established an independent agency, </w:t>
      </w:r>
      <w:r w:rsidR="00B31873">
        <w:rPr>
          <w:rFonts w:eastAsiaTheme="minorEastAsia"/>
          <w:bCs/>
        </w:rPr>
        <w:t>the National Service of Natural Protected Areas</w:t>
      </w:r>
      <w:r w:rsidRPr="003F00AF">
        <w:rPr>
          <w:rFonts w:eastAsiaTheme="minorEastAsia"/>
          <w:bCs/>
        </w:rPr>
        <w:t xml:space="preserve">, to manage the National System of Natural Protected Areas </w:t>
      </w:r>
      <w:r w:rsidRPr="003F00AF">
        <w:t>(</w:t>
      </w:r>
      <w:r w:rsidRPr="003F00AF">
        <w:rPr>
          <w:i/>
        </w:rPr>
        <w:t>Sistema Nacional de Áreas Protegidas</w:t>
      </w:r>
      <w:r w:rsidRPr="003F00AF">
        <w:t>, SINANP</w:t>
      </w:r>
      <w:r w:rsidR="003F00AF" w:rsidRPr="003F00AF">
        <w:t>E</w:t>
      </w:r>
      <w:r w:rsidRPr="003F00AF">
        <w:t>)</w:t>
      </w:r>
      <w:r w:rsidRPr="003F00AF">
        <w:rPr>
          <w:rFonts w:eastAsiaTheme="minorEastAsia"/>
          <w:bCs/>
        </w:rPr>
        <w:t xml:space="preserve">. In </w:t>
      </w:r>
      <w:r w:rsidR="00B31873">
        <w:rPr>
          <w:rFonts w:eastAsiaTheme="minorEastAsia"/>
          <w:bCs/>
        </w:rPr>
        <w:t xml:space="preserve">addition, the GoP </w:t>
      </w:r>
      <w:r w:rsidRPr="003F00AF">
        <w:rPr>
          <w:rFonts w:eastAsiaTheme="minorEastAsia"/>
          <w:bCs/>
        </w:rPr>
        <w:t>adopted the Sustainable Financial Strategy for SINANP</w:t>
      </w:r>
      <w:r w:rsidR="003F00AF">
        <w:rPr>
          <w:rFonts w:eastAsiaTheme="minorEastAsia"/>
          <w:bCs/>
        </w:rPr>
        <w:t>E</w:t>
      </w:r>
      <w:r w:rsidRPr="003F00AF">
        <w:rPr>
          <w:rFonts w:eastAsiaTheme="minorEastAsia"/>
          <w:bCs/>
        </w:rPr>
        <w:t xml:space="preserve"> (2009–2019), aimed at addressing the financial gap of NPA management with a larger proportion of resources generated directly by S</w:t>
      </w:r>
      <w:r w:rsidR="00B31873">
        <w:rPr>
          <w:rFonts w:eastAsiaTheme="minorEastAsia"/>
          <w:bCs/>
        </w:rPr>
        <w:t>ERNA</w:t>
      </w:r>
      <w:r w:rsidR="002D0D19">
        <w:rPr>
          <w:rFonts w:eastAsiaTheme="minorEastAsia"/>
          <w:bCs/>
        </w:rPr>
        <w:t>N</w:t>
      </w:r>
      <w:r w:rsidR="00B31873">
        <w:rPr>
          <w:rFonts w:eastAsiaTheme="minorEastAsia"/>
          <w:bCs/>
        </w:rPr>
        <w:t>P</w:t>
      </w:r>
      <w:r w:rsidRPr="003F00AF">
        <w:rPr>
          <w:rFonts w:eastAsiaTheme="minorEastAsia"/>
          <w:bCs/>
        </w:rPr>
        <w:t>, increasing the treasury’s commitment (national public budget), while reducing the relative contribution from international donors. In addition, MINAM updated the Action Plan for the Natural Protected Areas System (Plan Director), which includes a general conceptual framework, guidance on the management of NPAs, and planning issues relating to the management of SINANP</w:t>
      </w:r>
      <w:r w:rsidR="003F00AF" w:rsidRPr="003F00AF">
        <w:rPr>
          <w:rFonts w:eastAsiaTheme="minorEastAsia"/>
          <w:bCs/>
        </w:rPr>
        <w:t>E</w:t>
      </w:r>
      <w:r w:rsidRPr="003F00AF">
        <w:rPr>
          <w:rFonts w:eastAsiaTheme="minorEastAsia"/>
          <w:bCs/>
        </w:rPr>
        <w:t xml:space="preserve">. </w:t>
      </w:r>
    </w:p>
    <w:p w14:paraId="0CA56878" w14:textId="3406E4F4" w:rsidR="008E18F4" w:rsidRPr="003F00AF" w:rsidRDefault="008E18F4" w:rsidP="008E18F4">
      <w:pPr>
        <w:pStyle w:val="ListParagraph"/>
        <w:numPr>
          <w:ilvl w:val="0"/>
          <w:numId w:val="1"/>
        </w:numPr>
        <w:spacing w:after="240"/>
        <w:ind w:left="0" w:firstLine="0"/>
        <w:jc w:val="both"/>
        <w:rPr>
          <w:rFonts w:eastAsiaTheme="minorEastAsia"/>
          <w:bCs/>
        </w:rPr>
      </w:pPr>
      <w:r w:rsidRPr="003F00AF">
        <w:rPr>
          <w:rFonts w:eastAsiaTheme="minorEastAsia"/>
          <w:b/>
        </w:rPr>
        <w:t xml:space="preserve">As part of the ENVDPLs, the GoP </w:t>
      </w:r>
      <w:r w:rsidR="00B31873">
        <w:rPr>
          <w:rFonts w:eastAsiaTheme="minorEastAsia"/>
          <w:b/>
        </w:rPr>
        <w:t xml:space="preserve">also </w:t>
      </w:r>
      <w:r w:rsidRPr="003F00AF">
        <w:rPr>
          <w:rFonts w:eastAsiaTheme="minorEastAsia"/>
          <w:b/>
        </w:rPr>
        <w:t>adopted additional regulatory measures to promote private sector financing and management of NPAs.</w:t>
      </w:r>
      <w:r w:rsidRPr="003F00AF">
        <w:rPr>
          <w:rFonts w:eastAsiaTheme="minorEastAsia"/>
        </w:rPr>
        <w:t xml:space="preserve"> </w:t>
      </w:r>
      <w:r w:rsidRPr="003F00AF">
        <w:rPr>
          <w:rFonts w:eastAsiaTheme="minorEastAsia"/>
          <w:bCs/>
        </w:rPr>
        <w:t>The GoP developed guidelines for the establishment of trust funds for NPAs, to channel financial resources, mainly from bilateral and multilateral agencies and foundations, to on-the-ground conservation projects based on the NPA master plans throughout Peru. MINAM also modified the Natural Protected Areas Law to establish measures to develop tourism activities in national NPAs. The provision of tourism services by the state to third parties has generated economic compensation to guarantee the conservation and preservation of the natural landscape. It also simplified procedures for granting five types of tourism rights within NPAs, namely, concessions, contracts of tourism service, permits, authorizations, and agreements.</w:t>
      </w:r>
    </w:p>
    <w:p w14:paraId="40A57127" w14:textId="4DFC7956" w:rsidR="008E18F4" w:rsidRPr="003F00AF" w:rsidRDefault="008E18F4" w:rsidP="008E18F4">
      <w:pPr>
        <w:pStyle w:val="ListParagraph"/>
        <w:numPr>
          <w:ilvl w:val="0"/>
          <w:numId w:val="1"/>
        </w:numPr>
        <w:spacing w:after="240"/>
        <w:ind w:left="0" w:firstLine="0"/>
        <w:jc w:val="both"/>
      </w:pPr>
      <w:r w:rsidRPr="003F00AF">
        <w:rPr>
          <w:b/>
        </w:rPr>
        <w:t>Following up on the policies supported by the ENVDPLs, t</w:t>
      </w:r>
      <w:r w:rsidRPr="003F00AF">
        <w:rPr>
          <w:rFonts w:eastAsiaTheme="minorEastAsia"/>
          <w:b/>
        </w:rPr>
        <w:t xml:space="preserve">he </w:t>
      </w:r>
      <w:r w:rsidRPr="003F00AF">
        <w:rPr>
          <w:b/>
        </w:rPr>
        <w:t xml:space="preserve">GoP </w:t>
      </w:r>
      <w:r w:rsidRPr="003F00AF">
        <w:rPr>
          <w:rFonts w:eastAsiaTheme="minorEastAsia"/>
          <w:b/>
        </w:rPr>
        <w:t>undert</w:t>
      </w:r>
      <w:r w:rsidRPr="003F00AF">
        <w:rPr>
          <w:b/>
        </w:rPr>
        <w:t>ook</w:t>
      </w:r>
      <w:r w:rsidRPr="003F00AF">
        <w:rPr>
          <w:rFonts w:eastAsiaTheme="minorEastAsia"/>
          <w:b/>
        </w:rPr>
        <w:t xml:space="preserve"> numerous actions aimed at further strengthening the management and scope of the country’s </w:t>
      </w:r>
      <w:r w:rsidR="002541C8">
        <w:rPr>
          <w:rFonts w:eastAsiaTheme="minorEastAsia"/>
          <w:b/>
        </w:rPr>
        <w:t>protected areas</w:t>
      </w:r>
      <w:r w:rsidRPr="003F00AF">
        <w:rPr>
          <w:rFonts w:eastAsiaTheme="minorEastAsia"/>
          <w:b/>
        </w:rPr>
        <w:t>.</w:t>
      </w:r>
      <w:r w:rsidRPr="003F00AF">
        <w:rPr>
          <w:rFonts w:eastAsiaTheme="minorEastAsia"/>
        </w:rPr>
        <w:t xml:space="preserve"> SERNANP </w:t>
      </w:r>
      <w:r w:rsidRPr="003F00AF">
        <w:t>advanced</w:t>
      </w:r>
      <w:r w:rsidRPr="003F00AF">
        <w:rPr>
          <w:rFonts w:eastAsiaTheme="minorEastAsia"/>
        </w:rPr>
        <w:t xml:space="preserve"> on several complementary actions to (a) promote greater involvement of regional governments in financing </w:t>
      </w:r>
      <w:r w:rsidR="002541C8">
        <w:rPr>
          <w:rFonts w:eastAsiaTheme="minorEastAsia"/>
        </w:rPr>
        <w:t xml:space="preserve">NPA </w:t>
      </w:r>
      <w:r w:rsidRPr="003F00AF">
        <w:rPr>
          <w:rFonts w:eastAsiaTheme="minorEastAsia"/>
        </w:rPr>
        <w:t xml:space="preserve">management to increase the conservation area for key ecosystems (and biodiversity </w:t>
      </w:r>
      <w:r w:rsidRPr="003F00AF">
        <w:t xml:space="preserve">hotspots); (b) </w:t>
      </w:r>
      <w:r w:rsidRPr="003F00AF">
        <w:rPr>
          <w:rFonts w:eastAsiaTheme="minorEastAsia"/>
        </w:rPr>
        <w:t xml:space="preserve">establish new </w:t>
      </w:r>
      <w:r w:rsidR="002541C8">
        <w:rPr>
          <w:rFonts w:eastAsiaTheme="minorEastAsia"/>
        </w:rPr>
        <w:t>protected areas</w:t>
      </w:r>
      <w:r w:rsidRPr="003F00AF">
        <w:rPr>
          <w:rFonts w:eastAsiaTheme="minorEastAsia"/>
        </w:rPr>
        <w:t xml:space="preserve">, especially the National Reserve System of Islands, Islets, and Guano Capes, given the small proportion of this critical ecosystem under protection; and (c) support the elaboration of technical guidelines to mainstream environmental concerns in the development of extractive industries activities in </w:t>
      </w:r>
      <w:r w:rsidR="002541C8">
        <w:rPr>
          <w:rFonts w:eastAsiaTheme="minorEastAsia"/>
        </w:rPr>
        <w:t>NPAs</w:t>
      </w:r>
      <w:r w:rsidRPr="003F00AF">
        <w:rPr>
          <w:rFonts w:eastAsiaTheme="minorEastAsia"/>
        </w:rPr>
        <w:t xml:space="preserve"> and their buffer zones, responding to the expansion of mining and hydrocarbon concessions in the Amazon basin. The GoP also approved Law No. 30,215/2014 on Mechanisms for Ecosystem Services Compensation, which regulates and supervises compensation mechanisms based on voluntary agreements that envisage actions of conservation, recuperation, and sustainable use of ecosystems.</w:t>
      </w:r>
      <w:r w:rsidR="002541C8">
        <w:rPr>
          <w:rFonts w:eastAsiaTheme="minorEastAsia"/>
        </w:rPr>
        <w:t xml:space="preserve"> Other </w:t>
      </w:r>
      <w:r w:rsidR="002541C8" w:rsidRPr="003F00AF">
        <w:rPr>
          <w:rFonts w:eastAsiaTheme="minorEastAsia"/>
          <w:bCs/>
        </w:rPr>
        <w:t>actions contributed to enhance NPA management, such as the replacement of park rangers with NPA managers and the training program on fund-raising and financial management.</w:t>
      </w:r>
    </w:p>
    <w:p w14:paraId="25F2A96E" w14:textId="24794852" w:rsidR="008E18F4" w:rsidRPr="003F00AF" w:rsidRDefault="008E18F4" w:rsidP="008E18F4">
      <w:pPr>
        <w:pStyle w:val="ListParagraph"/>
        <w:numPr>
          <w:ilvl w:val="0"/>
          <w:numId w:val="1"/>
        </w:numPr>
        <w:spacing w:after="240"/>
        <w:ind w:left="0" w:firstLine="0"/>
        <w:jc w:val="both"/>
      </w:pPr>
      <w:r w:rsidRPr="003F00AF">
        <w:rPr>
          <w:b/>
        </w:rPr>
        <w:t>As a result of those policies and initiatives, SINANP</w:t>
      </w:r>
      <w:r w:rsidR="003F00AF">
        <w:rPr>
          <w:b/>
        </w:rPr>
        <w:t>E</w:t>
      </w:r>
      <w:r w:rsidRPr="003F00AF">
        <w:rPr>
          <w:b/>
        </w:rPr>
        <w:t xml:space="preserve"> has experienced a steady growth. Currently, 17 percent of the country’s territory is covered by a total of 190 NPAs, and m</w:t>
      </w:r>
      <w:r w:rsidRPr="003F00AF">
        <w:rPr>
          <w:rFonts w:eastAsiaTheme="minorEastAsia"/>
          <w:b/>
        </w:rPr>
        <w:t>ore than 94 percent of ecosystems located in NPAs are in optimal status.</w:t>
      </w:r>
      <w:r w:rsidRPr="003F00AF">
        <w:rPr>
          <w:rFonts w:eastAsiaTheme="minorEastAsia"/>
        </w:rPr>
        <w:t xml:space="preserve"> </w:t>
      </w:r>
      <w:r w:rsidRPr="003F00AF">
        <w:t xml:space="preserve">From January 2009 to July 2016, the GoP created 17 nationally administered NPAs, </w:t>
      </w:r>
      <w:r w:rsidRPr="003F00AF">
        <w:rPr>
          <w:rFonts w:eastAsiaTheme="minorEastAsia"/>
        </w:rPr>
        <w:t>14 regional conservation areas, and 84 private conservation areas.</w:t>
      </w:r>
      <w:r w:rsidRPr="003F00AF">
        <w:rPr>
          <w:rStyle w:val="FootnoteReference"/>
          <w:rFonts w:eastAsiaTheme="minorEastAsia"/>
        </w:rPr>
        <w:footnoteReference w:id="12"/>
      </w:r>
      <w:r w:rsidRPr="003F00AF">
        <w:t xml:space="preserve"> </w:t>
      </w:r>
      <w:r w:rsidRPr="003F00AF">
        <w:rPr>
          <w:rFonts w:eastAsiaTheme="minorEastAsia"/>
        </w:rPr>
        <w:t xml:space="preserve">By granting permits for local communities to carry out small-scale or subsistence activities in NPAs, SERNANP has generated economic benefits for 35,414 families—mostly low-income households. Additionally, </w:t>
      </w:r>
      <w:r w:rsidR="002541C8">
        <w:rPr>
          <w:rFonts w:eastAsiaTheme="minorEastAsia"/>
        </w:rPr>
        <w:t xml:space="preserve">the number of visitors </w:t>
      </w:r>
      <w:r w:rsidRPr="003F00AF">
        <w:rPr>
          <w:rFonts w:eastAsiaTheme="minorEastAsia"/>
        </w:rPr>
        <w:t>in NPAs ha</w:t>
      </w:r>
      <w:r w:rsidR="002541C8">
        <w:rPr>
          <w:rFonts w:eastAsiaTheme="minorEastAsia"/>
        </w:rPr>
        <w:t>s ha</w:t>
      </w:r>
      <w:r w:rsidRPr="003F00AF">
        <w:rPr>
          <w:rFonts w:eastAsiaTheme="minorEastAsia"/>
        </w:rPr>
        <w:t>d an annual increase of 17 percent since 2011</w:t>
      </w:r>
      <w:r w:rsidR="002541C8">
        <w:rPr>
          <w:rFonts w:eastAsiaTheme="minorEastAsia"/>
        </w:rPr>
        <w:t>, generating important revenues to SINANPE.</w:t>
      </w:r>
    </w:p>
    <w:p w14:paraId="1566A359" w14:textId="594E21B2" w:rsidR="00684D81" w:rsidRPr="00C77869" w:rsidRDefault="008E18F4" w:rsidP="001554E7">
      <w:pPr>
        <w:pStyle w:val="ListParagraph"/>
        <w:numPr>
          <w:ilvl w:val="0"/>
          <w:numId w:val="1"/>
        </w:numPr>
        <w:spacing w:after="240"/>
        <w:ind w:left="0" w:firstLine="0"/>
        <w:jc w:val="both"/>
        <w:rPr>
          <w:b/>
        </w:rPr>
      </w:pPr>
      <w:r w:rsidRPr="00C77869">
        <w:rPr>
          <w:b/>
          <w:lang w:val="en"/>
        </w:rPr>
        <w:t>The new regulations and financial strategy of SINANP</w:t>
      </w:r>
      <w:r w:rsidR="003F00AF" w:rsidRPr="00C77869">
        <w:rPr>
          <w:b/>
          <w:lang w:val="en"/>
        </w:rPr>
        <w:t>E</w:t>
      </w:r>
      <w:r w:rsidRPr="00C77869">
        <w:rPr>
          <w:b/>
          <w:lang w:val="en"/>
        </w:rPr>
        <w:t xml:space="preserve"> consolidated financial sustainability for the management of NPAs.</w:t>
      </w:r>
      <w:r w:rsidRPr="00C77869">
        <w:rPr>
          <w:lang w:val="en"/>
        </w:rPr>
        <w:t xml:space="preserve"> As envisaged in the financial strategy, there has been a clear shift in shares of SINANP</w:t>
      </w:r>
      <w:r w:rsidR="003F00AF" w:rsidRPr="00C77869">
        <w:rPr>
          <w:lang w:val="en"/>
        </w:rPr>
        <w:t>E</w:t>
      </w:r>
      <w:r w:rsidRPr="00C77869">
        <w:rPr>
          <w:lang w:val="en"/>
        </w:rPr>
        <w:t xml:space="preserve">’s budget, confirming the Government’s </w:t>
      </w:r>
      <w:r w:rsidRPr="00C77869">
        <w:rPr>
          <w:rFonts w:eastAsiaTheme="minorEastAsia"/>
        </w:rPr>
        <w:t>commitment to increase contributions from the national public budget to the NPA funding.</w:t>
      </w:r>
      <w:r w:rsidRPr="003F00AF">
        <w:t xml:space="preserve"> </w:t>
      </w:r>
      <w:r w:rsidR="00C77869" w:rsidRPr="00C77869">
        <w:rPr>
          <w:lang w:val="en"/>
        </w:rPr>
        <w:t>SINANPE’s budget includes resources from SERNA</w:t>
      </w:r>
      <w:r w:rsidR="007B261C">
        <w:rPr>
          <w:lang w:val="en"/>
        </w:rPr>
        <w:t>N</w:t>
      </w:r>
      <w:r w:rsidR="00C77869" w:rsidRPr="00C77869">
        <w:rPr>
          <w:lang w:val="en"/>
        </w:rPr>
        <w:t>P</w:t>
      </w:r>
      <w:r w:rsidR="007B261C">
        <w:rPr>
          <w:lang w:val="en"/>
        </w:rPr>
        <w:t xml:space="preserve"> </w:t>
      </w:r>
      <w:r w:rsidR="00C77869" w:rsidRPr="00C77869">
        <w:rPr>
          <w:lang w:val="en"/>
        </w:rPr>
        <w:t xml:space="preserve">and the </w:t>
      </w:r>
      <w:r w:rsidR="00C77869" w:rsidRPr="00C77869">
        <w:rPr>
          <w:color w:val="000000"/>
        </w:rPr>
        <w:t>Fund for the Promotion of Natural Protected Areas of Peru (</w:t>
      </w:r>
      <w:r w:rsidR="00C77869" w:rsidRPr="00C77869">
        <w:rPr>
          <w:i/>
          <w:color w:val="000000"/>
        </w:rPr>
        <w:t>Fondo de Promoción de las Áreas Naturales Protegidas del Perú</w:t>
      </w:r>
      <w:r w:rsidR="00C77869" w:rsidRPr="00C77869">
        <w:rPr>
          <w:color w:val="000000"/>
        </w:rPr>
        <w:t>, PROFONANPE).</w:t>
      </w:r>
      <w:r w:rsidR="006F6670" w:rsidRPr="003F00AF">
        <w:rPr>
          <w:rStyle w:val="FootnoteReference"/>
          <w:color w:val="000000"/>
        </w:rPr>
        <w:footnoteReference w:id="13"/>
      </w:r>
      <w:r w:rsidR="00C77869" w:rsidRPr="00C77869">
        <w:rPr>
          <w:color w:val="000000"/>
        </w:rPr>
        <w:t xml:space="preserve"> </w:t>
      </w:r>
      <w:r w:rsidRPr="00C77869">
        <w:rPr>
          <w:lang w:val="en"/>
        </w:rPr>
        <w:t xml:space="preserve">Between 2009 and 2015, SERNANP’s budget increased from </w:t>
      </w:r>
      <w:r w:rsidR="00F05552" w:rsidRPr="00C77869">
        <w:rPr>
          <w:lang w:val="en"/>
        </w:rPr>
        <w:t>US$6</w:t>
      </w:r>
      <w:r w:rsidRPr="00C77869">
        <w:rPr>
          <w:lang w:val="en"/>
        </w:rPr>
        <w:t>.</w:t>
      </w:r>
      <w:r w:rsidR="00F05552" w:rsidRPr="00C77869">
        <w:rPr>
          <w:lang w:val="en"/>
        </w:rPr>
        <w:t>1</w:t>
      </w:r>
      <w:r w:rsidRPr="00C77869">
        <w:rPr>
          <w:lang w:val="en"/>
        </w:rPr>
        <w:t xml:space="preserve"> million to </w:t>
      </w:r>
      <w:r w:rsidR="00F05552" w:rsidRPr="00C77869">
        <w:rPr>
          <w:lang w:val="en"/>
        </w:rPr>
        <w:t>U</w:t>
      </w:r>
      <w:r w:rsidRPr="00C77869">
        <w:rPr>
          <w:lang w:val="en"/>
        </w:rPr>
        <w:t>S</w:t>
      </w:r>
      <w:r w:rsidR="00F05552" w:rsidRPr="00C77869">
        <w:rPr>
          <w:lang w:val="en"/>
        </w:rPr>
        <w:t>$22</w:t>
      </w:r>
      <w:r w:rsidR="0062621C" w:rsidRPr="00C77869">
        <w:rPr>
          <w:lang w:val="en"/>
        </w:rPr>
        <w:t>.</w:t>
      </w:r>
      <w:r w:rsidR="005B2A5A" w:rsidRPr="00C77869">
        <w:rPr>
          <w:lang w:val="en"/>
        </w:rPr>
        <w:t>3</w:t>
      </w:r>
      <w:r w:rsidRPr="00C77869">
        <w:rPr>
          <w:lang w:val="en"/>
        </w:rPr>
        <w:t xml:space="preserve"> million in 2015 (see figure </w:t>
      </w:r>
      <w:r w:rsidR="00B3769F" w:rsidRPr="00C77869">
        <w:rPr>
          <w:lang w:val="en"/>
        </w:rPr>
        <w:t>2</w:t>
      </w:r>
      <w:r w:rsidRPr="00C77869">
        <w:rPr>
          <w:lang w:val="en"/>
        </w:rPr>
        <w:t>). These revenues come primarily from allocations from the national government</w:t>
      </w:r>
      <w:r w:rsidR="003541C1" w:rsidRPr="00C77869">
        <w:rPr>
          <w:lang w:val="en"/>
        </w:rPr>
        <w:t xml:space="preserve"> (ordinary resources)</w:t>
      </w:r>
      <w:r w:rsidRPr="00C77869">
        <w:rPr>
          <w:lang w:val="en"/>
        </w:rPr>
        <w:t>, the payment of income from visitors</w:t>
      </w:r>
      <w:r w:rsidR="003541C1" w:rsidRPr="00C77869">
        <w:rPr>
          <w:lang w:val="en"/>
        </w:rPr>
        <w:t xml:space="preserve"> (directly collected resources), and donations and transfers from </w:t>
      </w:r>
      <w:r w:rsidR="003541C1" w:rsidRPr="00C77869">
        <w:rPr>
          <w:color w:val="000000"/>
        </w:rPr>
        <w:t>PROFONANPE</w:t>
      </w:r>
      <w:r w:rsidR="007B261C">
        <w:rPr>
          <w:color w:val="000000"/>
        </w:rPr>
        <w:t xml:space="preserve"> for </w:t>
      </w:r>
      <w:r w:rsidR="000B1784">
        <w:rPr>
          <w:color w:val="000000"/>
        </w:rPr>
        <w:t xml:space="preserve">financially </w:t>
      </w:r>
      <w:r w:rsidR="007B261C">
        <w:rPr>
          <w:color w:val="000000"/>
        </w:rPr>
        <w:t>executing special projects</w:t>
      </w:r>
      <w:r w:rsidR="003541C1" w:rsidRPr="00C77869">
        <w:rPr>
          <w:color w:val="000000"/>
        </w:rPr>
        <w:t>.</w:t>
      </w:r>
      <w:r w:rsidR="00684D81" w:rsidRPr="00C77869">
        <w:rPr>
          <w:color w:val="000000"/>
        </w:rPr>
        <w:t xml:space="preserve"> </w:t>
      </w:r>
      <w:r w:rsidR="00C77869">
        <w:rPr>
          <w:color w:val="000000"/>
        </w:rPr>
        <w:t xml:space="preserve">SERNAP’s </w:t>
      </w:r>
      <w:r w:rsidR="00684D81" w:rsidRPr="00C77869">
        <w:rPr>
          <w:color w:val="000000"/>
        </w:rPr>
        <w:t>budget do</w:t>
      </w:r>
      <w:r w:rsidR="00D5375D" w:rsidRPr="00C77869">
        <w:rPr>
          <w:color w:val="000000"/>
        </w:rPr>
        <w:t>es</w:t>
      </w:r>
      <w:r w:rsidR="00684D81" w:rsidRPr="00C77869">
        <w:rPr>
          <w:color w:val="000000"/>
        </w:rPr>
        <w:t xml:space="preserve"> not cover </w:t>
      </w:r>
      <w:r w:rsidR="00BA197F" w:rsidRPr="00C77869">
        <w:rPr>
          <w:color w:val="000000"/>
        </w:rPr>
        <w:t xml:space="preserve">management expenditures of </w:t>
      </w:r>
      <w:r w:rsidR="00684D81" w:rsidRPr="00C77869">
        <w:rPr>
          <w:rFonts w:eastAsiaTheme="minorEastAsia"/>
        </w:rPr>
        <w:t>private conservation areas</w:t>
      </w:r>
      <w:r w:rsidR="00BA197F" w:rsidRPr="00C77869">
        <w:rPr>
          <w:rFonts w:eastAsiaTheme="minorEastAsia"/>
        </w:rPr>
        <w:t xml:space="preserve">, which are maintained by </w:t>
      </w:r>
      <w:r w:rsidR="00684D81" w:rsidRPr="00C77869">
        <w:rPr>
          <w:rFonts w:eastAsiaTheme="minorEastAsia"/>
        </w:rPr>
        <w:t>private entities or individuals with their own resources.</w:t>
      </w:r>
      <w:r w:rsidR="005D1F41" w:rsidRPr="00C77869">
        <w:rPr>
          <w:rFonts w:eastAsiaTheme="minorEastAsia"/>
        </w:rPr>
        <w:t xml:space="preserve"> In those areas, SERNA</w:t>
      </w:r>
      <w:r w:rsidR="002D0D19" w:rsidRPr="00C77869">
        <w:rPr>
          <w:rFonts w:eastAsiaTheme="minorEastAsia"/>
        </w:rPr>
        <w:t>N</w:t>
      </w:r>
      <w:r w:rsidR="005D1F41" w:rsidRPr="00C77869">
        <w:rPr>
          <w:rFonts w:eastAsiaTheme="minorEastAsia"/>
        </w:rPr>
        <w:t>P’s resources are used only for supervision purposes.</w:t>
      </w:r>
    </w:p>
    <w:p w14:paraId="1DC06C22" w14:textId="77777777" w:rsidR="00F05552" w:rsidRPr="00F05552" w:rsidRDefault="00F05552" w:rsidP="00F05552">
      <w:pPr>
        <w:keepNext/>
        <w:keepLines/>
        <w:autoSpaceDE w:val="0"/>
        <w:autoSpaceDN w:val="0"/>
        <w:adjustRightInd w:val="0"/>
        <w:spacing w:after="120"/>
        <w:jc w:val="center"/>
        <w:rPr>
          <w:b/>
          <w:sz w:val="20"/>
          <w:szCs w:val="20"/>
        </w:rPr>
      </w:pPr>
      <w:r w:rsidRPr="00F05552">
        <w:rPr>
          <w:b/>
          <w:sz w:val="20"/>
          <w:szCs w:val="20"/>
          <w:lang w:val="es-CO"/>
        </w:rPr>
        <w:t>Figure 2. SERNANP Budget Increase (2009–2015)</w:t>
      </w:r>
    </w:p>
    <w:p w14:paraId="7A01177C" w14:textId="77777777" w:rsidR="00F05552" w:rsidRPr="003F00AF" w:rsidRDefault="00F05552" w:rsidP="00F05552">
      <w:pPr>
        <w:pStyle w:val="ListParagraph"/>
        <w:ind w:left="3780" w:hanging="3780"/>
        <w:jc w:val="center"/>
      </w:pPr>
      <w:r w:rsidRPr="003F00AF">
        <w:rPr>
          <w:noProof/>
        </w:rPr>
        <w:drawing>
          <wp:inline distT="0" distB="0" distL="0" distR="0" wp14:anchorId="6613A98C" wp14:editId="41683CC9">
            <wp:extent cx="5654649" cy="3049905"/>
            <wp:effectExtent l="0" t="0" r="381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EEE6A9" w14:textId="77777777" w:rsidR="00F05552" w:rsidRPr="00F05552" w:rsidRDefault="00F05552" w:rsidP="00F05552">
      <w:pPr>
        <w:pStyle w:val="ListParagraph"/>
        <w:ind w:left="180"/>
        <w:rPr>
          <w:sz w:val="20"/>
        </w:rPr>
      </w:pPr>
      <w:r w:rsidRPr="00F05552">
        <w:rPr>
          <w:i/>
          <w:sz w:val="20"/>
        </w:rPr>
        <w:t xml:space="preserve">Note: </w:t>
      </w:r>
      <w:r w:rsidRPr="00F05552">
        <w:rPr>
          <w:sz w:val="20"/>
        </w:rPr>
        <w:t>OR = ordinary resources; DCR = directly collected resources; D&amp;T = donations and transfers from PROFONANPE.</w:t>
      </w:r>
    </w:p>
    <w:p w14:paraId="62A9C30F" w14:textId="110B4D5D" w:rsidR="008E18F4" w:rsidRPr="007B261C" w:rsidRDefault="008E18F4" w:rsidP="001554E7">
      <w:pPr>
        <w:pStyle w:val="ListParagraph"/>
        <w:numPr>
          <w:ilvl w:val="0"/>
          <w:numId w:val="1"/>
        </w:numPr>
        <w:spacing w:before="120" w:after="240"/>
        <w:ind w:left="0" w:firstLine="0"/>
        <w:jc w:val="both"/>
        <w:rPr>
          <w:rFonts w:eastAsiaTheme="minorEastAsia"/>
        </w:rPr>
      </w:pPr>
      <w:r w:rsidRPr="007B261C">
        <w:rPr>
          <w:b/>
        </w:rPr>
        <w:t>The objective of strengthening Peru’s institutional and legal framework for biodiversity conservation and NPAs management was accomplished</w:t>
      </w:r>
      <w:r w:rsidRPr="003F00AF">
        <w:t xml:space="preserve">. </w:t>
      </w:r>
      <w:r w:rsidR="00600992" w:rsidRPr="003F00AF">
        <w:t>T</w:t>
      </w:r>
      <w:r w:rsidR="00684D81" w:rsidRPr="003F00AF">
        <w:t xml:space="preserve">he GoP accomplished the objective of increasing </w:t>
      </w:r>
      <w:r w:rsidR="007B261C">
        <w:t xml:space="preserve">funding for managing NPAs, particularly by incrementing </w:t>
      </w:r>
      <w:r w:rsidR="00684D81" w:rsidRPr="003F00AF">
        <w:t xml:space="preserve">SERNANP’s </w:t>
      </w:r>
      <w:r w:rsidR="003A6AA0" w:rsidRPr="003F00AF">
        <w:t xml:space="preserve">ordinary </w:t>
      </w:r>
      <w:r w:rsidR="00684D81" w:rsidRPr="003F00AF">
        <w:t>resources</w:t>
      </w:r>
      <w:r w:rsidR="007B261C">
        <w:t xml:space="preserve"> and creating new </w:t>
      </w:r>
      <w:r w:rsidR="007B261C" w:rsidRPr="007B261C">
        <w:rPr>
          <w:rFonts w:eastAsiaTheme="minorEastAsia"/>
        </w:rPr>
        <w:t xml:space="preserve">private conservation areas. </w:t>
      </w:r>
      <w:r w:rsidR="005D1F41" w:rsidRPr="003F00AF">
        <w:t xml:space="preserve">Moreover, the GoP not only increased the number of NPAs, but also ensured that </w:t>
      </w:r>
      <w:r w:rsidR="005D1F41" w:rsidRPr="007B261C">
        <w:rPr>
          <w:rFonts w:eastAsiaTheme="minorEastAsia"/>
        </w:rPr>
        <w:t xml:space="preserve">94 percent of ecosystems located in NPAs are in optimal status. </w:t>
      </w:r>
      <w:r w:rsidR="00EF7960" w:rsidRPr="007B261C">
        <w:rPr>
          <w:rFonts w:eastAsiaTheme="minorEastAsia"/>
        </w:rPr>
        <w:t>As the NPA funding increased from US$1</w:t>
      </w:r>
      <w:r w:rsidR="00B2062E">
        <w:rPr>
          <w:rFonts w:eastAsiaTheme="minorEastAsia"/>
        </w:rPr>
        <w:t>9</w:t>
      </w:r>
      <w:r w:rsidR="00EF7960" w:rsidRPr="007B261C">
        <w:rPr>
          <w:rFonts w:eastAsiaTheme="minorEastAsia"/>
        </w:rPr>
        <w:t xml:space="preserve"> million in 2012 to US$2</w:t>
      </w:r>
      <w:r w:rsidR="00B2062E">
        <w:rPr>
          <w:rFonts w:eastAsiaTheme="minorEastAsia"/>
        </w:rPr>
        <w:t>8.5</w:t>
      </w:r>
      <w:r w:rsidR="00EF7960" w:rsidRPr="007B261C">
        <w:rPr>
          <w:rFonts w:eastAsiaTheme="minorEastAsia"/>
        </w:rPr>
        <w:t xml:space="preserve"> million in 2015, the GoP exceeded </w:t>
      </w:r>
      <w:r w:rsidR="002D0D19" w:rsidRPr="007B261C">
        <w:rPr>
          <w:rFonts w:eastAsiaTheme="minorEastAsia"/>
        </w:rPr>
        <w:t>the</w:t>
      </w:r>
      <w:r w:rsidR="00EF7960" w:rsidRPr="007B261C">
        <w:rPr>
          <w:rFonts w:eastAsiaTheme="minorEastAsia"/>
        </w:rPr>
        <w:t xml:space="preserve"> target value set for the </w:t>
      </w:r>
      <w:r w:rsidR="002D0D19" w:rsidRPr="007B261C">
        <w:rPr>
          <w:rFonts w:eastAsiaTheme="minorEastAsia"/>
        </w:rPr>
        <w:t xml:space="preserve">results indicator </w:t>
      </w:r>
      <w:r w:rsidR="00EF7960" w:rsidRPr="007B261C">
        <w:rPr>
          <w:rFonts w:eastAsiaTheme="minorEastAsia"/>
        </w:rPr>
        <w:t xml:space="preserve">(i.e. </w:t>
      </w:r>
      <w:r w:rsidR="002D0D19" w:rsidRPr="007B261C">
        <w:rPr>
          <w:rFonts w:eastAsiaTheme="minorEastAsia"/>
        </w:rPr>
        <w:t xml:space="preserve">increasing the NPA funding by </w:t>
      </w:r>
      <w:r w:rsidR="00EF7960" w:rsidRPr="007B261C">
        <w:rPr>
          <w:rFonts w:eastAsiaTheme="minorEastAsia"/>
        </w:rPr>
        <w:t xml:space="preserve">at least </w:t>
      </w:r>
      <w:r w:rsidR="002D0D19" w:rsidRPr="007B261C">
        <w:rPr>
          <w:rFonts w:eastAsiaTheme="minorEastAsia"/>
        </w:rPr>
        <w:t xml:space="preserve">US$2 million </w:t>
      </w:r>
      <w:r w:rsidR="00EF7960" w:rsidRPr="007B261C">
        <w:rPr>
          <w:rFonts w:eastAsiaTheme="minorEastAsia"/>
        </w:rPr>
        <w:t>per year</w:t>
      </w:r>
      <w:r w:rsidR="008709FA" w:rsidRPr="007B261C">
        <w:rPr>
          <w:rFonts w:eastAsiaTheme="minorEastAsia"/>
        </w:rPr>
        <w:t xml:space="preserve"> from December 31, 2013, onward</w:t>
      </w:r>
      <w:r w:rsidR="00EF7960" w:rsidRPr="007B261C">
        <w:rPr>
          <w:rFonts w:eastAsiaTheme="minorEastAsia"/>
        </w:rPr>
        <w:t xml:space="preserve">). </w:t>
      </w:r>
      <w:r w:rsidR="00A60048" w:rsidRPr="007B261C">
        <w:rPr>
          <w:rFonts w:eastAsiaTheme="minorEastAsia"/>
        </w:rPr>
        <w:t>For those reasons, the GoP achieved this sub-objective A.2.</w:t>
      </w:r>
    </w:p>
    <w:p w14:paraId="25ACFCCE" w14:textId="30BAF4B0" w:rsidR="008E18F4" w:rsidRPr="003F00AF" w:rsidRDefault="00BA4AEC" w:rsidP="008E18F4">
      <w:pPr>
        <w:keepNext/>
        <w:keepLines/>
        <w:spacing w:after="240"/>
        <w:ind w:left="720"/>
        <w:jc w:val="both"/>
        <w:rPr>
          <w:b/>
        </w:rPr>
      </w:pPr>
      <w:r w:rsidRPr="003F00AF">
        <w:rPr>
          <w:b/>
        </w:rPr>
        <w:t>3.2.3</w:t>
      </w:r>
      <w:r w:rsidRPr="003F00AF">
        <w:rPr>
          <w:b/>
        </w:rPr>
        <w:tab/>
      </w:r>
      <w:r w:rsidR="00A0529D" w:rsidRPr="003F00AF">
        <w:rPr>
          <w:b/>
        </w:rPr>
        <w:t xml:space="preserve">Sub-objective A.3 – </w:t>
      </w:r>
      <w:r w:rsidR="008E18F4" w:rsidRPr="003F00AF">
        <w:rPr>
          <w:b/>
        </w:rPr>
        <w:t>Strengthen the Framework for ECAs, Emissions Levels, and Environmental Monitoring</w:t>
      </w:r>
    </w:p>
    <w:p w14:paraId="75F71DC1" w14:textId="58A746BB" w:rsidR="00836E28" w:rsidRPr="00EE524C" w:rsidRDefault="008E18F4" w:rsidP="00185F4E">
      <w:pPr>
        <w:pStyle w:val="ListParagraph"/>
        <w:numPr>
          <w:ilvl w:val="0"/>
          <w:numId w:val="1"/>
        </w:numPr>
        <w:autoSpaceDE w:val="0"/>
        <w:autoSpaceDN w:val="0"/>
        <w:adjustRightInd w:val="0"/>
        <w:spacing w:after="240"/>
        <w:ind w:left="0" w:firstLine="0"/>
        <w:jc w:val="both"/>
        <w:rPr>
          <w:rFonts w:eastAsiaTheme="minorEastAsia"/>
        </w:rPr>
      </w:pPr>
      <w:r w:rsidRPr="00EE524C">
        <w:rPr>
          <w:b/>
        </w:rPr>
        <w:t>As part of th</w:t>
      </w:r>
      <w:r w:rsidR="00CE1A93" w:rsidRPr="00EE524C">
        <w:rPr>
          <w:b/>
        </w:rPr>
        <w:t>e ENVDPLs, the GoP established environmental quality standards and maximum permissible limits for air and water emissions.</w:t>
      </w:r>
      <w:r w:rsidR="00DE4DFF" w:rsidRPr="00EE524C">
        <w:rPr>
          <w:b/>
        </w:rPr>
        <w:t xml:space="preserve"> </w:t>
      </w:r>
      <w:r w:rsidR="00836E28" w:rsidRPr="00EE524C">
        <w:rPr>
          <w:rFonts w:eastAsiaTheme="minorEastAsia"/>
        </w:rPr>
        <w:t>This</w:t>
      </w:r>
      <w:r w:rsidR="00EE524C" w:rsidRPr="00EE524C">
        <w:rPr>
          <w:rFonts w:eastAsiaTheme="minorEastAsia"/>
        </w:rPr>
        <w:t xml:space="preserve"> </w:t>
      </w:r>
      <w:r w:rsidR="00836E28" w:rsidRPr="00EE524C">
        <w:rPr>
          <w:rFonts w:eastAsiaTheme="minorEastAsia"/>
        </w:rPr>
        <w:t xml:space="preserve">has included the approval of air quality standards for </w:t>
      </w:r>
      <w:r w:rsidR="00EE524C" w:rsidRPr="00CE1A93">
        <w:rPr>
          <w:color w:val="212121"/>
          <w:lang w:val="en"/>
        </w:rPr>
        <w:t>PM</w:t>
      </w:r>
      <w:r w:rsidR="00EE524C" w:rsidRPr="00CE1A93">
        <w:rPr>
          <w:color w:val="212121"/>
          <w:vertAlign w:val="subscript"/>
          <w:lang w:val="en"/>
        </w:rPr>
        <w:t>2.5</w:t>
      </w:r>
      <w:r w:rsidR="00EE524C">
        <w:rPr>
          <w:color w:val="212121"/>
          <w:vertAlign w:val="subscript"/>
          <w:lang w:val="en"/>
        </w:rPr>
        <w:t xml:space="preserve"> </w:t>
      </w:r>
      <w:r w:rsidR="00836E28" w:rsidRPr="00EE524C">
        <w:rPr>
          <w:rFonts w:eastAsiaTheme="minorEastAsia"/>
        </w:rPr>
        <w:t xml:space="preserve">and </w:t>
      </w:r>
      <w:r w:rsidR="00EE524C" w:rsidRPr="00EE524C">
        <w:rPr>
          <w:rFonts w:eastAsiaTheme="minorEastAsia"/>
        </w:rPr>
        <w:t xml:space="preserve">PMLs </w:t>
      </w:r>
      <w:r w:rsidR="00836E28" w:rsidRPr="00EE524C">
        <w:rPr>
          <w:rFonts w:eastAsiaTheme="minorEastAsia"/>
        </w:rPr>
        <w:t>for industrial activities (such as paper, cement and industrial boilers), as well as for</w:t>
      </w:r>
      <w:r w:rsidR="00EE524C" w:rsidRPr="00EE524C">
        <w:rPr>
          <w:rFonts w:eastAsiaTheme="minorEastAsia"/>
        </w:rPr>
        <w:t xml:space="preserve"> </w:t>
      </w:r>
      <w:r w:rsidR="00836E28" w:rsidRPr="00EE524C">
        <w:rPr>
          <w:rFonts w:eastAsiaTheme="minorEastAsia"/>
        </w:rPr>
        <w:t>mobile sources (such as motorcycles and heavy duty natural gas vehicles).</w:t>
      </w:r>
      <w:r w:rsidR="00EE524C">
        <w:rPr>
          <w:rFonts w:eastAsiaTheme="minorEastAsia"/>
        </w:rPr>
        <w:t xml:space="preserve"> Additionally, the ENVDPLs supported the dissemination of air quality information by DIGESA and SEMANHI</w:t>
      </w:r>
      <w:r w:rsidR="00EE524C" w:rsidRPr="00EE524C">
        <w:rPr>
          <w:rFonts w:eastAsiaTheme="minorEastAsia"/>
        </w:rPr>
        <w:t xml:space="preserve"> </w:t>
      </w:r>
      <w:r w:rsidR="00EE524C" w:rsidRPr="00EE524C">
        <w:rPr>
          <w:lang w:val="en"/>
        </w:rPr>
        <w:t>to improve</w:t>
      </w:r>
      <w:r w:rsidR="00EE524C" w:rsidRPr="00EE524C">
        <w:rPr>
          <w:rFonts w:eastAsiaTheme="minorEastAsia"/>
        </w:rPr>
        <w:t xml:space="preserve"> transparency and public disclosure of the monitoring data</w:t>
      </w:r>
      <w:r w:rsidR="00EE524C">
        <w:rPr>
          <w:rFonts w:eastAsiaTheme="minorEastAsia"/>
        </w:rPr>
        <w:t>.</w:t>
      </w:r>
    </w:p>
    <w:p w14:paraId="52EE5573" w14:textId="089CED1B" w:rsidR="00EE524C" w:rsidRPr="003F00AF" w:rsidRDefault="00EE524C" w:rsidP="00EE524C">
      <w:pPr>
        <w:pStyle w:val="ListParagraph"/>
        <w:numPr>
          <w:ilvl w:val="0"/>
          <w:numId w:val="1"/>
        </w:numPr>
        <w:spacing w:after="240"/>
        <w:ind w:left="0" w:firstLine="0"/>
        <w:jc w:val="both"/>
      </w:pPr>
      <w:r>
        <w:rPr>
          <w:rFonts w:eastAsiaTheme="minorEastAsia"/>
          <w:b/>
        </w:rPr>
        <w:t>During the program</w:t>
      </w:r>
      <w:r w:rsidR="00BC78E5">
        <w:rPr>
          <w:rFonts w:eastAsiaTheme="minorEastAsia"/>
          <w:b/>
        </w:rPr>
        <w:t>’s</w:t>
      </w:r>
      <w:r>
        <w:rPr>
          <w:rFonts w:eastAsiaTheme="minorEastAsia"/>
          <w:b/>
        </w:rPr>
        <w:t xml:space="preserve"> implementation, </w:t>
      </w:r>
      <w:r w:rsidRPr="00CE1A93">
        <w:rPr>
          <w:rFonts w:eastAsiaTheme="minorEastAsia"/>
          <w:b/>
        </w:rPr>
        <w:t>MINAM has facilitated consistency in the monitoring protocols of the several air quality monitoring networks in Peru.</w:t>
      </w:r>
      <w:r w:rsidRPr="00CE1A93">
        <w:rPr>
          <w:rFonts w:eastAsiaTheme="minorEastAsia"/>
        </w:rPr>
        <w:t xml:space="preserve"> </w:t>
      </w:r>
      <w:r w:rsidRPr="00CE1A93">
        <w:rPr>
          <w:color w:val="212121"/>
          <w:lang w:val="en"/>
        </w:rPr>
        <w:t>DIGESA operates a network of air quality monitoring stations in five points in Lima and Callao and in the cities of Piura, Iquitos, Chiclayo, Trujillo, Chimbote, Cerro de Pasco, La Oroya, Huancayo, Pisco, Ilo, Arequipa, and Cusco. The stations provide information on air quality for particulate parameters (Persistent Toxic Substances, PM</w:t>
      </w:r>
      <w:r w:rsidRPr="00CE1A93">
        <w:rPr>
          <w:color w:val="212121"/>
          <w:vertAlign w:val="subscript"/>
          <w:lang w:val="en"/>
        </w:rPr>
        <w:t>10</w:t>
      </w:r>
      <w:r w:rsidRPr="00CE1A93">
        <w:rPr>
          <w:color w:val="212121"/>
          <w:lang w:val="en"/>
        </w:rPr>
        <w:t>, and PM</w:t>
      </w:r>
      <w:r w:rsidRPr="00CE1A93">
        <w:rPr>
          <w:color w:val="212121"/>
          <w:vertAlign w:val="subscript"/>
          <w:lang w:val="en"/>
        </w:rPr>
        <w:t>2.5</w:t>
      </w:r>
      <w:r w:rsidRPr="00CE1A93">
        <w:rPr>
          <w:color w:val="212121"/>
          <w:lang w:val="en"/>
        </w:rPr>
        <w:t>) and SO</w:t>
      </w:r>
      <w:r w:rsidRPr="00CE1A93">
        <w:rPr>
          <w:color w:val="212121"/>
          <w:vertAlign w:val="subscript"/>
          <w:lang w:val="en"/>
        </w:rPr>
        <w:t>2</w:t>
      </w:r>
      <w:r w:rsidRPr="00CE1A93">
        <w:rPr>
          <w:color w:val="212121"/>
          <w:lang w:val="en"/>
        </w:rPr>
        <w:t xml:space="preserve"> and NO</w:t>
      </w:r>
      <w:r w:rsidRPr="00CE1A93">
        <w:rPr>
          <w:color w:val="212121"/>
          <w:vertAlign w:val="subscript"/>
          <w:lang w:val="en"/>
        </w:rPr>
        <w:t>2</w:t>
      </w:r>
      <w:r w:rsidRPr="00CE1A93">
        <w:rPr>
          <w:color w:val="212121"/>
          <w:lang w:val="en"/>
        </w:rPr>
        <w:t xml:space="preserve"> gases</w:t>
      </w:r>
      <w:r>
        <w:rPr>
          <w:color w:val="212121"/>
          <w:lang w:val="en"/>
        </w:rPr>
        <w:t>, which is disseminated through DIGESA’s</w:t>
      </w:r>
      <w:r w:rsidRPr="00CE1A93">
        <w:rPr>
          <w:color w:val="212121"/>
          <w:lang w:val="en"/>
        </w:rPr>
        <w:t xml:space="preserve"> website.</w:t>
      </w:r>
      <w:r w:rsidRPr="00CE1A93">
        <w:rPr>
          <w:lang w:val="en"/>
        </w:rPr>
        <w:t xml:space="preserve"> </w:t>
      </w:r>
      <w:r w:rsidRPr="00CE1A93">
        <w:rPr>
          <w:color w:val="212121"/>
          <w:lang w:val="en"/>
        </w:rPr>
        <w:t>In addition, SENAMHI operates nine automatic monitoring stations in Lima and Callao, disseminating air quality data in real time.</w:t>
      </w:r>
      <w:r w:rsidRPr="003F00AF">
        <w:rPr>
          <w:rStyle w:val="FootnoteReference"/>
          <w:color w:val="212121"/>
          <w:lang w:val="en"/>
        </w:rPr>
        <w:footnoteReference w:id="14"/>
      </w:r>
      <w:r w:rsidRPr="00CE1A93">
        <w:rPr>
          <w:color w:val="212121"/>
          <w:lang w:val="en"/>
        </w:rPr>
        <w:t xml:space="preserve"> SENAMHI and DIGESA have worked to harmonize and integrate the monitoring systems. They are both members of the Management Committee of the Clean Air Initiative for Lima and Callao.</w:t>
      </w:r>
    </w:p>
    <w:p w14:paraId="5A0E0EE8" w14:textId="72EAC153" w:rsidR="008E18F4" w:rsidRPr="002E11EA" w:rsidRDefault="002E11EA" w:rsidP="008E18F4">
      <w:pPr>
        <w:pStyle w:val="ListParagraph"/>
        <w:numPr>
          <w:ilvl w:val="0"/>
          <w:numId w:val="1"/>
        </w:numPr>
        <w:spacing w:after="240"/>
        <w:ind w:left="0" w:firstLine="0"/>
        <w:jc w:val="both"/>
      </w:pPr>
      <w:r>
        <w:rPr>
          <w:rFonts w:eastAsiaTheme="minorEastAsia"/>
          <w:b/>
          <w:bCs/>
        </w:rPr>
        <w:t xml:space="preserve">As part of the ENVDPL’s results framework, </w:t>
      </w:r>
      <w:r w:rsidR="008E18F4" w:rsidRPr="003F00AF">
        <w:rPr>
          <w:rFonts w:eastAsiaTheme="minorEastAsia"/>
          <w:b/>
          <w:bCs/>
        </w:rPr>
        <w:t>MINAM has supported local governments to develop air quality action plans</w:t>
      </w:r>
      <w:r>
        <w:rPr>
          <w:rFonts w:eastAsiaTheme="minorEastAsia"/>
          <w:b/>
          <w:bCs/>
        </w:rPr>
        <w:t xml:space="preserve"> in order to </w:t>
      </w:r>
      <w:r w:rsidRPr="003F00AF">
        <w:rPr>
          <w:rFonts w:eastAsiaTheme="minorEastAsia"/>
          <w:b/>
          <w:bCs/>
        </w:rPr>
        <w:t>address gro</w:t>
      </w:r>
      <w:r>
        <w:rPr>
          <w:rFonts w:eastAsiaTheme="minorEastAsia"/>
          <w:b/>
          <w:bCs/>
        </w:rPr>
        <w:t>wing urban air quality concerns</w:t>
      </w:r>
      <w:r w:rsidR="008E18F4" w:rsidRPr="003F00AF">
        <w:rPr>
          <w:rFonts w:eastAsiaTheme="minorEastAsia"/>
          <w:b/>
          <w:bCs/>
        </w:rPr>
        <w:t xml:space="preserve">. </w:t>
      </w:r>
      <w:r w:rsidR="008E18F4" w:rsidRPr="003F00AF">
        <w:rPr>
          <w:rFonts w:eastAsiaTheme="minorEastAsia"/>
          <w:bCs/>
        </w:rPr>
        <w:t xml:space="preserve">MINAM </w:t>
      </w:r>
      <w:r w:rsidR="008E18F4" w:rsidRPr="003F00AF">
        <w:rPr>
          <w:rFonts w:eastAsiaTheme="minorEastAsia"/>
        </w:rPr>
        <w:t>developed contingency plans for Ilo and La Oroya, including (a) the legal framework, (b) objectives, (c) activation and deactivation of alert phases, (d) coordination mechanisms, (e) strategy and measures to be implemented, (f) assessment of measures, (g) enforcement, and (h) financing. In addition, MINAM has also developed Clean Air Action Plans (</w:t>
      </w:r>
      <w:r w:rsidR="008E18F4" w:rsidRPr="003F00AF">
        <w:rPr>
          <w:rFonts w:eastAsiaTheme="minorEastAsia"/>
          <w:i/>
          <w:iCs/>
        </w:rPr>
        <w:t>Planes de Acción ‘A Limpiar El Aire’</w:t>
      </w:r>
      <w:r w:rsidR="008E18F4" w:rsidRPr="003F00AF">
        <w:rPr>
          <w:rFonts w:eastAsiaTheme="minorEastAsia"/>
        </w:rPr>
        <w:t>) for Arequipa,</w:t>
      </w:r>
      <w:r w:rsidR="008E18F4" w:rsidRPr="003F00AF">
        <w:rPr>
          <w:rStyle w:val="FootnoteReference"/>
          <w:rFonts w:eastAsiaTheme="minorEastAsia"/>
        </w:rPr>
        <w:footnoteReference w:id="15"/>
      </w:r>
      <w:r w:rsidR="008E18F4" w:rsidRPr="003F00AF">
        <w:rPr>
          <w:rFonts w:eastAsiaTheme="minorEastAsia"/>
        </w:rPr>
        <w:t xml:space="preserve"> Chimbote, Ilo, La Oroya, and priority atmospheric zones. These action plans establish warning levels in the event pollution levels exceed air quality standards. They also contain information about the responsible parties, the deadlines to design contingency actions, and the budget for piloting contingency measures.</w:t>
      </w:r>
    </w:p>
    <w:p w14:paraId="16C437E6" w14:textId="78F85908" w:rsidR="00150C32" w:rsidRPr="00491E28" w:rsidRDefault="008E18F4" w:rsidP="00185F4E">
      <w:pPr>
        <w:pStyle w:val="ListParagraph"/>
        <w:numPr>
          <w:ilvl w:val="0"/>
          <w:numId w:val="1"/>
        </w:numPr>
        <w:spacing w:after="120"/>
        <w:ind w:left="0" w:firstLine="0"/>
        <w:jc w:val="both"/>
        <w:rPr>
          <w:rFonts w:eastAsiaTheme="minorEastAsia"/>
          <w:b/>
        </w:rPr>
      </w:pPr>
      <w:r w:rsidRPr="00491E28">
        <w:rPr>
          <w:rFonts w:eastAsiaTheme="minorEastAsia"/>
          <w:b/>
        </w:rPr>
        <w:t>A</w:t>
      </w:r>
      <w:r w:rsidR="002E11EA" w:rsidRPr="00491E28">
        <w:rPr>
          <w:rFonts w:eastAsiaTheme="minorEastAsia"/>
          <w:b/>
        </w:rPr>
        <w:t xml:space="preserve">dditional </w:t>
      </w:r>
      <w:r w:rsidRPr="00491E28">
        <w:rPr>
          <w:rFonts w:eastAsiaTheme="minorEastAsia"/>
          <w:b/>
        </w:rPr>
        <w:t xml:space="preserve">interventions have contributed to address the growing health concerns associated with the rising concentrations of particulate matter and other air pollutants in Peruvian cities. </w:t>
      </w:r>
      <w:r w:rsidR="00491E28" w:rsidRPr="003F00AF">
        <w:t>As the next stage of air quality policies, MINAM revised the MPLs of vehicle emissions in the road network,</w:t>
      </w:r>
      <w:r w:rsidR="00491E28" w:rsidRPr="003F00AF">
        <w:rPr>
          <w:rStyle w:val="FootnoteReference"/>
        </w:rPr>
        <w:footnoteReference w:id="16"/>
      </w:r>
      <w:r w:rsidR="00491E28">
        <w:t xml:space="preserve"> complemented ECA </w:t>
      </w:r>
      <w:r w:rsidR="007A6C9A">
        <w:t>provisions</w:t>
      </w:r>
      <w:r w:rsidR="00491E28" w:rsidRPr="003F00AF">
        <w:rPr>
          <w:rStyle w:val="FootnoteReference"/>
        </w:rPr>
        <w:footnoteReference w:id="17"/>
      </w:r>
      <w:r w:rsidR="00491E28" w:rsidRPr="003F00AF">
        <w:t xml:space="preserve"> and established Fuel Harmfulness Indexes for 2014/2015.</w:t>
      </w:r>
      <w:r w:rsidR="00491E28" w:rsidRPr="003F00AF">
        <w:rPr>
          <w:rStyle w:val="FootnoteReference"/>
        </w:rPr>
        <w:footnoteReference w:id="18"/>
      </w:r>
      <w:r w:rsidR="00491E28" w:rsidRPr="003F00AF">
        <w:t xml:space="preserve"> Under MINAM’s leadership, t</w:t>
      </w:r>
      <w:r w:rsidR="00491E28" w:rsidRPr="00491E28">
        <w:rPr>
          <w:rFonts w:eastAsiaTheme="minorEastAsia"/>
        </w:rPr>
        <w:t xml:space="preserve">he Clean Air Act in Peru is in the final stages for approval by the GoP. This act will establish the legal framework for preserving air quality and reducing atmospheric pollution through environmental management actions such as control, surveillance, enforcement, and penalties. As a consequence, </w:t>
      </w:r>
      <w:r w:rsidR="00491E28">
        <w:rPr>
          <w:rFonts w:eastAsiaTheme="minorEastAsia"/>
        </w:rPr>
        <w:t>m</w:t>
      </w:r>
      <w:r w:rsidRPr="003F00AF">
        <w:t>easurable improvements in air quality in Lima have already been observed</w:t>
      </w:r>
      <w:r w:rsidR="00491E28">
        <w:t xml:space="preserve"> since 2008, when the GoP adopted the ENVDPL-supported policies </w:t>
      </w:r>
      <w:r w:rsidR="00C83B63">
        <w:t>(figure 3).</w:t>
      </w:r>
    </w:p>
    <w:p w14:paraId="15EE66E4" w14:textId="73F2A903" w:rsidR="008E18F4" w:rsidRDefault="008E18F4" w:rsidP="00C63406">
      <w:pPr>
        <w:pStyle w:val="Caption"/>
        <w:spacing w:before="120" w:after="60"/>
        <w:rPr>
          <w:noProof/>
        </w:rPr>
      </w:pPr>
      <w:r w:rsidRPr="003F00AF">
        <w:t xml:space="preserve">Figure </w:t>
      </w:r>
      <w:r w:rsidR="00B3769F" w:rsidRPr="003F00AF">
        <w:t>3</w:t>
      </w:r>
      <w:r w:rsidRPr="003F00AF">
        <w:t xml:space="preserve">. </w:t>
      </w:r>
      <w:r w:rsidRPr="003F00AF">
        <w:rPr>
          <w:noProof/>
        </w:rPr>
        <w:t>Air Quality Indicators in Lima</w:t>
      </w:r>
      <w:r w:rsidR="004C78D4">
        <w:rPr>
          <w:noProof/>
        </w:rPr>
        <w:t xml:space="preserve"> and </w:t>
      </w:r>
      <w:r w:rsidRPr="003F00AF">
        <w:rPr>
          <w:noProof/>
        </w:rPr>
        <w:t>Callao (200</w:t>
      </w:r>
      <w:r w:rsidR="00046E71">
        <w:rPr>
          <w:noProof/>
        </w:rPr>
        <w:t>8</w:t>
      </w:r>
      <w:r w:rsidRPr="003F00AF">
        <w:rPr>
          <w:noProof/>
        </w:rPr>
        <w:t>–201</w:t>
      </w:r>
      <w:r w:rsidR="00C83B63">
        <w:rPr>
          <w:noProof/>
        </w:rPr>
        <w:t>4</w:t>
      </w:r>
      <w:r w:rsidRPr="003F00AF">
        <w:rPr>
          <w:noProof/>
        </w:rPr>
        <w:t>)</w:t>
      </w:r>
    </w:p>
    <w:p w14:paraId="4F75FB13" w14:textId="6106E4D2" w:rsidR="002E4365" w:rsidRDefault="009E2007" w:rsidP="002E4365">
      <w:r>
        <w:rPr>
          <w:noProof/>
          <w:lang w:eastAsia="en-US"/>
        </w:rPr>
        <mc:AlternateContent>
          <mc:Choice Requires="wps">
            <w:drawing>
              <wp:anchor distT="0" distB="0" distL="114300" distR="114300" simplePos="0" relativeHeight="251667456" behindDoc="0" locked="0" layoutInCell="1" allowOverlap="1" wp14:anchorId="60854872" wp14:editId="09B32DD1">
                <wp:simplePos x="0" y="0"/>
                <wp:positionH relativeFrom="column">
                  <wp:posOffset>4679059</wp:posOffset>
                </wp:positionH>
                <wp:positionV relativeFrom="paragraph">
                  <wp:posOffset>45393</wp:posOffset>
                </wp:positionV>
                <wp:extent cx="910504" cy="339279"/>
                <wp:effectExtent l="0" t="0" r="23495" b="22860"/>
                <wp:wrapNone/>
                <wp:docPr id="196" name="Text Box 196"/>
                <wp:cNvGraphicFramePr/>
                <a:graphic xmlns:a="http://schemas.openxmlformats.org/drawingml/2006/main">
                  <a:graphicData uri="http://schemas.microsoft.com/office/word/2010/wordprocessingShape">
                    <wps:wsp>
                      <wps:cNvSpPr txBox="1"/>
                      <wps:spPr>
                        <a:xfrm>
                          <a:off x="0" y="0"/>
                          <a:ext cx="910504" cy="3392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4B3F30" w14:textId="1CC9B5BD" w:rsidR="005D2AA4" w:rsidRDefault="005D2AA4">
                            <w:r>
                              <w:rPr>
                                <w:noProof/>
                                <w:lang w:eastAsia="en-US"/>
                              </w:rPr>
                              <w:drawing>
                                <wp:inline distT="0" distB="0" distL="0" distR="0" wp14:anchorId="014DE33D" wp14:editId="24134AE4">
                                  <wp:extent cx="815340" cy="24130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5340" cy="24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854872" id="_x0000_t202" coordsize="21600,21600" o:spt="202" path="m,l,21600r21600,l21600,xe">
                <v:stroke joinstyle="miter"/>
                <v:path gradientshapeok="t" o:connecttype="rect"/>
              </v:shapetype>
              <v:shape id="Text Box 196" o:spid="_x0000_s1026" type="#_x0000_t202" style="position:absolute;margin-left:368.45pt;margin-top:3.55pt;width:71.7pt;height:26.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" fillcolor="white [3201]" strokecolor="white [3212]" strokeweight=".5pt">
                <v:textbox>
                  <w:txbxContent>
                    <w:p w14:paraId="1E4B3F30" w14:textId="1CC9B5BD" w:rsidR="005D2AA4" w:rsidRDefault="005D2AA4">
                      <w:r>
                        <w:rPr>
                          <w:noProof/>
                          <w:lang w:eastAsia="en-US"/>
                        </w:rPr>
                        <w:drawing>
                          <wp:inline distT="0" distB="0" distL="0" distR="0" wp14:anchorId="014DE33D" wp14:editId="24134AE4">
                            <wp:extent cx="815340" cy="24130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5340" cy="241300"/>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66F45453" wp14:editId="68C76CAF">
                <wp:simplePos x="0" y="0"/>
                <wp:positionH relativeFrom="margin">
                  <wp:align>center</wp:align>
                </wp:positionH>
                <wp:positionV relativeFrom="paragraph">
                  <wp:posOffset>1328156</wp:posOffset>
                </wp:positionV>
                <wp:extent cx="5316760" cy="4138"/>
                <wp:effectExtent l="0" t="0" r="17780" b="34290"/>
                <wp:wrapNone/>
                <wp:docPr id="30" name="Straight Connector 30"/>
                <wp:cNvGraphicFramePr/>
                <a:graphic xmlns:a="http://schemas.openxmlformats.org/drawingml/2006/main">
                  <a:graphicData uri="http://schemas.microsoft.com/office/word/2010/wordprocessingShape">
                    <wps:wsp>
                      <wps:cNvCnPr/>
                      <wps:spPr>
                        <a:xfrm>
                          <a:off x="0" y="0"/>
                          <a:ext cx="5316760" cy="4138"/>
                        </a:xfrm>
                        <a:prstGeom prst="line">
                          <a:avLst/>
                        </a:prstGeom>
                        <a:ln>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D02C613" id="Straight Connector 30"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04.6pt" to="418.6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" strokecolor="#c00000" strokeweight=".5pt">
                <v:stroke dashstyle="dash" joinstyle="miter"/>
                <w10:wrap anchorx="margin"/>
              </v:line>
            </w:pict>
          </mc:Fallback>
        </mc:AlternateContent>
      </w:r>
      <w:r w:rsidR="002E4365">
        <w:rPr>
          <w:noProof/>
          <w:lang w:eastAsia="en-US"/>
        </w:rPr>
        <w:drawing>
          <wp:inline distT="0" distB="0" distL="0" distR="0" wp14:anchorId="73890696" wp14:editId="37970E39">
            <wp:extent cx="5770880" cy="2361733"/>
            <wp:effectExtent l="0" t="0" r="1270" b="6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09845D" w14:textId="3B7682B2" w:rsidR="00491E28" w:rsidRPr="002E4365" w:rsidRDefault="004C78D4" w:rsidP="004C78D4">
      <w:r>
        <w:rPr>
          <w:noProof/>
          <w:lang w:eastAsia="en-US"/>
        </w:rPr>
        <w:drawing>
          <wp:inline distT="0" distB="0" distL="0" distR="0" wp14:anchorId="4C80B3FD" wp14:editId="47BD819C">
            <wp:extent cx="5777051" cy="264226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1068" cy="2653245"/>
                    </a:xfrm>
                    <a:prstGeom prst="rect">
                      <a:avLst/>
                    </a:prstGeom>
                  </pic:spPr>
                </pic:pic>
              </a:graphicData>
            </a:graphic>
          </wp:inline>
        </w:drawing>
      </w:r>
    </w:p>
    <w:p w14:paraId="17016210" w14:textId="1274CD8F" w:rsidR="002E4365" w:rsidRDefault="00407650" w:rsidP="002E4365">
      <w:pPr>
        <w:pStyle w:val="Fuente"/>
        <w:spacing w:after="120" w:line="240" w:lineRule="auto"/>
        <w:jc w:val="left"/>
        <w:rPr>
          <w:rFonts w:ascii="Times New Roman" w:hAnsi="Times New Roman"/>
          <w:i/>
          <w:szCs w:val="20"/>
          <w:lang w:val="en-US"/>
        </w:rPr>
      </w:pPr>
      <w:r>
        <w:rPr>
          <w:noProof/>
          <w:lang w:val="en-US" w:eastAsia="en-US"/>
        </w:rPr>
        <mc:AlternateContent>
          <mc:Choice Requires="wps">
            <w:drawing>
              <wp:anchor distT="0" distB="0" distL="114300" distR="114300" simplePos="0" relativeHeight="251668480" behindDoc="0" locked="0" layoutInCell="1" allowOverlap="1" wp14:anchorId="25FEAD02" wp14:editId="3D4B6174">
                <wp:simplePos x="0" y="0"/>
                <wp:positionH relativeFrom="column">
                  <wp:posOffset>4376380</wp:posOffset>
                </wp:positionH>
                <wp:positionV relativeFrom="paragraph">
                  <wp:posOffset>123619</wp:posOffset>
                </wp:positionV>
                <wp:extent cx="1302701" cy="417893"/>
                <wp:effectExtent l="0" t="0" r="12065" b="20320"/>
                <wp:wrapNone/>
                <wp:docPr id="198" name="Text Box 198"/>
                <wp:cNvGraphicFramePr/>
                <a:graphic xmlns:a="http://schemas.openxmlformats.org/drawingml/2006/main">
                  <a:graphicData uri="http://schemas.microsoft.com/office/word/2010/wordprocessingShape">
                    <wps:wsp>
                      <wps:cNvSpPr txBox="1"/>
                      <wps:spPr>
                        <a:xfrm>
                          <a:off x="0" y="0"/>
                          <a:ext cx="1302701" cy="4178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901A05" w14:textId="6948A426" w:rsidR="005D2AA4" w:rsidRDefault="005D2AA4" w:rsidP="00407650">
                            <w:r>
                              <w:rPr>
                                <w:noProof/>
                                <w:lang w:eastAsia="en-US"/>
                              </w:rPr>
                              <w:drawing>
                                <wp:inline distT="0" distB="0" distL="0" distR="0" wp14:anchorId="22CE245E" wp14:editId="64BCE660">
                                  <wp:extent cx="777860" cy="11641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682" cy="116990"/>
                                          </a:xfrm>
                                          <a:prstGeom prst="rect">
                                            <a:avLst/>
                                          </a:prstGeom>
                                        </pic:spPr>
                                      </pic:pic>
                                    </a:graphicData>
                                  </a:graphic>
                                </wp:inline>
                              </w:drawing>
                            </w:r>
                          </w:p>
                          <w:p w14:paraId="2DBCE3DE" w14:textId="5DDD3A78" w:rsidR="005D2AA4" w:rsidRDefault="005D2AA4" w:rsidP="00407650">
                            <w:r>
                              <w:rPr>
                                <w:noProof/>
                                <w:lang w:eastAsia="en-US"/>
                              </w:rPr>
                              <w:drawing>
                                <wp:inline distT="0" distB="0" distL="0" distR="0" wp14:anchorId="0B18ED22" wp14:editId="1C66BA8D">
                                  <wp:extent cx="1082484" cy="124127"/>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8545" cy="1282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AD02" id="Text Box 198" o:spid="_x0000_s1027" type="#_x0000_t202" style="position:absolute;margin-left:344.6pt;margin-top:9.75pt;width:102.55pt;height:3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" fillcolor="white [3201]" strokecolor="white [3212]" strokeweight=".5pt">
                <v:textbox>
                  <w:txbxContent>
                    <w:p w14:paraId="12901A05" w14:textId="6948A426" w:rsidR="005D2AA4" w:rsidRDefault="005D2AA4" w:rsidP="00407650">
                      <w:r>
                        <w:rPr>
                          <w:noProof/>
                          <w:lang w:eastAsia="en-US"/>
                        </w:rPr>
                        <w:drawing>
                          <wp:inline distT="0" distB="0" distL="0" distR="0" wp14:anchorId="22CE245E" wp14:editId="64BCE660">
                            <wp:extent cx="777860" cy="11641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682" cy="116990"/>
                                    </a:xfrm>
                                    <a:prstGeom prst="rect">
                                      <a:avLst/>
                                    </a:prstGeom>
                                  </pic:spPr>
                                </pic:pic>
                              </a:graphicData>
                            </a:graphic>
                          </wp:inline>
                        </w:drawing>
                      </w:r>
                    </w:p>
                    <w:p w14:paraId="2DBCE3DE" w14:textId="5DDD3A78" w:rsidR="005D2AA4" w:rsidRDefault="005D2AA4" w:rsidP="00407650">
                      <w:r>
                        <w:rPr>
                          <w:noProof/>
                          <w:lang w:eastAsia="en-US"/>
                        </w:rPr>
                        <w:drawing>
                          <wp:inline distT="0" distB="0" distL="0" distR="0" wp14:anchorId="0B18ED22" wp14:editId="1C66BA8D">
                            <wp:extent cx="1082484" cy="124127"/>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8545" cy="128262"/>
                                    </a:xfrm>
                                    <a:prstGeom prst="rect">
                                      <a:avLst/>
                                    </a:prstGeom>
                                  </pic:spPr>
                                </pic:pic>
                              </a:graphicData>
                            </a:graphic>
                          </wp:inline>
                        </w:drawing>
                      </w:r>
                    </w:p>
                  </w:txbxContent>
                </v:textbox>
              </v:shape>
            </w:pict>
          </mc:Fallback>
        </mc:AlternateContent>
      </w:r>
      <w:r w:rsidR="009E2007">
        <w:rPr>
          <w:noProof/>
          <w:lang w:val="en-US" w:eastAsia="en-US"/>
        </w:rPr>
        <mc:AlternateContent>
          <mc:Choice Requires="wps">
            <w:drawing>
              <wp:anchor distT="0" distB="0" distL="114300" distR="114300" simplePos="0" relativeHeight="251663360" behindDoc="0" locked="0" layoutInCell="1" allowOverlap="1" wp14:anchorId="35D295CE" wp14:editId="6A495FA1">
                <wp:simplePos x="0" y="0"/>
                <wp:positionH relativeFrom="margin">
                  <wp:posOffset>308978</wp:posOffset>
                </wp:positionH>
                <wp:positionV relativeFrom="paragraph">
                  <wp:posOffset>1323274</wp:posOffset>
                </wp:positionV>
                <wp:extent cx="5316760" cy="4138"/>
                <wp:effectExtent l="0" t="0" r="17780" b="34290"/>
                <wp:wrapNone/>
                <wp:docPr id="31" name="Straight Connector 31"/>
                <wp:cNvGraphicFramePr/>
                <a:graphic xmlns:a="http://schemas.openxmlformats.org/drawingml/2006/main">
                  <a:graphicData uri="http://schemas.microsoft.com/office/word/2010/wordprocessingShape">
                    <wps:wsp>
                      <wps:cNvCnPr/>
                      <wps:spPr>
                        <a:xfrm>
                          <a:off x="0" y="0"/>
                          <a:ext cx="5316760" cy="4138"/>
                        </a:xfrm>
                        <a:prstGeom prst="line">
                          <a:avLst/>
                        </a:prstGeom>
                        <a:ln>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AAD0127" id="Straight Connector 31"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24.35pt,104.2pt" to="443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" strokecolor="#c00000" strokeweight=".5pt">
                <v:stroke dashstyle="dash" joinstyle="miter"/>
                <w10:wrap anchorx="margin"/>
              </v:line>
            </w:pict>
          </mc:Fallback>
        </mc:AlternateContent>
      </w:r>
      <w:r w:rsidR="002E4365">
        <w:rPr>
          <w:noProof/>
          <w:lang w:val="en-US" w:eastAsia="en-US"/>
        </w:rPr>
        <w:drawing>
          <wp:inline distT="0" distB="0" distL="0" distR="0" wp14:anchorId="2A8DEDB1" wp14:editId="035F1DEA">
            <wp:extent cx="5770880" cy="2107853"/>
            <wp:effectExtent l="0" t="0" r="1270"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1568E2" w14:textId="70DB62E1" w:rsidR="002E4365" w:rsidRDefault="00407650" w:rsidP="002E4365">
      <w:pPr>
        <w:pStyle w:val="Fuente"/>
        <w:spacing w:after="120" w:line="240" w:lineRule="auto"/>
        <w:jc w:val="left"/>
        <w:rPr>
          <w:rFonts w:ascii="Times New Roman" w:hAnsi="Times New Roman"/>
          <w:i/>
          <w:szCs w:val="20"/>
          <w:lang w:val="en-US"/>
        </w:rPr>
      </w:pPr>
      <w:r>
        <w:rPr>
          <w:noProof/>
          <w:lang w:val="en-US" w:eastAsia="en-US"/>
        </w:rPr>
        <mc:AlternateContent>
          <mc:Choice Requires="wps">
            <w:drawing>
              <wp:anchor distT="0" distB="0" distL="114300" distR="114300" simplePos="0" relativeHeight="251669504" behindDoc="0" locked="0" layoutInCell="1" allowOverlap="1" wp14:anchorId="2B6D4847" wp14:editId="479EE65F">
                <wp:simplePos x="0" y="0"/>
                <wp:positionH relativeFrom="column">
                  <wp:posOffset>4356847</wp:posOffset>
                </wp:positionH>
                <wp:positionV relativeFrom="paragraph">
                  <wp:posOffset>66977</wp:posOffset>
                </wp:positionV>
                <wp:extent cx="1290918" cy="293766"/>
                <wp:effectExtent l="0" t="0" r="24130" b="11430"/>
                <wp:wrapNone/>
                <wp:docPr id="201" name="Text Box 201"/>
                <wp:cNvGraphicFramePr/>
                <a:graphic xmlns:a="http://schemas.openxmlformats.org/drawingml/2006/main">
                  <a:graphicData uri="http://schemas.microsoft.com/office/word/2010/wordprocessingShape">
                    <wps:wsp>
                      <wps:cNvSpPr txBox="1"/>
                      <wps:spPr>
                        <a:xfrm>
                          <a:off x="0" y="0"/>
                          <a:ext cx="1290918" cy="2937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0F86EF" w14:textId="7F99DFA7" w:rsidR="005D2AA4" w:rsidRDefault="005D2AA4">
                            <w:r>
                              <w:rPr>
                                <w:noProof/>
                                <w:lang w:eastAsia="en-US"/>
                              </w:rPr>
                              <w:drawing>
                                <wp:inline distT="0" distB="0" distL="0" distR="0" wp14:anchorId="4D25FCFB" wp14:editId="0CF6B37F">
                                  <wp:extent cx="1101090" cy="10033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1090" cy="100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D4847" id="Text Box 201" o:spid="_x0000_s1028" type="#_x0000_t202" style="position:absolute;margin-left:343.05pt;margin-top:5.25pt;width:101.65pt;height:2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" fillcolor="white [3201]" strokecolor="white [3212]" strokeweight=".5pt">
                <v:textbox>
                  <w:txbxContent>
                    <w:p w14:paraId="200F86EF" w14:textId="7F99DFA7" w:rsidR="005D2AA4" w:rsidRDefault="005D2AA4">
                      <w:r>
                        <w:rPr>
                          <w:noProof/>
                          <w:lang w:eastAsia="en-US"/>
                        </w:rPr>
                        <w:drawing>
                          <wp:inline distT="0" distB="0" distL="0" distR="0" wp14:anchorId="4D25FCFB" wp14:editId="0CF6B37F">
                            <wp:extent cx="1101090" cy="10033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1090" cy="100330"/>
                                    </a:xfrm>
                                    <a:prstGeom prst="rect">
                                      <a:avLst/>
                                    </a:prstGeom>
                                  </pic:spPr>
                                </pic:pic>
                              </a:graphicData>
                            </a:graphic>
                          </wp:inline>
                        </w:drawing>
                      </w:r>
                    </w:p>
                  </w:txbxContent>
                </v:textbox>
              </v:shape>
            </w:pict>
          </mc:Fallback>
        </mc:AlternateContent>
      </w:r>
      <w:r w:rsidR="002E5FD3">
        <w:rPr>
          <w:noProof/>
          <w:lang w:val="en-US" w:eastAsia="en-US"/>
        </w:rPr>
        <w:drawing>
          <wp:inline distT="0" distB="0" distL="0" distR="0" wp14:anchorId="58B9C780" wp14:editId="57D55CF4">
            <wp:extent cx="5800090" cy="1974656"/>
            <wp:effectExtent l="0" t="0" r="10160"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2D96F4" w14:textId="77777777" w:rsidR="008E18F4" w:rsidRPr="003F00AF" w:rsidRDefault="008E18F4" w:rsidP="00DF5B2D">
      <w:pPr>
        <w:pStyle w:val="Fuente"/>
        <w:spacing w:before="0" w:after="0" w:line="240" w:lineRule="auto"/>
        <w:jc w:val="left"/>
        <w:rPr>
          <w:rFonts w:ascii="Times New Roman" w:hAnsi="Times New Roman"/>
          <w:szCs w:val="20"/>
          <w:lang w:val="en-US"/>
        </w:rPr>
      </w:pPr>
      <w:r w:rsidRPr="003F00AF">
        <w:rPr>
          <w:rFonts w:ascii="Times New Roman" w:hAnsi="Times New Roman"/>
          <w:i/>
          <w:szCs w:val="20"/>
          <w:lang w:val="en-US"/>
        </w:rPr>
        <w:t>Source:</w:t>
      </w:r>
      <w:r w:rsidRPr="003F00AF">
        <w:rPr>
          <w:rFonts w:ascii="Times New Roman" w:hAnsi="Times New Roman"/>
          <w:szCs w:val="20"/>
          <w:lang w:val="en-US"/>
        </w:rPr>
        <w:t xml:space="preserve"> DIGESA.</w:t>
      </w:r>
    </w:p>
    <w:p w14:paraId="103B2758" w14:textId="77777777" w:rsidR="00DF5B2D" w:rsidRPr="003F00AF" w:rsidRDefault="00DF5B2D" w:rsidP="00DF5B2D">
      <w:pPr>
        <w:pStyle w:val="Fuente"/>
        <w:spacing w:before="0" w:after="0" w:line="240" w:lineRule="auto"/>
        <w:jc w:val="left"/>
        <w:rPr>
          <w:rFonts w:ascii="Times New Roman" w:hAnsi="Times New Roman"/>
          <w:szCs w:val="20"/>
          <w:lang w:val="en-US"/>
        </w:rPr>
      </w:pPr>
      <w:r w:rsidRPr="00FB2FC4">
        <w:rPr>
          <w:rFonts w:ascii="Times New Roman" w:hAnsi="Times New Roman"/>
          <w:i/>
          <w:szCs w:val="20"/>
          <w:lang w:val="en-US"/>
        </w:rPr>
        <w:t>Note</w:t>
      </w:r>
      <w:r>
        <w:rPr>
          <w:rFonts w:ascii="Times New Roman" w:hAnsi="Times New Roman"/>
          <w:szCs w:val="20"/>
          <w:lang w:val="en-US"/>
        </w:rPr>
        <w:t>: ECA = Environmental quality standard of Peruvian Law; OMS = Environmental quality standard of the World Health Organization.</w:t>
      </w:r>
    </w:p>
    <w:p w14:paraId="7704D2F9" w14:textId="5D094506" w:rsidR="008E18F4" w:rsidRPr="003F00AF" w:rsidRDefault="008E18F4" w:rsidP="005D2AA4">
      <w:pPr>
        <w:pStyle w:val="ListParagraph"/>
        <w:numPr>
          <w:ilvl w:val="0"/>
          <w:numId w:val="1"/>
        </w:numPr>
        <w:spacing w:before="240" w:after="240"/>
        <w:ind w:left="0" w:firstLine="0"/>
        <w:jc w:val="both"/>
      </w:pPr>
      <w:r w:rsidRPr="00046DD4">
        <w:rPr>
          <w:b/>
        </w:rPr>
        <w:t>The GoP made important strides in strengthening environmental regulations through the approval of ECAs and MPLs.</w:t>
      </w:r>
      <w:r w:rsidR="00757539" w:rsidRPr="00046DD4">
        <w:rPr>
          <w:b/>
        </w:rPr>
        <w:t xml:space="preserve"> </w:t>
      </w:r>
      <w:r w:rsidR="00F233D5" w:rsidRPr="00F233D5">
        <w:t>The GoP</w:t>
      </w:r>
      <w:r w:rsidR="00F233D5">
        <w:t xml:space="preserve"> partially achieved the PDO indicators for this sub-objective</w:t>
      </w:r>
      <w:r w:rsidR="00046DD4">
        <w:t>. A</w:t>
      </w:r>
      <w:r w:rsidR="00F233D5" w:rsidRPr="00046DD4">
        <w:rPr>
          <w:bCs/>
          <w:sz w:val="22"/>
          <w:szCs w:val="22"/>
        </w:rPr>
        <w:t xml:space="preserve">ir </w:t>
      </w:r>
      <w:r w:rsidR="00F233D5" w:rsidRPr="00F233D5">
        <w:t>quality data for Lima and Callao is published and disseminated by SENAMHI</w:t>
      </w:r>
      <w:r w:rsidR="00F233D5">
        <w:t xml:space="preserve"> </w:t>
      </w:r>
      <w:r w:rsidR="00046DD4">
        <w:t>in real time and</w:t>
      </w:r>
      <w:r w:rsidR="00F233D5">
        <w:t xml:space="preserve"> DIGESA</w:t>
      </w:r>
      <w:r w:rsidR="00046DD4">
        <w:t xml:space="preserve"> through annual reports. O</w:t>
      </w:r>
      <w:r w:rsidR="00F233D5">
        <w:t xml:space="preserve">nly </w:t>
      </w:r>
      <w:r w:rsidR="00F233D5" w:rsidRPr="00F233D5">
        <w:t>La Oroya</w:t>
      </w:r>
      <w:r w:rsidR="00046DD4">
        <w:t xml:space="preserve"> and </w:t>
      </w:r>
      <w:r w:rsidR="00F233D5" w:rsidRPr="00F233D5">
        <w:t>Ilo</w:t>
      </w:r>
      <w:r w:rsidR="00046DD4">
        <w:t xml:space="preserve"> </w:t>
      </w:r>
      <w:r w:rsidR="00F233D5" w:rsidRPr="00F233D5">
        <w:t>developed pollution contingency plans</w:t>
      </w:r>
      <w:r w:rsidR="00F233D5">
        <w:t xml:space="preserve">, and </w:t>
      </w:r>
      <w:r w:rsidR="00F233D5" w:rsidRPr="00F233D5">
        <w:t>Arequipa</w:t>
      </w:r>
      <w:r w:rsidR="00F233D5">
        <w:t xml:space="preserve"> included in its air quality plan </w:t>
      </w:r>
      <w:r w:rsidR="00F233D5" w:rsidRPr="00F233D5">
        <w:t>section on ‘Alert Measures’, referring to interventions designed and or</w:t>
      </w:r>
      <w:r w:rsidR="00F233D5">
        <w:t>dered by the Ministry of Health</w:t>
      </w:r>
      <w:r w:rsidR="00046DD4">
        <w:t>.</w:t>
      </w:r>
      <w:r w:rsidR="00F233D5">
        <w:t xml:space="preserve"> </w:t>
      </w:r>
      <w:r w:rsidR="00F233D5" w:rsidRPr="003F00AF">
        <w:t>Despite the shortcomings in the design of the PDO indicators for this sub-objective, the GoP took important steps in air quality monitoring and dissemination</w:t>
      </w:r>
      <w:r w:rsidR="00F233D5">
        <w:t xml:space="preserve"> in</w:t>
      </w:r>
      <w:r w:rsidR="00F233D5" w:rsidRPr="003F00AF">
        <w:t xml:space="preserve"> priority cities. </w:t>
      </w:r>
      <w:r w:rsidR="00757539" w:rsidRPr="003F00AF">
        <w:t>Those initiatives a</w:t>
      </w:r>
      <w:r w:rsidR="0054185E">
        <w:t xml:space="preserve">re reflected in the </w:t>
      </w:r>
      <w:r w:rsidR="00757539" w:rsidRPr="003F00AF">
        <w:t>improvement of air quality in L</w:t>
      </w:r>
      <w:r w:rsidR="00F233D5">
        <w:t>ima and Callao,</w:t>
      </w:r>
      <w:r w:rsidR="00757539" w:rsidRPr="003F00AF">
        <w:t xml:space="preserve"> </w:t>
      </w:r>
      <w:r w:rsidRPr="003F00AF">
        <w:t>despite demographic expansion and increased vehicular fleet</w:t>
      </w:r>
      <w:r w:rsidR="00A60048" w:rsidRPr="003F00AF">
        <w:t>.</w:t>
      </w:r>
    </w:p>
    <w:p w14:paraId="2DD33D58" w14:textId="588088D6" w:rsidR="00A60048" w:rsidRPr="003F00AF" w:rsidRDefault="0082242C" w:rsidP="00D130D4">
      <w:pPr>
        <w:pStyle w:val="ListParagraph"/>
        <w:numPr>
          <w:ilvl w:val="0"/>
          <w:numId w:val="1"/>
        </w:numPr>
        <w:spacing w:after="240"/>
        <w:ind w:left="0" w:firstLine="0"/>
        <w:jc w:val="both"/>
      </w:pPr>
      <w:r w:rsidRPr="003F00AF">
        <w:t xml:space="preserve">In light of the above, </w:t>
      </w:r>
      <w:r w:rsidR="00A60048" w:rsidRPr="003F00AF">
        <w:t xml:space="preserve">the GoP achieved Objective A </w:t>
      </w:r>
      <w:r w:rsidR="00A0529D" w:rsidRPr="003F00AF">
        <w:t>“</w:t>
      </w:r>
      <w:r w:rsidR="00A0529D" w:rsidRPr="003F00AF">
        <w:rPr>
          <w:rFonts w:eastAsia="MS Mincho"/>
          <w:lang w:eastAsia="ja-JP"/>
        </w:rPr>
        <w:t xml:space="preserve">Strengthening environmental governance and institutions in Peru”, </w:t>
      </w:r>
      <w:r w:rsidR="00A60048" w:rsidRPr="003F00AF">
        <w:t xml:space="preserve">and its </w:t>
      </w:r>
      <w:r w:rsidR="00A0529D" w:rsidRPr="003F00AF">
        <w:t>S</w:t>
      </w:r>
      <w:r w:rsidR="00A60048" w:rsidRPr="003F00AF">
        <w:t>ub-Objectives</w:t>
      </w:r>
      <w:r w:rsidR="00A0529D" w:rsidRPr="003F00AF">
        <w:t xml:space="preserve"> A.1, A.2 </w:t>
      </w:r>
      <w:r w:rsidR="005F13A7" w:rsidRPr="003F00AF">
        <w:t>a</w:t>
      </w:r>
      <w:r w:rsidR="00A0529D" w:rsidRPr="003F00AF">
        <w:t>nd A.3</w:t>
      </w:r>
      <w:r w:rsidR="00A60048" w:rsidRPr="003F00AF">
        <w:t xml:space="preserve">. Achievement of Objective A is rated as </w:t>
      </w:r>
      <w:r w:rsidR="00A0529D" w:rsidRPr="003F00AF">
        <w:rPr>
          <w:b/>
          <w:i/>
          <w:u w:val="single"/>
        </w:rPr>
        <w:t>Substantial</w:t>
      </w:r>
      <w:r w:rsidR="00A0529D" w:rsidRPr="003F00AF">
        <w:t>.</w:t>
      </w:r>
    </w:p>
    <w:p w14:paraId="0F1E8D7A" w14:textId="080AB76A" w:rsidR="008E18F4" w:rsidRPr="003F00AF" w:rsidRDefault="00B90525" w:rsidP="008E18F4">
      <w:pPr>
        <w:keepNext/>
        <w:keepLines/>
        <w:spacing w:after="240"/>
        <w:jc w:val="both"/>
        <w:rPr>
          <w:b/>
        </w:rPr>
      </w:pPr>
      <w:r w:rsidRPr="00836E28">
        <w:rPr>
          <w:b/>
        </w:rPr>
        <w:t xml:space="preserve">Objective </w:t>
      </w:r>
      <w:r w:rsidR="00BA4AEC" w:rsidRPr="00836E28">
        <w:rPr>
          <w:b/>
        </w:rPr>
        <w:t>B.</w:t>
      </w:r>
      <w:r w:rsidR="00BA4AEC" w:rsidRPr="00836E28">
        <w:rPr>
          <w:b/>
        </w:rPr>
        <w:tab/>
      </w:r>
      <w:r w:rsidR="00EA2A51" w:rsidRPr="00836E28">
        <w:rPr>
          <w:b/>
        </w:rPr>
        <w:t xml:space="preserve">Mainstreaming Environmental </w:t>
      </w:r>
      <w:r w:rsidR="008E18F4" w:rsidRPr="00836E28">
        <w:rPr>
          <w:b/>
        </w:rPr>
        <w:t>Sustainab</w:t>
      </w:r>
      <w:r w:rsidR="00EA2A51" w:rsidRPr="00836E28">
        <w:rPr>
          <w:b/>
        </w:rPr>
        <w:t>ility in the</w:t>
      </w:r>
      <w:r w:rsidR="008E18F4" w:rsidRPr="00836E28">
        <w:rPr>
          <w:b/>
        </w:rPr>
        <w:t xml:space="preserve"> Development </w:t>
      </w:r>
      <w:r w:rsidR="00EA2A51" w:rsidRPr="00836E28">
        <w:rPr>
          <w:b/>
        </w:rPr>
        <w:t xml:space="preserve">Agenda of </w:t>
      </w:r>
      <w:r w:rsidR="008E18F4" w:rsidRPr="00836E28">
        <w:rPr>
          <w:b/>
        </w:rPr>
        <w:t>Key Sectors</w:t>
      </w:r>
      <w:r w:rsidRPr="00836E28">
        <w:rPr>
          <w:b/>
        </w:rPr>
        <w:t xml:space="preserve"> (Mining, Urban Transport and Fisheries)</w:t>
      </w:r>
    </w:p>
    <w:p w14:paraId="2DBBD3AE" w14:textId="1F78B3E0" w:rsidR="008E18F4" w:rsidRPr="003F00AF" w:rsidRDefault="00BA4AEC" w:rsidP="008E18F4">
      <w:pPr>
        <w:keepNext/>
        <w:keepLines/>
        <w:spacing w:after="240"/>
        <w:ind w:left="720"/>
        <w:jc w:val="both"/>
        <w:rPr>
          <w:b/>
        </w:rPr>
      </w:pPr>
      <w:r w:rsidRPr="003F00AF">
        <w:rPr>
          <w:b/>
        </w:rPr>
        <w:t>3.2.4</w:t>
      </w:r>
      <w:r w:rsidRPr="003F00AF">
        <w:rPr>
          <w:b/>
        </w:rPr>
        <w:tab/>
      </w:r>
      <w:r w:rsidR="00B90525" w:rsidRPr="003F00AF">
        <w:rPr>
          <w:b/>
        </w:rPr>
        <w:t xml:space="preserve">Sub-Objective B.1 – Improve </w:t>
      </w:r>
      <w:r w:rsidR="008E18F4" w:rsidRPr="003F00AF">
        <w:rPr>
          <w:b/>
        </w:rPr>
        <w:t>Information and Capacity to Remediate MELs and Strengthen Environmental and Social Governance in the Mining Sector</w:t>
      </w:r>
    </w:p>
    <w:p w14:paraId="19B48F1B" w14:textId="7DBA1FFC" w:rsidR="008E18F4" w:rsidRPr="003F00AF" w:rsidRDefault="00836E28" w:rsidP="008876F1">
      <w:pPr>
        <w:pStyle w:val="ListParagraph"/>
        <w:numPr>
          <w:ilvl w:val="0"/>
          <w:numId w:val="1"/>
        </w:numPr>
        <w:spacing w:after="240"/>
        <w:ind w:left="0" w:firstLine="0"/>
        <w:jc w:val="both"/>
      </w:pPr>
      <w:r>
        <w:rPr>
          <w:rFonts w:eastAsiaTheme="minorEastAsia"/>
          <w:b/>
        </w:rPr>
        <w:t>As part of the ENVDPLs, t</w:t>
      </w:r>
      <w:r w:rsidR="008E18F4" w:rsidRPr="003F00AF">
        <w:rPr>
          <w:rFonts w:eastAsiaTheme="minorEastAsia"/>
          <w:b/>
        </w:rPr>
        <w:t xml:space="preserve">he GoP approved the regulations to transfer the onus of </w:t>
      </w:r>
      <w:r>
        <w:rPr>
          <w:rFonts w:eastAsiaTheme="minorEastAsia"/>
          <w:b/>
        </w:rPr>
        <w:t xml:space="preserve">remediating mining environmental legacies </w:t>
      </w:r>
      <w:r w:rsidR="008E18F4" w:rsidRPr="003F00AF">
        <w:rPr>
          <w:rFonts w:eastAsiaTheme="minorEastAsia"/>
          <w:b/>
        </w:rPr>
        <w:t>from the state to the mining title or concession holders, even after such title or concession has expired.</w:t>
      </w:r>
      <w:r w:rsidR="008E18F4" w:rsidRPr="003F00AF">
        <w:rPr>
          <w:rFonts w:eastAsiaTheme="minorEastAsia"/>
        </w:rPr>
        <w:t xml:space="preserve"> </w:t>
      </w:r>
      <w:r w:rsidR="00C43A6D" w:rsidRPr="00C43A6D">
        <w:t>Law 28526</w:t>
      </w:r>
      <w:r w:rsidR="00D00F56">
        <w:t>/2009</w:t>
      </w:r>
      <w:r w:rsidR="00C43A6D" w:rsidRPr="00C43A6D">
        <w:t xml:space="preserve"> and </w:t>
      </w:r>
      <w:r w:rsidR="008E18F4" w:rsidRPr="003F00AF">
        <w:rPr>
          <w:rFonts w:eastAsiaTheme="minorEastAsia"/>
        </w:rPr>
        <w:t xml:space="preserve">Legislative Decree 1042 mandate responsible parties of MELs to present an MEL Closing Plan. It also requires that the state accept remediation tasks only for those MELs whose responsible parties cannot be identified. The decree stipulates that any MEL that is part of the inventory prepared by MEM and that has an economic value may be reused (for example, machinery, land, and so forth). The decree also prohibits new mining concessions to be granted to companies that have not remediated their MELs. </w:t>
      </w:r>
      <w:r w:rsidR="008876F1">
        <w:rPr>
          <w:rFonts w:eastAsiaTheme="minorEastAsia"/>
        </w:rPr>
        <w:t>The GoP also approved a methodology for identifying and prioritizing MELs, a 3-year work program to identify, rank, manage those legacies, and technical guidelines for MELs remediation.</w:t>
      </w:r>
      <w:r w:rsidR="008876F1">
        <w:t xml:space="preserve"> </w:t>
      </w:r>
      <w:r w:rsidR="008876F1" w:rsidRPr="008876F1">
        <w:rPr>
          <w:rFonts w:eastAsiaTheme="minorEastAsia"/>
        </w:rPr>
        <w:t xml:space="preserve">With the support of the ENVDPLs, the GoP also </w:t>
      </w:r>
      <w:r w:rsidR="008E18F4" w:rsidRPr="008876F1">
        <w:rPr>
          <w:rFonts w:eastAsiaTheme="minorEastAsia"/>
        </w:rPr>
        <w:t xml:space="preserve">approved </w:t>
      </w:r>
      <w:r w:rsidR="00124266">
        <w:rPr>
          <w:rFonts w:eastAsiaTheme="minorEastAsia"/>
        </w:rPr>
        <w:t xml:space="preserve">a </w:t>
      </w:r>
      <w:r w:rsidR="008E18F4" w:rsidRPr="008876F1">
        <w:rPr>
          <w:rFonts w:eastAsiaTheme="minorEastAsia"/>
        </w:rPr>
        <w:t>regulation aimed at strengthening environmental and social governance in the mining sector by defining public and community participation during the concession, exploration, exploitation, execution, and closing of the mining process</w:t>
      </w:r>
      <w:r w:rsidR="00C43A6D">
        <w:rPr>
          <w:rFonts w:eastAsiaTheme="minorEastAsia"/>
        </w:rPr>
        <w:t xml:space="preserve"> </w:t>
      </w:r>
      <w:r w:rsidR="00C43A6D" w:rsidRPr="003F00AF">
        <w:rPr>
          <w:rFonts w:eastAsiaTheme="minorEastAsia"/>
        </w:rPr>
        <w:t>(</w:t>
      </w:r>
      <w:r w:rsidR="00C43A6D" w:rsidRPr="003F00AF">
        <w:t>Ministerial Resolution No. 304-2008-MEM/DM)</w:t>
      </w:r>
      <w:r w:rsidR="008E18F4" w:rsidRPr="008876F1">
        <w:rPr>
          <w:rFonts w:eastAsiaTheme="minorEastAsia"/>
        </w:rPr>
        <w:t>.</w:t>
      </w:r>
      <w:r w:rsidR="008876F1" w:rsidRPr="008876F1">
        <w:rPr>
          <w:rFonts w:eastAsiaTheme="minorEastAsia"/>
        </w:rPr>
        <w:t xml:space="preserve"> In this context, the GoP regulated the process of participatory environmental monitoring and surveillance in mining activities.</w:t>
      </w:r>
    </w:p>
    <w:p w14:paraId="00FDBA5F" w14:textId="77777777" w:rsidR="007958DD" w:rsidRPr="007958DD" w:rsidRDefault="007958DD" w:rsidP="007958DD">
      <w:pPr>
        <w:pStyle w:val="ListParagraph"/>
        <w:numPr>
          <w:ilvl w:val="0"/>
          <w:numId w:val="1"/>
        </w:numPr>
        <w:spacing w:after="240"/>
        <w:ind w:left="0" w:firstLine="0"/>
        <w:jc w:val="both"/>
      </w:pPr>
      <w:r w:rsidRPr="007958DD">
        <w:rPr>
          <w:b/>
          <w:lang w:val="en"/>
        </w:rPr>
        <w:t xml:space="preserve">The Ministry of Energy and Mining </w:t>
      </w:r>
      <w:r w:rsidR="008E18F4" w:rsidRPr="007958DD">
        <w:rPr>
          <w:b/>
          <w:lang w:val="en"/>
        </w:rPr>
        <w:t>has made significant progress in establishing an inventory and classification of mining liabilities.</w:t>
      </w:r>
      <w:r w:rsidR="008E18F4" w:rsidRPr="007958DD">
        <w:rPr>
          <w:lang w:val="en"/>
        </w:rPr>
        <w:t xml:space="preserve"> </w:t>
      </w:r>
      <w:r w:rsidR="008E18F4" w:rsidRPr="003F00AF">
        <w:t xml:space="preserve">MEM used </w:t>
      </w:r>
      <w:r w:rsidR="008E18F4" w:rsidRPr="007958DD">
        <w:rPr>
          <w:rFonts w:eastAsiaTheme="minorEastAsia"/>
        </w:rPr>
        <w:t xml:space="preserve">the methodology developed by </w:t>
      </w:r>
      <w:r w:rsidR="008E18F4" w:rsidRPr="003F00AF">
        <w:t>PERCAN, which comprises four stages: (a) MELs inventory update and MELs identification and prioritization by watershed, (b) responsible party determination, (c) development of engineering studies for remediation, and (d) remediation works. The first inventory, published in 2006, identified 850 legacies. In March 2015, the inventory was updated, totaling 8,616 legacies identified as a result of field work carried out in 19 watersheds. Each legacy has been recorded with the information that will allow the characterization of its waste to determine the associated risk level and, thus, their remediation priority.</w:t>
      </w:r>
      <w:r w:rsidR="00361D43" w:rsidRPr="003F00AF">
        <w:t xml:space="preserve"> Based on this inventory, MEM identified 2,546 MELs of very high risk, and 1,735 MELs of high risk.</w:t>
      </w:r>
      <w:r w:rsidRPr="007958DD">
        <w:rPr>
          <w:b/>
        </w:rPr>
        <w:t xml:space="preserve"> </w:t>
      </w:r>
    </w:p>
    <w:p w14:paraId="24B26AF7" w14:textId="2ACAA04B" w:rsidR="007958DD" w:rsidRPr="003F00AF" w:rsidRDefault="007958DD" w:rsidP="007958DD">
      <w:pPr>
        <w:pStyle w:val="ListParagraph"/>
        <w:numPr>
          <w:ilvl w:val="0"/>
          <w:numId w:val="1"/>
        </w:numPr>
        <w:spacing w:after="240"/>
        <w:ind w:left="0" w:firstLine="0"/>
        <w:jc w:val="both"/>
      </w:pPr>
      <w:r w:rsidRPr="003F00AF">
        <w:rPr>
          <w:b/>
        </w:rPr>
        <w:t xml:space="preserve">Based on </w:t>
      </w:r>
      <w:r w:rsidR="00C43A6D">
        <w:rPr>
          <w:b/>
        </w:rPr>
        <w:t>Law 28526</w:t>
      </w:r>
      <w:r w:rsidR="00D00F56">
        <w:rPr>
          <w:b/>
        </w:rPr>
        <w:t>/2009</w:t>
      </w:r>
      <w:r w:rsidR="00C43A6D">
        <w:rPr>
          <w:b/>
        </w:rPr>
        <w:t xml:space="preserve"> and </w:t>
      </w:r>
      <w:r w:rsidRPr="007958DD">
        <w:rPr>
          <w:rFonts w:eastAsiaTheme="minorEastAsia"/>
          <w:b/>
        </w:rPr>
        <w:t>Legislative Decree 1042</w:t>
      </w:r>
      <w:r w:rsidRPr="003F00AF">
        <w:rPr>
          <w:b/>
        </w:rPr>
        <w:t>, several mining companies have remedied the legacies that were within their mining properties.</w:t>
      </w:r>
      <w:r w:rsidRPr="003F00AF">
        <w:t xml:space="preserve"> Examples of firms that initiated remediation actions include Barrick operations in Alto Chicama (La Libertad) and Xstrata-Glencore in Las Bambas (Apurimac). The Chinese company, Chinalco, invested more than US$40 million to build a plant to treat acidic waters in the Kingsmill tunnel to reuse some of the water in its operations in the Toromocho (Junin) mine, thus solving one of the most complicated Peruvian mining legacies. The mining companies Buenaventura, Yanacocha, and Goldfields, with operations in Cajamarca, donated S/.3 million </w:t>
      </w:r>
      <w:r w:rsidR="00C43A6D">
        <w:t xml:space="preserve">(approximately US$900,000) </w:t>
      </w:r>
      <w:r w:rsidRPr="003F00AF">
        <w:t>to FONAM to start remediation of legacies in the Hualgayoc province, located in this region. Buenaventura is completing the closure of its mine, Colquirrumi, also located in this district, where it has invested more than US$15 million.</w:t>
      </w:r>
    </w:p>
    <w:p w14:paraId="4EFAE1F5" w14:textId="1993EB04" w:rsidR="008E18F4" w:rsidRPr="00C605F4" w:rsidRDefault="008E18F4" w:rsidP="00C605F4">
      <w:pPr>
        <w:pStyle w:val="ListParagraph"/>
        <w:numPr>
          <w:ilvl w:val="0"/>
          <w:numId w:val="1"/>
        </w:numPr>
        <w:spacing w:after="240"/>
        <w:ind w:left="0" w:firstLine="0"/>
        <w:jc w:val="both"/>
        <w:rPr>
          <w:lang w:val="en"/>
        </w:rPr>
      </w:pPr>
      <w:r w:rsidRPr="003F00AF">
        <w:rPr>
          <w:rFonts w:eastAsiaTheme="minorEastAsia"/>
          <w:b/>
          <w:bCs/>
        </w:rPr>
        <w:t xml:space="preserve">In parallel, the GoP </w:t>
      </w:r>
      <w:r w:rsidR="00C43A6D">
        <w:rPr>
          <w:rFonts w:eastAsiaTheme="minorEastAsia"/>
          <w:b/>
          <w:bCs/>
        </w:rPr>
        <w:t xml:space="preserve">strengthened </w:t>
      </w:r>
      <w:r w:rsidRPr="00C43A6D">
        <w:rPr>
          <w:rFonts w:eastAsiaTheme="minorEastAsia"/>
          <w:b/>
        </w:rPr>
        <w:t>environmental monitoring carried out by local communities to boost ownership and reduce mistrust among the stakeholders</w:t>
      </w:r>
      <w:r w:rsidRPr="003F00AF">
        <w:rPr>
          <w:rFonts w:eastAsiaTheme="minorEastAsia"/>
        </w:rPr>
        <w:t>. A growing number of environmental participatory committees were created to ensure community oversight during all stages of the mining process</w:t>
      </w:r>
      <w:r w:rsidRPr="003F00AF">
        <w:t xml:space="preserve">. </w:t>
      </w:r>
      <w:r w:rsidRPr="003F00AF">
        <w:rPr>
          <w:lang w:val="en"/>
        </w:rPr>
        <w:t>According to MEM, 101 mining projects had established participatory environmental monitoring activities, based on the obligations undertaken</w:t>
      </w:r>
      <w:r w:rsidR="00C43A6D">
        <w:rPr>
          <w:lang w:val="en"/>
        </w:rPr>
        <w:t xml:space="preserve"> by the mining operators in EIAs </w:t>
      </w:r>
      <w:r w:rsidR="00C605F4">
        <w:rPr>
          <w:lang w:val="en"/>
        </w:rPr>
        <w:t>and environmental management plans</w:t>
      </w:r>
      <w:r w:rsidRPr="003F00AF">
        <w:rPr>
          <w:lang w:val="en"/>
        </w:rPr>
        <w:t>.</w:t>
      </w:r>
      <w:r w:rsidR="00D93CEF">
        <w:rPr>
          <w:rStyle w:val="FootnoteReference"/>
          <w:lang w:val="en"/>
        </w:rPr>
        <w:footnoteReference w:id="19"/>
      </w:r>
      <w:r w:rsidRPr="003F00AF">
        <w:rPr>
          <w:lang w:val="en"/>
        </w:rPr>
        <w:t xml:space="preserve"> Currently, OEFA is in charge of gathering information on the implementation of particip</w:t>
      </w:r>
      <w:r w:rsidR="00C605F4">
        <w:rPr>
          <w:lang w:val="en"/>
        </w:rPr>
        <w:t xml:space="preserve">atory environmental monitoring, as part of its supervision functions. According to OEFA, mining projects presented </w:t>
      </w:r>
      <w:r w:rsidR="00C605F4" w:rsidRPr="00C605F4">
        <w:rPr>
          <w:lang w:val="en"/>
        </w:rPr>
        <w:t>irregularities in terms of environmental monitoring (deadline, scope and/or frequency) in 5 out of 202 supervised sites in 2013 and none out of 206 supervised sites in 2014.</w:t>
      </w:r>
      <w:r w:rsidR="00D93CEF">
        <w:rPr>
          <w:rStyle w:val="FootnoteReference"/>
          <w:lang w:val="en"/>
        </w:rPr>
        <w:footnoteReference w:id="20"/>
      </w:r>
      <w:r w:rsidR="00C605F4">
        <w:rPr>
          <w:lang w:val="en"/>
        </w:rPr>
        <w:t xml:space="preserve"> </w:t>
      </w:r>
      <w:r w:rsidRPr="00C605F4">
        <w:rPr>
          <w:lang w:val="en"/>
        </w:rPr>
        <w:t xml:space="preserve">In 2014, </w:t>
      </w:r>
      <w:r w:rsidR="00C605F4">
        <w:rPr>
          <w:lang w:val="en"/>
        </w:rPr>
        <w:t>OEFA</w:t>
      </w:r>
      <w:r w:rsidRPr="00C605F4">
        <w:rPr>
          <w:lang w:val="en"/>
        </w:rPr>
        <w:t xml:space="preserve"> adopted specific rules for public participation in environmental monitoring actions of mining projects</w:t>
      </w:r>
      <w:r w:rsidR="00C605F4">
        <w:rPr>
          <w:lang w:val="en"/>
        </w:rPr>
        <w:t xml:space="preserve"> </w:t>
      </w:r>
      <w:r w:rsidRPr="00C605F4">
        <w:rPr>
          <w:lang w:val="en"/>
        </w:rPr>
        <w:t>(Board Re</w:t>
      </w:r>
      <w:r w:rsidR="00C43A6D">
        <w:rPr>
          <w:lang w:val="en"/>
        </w:rPr>
        <w:t>solution No. 032-2014-OEFA/CD), in order to complement MEM’s provisions.</w:t>
      </w:r>
    </w:p>
    <w:p w14:paraId="09BB5138" w14:textId="7C015636" w:rsidR="008E18F4" w:rsidRPr="003F00AF" w:rsidRDefault="008E18F4" w:rsidP="00EE38B6">
      <w:pPr>
        <w:pStyle w:val="ListParagraph"/>
        <w:numPr>
          <w:ilvl w:val="0"/>
          <w:numId w:val="1"/>
        </w:numPr>
        <w:spacing w:after="240"/>
        <w:ind w:left="0" w:firstLine="0"/>
        <w:jc w:val="both"/>
      </w:pPr>
      <w:r w:rsidRPr="004F0972">
        <w:rPr>
          <w:b/>
        </w:rPr>
        <w:t xml:space="preserve">The GoP exceeded the target </w:t>
      </w:r>
      <w:r w:rsidR="008B2287" w:rsidRPr="004F0972">
        <w:rPr>
          <w:b/>
        </w:rPr>
        <w:t xml:space="preserve">of identifying priority MELs and confirming resources to </w:t>
      </w:r>
      <w:r w:rsidRPr="004F0972">
        <w:rPr>
          <w:b/>
        </w:rPr>
        <w:t>remediat</w:t>
      </w:r>
      <w:r w:rsidR="008B2287" w:rsidRPr="004F0972">
        <w:rPr>
          <w:b/>
        </w:rPr>
        <w:t>e</w:t>
      </w:r>
      <w:r w:rsidRPr="004F0972">
        <w:rPr>
          <w:b/>
        </w:rPr>
        <w:t xml:space="preserve"> th</w:t>
      </w:r>
      <w:r w:rsidR="008B2287" w:rsidRPr="004F0972">
        <w:rPr>
          <w:b/>
        </w:rPr>
        <w:t>ose legacies</w:t>
      </w:r>
      <w:r w:rsidRPr="004F0972">
        <w:rPr>
          <w:b/>
        </w:rPr>
        <w:t xml:space="preserve">. </w:t>
      </w:r>
      <w:r w:rsidR="00AF0FC3" w:rsidRPr="00AF0FC3">
        <w:t xml:space="preserve">The </w:t>
      </w:r>
      <w:r w:rsidR="008B2287">
        <w:t>target value should have specified whether the identification of MELs would be measured by mining sites or by contaminated spots within each mining site. As a result of this imprecision, the target value</w:t>
      </w:r>
      <w:r w:rsidR="004F0972">
        <w:t xml:space="preserve"> of the PDO Indicator</w:t>
      </w:r>
      <w:r w:rsidR="008B2287">
        <w:t xml:space="preserve"> seems modest</w:t>
      </w:r>
      <w:r w:rsidR="004F0972">
        <w:t xml:space="preserve"> in comparison to the government’s achievements in this area. </w:t>
      </w:r>
      <w:r w:rsidRPr="003F00AF">
        <w:t>The GoP has taken full ownership of the priority setting procedure, as demonstrated by its continued use and the growing MEL inventory</w:t>
      </w:r>
      <w:r w:rsidR="00C43A6D">
        <w:t xml:space="preserve">: </w:t>
      </w:r>
      <w:r w:rsidR="00C43A6D" w:rsidRPr="00C43A6D">
        <w:t xml:space="preserve">8,616 MELs were identified and prioritized by risk levels. </w:t>
      </w:r>
      <w:r w:rsidR="00AF0FC3">
        <w:t>In</w:t>
      </w:r>
      <w:r w:rsidR="00C43A6D" w:rsidRPr="00C43A6D">
        <w:t xml:space="preserve"> 2010, </w:t>
      </w:r>
      <w:r w:rsidR="00A43C80">
        <w:t xml:space="preserve">the GoP </w:t>
      </w:r>
      <w:r w:rsidR="00AF0FC3">
        <w:t xml:space="preserve">confirmed resources to remediate </w:t>
      </w:r>
      <w:r w:rsidR="00A43C80">
        <w:t xml:space="preserve">119 priority MELs legacies </w:t>
      </w:r>
      <w:r w:rsidR="00C43A6D" w:rsidRPr="00C43A6D">
        <w:t xml:space="preserve">in </w:t>
      </w:r>
      <w:r w:rsidR="00A43C80">
        <w:t xml:space="preserve">8 mining units </w:t>
      </w:r>
      <w:r w:rsidR="00C43A6D" w:rsidRPr="00C43A6D">
        <w:t>in Cajamarca</w:t>
      </w:r>
      <w:r w:rsidR="00A43C80">
        <w:t>.</w:t>
      </w:r>
      <w:r w:rsidR="00493CA1">
        <w:rPr>
          <w:rStyle w:val="FootnoteReference"/>
        </w:rPr>
        <w:footnoteReference w:id="21"/>
      </w:r>
      <w:r w:rsidR="00AF0FC3">
        <w:t xml:space="preserve"> </w:t>
      </w:r>
      <w:r w:rsidR="00A43C80">
        <w:t>In 201</w:t>
      </w:r>
      <w:r w:rsidR="00AF0FC3">
        <w:t>2</w:t>
      </w:r>
      <w:r w:rsidR="00A43C80">
        <w:t xml:space="preserve"> and 2014, </w:t>
      </w:r>
      <w:r w:rsidR="00C43A6D" w:rsidRPr="00C43A6D">
        <w:t xml:space="preserve">the state-owned agency </w:t>
      </w:r>
      <w:r w:rsidR="00C43A6D" w:rsidRPr="004F0972">
        <w:rPr>
          <w:i/>
        </w:rPr>
        <w:t>Activos Mineros</w:t>
      </w:r>
      <w:r w:rsidR="00A43C80" w:rsidRPr="004F0972">
        <w:rPr>
          <w:i/>
        </w:rPr>
        <w:t xml:space="preserve"> </w:t>
      </w:r>
      <w:r w:rsidR="00A43C80">
        <w:t xml:space="preserve">has allocated resources to remediate 407 </w:t>
      </w:r>
      <w:r w:rsidR="00A43C80" w:rsidRPr="00C43A6D">
        <w:t>leg</w:t>
      </w:r>
      <w:r w:rsidR="00A43C80">
        <w:t>acies in 21 former mining units.</w:t>
      </w:r>
      <w:r w:rsidR="002D3A66" w:rsidRPr="002D3A66">
        <w:rPr>
          <w:rStyle w:val="FootnoteReference"/>
        </w:rPr>
        <w:t xml:space="preserve"> </w:t>
      </w:r>
      <w:r w:rsidR="002D3A66">
        <w:rPr>
          <w:rStyle w:val="FootnoteReference"/>
        </w:rPr>
        <w:footnoteReference w:id="22"/>
      </w:r>
      <w:r w:rsidR="00A43C80">
        <w:t xml:space="preserve"> In 2014 and 2015, the GoP approved budget allocation for MEM to remediate 275 priority legacies in 15 mining units.</w:t>
      </w:r>
      <w:r w:rsidR="002D3A66">
        <w:t xml:space="preserve"> In addition, the GoP </w:t>
      </w:r>
      <w:r w:rsidR="002D3A66" w:rsidRPr="003F00AF">
        <w:t xml:space="preserve">is working with Japan International Cooperation Agency to develop a loan that will enable remediation of </w:t>
      </w:r>
      <w:r w:rsidR="002D3A66">
        <w:t xml:space="preserve">927 </w:t>
      </w:r>
      <w:r w:rsidR="002D3A66" w:rsidRPr="003F00AF">
        <w:t>MELs</w:t>
      </w:r>
      <w:r w:rsidR="002D3A66">
        <w:t xml:space="preserve"> in 49 mining units.</w:t>
      </w:r>
      <w:r w:rsidR="002D3A66">
        <w:rPr>
          <w:rStyle w:val="FootnoteReference"/>
        </w:rPr>
        <w:footnoteReference w:id="23"/>
      </w:r>
      <w:r w:rsidR="00AF0FC3">
        <w:t xml:space="preserve"> </w:t>
      </w:r>
      <w:r w:rsidR="00C43A6D">
        <w:t>T</w:t>
      </w:r>
      <w:r w:rsidRPr="003F00AF">
        <w:t xml:space="preserve">he GoP also surpassed the results indicator of participatory </w:t>
      </w:r>
      <w:r w:rsidR="00493CA1">
        <w:t xml:space="preserve">monitoring in mining operation: </w:t>
      </w:r>
      <w:r w:rsidR="00493CA1" w:rsidRPr="00493CA1">
        <w:t>101 mining sites</w:t>
      </w:r>
      <w:r w:rsidR="00493CA1">
        <w:t xml:space="preserve"> had</w:t>
      </w:r>
      <w:r w:rsidR="00493CA1" w:rsidRPr="00493CA1">
        <w:t xml:space="preserve"> </w:t>
      </w:r>
      <w:r w:rsidR="00493CA1">
        <w:t xml:space="preserve">established committees or programs of </w:t>
      </w:r>
      <w:r w:rsidR="00493CA1" w:rsidRPr="00493CA1">
        <w:t>environm</w:t>
      </w:r>
      <w:r w:rsidR="00493CA1">
        <w:t>ental participatory monitoring.</w:t>
      </w:r>
    </w:p>
    <w:p w14:paraId="70E5C08B" w14:textId="05FA8B4A" w:rsidR="008E18F4" w:rsidRPr="00DF02E6" w:rsidRDefault="00B90525" w:rsidP="00DF02E6">
      <w:pPr>
        <w:pStyle w:val="ListParagraph"/>
        <w:keepNext/>
        <w:keepLines/>
        <w:numPr>
          <w:ilvl w:val="2"/>
          <w:numId w:val="36"/>
        </w:numPr>
        <w:spacing w:after="240"/>
        <w:jc w:val="both"/>
        <w:rPr>
          <w:b/>
        </w:rPr>
      </w:pPr>
      <w:r w:rsidRPr="00DF02E6">
        <w:rPr>
          <w:b/>
        </w:rPr>
        <w:t xml:space="preserve">Sub-Objective B.2 – </w:t>
      </w:r>
      <w:r w:rsidR="008E18F4" w:rsidRPr="00DF02E6">
        <w:rPr>
          <w:b/>
        </w:rPr>
        <w:t>Improve</w:t>
      </w:r>
      <w:r w:rsidRPr="00DF02E6">
        <w:rPr>
          <w:b/>
        </w:rPr>
        <w:t xml:space="preserve"> </w:t>
      </w:r>
      <w:r w:rsidR="008E18F4" w:rsidRPr="00DF02E6">
        <w:rPr>
          <w:b/>
        </w:rPr>
        <w:t>Fuel Quality and Vehicle Performance</w:t>
      </w:r>
    </w:p>
    <w:p w14:paraId="7FDC5F76" w14:textId="62421811" w:rsidR="008E18F4" w:rsidRPr="00DF02E6" w:rsidRDefault="008E18F4" w:rsidP="00185F4E">
      <w:pPr>
        <w:pStyle w:val="ListParagraph"/>
        <w:numPr>
          <w:ilvl w:val="0"/>
          <w:numId w:val="1"/>
        </w:numPr>
        <w:spacing w:after="240"/>
        <w:ind w:left="0" w:firstLine="0"/>
        <w:jc w:val="both"/>
      </w:pPr>
      <w:r w:rsidRPr="00DF02E6">
        <w:rPr>
          <w:b/>
        </w:rPr>
        <w:t xml:space="preserve">With the support of the ENVDPLs, the GoP adopted important policies to reduce urban air pollution in the energy and urban transportation sectors. </w:t>
      </w:r>
      <w:r w:rsidRPr="003F00AF">
        <w:t>In particular, the GoP reduced sulfur content in diesel</w:t>
      </w:r>
      <w:r w:rsidRPr="00DF02E6">
        <w:rPr>
          <w:spacing w:val="-1"/>
        </w:rPr>
        <w:t>;</w:t>
      </w:r>
      <w:r w:rsidRPr="003F00AF">
        <w:t xml:space="preserve"> </w:t>
      </w:r>
      <w:r w:rsidRPr="00DF02E6">
        <w:rPr>
          <w:spacing w:val="-1"/>
        </w:rPr>
        <w:t>promoted vehicle</w:t>
      </w:r>
      <w:r w:rsidRPr="00DF02E6">
        <w:rPr>
          <w:spacing w:val="28"/>
        </w:rPr>
        <w:t xml:space="preserve"> </w:t>
      </w:r>
      <w:r w:rsidRPr="00DF02E6">
        <w:rPr>
          <w:spacing w:val="-1"/>
        </w:rPr>
        <w:t>conversion from</w:t>
      </w:r>
      <w:r w:rsidRPr="00DF02E6">
        <w:rPr>
          <w:spacing w:val="-2"/>
        </w:rPr>
        <w:t xml:space="preserve"> </w:t>
      </w:r>
      <w:r w:rsidRPr="00DF02E6">
        <w:rPr>
          <w:spacing w:val="-1"/>
        </w:rPr>
        <w:t>diesel to</w:t>
      </w:r>
      <w:r w:rsidRPr="00DF02E6">
        <w:rPr>
          <w:spacing w:val="28"/>
        </w:rPr>
        <w:t xml:space="preserve"> </w:t>
      </w:r>
      <w:r w:rsidRPr="00DF02E6">
        <w:rPr>
          <w:spacing w:val="-1"/>
        </w:rPr>
        <w:t>natural gas; and regulated vehicle</w:t>
      </w:r>
      <w:r w:rsidRPr="003F00AF">
        <w:t xml:space="preserve"> </w:t>
      </w:r>
      <w:r w:rsidRPr="00DF02E6">
        <w:rPr>
          <w:spacing w:val="-1"/>
        </w:rPr>
        <w:t>inspection</w:t>
      </w:r>
      <w:r w:rsidRPr="003F00AF">
        <w:t xml:space="preserve"> </w:t>
      </w:r>
      <w:r w:rsidRPr="00DF02E6">
        <w:rPr>
          <w:spacing w:val="-1"/>
        </w:rPr>
        <w:t>and maintenance</w:t>
      </w:r>
      <w:r w:rsidRPr="00DF02E6">
        <w:rPr>
          <w:spacing w:val="21"/>
        </w:rPr>
        <w:t xml:space="preserve"> </w:t>
      </w:r>
      <w:r w:rsidRPr="003F00AF">
        <w:t xml:space="preserve">system in </w:t>
      </w:r>
      <w:r w:rsidRPr="00DF02E6">
        <w:rPr>
          <w:spacing w:val="-1"/>
        </w:rPr>
        <w:t>the</w:t>
      </w:r>
      <w:r w:rsidRPr="003F00AF">
        <w:t xml:space="preserve"> </w:t>
      </w:r>
      <w:r w:rsidRPr="00DF02E6">
        <w:rPr>
          <w:spacing w:val="-2"/>
        </w:rPr>
        <w:t>Lima</w:t>
      </w:r>
      <w:r w:rsidRPr="00DF02E6">
        <w:rPr>
          <w:spacing w:val="29"/>
        </w:rPr>
        <w:t xml:space="preserve"> </w:t>
      </w:r>
      <w:r w:rsidRPr="00DF02E6">
        <w:rPr>
          <w:spacing w:val="-1"/>
        </w:rPr>
        <w:t>metropolitan</w:t>
      </w:r>
      <w:r w:rsidRPr="00DF02E6">
        <w:rPr>
          <w:spacing w:val="1"/>
        </w:rPr>
        <w:t xml:space="preserve"> </w:t>
      </w:r>
      <w:r w:rsidR="00DF02E6" w:rsidRPr="00DF02E6">
        <w:rPr>
          <w:spacing w:val="-1"/>
        </w:rPr>
        <w:t>area and three other cities.</w:t>
      </w:r>
      <w:r w:rsidR="00DF02E6">
        <w:t xml:space="preserve"> Through Law 28694 and Supreme Decree No. 061-2009-EM, t</w:t>
      </w:r>
      <w:r w:rsidR="00DF02E6" w:rsidRPr="00DF02E6">
        <w:rPr>
          <w:spacing w:val="-1"/>
        </w:rPr>
        <w:t xml:space="preserve">he GoP prohibited gas stations to supply B2 diesel with more than 50 ppm of sulfur content, for automotive purposes, in Lima and Callao provinces on January 1, 2010. </w:t>
      </w:r>
      <w:r w:rsidRPr="00DF02E6">
        <w:rPr>
          <w:rFonts w:eastAsiaTheme="minorEastAsia"/>
          <w:szCs w:val="22"/>
        </w:rPr>
        <w:t xml:space="preserve">With the issuance of Supreme Decree 213-2007-EF, the GoP created a temporary scheme to encourage the scrappage of older diesel vehicles to gradually reduce the consumption of diesel and/or make more efficient use of oil by promoting the use of petrol or natural gas vehicles. Supported by ENVDPL II, the government included a budget allocation amounting to </w:t>
      </w:r>
      <w:r w:rsidR="0062621C" w:rsidRPr="00DF02E6">
        <w:rPr>
          <w:rFonts w:eastAsiaTheme="minorEastAsia"/>
          <w:szCs w:val="22"/>
        </w:rPr>
        <w:t>S/.</w:t>
      </w:r>
      <w:r w:rsidRPr="00DF02E6">
        <w:rPr>
          <w:rFonts w:eastAsiaTheme="minorEastAsia"/>
          <w:szCs w:val="22"/>
        </w:rPr>
        <w:t xml:space="preserve">192 million </w:t>
      </w:r>
      <w:r w:rsidR="00046DD4">
        <w:rPr>
          <w:rFonts w:eastAsiaTheme="minorEastAsia"/>
          <w:szCs w:val="22"/>
        </w:rPr>
        <w:t xml:space="preserve">(approximately US$68 million) </w:t>
      </w:r>
      <w:r w:rsidRPr="00DF02E6">
        <w:rPr>
          <w:rFonts w:eastAsiaTheme="minorEastAsia"/>
          <w:szCs w:val="22"/>
        </w:rPr>
        <w:t>under its 2010 budget toward the provision of economic incentives to support vehicle conversions to natural gas. Owners of older diesel vehicles were given the equivalent of the market price of their vehicle, to be applied toward the purchase of a natural gas vehicle.</w:t>
      </w:r>
    </w:p>
    <w:p w14:paraId="44471C6A" w14:textId="77777777" w:rsidR="008E18F4" w:rsidRPr="003F00AF" w:rsidRDefault="008E18F4" w:rsidP="008E18F4">
      <w:pPr>
        <w:pStyle w:val="ListParagraph"/>
        <w:numPr>
          <w:ilvl w:val="0"/>
          <w:numId w:val="1"/>
        </w:numPr>
        <w:spacing w:after="240"/>
        <w:ind w:left="0" w:firstLine="0"/>
        <w:jc w:val="both"/>
        <w:rPr>
          <w:rFonts w:eastAsiaTheme="minorEastAsia"/>
          <w:szCs w:val="22"/>
        </w:rPr>
      </w:pPr>
      <w:r w:rsidRPr="003F00AF">
        <w:rPr>
          <w:rFonts w:eastAsiaTheme="minorEastAsia"/>
          <w:b/>
          <w:bCs/>
          <w:szCs w:val="22"/>
        </w:rPr>
        <w:t xml:space="preserve">The ENVDPLs also supported the implementation of the government’s Vehicle Inspection and Maintenance System according to a timetable based on license plate numbers in the Lima Metropolitan Region. </w:t>
      </w:r>
      <w:r w:rsidRPr="003F00AF">
        <w:rPr>
          <w:rFonts w:eastAsiaTheme="minorEastAsia"/>
          <w:szCs w:val="22"/>
        </w:rPr>
        <w:t xml:space="preserve">Vehicles operating on public roads were forced to submit to a technical inspection according to the schedule established in the resolution, </w:t>
      </w:r>
      <w:r w:rsidRPr="003F00AF">
        <w:rPr>
          <w:lang w:val="en"/>
        </w:rPr>
        <w:t xml:space="preserve">for certifying the proper functioning and maintenance of motor vehicles and compliance with the conditions and technical requirements. As a result of these measures, approximately </w:t>
      </w:r>
      <w:r w:rsidRPr="003F00AF">
        <w:rPr>
          <w:szCs w:val="22"/>
        </w:rPr>
        <w:t>1,000,000 vehicles are inspected yearly in Lima, and some 80,000 vehicles are inspected in the rest of the cities.</w:t>
      </w:r>
    </w:p>
    <w:p w14:paraId="11AF9BCE" w14:textId="1D0705AD" w:rsidR="00F3288C" w:rsidRPr="001B24EE" w:rsidRDefault="00DF02E6" w:rsidP="000B2176">
      <w:pPr>
        <w:pStyle w:val="ListParagraph"/>
        <w:numPr>
          <w:ilvl w:val="0"/>
          <w:numId w:val="1"/>
        </w:numPr>
        <w:spacing w:before="240" w:after="240"/>
        <w:ind w:left="0" w:firstLine="0"/>
        <w:jc w:val="both"/>
        <w:rPr>
          <w:lang w:val="en"/>
        </w:rPr>
      </w:pPr>
      <w:r w:rsidRPr="001B24EE">
        <w:rPr>
          <w:rFonts w:eastAsiaTheme="minorEastAsia"/>
          <w:b/>
          <w:bCs/>
          <w:szCs w:val="22"/>
        </w:rPr>
        <w:t xml:space="preserve">After the ENVDPL III, the GoP continued to adopt policies to improve fuel quality and promote conversion of vehicles to natural gas. </w:t>
      </w:r>
      <w:r w:rsidRPr="001B24EE">
        <w:rPr>
          <w:lang w:val="en"/>
        </w:rPr>
        <w:t xml:space="preserve">In July, 2013, the commercialization of B5 diesel with more than 50 ppm of sulfur content, for all types of purposes, was banned in Lima, Arequipa, Cusco, Puno and Madre de Dios departments, and the Callao province. Similarly, on January 1, 2016, the GoP required all gas stations to supply clean diesel in Junin, Moquegua, and Tacna departments. </w:t>
      </w:r>
      <w:r w:rsidR="001B24EE" w:rsidRPr="001B24EE">
        <w:rPr>
          <w:lang w:val="en"/>
        </w:rPr>
        <w:t xml:space="preserve">In total, </w:t>
      </w:r>
      <w:r w:rsidR="001B24EE" w:rsidRPr="00046DD4">
        <w:rPr>
          <w:lang w:val="en"/>
        </w:rPr>
        <w:t xml:space="preserve">2,472 gas stations supply diesel with less than 50 ppm of sulfur content in those eight departments and the Callao province. </w:t>
      </w:r>
      <w:r w:rsidRPr="001B24EE">
        <w:rPr>
          <w:lang w:val="en"/>
        </w:rPr>
        <w:t xml:space="preserve">Among the government’s </w:t>
      </w:r>
      <w:r w:rsidR="008E18F4" w:rsidRPr="001B24EE">
        <w:rPr>
          <w:rFonts w:eastAsiaTheme="minorEastAsia"/>
          <w:szCs w:val="22"/>
        </w:rPr>
        <w:t xml:space="preserve">actions </w:t>
      </w:r>
      <w:r w:rsidRPr="001B24EE">
        <w:rPr>
          <w:rFonts w:eastAsiaTheme="minorEastAsia"/>
          <w:szCs w:val="22"/>
        </w:rPr>
        <w:t xml:space="preserve">to promote vehicular conversion were the following: </w:t>
      </w:r>
      <w:r w:rsidR="008E18F4" w:rsidRPr="001B24EE">
        <w:rPr>
          <w:rFonts w:eastAsiaTheme="minorEastAsia"/>
          <w:szCs w:val="22"/>
        </w:rPr>
        <w:t>free importation of vehicle conversion kits (to natural gas)</w:t>
      </w:r>
      <w:r w:rsidRPr="001B24EE">
        <w:rPr>
          <w:rFonts w:eastAsiaTheme="minorEastAsia"/>
          <w:szCs w:val="22"/>
        </w:rPr>
        <w:t xml:space="preserve"> and</w:t>
      </w:r>
      <w:r w:rsidR="008E18F4" w:rsidRPr="001B24EE">
        <w:rPr>
          <w:rFonts w:eastAsiaTheme="minorEastAsia"/>
          <w:szCs w:val="22"/>
        </w:rPr>
        <w:t xml:space="preserve"> equipment for gas stations that supply natural gas; exemption from import taxes for vehicles under 1,500 cubic centimeters; and exemption from the selective consumption tax for the import of vehicles already converted to natural gas. Furthermore, the</w:t>
      </w:r>
      <w:r w:rsidRPr="001B24EE">
        <w:rPr>
          <w:rFonts w:eastAsiaTheme="minorEastAsia"/>
          <w:szCs w:val="22"/>
        </w:rPr>
        <w:t xml:space="preserve"> Development Finance Corporation (</w:t>
      </w:r>
      <w:r w:rsidR="008E18F4" w:rsidRPr="001B24EE">
        <w:rPr>
          <w:rFonts w:eastAsiaTheme="minorEastAsia"/>
          <w:i/>
          <w:iCs/>
          <w:szCs w:val="22"/>
        </w:rPr>
        <w:t xml:space="preserve">Corporación Financiera </w:t>
      </w:r>
      <w:r w:rsidR="008E18F4" w:rsidRPr="001B24EE">
        <w:rPr>
          <w:rFonts w:eastAsiaTheme="minorEastAsia"/>
          <w:bCs/>
          <w:i/>
          <w:iCs/>
          <w:szCs w:val="22"/>
        </w:rPr>
        <w:t>de</w:t>
      </w:r>
      <w:r w:rsidR="008E18F4" w:rsidRPr="001B24EE">
        <w:rPr>
          <w:rFonts w:eastAsiaTheme="minorEastAsia"/>
          <w:b/>
          <w:bCs/>
          <w:i/>
          <w:iCs/>
          <w:szCs w:val="22"/>
        </w:rPr>
        <w:t xml:space="preserve"> </w:t>
      </w:r>
      <w:r w:rsidR="008E18F4" w:rsidRPr="001B24EE">
        <w:rPr>
          <w:rFonts w:eastAsiaTheme="minorEastAsia"/>
          <w:i/>
          <w:iCs/>
          <w:szCs w:val="22"/>
        </w:rPr>
        <w:t>Desarrollo</w:t>
      </w:r>
      <w:r w:rsidRPr="001B24EE">
        <w:rPr>
          <w:rFonts w:eastAsiaTheme="minorEastAsia"/>
          <w:iCs/>
          <w:szCs w:val="22"/>
        </w:rPr>
        <w:t>)</w:t>
      </w:r>
      <w:r w:rsidR="008E18F4" w:rsidRPr="001B24EE">
        <w:rPr>
          <w:rFonts w:eastAsiaTheme="minorEastAsia"/>
          <w:szCs w:val="22"/>
        </w:rPr>
        <w:t xml:space="preserve"> has channeled US$100 million (in public funds) to private financial entities toward establishing lines of credit that will finance the conversion of vehicles to natural gas. OSINERGMIN raised awareness about natural gas vehicles and disseminated information on the process of converting vehicles to natural gas and establishing natural gas service stations. There are about 151 conversion shops in Lima and Callao that have been authorized by the </w:t>
      </w:r>
      <w:r w:rsidR="008E18F4" w:rsidRPr="001B24EE">
        <w:rPr>
          <w:color w:val="000000"/>
        </w:rPr>
        <w:t>MTC</w:t>
      </w:r>
      <w:r w:rsidR="00553882" w:rsidRPr="001B24EE">
        <w:rPr>
          <w:rFonts w:eastAsiaTheme="minorEastAsia"/>
          <w:szCs w:val="22"/>
        </w:rPr>
        <w:t>.</w:t>
      </w:r>
    </w:p>
    <w:p w14:paraId="09E4ABE7" w14:textId="698F9A86" w:rsidR="008E18F4" w:rsidRPr="00553882" w:rsidRDefault="008E18F4" w:rsidP="00185F4E">
      <w:pPr>
        <w:pStyle w:val="ListParagraph"/>
        <w:numPr>
          <w:ilvl w:val="0"/>
          <w:numId w:val="1"/>
        </w:numPr>
        <w:spacing w:before="240" w:after="240"/>
        <w:ind w:left="0" w:firstLine="0"/>
        <w:jc w:val="both"/>
        <w:rPr>
          <w:sz w:val="28"/>
          <w:lang w:eastAsia="es-PE"/>
        </w:rPr>
      </w:pPr>
      <w:r w:rsidRPr="00553882">
        <w:rPr>
          <w:b/>
          <w:lang w:val="en"/>
        </w:rPr>
        <w:t xml:space="preserve">By implementing the policies supported by the ENVDPLs, the GoP achieved important results in pollution control in the transport sector. </w:t>
      </w:r>
      <w:r w:rsidR="00553882" w:rsidRPr="00553882">
        <w:rPr>
          <w:rFonts w:eastAsiaTheme="minorEastAsia"/>
          <w:szCs w:val="22"/>
        </w:rPr>
        <w:t>Approximately 21</w:t>
      </w:r>
      <w:r w:rsidR="000B2176">
        <w:rPr>
          <w:rFonts w:eastAsiaTheme="minorEastAsia"/>
          <w:szCs w:val="22"/>
        </w:rPr>
        <w:t>0</w:t>
      </w:r>
      <w:r w:rsidR="00553882" w:rsidRPr="00553882">
        <w:rPr>
          <w:rFonts w:eastAsiaTheme="minorEastAsia"/>
          <w:szCs w:val="22"/>
        </w:rPr>
        <w:t>,000 vehicles were converted to natural gas, and 2</w:t>
      </w:r>
      <w:r w:rsidR="009418FD">
        <w:rPr>
          <w:rFonts w:eastAsiaTheme="minorEastAsia"/>
          <w:szCs w:val="22"/>
        </w:rPr>
        <w:t>36</w:t>
      </w:r>
      <w:r w:rsidR="00553882" w:rsidRPr="00553882">
        <w:rPr>
          <w:rFonts w:eastAsiaTheme="minorEastAsia"/>
          <w:szCs w:val="22"/>
        </w:rPr>
        <w:t xml:space="preserve"> service stations offering natural gas are operating in Lima.</w:t>
      </w:r>
      <w:r w:rsidR="00553882">
        <w:rPr>
          <w:rStyle w:val="FootnoteReference"/>
          <w:rFonts w:eastAsiaTheme="minorEastAsia"/>
          <w:szCs w:val="22"/>
        </w:rPr>
        <w:footnoteReference w:id="24"/>
      </w:r>
      <w:r w:rsidR="00553882" w:rsidRPr="00553882">
        <w:rPr>
          <w:rFonts w:eastAsiaTheme="minorEastAsia"/>
          <w:szCs w:val="22"/>
        </w:rPr>
        <w:t xml:space="preserve"> In 2015, seven inspection and maintenance systems were operating in Lima and Callao (with more than 1,000,000 vehicles inspected). Other 47,688 vehicles were inspected in Arequipa and 29,263 in La Libertad in 2012. </w:t>
      </w:r>
      <w:r w:rsidRPr="00553882">
        <w:rPr>
          <w:lang w:val="en"/>
        </w:rPr>
        <w:t xml:space="preserve">All results indicators in this </w:t>
      </w:r>
      <w:r w:rsidR="0082242C" w:rsidRPr="00553882">
        <w:rPr>
          <w:lang w:val="en"/>
        </w:rPr>
        <w:t>component surpassed the target.</w:t>
      </w:r>
    </w:p>
    <w:p w14:paraId="2FC7C596" w14:textId="6D2D9208" w:rsidR="008E18F4" w:rsidRPr="003F00AF" w:rsidRDefault="00BA4AEC" w:rsidP="008E18F4">
      <w:pPr>
        <w:keepNext/>
        <w:keepLines/>
        <w:spacing w:after="240"/>
        <w:ind w:left="720"/>
        <w:jc w:val="both"/>
        <w:rPr>
          <w:b/>
        </w:rPr>
      </w:pPr>
      <w:r w:rsidRPr="003F00AF">
        <w:rPr>
          <w:b/>
        </w:rPr>
        <w:t>3.2.6</w:t>
      </w:r>
      <w:r w:rsidRPr="003F00AF">
        <w:rPr>
          <w:b/>
        </w:rPr>
        <w:tab/>
      </w:r>
      <w:r w:rsidR="00B90525" w:rsidRPr="003F00AF">
        <w:rPr>
          <w:b/>
        </w:rPr>
        <w:t xml:space="preserve">Sub-Objective B.3 – </w:t>
      </w:r>
      <w:r w:rsidR="008E18F4" w:rsidRPr="003F00AF">
        <w:rPr>
          <w:b/>
        </w:rPr>
        <w:t>Reduce</w:t>
      </w:r>
      <w:r w:rsidR="00B90525" w:rsidRPr="003F00AF">
        <w:rPr>
          <w:b/>
        </w:rPr>
        <w:t xml:space="preserve"> </w:t>
      </w:r>
      <w:r w:rsidR="008E18F4" w:rsidRPr="003F00AF">
        <w:rPr>
          <w:b/>
        </w:rPr>
        <w:t xml:space="preserve">Overcapacity of </w:t>
      </w:r>
      <w:r w:rsidR="008E18F4" w:rsidRPr="003F00AF">
        <w:rPr>
          <w:b/>
          <w:i/>
        </w:rPr>
        <w:t>Anchoveta</w:t>
      </w:r>
      <w:r w:rsidR="008E18F4" w:rsidRPr="003F00AF">
        <w:rPr>
          <w:b/>
        </w:rPr>
        <w:t xml:space="preserve"> Fleet and Mitigate the Associated Social Impacts of Fleet Reduction</w:t>
      </w:r>
    </w:p>
    <w:p w14:paraId="31C6B180" w14:textId="168E648F" w:rsidR="000437CF" w:rsidRPr="000437CF" w:rsidRDefault="00185F4E" w:rsidP="008E18F4">
      <w:pPr>
        <w:pStyle w:val="ListParagraph"/>
        <w:numPr>
          <w:ilvl w:val="0"/>
          <w:numId w:val="1"/>
        </w:numPr>
        <w:spacing w:after="240"/>
        <w:ind w:left="0" w:firstLine="0"/>
        <w:jc w:val="both"/>
        <w:rPr>
          <w:rFonts w:eastAsiaTheme="minorEastAsia"/>
          <w:szCs w:val="22"/>
        </w:rPr>
      </w:pPr>
      <w:r>
        <w:rPr>
          <w:rFonts w:eastAsiaTheme="minorEastAsia"/>
          <w:b/>
          <w:bCs/>
          <w:szCs w:val="22"/>
        </w:rPr>
        <w:t xml:space="preserve">With the support of the ENVDPLs, the GoP adopted </w:t>
      </w:r>
      <w:r w:rsidR="008E18F4" w:rsidRPr="003F00AF">
        <w:rPr>
          <w:rFonts w:eastAsiaTheme="minorEastAsia"/>
          <w:b/>
          <w:bCs/>
          <w:szCs w:val="22"/>
        </w:rPr>
        <w:t xml:space="preserve">regulations to address the overcapacity of the </w:t>
      </w:r>
      <w:r w:rsidR="008E18F4" w:rsidRPr="003F00AF">
        <w:rPr>
          <w:rFonts w:eastAsiaTheme="minorEastAsia"/>
          <w:b/>
          <w:bCs/>
          <w:i/>
          <w:szCs w:val="22"/>
        </w:rPr>
        <w:t>anchoveta</w:t>
      </w:r>
      <w:r w:rsidR="008E18F4" w:rsidRPr="003F00AF">
        <w:rPr>
          <w:rFonts w:eastAsiaTheme="minorEastAsia"/>
          <w:b/>
          <w:bCs/>
          <w:szCs w:val="22"/>
        </w:rPr>
        <w:t xml:space="preserve"> fishing fleet.</w:t>
      </w:r>
      <w:r w:rsidR="008E18F4" w:rsidRPr="003F00AF">
        <w:rPr>
          <w:rFonts w:eastAsiaTheme="minorEastAsia"/>
          <w:bCs/>
          <w:szCs w:val="22"/>
        </w:rPr>
        <w:t xml:space="preserve"> </w:t>
      </w:r>
      <w:r w:rsidR="008E18F4" w:rsidRPr="003F00AF">
        <w:rPr>
          <w:rFonts w:eastAsiaTheme="minorEastAsia"/>
          <w:szCs w:val="22"/>
        </w:rPr>
        <w:t xml:space="preserve">In June 2008, the GoP adopted Legislative Decree No. 1084, which regulates </w:t>
      </w:r>
      <w:r w:rsidR="008E18F4" w:rsidRPr="003F00AF">
        <w:rPr>
          <w:rFonts w:eastAsiaTheme="minorEastAsia"/>
          <w:i/>
          <w:szCs w:val="22"/>
        </w:rPr>
        <w:t>anchoveta</w:t>
      </w:r>
      <w:r w:rsidR="008E18F4" w:rsidRPr="003F00AF">
        <w:rPr>
          <w:rFonts w:eastAsiaTheme="minorEastAsia"/>
          <w:szCs w:val="22"/>
        </w:rPr>
        <w:t xml:space="preserve"> fishing quotas by vessel, regulating all </w:t>
      </w:r>
      <w:r w:rsidR="008E18F4" w:rsidRPr="003F00AF">
        <w:rPr>
          <w:rFonts w:eastAsiaTheme="minorEastAsia"/>
          <w:i/>
          <w:szCs w:val="22"/>
        </w:rPr>
        <w:t>anchoveta</w:t>
      </w:r>
      <w:r w:rsidR="008E18F4" w:rsidRPr="003F00AF">
        <w:rPr>
          <w:rFonts w:eastAsiaTheme="minorEastAsia"/>
          <w:szCs w:val="22"/>
        </w:rPr>
        <w:t xml:space="preserve"> fishing for indirect human consumption. Adding to this, the GoP under Supreme Decree No 021-2009-PRODUCE approved the regulation of Legislative Decree No. 1084 relating to the maximum catch limits </w:t>
      </w:r>
      <w:r w:rsidR="00167F32">
        <w:rPr>
          <w:rFonts w:eastAsiaTheme="minorEastAsia"/>
          <w:szCs w:val="22"/>
        </w:rPr>
        <w:t xml:space="preserve">per vessel </w:t>
      </w:r>
      <w:r w:rsidR="008E18F4" w:rsidRPr="003F00AF">
        <w:rPr>
          <w:rFonts w:eastAsiaTheme="minorEastAsia"/>
          <w:szCs w:val="22"/>
        </w:rPr>
        <w:t xml:space="preserve">(LMCE) for </w:t>
      </w:r>
      <w:r w:rsidR="008E18F4" w:rsidRPr="003F00AF">
        <w:rPr>
          <w:rFonts w:eastAsiaTheme="minorEastAsia"/>
          <w:i/>
          <w:szCs w:val="22"/>
        </w:rPr>
        <w:t>anchoveta</w:t>
      </w:r>
      <w:r w:rsidR="008E18F4" w:rsidRPr="003F00AF">
        <w:rPr>
          <w:rFonts w:eastAsiaTheme="minorEastAsia"/>
          <w:szCs w:val="22"/>
        </w:rPr>
        <w:t xml:space="preserve"> fishing vessels in December 2008. </w:t>
      </w:r>
      <w:r w:rsidR="008E18F4" w:rsidRPr="003F00AF">
        <w:rPr>
          <w:color w:val="212121"/>
          <w:szCs w:val="22"/>
          <w:lang w:val="en"/>
        </w:rPr>
        <w:t xml:space="preserve">As a result of the LMCE scheme, the GoP has (a) reduced fishing pressure, with lower daily catch and fewer fishing vessels; (b) extended the length of the fishing seasons, increasing the days worked by workers in the sector; (c) reduced pollution by less congestion in ports; (d) directed investments to higher-value activities; and (e) improved the actions of monitoring, control, and surveillance and reduced the number of offenses. </w:t>
      </w:r>
    </w:p>
    <w:p w14:paraId="2D5EE5D5" w14:textId="7E41BF86" w:rsidR="008E18F4" w:rsidRPr="003F00AF" w:rsidRDefault="000437CF" w:rsidP="008E18F4">
      <w:pPr>
        <w:pStyle w:val="ListParagraph"/>
        <w:numPr>
          <w:ilvl w:val="0"/>
          <w:numId w:val="1"/>
        </w:numPr>
        <w:spacing w:after="240"/>
        <w:ind w:left="0" w:firstLine="0"/>
        <w:jc w:val="both"/>
        <w:rPr>
          <w:color w:val="212121"/>
          <w:lang w:val="en"/>
        </w:rPr>
      </w:pPr>
      <w:r>
        <w:rPr>
          <w:rFonts w:eastAsiaTheme="minorEastAsia"/>
          <w:b/>
          <w:bCs/>
        </w:rPr>
        <w:t>As part of the ENVDPLs, t</w:t>
      </w:r>
      <w:r w:rsidR="008E18F4" w:rsidRPr="003F00AF">
        <w:rPr>
          <w:rFonts w:eastAsiaTheme="minorEastAsia"/>
          <w:b/>
          <w:bCs/>
        </w:rPr>
        <w:t>he GoP has also adopted social protection measures to benefit fishermen and other workers in the fishing industry.</w:t>
      </w:r>
      <w:r w:rsidR="008E18F4" w:rsidRPr="003F00AF">
        <w:rPr>
          <w:rFonts w:eastAsiaTheme="minorEastAsia"/>
          <w:bCs/>
        </w:rPr>
        <w:t xml:space="preserve"> </w:t>
      </w:r>
      <w:r w:rsidR="008E18F4" w:rsidRPr="003F00AF">
        <w:rPr>
          <w:rFonts w:eastAsiaTheme="minorEastAsia"/>
        </w:rPr>
        <w:t xml:space="preserve">The </w:t>
      </w:r>
      <w:r w:rsidR="008E18F4" w:rsidRPr="003F00AF">
        <w:rPr>
          <w:color w:val="212121"/>
          <w:lang w:val="en"/>
        </w:rPr>
        <w:t xml:space="preserve">GoP established the </w:t>
      </w:r>
      <w:r w:rsidR="008E18F4" w:rsidRPr="003F00AF">
        <w:rPr>
          <w:color w:val="000000"/>
        </w:rPr>
        <w:t xml:space="preserve">Fishing </w:t>
      </w:r>
      <w:r w:rsidR="008E18F4" w:rsidRPr="003F00AF">
        <w:rPr>
          <w:color w:val="212121"/>
          <w:lang w:val="en"/>
        </w:rPr>
        <w:t>Compensation Fund (</w:t>
      </w:r>
      <w:r w:rsidR="008E18F4" w:rsidRPr="003F00AF">
        <w:rPr>
          <w:i/>
          <w:color w:val="000000"/>
        </w:rPr>
        <w:t>Fondo de Compensación para el Ordenamiento Pesquero</w:t>
      </w:r>
      <w:r w:rsidR="008E18F4" w:rsidRPr="003F00AF">
        <w:rPr>
          <w:color w:val="000000"/>
        </w:rPr>
        <w:t xml:space="preserve">, </w:t>
      </w:r>
      <w:r w:rsidR="008E18F4" w:rsidRPr="003F00AF">
        <w:rPr>
          <w:color w:val="212121"/>
          <w:lang w:val="en"/>
        </w:rPr>
        <w:t>FONCOPES),</w:t>
      </w:r>
      <w:r w:rsidR="008E18F4" w:rsidRPr="003F00AF">
        <w:rPr>
          <w:rFonts w:eastAsiaTheme="minorEastAsia"/>
        </w:rPr>
        <w:t xml:space="preserve"> which provided financing to support early retirement for workers, </w:t>
      </w:r>
      <w:r w:rsidR="0015749B">
        <w:rPr>
          <w:rFonts w:eastAsiaTheme="minorEastAsia"/>
        </w:rPr>
        <w:t xml:space="preserve">and professional training and </w:t>
      </w:r>
      <w:r w:rsidR="008E18F4" w:rsidRPr="003F00AF">
        <w:rPr>
          <w:rFonts w:eastAsiaTheme="minorEastAsia"/>
        </w:rPr>
        <w:t>economic incentives for shifting to new economic activities</w:t>
      </w:r>
      <w:r w:rsidR="0015749B">
        <w:rPr>
          <w:rFonts w:eastAsiaTheme="minorEastAsia"/>
        </w:rPr>
        <w:t>, including the opening of small businesses</w:t>
      </w:r>
      <w:r w:rsidR="008E18F4" w:rsidRPr="003F00AF">
        <w:rPr>
          <w:rFonts w:eastAsiaTheme="minorEastAsia"/>
        </w:rPr>
        <w:t xml:space="preserve">. According to the new regulation, </w:t>
      </w:r>
      <w:r w:rsidR="008E18F4" w:rsidRPr="003F00AF">
        <w:t>holders of fishing permits must make annual mandatory contributions to cover FONCOPES operation and management costs. The contribution consists of a fixed amount per vessel with a license to operate in the north-central coast, which is used to cover the fund’s fixed costs. In addition, each owner must pay a variable amount to FONCOPES, based on the number of workers that adhere to the social programs. These funds are used to cover FONCOPES’s variable costs. The law further established a temporary contribution per ton of fish that is loaded into processing plants which is paid by the plant’s owner. This contribution will provide the main funds for the fishermen’s pension system. The contribution from processing plants to the fishermen’s pension fund has also made relevant progress. Between 2009 and 2012, a total of US$38,713,375 was collected.</w:t>
      </w:r>
    </w:p>
    <w:p w14:paraId="2CA3EDFA" w14:textId="473F0354" w:rsidR="008E18F4" w:rsidRPr="000437CF" w:rsidRDefault="008E18F4" w:rsidP="00EE38B6">
      <w:pPr>
        <w:pStyle w:val="ListParagraph"/>
        <w:numPr>
          <w:ilvl w:val="0"/>
          <w:numId w:val="1"/>
        </w:numPr>
        <w:spacing w:after="240"/>
        <w:ind w:left="0" w:firstLine="0"/>
        <w:jc w:val="both"/>
        <w:rPr>
          <w:color w:val="212121"/>
          <w:szCs w:val="22"/>
          <w:lang w:val="en"/>
        </w:rPr>
      </w:pPr>
      <w:r w:rsidRPr="000437CF">
        <w:rPr>
          <w:rFonts w:eastAsiaTheme="minorEastAsia"/>
          <w:b/>
          <w:szCs w:val="22"/>
        </w:rPr>
        <w:t>Since the LMCE system was implemented in 200</w:t>
      </w:r>
      <w:r w:rsidR="00D43D80" w:rsidRPr="000437CF">
        <w:rPr>
          <w:rFonts w:eastAsiaTheme="minorEastAsia"/>
          <w:b/>
          <w:szCs w:val="22"/>
        </w:rPr>
        <w:t>8</w:t>
      </w:r>
      <w:r w:rsidRPr="000437CF">
        <w:rPr>
          <w:rFonts w:eastAsiaTheme="minorEastAsia"/>
          <w:b/>
          <w:szCs w:val="22"/>
        </w:rPr>
        <w:t xml:space="preserve">, </w:t>
      </w:r>
      <w:r w:rsidRPr="000437CF">
        <w:rPr>
          <w:b/>
          <w:color w:val="212121"/>
          <w:szCs w:val="22"/>
          <w:lang w:val="en"/>
        </w:rPr>
        <w:t xml:space="preserve">extraction of anchovy did not surpass the catch limit established by the Peru Sea Institute (see table </w:t>
      </w:r>
      <w:r w:rsidR="000437CF">
        <w:rPr>
          <w:b/>
          <w:color w:val="212121"/>
          <w:szCs w:val="22"/>
          <w:lang w:val="en"/>
        </w:rPr>
        <w:t>3</w:t>
      </w:r>
      <w:r w:rsidRPr="000437CF">
        <w:rPr>
          <w:b/>
          <w:color w:val="212121"/>
          <w:szCs w:val="22"/>
          <w:lang w:val="en"/>
        </w:rPr>
        <w:t>).</w:t>
      </w:r>
      <w:r w:rsidRPr="000437CF">
        <w:rPr>
          <w:color w:val="212121"/>
          <w:szCs w:val="22"/>
          <w:lang w:val="en"/>
        </w:rPr>
        <w:t xml:space="preserve"> </w:t>
      </w:r>
      <w:r w:rsidR="000437CF" w:rsidRPr="000437CF">
        <w:rPr>
          <w:rFonts w:eastAsiaTheme="minorEastAsia"/>
          <w:szCs w:val="22"/>
        </w:rPr>
        <w:t>B</w:t>
      </w:r>
      <w:r w:rsidR="00D46C28">
        <w:rPr>
          <w:rFonts w:eastAsiaTheme="minorEastAsia"/>
          <w:szCs w:val="22"/>
        </w:rPr>
        <w:t xml:space="preserve">etween 2008 and 2015, hundreds of </w:t>
      </w:r>
      <w:r w:rsidR="000437CF" w:rsidRPr="000437CF">
        <w:rPr>
          <w:szCs w:val="22"/>
        </w:rPr>
        <w:t>wood and steel ships ha</w:t>
      </w:r>
      <w:r w:rsidR="00124266">
        <w:rPr>
          <w:szCs w:val="22"/>
        </w:rPr>
        <w:t>ve</w:t>
      </w:r>
      <w:r w:rsidR="000437CF" w:rsidRPr="000437CF">
        <w:rPr>
          <w:szCs w:val="22"/>
        </w:rPr>
        <w:t xml:space="preserve"> been retired, which </w:t>
      </w:r>
      <w:r w:rsidR="00D46C28">
        <w:rPr>
          <w:szCs w:val="22"/>
        </w:rPr>
        <w:t xml:space="preserve">reduced the </w:t>
      </w:r>
      <w:r w:rsidR="00D46C28" w:rsidRPr="00D46C28">
        <w:rPr>
          <w:i/>
          <w:szCs w:val="22"/>
        </w:rPr>
        <w:t>anchoveta</w:t>
      </w:r>
      <w:r w:rsidR="00D46C28">
        <w:rPr>
          <w:szCs w:val="22"/>
        </w:rPr>
        <w:t xml:space="preserve"> fleet </w:t>
      </w:r>
      <w:r w:rsidR="003E1BE4">
        <w:rPr>
          <w:szCs w:val="22"/>
        </w:rPr>
        <w:t xml:space="preserve">for indirect </w:t>
      </w:r>
      <w:r w:rsidR="00687D71">
        <w:rPr>
          <w:szCs w:val="22"/>
        </w:rPr>
        <w:t xml:space="preserve">human </w:t>
      </w:r>
      <w:r w:rsidR="003E1BE4">
        <w:rPr>
          <w:szCs w:val="22"/>
        </w:rPr>
        <w:t xml:space="preserve">consumption </w:t>
      </w:r>
      <w:r w:rsidR="00D46C28">
        <w:rPr>
          <w:szCs w:val="22"/>
        </w:rPr>
        <w:t>from 1,1</w:t>
      </w:r>
      <w:r w:rsidR="00933F0F">
        <w:rPr>
          <w:szCs w:val="22"/>
        </w:rPr>
        <w:t>66</w:t>
      </w:r>
      <w:r w:rsidR="00D46C28">
        <w:rPr>
          <w:szCs w:val="22"/>
        </w:rPr>
        <w:t xml:space="preserve"> to 900 vessels</w:t>
      </w:r>
      <w:r w:rsidR="00933F0F">
        <w:rPr>
          <w:szCs w:val="22"/>
        </w:rPr>
        <w:t>.</w:t>
      </w:r>
      <w:r w:rsidR="000437CF" w:rsidRPr="000437CF">
        <w:rPr>
          <w:szCs w:val="22"/>
        </w:rPr>
        <w:t xml:space="preserve"> </w:t>
      </w:r>
      <w:r w:rsidRPr="000437CF">
        <w:rPr>
          <w:rFonts w:eastAsiaTheme="minorEastAsia"/>
          <w:szCs w:val="22"/>
        </w:rPr>
        <w:t xml:space="preserve">Furthermore, independent fishermen are also obtaining better prices from the sale of their </w:t>
      </w:r>
      <w:r w:rsidRPr="000437CF">
        <w:rPr>
          <w:rFonts w:eastAsiaTheme="minorEastAsia"/>
          <w:i/>
          <w:szCs w:val="22"/>
        </w:rPr>
        <w:t>anchoveta</w:t>
      </w:r>
      <w:r w:rsidRPr="000437CF">
        <w:rPr>
          <w:rFonts w:eastAsiaTheme="minorEastAsia"/>
          <w:szCs w:val="22"/>
        </w:rPr>
        <w:t xml:space="preserve"> catch—an increase from US$100 to US$180 per ton. </w:t>
      </w:r>
      <w:r w:rsidRPr="000437CF">
        <w:rPr>
          <w:color w:val="212121"/>
          <w:szCs w:val="22"/>
          <w:lang w:val="en"/>
        </w:rPr>
        <w:t xml:space="preserve">By reducing the amount of fishing and better distribution along the season, the sector increased its storage capacity and processing of anchovy, avoiding waste and falling fish prices. </w:t>
      </w:r>
      <w:r w:rsidRPr="000437CF">
        <w:rPr>
          <w:i/>
          <w:color w:val="212121"/>
          <w:szCs w:val="22"/>
          <w:lang w:val="en"/>
        </w:rPr>
        <w:t>Anchoveta</w:t>
      </w:r>
      <w:r w:rsidRPr="000437CF">
        <w:rPr>
          <w:color w:val="212121"/>
          <w:szCs w:val="22"/>
          <w:lang w:val="en"/>
        </w:rPr>
        <w:t xml:space="preserve"> biomass has also show</w:t>
      </w:r>
      <w:r w:rsidR="00124266">
        <w:rPr>
          <w:color w:val="212121"/>
          <w:szCs w:val="22"/>
          <w:lang w:val="en"/>
        </w:rPr>
        <w:t>n</w:t>
      </w:r>
      <w:r w:rsidRPr="000437CF">
        <w:rPr>
          <w:color w:val="212121"/>
          <w:szCs w:val="22"/>
          <w:lang w:val="en"/>
        </w:rPr>
        <w:t xml:space="preserve"> an increasing trend for the period 2008–2013</w:t>
      </w:r>
      <w:r w:rsidR="00124266">
        <w:rPr>
          <w:color w:val="212121"/>
          <w:szCs w:val="22"/>
          <w:lang w:val="en"/>
        </w:rPr>
        <w:t>,</w:t>
      </w:r>
      <w:r w:rsidRPr="000437CF">
        <w:rPr>
          <w:color w:val="212121"/>
          <w:szCs w:val="22"/>
          <w:lang w:val="en"/>
        </w:rPr>
        <w:t xml:space="preserve"> as shown in figure</w:t>
      </w:r>
      <w:r w:rsidR="00F05552">
        <w:rPr>
          <w:color w:val="212121"/>
          <w:szCs w:val="22"/>
          <w:lang w:val="en"/>
        </w:rPr>
        <w:t xml:space="preserve"> 4.</w:t>
      </w:r>
    </w:p>
    <w:p w14:paraId="27ED623E" w14:textId="11D612B8" w:rsidR="008E18F4" w:rsidRPr="003F00AF" w:rsidRDefault="008E18F4" w:rsidP="008E18F4">
      <w:pPr>
        <w:pStyle w:val="ListParagraph"/>
        <w:keepNext/>
        <w:keepLines/>
        <w:autoSpaceDE w:val="0"/>
        <w:autoSpaceDN w:val="0"/>
        <w:adjustRightInd w:val="0"/>
        <w:spacing w:before="120" w:after="120"/>
        <w:ind w:left="0"/>
        <w:jc w:val="center"/>
        <w:rPr>
          <w:b/>
          <w:sz w:val="20"/>
          <w:szCs w:val="20"/>
        </w:rPr>
      </w:pPr>
      <w:r w:rsidRPr="003F00AF">
        <w:rPr>
          <w:b/>
          <w:sz w:val="20"/>
          <w:szCs w:val="20"/>
        </w:rPr>
        <w:t xml:space="preserve">Table </w:t>
      </w:r>
      <w:r w:rsidRPr="003F00AF">
        <w:rPr>
          <w:b/>
          <w:sz w:val="20"/>
          <w:szCs w:val="20"/>
        </w:rPr>
        <w:fldChar w:fldCharType="begin"/>
      </w:r>
      <w:r w:rsidRPr="003F00AF">
        <w:rPr>
          <w:b/>
          <w:sz w:val="20"/>
          <w:szCs w:val="20"/>
        </w:rPr>
        <w:instrText xml:space="preserve"> SEQ Table \* ARABIC </w:instrText>
      </w:r>
      <w:r w:rsidRPr="003F00AF">
        <w:rPr>
          <w:b/>
          <w:sz w:val="20"/>
          <w:szCs w:val="20"/>
        </w:rPr>
        <w:fldChar w:fldCharType="separate"/>
      </w:r>
      <w:r w:rsidR="000D71B7">
        <w:rPr>
          <w:b/>
          <w:noProof/>
          <w:sz w:val="20"/>
          <w:szCs w:val="20"/>
        </w:rPr>
        <w:t>2</w:t>
      </w:r>
      <w:r w:rsidRPr="003F00AF">
        <w:rPr>
          <w:b/>
          <w:sz w:val="20"/>
          <w:szCs w:val="20"/>
        </w:rPr>
        <w:fldChar w:fldCharType="end"/>
      </w:r>
      <w:r w:rsidRPr="003F00AF">
        <w:rPr>
          <w:b/>
          <w:sz w:val="20"/>
          <w:szCs w:val="20"/>
        </w:rPr>
        <w:t xml:space="preserve">. </w:t>
      </w:r>
      <w:r w:rsidRPr="003F00AF">
        <w:rPr>
          <w:b/>
          <w:i/>
          <w:sz w:val="20"/>
          <w:szCs w:val="20"/>
        </w:rPr>
        <w:t>Anchoveta</w:t>
      </w:r>
      <w:r w:rsidRPr="003F00AF">
        <w:rPr>
          <w:b/>
          <w:sz w:val="20"/>
          <w:szCs w:val="20"/>
        </w:rPr>
        <w:t xml:space="preserve"> LMCE and by Season</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80"/>
        <w:gridCol w:w="2424"/>
        <w:gridCol w:w="2655"/>
        <w:gridCol w:w="3117"/>
      </w:tblGrid>
      <w:tr w:rsidR="008E18F4" w:rsidRPr="003F00AF" w14:paraId="6813E298" w14:textId="77777777" w:rsidTr="00FA4ABA">
        <w:trPr>
          <w:cantSplit/>
          <w:trHeight w:val="281"/>
          <w:tblHeader/>
          <w:jc w:val="center"/>
        </w:trPr>
        <w:tc>
          <w:tcPr>
            <w:tcW w:w="1380" w:type="dxa"/>
            <w:shd w:val="clear" w:color="auto" w:fill="auto"/>
            <w:tcMar>
              <w:top w:w="15" w:type="dxa"/>
              <w:left w:w="15" w:type="dxa"/>
              <w:bottom w:w="0" w:type="dxa"/>
              <w:right w:w="15" w:type="dxa"/>
            </w:tcMar>
            <w:vAlign w:val="center"/>
            <w:hideMark/>
          </w:tcPr>
          <w:p w14:paraId="58DEB6DE" w14:textId="77777777" w:rsidR="008E18F4" w:rsidRPr="003F00AF" w:rsidRDefault="008E18F4" w:rsidP="00FA4ABA">
            <w:pPr>
              <w:tabs>
                <w:tab w:val="num" w:pos="720"/>
              </w:tabs>
              <w:spacing w:before="60" w:after="60"/>
              <w:jc w:val="center"/>
              <w:rPr>
                <w:b/>
                <w:sz w:val="20"/>
                <w:szCs w:val="20"/>
              </w:rPr>
            </w:pPr>
            <w:r w:rsidRPr="003F00AF">
              <w:rPr>
                <w:b/>
                <w:sz w:val="20"/>
                <w:szCs w:val="20"/>
              </w:rPr>
              <w:t>Year</w:t>
            </w:r>
          </w:p>
        </w:tc>
        <w:tc>
          <w:tcPr>
            <w:tcW w:w="2424" w:type="dxa"/>
            <w:shd w:val="clear" w:color="auto" w:fill="auto"/>
            <w:tcMar>
              <w:top w:w="15" w:type="dxa"/>
              <w:left w:w="15" w:type="dxa"/>
              <w:bottom w:w="0" w:type="dxa"/>
              <w:right w:w="15" w:type="dxa"/>
            </w:tcMar>
            <w:vAlign w:val="center"/>
            <w:hideMark/>
          </w:tcPr>
          <w:p w14:paraId="731A5463" w14:textId="1C473F66" w:rsidR="008E18F4" w:rsidRPr="003F00AF" w:rsidRDefault="008E18F4" w:rsidP="00FA4ABA">
            <w:pPr>
              <w:tabs>
                <w:tab w:val="num" w:pos="720"/>
              </w:tabs>
              <w:spacing w:before="60" w:after="60"/>
              <w:jc w:val="center"/>
              <w:rPr>
                <w:sz w:val="20"/>
                <w:szCs w:val="20"/>
              </w:rPr>
            </w:pPr>
            <w:r w:rsidRPr="003F00AF">
              <w:rPr>
                <w:b/>
                <w:bCs/>
                <w:sz w:val="20"/>
                <w:szCs w:val="20"/>
              </w:rPr>
              <w:t>Biomass</w:t>
            </w:r>
            <w:r w:rsidR="00224436" w:rsidRPr="003F00AF">
              <w:rPr>
                <w:b/>
                <w:bCs/>
                <w:sz w:val="20"/>
                <w:szCs w:val="20"/>
              </w:rPr>
              <w:t xml:space="preserve"> (MT)</w:t>
            </w:r>
          </w:p>
        </w:tc>
        <w:tc>
          <w:tcPr>
            <w:tcW w:w="2655" w:type="dxa"/>
            <w:shd w:val="clear" w:color="auto" w:fill="auto"/>
            <w:tcMar>
              <w:top w:w="15" w:type="dxa"/>
              <w:left w:w="15" w:type="dxa"/>
              <w:bottom w:w="0" w:type="dxa"/>
              <w:right w:w="15" w:type="dxa"/>
            </w:tcMar>
            <w:vAlign w:val="center"/>
            <w:hideMark/>
          </w:tcPr>
          <w:p w14:paraId="54244FD3" w14:textId="32450115" w:rsidR="008E18F4" w:rsidRPr="003F00AF" w:rsidRDefault="008E18F4" w:rsidP="00FA4ABA">
            <w:pPr>
              <w:tabs>
                <w:tab w:val="num" w:pos="720"/>
              </w:tabs>
              <w:spacing w:before="60" w:after="60"/>
              <w:jc w:val="center"/>
              <w:rPr>
                <w:sz w:val="20"/>
                <w:szCs w:val="20"/>
              </w:rPr>
            </w:pPr>
            <w:r w:rsidRPr="003F00AF">
              <w:rPr>
                <w:b/>
                <w:bCs/>
                <w:sz w:val="20"/>
                <w:szCs w:val="20"/>
              </w:rPr>
              <w:t>LMCE</w:t>
            </w:r>
            <w:r w:rsidR="00224436" w:rsidRPr="003F00AF">
              <w:rPr>
                <w:b/>
                <w:bCs/>
                <w:sz w:val="20"/>
                <w:szCs w:val="20"/>
              </w:rPr>
              <w:t xml:space="preserve"> (MT)</w:t>
            </w:r>
          </w:p>
        </w:tc>
        <w:tc>
          <w:tcPr>
            <w:tcW w:w="3117" w:type="dxa"/>
            <w:shd w:val="clear" w:color="auto" w:fill="auto"/>
            <w:tcMar>
              <w:top w:w="15" w:type="dxa"/>
              <w:left w:w="15" w:type="dxa"/>
              <w:bottom w:w="0" w:type="dxa"/>
              <w:right w:w="15" w:type="dxa"/>
            </w:tcMar>
            <w:vAlign w:val="center"/>
            <w:hideMark/>
          </w:tcPr>
          <w:p w14:paraId="10174738" w14:textId="5C98C528" w:rsidR="008E18F4" w:rsidRPr="003F00AF" w:rsidRDefault="008E18F4" w:rsidP="00FA4ABA">
            <w:pPr>
              <w:tabs>
                <w:tab w:val="num" w:pos="720"/>
              </w:tabs>
              <w:spacing w:before="60" w:after="60"/>
              <w:jc w:val="center"/>
              <w:rPr>
                <w:sz w:val="20"/>
                <w:szCs w:val="20"/>
              </w:rPr>
            </w:pPr>
            <w:r w:rsidRPr="003F00AF">
              <w:rPr>
                <w:b/>
                <w:bCs/>
                <w:sz w:val="20"/>
                <w:szCs w:val="20"/>
              </w:rPr>
              <w:t>Unloading (MT)</w:t>
            </w:r>
          </w:p>
        </w:tc>
      </w:tr>
      <w:tr w:rsidR="008E18F4" w:rsidRPr="003F00AF" w14:paraId="75E060B2"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5DE8C459" w14:textId="77777777" w:rsidR="008E18F4" w:rsidRPr="003F00AF" w:rsidRDefault="008E18F4" w:rsidP="00FA4ABA">
            <w:pPr>
              <w:tabs>
                <w:tab w:val="num" w:pos="720"/>
              </w:tabs>
              <w:jc w:val="center"/>
              <w:rPr>
                <w:sz w:val="20"/>
                <w:szCs w:val="20"/>
              </w:rPr>
            </w:pPr>
            <w:r w:rsidRPr="003F00AF">
              <w:rPr>
                <w:sz w:val="20"/>
                <w:szCs w:val="20"/>
              </w:rPr>
              <w:t>2008 - I</w:t>
            </w:r>
          </w:p>
        </w:tc>
        <w:tc>
          <w:tcPr>
            <w:tcW w:w="2424" w:type="dxa"/>
            <w:shd w:val="clear" w:color="auto" w:fill="auto"/>
            <w:tcMar>
              <w:top w:w="15" w:type="dxa"/>
              <w:left w:w="15" w:type="dxa"/>
              <w:bottom w:w="0" w:type="dxa"/>
              <w:right w:w="15" w:type="dxa"/>
            </w:tcMar>
            <w:vAlign w:val="center"/>
            <w:hideMark/>
          </w:tcPr>
          <w:p w14:paraId="45C17016" w14:textId="77777777" w:rsidR="008E18F4" w:rsidRPr="003F00AF" w:rsidRDefault="008E18F4" w:rsidP="00FA4ABA">
            <w:pPr>
              <w:tabs>
                <w:tab w:val="num" w:pos="720"/>
              </w:tabs>
              <w:jc w:val="center"/>
              <w:rPr>
                <w:sz w:val="20"/>
                <w:szCs w:val="20"/>
              </w:rPr>
            </w:pPr>
            <w:r w:rsidRPr="003F00AF">
              <w:rPr>
                <w:sz w:val="20"/>
                <w:szCs w:val="20"/>
              </w:rPr>
              <w:t>9,840,000</w:t>
            </w:r>
          </w:p>
        </w:tc>
        <w:tc>
          <w:tcPr>
            <w:tcW w:w="2655" w:type="dxa"/>
            <w:shd w:val="clear" w:color="auto" w:fill="auto"/>
            <w:tcMar>
              <w:top w:w="15" w:type="dxa"/>
              <w:left w:w="15" w:type="dxa"/>
              <w:bottom w:w="0" w:type="dxa"/>
              <w:right w:w="15" w:type="dxa"/>
            </w:tcMar>
            <w:vAlign w:val="center"/>
            <w:hideMark/>
          </w:tcPr>
          <w:p w14:paraId="28F5C918" w14:textId="77777777" w:rsidR="008E18F4" w:rsidRPr="003F00AF" w:rsidRDefault="008E18F4" w:rsidP="00FA4ABA">
            <w:pPr>
              <w:tabs>
                <w:tab w:val="num" w:pos="720"/>
              </w:tabs>
              <w:jc w:val="center"/>
              <w:rPr>
                <w:sz w:val="20"/>
                <w:szCs w:val="20"/>
              </w:rPr>
            </w:pPr>
            <w:r w:rsidRPr="003F00AF">
              <w:rPr>
                <w:sz w:val="20"/>
                <w:szCs w:val="20"/>
              </w:rPr>
              <w:t>3,000,000</w:t>
            </w:r>
          </w:p>
        </w:tc>
        <w:tc>
          <w:tcPr>
            <w:tcW w:w="3117" w:type="dxa"/>
            <w:shd w:val="clear" w:color="auto" w:fill="auto"/>
            <w:tcMar>
              <w:top w:w="15" w:type="dxa"/>
              <w:left w:w="15" w:type="dxa"/>
              <w:bottom w:w="0" w:type="dxa"/>
              <w:right w:w="15" w:type="dxa"/>
            </w:tcMar>
            <w:vAlign w:val="center"/>
            <w:hideMark/>
          </w:tcPr>
          <w:p w14:paraId="78307408" w14:textId="77777777" w:rsidR="008E18F4" w:rsidRPr="003F00AF" w:rsidRDefault="008E18F4" w:rsidP="00FA4ABA">
            <w:pPr>
              <w:tabs>
                <w:tab w:val="num" w:pos="720"/>
              </w:tabs>
              <w:jc w:val="center"/>
              <w:rPr>
                <w:sz w:val="20"/>
                <w:szCs w:val="20"/>
              </w:rPr>
            </w:pPr>
            <w:r w:rsidRPr="003F00AF">
              <w:rPr>
                <w:sz w:val="20"/>
                <w:szCs w:val="20"/>
              </w:rPr>
              <w:t>3,147,954</w:t>
            </w:r>
          </w:p>
        </w:tc>
      </w:tr>
      <w:tr w:rsidR="008E18F4" w:rsidRPr="003F00AF" w14:paraId="4C1BC586"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3BEA8E5E" w14:textId="77777777" w:rsidR="008E18F4" w:rsidRPr="003F00AF" w:rsidRDefault="008E18F4" w:rsidP="00FA4ABA">
            <w:pPr>
              <w:tabs>
                <w:tab w:val="num" w:pos="720"/>
              </w:tabs>
              <w:jc w:val="center"/>
              <w:rPr>
                <w:sz w:val="20"/>
                <w:szCs w:val="20"/>
              </w:rPr>
            </w:pPr>
            <w:r w:rsidRPr="003F00AF">
              <w:rPr>
                <w:sz w:val="20"/>
                <w:szCs w:val="20"/>
              </w:rPr>
              <w:t>2008 - II</w:t>
            </w:r>
          </w:p>
        </w:tc>
        <w:tc>
          <w:tcPr>
            <w:tcW w:w="2424" w:type="dxa"/>
            <w:shd w:val="clear" w:color="auto" w:fill="auto"/>
            <w:tcMar>
              <w:top w:w="15" w:type="dxa"/>
              <w:left w:w="15" w:type="dxa"/>
              <w:bottom w:w="0" w:type="dxa"/>
              <w:right w:w="15" w:type="dxa"/>
            </w:tcMar>
            <w:vAlign w:val="center"/>
            <w:hideMark/>
          </w:tcPr>
          <w:p w14:paraId="30646FCF" w14:textId="77777777" w:rsidR="008E18F4" w:rsidRPr="003F00AF" w:rsidRDefault="008E18F4" w:rsidP="00FA4ABA">
            <w:pPr>
              <w:tabs>
                <w:tab w:val="num" w:pos="720"/>
              </w:tabs>
              <w:jc w:val="center"/>
              <w:rPr>
                <w:sz w:val="20"/>
                <w:szCs w:val="20"/>
              </w:rPr>
            </w:pPr>
            <w:r w:rsidRPr="003F00AF">
              <w:rPr>
                <w:sz w:val="20"/>
                <w:szCs w:val="20"/>
              </w:rPr>
              <w:t>6,300,000</w:t>
            </w:r>
          </w:p>
        </w:tc>
        <w:tc>
          <w:tcPr>
            <w:tcW w:w="2655" w:type="dxa"/>
            <w:shd w:val="clear" w:color="auto" w:fill="auto"/>
            <w:tcMar>
              <w:top w:w="15" w:type="dxa"/>
              <w:left w:w="15" w:type="dxa"/>
              <w:bottom w:w="0" w:type="dxa"/>
              <w:right w:w="15" w:type="dxa"/>
            </w:tcMar>
            <w:vAlign w:val="center"/>
            <w:hideMark/>
          </w:tcPr>
          <w:p w14:paraId="182232DD" w14:textId="77777777" w:rsidR="008E18F4" w:rsidRPr="003F00AF" w:rsidRDefault="008E18F4" w:rsidP="00FA4ABA">
            <w:pPr>
              <w:tabs>
                <w:tab w:val="num" w:pos="720"/>
              </w:tabs>
              <w:jc w:val="center"/>
              <w:rPr>
                <w:sz w:val="20"/>
                <w:szCs w:val="20"/>
              </w:rPr>
            </w:pPr>
            <w:r w:rsidRPr="003F00AF">
              <w:rPr>
                <w:sz w:val="20"/>
                <w:szCs w:val="20"/>
              </w:rPr>
              <w:t>2,000,000</w:t>
            </w:r>
          </w:p>
        </w:tc>
        <w:tc>
          <w:tcPr>
            <w:tcW w:w="3117" w:type="dxa"/>
            <w:shd w:val="clear" w:color="auto" w:fill="auto"/>
            <w:tcMar>
              <w:top w:w="15" w:type="dxa"/>
              <w:left w:w="15" w:type="dxa"/>
              <w:bottom w:w="0" w:type="dxa"/>
              <w:right w:w="15" w:type="dxa"/>
            </w:tcMar>
            <w:vAlign w:val="center"/>
            <w:hideMark/>
          </w:tcPr>
          <w:p w14:paraId="730619E1" w14:textId="77777777" w:rsidR="008E18F4" w:rsidRPr="003F00AF" w:rsidRDefault="008E18F4" w:rsidP="00FA4ABA">
            <w:pPr>
              <w:tabs>
                <w:tab w:val="num" w:pos="720"/>
              </w:tabs>
              <w:jc w:val="center"/>
              <w:rPr>
                <w:sz w:val="20"/>
                <w:szCs w:val="20"/>
              </w:rPr>
            </w:pPr>
            <w:r w:rsidRPr="003F00AF">
              <w:rPr>
                <w:sz w:val="20"/>
                <w:szCs w:val="20"/>
              </w:rPr>
              <w:t>2,136,205</w:t>
            </w:r>
          </w:p>
        </w:tc>
      </w:tr>
      <w:tr w:rsidR="008E18F4" w:rsidRPr="003F00AF" w14:paraId="3ADBCC62"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60757806" w14:textId="77777777" w:rsidR="008E18F4" w:rsidRPr="003F00AF" w:rsidRDefault="008E18F4" w:rsidP="00FA4ABA">
            <w:pPr>
              <w:tabs>
                <w:tab w:val="num" w:pos="720"/>
              </w:tabs>
              <w:jc w:val="center"/>
              <w:rPr>
                <w:sz w:val="20"/>
                <w:szCs w:val="20"/>
              </w:rPr>
            </w:pPr>
            <w:r w:rsidRPr="003F00AF">
              <w:rPr>
                <w:sz w:val="20"/>
                <w:szCs w:val="20"/>
              </w:rPr>
              <w:t>2009 - I</w:t>
            </w:r>
          </w:p>
        </w:tc>
        <w:tc>
          <w:tcPr>
            <w:tcW w:w="2424" w:type="dxa"/>
            <w:shd w:val="clear" w:color="auto" w:fill="auto"/>
            <w:tcMar>
              <w:top w:w="15" w:type="dxa"/>
              <w:left w:w="15" w:type="dxa"/>
              <w:bottom w:w="0" w:type="dxa"/>
              <w:right w:w="15" w:type="dxa"/>
            </w:tcMar>
            <w:vAlign w:val="center"/>
            <w:hideMark/>
          </w:tcPr>
          <w:p w14:paraId="158A6FEC" w14:textId="77777777" w:rsidR="008E18F4" w:rsidRPr="003F00AF" w:rsidRDefault="008E18F4" w:rsidP="00FA4ABA">
            <w:pPr>
              <w:tabs>
                <w:tab w:val="num" w:pos="720"/>
              </w:tabs>
              <w:jc w:val="center"/>
              <w:rPr>
                <w:sz w:val="20"/>
                <w:szCs w:val="20"/>
              </w:rPr>
            </w:pPr>
            <w:r w:rsidRPr="003F00AF">
              <w:rPr>
                <w:sz w:val="20"/>
                <w:szCs w:val="20"/>
              </w:rPr>
              <w:t>7,600,000</w:t>
            </w:r>
          </w:p>
        </w:tc>
        <w:tc>
          <w:tcPr>
            <w:tcW w:w="2655" w:type="dxa"/>
            <w:shd w:val="clear" w:color="auto" w:fill="auto"/>
            <w:tcMar>
              <w:top w:w="15" w:type="dxa"/>
              <w:left w:w="15" w:type="dxa"/>
              <w:bottom w:w="0" w:type="dxa"/>
              <w:right w:w="15" w:type="dxa"/>
            </w:tcMar>
            <w:vAlign w:val="center"/>
            <w:hideMark/>
          </w:tcPr>
          <w:p w14:paraId="7AF4803B" w14:textId="77777777" w:rsidR="008E18F4" w:rsidRPr="003F00AF" w:rsidRDefault="008E18F4" w:rsidP="00FA4ABA">
            <w:pPr>
              <w:tabs>
                <w:tab w:val="num" w:pos="720"/>
              </w:tabs>
              <w:jc w:val="center"/>
              <w:rPr>
                <w:sz w:val="20"/>
                <w:szCs w:val="20"/>
              </w:rPr>
            </w:pPr>
            <w:r w:rsidRPr="003F00AF">
              <w:rPr>
                <w:sz w:val="20"/>
                <w:szCs w:val="20"/>
              </w:rPr>
              <w:t>3,500,000</w:t>
            </w:r>
          </w:p>
        </w:tc>
        <w:tc>
          <w:tcPr>
            <w:tcW w:w="3117" w:type="dxa"/>
            <w:shd w:val="clear" w:color="auto" w:fill="auto"/>
            <w:tcMar>
              <w:top w:w="15" w:type="dxa"/>
              <w:left w:w="15" w:type="dxa"/>
              <w:bottom w:w="0" w:type="dxa"/>
              <w:right w:w="15" w:type="dxa"/>
            </w:tcMar>
            <w:vAlign w:val="center"/>
            <w:hideMark/>
          </w:tcPr>
          <w:p w14:paraId="10E84CED" w14:textId="77777777" w:rsidR="008E18F4" w:rsidRPr="003F00AF" w:rsidRDefault="008E18F4" w:rsidP="00FA4ABA">
            <w:pPr>
              <w:tabs>
                <w:tab w:val="num" w:pos="720"/>
              </w:tabs>
              <w:jc w:val="center"/>
              <w:rPr>
                <w:sz w:val="20"/>
                <w:szCs w:val="20"/>
              </w:rPr>
            </w:pPr>
            <w:r w:rsidRPr="003F00AF">
              <w:rPr>
                <w:sz w:val="20"/>
                <w:szCs w:val="20"/>
              </w:rPr>
              <w:t>3,419,379</w:t>
            </w:r>
          </w:p>
        </w:tc>
      </w:tr>
      <w:tr w:rsidR="008E18F4" w:rsidRPr="003F00AF" w14:paraId="44CFB114"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1D3C8C7E" w14:textId="77777777" w:rsidR="008E18F4" w:rsidRPr="003F00AF" w:rsidRDefault="008E18F4" w:rsidP="00FA4ABA">
            <w:pPr>
              <w:tabs>
                <w:tab w:val="num" w:pos="720"/>
              </w:tabs>
              <w:jc w:val="center"/>
              <w:rPr>
                <w:sz w:val="20"/>
                <w:szCs w:val="20"/>
              </w:rPr>
            </w:pPr>
            <w:r w:rsidRPr="003F00AF">
              <w:rPr>
                <w:sz w:val="20"/>
                <w:szCs w:val="20"/>
              </w:rPr>
              <w:t>2009 - II</w:t>
            </w:r>
          </w:p>
        </w:tc>
        <w:tc>
          <w:tcPr>
            <w:tcW w:w="2424" w:type="dxa"/>
            <w:shd w:val="clear" w:color="auto" w:fill="auto"/>
            <w:tcMar>
              <w:top w:w="15" w:type="dxa"/>
              <w:left w:w="15" w:type="dxa"/>
              <w:bottom w:w="0" w:type="dxa"/>
              <w:right w:w="15" w:type="dxa"/>
            </w:tcMar>
            <w:vAlign w:val="center"/>
            <w:hideMark/>
          </w:tcPr>
          <w:p w14:paraId="36E67CCA" w14:textId="77777777" w:rsidR="008E18F4" w:rsidRPr="003F00AF" w:rsidRDefault="008E18F4" w:rsidP="00FA4ABA">
            <w:pPr>
              <w:tabs>
                <w:tab w:val="num" w:pos="720"/>
              </w:tabs>
              <w:jc w:val="center"/>
              <w:rPr>
                <w:sz w:val="20"/>
                <w:szCs w:val="20"/>
              </w:rPr>
            </w:pPr>
            <w:r w:rsidRPr="003F00AF">
              <w:rPr>
                <w:sz w:val="20"/>
                <w:szCs w:val="20"/>
              </w:rPr>
              <w:t>6,700,000</w:t>
            </w:r>
          </w:p>
        </w:tc>
        <w:tc>
          <w:tcPr>
            <w:tcW w:w="2655" w:type="dxa"/>
            <w:shd w:val="clear" w:color="auto" w:fill="auto"/>
            <w:tcMar>
              <w:top w:w="15" w:type="dxa"/>
              <w:left w:w="15" w:type="dxa"/>
              <w:bottom w:w="0" w:type="dxa"/>
              <w:right w:w="15" w:type="dxa"/>
            </w:tcMar>
            <w:vAlign w:val="center"/>
            <w:hideMark/>
          </w:tcPr>
          <w:p w14:paraId="434E2201" w14:textId="77777777" w:rsidR="008E18F4" w:rsidRPr="003F00AF" w:rsidRDefault="008E18F4" w:rsidP="00FA4ABA">
            <w:pPr>
              <w:tabs>
                <w:tab w:val="num" w:pos="720"/>
              </w:tabs>
              <w:jc w:val="center"/>
              <w:rPr>
                <w:sz w:val="20"/>
                <w:szCs w:val="20"/>
              </w:rPr>
            </w:pPr>
            <w:r w:rsidRPr="003F00AF">
              <w:rPr>
                <w:sz w:val="20"/>
                <w:szCs w:val="20"/>
              </w:rPr>
              <w:t>2,000,000</w:t>
            </w:r>
          </w:p>
        </w:tc>
        <w:tc>
          <w:tcPr>
            <w:tcW w:w="3117" w:type="dxa"/>
            <w:shd w:val="clear" w:color="auto" w:fill="auto"/>
            <w:tcMar>
              <w:top w:w="15" w:type="dxa"/>
              <w:left w:w="15" w:type="dxa"/>
              <w:bottom w:w="0" w:type="dxa"/>
              <w:right w:w="15" w:type="dxa"/>
            </w:tcMar>
            <w:vAlign w:val="center"/>
            <w:hideMark/>
          </w:tcPr>
          <w:p w14:paraId="277B6B4A" w14:textId="77777777" w:rsidR="008E18F4" w:rsidRPr="003F00AF" w:rsidRDefault="008E18F4" w:rsidP="00FA4ABA">
            <w:pPr>
              <w:tabs>
                <w:tab w:val="num" w:pos="720"/>
              </w:tabs>
              <w:jc w:val="center"/>
              <w:rPr>
                <w:sz w:val="20"/>
                <w:szCs w:val="20"/>
              </w:rPr>
            </w:pPr>
            <w:r w:rsidRPr="003F00AF">
              <w:rPr>
                <w:sz w:val="20"/>
                <w:szCs w:val="20"/>
              </w:rPr>
              <w:t>1,961,449</w:t>
            </w:r>
          </w:p>
        </w:tc>
      </w:tr>
      <w:tr w:rsidR="008E18F4" w:rsidRPr="003F00AF" w14:paraId="2BA83A8B" w14:textId="77777777" w:rsidTr="00FA4ABA">
        <w:trPr>
          <w:cantSplit/>
          <w:jc w:val="center"/>
        </w:trPr>
        <w:tc>
          <w:tcPr>
            <w:tcW w:w="1380" w:type="dxa"/>
            <w:shd w:val="clear" w:color="auto" w:fill="auto"/>
            <w:tcMar>
              <w:top w:w="15" w:type="dxa"/>
              <w:left w:w="15" w:type="dxa"/>
              <w:bottom w:w="0" w:type="dxa"/>
              <w:right w:w="15" w:type="dxa"/>
            </w:tcMar>
            <w:vAlign w:val="center"/>
            <w:hideMark/>
          </w:tcPr>
          <w:p w14:paraId="6EC912C5" w14:textId="77777777" w:rsidR="008E18F4" w:rsidRPr="003F00AF" w:rsidRDefault="008E18F4" w:rsidP="00FA4ABA">
            <w:pPr>
              <w:tabs>
                <w:tab w:val="num" w:pos="720"/>
              </w:tabs>
              <w:jc w:val="center"/>
              <w:rPr>
                <w:sz w:val="20"/>
                <w:szCs w:val="20"/>
              </w:rPr>
            </w:pPr>
            <w:r w:rsidRPr="003F00AF">
              <w:rPr>
                <w:sz w:val="20"/>
                <w:szCs w:val="20"/>
              </w:rPr>
              <w:t>2010 - I</w:t>
            </w:r>
          </w:p>
        </w:tc>
        <w:tc>
          <w:tcPr>
            <w:tcW w:w="2424" w:type="dxa"/>
            <w:shd w:val="clear" w:color="auto" w:fill="auto"/>
            <w:tcMar>
              <w:top w:w="15" w:type="dxa"/>
              <w:left w:w="15" w:type="dxa"/>
              <w:bottom w:w="0" w:type="dxa"/>
              <w:right w:w="15" w:type="dxa"/>
            </w:tcMar>
            <w:vAlign w:val="center"/>
            <w:hideMark/>
          </w:tcPr>
          <w:p w14:paraId="32E20CD9" w14:textId="77777777" w:rsidR="008E18F4" w:rsidRPr="003F00AF" w:rsidRDefault="008E18F4" w:rsidP="00FA4ABA">
            <w:pPr>
              <w:tabs>
                <w:tab w:val="num" w:pos="720"/>
              </w:tabs>
              <w:jc w:val="center"/>
              <w:rPr>
                <w:sz w:val="20"/>
                <w:szCs w:val="20"/>
              </w:rPr>
            </w:pPr>
            <w:r w:rsidRPr="003F00AF">
              <w:rPr>
                <w:sz w:val="20"/>
                <w:szCs w:val="20"/>
              </w:rPr>
              <w:t>6,500,000</w:t>
            </w:r>
          </w:p>
        </w:tc>
        <w:tc>
          <w:tcPr>
            <w:tcW w:w="2655" w:type="dxa"/>
            <w:shd w:val="clear" w:color="auto" w:fill="auto"/>
            <w:tcMar>
              <w:top w:w="15" w:type="dxa"/>
              <w:left w:w="15" w:type="dxa"/>
              <w:bottom w:w="0" w:type="dxa"/>
              <w:right w:w="15" w:type="dxa"/>
            </w:tcMar>
            <w:vAlign w:val="center"/>
            <w:hideMark/>
          </w:tcPr>
          <w:p w14:paraId="2513AF49" w14:textId="77777777" w:rsidR="008E18F4" w:rsidRPr="003F00AF" w:rsidRDefault="008E18F4" w:rsidP="00FA4ABA">
            <w:pPr>
              <w:tabs>
                <w:tab w:val="num" w:pos="720"/>
              </w:tabs>
              <w:jc w:val="center"/>
              <w:rPr>
                <w:sz w:val="20"/>
                <w:szCs w:val="20"/>
              </w:rPr>
            </w:pPr>
            <w:r w:rsidRPr="003F00AF">
              <w:rPr>
                <w:sz w:val="20"/>
                <w:szCs w:val="20"/>
              </w:rPr>
              <w:t>2,500,000</w:t>
            </w:r>
          </w:p>
        </w:tc>
        <w:tc>
          <w:tcPr>
            <w:tcW w:w="3117" w:type="dxa"/>
            <w:shd w:val="clear" w:color="auto" w:fill="auto"/>
            <w:tcMar>
              <w:top w:w="15" w:type="dxa"/>
              <w:left w:w="15" w:type="dxa"/>
              <w:bottom w:w="0" w:type="dxa"/>
              <w:right w:w="15" w:type="dxa"/>
            </w:tcMar>
            <w:vAlign w:val="center"/>
            <w:hideMark/>
          </w:tcPr>
          <w:p w14:paraId="7F383DCF" w14:textId="77777777" w:rsidR="008E18F4" w:rsidRPr="003F00AF" w:rsidRDefault="008E18F4" w:rsidP="00FA4ABA">
            <w:pPr>
              <w:tabs>
                <w:tab w:val="num" w:pos="720"/>
              </w:tabs>
              <w:jc w:val="center"/>
              <w:rPr>
                <w:sz w:val="20"/>
                <w:szCs w:val="20"/>
              </w:rPr>
            </w:pPr>
            <w:r w:rsidRPr="003F00AF">
              <w:rPr>
                <w:sz w:val="20"/>
                <w:szCs w:val="20"/>
              </w:rPr>
              <w:t>2,466,236</w:t>
            </w:r>
          </w:p>
        </w:tc>
      </w:tr>
      <w:tr w:rsidR="008E18F4" w:rsidRPr="003F00AF" w14:paraId="527BBC92"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6FDAA236" w14:textId="77777777" w:rsidR="008E18F4" w:rsidRPr="003F00AF" w:rsidRDefault="008E18F4" w:rsidP="00FA4ABA">
            <w:pPr>
              <w:tabs>
                <w:tab w:val="num" w:pos="720"/>
              </w:tabs>
              <w:jc w:val="center"/>
              <w:rPr>
                <w:sz w:val="20"/>
                <w:szCs w:val="20"/>
              </w:rPr>
            </w:pPr>
            <w:r w:rsidRPr="003F00AF">
              <w:rPr>
                <w:sz w:val="20"/>
                <w:szCs w:val="20"/>
              </w:rPr>
              <w:t>2010 - II</w:t>
            </w:r>
          </w:p>
        </w:tc>
        <w:tc>
          <w:tcPr>
            <w:tcW w:w="2424" w:type="dxa"/>
            <w:shd w:val="clear" w:color="auto" w:fill="auto"/>
            <w:tcMar>
              <w:top w:w="15" w:type="dxa"/>
              <w:left w:w="15" w:type="dxa"/>
              <w:bottom w:w="0" w:type="dxa"/>
              <w:right w:w="15" w:type="dxa"/>
            </w:tcMar>
            <w:vAlign w:val="center"/>
            <w:hideMark/>
          </w:tcPr>
          <w:p w14:paraId="318DE8E7" w14:textId="77777777" w:rsidR="008E18F4" w:rsidRPr="003F00AF" w:rsidRDefault="008E18F4" w:rsidP="00FA4ABA">
            <w:pPr>
              <w:tabs>
                <w:tab w:val="num" w:pos="720"/>
              </w:tabs>
              <w:jc w:val="center"/>
              <w:rPr>
                <w:sz w:val="20"/>
                <w:szCs w:val="20"/>
              </w:rPr>
            </w:pPr>
            <w:r w:rsidRPr="003F00AF">
              <w:rPr>
                <w:sz w:val="20"/>
                <w:szCs w:val="20"/>
              </w:rPr>
              <w:t>7,200,000</w:t>
            </w:r>
          </w:p>
        </w:tc>
        <w:tc>
          <w:tcPr>
            <w:tcW w:w="2655" w:type="dxa"/>
            <w:shd w:val="clear" w:color="auto" w:fill="auto"/>
            <w:tcMar>
              <w:top w:w="15" w:type="dxa"/>
              <w:left w:w="15" w:type="dxa"/>
              <w:bottom w:w="0" w:type="dxa"/>
              <w:right w:w="15" w:type="dxa"/>
            </w:tcMar>
            <w:vAlign w:val="center"/>
            <w:hideMark/>
          </w:tcPr>
          <w:p w14:paraId="2C2CC65A" w14:textId="77777777" w:rsidR="008E18F4" w:rsidRPr="003F00AF" w:rsidRDefault="008E18F4" w:rsidP="00FA4ABA">
            <w:pPr>
              <w:tabs>
                <w:tab w:val="num" w:pos="720"/>
              </w:tabs>
              <w:jc w:val="center"/>
              <w:rPr>
                <w:sz w:val="20"/>
                <w:szCs w:val="20"/>
              </w:rPr>
            </w:pPr>
            <w:r w:rsidRPr="003F00AF">
              <w:rPr>
                <w:sz w:val="20"/>
                <w:szCs w:val="20"/>
              </w:rPr>
              <w:t>2,070,000</w:t>
            </w:r>
          </w:p>
        </w:tc>
        <w:tc>
          <w:tcPr>
            <w:tcW w:w="3117" w:type="dxa"/>
            <w:shd w:val="clear" w:color="auto" w:fill="auto"/>
            <w:tcMar>
              <w:top w:w="15" w:type="dxa"/>
              <w:left w:w="15" w:type="dxa"/>
              <w:bottom w:w="0" w:type="dxa"/>
              <w:right w:w="15" w:type="dxa"/>
            </w:tcMar>
            <w:vAlign w:val="center"/>
            <w:hideMark/>
          </w:tcPr>
          <w:p w14:paraId="4CC23BC4" w14:textId="77777777" w:rsidR="008E18F4" w:rsidRPr="003F00AF" w:rsidRDefault="008E18F4" w:rsidP="00FA4ABA">
            <w:pPr>
              <w:tabs>
                <w:tab w:val="num" w:pos="720"/>
              </w:tabs>
              <w:jc w:val="center"/>
              <w:rPr>
                <w:sz w:val="20"/>
                <w:szCs w:val="20"/>
              </w:rPr>
            </w:pPr>
            <w:r w:rsidRPr="003F00AF">
              <w:rPr>
                <w:sz w:val="20"/>
                <w:szCs w:val="20"/>
              </w:rPr>
              <w:t>779,366</w:t>
            </w:r>
          </w:p>
        </w:tc>
      </w:tr>
      <w:tr w:rsidR="008E18F4" w:rsidRPr="003F00AF" w14:paraId="7772B872"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6FFE1C3B" w14:textId="77777777" w:rsidR="008E18F4" w:rsidRPr="003F00AF" w:rsidRDefault="008E18F4" w:rsidP="00FA4ABA">
            <w:pPr>
              <w:tabs>
                <w:tab w:val="num" w:pos="720"/>
              </w:tabs>
              <w:jc w:val="center"/>
              <w:rPr>
                <w:sz w:val="20"/>
                <w:szCs w:val="20"/>
              </w:rPr>
            </w:pPr>
            <w:r w:rsidRPr="003F00AF">
              <w:rPr>
                <w:sz w:val="20"/>
                <w:szCs w:val="20"/>
              </w:rPr>
              <w:t>2011 - I</w:t>
            </w:r>
          </w:p>
        </w:tc>
        <w:tc>
          <w:tcPr>
            <w:tcW w:w="2424" w:type="dxa"/>
            <w:shd w:val="clear" w:color="auto" w:fill="auto"/>
            <w:tcMar>
              <w:top w:w="15" w:type="dxa"/>
              <w:left w:w="15" w:type="dxa"/>
              <w:bottom w:w="0" w:type="dxa"/>
              <w:right w:w="15" w:type="dxa"/>
            </w:tcMar>
            <w:vAlign w:val="center"/>
            <w:hideMark/>
          </w:tcPr>
          <w:p w14:paraId="028DF28E" w14:textId="77777777" w:rsidR="008E18F4" w:rsidRPr="003F00AF" w:rsidRDefault="008E18F4" w:rsidP="00FA4ABA">
            <w:pPr>
              <w:tabs>
                <w:tab w:val="num" w:pos="720"/>
              </w:tabs>
              <w:jc w:val="center"/>
              <w:rPr>
                <w:sz w:val="20"/>
                <w:szCs w:val="20"/>
              </w:rPr>
            </w:pPr>
            <w:r w:rsidRPr="003F00AF">
              <w:rPr>
                <w:sz w:val="20"/>
                <w:szCs w:val="20"/>
              </w:rPr>
              <w:t>10,500,000</w:t>
            </w:r>
          </w:p>
        </w:tc>
        <w:tc>
          <w:tcPr>
            <w:tcW w:w="2655" w:type="dxa"/>
            <w:shd w:val="clear" w:color="auto" w:fill="auto"/>
            <w:tcMar>
              <w:top w:w="15" w:type="dxa"/>
              <w:left w:w="15" w:type="dxa"/>
              <w:bottom w:w="0" w:type="dxa"/>
              <w:right w:w="15" w:type="dxa"/>
            </w:tcMar>
            <w:vAlign w:val="center"/>
            <w:hideMark/>
          </w:tcPr>
          <w:p w14:paraId="1A9EF373" w14:textId="77777777" w:rsidR="008E18F4" w:rsidRPr="003F00AF" w:rsidRDefault="008E18F4" w:rsidP="00FA4ABA">
            <w:pPr>
              <w:tabs>
                <w:tab w:val="num" w:pos="720"/>
              </w:tabs>
              <w:jc w:val="center"/>
              <w:rPr>
                <w:sz w:val="20"/>
                <w:szCs w:val="20"/>
              </w:rPr>
            </w:pPr>
            <w:r w:rsidRPr="003F00AF">
              <w:rPr>
                <w:sz w:val="20"/>
                <w:szCs w:val="20"/>
              </w:rPr>
              <w:t>3,675,000</w:t>
            </w:r>
          </w:p>
        </w:tc>
        <w:tc>
          <w:tcPr>
            <w:tcW w:w="3117" w:type="dxa"/>
            <w:shd w:val="clear" w:color="auto" w:fill="auto"/>
            <w:tcMar>
              <w:top w:w="15" w:type="dxa"/>
              <w:left w:w="15" w:type="dxa"/>
              <w:bottom w:w="0" w:type="dxa"/>
              <w:right w:w="15" w:type="dxa"/>
            </w:tcMar>
            <w:vAlign w:val="center"/>
            <w:hideMark/>
          </w:tcPr>
          <w:p w14:paraId="5EEE4FA8" w14:textId="77777777" w:rsidR="008E18F4" w:rsidRPr="003F00AF" w:rsidRDefault="008E18F4" w:rsidP="00FA4ABA">
            <w:pPr>
              <w:tabs>
                <w:tab w:val="num" w:pos="720"/>
              </w:tabs>
              <w:jc w:val="center"/>
              <w:rPr>
                <w:sz w:val="20"/>
                <w:szCs w:val="20"/>
              </w:rPr>
            </w:pPr>
            <w:r w:rsidRPr="003F00AF">
              <w:rPr>
                <w:sz w:val="20"/>
                <w:szCs w:val="20"/>
              </w:rPr>
              <w:t>3,669,091</w:t>
            </w:r>
          </w:p>
        </w:tc>
      </w:tr>
      <w:tr w:rsidR="008E18F4" w:rsidRPr="003F00AF" w14:paraId="4B59256F"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071AD425" w14:textId="77777777" w:rsidR="008E18F4" w:rsidRPr="003F00AF" w:rsidRDefault="008E18F4" w:rsidP="00FA4ABA">
            <w:pPr>
              <w:tabs>
                <w:tab w:val="num" w:pos="720"/>
              </w:tabs>
              <w:jc w:val="center"/>
              <w:rPr>
                <w:sz w:val="20"/>
                <w:szCs w:val="20"/>
              </w:rPr>
            </w:pPr>
            <w:r w:rsidRPr="003F00AF">
              <w:rPr>
                <w:sz w:val="20"/>
                <w:szCs w:val="20"/>
              </w:rPr>
              <w:t>2011 - II</w:t>
            </w:r>
          </w:p>
        </w:tc>
        <w:tc>
          <w:tcPr>
            <w:tcW w:w="2424" w:type="dxa"/>
            <w:shd w:val="clear" w:color="auto" w:fill="auto"/>
            <w:tcMar>
              <w:top w:w="15" w:type="dxa"/>
              <w:left w:w="15" w:type="dxa"/>
              <w:bottom w:w="0" w:type="dxa"/>
              <w:right w:w="15" w:type="dxa"/>
            </w:tcMar>
            <w:vAlign w:val="center"/>
            <w:hideMark/>
          </w:tcPr>
          <w:p w14:paraId="2B49441E" w14:textId="77777777" w:rsidR="008E18F4" w:rsidRPr="003F00AF" w:rsidRDefault="008E18F4" w:rsidP="00FA4ABA">
            <w:pPr>
              <w:tabs>
                <w:tab w:val="num" w:pos="720"/>
              </w:tabs>
              <w:jc w:val="center"/>
              <w:rPr>
                <w:sz w:val="20"/>
                <w:szCs w:val="20"/>
              </w:rPr>
            </w:pPr>
            <w:r w:rsidRPr="003F00AF">
              <w:rPr>
                <w:sz w:val="20"/>
                <w:szCs w:val="20"/>
              </w:rPr>
              <w:t>10,600,000</w:t>
            </w:r>
          </w:p>
        </w:tc>
        <w:tc>
          <w:tcPr>
            <w:tcW w:w="2655" w:type="dxa"/>
            <w:shd w:val="clear" w:color="auto" w:fill="auto"/>
            <w:tcMar>
              <w:top w:w="15" w:type="dxa"/>
              <w:left w:w="15" w:type="dxa"/>
              <w:bottom w:w="0" w:type="dxa"/>
              <w:right w:w="15" w:type="dxa"/>
            </w:tcMar>
            <w:vAlign w:val="center"/>
            <w:hideMark/>
          </w:tcPr>
          <w:p w14:paraId="34C700FA" w14:textId="77777777" w:rsidR="008E18F4" w:rsidRPr="003F00AF" w:rsidRDefault="008E18F4" w:rsidP="00FA4ABA">
            <w:pPr>
              <w:tabs>
                <w:tab w:val="num" w:pos="720"/>
              </w:tabs>
              <w:jc w:val="center"/>
              <w:rPr>
                <w:sz w:val="20"/>
                <w:szCs w:val="20"/>
              </w:rPr>
            </w:pPr>
            <w:r w:rsidRPr="003F00AF">
              <w:rPr>
                <w:sz w:val="20"/>
                <w:szCs w:val="20"/>
              </w:rPr>
              <w:t>2,500,000</w:t>
            </w:r>
          </w:p>
        </w:tc>
        <w:tc>
          <w:tcPr>
            <w:tcW w:w="3117" w:type="dxa"/>
            <w:shd w:val="clear" w:color="auto" w:fill="auto"/>
            <w:tcMar>
              <w:top w:w="15" w:type="dxa"/>
              <w:left w:w="15" w:type="dxa"/>
              <w:bottom w:w="0" w:type="dxa"/>
              <w:right w:w="15" w:type="dxa"/>
            </w:tcMar>
            <w:vAlign w:val="center"/>
            <w:hideMark/>
          </w:tcPr>
          <w:p w14:paraId="517D34A3" w14:textId="77777777" w:rsidR="008E18F4" w:rsidRPr="003F00AF" w:rsidRDefault="008E18F4" w:rsidP="00FA4ABA">
            <w:pPr>
              <w:tabs>
                <w:tab w:val="num" w:pos="720"/>
              </w:tabs>
              <w:jc w:val="center"/>
              <w:rPr>
                <w:sz w:val="20"/>
                <w:szCs w:val="20"/>
              </w:rPr>
            </w:pPr>
            <w:r w:rsidRPr="003F00AF">
              <w:rPr>
                <w:sz w:val="20"/>
                <w:szCs w:val="20"/>
              </w:rPr>
              <w:t>2,454,460</w:t>
            </w:r>
          </w:p>
        </w:tc>
      </w:tr>
      <w:tr w:rsidR="008E18F4" w:rsidRPr="003F00AF" w14:paraId="36157EFC"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35FDF375" w14:textId="77777777" w:rsidR="008E18F4" w:rsidRPr="003F00AF" w:rsidRDefault="008E18F4" w:rsidP="00FA4ABA">
            <w:pPr>
              <w:tabs>
                <w:tab w:val="num" w:pos="720"/>
              </w:tabs>
              <w:jc w:val="center"/>
              <w:rPr>
                <w:sz w:val="20"/>
                <w:szCs w:val="20"/>
              </w:rPr>
            </w:pPr>
            <w:r w:rsidRPr="003F00AF">
              <w:rPr>
                <w:sz w:val="20"/>
                <w:szCs w:val="20"/>
              </w:rPr>
              <w:t>2012 - I</w:t>
            </w:r>
          </w:p>
        </w:tc>
        <w:tc>
          <w:tcPr>
            <w:tcW w:w="2424" w:type="dxa"/>
            <w:shd w:val="clear" w:color="auto" w:fill="auto"/>
            <w:tcMar>
              <w:top w:w="15" w:type="dxa"/>
              <w:left w:w="15" w:type="dxa"/>
              <w:bottom w:w="0" w:type="dxa"/>
              <w:right w:w="15" w:type="dxa"/>
            </w:tcMar>
            <w:vAlign w:val="center"/>
            <w:hideMark/>
          </w:tcPr>
          <w:p w14:paraId="6A71AB10" w14:textId="77777777" w:rsidR="008E18F4" w:rsidRPr="003F00AF" w:rsidRDefault="008E18F4" w:rsidP="00FA4ABA">
            <w:pPr>
              <w:tabs>
                <w:tab w:val="num" w:pos="720"/>
              </w:tabs>
              <w:jc w:val="center"/>
              <w:rPr>
                <w:sz w:val="20"/>
                <w:szCs w:val="20"/>
              </w:rPr>
            </w:pPr>
            <w:r w:rsidRPr="003F00AF">
              <w:rPr>
                <w:sz w:val="20"/>
                <w:szCs w:val="20"/>
              </w:rPr>
              <w:t>9,090,000</w:t>
            </w:r>
          </w:p>
        </w:tc>
        <w:tc>
          <w:tcPr>
            <w:tcW w:w="2655" w:type="dxa"/>
            <w:shd w:val="clear" w:color="auto" w:fill="auto"/>
            <w:tcMar>
              <w:top w:w="15" w:type="dxa"/>
              <w:left w:w="15" w:type="dxa"/>
              <w:bottom w:w="0" w:type="dxa"/>
              <w:right w:w="15" w:type="dxa"/>
            </w:tcMar>
            <w:vAlign w:val="center"/>
            <w:hideMark/>
          </w:tcPr>
          <w:p w14:paraId="25BC83AB" w14:textId="77777777" w:rsidR="008E18F4" w:rsidRPr="003F00AF" w:rsidRDefault="008E18F4" w:rsidP="00FA4ABA">
            <w:pPr>
              <w:tabs>
                <w:tab w:val="num" w:pos="720"/>
              </w:tabs>
              <w:jc w:val="center"/>
              <w:rPr>
                <w:sz w:val="20"/>
                <w:szCs w:val="20"/>
              </w:rPr>
            </w:pPr>
            <w:r w:rsidRPr="003F00AF">
              <w:rPr>
                <w:sz w:val="20"/>
                <w:szCs w:val="20"/>
              </w:rPr>
              <w:t>2,700,000</w:t>
            </w:r>
          </w:p>
        </w:tc>
        <w:tc>
          <w:tcPr>
            <w:tcW w:w="3117" w:type="dxa"/>
            <w:shd w:val="clear" w:color="auto" w:fill="auto"/>
            <w:tcMar>
              <w:top w:w="15" w:type="dxa"/>
              <w:left w:w="15" w:type="dxa"/>
              <w:bottom w:w="0" w:type="dxa"/>
              <w:right w:w="15" w:type="dxa"/>
            </w:tcMar>
            <w:vAlign w:val="center"/>
            <w:hideMark/>
          </w:tcPr>
          <w:p w14:paraId="4C13FE74" w14:textId="77777777" w:rsidR="008E18F4" w:rsidRPr="003F00AF" w:rsidRDefault="008E18F4" w:rsidP="00FA4ABA">
            <w:pPr>
              <w:tabs>
                <w:tab w:val="num" w:pos="720"/>
              </w:tabs>
              <w:jc w:val="center"/>
              <w:rPr>
                <w:sz w:val="20"/>
                <w:szCs w:val="20"/>
              </w:rPr>
            </w:pPr>
            <w:r w:rsidRPr="003F00AF">
              <w:rPr>
                <w:sz w:val="20"/>
                <w:szCs w:val="20"/>
              </w:rPr>
              <w:t>2,606,773</w:t>
            </w:r>
          </w:p>
        </w:tc>
      </w:tr>
      <w:tr w:rsidR="008E18F4" w:rsidRPr="003F00AF" w14:paraId="6C9F9402"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71B55107" w14:textId="77777777" w:rsidR="008E18F4" w:rsidRPr="003F00AF" w:rsidRDefault="008E18F4" w:rsidP="00FA4ABA">
            <w:pPr>
              <w:tabs>
                <w:tab w:val="num" w:pos="720"/>
              </w:tabs>
              <w:jc w:val="center"/>
              <w:rPr>
                <w:sz w:val="20"/>
                <w:szCs w:val="20"/>
              </w:rPr>
            </w:pPr>
            <w:r w:rsidRPr="003F00AF">
              <w:rPr>
                <w:sz w:val="20"/>
                <w:szCs w:val="20"/>
              </w:rPr>
              <w:t>2012 - II</w:t>
            </w:r>
          </w:p>
        </w:tc>
        <w:tc>
          <w:tcPr>
            <w:tcW w:w="2424" w:type="dxa"/>
            <w:shd w:val="clear" w:color="auto" w:fill="auto"/>
            <w:tcMar>
              <w:top w:w="15" w:type="dxa"/>
              <w:left w:w="15" w:type="dxa"/>
              <w:bottom w:w="0" w:type="dxa"/>
              <w:right w:w="15" w:type="dxa"/>
            </w:tcMar>
            <w:vAlign w:val="center"/>
            <w:hideMark/>
          </w:tcPr>
          <w:p w14:paraId="53F25E52" w14:textId="77777777" w:rsidR="008E18F4" w:rsidRPr="003F00AF" w:rsidRDefault="008E18F4" w:rsidP="00FA4ABA">
            <w:pPr>
              <w:tabs>
                <w:tab w:val="num" w:pos="720"/>
              </w:tabs>
              <w:jc w:val="center"/>
              <w:rPr>
                <w:sz w:val="20"/>
                <w:szCs w:val="20"/>
              </w:rPr>
            </w:pPr>
            <w:r w:rsidRPr="003F00AF">
              <w:rPr>
                <w:sz w:val="20"/>
                <w:szCs w:val="20"/>
              </w:rPr>
              <w:t>5,300,000</w:t>
            </w:r>
          </w:p>
        </w:tc>
        <w:tc>
          <w:tcPr>
            <w:tcW w:w="2655" w:type="dxa"/>
            <w:shd w:val="clear" w:color="auto" w:fill="auto"/>
            <w:tcMar>
              <w:top w:w="15" w:type="dxa"/>
              <w:left w:w="15" w:type="dxa"/>
              <w:bottom w:w="0" w:type="dxa"/>
              <w:right w:w="15" w:type="dxa"/>
            </w:tcMar>
            <w:vAlign w:val="center"/>
            <w:hideMark/>
          </w:tcPr>
          <w:p w14:paraId="14195578" w14:textId="77777777" w:rsidR="008E18F4" w:rsidRPr="003F00AF" w:rsidRDefault="008E18F4" w:rsidP="00FA4ABA">
            <w:pPr>
              <w:tabs>
                <w:tab w:val="num" w:pos="720"/>
              </w:tabs>
              <w:jc w:val="center"/>
              <w:rPr>
                <w:sz w:val="20"/>
                <w:szCs w:val="20"/>
              </w:rPr>
            </w:pPr>
            <w:r w:rsidRPr="003F00AF">
              <w:rPr>
                <w:sz w:val="20"/>
                <w:szCs w:val="20"/>
              </w:rPr>
              <w:t>810,000</w:t>
            </w:r>
          </w:p>
        </w:tc>
        <w:tc>
          <w:tcPr>
            <w:tcW w:w="3117" w:type="dxa"/>
            <w:shd w:val="clear" w:color="auto" w:fill="auto"/>
            <w:tcMar>
              <w:top w:w="15" w:type="dxa"/>
              <w:left w:w="15" w:type="dxa"/>
              <w:bottom w:w="0" w:type="dxa"/>
              <w:right w:w="15" w:type="dxa"/>
            </w:tcMar>
            <w:vAlign w:val="center"/>
            <w:hideMark/>
          </w:tcPr>
          <w:p w14:paraId="2AF0A2BA" w14:textId="77777777" w:rsidR="008E18F4" w:rsidRPr="003F00AF" w:rsidRDefault="008E18F4" w:rsidP="00FA4ABA">
            <w:pPr>
              <w:tabs>
                <w:tab w:val="num" w:pos="720"/>
              </w:tabs>
              <w:jc w:val="center"/>
              <w:rPr>
                <w:sz w:val="20"/>
                <w:szCs w:val="20"/>
              </w:rPr>
            </w:pPr>
            <w:r w:rsidRPr="003F00AF">
              <w:rPr>
                <w:sz w:val="20"/>
                <w:szCs w:val="20"/>
              </w:rPr>
              <w:t>742,695</w:t>
            </w:r>
          </w:p>
        </w:tc>
      </w:tr>
      <w:tr w:rsidR="008E18F4" w:rsidRPr="003F00AF" w14:paraId="418140DE"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40FDF3C8" w14:textId="77777777" w:rsidR="008E18F4" w:rsidRPr="003F00AF" w:rsidRDefault="008E18F4" w:rsidP="00FA4ABA">
            <w:pPr>
              <w:tabs>
                <w:tab w:val="num" w:pos="720"/>
              </w:tabs>
              <w:jc w:val="center"/>
              <w:rPr>
                <w:sz w:val="20"/>
                <w:szCs w:val="20"/>
              </w:rPr>
            </w:pPr>
            <w:r w:rsidRPr="003F00AF">
              <w:rPr>
                <w:sz w:val="20"/>
                <w:szCs w:val="20"/>
              </w:rPr>
              <w:t>2013 - I</w:t>
            </w:r>
          </w:p>
        </w:tc>
        <w:tc>
          <w:tcPr>
            <w:tcW w:w="2424" w:type="dxa"/>
            <w:shd w:val="clear" w:color="auto" w:fill="auto"/>
            <w:tcMar>
              <w:top w:w="15" w:type="dxa"/>
              <w:left w:w="15" w:type="dxa"/>
              <w:bottom w:w="0" w:type="dxa"/>
              <w:right w:w="15" w:type="dxa"/>
            </w:tcMar>
            <w:vAlign w:val="center"/>
            <w:hideMark/>
          </w:tcPr>
          <w:p w14:paraId="697E1E97" w14:textId="77777777" w:rsidR="008E18F4" w:rsidRPr="003F00AF" w:rsidRDefault="008E18F4" w:rsidP="00FA4ABA">
            <w:pPr>
              <w:tabs>
                <w:tab w:val="num" w:pos="720"/>
              </w:tabs>
              <w:jc w:val="center"/>
              <w:rPr>
                <w:sz w:val="20"/>
                <w:szCs w:val="20"/>
              </w:rPr>
            </w:pPr>
            <w:r w:rsidRPr="003F00AF">
              <w:rPr>
                <w:sz w:val="20"/>
                <w:szCs w:val="20"/>
              </w:rPr>
              <w:t>10,800,000</w:t>
            </w:r>
          </w:p>
        </w:tc>
        <w:tc>
          <w:tcPr>
            <w:tcW w:w="2655" w:type="dxa"/>
            <w:shd w:val="clear" w:color="auto" w:fill="auto"/>
            <w:tcMar>
              <w:top w:w="15" w:type="dxa"/>
              <w:left w:w="15" w:type="dxa"/>
              <w:bottom w:w="0" w:type="dxa"/>
              <w:right w:w="15" w:type="dxa"/>
            </w:tcMar>
            <w:vAlign w:val="center"/>
            <w:hideMark/>
          </w:tcPr>
          <w:p w14:paraId="26686604" w14:textId="77777777" w:rsidR="008E18F4" w:rsidRPr="003F00AF" w:rsidRDefault="008E18F4" w:rsidP="00FA4ABA">
            <w:pPr>
              <w:tabs>
                <w:tab w:val="num" w:pos="720"/>
              </w:tabs>
              <w:jc w:val="center"/>
              <w:rPr>
                <w:sz w:val="20"/>
                <w:szCs w:val="20"/>
              </w:rPr>
            </w:pPr>
            <w:r w:rsidRPr="003F00AF">
              <w:rPr>
                <w:sz w:val="20"/>
                <w:szCs w:val="20"/>
              </w:rPr>
              <w:t>2,050,000</w:t>
            </w:r>
          </w:p>
        </w:tc>
        <w:tc>
          <w:tcPr>
            <w:tcW w:w="3117" w:type="dxa"/>
            <w:shd w:val="clear" w:color="auto" w:fill="auto"/>
            <w:tcMar>
              <w:top w:w="15" w:type="dxa"/>
              <w:left w:w="15" w:type="dxa"/>
              <w:bottom w:w="0" w:type="dxa"/>
              <w:right w:w="15" w:type="dxa"/>
            </w:tcMar>
            <w:vAlign w:val="center"/>
            <w:hideMark/>
          </w:tcPr>
          <w:p w14:paraId="0E1E7528" w14:textId="77777777" w:rsidR="008E18F4" w:rsidRPr="003F00AF" w:rsidRDefault="008E18F4" w:rsidP="00FA4ABA">
            <w:pPr>
              <w:tabs>
                <w:tab w:val="num" w:pos="720"/>
              </w:tabs>
              <w:jc w:val="center"/>
              <w:rPr>
                <w:sz w:val="20"/>
                <w:szCs w:val="20"/>
              </w:rPr>
            </w:pPr>
            <w:r w:rsidRPr="003F00AF">
              <w:rPr>
                <w:sz w:val="20"/>
                <w:szCs w:val="20"/>
              </w:rPr>
              <w:t>1,982,240</w:t>
            </w:r>
          </w:p>
        </w:tc>
      </w:tr>
      <w:tr w:rsidR="008E18F4" w:rsidRPr="003F00AF" w14:paraId="62B2DF6B"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16A26D7A" w14:textId="77777777" w:rsidR="008E18F4" w:rsidRPr="003F00AF" w:rsidRDefault="008E18F4" w:rsidP="00FA4ABA">
            <w:pPr>
              <w:tabs>
                <w:tab w:val="num" w:pos="720"/>
              </w:tabs>
              <w:jc w:val="center"/>
              <w:rPr>
                <w:sz w:val="20"/>
                <w:szCs w:val="20"/>
              </w:rPr>
            </w:pPr>
            <w:r w:rsidRPr="003F00AF">
              <w:rPr>
                <w:sz w:val="20"/>
                <w:szCs w:val="20"/>
              </w:rPr>
              <w:t>2013 - II</w:t>
            </w:r>
          </w:p>
        </w:tc>
        <w:tc>
          <w:tcPr>
            <w:tcW w:w="2424" w:type="dxa"/>
            <w:shd w:val="clear" w:color="auto" w:fill="auto"/>
            <w:tcMar>
              <w:top w:w="15" w:type="dxa"/>
              <w:left w:w="15" w:type="dxa"/>
              <w:bottom w:w="0" w:type="dxa"/>
              <w:right w:w="15" w:type="dxa"/>
            </w:tcMar>
            <w:vAlign w:val="center"/>
            <w:hideMark/>
          </w:tcPr>
          <w:p w14:paraId="704E9937" w14:textId="77777777" w:rsidR="008E18F4" w:rsidRPr="003F00AF" w:rsidRDefault="008E18F4" w:rsidP="00FA4ABA">
            <w:pPr>
              <w:tabs>
                <w:tab w:val="num" w:pos="720"/>
              </w:tabs>
              <w:jc w:val="center"/>
              <w:rPr>
                <w:sz w:val="20"/>
                <w:szCs w:val="20"/>
              </w:rPr>
            </w:pPr>
            <w:r w:rsidRPr="003F00AF">
              <w:rPr>
                <w:sz w:val="20"/>
                <w:szCs w:val="20"/>
              </w:rPr>
              <w:t>10,300,000</w:t>
            </w:r>
          </w:p>
        </w:tc>
        <w:tc>
          <w:tcPr>
            <w:tcW w:w="2655" w:type="dxa"/>
            <w:shd w:val="clear" w:color="auto" w:fill="auto"/>
            <w:tcMar>
              <w:top w:w="15" w:type="dxa"/>
              <w:left w:w="15" w:type="dxa"/>
              <w:bottom w:w="0" w:type="dxa"/>
              <w:right w:w="15" w:type="dxa"/>
            </w:tcMar>
            <w:vAlign w:val="center"/>
            <w:hideMark/>
          </w:tcPr>
          <w:p w14:paraId="1258C027" w14:textId="77777777" w:rsidR="008E18F4" w:rsidRPr="003F00AF" w:rsidRDefault="008E18F4" w:rsidP="00FA4ABA">
            <w:pPr>
              <w:tabs>
                <w:tab w:val="num" w:pos="720"/>
              </w:tabs>
              <w:jc w:val="center"/>
              <w:rPr>
                <w:sz w:val="20"/>
                <w:szCs w:val="20"/>
              </w:rPr>
            </w:pPr>
            <w:r w:rsidRPr="003F00AF">
              <w:rPr>
                <w:sz w:val="20"/>
                <w:szCs w:val="20"/>
              </w:rPr>
              <w:t>2,304,000</w:t>
            </w:r>
          </w:p>
        </w:tc>
        <w:tc>
          <w:tcPr>
            <w:tcW w:w="3117" w:type="dxa"/>
            <w:shd w:val="clear" w:color="auto" w:fill="auto"/>
            <w:tcMar>
              <w:top w:w="15" w:type="dxa"/>
              <w:left w:w="15" w:type="dxa"/>
              <w:bottom w:w="0" w:type="dxa"/>
              <w:right w:w="15" w:type="dxa"/>
            </w:tcMar>
            <w:vAlign w:val="center"/>
            <w:hideMark/>
          </w:tcPr>
          <w:p w14:paraId="71D064AB" w14:textId="77777777" w:rsidR="008E18F4" w:rsidRPr="003F00AF" w:rsidRDefault="008E18F4" w:rsidP="00FA4ABA">
            <w:pPr>
              <w:tabs>
                <w:tab w:val="num" w:pos="720"/>
              </w:tabs>
              <w:jc w:val="center"/>
              <w:rPr>
                <w:sz w:val="20"/>
                <w:szCs w:val="20"/>
              </w:rPr>
            </w:pPr>
            <w:r w:rsidRPr="003F00AF">
              <w:rPr>
                <w:sz w:val="20"/>
                <w:szCs w:val="20"/>
              </w:rPr>
              <w:t>2,249,376</w:t>
            </w:r>
          </w:p>
        </w:tc>
      </w:tr>
      <w:tr w:rsidR="008E18F4" w:rsidRPr="003F00AF" w14:paraId="67DEA73E"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0331E9E9" w14:textId="77777777" w:rsidR="008E18F4" w:rsidRPr="003F00AF" w:rsidRDefault="008E18F4" w:rsidP="00FA4ABA">
            <w:pPr>
              <w:tabs>
                <w:tab w:val="num" w:pos="720"/>
              </w:tabs>
              <w:jc w:val="center"/>
              <w:rPr>
                <w:sz w:val="20"/>
                <w:szCs w:val="20"/>
              </w:rPr>
            </w:pPr>
            <w:r w:rsidRPr="003F00AF">
              <w:rPr>
                <w:sz w:val="20"/>
                <w:szCs w:val="20"/>
              </w:rPr>
              <w:t>2014 - I</w:t>
            </w:r>
          </w:p>
        </w:tc>
        <w:tc>
          <w:tcPr>
            <w:tcW w:w="2424" w:type="dxa"/>
            <w:shd w:val="clear" w:color="auto" w:fill="auto"/>
            <w:tcMar>
              <w:top w:w="15" w:type="dxa"/>
              <w:left w:w="15" w:type="dxa"/>
              <w:bottom w:w="0" w:type="dxa"/>
              <w:right w:w="15" w:type="dxa"/>
            </w:tcMar>
            <w:vAlign w:val="center"/>
            <w:hideMark/>
          </w:tcPr>
          <w:p w14:paraId="2CE7418C" w14:textId="77777777" w:rsidR="008E18F4" w:rsidRPr="003F00AF" w:rsidRDefault="008E18F4" w:rsidP="00FA4ABA">
            <w:pPr>
              <w:tabs>
                <w:tab w:val="num" w:pos="720"/>
              </w:tabs>
              <w:jc w:val="center"/>
              <w:rPr>
                <w:sz w:val="20"/>
                <w:szCs w:val="20"/>
              </w:rPr>
            </w:pPr>
            <w:r w:rsidRPr="003F00AF">
              <w:rPr>
                <w:sz w:val="20"/>
                <w:szCs w:val="20"/>
              </w:rPr>
              <w:t>9,770,000</w:t>
            </w:r>
          </w:p>
        </w:tc>
        <w:tc>
          <w:tcPr>
            <w:tcW w:w="2655" w:type="dxa"/>
            <w:shd w:val="clear" w:color="auto" w:fill="auto"/>
            <w:tcMar>
              <w:top w:w="15" w:type="dxa"/>
              <w:left w:w="15" w:type="dxa"/>
              <w:bottom w:w="0" w:type="dxa"/>
              <w:right w:w="15" w:type="dxa"/>
            </w:tcMar>
            <w:vAlign w:val="center"/>
            <w:hideMark/>
          </w:tcPr>
          <w:p w14:paraId="3ECA70A7" w14:textId="77777777" w:rsidR="008E18F4" w:rsidRPr="003F00AF" w:rsidRDefault="008E18F4" w:rsidP="00FA4ABA">
            <w:pPr>
              <w:tabs>
                <w:tab w:val="num" w:pos="720"/>
              </w:tabs>
              <w:jc w:val="center"/>
              <w:rPr>
                <w:sz w:val="20"/>
                <w:szCs w:val="20"/>
              </w:rPr>
            </w:pPr>
            <w:r w:rsidRPr="003F00AF">
              <w:rPr>
                <w:sz w:val="20"/>
                <w:szCs w:val="20"/>
              </w:rPr>
              <w:t>2,530,000</w:t>
            </w:r>
          </w:p>
        </w:tc>
        <w:tc>
          <w:tcPr>
            <w:tcW w:w="3117" w:type="dxa"/>
            <w:shd w:val="clear" w:color="auto" w:fill="auto"/>
            <w:tcMar>
              <w:top w:w="15" w:type="dxa"/>
              <w:left w:w="15" w:type="dxa"/>
              <w:bottom w:w="0" w:type="dxa"/>
              <w:right w:w="15" w:type="dxa"/>
            </w:tcMar>
            <w:vAlign w:val="center"/>
            <w:hideMark/>
          </w:tcPr>
          <w:p w14:paraId="77508A82" w14:textId="77777777" w:rsidR="008E18F4" w:rsidRPr="003F00AF" w:rsidRDefault="008E18F4" w:rsidP="00FA4ABA">
            <w:pPr>
              <w:tabs>
                <w:tab w:val="num" w:pos="720"/>
              </w:tabs>
              <w:jc w:val="center"/>
              <w:rPr>
                <w:sz w:val="20"/>
                <w:szCs w:val="20"/>
              </w:rPr>
            </w:pPr>
            <w:r w:rsidRPr="003F00AF">
              <w:rPr>
                <w:sz w:val="20"/>
                <w:szCs w:val="20"/>
              </w:rPr>
              <w:t>1,677,834</w:t>
            </w:r>
          </w:p>
        </w:tc>
      </w:tr>
      <w:tr w:rsidR="008E18F4" w:rsidRPr="003F00AF" w14:paraId="0A6A6753"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63C2E5D7" w14:textId="77777777" w:rsidR="008E18F4" w:rsidRPr="003F00AF" w:rsidRDefault="008E18F4" w:rsidP="00FA4ABA">
            <w:pPr>
              <w:tabs>
                <w:tab w:val="num" w:pos="720"/>
              </w:tabs>
              <w:jc w:val="center"/>
              <w:rPr>
                <w:sz w:val="20"/>
                <w:szCs w:val="20"/>
              </w:rPr>
            </w:pPr>
            <w:r w:rsidRPr="003F00AF">
              <w:rPr>
                <w:sz w:val="20"/>
                <w:szCs w:val="20"/>
              </w:rPr>
              <w:t>2014 - II</w:t>
            </w:r>
          </w:p>
        </w:tc>
        <w:tc>
          <w:tcPr>
            <w:tcW w:w="2424" w:type="dxa"/>
            <w:shd w:val="clear" w:color="auto" w:fill="auto"/>
            <w:tcMar>
              <w:top w:w="15" w:type="dxa"/>
              <w:left w:w="15" w:type="dxa"/>
              <w:bottom w:w="0" w:type="dxa"/>
              <w:right w:w="15" w:type="dxa"/>
            </w:tcMar>
            <w:vAlign w:val="center"/>
            <w:hideMark/>
          </w:tcPr>
          <w:p w14:paraId="46F84DA9" w14:textId="77777777" w:rsidR="008E18F4" w:rsidRPr="003F00AF" w:rsidRDefault="008E18F4" w:rsidP="00FA4ABA">
            <w:pPr>
              <w:tabs>
                <w:tab w:val="num" w:pos="720"/>
              </w:tabs>
              <w:jc w:val="center"/>
              <w:rPr>
                <w:sz w:val="20"/>
                <w:szCs w:val="20"/>
              </w:rPr>
            </w:pPr>
            <w:r w:rsidRPr="003F00AF">
              <w:rPr>
                <w:sz w:val="20"/>
                <w:szCs w:val="20"/>
              </w:rPr>
              <w:t>1,450,000</w:t>
            </w:r>
          </w:p>
        </w:tc>
        <w:tc>
          <w:tcPr>
            <w:tcW w:w="2655" w:type="dxa"/>
            <w:shd w:val="clear" w:color="auto" w:fill="auto"/>
            <w:tcMar>
              <w:top w:w="15" w:type="dxa"/>
              <w:left w:w="15" w:type="dxa"/>
              <w:bottom w:w="0" w:type="dxa"/>
              <w:right w:w="15" w:type="dxa"/>
            </w:tcMar>
            <w:vAlign w:val="center"/>
            <w:hideMark/>
          </w:tcPr>
          <w:p w14:paraId="3EC81D18" w14:textId="77777777" w:rsidR="008E18F4" w:rsidRPr="003F00AF" w:rsidRDefault="008E18F4" w:rsidP="00FA4ABA">
            <w:pPr>
              <w:tabs>
                <w:tab w:val="num" w:pos="720"/>
              </w:tabs>
              <w:jc w:val="center"/>
              <w:rPr>
                <w:sz w:val="20"/>
                <w:szCs w:val="20"/>
              </w:rPr>
            </w:pPr>
            <w:r w:rsidRPr="003F00AF">
              <w:rPr>
                <w:sz w:val="20"/>
                <w:szCs w:val="20"/>
              </w:rPr>
              <w:t>0</w:t>
            </w:r>
          </w:p>
        </w:tc>
        <w:tc>
          <w:tcPr>
            <w:tcW w:w="3117" w:type="dxa"/>
            <w:shd w:val="clear" w:color="auto" w:fill="auto"/>
            <w:tcMar>
              <w:top w:w="15" w:type="dxa"/>
              <w:left w:w="15" w:type="dxa"/>
              <w:bottom w:w="0" w:type="dxa"/>
              <w:right w:w="15" w:type="dxa"/>
            </w:tcMar>
            <w:vAlign w:val="center"/>
            <w:hideMark/>
          </w:tcPr>
          <w:p w14:paraId="1E10ED40" w14:textId="77777777" w:rsidR="008E18F4" w:rsidRPr="003F00AF" w:rsidRDefault="008E18F4" w:rsidP="00FA4ABA">
            <w:pPr>
              <w:tabs>
                <w:tab w:val="num" w:pos="720"/>
              </w:tabs>
              <w:jc w:val="center"/>
              <w:rPr>
                <w:sz w:val="20"/>
                <w:szCs w:val="20"/>
              </w:rPr>
            </w:pPr>
            <w:r w:rsidRPr="003F00AF">
              <w:rPr>
                <w:sz w:val="20"/>
                <w:szCs w:val="20"/>
              </w:rPr>
              <w:t>0</w:t>
            </w:r>
          </w:p>
        </w:tc>
      </w:tr>
      <w:tr w:rsidR="008E18F4" w:rsidRPr="003F00AF" w14:paraId="38AF6BB6"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2F0AA209" w14:textId="29A8CCE4" w:rsidR="008E18F4" w:rsidRPr="003F00AF" w:rsidRDefault="008E18F4" w:rsidP="00FA4ABA">
            <w:pPr>
              <w:tabs>
                <w:tab w:val="num" w:pos="720"/>
              </w:tabs>
              <w:jc w:val="center"/>
              <w:rPr>
                <w:sz w:val="20"/>
                <w:szCs w:val="20"/>
              </w:rPr>
            </w:pPr>
            <w:r w:rsidRPr="003F00AF">
              <w:rPr>
                <w:sz w:val="20"/>
                <w:szCs w:val="20"/>
              </w:rPr>
              <w:t xml:space="preserve">2015 </w:t>
            </w:r>
            <w:r w:rsidR="00BE2228" w:rsidRPr="003F00AF">
              <w:rPr>
                <w:sz w:val="20"/>
                <w:szCs w:val="20"/>
              </w:rPr>
              <w:t>–</w:t>
            </w:r>
            <w:r w:rsidRPr="003F00AF">
              <w:rPr>
                <w:sz w:val="20"/>
                <w:szCs w:val="20"/>
              </w:rPr>
              <w:t xml:space="preserve"> I</w:t>
            </w:r>
          </w:p>
        </w:tc>
        <w:tc>
          <w:tcPr>
            <w:tcW w:w="2424" w:type="dxa"/>
            <w:shd w:val="clear" w:color="auto" w:fill="auto"/>
            <w:tcMar>
              <w:top w:w="15" w:type="dxa"/>
              <w:left w:w="15" w:type="dxa"/>
              <w:bottom w:w="0" w:type="dxa"/>
              <w:right w:w="15" w:type="dxa"/>
            </w:tcMar>
            <w:vAlign w:val="center"/>
            <w:hideMark/>
          </w:tcPr>
          <w:p w14:paraId="45F706AA" w14:textId="77777777" w:rsidR="008E18F4" w:rsidRPr="003F00AF" w:rsidRDefault="008E18F4" w:rsidP="00FA4ABA">
            <w:pPr>
              <w:tabs>
                <w:tab w:val="num" w:pos="720"/>
              </w:tabs>
              <w:jc w:val="center"/>
              <w:rPr>
                <w:sz w:val="20"/>
                <w:szCs w:val="20"/>
              </w:rPr>
            </w:pPr>
            <w:r w:rsidRPr="003F00AF">
              <w:rPr>
                <w:sz w:val="20"/>
                <w:szCs w:val="20"/>
              </w:rPr>
              <w:t>9,400,000</w:t>
            </w:r>
          </w:p>
        </w:tc>
        <w:tc>
          <w:tcPr>
            <w:tcW w:w="2655" w:type="dxa"/>
            <w:shd w:val="clear" w:color="auto" w:fill="auto"/>
            <w:tcMar>
              <w:top w:w="15" w:type="dxa"/>
              <w:left w:w="15" w:type="dxa"/>
              <w:bottom w:w="0" w:type="dxa"/>
              <w:right w:w="15" w:type="dxa"/>
            </w:tcMar>
            <w:vAlign w:val="center"/>
            <w:hideMark/>
          </w:tcPr>
          <w:p w14:paraId="30C787F8" w14:textId="77777777" w:rsidR="008E18F4" w:rsidRPr="003F00AF" w:rsidRDefault="008E18F4" w:rsidP="00FA4ABA">
            <w:pPr>
              <w:tabs>
                <w:tab w:val="num" w:pos="720"/>
              </w:tabs>
              <w:jc w:val="center"/>
              <w:rPr>
                <w:sz w:val="20"/>
                <w:szCs w:val="20"/>
              </w:rPr>
            </w:pPr>
            <w:r w:rsidRPr="003F00AF">
              <w:rPr>
                <w:sz w:val="20"/>
                <w:szCs w:val="20"/>
              </w:rPr>
              <w:t>2,580,000</w:t>
            </w:r>
          </w:p>
        </w:tc>
        <w:tc>
          <w:tcPr>
            <w:tcW w:w="3117" w:type="dxa"/>
            <w:shd w:val="clear" w:color="auto" w:fill="auto"/>
            <w:tcMar>
              <w:top w:w="15" w:type="dxa"/>
              <w:left w:w="15" w:type="dxa"/>
              <w:bottom w:w="0" w:type="dxa"/>
              <w:right w:w="15" w:type="dxa"/>
            </w:tcMar>
            <w:vAlign w:val="center"/>
            <w:hideMark/>
          </w:tcPr>
          <w:p w14:paraId="71B7F142" w14:textId="77777777" w:rsidR="008E18F4" w:rsidRPr="003F00AF" w:rsidRDefault="008E18F4" w:rsidP="00FA4ABA">
            <w:pPr>
              <w:tabs>
                <w:tab w:val="num" w:pos="720"/>
              </w:tabs>
              <w:jc w:val="center"/>
              <w:rPr>
                <w:sz w:val="20"/>
                <w:szCs w:val="20"/>
              </w:rPr>
            </w:pPr>
            <w:r w:rsidRPr="003F00AF">
              <w:rPr>
                <w:sz w:val="20"/>
                <w:szCs w:val="20"/>
              </w:rPr>
              <w:t>2,507,635</w:t>
            </w:r>
          </w:p>
        </w:tc>
      </w:tr>
      <w:tr w:rsidR="008E18F4" w:rsidRPr="003F00AF" w14:paraId="32421F29" w14:textId="77777777" w:rsidTr="00FA4ABA">
        <w:trPr>
          <w:cantSplit/>
          <w:trHeight w:val="199"/>
          <w:jc w:val="center"/>
        </w:trPr>
        <w:tc>
          <w:tcPr>
            <w:tcW w:w="1380" w:type="dxa"/>
            <w:shd w:val="clear" w:color="auto" w:fill="auto"/>
            <w:tcMar>
              <w:top w:w="15" w:type="dxa"/>
              <w:left w:w="15" w:type="dxa"/>
              <w:bottom w:w="0" w:type="dxa"/>
              <w:right w:w="15" w:type="dxa"/>
            </w:tcMar>
            <w:vAlign w:val="center"/>
            <w:hideMark/>
          </w:tcPr>
          <w:p w14:paraId="3CC3ECF9" w14:textId="5FB01501" w:rsidR="008E18F4" w:rsidRPr="003F00AF" w:rsidRDefault="008E18F4" w:rsidP="00FA4ABA">
            <w:pPr>
              <w:tabs>
                <w:tab w:val="num" w:pos="720"/>
              </w:tabs>
              <w:jc w:val="center"/>
              <w:rPr>
                <w:sz w:val="20"/>
                <w:szCs w:val="20"/>
              </w:rPr>
            </w:pPr>
            <w:r w:rsidRPr="003F00AF">
              <w:rPr>
                <w:sz w:val="20"/>
                <w:szCs w:val="20"/>
              </w:rPr>
              <w:t xml:space="preserve">2015 </w:t>
            </w:r>
            <w:r w:rsidR="00BE2228" w:rsidRPr="003F00AF">
              <w:rPr>
                <w:sz w:val="20"/>
                <w:szCs w:val="20"/>
              </w:rPr>
              <w:t>–</w:t>
            </w:r>
            <w:r w:rsidRPr="003F00AF">
              <w:rPr>
                <w:sz w:val="20"/>
                <w:szCs w:val="20"/>
              </w:rPr>
              <w:t xml:space="preserve"> II</w:t>
            </w:r>
          </w:p>
        </w:tc>
        <w:tc>
          <w:tcPr>
            <w:tcW w:w="2424" w:type="dxa"/>
            <w:shd w:val="clear" w:color="auto" w:fill="auto"/>
            <w:tcMar>
              <w:top w:w="15" w:type="dxa"/>
              <w:left w:w="15" w:type="dxa"/>
              <w:bottom w:w="0" w:type="dxa"/>
              <w:right w:w="15" w:type="dxa"/>
            </w:tcMar>
            <w:vAlign w:val="center"/>
            <w:hideMark/>
          </w:tcPr>
          <w:p w14:paraId="4366EDB7" w14:textId="77777777" w:rsidR="008E18F4" w:rsidRPr="003F00AF" w:rsidRDefault="008E18F4" w:rsidP="00FA4ABA">
            <w:pPr>
              <w:tabs>
                <w:tab w:val="num" w:pos="720"/>
              </w:tabs>
              <w:jc w:val="center"/>
              <w:rPr>
                <w:sz w:val="20"/>
                <w:szCs w:val="20"/>
              </w:rPr>
            </w:pPr>
            <w:r w:rsidRPr="003F00AF">
              <w:rPr>
                <w:sz w:val="20"/>
                <w:szCs w:val="20"/>
              </w:rPr>
              <w:t>6,070,000</w:t>
            </w:r>
          </w:p>
        </w:tc>
        <w:tc>
          <w:tcPr>
            <w:tcW w:w="2655" w:type="dxa"/>
            <w:shd w:val="clear" w:color="auto" w:fill="auto"/>
            <w:tcMar>
              <w:top w:w="15" w:type="dxa"/>
              <w:left w:w="15" w:type="dxa"/>
              <w:bottom w:w="0" w:type="dxa"/>
              <w:right w:w="15" w:type="dxa"/>
            </w:tcMar>
            <w:vAlign w:val="center"/>
            <w:hideMark/>
          </w:tcPr>
          <w:p w14:paraId="5EBA567A" w14:textId="77777777" w:rsidR="008E18F4" w:rsidRPr="003F00AF" w:rsidRDefault="008E18F4" w:rsidP="00FA4ABA">
            <w:pPr>
              <w:tabs>
                <w:tab w:val="num" w:pos="720"/>
              </w:tabs>
              <w:jc w:val="center"/>
              <w:rPr>
                <w:sz w:val="20"/>
                <w:szCs w:val="20"/>
              </w:rPr>
            </w:pPr>
            <w:r w:rsidRPr="003F00AF">
              <w:rPr>
                <w:sz w:val="20"/>
                <w:szCs w:val="20"/>
              </w:rPr>
              <w:t>1,110,000</w:t>
            </w:r>
          </w:p>
        </w:tc>
        <w:tc>
          <w:tcPr>
            <w:tcW w:w="3117" w:type="dxa"/>
            <w:shd w:val="clear" w:color="auto" w:fill="auto"/>
            <w:tcMar>
              <w:top w:w="15" w:type="dxa"/>
              <w:left w:w="15" w:type="dxa"/>
              <w:bottom w:w="0" w:type="dxa"/>
              <w:right w:w="15" w:type="dxa"/>
            </w:tcMar>
            <w:vAlign w:val="center"/>
            <w:hideMark/>
          </w:tcPr>
          <w:p w14:paraId="2D946DB9" w14:textId="77777777" w:rsidR="008E18F4" w:rsidRPr="003F00AF" w:rsidRDefault="008E18F4" w:rsidP="00FA4ABA">
            <w:pPr>
              <w:tabs>
                <w:tab w:val="num" w:pos="720"/>
              </w:tabs>
              <w:jc w:val="center"/>
              <w:rPr>
                <w:sz w:val="20"/>
                <w:szCs w:val="20"/>
              </w:rPr>
            </w:pPr>
            <w:r w:rsidRPr="003F00AF">
              <w:rPr>
                <w:sz w:val="20"/>
                <w:szCs w:val="20"/>
              </w:rPr>
              <w:t>332,485</w:t>
            </w:r>
          </w:p>
        </w:tc>
      </w:tr>
    </w:tbl>
    <w:p w14:paraId="2DB23047" w14:textId="01D68470" w:rsidR="008E18F4" w:rsidRPr="003F00AF" w:rsidRDefault="008E18F4" w:rsidP="000437CF">
      <w:pPr>
        <w:pStyle w:val="ListParagraph"/>
        <w:keepNext/>
        <w:keepLines/>
        <w:autoSpaceDE w:val="0"/>
        <w:autoSpaceDN w:val="0"/>
        <w:adjustRightInd w:val="0"/>
        <w:spacing w:before="240" w:after="120"/>
        <w:ind w:left="0"/>
        <w:jc w:val="center"/>
        <w:rPr>
          <w:b/>
          <w:sz w:val="20"/>
          <w:szCs w:val="20"/>
        </w:rPr>
      </w:pPr>
      <w:r w:rsidRPr="003F00AF">
        <w:rPr>
          <w:b/>
          <w:sz w:val="20"/>
          <w:szCs w:val="20"/>
        </w:rPr>
        <w:t xml:space="preserve">Figure </w:t>
      </w:r>
      <w:r w:rsidR="00F05552">
        <w:rPr>
          <w:b/>
          <w:sz w:val="20"/>
          <w:szCs w:val="20"/>
        </w:rPr>
        <w:t>4</w:t>
      </w:r>
      <w:r w:rsidRPr="003F00AF">
        <w:rPr>
          <w:b/>
          <w:sz w:val="20"/>
          <w:szCs w:val="20"/>
        </w:rPr>
        <w:t>. Peru’s National Biomass Trend</w:t>
      </w:r>
    </w:p>
    <w:p w14:paraId="27F2D91A" w14:textId="77777777" w:rsidR="008E18F4" w:rsidRPr="003F00AF" w:rsidRDefault="008E18F4" w:rsidP="008E18F4">
      <w:pPr>
        <w:pStyle w:val="ListParagraph"/>
        <w:spacing w:after="240"/>
        <w:ind w:left="0"/>
        <w:jc w:val="center"/>
        <w:rPr>
          <w:sz w:val="20"/>
          <w:szCs w:val="20"/>
        </w:rPr>
      </w:pPr>
      <w:r w:rsidRPr="003F00AF">
        <w:rPr>
          <w:noProof/>
        </w:rPr>
        <w:drawing>
          <wp:inline distT="0" distB="0" distL="0" distR="0" wp14:anchorId="06FAB888" wp14:editId="5B85EE61">
            <wp:extent cx="5060731" cy="268986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4075" cy="2691638"/>
                    </a:xfrm>
                    <a:prstGeom prst="rect">
                      <a:avLst/>
                    </a:prstGeom>
                    <a:noFill/>
                    <a:ln>
                      <a:noFill/>
                    </a:ln>
                  </pic:spPr>
                </pic:pic>
              </a:graphicData>
            </a:graphic>
          </wp:inline>
        </w:drawing>
      </w:r>
    </w:p>
    <w:p w14:paraId="7B826506" w14:textId="40AF0A93" w:rsidR="008E18F4" w:rsidRPr="00300CD1" w:rsidRDefault="00300CD1" w:rsidP="00EE38B6">
      <w:pPr>
        <w:pStyle w:val="ListParagraph"/>
        <w:numPr>
          <w:ilvl w:val="0"/>
          <w:numId w:val="1"/>
        </w:numPr>
        <w:spacing w:after="240"/>
        <w:ind w:left="0" w:firstLine="0"/>
        <w:jc w:val="both"/>
        <w:rPr>
          <w:color w:val="212121"/>
        </w:rPr>
      </w:pPr>
      <w:r w:rsidRPr="00300CD1">
        <w:rPr>
          <w:b/>
          <w:color w:val="212121"/>
          <w:lang w:val="en"/>
        </w:rPr>
        <w:t>T</w:t>
      </w:r>
      <w:r w:rsidR="002D5FF2" w:rsidRPr="00300CD1">
        <w:rPr>
          <w:b/>
          <w:color w:val="212121"/>
          <w:lang w:val="en"/>
        </w:rPr>
        <w:t xml:space="preserve">he GoP </w:t>
      </w:r>
      <w:r w:rsidRPr="00300CD1">
        <w:rPr>
          <w:b/>
          <w:color w:val="212121"/>
          <w:lang w:val="en"/>
        </w:rPr>
        <w:t>achieved the target value of PDO Indicator 1</w:t>
      </w:r>
      <w:r w:rsidR="00104177">
        <w:rPr>
          <w:b/>
          <w:color w:val="212121"/>
          <w:lang w:val="en"/>
        </w:rPr>
        <w:t>0</w:t>
      </w:r>
      <w:r w:rsidRPr="00300CD1">
        <w:rPr>
          <w:b/>
          <w:color w:val="212121"/>
          <w:lang w:val="en"/>
        </w:rPr>
        <w:t xml:space="preserve">, by regulating 100% of the </w:t>
      </w:r>
      <w:r w:rsidRPr="00300CD1">
        <w:rPr>
          <w:b/>
          <w:i/>
          <w:color w:val="212121"/>
          <w:lang w:val="en"/>
        </w:rPr>
        <w:t>anchoveta</w:t>
      </w:r>
      <w:r w:rsidRPr="00300CD1">
        <w:rPr>
          <w:b/>
          <w:color w:val="212121"/>
          <w:lang w:val="en"/>
        </w:rPr>
        <w:t xml:space="preserve"> fleet </w:t>
      </w:r>
      <w:r w:rsidR="00687D71">
        <w:rPr>
          <w:b/>
          <w:color w:val="212121"/>
          <w:lang w:val="en"/>
        </w:rPr>
        <w:t xml:space="preserve">for indirect human consumption </w:t>
      </w:r>
      <w:r w:rsidR="000642D1">
        <w:rPr>
          <w:b/>
          <w:color w:val="212121"/>
          <w:lang w:val="en"/>
        </w:rPr>
        <w:t xml:space="preserve">under </w:t>
      </w:r>
      <w:r w:rsidRPr="00300CD1">
        <w:rPr>
          <w:b/>
          <w:color w:val="212121"/>
          <w:lang w:val="en"/>
        </w:rPr>
        <w:t>the quota system</w:t>
      </w:r>
      <w:r w:rsidR="000642D1">
        <w:rPr>
          <w:b/>
          <w:color w:val="212121"/>
          <w:lang w:val="en"/>
        </w:rPr>
        <w:t xml:space="preserve"> </w:t>
      </w:r>
      <w:r w:rsidR="000642D1" w:rsidRPr="00300CD1">
        <w:rPr>
          <w:b/>
          <w:color w:val="212121"/>
          <w:lang w:val="en"/>
        </w:rPr>
        <w:t>(90</w:t>
      </w:r>
      <w:r w:rsidR="000642D1">
        <w:rPr>
          <w:b/>
          <w:color w:val="212121"/>
          <w:lang w:val="en"/>
        </w:rPr>
        <w:t>0</w:t>
      </w:r>
      <w:r w:rsidR="000642D1" w:rsidRPr="00300CD1">
        <w:rPr>
          <w:b/>
          <w:color w:val="212121"/>
          <w:lang w:val="en"/>
        </w:rPr>
        <w:t xml:space="preserve"> vessels</w:t>
      </w:r>
      <w:r w:rsidR="000642D1">
        <w:rPr>
          <w:b/>
          <w:color w:val="212121"/>
          <w:lang w:val="en"/>
        </w:rPr>
        <w:t xml:space="preserve"> in 2015</w:t>
      </w:r>
      <w:r w:rsidR="000642D1" w:rsidRPr="00300CD1">
        <w:rPr>
          <w:b/>
          <w:color w:val="212121"/>
          <w:lang w:val="en"/>
        </w:rPr>
        <w:t>)</w:t>
      </w:r>
      <w:r w:rsidR="000642D1">
        <w:rPr>
          <w:b/>
          <w:color w:val="212121"/>
          <w:lang w:val="en"/>
        </w:rPr>
        <w:t>.</w:t>
      </w:r>
      <w:r w:rsidR="000642D1" w:rsidRPr="00300CD1">
        <w:rPr>
          <w:b/>
          <w:color w:val="212121"/>
          <w:lang w:val="en"/>
        </w:rPr>
        <w:t xml:space="preserve"> </w:t>
      </w:r>
      <w:r w:rsidRPr="00300CD1">
        <w:rPr>
          <w:b/>
          <w:color w:val="212121"/>
          <w:lang w:val="en"/>
        </w:rPr>
        <w:t xml:space="preserve"> </w:t>
      </w:r>
      <w:r w:rsidRPr="00300CD1">
        <w:rPr>
          <w:color w:val="212121"/>
          <w:lang w:val="en"/>
        </w:rPr>
        <w:t>The government partially achieved PDO indicator 1</w:t>
      </w:r>
      <w:r w:rsidR="00ED4535">
        <w:rPr>
          <w:color w:val="212121"/>
          <w:lang w:val="en"/>
        </w:rPr>
        <w:t>1</w:t>
      </w:r>
      <w:r w:rsidRPr="00300CD1">
        <w:rPr>
          <w:color w:val="212121"/>
          <w:lang w:val="en"/>
        </w:rPr>
        <w:t xml:space="preserve"> </w:t>
      </w:r>
      <w:r>
        <w:rPr>
          <w:color w:val="212121"/>
          <w:lang w:val="en"/>
        </w:rPr>
        <w:t>(i.e. 3,000</w:t>
      </w:r>
      <w:r w:rsidRPr="00300CD1">
        <w:rPr>
          <w:color w:val="212121"/>
          <w:lang w:val="en"/>
        </w:rPr>
        <w:t xml:space="preserve"> workers benefit from economic incentives for leaving the sector</w:t>
      </w:r>
      <w:r>
        <w:rPr>
          <w:color w:val="212121"/>
          <w:lang w:val="en"/>
        </w:rPr>
        <w:t>)</w:t>
      </w:r>
      <w:r w:rsidRPr="00300CD1">
        <w:rPr>
          <w:color w:val="212121"/>
          <w:lang w:val="en"/>
        </w:rPr>
        <w:t>. In this regard</w:t>
      </w:r>
      <w:r w:rsidR="008E18F4" w:rsidRPr="00300CD1">
        <w:rPr>
          <w:color w:val="212121"/>
          <w:lang w:val="en"/>
        </w:rPr>
        <w:t>, FONCOPES has benefited 2,078 out of 2,283 workers who voluntarily left the sector by assisting them in reemployment programs and advi</w:t>
      </w:r>
      <w:r w:rsidR="00124266">
        <w:rPr>
          <w:color w:val="212121"/>
          <w:lang w:val="en"/>
        </w:rPr>
        <w:t>sory support</w:t>
      </w:r>
      <w:r w:rsidR="007A6C9A">
        <w:rPr>
          <w:color w:val="212121"/>
          <w:lang w:val="en"/>
        </w:rPr>
        <w:t xml:space="preserve"> </w:t>
      </w:r>
      <w:r w:rsidR="008E18F4" w:rsidRPr="00300CD1">
        <w:rPr>
          <w:color w:val="212121"/>
          <w:lang w:val="en"/>
        </w:rPr>
        <w:t xml:space="preserve">to start small businesses. Other workers benefited from </w:t>
      </w:r>
      <w:r w:rsidR="0015749B">
        <w:rPr>
          <w:color w:val="212121"/>
          <w:lang w:val="en"/>
        </w:rPr>
        <w:t xml:space="preserve">FONCOPES through the early </w:t>
      </w:r>
      <w:r w:rsidR="008E18F4" w:rsidRPr="00300CD1">
        <w:rPr>
          <w:color w:val="212121"/>
          <w:lang w:val="en"/>
        </w:rPr>
        <w:t>retirement program. As FONCOPES required the suspension of fishing permit</w:t>
      </w:r>
      <w:r w:rsidR="008222B5">
        <w:rPr>
          <w:color w:val="212121"/>
          <w:lang w:val="en"/>
        </w:rPr>
        <w:t>s</w:t>
      </w:r>
      <w:r w:rsidR="008E18F4" w:rsidRPr="00300CD1">
        <w:rPr>
          <w:color w:val="212121"/>
          <w:lang w:val="en"/>
        </w:rPr>
        <w:t xml:space="preserve"> (boarding passes) for a period of five years, a </w:t>
      </w:r>
      <w:r w:rsidR="0015749B">
        <w:rPr>
          <w:color w:val="212121"/>
          <w:lang w:val="en"/>
        </w:rPr>
        <w:t xml:space="preserve">second </w:t>
      </w:r>
      <w:r w:rsidR="008E18F4" w:rsidRPr="00300CD1">
        <w:rPr>
          <w:color w:val="212121"/>
          <w:lang w:val="en"/>
        </w:rPr>
        <w:t>group of workers opted to leave the fishing sector through the regular compensation system established by the Peruvian labor legislation. This way, these workers could keep their permits and join the crew rotation system</w:t>
      </w:r>
      <w:r w:rsidR="0082242C" w:rsidRPr="00300CD1">
        <w:rPr>
          <w:color w:val="212121"/>
          <w:lang w:val="en"/>
        </w:rPr>
        <w:t xml:space="preserve">. </w:t>
      </w:r>
      <w:r w:rsidR="008E18F4" w:rsidRPr="00300CD1">
        <w:rPr>
          <w:color w:val="212121"/>
          <w:lang w:val="en"/>
        </w:rPr>
        <w:t xml:space="preserve">Based on the above, the GoP has managed to reduce fleet overcapacity for </w:t>
      </w:r>
      <w:r w:rsidR="008E18F4" w:rsidRPr="00171A61">
        <w:rPr>
          <w:i/>
          <w:color w:val="212121"/>
          <w:lang w:val="en"/>
        </w:rPr>
        <w:t>anchov</w:t>
      </w:r>
      <w:r w:rsidR="00171A61" w:rsidRPr="00171A61">
        <w:rPr>
          <w:i/>
          <w:color w:val="212121"/>
          <w:lang w:val="en"/>
        </w:rPr>
        <w:t>eta</w:t>
      </w:r>
      <w:r w:rsidR="008E18F4" w:rsidRPr="00300CD1">
        <w:rPr>
          <w:color w:val="212121"/>
          <w:lang w:val="en"/>
        </w:rPr>
        <w:t xml:space="preserve"> fisheries and mitigate social impacts associated with fleet reduction</w:t>
      </w:r>
      <w:r w:rsidR="0082242C" w:rsidRPr="00300CD1">
        <w:rPr>
          <w:color w:val="212121"/>
          <w:lang w:val="en"/>
        </w:rPr>
        <w:t>.</w:t>
      </w:r>
    </w:p>
    <w:p w14:paraId="2A626817" w14:textId="23E0F542" w:rsidR="005F13A7" w:rsidRPr="003F00AF" w:rsidRDefault="005F13A7" w:rsidP="005F13A7">
      <w:pPr>
        <w:pStyle w:val="ListParagraph"/>
        <w:numPr>
          <w:ilvl w:val="0"/>
          <w:numId w:val="1"/>
        </w:numPr>
        <w:spacing w:after="240"/>
        <w:ind w:left="0" w:firstLine="0"/>
        <w:jc w:val="both"/>
      </w:pPr>
      <w:r w:rsidRPr="003F00AF">
        <w:t>In light of the above, the GoP achieved Objective A “</w:t>
      </w:r>
      <w:r w:rsidRPr="003F00AF">
        <w:rPr>
          <w:rFonts w:eastAsia="MS Mincho"/>
          <w:lang w:eastAsia="ja-JP"/>
        </w:rPr>
        <w:t xml:space="preserve">Strengthening environmental governance and institutions in Peru”, </w:t>
      </w:r>
      <w:r w:rsidRPr="003F00AF">
        <w:t xml:space="preserve">and its Sub-Objectives B.1, B.2 and B.3. Achievement of Objective B is rated as </w:t>
      </w:r>
      <w:r w:rsidRPr="003F00AF">
        <w:rPr>
          <w:b/>
          <w:i/>
          <w:u w:val="single"/>
        </w:rPr>
        <w:t>Substantial</w:t>
      </w:r>
      <w:r w:rsidRPr="003F00AF">
        <w:t>.</w:t>
      </w:r>
    </w:p>
    <w:p w14:paraId="7B019E21" w14:textId="77777777" w:rsidR="005E46DB" w:rsidRPr="003F00AF" w:rsidRDefault="008E18F4" w:rsidP="005E46DB">
      <w:pPr>
        <w:pStyle w:val="ListParagraph"/>
        <w:keepNext/>
        <w:keepLines/>
        <w:spacing w:after="240"/>
        <w:ind w:left="0"/>
        <w:rPr>
          <w:i/>
        </w:rPr>
      </w:pPr>
      <w:r w:rsidRPr="003F00AF">
        <w:rPr>
          <w:i/>
        </w:rPr>
        <w:t>3.3</w:t>
      </w:r>
      <w:r w:rsidR="00BA4AEC" w:rsidRPr="003F00AF">
        <w:rPr>
          <w:i/>
        </w:rPr>
        <w:tab/>
      </w:r>
      <w:r w:rsidRPr="003F00AF">
        <w:rPr>
          <w:i/>
        </w:rPr>
        <w:t>Justific</w:t>
      </w:r>
      <w:r w:rsidR="005E46DB" w:rsidRPr="003F00AF">
        <w:rPr>
          <w:i/>
        </w:rPr>
        <w:t>ation of Overall Outcome Rating</w:t>
      </w:r>
    </w:p>
    <w:p w14:paraId="19DC8534" w14:textId="77777777" w:rsidR="005E46DB" w:rsidRPr="003F00AF" w:rsidRDefault="008E18F4" w:rsidP="005E46DB">
      <w:pPr>
        <w:pStyle w:val="ListParagraph"/>
        <w:keepNext/>
        <w:keepLines/>
        <w:spacing w:after="240"/>
        <w:ind w:left="0"/>
        <w:rPr>
          <w:iCs/>
        </w:rPr>
      </w:pPr>
      <w:r w:rsidRPr="003F00AF">
        <w:t xml:space="preserve">Rating: </w:t>
      </w:r>
      <w:r w:rsidRPr="003F00AF">
        <w:rPr>
          <w:iCs/>
        </w:rPr>
        <w:t>Satisfactory</w:t>
      </w:r>
    </w:p>
    <w:p w14:paraId="1637A683" w14:textId="1A3F90FE" w:rsidR="005F13A7" w:rsidRPr="003F00AF" w:rsidRDefault="005F13A7" w:rsidP="00D130D4">
      <w:pPr>
        <w:pStyle w:val="ListParagraph"/>
        <w:numPr>
          <w:ilvl w:val="0"/>
          <w:numId w:val="1"/>
        </w:numPr>
        <w:spacing w:after="240"/>
        <w:ind w:left="0" w:firstLine="0"/>
        <w:jc w:val="both"/>
        <w:rPr>
          <w:rFonts w:eastAsiaTheme="minorEastAsia"/>
        </w:rPr>
      </w:pPr>
      <w:r w:rsidRPr="003F00AF">
        <w:rPr>
          <w:rFonts w:eastAsiaTheme="minorEastAsia"/>
        </w:rPr>
        <w:t xml:space="preserve">A </w:t>
      </w:r>
      <w:r w:rsidR="00DA0944">
        <w:rPr>
          <w:rFonts w:eastAsiaTheme="minorEastAsia"/>
        </w:rPr>
        <w:t>High</w:t>
      </w:r>
      <w:r w:rsidRPr="003F00AF">
        <w:rPr>
          <w:rFonts w:eastAsiaTheme="minorEastAsia"/>
        </w:rPr>
        <w:t xml:space="preserve"> rating for Relevance of Objectives, a </w:t>
      </w:r>
      <w:r w:rsidR="0099311B" w:rsidRPr="003F00AF">
        <w:rPr>
          <w:rFonts w:eastAsiaTheme="minorEastAsia"/>
        </w:rPr>
        <w:t xml:space="preserve">Modest </w:t>
      </w:r>
      <w:r w:rsidRPr="003F00AF">
        <w:rPr>
          <w:rFonts w:eastAsiaTheme="minorEastAsia"/>
        </w:rPr>
        <w:t>rating for Relevance of Design,</w:t>
      </w:r>
      <w:r w:rsidR="0099311B" w:rsidRPr="003F00AF">
        <w:rPr>
          <w:rFonts w:eastAsiaTheme="minorEastAsia"/>
        </w:rPr>
        <w:t xml:space="preserve"> and </w:t>
      </w:r>
      <w:r w:rsidR="00AC1361">
        <w:rPr>
          <w:rFonts w:eastAsiaTheme="minorEastAsia"/>
        </w:rPr>
        <w:t xml:space="preserve">a </w:t>
      </w:r>
      <w:r w:rsidR="0099311B" w:rsidRPr="003F00AF">
        <w:rPr>
          <w:rFonts w:eastAsiaTheme="minorEastAsia"/>
        </w:rPr>
        <w:t xml:space="preserve">Substantial rating for Efficacy, </w:t>
      </w:r>
      <w:r w:rsidR="00AC1361">
        <w:rPr>
          <w:rFonts w:eastAsiaTheme="minorEastAsia"/>
        </w:rPr>
        <w:t xml:space="preserve">give an overall outcome rating of </w:t>
      </w:r>
      <w:r w:rsidR="0099311B" w:rsidRPr="003F00AF">
        <w:rPr>
          <w:rFonts w:eastAsiaTheme="minorEastAsia"/>
        </w:rPr>
        <w:t>S</w:t>
      </w:r>
      <w:r w:rsidRPr="003F00AF">
        <w:rPr>
          <w:rFonts w:eastAsiaTheme="minorEastAsia"/>
        </w:rPr>
        <w:t xml:space="preserve">atisfactory for the </w:t>
      </w:r>
      <w:r w:rsidR="00AC1361">
        <w:rPr>
          <w:rFonts w:eastAsiaTheme="minorEastAsia"/>
        </w:rPr>
        <w:t>E</w:t>
      </w:r>
      <w:r w:rsidR="007A6C9A">
        <w:rPr>
          <w:rFonts w:eastAsiaTheme="minorEastAsia"/>
        </w:rPr>
        <w:t>NV</w:t>
      </w:r>
      <w:r w:rsidR="00AC1361">
        <w:rPr>
          <w:rFonts w:eastAsiaTheme="minorEastAsia"/>
        </w:rPr>
        <w:t>DPLs Program</w:t>
      </w:r>
      <w:r w:rsidR="0099311B" w:rsidRPr="003F00AF">
        <w:rPr>
          <w:rFonts w:eastAsiaTheme="minorEastAsia"/>
        </w:rPr>
        <w:t>.</w:t>
      </w:r>
    </w:p>
    <w:p w14:paraId="0B04352C" w14:textId="29E73889" w:rsidR="008E18F4" w:rsidRPr="003F00AF" w:rsidRDefault="008E18F4" w:rsidP="008E18F4">
      <w:pPr>
        <w:pStyle w:val="ListParagraph"/>
        <w:numPr>
          <w:ilvl w:val="0"/>
          <w:numId w:val="1"/>
        </w:numPr>
        <w:spacing w:after="240"/>
        <w:ind w:left="0" w:firstLine="0"/>
        <w:jc w:val="both"/>
        <w:rPr>
          <w:color w:val="212121"/>
        </w:rPr>
      </w:pPr>
      <w:r w:rsidRPr="003F00AF">
        <w:rPr>
          <w:b/>
        </w:rPr>
        <w:t>The ENVDPL programmatic approach provided the GoP with sustained support to implement the series of reforms in a phased approach, building on the initial achievements to further the reform agenda under a clearly defined policy framework.</w:t>
      </w:r>
      <w:r w:rsidRPr="003F00AF">
        <w:t xml:space="preserve"> </w:t>
      </w:r>
      <w:r w:rsidRPr="003F00AF">
        <w:rPr>
          <w:rFonts w:eastAsiaTheme="minorEastAsia"/>
        </w:rPr>
        <w:t xml:space="preserve">ENVDPL I focused on the enactment of laws and issuance of various decrees to define roles, set environmental standards, and approve regulations to improve environmental sustainability in the mining, urban transport, and fisheries sectors. ENVDPL II built on the previous operation and supported the development and implementation of various programs, strategies, and initiatives to strengthen environmental governance and address environmental concerns in the key sectors. ENVDPL III continued the efforts to boost environmental sustainability and enhance capacity building and public participation. </w:t>
      </w:r>
    </w:p>
    <w:p w14:paraId="15C3D573" w14:textId="0C7268FF" w:rsidR="00BE2228" w:rsidRPr="003F00AF" w:rsidRDefault="008E18F4" w:rsidP="00BE2228">
      <w:pPr>
        <w:pStyle w:val="ListParagraph"/>
        <w:numPr>
          <w:ilvl w:val="0"/>
          <w:numId w:val="1"/>
        </w:numPr>
        <w:spacing w:after="240"/>
        <w:ind w:left="0" w:firstLine="0"/>
        <w:jc w:val="both"/>
        <w:rPr>
          <w:color w:val="212121"/>
        </w:rPr>
      </w:pPr>
      <w:r w:rsidRPr="003F00AF">
        <w:rPr>
          <w:b/>
          <w:color w:val="222222"/>
          <w:shd w:val="clear" w:color="auto" w:fill="FFFFFF"/>
        </w:rPr>
        <w:t xml:space="preserve">The policies supported under this DPL </w:t>
      </w:r>
      <w:r w:rsidR="00420365">
        <w:rPr>
          <w:b/>
          <w:color w:val="222222"/>
          <w:shd w:val="clear" w:color="auto" w:fill="FFFFFF"/>
        </w:rPr>
        <w:t xml:space="preserve">Program </w:t>
      </w:r>
      <w:r w:rsidRPr="003F00AF">
        <w:rPr>
          <w:b/>
        </w:rPr>
        <w:t>continue to be highly relevant for the GoP</w:t>
      </w:r>
      <w:r w:rsidRPr="003F00AF">
        <w:t xml:space="preserve">. </w:t>
      </w:r>
      <w:r w:rsidRPr="003F00AF">
        <w:rPr>
          <w:bCs/>
        </w:rPr>
        <w:t xml:space="preserve">The </w:t>
      </w:r>
      <w:r w:rsidR="003573AD">
        <w:rPr>
          <w:bCs/>
        </w:rPr>
        <w:t>ENVDPL</w:t>
      </w:r>
      <w:r w:rsidR="00131351">
        <w:rPr>
          <w:bCs/>
        </w:rPr>
        <w:t>s</w:t>
      </w:r>
      <w:r w:rsidR="003573AD">
        <w:rPr>
          <w:bCs/>
        </w:rPr>
        <w:t xml:space="preserve"> </w:t>
      </w:r>
      <w:r w:rsidRPr="003F00AF">
        <w:rPr>
          <w:bCs/>
        </w:rPr>
        <w:t>ha</w:t>
      </w:r>
      <w:r w:rsidR="00131351">
        <w:rPr>
          <w:bCs/>
        </w:rPr>
        <w:t>ve</w:t>
      </w:r>
      <w:r w:rsidRPr="003F00AF">
        <w:rPr>
          <w:bCs/>
        </w:rPr>
        <w:t xml:space="preserve"> also </w:t>
      </w:r>
      <w:r w:rsidRPr="003F00AF">
        <w:rPr>
          <w:bCs/>
          <w:color w:val="222222"/>
          <w:shd w:val="clear" w:color="auto" w:fill="FFFFFF"/>
        </w:rPr>
        <w:t xml:space="preserve">been highly effective, with the prior actions agreed resulting in significant outcomes when implemented. </w:t>
      </w:r>
      <w:r w:rsidRPr="003F00AF">
        <w:rPr>
          <w:color w:val="222222"/>
          <w:shd w:val="clear" w:color="auto" w:fill="FFFFFF"/>
        </w:rPr>
        <w:t xml:space="preserve">The policies supported under this program will contribute significantly to the economic efficiency of the GoP’s environmental management framework. </w:t>
      </w:r>
    </w:p>
    <w:p w14:paraId="0E2A210F" w14:textId="36596C2D" w:rsidR="0099311B" w:rsidRPr="003F00AF" w:rsidRDefault="008E18F4" w:rsidP="00554584">
      <w:pPr>
        <w:pStyle w:val="ListParagraph"/>
        <w:numPr>
          <w:ilvl w:val="0"/>
          <w:numId w:val="1"/>
        </w:numPr>
        <w:spacing w:after="240"/>
        <w:ind w:left="0" w:firstLine="0"/>
        <w:jc w:val="both"/>
        <w:rPr>
          <w:color w:val="212121"/>
        </w:rPr>
      </w:pPr>
      <w:r w:rsidRPr="003F00AF">
        <w:rPr>
          <w:b/>
          <w:color w:val="222222"/>
          <w:shd w:val="clear" w:color="auto" w:fill="FFFFFF"/>
        </w:rPr>
        <w:t>Out of 1</w:t>
      </w:r>
      <w:r w:rsidR="00104177">
        <w:rPr>
          <w:b/>
          <w:color w:val="222222"/>
          <w:shd w:val="clear" w:color="auto" w:fill="FFFFFF"/>
        </w:rPr>
        <w:t>1</w:t>
      </w:r>
      <w:r w:rsidRPr="003F00AF">
        <w:rPr>
          <w:b/>
          <w:color w:val="222222"/>
          <w:shd w:val="clear" w:color="auto" w:fill="FFFFFF"/>
        </w:rPr>
        <w:t xml:space="preserve"> outcome indicators for the ENVDPL</w:t>
      </w:r>
      <w:r w:rsidR="00131351">
        <w:rPr>
          <w:b/>
          <w:color w:val="222222"/>
          <w:shd w:val="clear" w:color="auto" w:fill="FFFFFF"/>
        </w:rPr>
        <w:t>s</w:t>
      </w:r>
      <w:r w:rsidRPr="003F00AF">
        <w:rPr>
          <w:b/>
          <w:color w:val="222222"/>
          <w:shd w:val="clear" w:color="auto" w:fill="FFFFFF"/>
        </w:rPr>
        <w:t xml:space="preserve">, </w:t>
      </w:r>
      <w:r w:rsidR="00104177">
        <w:rPr>
          <w:b/>
          <w:color w:val="222222"/>
          <w:shd w:val="clear" w:color="auto" w:fill="FFFFFF"/>
        </w:rPr>
        <w:t>eight</w:t>
      </w:r>
      <w:r w:rsidRPr="003F00AF">
        <w:rPr>
          <w:b/>
          <w:color w:val="222222"/>
          <w:shd w:val="clear" w:color="auto" w:fill="FFFFFF"/>
        </w:rPr>
        <w:t xml:space="preserve"> have been fully achieved and in many cases surpassed.</w:t>
      </w:r>
      <w:r w:rsidRPr="003F00AF">
        <w:rPr>
          <w:color w:val="222222"/>
          <w:shd w:val="clear" w:color="auto" w:fill="FFFFFF"/>
        </w:rPr>
        <w:t xml:space="preserve"> </w:t>
      </w:r>
      <w:r w:rsidR="0099311B" w:rsidRPr="003F00AF">
        <w:rPr>
          <w:color w:val="222222"/>
          <w:shd w:val="clear" w:color="auto" w:fill="FFFFFF"/>
        </w:rPr>
        <w:t xml:space="preserve">The target review of PDO Indicators 1, </w:t>
      </w:r>
      <w:r w:rsidR="007A6C9A">
        <w:rPr>
          <w:color w:val="222222"/>
          <w:shd w:val="clear" w:color="auto" w:fill="FFFFFF"/>
        </w:rPr>
        <w:t>9</w:t>
      </w:r>
      <w:r w:rsidR="0099311B" w:rsidRPr="003F00AF">
        <w:rPr>
          <w:color w:val="222222"/>
          <w:shd w:val="clear" w:color="auto" w:fill="FFFFFF"/>
        </w:rPr>
        <w:t xml:space="preserve"> and 1</w:t>
      </w:r>
      <w:r w:rsidR="007A6C9A">
        <w:rPr>
          <w:color w:val="222222"/>
          <w:shd w:val="clear" w:color="auto" w:fill="FFFFFF"/>
        </w:rPr>
        <w:t>1</w:t>
      </w:r>
      <w:r w:rsidR="0099311B" w:rsidRPr="003F00AF">
        <w:rPr>
          <w:color w:val="222222"/>
          <w:shd w:val="clear" w:color="auto" w:fill="FFFFFF"/>
        </w:rPr>
        <w:t xml:space="preserve"> did not prevent the GoP </w:t>
      </w:r>
      <w:r w:rsidR="00104177">
        <w:rPr>
          <w:color w:val="222222"/>
          <w:shd w:val="clear" w:color="auto" w:fill="FFFFFF"/>
        </w:rPr>
        <w:t>from</w:t>
      </w:r>
      <w:r w:rsidR="0099311B" w:rsidRPr="003F00AF">
        <w:rPr>
          <w:color w:val="222222"/>
          <w:shd w:val="clear" w:color="auto" w:fill="FFFFFF"/>
        </w:rPr>
        <w:t xml:space="preserve"> achieving the program’s objectives. The GoP surpassed </w:t>
      </w:r>
      <w:r w:rsidR="006E37F7" w:rsidRPr="003F00AF">
        <w:rPr>
          <w:color w:val="222222"/>
          <w:shd w:val="clear" w:color="auto" w:fill="FFFFFF"/>
        </w:rPr>
        <w:t xml:space="preserve">both </w:t>
      </w:r>
      <w:r w:rsidR="0099311B" w:rsidRPr="003F00AF">
        <w:rPr>
          <w:color w:val="222222"/>
          <w:shd w:val="clear" w:color="auto" w:fill="FFFFFF"/>
        </w:rPr>
        <w:t xml:space="preserve">the original </w:t>
      </w:r>
      <w:r w:rsidR="006E37F7" w:rsidRPr="003F00AF">
        <w:rPr>
          <w:color w:val="222222"/>
          <w:shd w:val="clear" w:color="auto" w:fill="FFFFFF"/>
        </w:rPr>
        <w:t xml:space="preserve">and revised </w:t>
      </w:r>
      <w:r w:rsidR="0099311B" w:rsidRPr="003F00AF">
        <w:rPr>
          <w:color w:val="222222"/>
          <w:shd w:val="clear" w:color="auto" w:fill="FFFFFF"/>
        </w:rPr>
        <w:t>target</w:t>
      </w:r>
      <w:r w:rsidR="006E37F7" w:rsidRPr="003F00AF">
        <w:rPr>
          <w:color w:val="222222"/>
          <w:shd w:val="clear" w:color="auto" w:fill="FFFFFF"/>
        </w:rPr>
        <w:t>s</w:t>
      </w:r>
      <w:r w:rsidR="0099311B" w:rsidRPr="003F00AF">
        <w:rPr>
          <w:color w:val="222222"/>
          <w:shd w:val="clear" w:color="auto" w:fill="FFFFFF"/>
        </w:rPr>
        <w:t xml:space="preserve"> of PDO Indicator</w:t>
      </w:r>
      <w:r w:rsidR="006E37F7" w:rsidRPr="003F00AF">
        <w:rPr>
          <w:color w:val="222222"/>
          <w:shd w:val="clear" w:color="auto" w:fill="FFFFFF"/>
        </w:rPr>
        <w:t>s</w:t>
      </w:r>
      <w:r w:rsidR="0099311B" w:rsidRPr="003F00AF">
        <w:rPr>
          <w:color w:val="222222"/>
          <w:shd w:val="clear" w:color="auto" w:fill="FFFFFF"/>
        </w:rPr>
        <w:t xml:space="preserve"> 1 and </w:t>
      </w:r>
      <w:r w:rsidR="00ED4535">
        <w:rPr>
          <w:color w:val="222222"/>
          <w:shd w:val="clear" w:color="auto" w:fill="FFFFFF"/>
        </w:rPr>
        <w:t>9</w:t>
      </w:r>
      <w:r w:rsidR="0099311B" w:rsidRPr="003F00AF">
        <w:rPr>
          <w:color w:val="222222"/>
          <w:shd w:val="clear" w:color="auto" w:fill="FFFFFF"/>
        </w:rPr>
        <w:t xml:space="preserve">. </w:t>
      </w:r>
      <w:r w:rsidR="00BE2228" w:rsidRPr="003F00AF">
        <w:rPr>
          <w:color w:val="222222"/>
          <w:shd w:val="clear" w:color="auto" w:fill="FFFFFF"/>
        </w:rPr>
        <w:t xml:space="preserve">Although the GoP did not achieve the target of </w:t>
      </w:r>
      <w:r w:rsidR="0099311B" w:rsidRPr="003F00AF">
        <w:rPr>
          <w:color w:val="222222"/>
          <w:shd w:val="clear" w:color="auto" w:fill="FFFFFF"/>
        </w:rPr>
        <w:t xml:space="preserve">PDO Indicator </w:t>
      </w:r>
      <w:r w:rsidR="00ED4535">
        <w:rPr>
          <w:color w:val="222222"/>
          <w:shd w:val="clear" w:color="auto" w:fill="FFFFFF"/>
        </w:rPr>
        <w:t>11</w:t>
      </w:r>
      <w:r w:rsidR="00BE2228" w:rsidRPr="003F00AF">
        <w:rPr>
          <w:color w:val="222222"/>
          <w:shd w:val="clear" w:color="auto" w:fill="FFFFFF"/>
        </w:rPr>
        <w:t xml:space="preserve">, FONCOPES benefited </w:t>
      </w:r>
      <w:r w:rsidR="00BE2228" w:rsidRPr="003F00AF">
        <w:rPr>
          <w:color w:val="212121"/>
          <w:lang w:val="en"/>
        </w:rPr>
        <w:t>2,078 out of 2,283 workers (91 percent) who voluntarily left the sector, by assisting them in reemployment programs and advi</w:t>
      </w:r>
      <w:r w:rsidR="000C5E68">
        <w:rPr>
          <w:color w:val="212121"/>
          <w:lang w:val="en"/>
        </w:rPr>
        <w:t>sory services</w:t>
      </w:r>
      <w:r w:rsidR="00BE2228" w:rsidRPr="003F00AF">
        <w:rPr>
          <w:color w:val="212121"/>
          <w:lang w:val="en"/>
        </w:rPr>
        <w:t xml:space="preserve"> to start small businesses. The main challenge was to achieve PDO Indicator</w:t>
      </w:r>
      <w:r w:rsidR="00ED4535">
        <w:rPr>
          <w:color w:val="212121"/>
          <w:lang w:val="en"/>
        </w:rPr>
        <w:t>s</w:t>
      </w:r>
      <w:r w:rsidR="00BE2228" w:rsidRPr="003F00AF">
        <w:rPr>
          <w:color w:val="212121"/>
          <w:lang w:val="en"/>
        </w:rPr>
        <w:t xml:space="preserve"> 3 and </w:t>
      </w:r>
      <w:r w:rsidR="00ED4535">
        <w:rPr>
          <w:color w:val="212121"/>
          <w:lang w:val="en"/>
        </w:rPr>
        <w:t>4</w:t>
      </w:r>
      <w:r w:rsidR="00BE2228" w:rsidRPr="003F00AF">
        <w:rPr>
          <w:color w:val="212121"/>
          <w:lang w:val="en"/>
        </w:rPr>
        <w:t xml:space="preserve"> because of shortcomings in the program design. However, these</w:t>
      </w:r>
      <w:r w:rsidR="006E37F7" w:rsidRPr="003F00AF">
        <w:rPr>
          <w:color w:val="212121"/>
          <w:lang w:val="en"/>
        </w:rPr>
        <w:t xml:space="preserve"> two</w:t>
      </w:r>
      <w:r w:rsidR="003F2A1D" w:rsidRPr="003F00AF">
        <w:rPr>
          <w:color w:val="212121"/>
          <w:lang w:val="en"/>
        </w:rPr>
        <w:t xml:space="preserve"> indicators</w:t>
      </w:r>
      <w:r w:rsidRPr="003F00AF">
        <w:rPr>
          <w:color w:val="222222"/>
          <w:shd w:val="clear" w:color="auto" w:fill="FFFFFF"/>
        </w:rPr>
        <w:t xml:space="preserve"> have been nearly achieved: (a) air quality contingency plans were developed for Ilo, La Oroya, and Arequipa, and Lima and Chimbote are in the process of </w:t>
      </w:r>
      <w:r w:rsidR="000C5E68">
        <w:rPr>
          <w:color w:val="222222"/>
          <w:shd w:val="clear" w:color="auto" w:fill="FFFFFF"/>
        </w:rPr>
        <w:t>developing</w:t>
      </w:r>
      <w:r w:rsidRPr="003F00AF">
        <w:rPr>
          <w:color w:val="222222"/>
          <w:shd w:val="clear" w:color="auto" w:fill="FFFFFF"/>
        </w:rPr>
        <w:t xml:space="preserve"> their contingency plans; and (b) SENAMHI </w:t>
      </w:r>
      <w:r w:rsidR="006E37F7" w:rsidRPr="003F00AF">
        <w:rPr>
          <w:color w:val="222222"/>
          <w:shd w:val="clear" w:color="auto" w:fill="FFFFFF"/>
        </w:rPr>
        <w:t xml:space="preserve">and DIGESA </w:t>
      </w:r>
      <w:r w:rsidRPr="003F00AF">
        <w:rPr>
          <w:color w:val="222222"/>
          <w:shd w:val="clear" w:color="auto" w:fill="FFFFFF"/>
        </w:rPr>
        <w:t xml:space="preserve">publishes air </w:t>
      </w:r>
      <w:r w:rsidR="006E37F7" w:rsidRPr="003F00AF">
        <w:rPr>
          <w:color w:val="222222"/>
          <w:shd w:val="clear" w:color="auto" w:fill="FFFFFF"/>
        </w:rPr>
        <w:t>quality information independently</w:t>
      </w:r>
      <w:r w:rsidR="003F2A1D" w:rsidRPr="003F00AF">
        <w:rPr>
          <w:color w:val="222222"/>
          <w:shd w:val="clear" w:color="auto" w:fill="FFFFFF"/>
        </w:rPr>
        <w:t>, through their own webpages</w:t>
      </w:r>
      <w:r w:rsidR="006E37F7" w:rsidRPr="003F00AF">
        <w:rPr>
          <w:color w:val="222222"/>
          <w:shd w:val="clear" w:color="auto" w:fill="FFFFFF"/>
        </w:rPr>
        <w:t>.</w:t>
      </w:r>
      <w:r w:rsidRPr="003F00AF">
        <w:rPr>
          <w:color w:val="222222"/>
          <w:shd w:val="clear" w:color="auto" w:fill="FFFFFF"/>
        </w:rPr>
        <w:t xml:space="preserve"> </w:t>
      </w:r>
      <w:r w:rsidR="00104177">
        <w:rPr>
          <w:color w:val="222222"/>
          <w:shd w:val="clear" w:color="auto" w:fill="FFFFFF"/>
        </w:rPr>
        <w:t>Therefore</w:t>
      </w:r>
      <w:r w:rsidR="00BE2228" w:rsidRPr="003F00AF">
        <w:rPr>
          <w:color w:val="222222"/>
          <w:shd w:val="clear" w:color="auto" w:fill="FFFFFF"/>
        </w:rPr>
        <w:t>, the GoP achieved the program’s outcomes, objectives and sub-objectives.</w:t>
      </w:r>
    </w:p>
    <w:p w14:paraId="3E3BC4E9" w14:textId="45F75F8D" w:rsidR="008E18F4" w:rsidRPr="003F00AF" w:rsidRDefault="008E18F4" w:rsidP="008E18F4">
      <w:pPr>
        <w:pStyle w:val="ListParagraph"/>
        <w:keepNext/>
        <w:keepLines/>
        <w:spacing w:after="240"/>
        <w:ind w:left="0"/>
        <w:rPr>
          <w:i/>
        </w:rPr>
      </w:pPr>
      <w:bookmarkStart w:id="114" w:name="_Toc448507212"/>
      <w:bookmarkStart w:id="115" w:name="_Toc448507374"/>
      <w:r w:rsidRPr="003F00AF">
        <w:rPr>
          <w:i/>
        </w:rPr>
        <w:t>3.4</w:t>
      </w:r>
      <w:r w:rsidR="00BA4AEC" w:rsidRPr="003F00AF">
        <w:rPr>
          <w:i/>
        </w:rPr>
        <w:tab/>
      </w:r>
      <w:r w:rsidRPr="003F00AF">
        <w:rPr>
          <w:i/>
        </w:rPr>
        <w:t>Overarching Themes, Other Outcomes and Impacts</w:t>
      </w:r>
      <w:bookmarkEnd w:id="114"/>
      <w:bookmarkEnd w:id="115"/>
    </w:p>
    <w:p w14:paraId="15FDE2AF" w14:textId="759DFF9B" w:rsidR="008E18F4" w:rsidRPr="003F00AF" w:rsidRDefault="00BA4AEC" w:rsidP="00BA4AEC">
      <w:pPr>
        <w:pStyle w:val="ListParagraph"/>
        <w:keepNext/>
        <w:keepLines/>
        <w:spacing w:after="240"/>
        <w:ind w:left="0"/>
        <w:rPr>
          <w:i/>
        </w:rPr>
      </w:pPr>
      <w:r w:rsidRPr="003F00AF">
        <w:rPr>
          <w:i/>
        </w:rPr>
        <w:t>(a)</w:t>
      </w:r>
      <w:r w:rsidRPr="003F00AF">
        <w:rPr>
          <w:i/>
        </w:rPr>
        <w:tab/>
      </w:r>
      <w:r w:rsidR="008E18F4" w:rsidRPr="003F00AF">
        <w:rPr>
          <w:i/>
        </w:rPr>
        <w:t>Poverty Impacts, Gender Aspects, and Social Development</w:t>
      </w:r>
    </w:p>
    <w:p w14:paraId="47EE045A" w14:textId="39E5B1C1" w:rsidR="008E18F4" w:rsidRPr="003F00AF" w:rsidRDefault="008E18F4" w:rsidP="00554584">
      <w:pPr>
        <w:pStyle w:val="ListParagraph"/>
        <w:numPr>
          <w:ilvl w:val="0"/>
          <w:numId w:val="1"/>
        </w:numPr>
        <w:spacing w:after="240"/>
        <w:ind w:left="0" w:firstLine="0"/>
        <w:jc w:val="both"/>
        <w:rPr>
          <w:rFonts w:eastAsiaTheme="minorEastAsia"/>
        </w:rPr>
      </w:pPr>
      <w:r w:rsidRPr="003F00AF">
        <w:rPr>
          <w:rFonts w:eastAsiaTheme="minorEastAsia"/>
          <w:b/>
          <w:bCs/>
        </w:rPr>
        <w:t xml:space="preserve">Health impacts associated with environmental degradation disproportionately impact the poor—they are as much as 75 percent higher </w:t>
      </w:r>
      <w:r w:rsidR="00CF677E" w:rsidRPr="003F00AF">
        <w:rPr>
          <w:rFonts w:eastAsiaTheme="minorEastAsia"/>
          <w:b/>
          <w:bCs/>
        </w:rPr>
        <w:t>for</w:t>
      </w:r>
      <w:r w:rsidRPr="003F00AF">
        <w:rPr>
          <w:rFonts w:eastAsiaTheme="minorEastAsia"/>
          <w:b/>
          <w:bCs/>
        </w:rPr>
        <w:t xml:space="preserve"> impacts from urban air pollution in Lima-Callao and as much as three times higher </w:t>
      </w:r>
      <w:r w:rsidR="00CF677E" w:rsidRPr="003F00AF">
        <w:rPr>
          <w:rFonts w:eastAsiaTheme="minorEastAsia"/>
          <w:b/>
          <w:bCs/>
        </w:rPr>
        <w:t>for</w:t>
      </w:r>
      <w:r w:rsidRPr="003F00AF">
        <w:rPr>
          <w:rFonts w:eastAsiaTheme="minorEastAsia"/>
          <w:b/>
          <w:bCs/>
        </w:rPr>
        <w:t xml:space="preserve"> impacts from inadequate water supply, sanitation, and hygiene. </w:t>
      </w:r>
      <w:r w:rsidRPr="003F00AF">
        <w:rPr>
          <w:rFonts w:eastAsiaTheme="minorEastAsia"/>
        </w:rPr>
        <w:t xml:space="preserve">Policy reforms in </w:t>
      </w:r>
      <w:r w:rsidR="0071177B">
        <w:rPr>
          <w:rFonts w:eastAsiaTheme="minorEastAsia"/>
        </w:rPr>
        <w:t xml:space="preserve">Peru’s environmental quality standards and other relevant environmental management issues, as well as in </w:t>
      </w:r>
      <w:r w:rsidRPr="003F00AF">
        <w:rPr>
          <w:rFonts w:eastAsiaTheme="minorEastAsia"/>
        </w:rPr>
        <w:t>the mining, and urban transport sectors</w:t>
      </w:r>
      <w:r w:rsidR="0071177B">
        <w:rPr>
          <w:rFonts w:eastAsiaTheme="minorEastAsia"/>
        </w:rPr>
        <w:t>,</w:t>
      </w:r>
      <w:r w:rsidRPr="003F00AF">
        <w:rPr>
          <w:rFonts w:eastAsiaTheme="minorEastAsia"/>
        </w:rPr>
        <w:t xml:space="preserve"> lead to improvements in air and water quality, with consequent decreases in morbidity and mortality from diarrheal diseases, acute respiratory illnesses, and other health risks </w:t>
      </w:r>
      <w:r w:rsidR="003F2A1D" w:rsidRPr="003F00AF">
        <w:rPr>
          <w:rFonts w:eastAsiaTheme="minorEastAsia"/>
        </w:rPr>
        <w:t xml:space="preserve">that disproportionally affect the poorest and most vulnerable groups (such as children under five years old), as well as a </w:t>
      </w:r>
      <w:r w:rsidRPr="003F00AF">
        <w:rPr>
          <w:rFonts w:eastAsiaTheme="minorEastAsia"/>
        </w:rPr>
        <w:t>reduction in the economic burden from health costs. By supporting such reforms, the ENVDPL program had a direct effect on poverty reduction.</w:t>
      </w:r>
    </w:p>
    <w:p w14:paraId="1129D40E" w14:textId="4DA6C425" w:rsidR="008E18F4" w:rsidRPr="003F00AF" w:rsidRDefault="008E18F4" w:rsidP="008E18F4">
      <w:pPr>
        <w:pStyle w:val="ListParagraph"/>
        <w:numPr>
          <w:ilvl w:val="0"/>
          <w:numId w:val="1"/>
        </w:numPr>
        <w:spacing w:after="240"/>
        <w:ind w:left="0" w:firstLine="0"/>
        <w:jc w:val="both"/>
        <w:rPr>
          <w:rFonts w:eastAsiaTheme="minorEastAsia"/>
          <w:b/>
          <w:bCs/>
        </w:rPr>
      </w:pPr>
      <w:r w:rsidRPr="003F00AF">
        <w:rPr>
          <w:rFonts w:eastAsiaTheme="minorEastAsia"/>
          <w:b/>
          <w:bCs/>
        </w:rPr>
        <w:t>Activities supported by the Peru ENVDPL</w:t>
      </w:r>
      <w:r w:rsidR="00131351">
        <w:rPr>
          <w:rFonts w:eastAsiaTheme="minorEastAsia"/>
          <w:b/>
          <w:bCs/>
        </w:rPr>
        <w:t xml:space="preserve">s </w:t>
      </w:r>
      <w:r w:rsidRPr="003F00AF">
        <w:rPr>
          <w:rFonts w:eastAsiaTheme="minorEastAsia"/>
          <w:b/>
          <w:bCs/>
        </w:rPr>
        <w:t>had positive social impacts, particularly in reducing adverse impacts on people’s health</w:t>
      </w:r>
      <w:r w:rsidRPr="003F00AF">
        <w:rPr>
          <w:rFonts w:eastAsiaTheme="minorEastAsia"/>
          <w:b/>
        </w:rPr>
        <w:t>.</w:t>
      </w:r>
      <w:r w:rsidRPr="003F00AF">
        <w:rPr>
          <w:rFonts w:eastAsiaTheme="minorEastAsia"/>
        </w:rPr>
        <w:t xml:space="preserve"> Examples include interventions in the mining sector relating to</w:t>
      </w:r>
      <w:r w:rsidRPr="003F00AF">
        <w:rPr>
          <w:rFonts w:eastAsiaTheme="minorEastAsia"/>
          <w:b/>
          <w:bCs/>
        </w:rPr>
        <w:t xml:space="preserve"> </w:t>
      </w:r>
      <w:r w:rsidRPr="003F00AF">
        <w:rPr>
          <w:rFonts w:eastAsiaTheme="minorEastAsia"/>
        </w:rPr>
        <w:t>actions to be undertaken to clean up environmental legacies, enhanced community monitoring,</w:t>
      </w:r>
      <w:r w:rsidRPr="003F00AF">
        <w:rPr>
          <w:rFonts w:eastAsiaTheme="minorEastAsia"/>
          <w:b/>
          <w:bCs/>
        </w:rPr>
        <w:t xml:space="preserve"> </w:t>
      </w:r>
      <w:r w:rsidRPr="003F00AF">
        <w:rPr>
          <w:rFonts w:eastAsiaTheme="minorEastAsia"/>
        </w:rPr>
        <w:t>clean air initiatives relating to the approval of MPLs,</w:t>
      </w:r>
      <w:r w:rsidRPr="003F00AF">
        <w:rPr>
          <w:rFonts w:eastAsiaTheme="minorEastAsia"/>
          <w:b/>
          <w:bCs/>
        </w:rPr>
        <w:t xml:space="preserve"> </w:t>
      </w:r>
      <w:r w:rsidRPr="003F00AF">
        <w:rPr>
          <w:rFonts w:eastAsiaTheme="minorEastAsia"/>
        </w:rPr>
        <w:t>and the improvement in fuel use.</w:t>
      </w:r>
    </w:p>
    <w:p w14:paraId="0CB8CB05" w14:textId="393CE4B6" w:rsidR="008E18F4" w:rsidRPr="003F00AF" w:rsidRDefault="008E18F4" w:rsidP="008E18F4">
      <w:pPr>
        <w:pStyle w:val="ListParagraph"/>
        <w:numPr>
          <w:ilvl w:val="0"/>
          <w:numId w:val="1"/>
        </w:numPr>
        <w:spacing w:after="240"/>
        <w:ind w:left="0" w:firstLine="0"/>
        <w:jc w:val="both"/>
        <w:rPr>
          <w:rFonts w:eastAsiaTheme="minorEastAsia"/>
        </w:rPr>
      </w:pPr>
      <w:r w:rsidRPr="003F00AF">
        <w:rPr>
          <w:rFonts w:eastAsiaTheme="minorEastAsia"/>
          <w:b/>
          <w:bCs/>
        </w:rPr>
        <w:t xml:space="preserve">The operations supported actions related to the cleanup of environmental legacies in the mining sector, resulting in positive social impacts from decontaminating water sources, soils, and air and consequent beneficial impacts on public health and job creation. </w:t>
      </w:r>
      <w:r w:rsidRPr="003F00AF">
        <w:rPr>
          <w:rFonts w:eastAsiaTheme="minorEastAsia"/>
        </w:rPr>
        <w:t xml:space="preserve">During implementation of ENVDPL I, MEM prepared a management plan for environmental legacies that includes a program for updating the inventory and a strategy for prioritizing MELs and remediating them. </w:t>
      </w:r>
    </w:p>
    <w:p w14:paraId="28513F8E" w14:textId="5D3769EE" w:rsidR="008E18F4" w:rsidRPr="003F00AF" w:rsidRDefault="008E18F4" w:rsidP="008E18F4">
      <w:pPr>
        <w:pStyle w:val="ListParagraph"/>
        <w:numPr>
          <w:ilvl w:val="0"/>
          <w:numId w:val="1"/>
        </w:numPr>
        <w:spacing w:after="240"/>
        <w:ind w:left="0" w:firstLine="0"/>
        <w:jc w:val="both"/>
        <w:rPr>
          <w:rFonts w:eastAsiaTheme="minorEastAsia"/>
        </w:rPr>
      </w:pPr>
      <w:r w:rsidRPr="003F00AF">
        <w:rPr>
          <w:rFonts w:eastAsiaTheme="minorEastAsia"/>
          <w:b/>
          <w:bCs/>
        </w:rPr>
        <w:t xml:space="preserve">The DPL also supported participation of locally affected communities, including indigenous communities, in the monitoring of the mining industry. </w:t>
      </w:r>
      <w:r w:rsidRPr="003F00AF">
        <w:rPr>
          <w:rFonts w:eastAsiaTheme="minorEastAsia"/>
        </w:rPr>
        <w:t>These participatory processes were developed in a tripartite fashion</w:t>
      </w:r>
      <w:r w:rsidR="000C5E68">
        <w:rPr>
          <w:rFonts w:eastAsiaTheme="minorEastAsia"/>
        </w:rPr>
        <w:t>,</w:t>
      </w:r>
      <w:r w:rsidRPr="003F00AF">
        <w:rPr>
          <w:rFonts w:eastAsiaTheme="minorEastAsia"/>
        </w:rPr>
        <w:t xml:space="preserve"> including the affected communities, industry, and Government. In some regions, the International Finance Corporation provided capacity building for this purpose. </w:t>
      </w:r>
    </w:p>
    <w:p w14:paraId="50000207" w14:textId="1F1A635D" w:rsidR="008E18F4" w:rsidRPr="003F00AF" w:rsidRDefault="008E18F4" w:rsidP="008E18F4">
      <w:pPr>
        <w:pStyle w:val="ListParagraph"/>
        <w:numPr>
          <w:ilvl w:val="0"/>
          <w:numId w:val="1"/>
        </w:numPr>
        <w:spacing w:after="240"/>
        <w:ind w:left="0" w:firstLine="0"/>
        <w:jc w:val="both"/>
        <w:rPr>
          <w:rFonts w:eastAsiaTheme="minorEastAsia"/>
          <w:b/>
          <w:bCs/>
        </w:rPr>
      </w:pPr>
      <w:r w:rsidRPr="003F00AF">
        <w:rPr>
          <w:rFonts w:eastAsiaTheme="minorEastAsia"/>
          <w:b/>
          <w:bCs/>
        </w:rPr>
        <w:t xml:space="preserve">In addition, the Government’s reform program in the fisheries sector includes provisions for social protection for workers likely to be affected by the </w:t>
      </w:r>
      <w:r w:rsidRPr="003F00AF">
        <w:rPr>
          <w:rFonts w:eastAsiaTheme="minorEastAsia"/>
          <w:b/>
          <w:bCs/>
          <w:i/>
        </w:rPr>
        <w:t>anchoveta</w:t>
      </w:r>
      <w:r w:rsidRPr="003F00AF">
        <w:rPr>
          <w:rFonts w:eastAsiaTheme="minorEastAsia"/>
          <w:b/>
          <w:bCs/>
        </w:rPr>
        <w:t xml:space="preserve"> fleet reduction, </w:t>
      </w:r>
      <w:r w:rsidR="000C5E68">
        <w:rPr>
          <w:rFonts w:eastAsiaTheme="minorEastAsia"/>
          <w:b/>
          <w:bCs/>
        </w:rPr>
        <w:t xml:space="preserve">which was </w:t>
      </w:r>
      <w:r w:rsidRPr="003F00AF">
        <w:rPr>
          <w:rFonts w:eastAsiaTheme="minorEastAsia"/>
          <w:b/>
          <w:bCs/>
        </w:rPr>
        <w:t xml:space="preserve">supported under the program. </w:t>
      </w:r>
      <w:r w:rsidRPr="003F00AF">
        <w:rPr>
          <w:rFonts w:eastAsiaTheme="minorEastAsia"/>
          <w:bCs/>
        </w:rPr>
        <w:t>Among the social benefits imbedded in Legislative Decree No. 1084 is the ban on firing crew members and the fact that only voluntary retirements and rotation of workers are allowed.</w:t>
      </w:r>
      <w:r w:rsidRPr="003F00AF">
        <w:rPr>
          <w:rFonts w:eastAsiaTheme="minorEastAsia"/>
          <w:b/>
          <w:bCs/>
        </w:rPr>
        <w:t xml:space="preserve"> </w:t>
      </w:r>
      <w:r w:rsidRPr="003F00AF">
        <w:rPr>
          <w:rFonts w:eastAsiaTheme="minorEastAsia"/>
        </w:rPr>
        <w:t xml:space="preserve">Another benefit is the creation of FONCOPES to </w:t>
      </w:r>
      <w:r w:rsidR="000C5E68">
        <w:rPr>
          <w:rFonts w:eastAsiaTheme="minorEastAsia"/>
        </w:rPr>
        <w:t>support</w:t>
      </w:r>
      <w:r w:rsidRPr="003F00AF">
        <w:rPr>
          <w:rFonts w:eastAsiaTheme="minorEastAsia"/>
        </w:rPr>
        <w:t xml:space="preserve"> dismissed workers in </w:t>
      </w:r>
      <w:r w:rsidR="000C5E68">
        <w:rPr>
          <w:rFonts w:eastAsiaTheme="minorEastAsia"/>
        </w:rPr>
        <w:t xml:space="preserve">accessing </w:t>
      </w:r>
      <w:r w:rsidRPr="003F00AF">
        <w:rPr>
          <w:rFonts w:eastAsiaTheme="minorEastAsia"/>
        </w:rPr>
        <w:t xml:space="preserve">reemployment programs and </w:t>
      </w:r>
      <w:r w:rsidR="000C5E68">
        <w:rPr>
          <w:rFonts w:eastAsiaTheme="minorEastAsia"/>
        </w:rPr>
        <w:t>foster</w:t>
      </w:r>
      <w:r w:rsidRPr="003F00AF">
        <w:rPr>
          <w:rFonts w:eastAsiaTheme="minorEastAsia"/>
        </w:rPr>
        <w:t xml:space="preserve"> small businesses. The fund—financed exclusively by the private sector—has collected US$38.7 million, which were used to assist workers who voluntarily left the sector.</w:t>
      </w:r>
    </w:p>
    <w:p w14:paraId="2B5A9F69" w14:textId="681614A0" w:rsidR="008E18F4" w:rsidRPr="003F00AF" w:rsidRDefault="001375CA" w:rsidP="001375CA">
      <w:pPr>
        <w:pStyle w:val="ListParagraph"/>
        <w:keepNext/>
        <w:keepLines/>
        <w:spacing w:after="240"/>
        <w:ind w:left="0"/>
        <w:rPr>
          <w:i/>
        </w:rPr>
      </w:pPr>
      <w:r w:rsidRPr="003F00AF">
        <w:rPr>
          <w:i/>
        </w:rPr>
        <w:t>(b)</w:t>
      </w:r>
      <w:r w:rsidRPr="003F00AF">
        <w:rPr>
          <w:i/>
        </w:rPr>
        <w:tab/>
      </w:r>
      <w:r w:rsidR="008E18F4" w:rsidRPr="003F00AF">
        <w:rPr>
          <w:i/>
        </w:rPr>
        <w:t>Institutional Change/Strengthening (</w:t>
      </w:r>
      <w:r w:rsidRPr="003F00AF">
        <w:rPr>
          <w:i/>
        </w:rPr>
        <w:t>P</w:t>
      </w:r>
      <w:r w:rsidR="008E18F4" w:rsidRPr="003F00AF">
        <w:rPr>
          <w:i/>
        </w:rPr>
        <w:t xml:space="preserve">articularly with </w:t>
      </w:r>
      <w:r w:rsidRPr="003F00AF">
        <w:rPr>
          <w:i/>
        </w:rPr>
        <w:t>R</w:t>
      </w:r>
      <w:r w:rsidR="008E18F4" w:rsidRPr="003F00AF">
        <w:rPr>
          <w:i/>
        </w:rPr>
        <w:t xml:space="preserve">eference to </w:t>
      </w:r>
      <w:r w:rsidRPr="003F00AF">
        <w:rPr>
          <w:i/>
        </w:rPr>
        <w:t>I</w:t>
      </w:r>
      <w:r w:rsidR="008E18F4" w:rsidRPr="003F00AF">
        <w:rPr>
          <w:i/>
        </w:rPr>
        <w:t xml:space="preserve">mpacts on </w:t>
      </w:r>
      <w:r w:rsidRPr="003F00AF">
        <w:rPr>
          <w:i/>
        </w:rPr>
        <w:t>L</w:t>
      </w:r>
      <w:r w:rsidR="008E18F4" w:rsidRPr="003F00AF">
        <w:rPr>
          <w:i/>
        </w:rPr>
        <w:t xml:space="preserve">onger-term </w:t>
      </w:r>
      <w:r w:rsidRPr="003F00AF">
        <w:rPr>
          <w:i/>
        </w:rPr>
        <w:t>C</w:t>
      </w:r>
      <w:r w:rsidR="008E18F4" w:rsidRPr="003F00AF">
        <w:rPr>
          <w:i/>
        </w:rPr>
        <w:t xml:space="preserve">apacity and </w:t>
      </w:r>
      <w:r w:rsidRPr="003F00AF">
        <w:rPr>
          <w:i/>
        </w:rPr>
        <w:t>I</w:t>
      </w:r>
      <w:r w:rsidR="008E18F4" w:rsidRPr="003F00AF">
        <w:rPr>
          <w:i/>
        </w:rPr>
        <w:t xml:space="preserve">nstitutional </w:t>
      </w:r>
      <w:r w:rsidRPr="003F00AF">
        <w:rPr>
          <w:i/>
        </w:rPr>
        <w:t>D</w:t>
      </w:r>
      <w:r w:rsidR="008E18F4" w:rsidRPr="003F00AF">
        <w:rPr>
          <w:i/>
        </w:rPr>
        <w:t>evelopment)</w:t>
      </w:r>
    </w:p>
    <w:p w14:paraId="4EA242F4" w14:textId="2D2C1DD9" w:rsidR="008E18F4" w:rsidRPr="003F00AF" w:rsidRDefault="008E18F4" w:rsidP="008E18F4">
      <w:pPr>
        <w:pStyle w:val="ListParagraph"/>
        <w:numPr>
          <w:ilvl w:val="0"/>
          <w:numId w:val="1"/>
        </w:numPr>
        <w:spacing w:after="240"/>
        <w:ind w:left="0" w:firstLine="0"/>
        <w:jc w:val="both"/>
      </w:pPr>
      <w:r w:rsidRPr="003F00AF">
        <w:rPr>
          <w:b/>
        </w:rPr>
        <w:t xml:space="preserve">The ENVDPLs had a significant impact </w:t>
      </w:r>
      <w:r w:rsidR="00CF677E" w:rsidRPr="003F00AF">
        <w:rPr>
          <w:b/>
        </w:rPr>
        <w:t>on</w:t>
      </w:r>
      <w:r w:rsidRPr="003F00AF">
        <w:rPr>
          <w:b/>
        </w:rPr>
        <w:t xml:space="preserve"> strengthening the GoP’s capacity to design and implement policy reforms aimed at enhancing environmental management, as well as to mainstream sustainable development principles in key economic sectors.</w:t>
      </w:r>
      <w:r w:rsidRPr="003F00AF">
        <w:t xml:space="preserve"> </w:t>
      </w:r>
      <w:r w:rsidR="006716BF">
        <w:t>Following</w:t>
      </w:r>
      <w:r w:rsidRPr="003F00AF">
        <w:t xml:space="preserve"> the </w:t>
      </w:r>
      <w:r w:rsidR="006716BF">
        <w:t xml:space="preserve">completion of the </w:t>
      </w:r>
      <w:r w:rsidRPr="003F00AF">
        <w:t xml:space="preserve">DPL series, the GoP continues to adopt further policies to strengthen the country’s environmental management framework and improve environmental sustainability in key economic sectors, thereby demonstrating country ownership and bolstered capacity to design and implement policy improvements. As a result of the GoP’s election of a DDO for the first operation, the World Bank has been able to monitor the GoP’s progress in these areas for over six years. During this entire period, policies have been </w:t>
      </w:r>
      <w:r w:rsidR="009643D5">
        <w:t>consistently</w:t>
      </w:r>
      <w:r w:rsidR="009643D5" w:rsidRPr="003F00AF">
        <w:t xml:space="preserve"> </w:t>
      </w:r>
      <w:r w:rsidRPr="003F00AF">
        <w:t xml:space="preserve">implemented and improved. </w:t>
      </w:r>
    </w:p>
    <w:p w14:paraId="41EF733E" w14:textId="3C34DA6E" w:rsidR="008E18F4" w:rsidRPr="003F00AF" w:rsidRDefault="001375CA" w:rsidP="001375CA">
      <w:pPr>
        <w:pStyle w:val="ListParagraph"/>
        <w:keepNext/>
        <w:keepLines/>
        <w:spacing w:after="240"/>
        <w:ind w:left="0"/>
        <w:rPr>
          <w:i/>
        </w:rPr>
      </w:pPr>
      <w:r w:rsidRPr="003F00AF">
        <w:rPr>
          <w:i/>
        </w:rPr>
        <w:t>(c)</w:t>
      </w:r>
      <w:r w:rsidRPr="003F00AF">
        <w:rPr>
          <w:i/>
        </w:rPr>
        <w:tab/>
      </w:r>
      <w:r w:rsidR="008E18F4" w:rsidRPr="003F00AF">
        <w:rPr>
          <w:i/>
        </w:rPr>
        <w:t xml:space="preserve">Other Unintended Outcomes and Impacts (Positive or Negative) </w:t>
      </w:r>
    </w:p>
    <w:p w14:paraId="1A24DAE2" w14:textId="200CE8DE" w:rsidR="008E18F4" w:rsidRPr="003F00AF" w:rsidRDefault="008E18F4" w:rsidP="008E18F4">
      <w:pPr>
        <w:pStyle w:val="ListParagraph"/>
        <w:numPr>
          <w:ilvl w:val="0"/>
          <w:numId w:val="1"/>
        </w:numPr>
        <w:spacing w:after="240"/>
        <w:ind w:left="0" w:firstLine="0"/>
        <w:jc w:val="both"/>
      </w:pPr>
      <w:r w:rsidRPr="003F00AF">
        <w:rPr>
          <w:b/>
        </w:rPr>
        <w:t>Policies supported by the ENVDPL</w:t>
      </w:r>
      <w:r w:rsidR="00131351">
        <w:rPr>
          <w:b/>
        </w:rPr>
        <w:t>s</w:t>
      </w:r>
      <w:r w:rsidR="00051F04">
        <w:rPr>
          <w:b/>
        </w:rPr>
        <w:t xml:space="preserve"> </w:t>
      </w:r>
      <w:r w:rsidRPr="003F00AF">
        <w:rPr>
          <w:b/>
        </w:rPr>
        <w:t>resulted in significant enhancements of positive effects.</w:t>
      </w:r>
      <w:r w:rsidRPr="003F00AF">
        <w:t xml:space="preserve"> The CEA, which constituted the analytical underpinnings of this programmatic series, was instrumental </w:t>
      </w:r>
      <w:r w:rsidR="00051F04">
        <w:t>in</w:t>
      </w:r>
      <w:r w:rsidRPr="003F00AF">
        <w:t xml:space="preserve"> comply</w:t>
      </w:r>
      <w:r w:rsidR="00051F04">
        <w:t>ing</w:t>
      </w:r>
      <w:r w:rsidRPr="003F00AF">
        <w:t xml:space="preserve"> with the World Bank’s OP 8.60</w:t>
      </w:r>
      <w:r w:rsidR="00EA059A">
        <w:t xml:space="preserve"> – Development Policy Financing</w:t>
      </w:r>
      <w:r w:rsidRPr="003F00AF">
        <w:t>, which indicates that, in the case of policies with significant effects, the World Bank must assess the borrower’s systems for reducing adverse effects and enhancing positive effects. Policies supported by the E</w:t>
      </w:r>
      <w:r w:rsidR="00E54E81" w:rsidRPr="003F00AF">
        <w:t>N</w:t>
      </w:r>
      <w:r w:rsidRPr="003F00AF">
        <w:t xml:space="preserve">VDPLs were indeed designed to strengthen country systems and enhance positive environmental effects. However, the achieved results in most cases have been much higher than </w:t>
      </w:r>
      <w:r w:rsidR="00AE5015">
        <w:t xml:space="preserve">originally </w:t>
      </w:r>
      <w:r w:rsidRPr="003F00AF">
        <w:t>anticipated when the ENVDPL</w:t>
      </w:r>
      <w:r w:rsidR="00131351">
        <w:t>s</w:t>
      </w:r>
      <w:r w:rsidRPr="003F00AF">
        <w:t xml:space="preserve"> was designed. This could be attributed to the CEA’s successful contribution to identifying environmental priorities and building a broad consensus on the need to tackle them as part of Peru’s broader development efforts. </w:t>
      </w:r>
    </w:p>
    <w:p w14:paraId="12EDBCE9" w14:textId="6F230ACD" w:rsidR="008E18F4" w:rsidRPr="003F00AF" w:rsidRDefault="00BA4AEC" w:rsidP="008E18F4">
      <w:pPr>
        <w:pStyle w:val="Heading1"/>
        <w:keepNext/>
        <w:keepLines/>
        <w:spacing w:before="0" w:beforeAutospacing="0"/>
        <w:rPr>
          <w:sz w:val="24"/>
          <w:szCs w:val="24"/>
        </w:rPr>
      </w:pPr>
      <w:bookmarkStart w:id="116" w:name="T_SEC8TEXT_SEC85A"/>
      <w:bookmarkStart w:id="117" w:name="T_SEC8TEXT_SEC85B"/>
      <w:bookmarkStart w:id="118" w:name="_IL9"/>
      <w:bookmarkStart w:id="119" w:name="_Toc156197718"/>
      <w:bookmarkStart w:id="120" w:name="_Toc158020655"/>
      <w:bookmarkStart w:id="121" w:name="_Toc448507213"/>
      <w:bookmarkStart w:id="122" w:name="_Toc463040015"/>
      <w:bookmarkEnd w:id="116"/>
      <w:bookmarkEnd w:id="117"/>
      <w:r w:rsidRPr="003F00AF">
        <w:rPr>
          <w:sz w:val="24"/>
          <w:szCs w:val="24"/>
        </w:rPr>
        <w:t>4.</w:t>
      </w:r>
      <w:r w:rsidRPr="003F00AF">
        <w:rPr>
          <w:sz w:val="24"/>
          <w:szCs w:val="24"/>
        </w:rPr>
        <w:tab/>
      </w:r>
      <w:r w:rsidR="008E18F4" w:rsidRPr="003F00AF">
        <w:rPr>
          <w:sz w:val="24"/>
          <w:szCs w:val="24"/>
        </w:rPr>
        <w:t>Assessment of Risk to Development Outcome</w:t>
      </w:r>
      <w:bookmarkEnd w:id="118"/>
      <w:bookmarkEnd w:id="119"/>
      <w:bookmarkEnd w:id="120"/>
      <w:bookmarkEnd w:id="121"/>
      <w:bookmarkEnd w:id="122"/>
      <w:r w:rsidR="008E18F4" w:rsidRPr="003F00AF">
        <w:rPr>
          <w:sz w:val="24"/>
          <w:szCs w:val="24"/>
        </w:rPr>
        <w:t xml:space="preserve"> </w:t>
      </w:r>
    </w:p>
    <w:p w14:paraId="457501F3" w14:textId="2719A550" w:rsidR="008E18F4" w:rsidRPr="003F00AF" w:rsidRDefault="008E18F4" w:rsidP="008E18F4">
      <w:pPr>
        <w:pStyle w:val="ListParagraph"/>
        <w:keepNext/>
        <w:keepLines/>
        <w:spacing w:after="240"/>
        <w:ind w:left="0"/>
      </w:pPr>
      <w:bookmarkStart w:id="123" w:name="_IL10" w:colFirst="0" w:colLast="-1"/>
      <w:r w:rsidRPr="003F00AF">
        <w:t xml:space="preserve">Rating: </w:t>
      </w:r>
      <w:r w:rsidR="007D74ED" w:rsidRPr="003F00AF">
        <w:t xml:space="preserve">Negligible to </w:t>
      </w:r>
      <w:r w:rsidRPr="003F00AF">
        <w:t>Low</w:t>
      </w:r>
    </w:p>
    <w:p w14:paraId="0CB6A6B0" w14:textId="220068BF" w:rsidR="008E18F4" w:rsidRDefault="008E18F4" w:rsidP="008E18F4">
      <w:pPr>
        <w:pStyle w:val="ListParagraph"/>
        <w:numPr>
          <w:ilvl w:val="0"/>
          <w:numId w:val="1"/>
        </w:numPr>
        <w:spacing w:after="240"/>
        <w:ind w:left="0" w:firstLine="0"/>
        <w:jc w:val="both"/>
      </w:pPr>
      <w:r w:rsidRPr="003F00AF">
        <w:rPr>
          <w:b/>
          <w:bCs/>
          <w:iCs/>
        </w:rPr>
        <w:t>Political</w:t>
      </w:r>
      <w:r w:rsidR="00531CAF">
        <w:rPr>
          <w:b/>
          <w:bCs/>
          <w:iCs/>
        </w:rPr>
        <w:t xml:space="preserve"> and Governance</w:t>
      </w:r>
      <w:r w:rsidRPr="003F00AF">
        <w:rPr>
          <w:b/>
          <w:bCs/>
          <w:iCs/>
        </w:rPr>
        <w:t>.</w:t>
      </w:r>
      <w:r w:rsidRPr="003F00AF">
        <w:rPr>
          <w:bCs/>
          <w:i/>
          <w:iCs/>
        </w:rPr>
        <w:t xml:space="preserve"> </w:t>
      </w:r>
      <w:r w:rsidR="00DA0944">
        <w:rPr>
          <w:bCs/>
          <w:iCs/>
        </w:rPr>
        <w:t xml:space="preserve">During supervision, the World Bank identified </w:t>
      </w:r>
      <w:r w:rsidR="00AE5015">
        <w:rPr>
          <w:bCs/>
          <w:iCs/>
        </w:rPr>
        <w:t xml:space="preserve">a </w:t>
      </w:r>
      <w:r w:rsidRPr="003F00AF">
        <w:rPr>
          <w:bCs/>
          <w:iCs/>
        </w:rPr>
        <w:t>p</w:t>
      </w:r>
      <w:r w:rsidRPr="003F00AF">
        <w:t>otential political risk that under the new administration that took power in 201</w:t>
      </w:r>
      <w:r w:rsidR="00DA0944">
        <w:t>6</w:t>
      </w:r>
      <w:r w:rsidRPr="003F00AF">
        <w:t>, MINAM—and the environmental agenda in general—might not benefit from the level of suppor</w:t>
      </w:r>
      <w:r w:rsidR="00314D21">
        <w:t xml:space="preserve">t that it had enjoyed under </w:t>
      </w:r>
      <w:r w:rsidRPr="003F00AF">
        <w:t>previous administration</w:t>
      </w:r>
      <w:r w:rsidR="00DA0944">
        <w:t>s</w:t>
      </w:r>
      <w:r w:rsidRPr="003F00AF">
        <w:t>. A partial mitigation measure, on the part of the World Bank, was the preparation of policy notes on environmental issues for the new administration</w:t>
      </w:r>
      <w:r w:rsidR="00314D21">
        <w:t xml:space="preserve">, in order to </w:t>
      </w:r>
      <w:r w:rsidRPr="003F00AF">
        <w:t>underpin</w:t>
      </w:r>
      <w:r w:rsidR="00314D21">
        <w:t xml:space="preserve"> </w:t>
      </w:r>
      <w:r w:rsidRPr="003F00AF">
        <w:t xml:space="preserve">the </w:t>
      </w:r>
      <w:r w:rsidR="00314D21">
        <w:t xml:space="preserve">future </w:t>
      </w:r>
      <w:r w:rsidRPr="003F00AF">
        <w:t>dialogue with the new government.</w:t>
      </w:r>
      <w:r w:rsidR="00DA0944">
        <w:t xml:space="preserve"> </w:t>
      </w:r>
      <w:r w:rsidR="008C1738">
        <w:t>The first meetings with the new administration indicate</w:t>
      </w:r>
      <w:r w:rsidR="00314D21">
        <w:t>d</w:t>
      </w:r>
      <w:r w:rsidR="008C1738">
        <w:t xml:space="preserve"> that the program objectives continue to be a priority for the GoP.</w:t>
      </w:r>
    </w:p>
    <w:p w14:paraId="75A653B1" w14:textId="7D4E5D85" w:rsidR="008E18F4" w:rsidRPr="003F00AF" w:rsidRDefault="008E18F4" w:rsidP="008E18F4">
      <w:pPr>
        <w:pStyle w:val="ListParagraph"/>
        <w:numPr>
          <w:ilvl w:val="0"/>
          <w:numId w:val="1"/>
        </w:numPr>
        <w:spacing w:after="240"/>
        <w:ind w:left="0" w:firstLine="0"/>
        <w:jc w:val="both"/>
      </w:pPr>
      <w:r w:rsidRPr="003F00AF">
        <w:rPr>
          <w:b/>
        </w:rPr>
        <w:t xml:space="preserve">Overall risk to the development outcome is considered negligible </w:t>
      </w:r>
      <w:r w:rsidR="007D74ED" w:rsidRPr="003F00AF">
        <w:rPr>
          <w:b/>
        </w:rPr>
        <w:t xml:space="preserve">to low </w:t>
      </w:r>
      <w:r w:rsidRPr="003F00AF">
        <w:rPr>
          <w:b/>
        </w:rPr>
        <w:t>because of the ongoing commitment of the GoP</w:t>
      </w:r>
      <w:r w:rsidRPr="003F00AF">
        <w:t xml:space="preserve"> </w:t>
      </w:r>
      <w:r w:rsidRPr="003F00AF">
        <w:rPr>
          <w:rFonts w:eastAsia="MS Mincho"/>
          <w:color w:val="333333"/>
        </w:rPr>
        <w:t>to further develop its legal and institutional framework, as well as advanc</w:t>
      </w:r>
      <w:r w:rsidR="0086153B">
        <w:rPr>
          <w:rFonts w:eastAsia="MS Mincho"/>
          <w:color w:val="333333"/>
        </w:rPr>
        <w:t>e</w:t>
      </w:r>
      <w:r w:rsidRPr="003F00AF">
        <w:rPr>
          <w:rFonts w:eastAsia="MS Mincho"/>
          <w:color w:val="333333"/>
        </w:rPr>
        <w:t xml:space="preserve"> reforms to enhance the sustainability of the mining and fisheries sectors. </w:t>
      </w:r>
    </w:p>
    <w:p w14:paraId="08E59A2D" w14:textId="0BFBAAAB" w:rsidR="008E18F4" w:rsidRPr="003F00AF" w:rsidRDefault="00BA4AEC" w:rsidP="008E18F4">
      <w:pPr>
        <w:pStyle w:val="Heading1"/>
        <w:keepNext/>
        <w:keepLines/>
        <w:spacing w:before="0" w:beforeAutospacing="0" w:after="240"/>
        <w:rPr>
          <w:sz w:val="24"/>
          <w:szCs w:val="24"/>
        </w:rPr>
      </w:pPr>
      <w:bookmarkStart w:id="124" w:name="_5._Assessment_of"/>
      <w:bookmarkStart w:id="125" w:name="_Toc156197719"/>
      <w:bookmarkStart w:id="126" w:name="_Toc158020656"/>
      <w:bookmarkStart w:id="127" w:name="_Toc448507214"/>
      <w:bookmarkStart w:id="128" w:name="_Toc463040016"/>
      <w:bookmarkEnd w:id="124"/>
      <w:r w:rsidRPr="003F00AF">
        <w:rPr>
          <w:sz w:val="24"/>
          <w:szCs w:val="24"/>
        </w:rPr>
        <w:t>5.</w:t>
      </w:r>
      <w:r w:rsidRPr="003F00AF">
        <w:rPr>
          <w:sz w:val="24"/>
          <w:szCs w:val="24"/>
        </w:rPr>
        <w:tab/>
      </w:r>
      <w:r w:rsidR="008E18F4" w:rsidRPr="003F00AF">
        <w:rPr>
          <w:sz w:val="24"/>
          <w:szCs w:val="24"/>
        </w:rPr>
        <w:t>Assessment of Bank and Borrower Performance</w:t>
      </w:r>
      <w:bookmarkEnd w:id="125"/>
      <w:bookmarkEnd w:id="126"/>
      <w:bookmarkEnd w:id="127"/>
      <w:bookmarkEnd w:id="128"/>
      <w:r w:rsidR="008E18F4" w:rsidRPr="003F00AF">
        <w:rPr>
          <w:sz w:val="24"/>
          <w:szCs w:val="24"/>
        </w:rPr>
        <w:t xml:space="preserve"> </w:t>
      </w:r>
    </w:p>
    <w:p w14:paraId="6B5860F9" w14:textId="44DB6D47" w:rsidR="008E18F4" w:rsidRPr="003F00AF" w:rsidRDefault="00E83586" w:rsidP="00E83586">
      <w:pPr>
        <w:pStyle w:val="ListParagraph"/>
        <w:keepNext/>
        <w:keepLines/>
        <w:spacing w:after="240"/>
        <w:ind w:left="0"/>
        <w:rPr>
          <w:b/>
        </w:rPr>
      </w:pPr>
      <w:bookmarkStart w:id="129" w:name="_Toc448507215"/>
      <w:bookmarkStart w:id="130" w:name="_Toc448507377"/>
      <w:r w:rsidRPr="003F00AF">
        <w:rPr>
          <w:b/>
        </w:rPr>
        <w:t>5.1</w:t>
      </w:r>
      <w:r w:rsidRPr="003F00AF">
        <w:rPr>
          <w:b/>
        </w:rPr>
        <w:tab/>
      </w:r>
      <w:r w:rsidR="008E18F4" w:rsidRPr="003F00AF">
        <w:rPr>
          <w:b/>
        </w:rPr>
        <w:t>Bank Performance</w:t>
      </w:r>
      <w:bookmarkEnd w:id="129"/>
      <w:bookmarkEnd w:id="130"/>
    </w:p>
    <w:p w14:paraId="388D2C3D" w14:textId="35A221F5" w:rsidR="008E18F4" w:rsidRPr="003F00AF" w:rsidRDefault="00E83586" w:rsidP="00E83586">
      <w:pPr>
        <w:pStyle w:val="ListParagraph"/>
        <w:keepNext/>
        <w:keepLines/>
        <w:spacing w:after="240"/>
        <w:ind w:left="0"/>
        <w:rPr>
          <w:i/>
        </w:rPr>
      </w:pPr>
      <w:r w:rsidRPr="003F00AF">
        <w:rPr>
          <w:i/>
        </w:rPr>
        <w:t>(a)</w:t>
      </w:r>
      <w:r w:rsidRPr="003F00AF">
        <w:rPr>
          <w:i/>
        </w:rPr>
        <w:tab/>
      </w:r>
      <w:r w:rsidR="008E18F4" w:rsidRPr="003F00AF">
        <w:rPr>
          <w:i/>
        </w:rPr>
        <w:t xml:space="preserve">Bank Performance in Ensuring Quality at Entry </w:t>
      </w:r>
    </w:p>
    <w:p w14:paraId="1AE6FCB3" w14:textId="77777777" w:rsidR="008E18F4" w:rsidRPr="003F00AF" w:rsidRDefault="008E18F4" w:rsidP="008E18F4">
      <w:pPr>
        <w:pStyle w:val="ListParagraph"/>
        <w:keepNext/>
        <w:keepLines/>
        <w:spacing w:after="240"/>
        <w:ind w:left="0"/>
      </w:pPr>
      <w:r w:rsidRPr="003F00AF">
        <w:t xml:space="preserve">Rating: Satisfactory </w:t>
      </w:r>
    </w:p>
    <w:p w14:paraId="33B74C14" w14:textId="7E96F9B6" w:rsidR="00286AD7" w:rsidRPr="003F00AF" w:rsidRDefault="008E18F4" w:rsidP="005D2AA4">
      <w:pPr>
        <w:pStyle w:val="ListParagraph"/>
        <w:numPr>
          <w:ilvl w:val="0"/>
          <w:numId w:val="1"/>
        </w:numPr>
        <w:spacing w:after="240"/>
        <w:ind w:left="0" w:firstLine="0"/>
        <w:jc w:val="both"/>
      </w:pPr>
      <w:bookmarkStart w:id="131" w:name="T_SEC10TEXT_SEC101A"/>
      <w:bookmarkEnd w:id="131"/>
      <w:r w:rsidRPr="00B02A6A">
        <w:rPr>
          <w:b/>
        </w:rPr>
        <w:t xml:space="preserve">The performance of the World Bank in assisting the borrower to identify, prepare, and appraise the operation is deemed </w:t>
      </w:r>
      <w:r w:rsidRPr="00B02A6A">
        <w:rPr>
          <w:b/>
          <w:bCs/>
        </w:rPr>
        <w:t>satisfactory</w:t>
      </w:r>
      <w:r w:rsidRPr="00B02A6A">
        <w:rPr>
          <w:b/>
        </w:rPr>
        <w:t>.</w:t>
      </w:r>
      <w:r w:rsidRPr="003F00AF">
        <w:t xml:space="preserve"> </w:t>
      </w:r>
      <w:r w:rsidR="000036F9" w:rsidRPr="003F00AF">
        <w:t xml:space="preserve">The team </w:t>
      </w:r>
      <w:r w:rsidRPr="003F00AF">
        <w:t xml:space="preserve">did a thorough review of relevant lessons learned in other operations across the region, as well as of the 2009 Development Policy Lending Retrospective. This served to inform the operation’s design and ensure its successful implementation. The operation’s design benefited from Peruvian as well as international experience. The World Bank team responsible for preparation benefited from an intimate knowledge of the country’s environmental, economic, and social development sectors and their priorities. </w:t>
      </w:r>
      <w:r w:rsidR="00B02A6A">
        <w:t>As a result, the team had the required information for analyzing the structural, financial and macroeconomic aspects related to the operations, which confirmed the appropriateness of the country’s selection of a DDO. Also, the team assessed potential risks to the achievement of the program objectives (</w:t>
      </w:r>
      <w:r w:rsidR="006547E7">
        <w:rPr>
          <w:lang w:eastAsia="zh-TW"/>
        </w:rPr>
        <w:t xml:space="preserve">for example, </w:t>
      </w:r>
      <w:r w:rsidR="00B02A6A">
        <w:t>budgetary, institutional, political and sectoral risks) and identified mitigation measures to address those risks.</w:t>
      </w:r>
    </w:p>
    <w:p w14:paraId="03A7BAF1" w14:textId="672989B1" w:rsidR="008E18F4" w:rsidRDefault="008E18F4" w:rsidP="005D2AA4">
      <w:pPr>
        <w:pStyle w:val="ListParagraph"/>
        <w:numPr>
          <w:ilvl w:val="0"/>
          <w:numId w:val="1"/>
        </w:numPr>
        <w:spacing w:after="240"/>
        <w:ind w:left="0" w:firstLine="0"/>
        <w:jc w:val="both"/>
      </w:pPr>
      <w:r w:rsidRPr="00D645EB">
        <w:rPr>
          <w:b/>
        </w:rPr>
        <w:t>The team worked closely with MINAM, MEF, MEM, PRODUCE, and other stakeholders to identify a set of key steps needed to further mainstream sustainable development principles in key economic sectors.</w:t>
      </w:r>
      <w:r w:rsidRPr="003F00AF">
        <w:t xml:space="preserve"> The selection of the sectors was based on World Bank analytical work and a comprehensive series of consultations led by the MEF, with active participation of various government agencies and consultations with other donors to avoid duplication of effort and ensure compatibility with other programs. Consultations with the mining sector stakeholders started under the framework of the ‘Environmental and Social Dimensions of the Mining Sector in Peru’ (2005) report. Seminars were held for specific groups of stakeholders, such as NGOs, the private sector, and indigenous communities, to incorporate their views into the report. The results were also discussed with stakeholder representatives. Similarly, the CEA was prepared through an open participat</w:t>
      </w:r>
      <w:r w:rsidR="00287990">
        <w:t>ory process.</w:t>
      </w:r>
      <w:r w:rsidR="00287990">
        <w:rPr>
          <w:rStyle w:val="FootnoteReference"/>
        </w:rPr>
        <w:footnoteReference w:id="25"/>
      </w:r>
      <w:r w:rsidR="00D645EB">
        <w:t xml:space="preserve"> </w:t>
      </w:r>
      <w:r w:rsidR="003056A3" w:rsidRPr="00D645EB">
        <w:t xml:space="preserve">As a consequence, </w:t>
      </w:r>
      <w:r w:rsidR="008B451B" w:rsidRPr="00D645EB">
        <w:t>the policy matrix was designed in accordance with the country’s environme</w:t>
      </w:r>
      <w:r w:rsidR="00D645EB">
        <w:t>ntal and development priorities,</w:t>
      </w:r>
      <w:r w:rsidR="0045105E">
        <w:t xml:space="preserve"> which allowed the inclusion of </w:t>
      </w:r>
      <w:r w:rsidR="00D645EB">
        <w:t>transformational policy reforms</w:t>
      </w:r>
      <w:r w:rsidR="0045105E">
        <w:t xml:space="preserve"> as prior actions of the ENVDPLs.</w:t>
      </w:r>
    </w:p>
    <w:p w14:paraId="54BB64E6" w14:textId="71EB2565" w:rsidR="008E18F4" w:rsidRPr="003F00AF" w:rsidRDefault="00E83586" w:rsidP="00E83586">
      <w:pPr>
        <w:pStyle w:val="ListParagraph"/>
        <w:keepNext/>
        <w:keepLines/>
        <w:spacing w:after="240"/>
        <w:ind w:left="0"/>
        <w:rPr>
          <w:i/>
        </w:rPr>
      </w:pPr>
      <w:r w:rsidRPr="003F00AF">
        <w:rPr>
          <w:i/>
        </w:rPr>
        <w:t>(b)</w:t>
      </w:r>
      <w:r w:rsidRPr="003F00AF">
        <w:rPr>
          <w:i/>
        </w:rPr>
        <w:tab/>
      </w:r>
      <w:r w:rsidR="008E18F4" w:rsidRPr="003F00AF">
        <w:rPr>
          <w:i/>
        </w:rPr>
        <w:t xml:space="preserve">Quality of Supervision </w:t>
      </w:r>
    </w:p>
    <w:p w14:paraId="341AB1FC" w14:textId="77777777" w:rsidR="008E18F4" w:rsidRPr="003F00AF" w:rsidRDefault="008E18F4" w:rsidP="008E18F4">
      <w:pPr>
        <w:pStyle w:val="ListParagraph"/>
        <w:keepNext/>
        <w:keepLines/>
        <w:spacing w:after="240"/>
        <w:ind w:left="0"/>
      </w:pPr>
      <w:r w:rsidRPr="003F00AF">
        <w:t xml:space="preserve">Rating: Satisfactory </w:t>
      </w:r>
    </w:p>
    <w:p w14:paraId="2A915814" w14:textId="3607F91D" w:rsidR="001351F3" w:rsidRPr="003F00AF" w:rsidRDefault="00B1166E" w:rsidP="001351F3">
      <w:pPr>
        <w:pStyle w:val="ListParagraph"/>
        <w:numPr>
          <w:ilvl w:val="0"/>
          <w:numId w:val="1"/>
        </w:numPr>
        <w:spacing w:after="240"/>
        <w:ind w:left="0" w:firstLine="0"/>
        <w:jc w:val="both"/>
        <w:rPr>
          <w:bCs/>
        </w:rPr>
      </w:pPr>
      <w:r w:rsidRPr="003F00AF">
        <w:rPr>
          <w:rFonts w:eastAsiaTheme="minorEastAsia"/>
          <w:b/>
        </w:rPr>
        <w:t xml:space="preserve">The </w:t>
      </w:r>
      <w:r w:rsidR="001351F3" w:rsidRPr="003F00AF">
        <w:rPr>
          <w:rFonts w:eastAsiaTheme="minorEastAsia"/>
          <w:b/>
        </w:rPr>
        <w:t xml:space="preserve">World Bank </w:t>
      </w:r>
      <w:r w:rsidRPr="003F00AF">
        <w:rPr>
          <w:rFonts w:eastAsiaTheme="minorEastAsia"/>
          <w:b/>
        </w:rPr>
        <w:t xml:space="preserve">team </w:t>
      </w:r>
      <w:r w:rsidR="001351F3" w:rsidRPr="003F00AF">
        <w:rPr>
          <w:rFonts w:eastAsiaTheme="minorEastAsia"/>
          <w:b/>
        </w:rPr>
        <w:t>assessed institutional arrangements and institutional capacity and commitment in the GoP for the attainment of the agreed actions in the Policy Matrix and confirmed fulfillment of program conditions and conformity with legal covenants.</w:t>
      </w:r>
      <w:r w:rsidR="001351F3" w:rsidRPr="003F00AF">
        <w:rPr>
          <w:rFonts w:eastAsiaTheme="minorEastAsia"/>
        </w:rPr>
        <w:t xml:space="preserve"> World Bank supervision was sensitive to the country developments, the involved agencies’ capacity and commitment, overall stakeholder support, and feasible options for realizing the program development goals.</w:t>
      </w:r>
    </w:p>
    <w:p w14:paraId="7F2ACFA2" w14:textId="106598D5" w:rsidR="008E18F4" w:rsidRDefault="008E18F4" w:rsidP="008E18F4">
      <w:pPr>
        <w:pStyle w:val="ListParagraph"/>
        <w:numPr>
          <w:ilvl w:val="0"/>
          <w:numId w:val="1"/>
        </w:numPr>
        <w:spacing w:after="240"/>
        <w:ind w:left="0" w:firstLine="0"/>
        <w:jc w:val="both"/>
        <w:rPr>
          <w:bCs/>
        </w:rPr>
      </w:pPr>
      <w:r w:rsidRPr="003F00AF">
        <w:rPr>
          <w:b/>
          <w:bCs/>
        </w:rPr>
        <w:t xml:space="preserve">The World Bank team conducted periodic missions during the implementation of the program, with a strong emphasis on helping </w:t>
      </w:r>
      <w:r w:rsidR="00FF773D" w:rsidRPr="003F00AF">
        <w:rPr>
          <w:b/>
          <w:bCs/>
        </w:rPr>
        <w:t xml:space="preserve">the </w:t>
      </w:r>
      <w:r w:rsidRPr="003F00AF">
        <w:rPr>
          <w:b/>
          <w:bCs/>
        </w:rPr>
        <w:t>client progress toward meeting the operations outcome indicators and providing timely technical assistance.</w:t>
      </w:r>
      <w:r w:rsidRPr="003F00AF">
        <w:rPr>
          <w:bCs/>
        </w:rPr>
        <w:t xml:space="preserve"> Separate missions, as well as video and audio conferences, were conducted by institutional, mining, fisheries, air quality management, energy, and urban development specialists. </w:t>
      </w:r>
      <w:r w:rsidR="008B451B">
        <w:rPr>
          <w:bCs/>
        </w:rPr>
        <w:t xml:space="preserve">The relevant findings and conclusions of those missions were reported in aide memoires and Implementation </w:t>
      </w:r>
      <w:r w:rsidR="00390AF7">
        <w:rPr>
          <w:bCs/>
        </w:rPr>
        <w:t xml:space="preserve">Status </w:t>
      </w:r>
      <w:r w:rsidR="008B451B">
        <w:rPr>
          <w:bCs/>
        </w:rPr>
        <w:t xml:space="preserve">and </w:t>
      </w:r>
      <w:r w:rsidR="00390AF7">
        <w:rPr>
          <w:bCs/>
        </w:rPr>
        <w:t xml:space="preserve">Results </w:t>
      </w:r>
      <w:r w:rsidR="008B451B">
        <w:rPr>
          <w:bCs/>
        </w:rPr>
        <w:t xml:space="preserve">Reports (ISRs), including information received from the GoP and other stakeholders. The ISRs and the present ICR have focused not only on the achievement of indicators, but also on the efficiency of the program. </w:t>
      </w:r>
      <w:r w:rsidR="00267779">
        <w:rPr>
          <w:bCs/>
        </w:rPr>
        <w:t>T</w:t>
      </w:r>
      <w:r w:rsidR="008B451B">
        <w:rPr>
          <w:bCs/>
        </w:rPr>
        <w:t>he Task Team closely follow</w:t>
      </w:r>
      <w:r w:rsidR="00267779">
        <w:rPr>
          <w:bCs/>
        </w:rPr>
        <w:t>ed</w:t>
      </w:r>
      <w:r w:rsidR="008B451B">
        <w:rPr>
          <w:bCs/>
        </w:rPr>
        <w:t xml:space="preserve"> up on the program implementation and</w:t>
      </w:r>
      <w:r w:rsidR="00267779">
        <w:rPr>
          <w:bCs/>
        </w:rPr>
        <w:t>, when needed,</w:t>
      </w:r>
      <w:r w:rsidR="008B451B">
        <w:rPr>
          <w:bCs/>
        </w:rPr>
        <w:t xml:space="preserve"> adjust</w:t>
      </w:r>
      <w:r w:rsidR="00267779">
        <w:rPr>
          <w:bCs/>
        </w:rPr>
        <w:t>ed</w:t>
      </w:r>
      <w:r w:rsidR="008B451B">
        <w:rPr>
          <w:bCs/>
        </w:rPr>
        <w:t xml:space="preserve"> PDO indicators and other design aspects throughout the programmatic series.</w:t>
      </w:r>
    </w:p>
    <w:p w14:paraId="286C77CF" w14:textId="420956A7" w:rsidR="008E18F4" w:rsidRPr="003F00AF" w:rsidRDefault="008E18F4" w:rsidP="008E18F4">
      <w:pPr>
        <w:pStyle w:val="ListParagraph"/>
        <w:numPr>
          <w:ilvl w:val="0"/>
          <w:numId w:val="1"/>
        </w:numPr>
        <w:spacing w:after="240"/>
        <w:ind w:left="0" w:firstLine="0"/>
        <w:jc w:val="both"/>
        <w:rPr>
          <w:bCs/>
        </w:rPr>
      </w:pPr>
      <w:r w:rsidRPr="003F00AF">
        <w:rPr>
          <w:rFonts w:eastAsiaTheme="minorEastAsia"/>
          <w:b/>
        </w:rPr>
        <w:t>The ENVDPL</w:t>
      </w:r>
      <w:r w:rsidR="00131351">
        <w:rPr>
          <w:rFonts w:eastAsiaTheme="minorEastAsia"/>
          <w:b/>
        </w:rPr>
        <w:t>s</w:t>
      </w:r>
      <w:r w:rsidRPr="003F00AF">
        <w:rPr>
          <w:rFonts w:eastAsiaTheme="minorEastAsia"/>
          <w:b/>
        </w:rPr>
        <w:t xml:space="preserve"> was supervised by a multidisciplinary team composed of specialists in environmental economics, economics, natural resource management, and World Bank operations management.</w:t>
      </w:r>
      <w:r w:rsidRPr="003F00AF">
        <w:rPr>
          <w:rFonts w:eastAsiaTheme="minorEastAsia"/>
        </w:rPr>
        <w:t xml:space="preserve"> World Bank staff assessed institutional arrangements and institutional capacity and commitment in the GoP for the attainment of the agreed actions in the Policy Matrix and confirmed fulfillment of program conditions and conformity with legal covenants. Task team supervision concentrated on the outcomes of the program. World Bank supervision was sensitive to the country developments, the involved agencies’ capacity and commitment, overall stakeholder support, and feasible options for realizing</w:t>
      </w:r>
      <w:r w:rsidR="001351F3" w:rsidRPr="003F00AF">
        <w:rPr>
          <w:rFonts w:eastAsiaTheme="minorEastAsia"/>
        </w:rPr>
        <w:t xml:space="preserve"> the program development goals.</w:t>
      </w:r>
    </w:p>
    <w:p w14:paraId="643D00B6" w14:textId="53907A01" w:rsidR="008E18F4" w:rsidRPr="003F00AF" w:rsidRDefault="001351F3" w:rsidP="00E83586">
      <w:pPr>
        <w:pStyle w:val="ListParagraph"/>
        <w:keepNext/>
        <w:keepLines/>
        <w:spacing w:after="240"/>
        <w:ind w:left="0"/>
        <w:rPr>
          <w:i/>
        </w:rPr>
      </w:pPr>
      <w:r w:rsidRPr="003F00AF">
        <w:rPr>
          <w:i/>
        </w:rPr>
        <w:t xml:space="preserve"> </w:t>
      </w:r>
      <w:r w:rsidR="00E83586" w:rsidRPr="003F00AF">
        <w:rPr>
          <w:i/>
        </w:rPr>
        <w:t>(c)</w:t>
      </w:r>
      <w:r w:rsidR="00E83586" w:rsidRPr="003F00AF">
        <w:rPr>
          <w:i/>
        </w:rPr>
        <w:tab/>
      </w:r>
      <w:r w:rsidR="008E18F4" w:rsidRPr="003F00AF">
        <w:rPr>
          <w:i/>
        </w:rPr>
        <w:t>Justification of Rating for Overall Bank Performance</w:t>
      </w:r>
    </w:p>
    <w:p w14:paraId="13512F05" w14:textId="77777777" w:rsidR="008E18F4" w:rsidRPr="003F00AF" w:rsidRDefault="008E18F4" w:rsidP="008E18F4">
      <w:pPr>
        <w:pStyle w:val="ListParagraph"/>
        <w:keepNext/>
        <w:keepLines/>
        <w:spacing w:after="240"/>
        <w:ind w:left="0"/>
      </w:pPr>
      <w:r w:rsidRPr="003F00AF">
        <w:t>Rating: Satisfactory</w:t>
      </w:r>
    </w:p>
    <w:p w14:paraId="2C8591AF" w14:textId="5E4BA9AE" w:rsidR="008E18F4" w:rsidRPr="008E46FE" w:rsidRDefault="008E18F4" w:rsidP="00331995">
      <w:pPr>
        <w:pStyle w:val="ListParagraph"/>
        <w:numPr>
          <w:ilvl w:val="0"/>
          <w:numId w:val="1"/>
        </w:numPr>
        <w:spacing w:after="240"/>
        <w:ind w:left="0" w:firstLine="0"/>
        <w:jc w:val="both"/>
        <w:rPr>
          <w:bCs/>
        </w:rPr>
      </w:pPr>
      <w:bookmarkStart w:id="132" w:name="T_SEC10TEXT_SEC101B"/>
      <w:bookmarkEnd w:id="132"/>
      <w:r w:rsidRPr="0053330A">
        <w:rPr>
          <w:rFonts w:eastAsiaTheme="minorEastAsia"/>
          <w:b/>
        </w:rPr>
        <w:t>As Quality at Entry and Quality of Supervision are rated Satisfactory, overall World Bank performance is also rated Satisfactory</w:t>
      </w:r>
      <w:r w:rsidRPr="008E46FE">
        <w:rPr>
          <w:rFonts w:eastAsiaTheme="minorEastAsia"/>
        </w:rPr>
        <w:t>. Throughout the period of the program</w:t>
      </w:r>
      <w:r w:rsidR="004967B4" w:rsidRPr="008E46FE">
        <w:rPr>
          <w:rFonts w:eastAsiaTheme="minorEastAsia"/>
        </w:rPr>
        <w:t>’s</w:t>
      </w:r>
      <w:r w:rsidRPr="008E46FE">
        <w:rPr>
          <w:rFonts w:eastAsiaTheme="minorEastAsia"/>
        </w:rPr>
        <w:t xml:space="preserve"> </w:t>
      </w:r>
      <w:r w:rsidR="000141EE">
        <w:rPr>
          <w:rFonts w:eastAsiaTheme="minorEastAsia"/>
        </w:rPr>
        <w:t xml:space="preserve">preparation and </w:t>
      </w:r>
      <w:r w:rsidRPr="008E46FE">
        <w:rPr>
          <w:rFonts w:eastAsiaTheme="minorEastAsia"/>
        </w:rPr>
        <w:t>implementation, the World Bank team was highly involved in an active policy dialogue with government authorities, identifying priorities and future challenges. The policy dialogue</w:t>
      </w:r>
      <w:r w:rsidR="008E46FE" w:rsidRPr="008E46FE">
        <w:rPr>
          <w:rFonts w:eastAsiaTheme="minorEastAsia"/>
        </w:rPr>
        <w:t>, which continued throughout the ENVDPLs supervision and Bank-supported analytical work,</w:t>
      </w:r>
      <w:r w:rsidR="008E46FE">
        <w:rPr>
          <w:rStyle w:val="FootnoteReference"/>
          <w:rFonts w:eastAsiaTheme="minorEastAsia"/>
        </w:rPr>
        <w:footnoteReference w:id="26"/>
      </w:r>
      <w:r w:rsidR="008E46FE" w:rsidRPr="008E46FE">
        <w:rPr>
          <w:rFonts w:eastAsiaTheme="minorEastAsia"/>
        </w:rPr>
        <w:t xml:space="preserve"> </w:t>
      </w:r>
      <w:r w:rsidRPr="008E46FE">
        <w:rPr>
          <w:rFonts w:eastAsiaTheme="minorEastAsia"/>
        </w:rPr>
        <w:t xml:space="preserve">paved the way </w:t>
      </w:r>
      <w:r w:rsidR="008E46FE" w:rsidRPr="008E46FE">
        <w:rPr>
          <w:rFonts w:eastAsiaTheme="minorEastAsia"/>
        </w:rPr>
        <w:t>for identifying new policy reforms that might be supported in the future by new DPL operation, a</w:t>
      </w:r>
      <w:r w:rsidRPr="008E46FE">
        <w:rPr>
          <w:rFonts w:eastAsiaTheme="minorEastAsia"/>
        </w:rPr>
        <w:t xml:space="preserve">s well as </w:t>
      </w:r>
      <w:r w:rsidR="008E46FE" w:rsidRPr="008E46FE">
        <w:rPr>
          <w:rFonts w:eastAsiaTheme="minorEastAsia"/>
        </w:rPr>
        <w:t xml:space="preserve">investments and capacity building activities that will be supported by </w:t>
      </w:r>
      <w:r w:rsidRPr="008E46FE">
        <w:rPr>
          <w:rFonts w:eastAsiaTheme="minorEastAsia"/>
        </w:rPr>
        <w:t>an</w:t>
      </w:r>
      <w:r w:rsidR="008E46FE" w:rsidRPr="008E46FE">
        <w:rPr>
          <w:rFonts w:eastAsiaTheme="minorEastAsia"/>
        </w:rPr>
        <w:t xml:space="preserve"> IPF </w:t>
      </w:r>
      <w:r w:rsidRPr="008E46FE">
        <w:rPr>
          <w:rFonts w:eastAsiaTheme="minorEastAsia"/>
        </w:rPr>
        <w:t>under preparation</w:t>
      </w:r>
      <w:r w:rsidR="008E46FE" w:rsidRPr="008E46FE">
        <w:rPr>
          <w:rFonts w:eastAsiaTheme="minorEastAsia"/>
        </w:rPr>
        <w:t xml:space="preserve">. The continuous dialogue </w:t>
      </w:r>
      <w:r w:rsidRPr="008E46FE">
        <w:rPr>
          <w:rFonts w:eastAsiaTheme="minorEastAsia"/>
        </w:rPr>
        <w:t>will help ensure the continuity and sustainability of reforms supported under the ENVDPL.</w:t>
      </w:r>
    </w:p>
    <w:p w14:paraId="1B32A943" w14:textId="546FBA54" w:rsidR="008E18F4" w:rsidRPr="003F00AF" w:rsidRDefault="00E83586" w:rsidP="008E18F4">
      <w:pPr>
        <w:pStyle w:val="ListParagraph"/>
        <w:keepNext/>
        <w:keepLines/>
        <w:spacing w:after="240"/>
        <w:ind w:left="0"/>
        <w:rPr>
          <w:b/>
        </w:rPr>
      </w:pPr>
      <w:bookmarkStart w:id="133" w:name="_Toc448507216"/>
      <w:bookmarkStart w:id="134" w:name="_Toc448507378"/>
      <w:r w:rsidRPr="003F00AF">
        <w:rPr>
          <w:b/>
        </w:rPr>
        <w:t>5.2</w:t>
      </w:r>
      <w:r w:rsidRPr="003F00AF">
        <w:rPr>
          <w:b/>
        </w:rPr>
        <w:tab/>
      </w:r>
      <w:r w:rsidR="008E18F4" w:rsidRPr="003F00AF">
        <w:rPr>
          <w:b/>
        </w:rPr>
        <w:t>Borrower Performance</w:t>
      </w:r>
      <w:bookmarkEnd w:id="133"/>
      <w:bookmarkEnd w:id="134"/>
    </w:p>
    <w:p w14:paraId="01943C25" w14:textId="4B4A88F8" w:rsidR="008E18F4" w:rsidRPr="003F00AF" w:rsidRDefault="00E83586" w:rsidP="00E83586">
      <w:pPr>
        <w:pStyle w:val="ListParagraph"/>
        <w:keepNext/>
        <w:keepLines/>
        <w:spacing w:after="240"/>
        <w:ind w:left="0"/>
        <w:rPr>
          <w:i/>
        </w:rPr>
      </w:pPr>
      <w:r w:rsidRPr="003F00AF">
        <w:rPr>
          <w:i/>
        </w:rPr>
        <w:t>(a)</w:t>
      </w:r>
      <w:r w:rsidRPr="003F00AF">
        <w:rPr>
          <w:i/>
        </w:rPr>
        <w:tab/>
      </w:r>
      <w:r w:rsidR="008E18F4" w:rsidRPr="003F00AF">
        <w:rPr>
          <w:i/>
        </w:rPr>
        <w:t>Government Performance</w:t>
      </w:r>
    </w:p>
    <w:p w14:paraId="2ED411E3" w14:textId="77777777" w:rsidR="008E18F4" w:rsidRPr="003F00AF" w:rsidRDefault="008E18F4" w:rsidP="008E18F4">
      <w:pPr>
        <w:pStyle w:val="ListParagraph"/>
        <w:keepNext/>
        <w:keepLines/>
        <w:spacing w:after="240"/>
        <w:ind w:left="0"/>
      </w:pPr>
      <w:r w:rsidRPr="003F00AF">
        <w:t>Rating: Satisfactory</w:t>
      </w:r>
    </w:p>
    <w:p w14:paraId="0684D9CA" w14:textId="346345A1" w:rsidR="0086677A" w:rsidRDefault="008E18F4" w:rsidP="0086677A">
      <w:pPr>
        <w:pStyle w:val="ListParagraph"/>
        <w:numPr>
          <w:ilvl w:val="0"/>
          <w:numId w:val="1"/>
        </w:numPr>
        <w:spacing w:after="240"/>
        <w:ind w:left="0" w:firstLine="0"/>
        <w:jc w:val="both"/>
      </w:pPr>
      <w:r w:rsidRPr="003F00AF">
        <w:rPr>
          <w:b/>
        </w:rPr>
        <w:t xml:space="preserve">The </w:t>
      </w:r>
      <w:r w:rsidR="0086677A" w:rsidRPr="0086677A">
        <w:rPr>
          <w:b/>
        </w:rPr>
        <w:t>ownership and commitment demonstrated by the GoP, particular</w:t>
      </w:r>
      <w:r w:rsidR="005F4E1D">
        <w:rPr>
          <w:b/>
        </w:rPr>
        <w:t>ly</w:t>
      </w:r>
      <w:r w:rsidR="0086677A" w:rsidRPr="0086677A">
        <w:rPr>
          <w:b/>
        </w:rPr>
        <w:t xml:space="preserve"> the leading roles taken by the MEF, MINAM, MEM and PRODUCE, w</w:t>
      </w:r>
      <w:r w:rsidR="005F4E1D">
        <w:rPr>
          <w:b/>
        </w:rPr>
        <w:t>ere</w:t>
      </w:r>
      <w:r w:rsidR="0086677A" w:rsidRPr="0086677A">
        <w:rPr>
          <w:b/>
        </w:rPr>
        <w:t xml:space="preserve"> a critical factor in achieving the goals set for the ENVDPLs.</w:t>
      </w:r>
      <w:r w:rsidR="0086677A" w:rsidRPr="003F00AF">
        <w:t xml:space="preserve"> As mentioned earlier, the actions supported under this operation were part of the GoP’s own agenda with respect to enhancing the environmental management framework as a means to contribute to the country’s competitiveness and economic growth agenda. </w:t>
      </w:r>
      <w:r w:rsidR="0086677A">
        <w:t xml:space="preserve">As a result, </w:t>
      </w:r>
      <w:r w:rsidR="0086677A" w:rsidRPr="003F00AF">
        <w:t>the operation had a remarkable level of support from multiple sectors – environment, mining, transport, and fisheries</w:t>
      </w:r>
      <w:r w:rsidR="0086677A">
        <w:t xml:space="preserve">. Additionally, the GoP </w:t>
      </w:r>
      <w:r w:rsidR="00B76B64">
        <w:t>engaged with stakeholders through a</w:t>
      </w:r>
      <w:r w:rsidR="0086677A">
        <w:t xml:space="preserve"> comprehensive consultation</w:t>
      </w:r>
      <w:r w:rsidR="00B76B64">
        <w:t xml:space="preserve"> process, which </w:t>
      </w:r>
      <w:r w:rsidR="0086677A">
        <w:t xml:space="preserve">aimed </w:t>
      </w:r>
      <w:r w:rsidR="00B76B64">
        <w:t xml:space="preserve">to </w:t>
      </w:r>
      <w:r w:rsidR="0086677A">
        <w:t>build</w:t>
      </w:r>
      <w:r w:rsidR="00B76B64">
        <w:t xml:space="preserve"> </w:t>
      </w:r>
      <w:r w:rsidR="0086677A">
        <w:t xml:space="preserve">consensus on policy reforms. Throughout the program cycle, the government’s strong macroeconomic and </w:t>
      </w:r>
      <w:r w:rsidR="0086677A" w:rsidRPr="0086677A">
        <w:rPr>
          <w:rFonts w:eastAsia="MS Mincho"/>
        </w:rPr>
        <w:t>institutional policies</w:t>
      </w:r>
      <w:r w:rsidR="0086677A">
        <w:t xml:space="preserve"> offered an enabling environment for implementing the program, guaranteeing financial resources, </w:t>
      </w:r>
      <w:r w:rsidR="00B76B64">
        <w:t xml:space="preserve">intersectoral </w:t>
      </w:r>
      <w:r w:rsidR="0086677A">
        <w:t xml:space="preserve">coordination </w:t>
      </w:r>
      <w:r w:rsidR="00B76B64">
        <w:t xml:space="preserve">among </w:t>
      </w:r>
      <w:r w:rsidR="0086677A">
        <w:t>and capacity strengthening of participating agencies.</w:t>
      </w:r>
    </w:p>
    <w:p w14:paraId="724A21B7" w14:textId="028CDA97" w:rsidR="008E18F4" w:rsidRPr="003F00AF" w:rsidRDefault="00E83586" w:rsidP="00E83586">
      <w:pPr>
        <w:pStyle w:val="ListParagraph"/>
        <w:keepNext/>
        <w:keepLines/>
        <w:spacing w:after="240"/>
        <w:ind w:left="0"/>
        <w:rPr>
          <w:i/>
        </w:rPr>
      </w:pPr>
      <w:bookmarkStart w:id="135" w:name="T_SEC10TEXT_SEC102A"/>
      <w:bookmarkEnd w:id="135"/>
      <w:r w:rsidRPr="003F00AF">
        <w:rPr>
          <w:i/>
        </w:rPr>
        <w:t>(b)</w:t>
      </w:r>
      <w:r w:rsidRPr="003F00AF">
        <w:rPr>
          <w:i/>
        </w:rPr>
        <w:tab/>
      </w:r>
      <w:r w:rsidR="008E18F4" w:rsidRPr="003F00AF">
        <w:rPr>
          <w:i/>
        </w:rPr>
        <w:t>Implementing Agency or Agencies Performance</w:t>
      </w:r>
    </w:p>
    <w:p w14:paraId="20FC6933" w14:textId="77777777" w:rsidR="008E18F4" w:rsidRPr="003F00AF" w:rsidRDefault="008E18F4" w:rsidP="008E18F4">
      <w:pPr>
        <w:pStyle w:val="ListParagraph"/>
        <w:keepNext/>
        <w:keepLines/>
        <w:spacing w:after="240"/>
        <w:ind w:left="0"/>
      </w:pPr>
      <w:r w:rsidRPr="003F00AF">
        <w:t>Rating: Satisfactory</w:t>
      </w:r>
    </w:p>
    <w:p w14:paraId="22FF6EDF" w14:textId="71EFBECB" w:rsidR="005651E6" w:rsidRDefault="005651E6" w:rsidP="005D2AA4">
      <w:pPr>
        <w:pStyle w:val="ListParagraph"/>
        <w:numPr>
          <w:ilvl w:val="0"/>
          <w:numId w:val="1"/>
        </w:numPr>
        <w:spacing w:after="240"/>
        <w:ind w:left="0" w:firstLine="0"/>
        <w:jc w:val="both"/>
      </w:pPr>
      <w:r w:rsidRPr="00742ED3">
        <w:rPr>
          <w:b/>
        </w:rPr>
        <w:t xml:space="preserve">The implementing agencies </w:t>
      </w:r>
      <w:r w:rsidR="0086677A" w:rsidRPr="00742ED3">
        <w:rPr>
          <w:b/>
        </w:rPr>
        <w:t>were committed achieve the program objectives.</w:t>
      </w:r>
      <w:r w:rsidRPr="00742ED3">
        <w:rPr>
          <w:b/>
        </w:rPr>
        <w:t xml:space="preserve"> </w:t>
      </w:r>
      <w:r w:rsidRPr="005651E6">
        <w:t>MEF and</w:t>
      </w:r>
      <w:r w:rsidR="0086677A" w:rsidRPr="005651E6">
        <w:t xml:space="preserve"> </w:t>
      </w:r>
      <w:r w:rsidRPr="005651E6">
        <w:t xml:space="preserve">the sectoral agencies actively participated in the </w:t>
      </w:r>
      <w:r>
        <w:t xml:space="preserve">stakeholder </w:t>
      </w:r>
      <w:r w:rsidRPr="005651E6">
        <w:t>consultation</w:t>
      </w:r>
      <w:r>
        <w:t xml:space="preserve"> process</w:t>
      </w:r>
      <w:r w:rsidRPr="005651E6">
        <w:t xml:space="preserve">, </w:t>
      </w:r>
      <w:r>
        <w:t>analytical work and d</w:t>
      </w:r>
      <w:r w:rsidRPr="005651E6">
        <w:t>esign of the policy r</w:t>
      </w:r>
      <w:r>
        <w:t>eforms</w:t>
      </w:r>
      <w:r w:rsidRPr="005651E6">
        <w:t xml:space="preserve">. </w:t>
      </w:r>
      <w:r w:rsidR="008E18F4" w:rsidRPr="005651E6">
        <w:t>Intersector</w:t>
      </w:r>
      <w:r w:rsidR="00AD6502" w:rsidRPr="005651E6">
        <w:t>al</w:t>
      </w:r>
      <w:r w:rsidR="008E18F4" w:rsidRPr="005651E6">
        <w:t xml:space="preserve"> coordination was an important determinant of the </w:t>
      </w:r>
      <w:r w:rsidR="000141EE" w:rsidRPr="005651E6">
        <w:t>program</w:t>
      </w:r>
      <w:r w:rsidR="008E18F4" w:rsidRPr="005651E6">
        <w:t>’s success.</w:t>
      </w:r>
      <w:r w:rsidR="008E18F4" w:rsidRPr="00742ED3">
        <w:rPr>
          <w:b/>
        </w:rPr>
        <w:t xml:space="preserve"> </w:t>
      </w:r>
      <w:r w:rsidR="008E18F4" w:rsidRPr="003F00AF">
        <w:t>During the program</w:t>
      </w:r>
      <w:r w:rsidR="00631138">
        <w:t>’s</w:t>
      </w:r>
      <w:r w:rsidR="008E18F4" w:rsidRPr="003F00AF">
        <w:t xml:space="preserve"> implementation, the MEF, PRODUCE, MINAM, and MEM not only successfully coordinated with each other, but also encouraged other agencies to participate more actively to ensure the program’s success.</w:t>
      </w:r>
      <w:r w:rsidR="00FF773D" w:rsidRPr="003F00AF">
        <w:t xml:space="preserve"> </w:t>
      </w:r>
      <w:r w:rsidR="00BE2228" w:rsidRPr="003F00AF">
        <w:t xml:space="preserve">For instance, PRODUCE followed up </w:t>
      </w:r>
      <w:r w:rsidR="00631138">
        <w:t xml:space="preserve">on </w:t>
      </w:r>
      <w:r w:rsidR="00BE2228" w:rsidRPr="003F00AF">
        <w:t>the results of FONCOPES in order to monitor the fisheries policy. MINAM promoted the dialogue between SENAMHI and DIGESA for advancing a harmonized air quality monitoring system.</w:t>
      </w:r>
      <w:r w:rsidR="0086677A">
        <w:t xml:space="preserve"> All agencies had key staff </w:t>
      </w:r>
      <w:r>
        <w:t xml:space="preserve">that coordinated the implementation of </w:t>
      </w:r>
      <w:r w:rsidR="0086677A">
        <w:t>policy reforms</w:t>
      </w:r>
      <w:r>
        <w:t xml:space="preserve"> </w:t>
      </w:r>
      <w:r w:rsidR="0086677A">
        <w:t>and</w:t>
      </w:r>
      <w:r>
        <w:t xml:space="preserve"> </w:t>
      </w:r>
      <w:r w:rsidR="0086677A">
        <w:t>provid</w:t>
      </w:r>
      <w:r>
        <w:t>ed</w:t>
      </w:r>
      <w:r w:rsidR="0086677A">
        <w:t xml:space="preserve"> MEF and World Bank team with relevant information on the program implementation</w:t>
      </w:r>
      <w:r>
        <w:t xml:space="preserve"> in a regular basis</w:t>
      </w:r>
      <w:r w:rsidR="0086677A">
        <w:t>.</w:t>
      </w:r>
      <w:r>
        <w:t xml:space="preserve"> This close follow up allowed the implementing agencies to early identify potential constraints to policy implementation</w:t>
      </w:r>
      <w:r w:rsidR="00742ED3">
        <w:t>;</w:t>
      </w:r>
      <w:r>
        <w:t xml:space="preserve"> </w:t>
      </w:r>
      <w:r w:rsidR="00742ED3">
        <w:t xml:space="preserve">seek </w:t>
      </w:r>
      <w:r w:rsidR="0053330A">
        <w:t xml:space="preserve">the required </w:t>
      </w:r>
      <w:r w:rsidR="00742ED3">
        <w:t>technical support</w:t>
      </w:r>
      <w:r w:rsidR="0053330A">
        <w:t>, including from</w:t>
      </w:r>
      <w:r w:rsidR="00742ED3">
        <w:t xml:space="preserve"> the World Bank; and determine </w:t>
      </w:r>
      <w:r>
        <w:t>solutions to address those obstacles.</w:t>
      </w:r>
    </w:p>
    <w:p w14:paraId="0E5C8134" w14:textId="1E1577BC" w:rsidR="008E18F4" w:rsidRPr="003F00AF" w:rsidRDefault="005651E6" w:rsidP="005D2AA4">
      <w:pPr>
        <w:pStyle w:val="ListParagraph"/>
        <w:numPr>
          <w:ilvl w:val="0"/>
          <w:numId w:val="1"/>
        </w:numPr>
        <w:spacing w:after="240"/>
        <w:ind w:left="0" w:firstLine="0"/>
        <w:jc w:val="both"/>
      </w:pPr>
      <w:r>
        <w:t>When facing potential implementation issues, the age</w:t>
      </w:r>
    </w:p>
    <w:p w14:paraId="0DD559CC" w14:textId="4BACF3E4" w:rsidR="008E18F4" w:rsidRPr="003F00AF" w:rsidRDefault="00E83586" w:rsidP="00E83586">
      <w:pPr>
        <w:pStyle w:val="ListParagraph"/>
        <w:keepNext/>
        <w:keepLines/>
        <w:spacing w:after="240"/>
        <w:ind w:left="0"/>
        <w:rPr>
          <w:i/>
        </w:rPr>
      </w:pPr>
      <w:bookmarkStart w:id="136" w:name="T_SEC10TEXT_SEC102B"/>
      <w:bookmarkEnd w:id="136"/>
      <w:r w:rsidRPr="003F00AF">
        <w:rPr>
          <w:i/>
        </w:rPr>
        <w:t>(c)</w:t>
      </w:r>
      <w:r w:rsidRPr="003F00AF">
        <w:rPr>
          <w:i/>
        </w:rPr>
        <w:tab/>
      </w:r>
      <w:r w:rsidR="008E18F4" w:rsidRPr="003F00AF">
        <w:rPr>
          <w:i/>
        </w:rPr>
        <w:t>Justification of Rating for Overall Borrower Performance</w:t>
      </w:r>
    </w:p>
    <w:p w14:paraId="4CE29989" w14:textId="77777777" w:rsidR="008E18F4" w:rsidRPr="003F00AF" w:rsidRDefault="008E18F4" w:rsidP="008E18F4">
      <w:pPr>
        <w:pStyle w:val="ListParagraph"/>
        <w:keepNext/>
        <w:keepLines/>
        <w:spacing w:after="240"/>
        <w:ind w:left="0"/>
      </w:pPr>
      <w:r w:rsidRPr="003F00AF">
        <w:t>Rating: Satisfactory</w:t>
      </w:r>
    </w:p>
    <w:p w14:paraId="2C28FFFA" w14:textId="1C76EC09" w:rsidR="008E18F4" w:rsidRPr="003F00AF" w:rsidRDefault="008E18F4" w:rsidP="008E18F4">
      <w:pPr>
        <w:pStyle w:val="ListParagraph"/>
        <w:numPr>
          <w:ilvl w:val="0"/>
          <w:numId w:val="1"/>
        </w:numPr>
        <w:spacing w:after="240"/>
        <w:ind w:left="0" w:firstLine="0"/>
        <w:jc w:val="both"/>
      </w:pPr>
      <w:r w:rsidRPr="003F00AF">
        <w:t xml:space="preserve">Overall, the </w:t>
      </w:r>
      <w:r w:rsidR="000141EE">
        <w:t>B</w:t>
      </w:r>
      <w:r w:rsidRPr="003F00AF">
        <w:t>orrowers’ performance is deemed satisfactory for the reasons stated above.</w:t>
      </w:r>
    </w:p>
    <w:p w14:paraId="3BF0E02E" w14:textId="33290401" w:rsidR="008E18F4" w:rsidRPr="003F00AF" w:rsidRDefault="00BA4AEC" w:rsidP="008E18F4">
      <w:pPr>
        <w:pStyle w:val="Heading1"/>
        <w:keepNext/>
        <w:keepLines/>
        <w:spacing w:before="0" w:beforeAutospacing="0" w:after="240"/>
        <w:rPr>
          <w:sz w:val="24"/>
          <w:szCs w:val="24"/>
        </w:rPr>
      </w:pPr>
      <w:bookmarkStart w:id="137" w:name="_6._Lessons_Learned"/>
      <w:bookmarkStart w:id="138" w:name="_IL11"/>
      <w:bookmarkStart w:id="139" w:name="_Toc156197720"/>
      <w:bookmarkStart w:id="140" w:name="_Toc158020657"/>
      <w:bookmarkStart w:id="141" w:name="_Toc448507217"/>
      <w:bookmarkStart w:id="142" w:name="_Toc463040017"/>
      <w:bookmarkEnd w:id="123"/>
      <w:bookmarkEnd w:id="137"/>
      <w:r w:rsidRPr="003F00AF">
        <w:rPr>
          <w:sz w:val="24"/>
          <w:szCs w:val="24"/>
        </w:rPr>
        <w:t>6.</w:t>
      </w:r>
      <w:r w:rsidRPr="003F00AF">
        <w:rPr>
          <w:sz w:val="24"/>
          <w:szCs w:val="24"/>
        </w:rPr>
        <w:tab/>
      </w:r>
      <w:r w:rsidR="008E18F4" w:rsidRPr="003F00AF">
        <w:rPr>
          <w:sz w:val="24"/>
          <w:szCs w:val="24"/>
        </w:rPr>
        <w:t>Lessons Learned</w:t>
      </w:r>
      <w:bookmarkEnd w:id="138"/>
      <w:bookmarkEnd w:id="139"/>
      <w:bookmarkEnd w:id="140"/>
      <w:bookmarkEnd w:id="141"/>
      <w:bookmarkEnd w:id="142"/>
      <w:r w:rsidR="008E18F4" w:rsidRPr="003F00AF">
        <w:rPr>
          <w:sz w:val="24"/>
          <w:szCs w:val="24"/>
        </w:rPr>
        <w:t xml:space="preserve"> </w:t>
      </w:r>
      <w:bookmarkStart w:id="143" w:name="T_SEC11TEXT_SEC11"/>
      <w:bookmarkStart w:id="144" w:name="_IL12"/>
      <w:bookmarkStart w:id="145" w:name="_Toc156197721"/>
      <w:bookmarkStart w:id="146" w:name="_Toc158020658"/>
      <w:bookmarkEnd w:id="143"/>
    </w:p>
    <w:p w14:paraId="22D50DB1" w14:textId="272728BD" w:rsidR="008E18F4" w:rsidRPr="003F00AF" w:rsidRDefault="00E83586" w:rsidP="008E18F4">
      <w:pPr>
        <w:pStyle w:val="ListParagraph"/>
        <w:keepNext/>
        <w:keepLines/>
        <w:spacing w:after="240"/>
        <w:ind w:left="0"/>
        <w:rPr>
          <w:i/>
        </w:rPr>
      </w:pPr>
      <w:r w:rsidRPr="003F00AF">
        <w:rPr>
          <w:i/>
        </w:rPr>
        <w:t>(a)</w:t>
      </w:r>
      <w:r w:rsidRPr="003F00AF">
        <w:rPr>
          <w:i/>
        </w:rPr>
        <w:tab/>
      </w:r>
      <w:r w:rsidR="008E18F4" w:rsidRPr="003F00AF">
        <w:rPr>
          <w:i/>
        </w:rPr>
        <w:t>Lessons of Wide General Application</w:t>
      </w:r>
    </w:p>
    <w:p w14:paraId="627B15FE" w14:textId="1949CCCB" w:rsidR="008E18F4" w:rsidRPr="003F00AF" w:rsidRDefault="008E18F4" w:rsidP="008E18F4">
      <w:pPr>
        <w:pStyle w:val="ListParagraph"/>
        <w:numPr>
          <w:ilvl w:val="0"/>
          <w:numId w:val="1"/>
        </w:numPr>
        <w:spacing w:after="240"/>
        <w:ind w:left="0" w:firstLine="0"/>
        <w:jc w:val="both"/>
      </w:pPr>
      <w:r w:rsidRPr="003F00AF">
        <w:rPr>
          <w:b/>
        </w:rPr>
        <w:t>Strengthening environmental governance and institutions and mainstreaming environmental sustainability in the development agenda of key sectors are long-term processes.</w:t>
      </w:r>
      <w:r w:rsidRPr="003F00AF">
        <w:t xml:space="preserve"> The three operations were approved by the World Bank’s Board between February 2009 and July 2010, but because the first operation was a DDO, it remained active until the second half of 2015. This enabled the World Bank to monitor the implementation of significant policy reforms during a period of more than six years, which is considerably longer than most other World Bank development-based operations. This unusual situation </w:t>
      </w:r>
      <w:r w:rsidR="00B433B0">
        <w:t xml:space="preserve">also </w:t>
      </w:r>
      <w:r w:rsidRPr="003F00AF">
        <w:t xml:space="preserve">enabled the World Bank to support </w:t>
      </w:r>
      <w:r w:rsidR="00B433B0">
        <w:t>t</w:t>
      </w:r>
      <w:r w:rsidRPr="003F00AF">
        <w:t xml:space="preserve">he GoP in different areas, from designing policy reforms, to strengthening the institutional capacity of GoP agencies to comply with the new legal framework and achieve the intended results. Providing a longer time frame to support client countries in implementing DPL-supported policies </w:t>
      </w:r>
      <w:r w:rsidR="00B433B0">
        <w:t xml:space="preserve">contributes </w:t>
      </w:r>
      <w:r w:rsidRPr="003F00AF">
        <w:t xml:space="preserve">to strengthen country ownership, reduce excessive conditionality, and </w:t>
      </w:r>
      <w:r w:rsidR="00B433B0">
        <w:t>strengthen DPLs’ results focus.</w:t>
      </w:r>
    </w:p>
    <w:p w14:paraId="2707912F" w14:textId="516A1233" w:rsidR="008E18F4" w:rsidRPr="003F00AF" w:rsidRDefault="008E18F4" w:rsidP="008E18F4">
      <w:pPr>
        <w:pStyle w:val="ListParagraph"/>
        <w:numPr>
          <w:ilvl w:val="0"/>
          <w:numId w:val="1"/>
        </w:numPr>
        <w:spacing w:after="240"/>
        <w:ind w:left="0" w:firstLine="0"/>
        <w:jc w:val="both"/>
        <w:rPr>
          <w:iCs/>
        </w:rPr>
      </w:pPr>
      <w:r w:rsidRPr="003F00AF">
        <w:rPr>
          <w:b/>
        </w:rPr>
        <w:t xml:space="preserve">The importance of building a reform program is based on extensive analytical work, which includes technical, institutional, and political economy analyses. </w:t>
      </w:r>
      <w:r w:rsidRPr="003F00AF">
        <w:rPr>
          <w:iCs/>
        </w:rPr>
        <w:t>The detailed 2007 CEA served as an underlying basis for the suggested actions in the ENVDPL</w:t>
      </w:r>
      <w:r w:rsidR="00B433B0">
        <w:rPr>
          <w:iCs/>
        </w:rPr>
        <w:t>s</w:t>
      </w:r>
      <w:r w:rsidRPr="003F00AF">
        <w:rPr>
          <w:iCs/>
        </w:rPr>
        <w:t xml:space="preserve">. The CEA included assessments that underpinned the identification of environmental priorities linked with poverty reduction and the country’s development priorities. The CEA’s institutional analysis, comprising both formal and informal rules and their enforcement mechanisms, also pinpointed key institutional needs and shortcomings of the national environmental system in Peru. In addition, the CEA’s </w:t>
      </w:r>
      <w:r w:rsidR="00065CC3">
        <w:rPr>
          <w:iCs/>
        </w:rPr>
        <w:t>review of</w:t>
      </w:r>
      <w:r w:rsidRPr="003F00AF">
        <w:rPr>
          <w:iCs/>
        </w:rPr>
        <w:t xml:space="preserve"> the cost</w:t>
      </w:r>
      <w:r w:rsidR="00065CC3">
        <w:rPr>
          <w:iCs/>
        </w:rPr>
        <w:t xml:space="preserve">s and </w:t>
      </w:r>
      <w:r w:rsidRPr="003F00AF">
        <w:rPr>
          <w:iCs/>
        </w:rPr>
        <w:t>benefit</w:t>
      </w:r>
      <w:r w:rsidR="00065CC3">
        <w:rPr>
          <w:iCs/>
        </w:rPr>
        <w:t xml:space="preserve">s </w:t>
      </w:r>
      <w:r w:rsidRPr="003F00AF">
        <w:rPr>
          <w:iCs/>
        </w:rPr>
        <w:t>of alternative interventions to tackle identified environmental priorities facilitated the selection of policies that were later adopted under the DPL</w:t>
      </w:r>
      <w:r w:rsidR="00065CC3">
        <w:rPr>
          <w:iCs/>
        </w:rPr>
        <w:t xml:space="preserve"> series</w:t>
      </w:r>
      <w:r w:rsidRPr="003F00AF">
        <w:rPr>
          <w:iCs/>
        </w:rPr>
        <w:t xml:space="preserve"> The </w:t>
      </w:r>
      <w:r w:rsidRPr="003F00AF">
        <w:t>CEA was the basis of the programmatic ENVDPL</w:t>
      </w:r>
      <w:r w:rsidR="00B433B0">
        <w:t>s</w:t>
      </w:r>
      <w:r w:rsidRPr="003F00AF">
        <w:t xml:space="preserve">, but also and more importantly, it helped </w:t>
      </w:r>
      <w:r w:rsidR="00065CC3">
        <w:t xml:space="preserve">provide a </w:t>
      </w:r>
      <w:r w:rsidRPr="003F00AF">
        <w:t>road map for transformational public policies on environmental health and pollution management, fisheries, water resources, and disaster risk management. Agencies like OEFA, which currently are the backbone for environmental policy implementation, were designed following the CEA recommendations.</w:t>
      </w:r>
    </w:p>
    <w:p w14:paraId="68597EBB" w14:textId="2B4ED702" w:rsidR="008E18F4" w:rsidRPr="003F00AF" w:rsidRDefault="008E18F4" w:rsidP="008E18F4">
      <w:pPr>
        <w:pStyle w:val="ListParagraph"/>
        <w:numPr>
          <w:ilvl w:val="0"/>
          <w:numId w:val="1"/>
        </w:numPr>
        <w:spacing w:after="240"/>
        <w:ind w:left="0" w:firstLine="0"/>
        <w:jc w:val="both"/>
        <w:rPr>
          <w:iCs/>
        </w:rPr>
      </w:pPr>
      <w:r w:rsidRPr="003F00AF">
        <w:rPr>
          <w:b/>
        </w:rPr>
        <w:t>Government ownership is essential to ensure the design, adoption, and effective implementation of policy reforms.</w:t>
      </w:r>
      <w:r w:rsidRPr="003F00AF">
        <w:t xml:space="preserve"> </w:t>
      </w:r>
      <w:r w:rsidR="00B433B0">
        <w:rPr>
          <w:iCs/>
        </w:rPr>
        <w:t>T</w:t>
      </w:r>
      <w:r w:rsidRPr="003F00AF">
        <w:rPr>
          <w:iCs/>
        </w:rPr>
        <w:t xml:space="preserve">he CEA was key in engaging a broad range of stakeholders and building consensus on the need to adopt ambitious reforms. The CEA’s recommendations became fully owned by government officials from CONAM, MEF, and other involved agencies, as well as other stakeholders who participated in its </w:t>
      </w:r>
      <w:r w:rsidR="00625914">
        <w:rPr>
          <w:iCs/>
        </w:rPr>
        <w:t>development</w:t>
      </w:r>
      <w:r w:rsidRPr="003F00AF">
        <w:rPr>
          <w:iCs/>
        </w:rPr>
        <w:t xml:space="preserve">. Moreover, </w:t>
      </w:r>
      <w:r w:rsidRPr="003F00AF">
        <w:t>years later, CEA task team members were appointed to high senior positions at MINAM</w:t>
      </w:r>
      <w:r w:rsidRPr="003F00AF">
        <w:rPr>
          <w:iCs/>
        </w:rPr>
        <w:t>, paving the way for the implementation of several of the CEA’s recommendations with the DPLs’ support.</w:t>
      </w:r>
      <w:r w:rsidRPr="003F00AF">
        <w:t xml:space="preserve"> As demonstrated by the DPL series, government ownership ensures the ability to influence development outcomes and can transcend administrations. The reform program supported by the World Bank</w:t>
      </w:r>
      <w:r w:rsidR="007D74ED" w:rsidRPr="003F00AF">
        <w:t xml:space="preserve">, </w:t>
      </w:r>
      <w:r w:rsidRPr="003F00AF">
        <w:t xml:space="preserve">initiated under the </w:t>
      </w:r>
      <w:r w:rsidR="007D74ED" w:rsidRPr="003F00AF">
        <w:t xml:space="preserve">2006-2011 </w:t>
      </w:r>
      <w:r w:rsidRPr="003F00AF">
        <w:t>administration</w:t>
      </w:r>
      <w:r w:rsidR="007D74ED" w:rsidRPr="003F00AF">
        <w:t xml:space="preserve">, </w:t>
      </w:r>
      <w:r w:rsidRPr="003F00AF">
        <w:t xml:space="preserve">continued under </w:t>
      </w:r>
      <w:r w:rsidR="007D74ED" w:rsidRPr="003F00AF">
        <w:t xml:space="preserve">a new </w:t>
      </w:r>
      <w:r w:rsidRPr="003F00AF">
        <w:t>administration</w:t>
      </w:r>
      <w:r w:rsidR="007D74ED" w:rsidRPr="003F00AF">
        <w:t xml:space="preserve"> (2011-2016)</w:t>
      </w:r>
      <w:r w:rsidRPr="003F00AF">
        <w:t>.</w:t>
      </w:r>
    </w:p>
    <w:p w14:paraId="0E0DFB98" w14:textId="163A9691" w:rsidR="008E18F4" w:rsidRPr="003F00AF" w:rsidRDefault="008E18F4" w:rsidP="00C47BD3">
      <w:pPr>
        <w:pStyle w:val="ListParagraph"/>
        <w:numPr>
          <w:ilvl w:val="0"/>
          <w:numId w:val="1"/>
        </w:numPr>
        <w:spacing w:after="240"/>
        <w:ind w:left="0" w:firstLine="0"/>
        <w:jc w:val="both"/>
      </w:pPr>
      <w:r w:rsidRPr="003F00AF">
        <w:rPr>
          <w:b/>
        </w:rPr>
        <w:t xml:space="preserve">Establishing specific, measurable, and relevant outcome indicators is fundamental for strong performance. </w:t>
      </w:r>
      <w:r w:rsidRPr="003F00AF">
        <w:t>A relevant set of meaningful outcome indicators</w:t>
      </w:r>
      <w:r w:rsidR="00CF677E" w:rsidRPr="003F00AF">
        <w:t xml:space="preserve"> that can be monitored</w:t>
      </w:r>
      <w:r w:rsidRPr="003F00AF">
        <w:t xml:space="preserve"> should be established at the outset of a program, along with clearly defined baseline and target values to monitor progress and evaluate outcomes. </w:t>
      </w:r>
      <w:r w:rsidR="00AC18C8">
        <w:t>Although the</w:t>
      </w:r>
      <w:r w:rsidRPr="003F00AF">
        <w:t xml:space="preserve"> operation’s design defin</w:t>
      </w:r>
      <w:r w:rsidR="00AC18C8">
        <w:t>ed</w:t>
      </w:r>
      <w:r w:rsidRPr="003F00AF">
        <w:t xml:space="preserve"> the baseline value of a core set of outcome indicators and target values to measure progress</w:t>
      </w:r>
      <w:r w:rsidR="00AC18C8">
        <w:t xml:space="preserve">, </w:t>
      </w:r>
      <w:r w:rsidR="00C47BD3">
        <w:t xml:space="preserve">some PDO indicators and target values lacked precision and/or </w:t>
      </w:r>
      <w:r w:rsidR="00CD2FFC">
        <w:t xml:space="preserve">adequate ambition </w:t>
      </w:r>
      <w:r w:rsidR="00C47BD3">
        <w:t>(</w:t>
      </w:r>
      <w:r w:rsidR="006547E7">
        <w:rPr>
          <w:lang w:eastAsia="zh-TW"/>
        </w:rPr>
        <w:t xml:space="preserve">for example, </w:t>
      </w:r>
      <w:r w:rsidR="00C47BD3">
        <w:t xml:space="preserve">PDO Indicators 1, 3, </w:t>
      </w:r>
      <w:r w:rsidR="00ED4535">
        <w:t>4</w:t>
      </w:r>
      <w:r w:rsidR="00C47BD3">
        <w:t xml:space="preserve">, </w:t>
      </w:r>
      <w:r w:rsidR="00ED4535">
        <w:t>9</w:t>
      </w:r>
      <w:r w:rsidR="00C47BD3">
        <w:t xml:space="preserve"> and 1</w:t>
      </w:r>
      <w:r w:rsidR="00ED4535">
        <w:t>1</w:t>
      </w:r>
      <w:r w:rsidR="00C47BD3">
        <w:t xml:space="preserve">). </w:t>
      </w:r>
      <w:r w:rsidR="00AC18C8">
        <w:t xml:space="preserve">Besides, </w:t>
      </w:r>
      <w:r w:rsidRPr="003F00AF">
        <w:t>the inadequacy of some indicators to help gauge the GoP’s progress became evident after t</w:t>
      </w:r>
      <w:r w:rsidR="00C47BD3">
        <w:t xml:space="preserve">he three operations had been approved, especially after the closing </w:t>
      </w:r>
      <w:r w:rsidR="00AC18C8">
        <w:t xml:space="preserve">date </w:t>
      </w:r>
      <w:r w:rsidR="00C47BD3">
        <w:t xml:space="preserve">extension. </w:t>
      </w:r>
      <w:r w:rsidR="00AC18C8">
        <w:t>It</w:t>
      </w:r>
      <w:r w:rsidR="00C47BD3" w:rsidRPr="006B1732">
        <w:t xml:space="preserve"> was impossible to substitute </w:t>
      </w:r>
      <w:r w:rsidR="00C47BD3">
        <w:t xml:space="preserve">those indicators </w:t>
      </w:r>
      <w:r w:rsidR="00C47BD3" w:rsidRPr="006B1732">
        <w:t>for other, more relevant ones</w:t>
      </w:r>
      <w:r w:rsidR="00C47BD3">
        <w:t>, after the ENVDPL III was approved.</w:t>
      </w:r>
    </w:p>
    <w:p w14:paraId="7038FA96" w14:textId="40E87BF2" w:rsidR="008E18F4" w:rsidRPr="003F00AF" w:rsidRDefault="008E18F4" w:rsidP="00185F4E">
      <w:pPr>
        <w:pStyle w:val="ListParagraph"/>
        <w:numPr>
          <w:ilvl w:val="0"/>
          <w:numId w:val="1"/>
        </w:numPr>
        <w:spacing w:after="240"/>
        <w:ind w:left="0" w:firstLine="0"/>
        <w:jc w:val="both"/>
      </w:pPr>
      <w:r w:rsidRPr="00234F8F">
        <w:rPr>
          <w:b/>
        </w:rPr>
        <w:t xml:space="preserve">CEAs are tools to </w:t>
      </w:r>
      <w:r w:rsidR="00234F8F" w:rsidRPr="00234F8F">
        <w:rPr>
          <w:b/>
        </w:rPr>
        <w:t xml:space="preserve">strengthen policy dialogue, as well as to </w:t>
      </w:r>
      <w:r w:rsidRPr="00234F8F">
        <w:rPr>
          <w:b/>
        </w:rPr>
        <w:t>ensure compliance with the environmental, social, and poverty provisions of OP 8.60</w:t>
      </w:r>
      <w:r w:rsidR="00EA059A">
        <w:rPr>
          <w:b/>
        </w:rPr>
        <w:t xml:space="preserve"> </w:t>
      </w:r>
      <w:r w:rsidR="00EA059A" w:rsidRPr="00EA059A">
        <w:rPr>
          <w:b/>
        </w:rPr>
        <w:t>– Development Policy Financ</w:t>
      </w:r>
      <w:r w:rsidR="00EA059A">
        <w:rPr>
          <w:b/>
        </w:rPr>
        <w:t>ing</w:t>
      </w:r>
      <w:r w:rsidRPr="00234F8F">
        <w:rPr>
          <w:b/>
        </w:rPr>
        <w:t xml:space="preserve">. </w:t>
      </w:r>
      <w:r w:rsidR="00234F8F">
        <w:t>T</w:t>
      </w:r>
      <w:r w:rsidRPr="003F00AF">
        <w:t>he CEA was developed to strengthen Peru’s ‘</w:t>
      </w:r>
      <w:r w:rsidR="00234F8F">
        <w:t>c</w:t>
      </w:r>
      <w:r w:rsidRPr="003F00AF">
        <w:t xml:space="preserve">ountry </w:t>
      </w:r>
      <w:r w:rsidR="00234F8F">
        <w:t>s</w:t>
      </w:r>
      <w:r w:rsidRPr="003F00AF">
        <w:t xml:space="preserve">ystems’ by establishing a mechanism to identify priorities, evaluate alternative interventions to tackle those priorities, build consensus on the selection of environmental policies, and adopt and implement effective policy reforms. </w:t>
      </w:r>
      <w:r w:rsidR="00234F8F">
        <w:t xml:space="preserve">Also, the CEA contributed to consolidate the Bank’s policy dialogue with the GoP, </w:t>
      </w:r>
      <w:r w:rsidR="00234F8F" w:rsidRPr="003F3A83">
        <w:t>buil</w:t>
      </w:r>
      <w:r w:rsidR="00234F8F">
        <w:t xml:space="preserve">ding </w:t>
      </w:r>
      <w:r w:rsidR="00234F8F" w:rsidRPr="003F3A83">
        <w:t>a</w:t>
      </w:r>
      <w:r w:rsidR="00234F8F">
        <w:t xml:space="preserve"> </w:t>
      </w:r>
      <w:r w:rsidR="00234F8F" w:rsidRPr="003F3A83">
        <w:t>solid basis of knowledge and credibility on institutional and policy issues. Thus, when an</w:t>
      </w:r>
      <w:r w:rsidR="00234F8F">
        <w:t xml:space="preserve"> </w:t>
      </w:r>
      <w:r w:rsidR="00234F8F" w:rsidRPr="003F3A83">
        <w:t xml:space="preserve">unexpected fiscal shortfall in 2008 expanded opportunities for lending, the </w:t>
      </w:r>
      <w:r w:rsidR="00A564BD">
        <w:t xml:space="preserve">World </w:t>
      </w:r>
      <w:r w:rsidR="00234F8F">
        <w:t xml:space="preserve">Bank </w:t>
      </w:r>
      <w:r w:rsidR="00234F8F" w:rsidRPr="003F3A83">
        <w:t>had already</w:t>
      </w:r>
      <w:r w:rsidR="00234F8F">
        <w:t xml:space="preserve"> </w:t>
      </w:r>
      <w:r w:rsidR="00234F8F" w:rsidRPr="003F3A83">
        <w:t>prepared and disseminated institutional and policy recommendations that it could support</w:t>
      </w:r>
      <w:r w:rsidR="00234F8F">
        <w:t xml:space="preserve"> </w:t>
      </w:r>
      <w:r w:rsidR="00234F8F" w:rsidRPr="003F3A83">
        <w:t>through a DPL</w:t>
      </w:r>
      <w:r w:rsidR="00234F8F">
        <w:t xml:space="preserve">. </w:t>
      </w:r>
      <w:r w:rsidRPr="003F00AF">
        <w:t xml:space="preserve">Replicating the CEA’s approach could therefore </w:t>
      </w:r>
      <w:r w:rsidR="00234F8F">
        <w:t>create opportunities for policy dialogue, and c</w:t>
      </w:r>
      <w:r w:rsidRPr="003F00AF">
        <w:t>ontribute to strengthen the implementation of environmental and social requirements, highlighted by the</w:t>
      </w:r>
      <w:r w:rsidRPr="00234F8F">
        <w:rPr>
          <w:iCs/>
        </w:rPr>
        <w:t xml:space="preserve"> ‘</w:t>
      </w:r>
      <w:r w:rsidRPr="003F00AF">
        <w:t>2015 Development Policy Financing Retrospective’.</w:t>
      </w:r>
    </w:p>
    <w:p w14:paraId="54F2408E" w14:textId="4C691DDA" w:rsidR="008E18F4" w:rsidRPr="003F00AF" w:rsidRDefault="00E83586" w:rsidP="008E18F4">
      <w:pPr>
        <w:pStyle w:val="ListParagraph"/>
        <w:keepNext/>
        <w:keepLines/>
        <w:spacing w:after="240"/>
        <w:ind w:left="0"/>
        <w:rPr>
          <w:i/>
        </w:rPr>
      </w:pPr>
      <w:r w:rsidRPr="003F00AF">
        <w:rPr>
          <w:i/>
        </w:rPr>
        <w:t>(b)</w:t>
      </w:r>
      <w:r w:rsidRPr="003F00AF">
        <w:rPr>
          <w:i/>
        </w:rPr>
        <w:tab/>
      </w:r>
      <w:r w:rsidR="008E18F4" w:rsidRPr="003F00AF">
        <w:rPr>
          <w:i/>
        </w:rPr>
        <w:t>P</w:t>
      </w:r>
      <w:r w:rsidR="0029215D">
        <w:rPr>
          <w:i/>
        </w:rPr>
        <w:t>olicy Area S</w:t>
      </w:r>
      <w:r w:rsidR="008E18F4" w:rsidRPr="003F00AF">
        <w:rPr>
          <w:i/>
        </w:rPr>
        <w:t>pecific Lessons</w:t>
      </w:r>
    </w:p>
    <w:p w14:paraId="6CA36F5C" w14:textId="77777777" w:rsidR="008E18F4" w:rsidRPr="003F00AF" w:rsidRDefault="008E18F4" w:rsidP="008E18F4">
      <w:pPr>
        <w:pStyle w:val="ListParagraph"/>
        <w:keepNext/>
        <w:keepLines/>
        <w:numPr>
          <w:ilvl w:val="0"/>
          <w:numId w:val="12"/>
        </w:numPr>
        <w:spacing w:after="240"/>
        <w:ind w:left="720" w:firstLine="0"/>
        <w:rPr>
          <w:b/>
        </w:rPr>
      </w:pPr>
      <w:bookmarkStart w:id="147" w:name="_7._Comments_on"/>
      <w:bookmarkStart w:id="148" w:name="_Toc448507218"/>
      <w:bookmarkEnd w:id="147"/>
      <w:r w:rsidRPr="003F00AF">
        <w:rPr>
          <w:b/>
        </w:rPr>
        <w:t>MINAM</w:t>
      </w:r>
    </w:p>
    <w:p w14:paraId="54F40C37" w14:textId="0A9B4132" w:rsidR="008E18F4" w:rsidRPr="003F00AF" w:rsidRDefault="008E18F4" w:rsidP="008E18F4">
      <w:pPr>
        <w:pStyle w:val="ListParagraph"/>
        <w:numPr>
          <w:ilvl w:val="0"/>
          <w:numId w:val="1"/>
        </w:numPr>
        <w:spacing w:after="240"/>
        <w:ind w:left="0" w:firstLine="0"/>
        <w:jc w:val="both"/>
      </w:pPr>
      <w:r w:rsidRPr="003F00AF">
        <w:rPr>
          <w:b/>
        </w:rPr>
        <w:t>Institutional strengthening needs time.</w:t>
      </w:r>
      <w:r w:rsidRPr="003F00AF">
        <w:t xml:space="preserve"> The ENVDPL-supported policies introduced multiple innovations, including the establishment of MINAM as a new ministry to consolidate the environmental management responsibilities that were previously distributed among several agencies, the use of new technologies for air quality monitoring, and the mobilization of private sector resources to support NPA management. Each of these innovations requires the development of new procedures and protocols, strengthening of staff competenc</w:t>
      </w:r>
      <w:r w:rsidR="00ED7DE3">
        <w:t>i</w:t>
      </w:r>
      <w:r w:rsidRPr="003F00AF">
        <w:t>es and skills, and modifying the formal and informal rules in place. Thus, institutional strengthening needs to be conceived, from the o</w:t>
      </w:r>
      <w:r w:rsidR="00ED7DE3">
        <w:t>ut</w:t>
      </w:r>
      <w:r w:rsidRPr="003F00AF">
        <w:t>set, as a long-term endeavor. Setting clear milestones, as was done with the ENVDPL</w:t>
      </w:r>
      <w:r w:rsidR="00AC18C8">
        <w:t>s</w:t>
      </w:r>
      <w:r w:rsidRPr="003F00AF">
        <w:t>, helps to assess whether institutional capacity is being strengthened in a manner that is consistent with the end goal tha</w:t>
      </w:r>
      <w:r w:rsidR="00AC18C8">
        <w:t>t the country wants to achieve.</w:t>
      </w:r>
    </w:p>
    <w:p w14:paraId="3185741F" w14:textId="3E8EA589" w:rsidR="008E18F4" w:rsidRPr="003F00AF" w:rsidRDefault="008E18F4" w:rsidP="008E18F4">
      <w:pPr>
        <w:pStyle w:val="ListParagraph"/>
        <w:numPr>
          <w:ilvl w:val="0"/>
          <w:numId w:val="1"/>
        </w:numPr>
        <w:spacing w:after="240"/>
        <w:ind w:left="0" w:firstLine="0"/>
        <w:jc w:val="both"/>
      </w:pPr>
      <w:r w:rsidRPr="003F00AF">
        <w:rPr>
          <w:b/>
        </w:rPr>
        <w:t>Designing effective and efficient environmental policies and strengthening enforcement is fundamental to achieve policy implementation.</w:t>
      </w:r>
      <w:r w:rsidRPr="003F00AF">
        <w:t xml:space="preserve"> The ENVDPLs’ design included policy reforms to strengthen enforcement, recognizing that, in their absence, policy reforms are unlikely to deliver the sought improvements in environmental quality. </w:t>
      </w:r>
      <w:r w:rsidR="00352BA9">
        <w:t xml:space="preserve">The GoP has </w:t>
      </w:r>
      <w:r w:rsidRPr="003F00AF">
        <w:t>overhaul</w:t>
      </w:r>
      <w:r w:rsidR="00352BA9">
        <w:t xml:space="preserve">ed </w:t>
      </w:r>
      <w:r w:rsidRPr="003F00AF">
        <w:t>environmental enforcement, through the creation of OEFA</w:t>
      </w:r>
      <w:r w:rsidR="00352BA9">
        <w:t xml:space="preserve">, the increase </w:t>
      </w:r>
      <w:r w:rsidR="00ED7DE3">
        <w:t xml:space="preserve">in </w:t>
      </w:r>
      <w:r w:rsidRPr="003F00AF">
        <w:t xml:space="preserve">environmental enforcement budget, </w:t>
      </w:r>
      <w:r w:rsidR="00352BA9">
        <w:t xml:space="preserve">and </w:t>
      </w:r>
      <w:r w:rsidRPr="003F00AF">
        <w:t>promoti</w:t>
      </w:r>
      <w:r w:rsidR="00352BA9">
        <w:t xml:space="preserve">on of </w:t>
      </w:r>
      <w:r w:rsidRPr="003F00AF">
        <w:t>public participation in the en</w:t>
      </w:r>
      <w:r w:rsidR="00352BA9">
        <w:t>vironmental monitoring actions.</w:t>
      </w:r>
      <w:r w:rsidR="00352BA9">
        <w:rPr>
          <w:rStyle w:val="FootnoteReference"/>
        </w:rPr>
        <w:footnoteReference w:id="27"/>
      </w:r>
      <w:r w:rsidRPr="003F00AF">
        <w:t xml:space="preserve"> </w:t>
      </w:r>
      <w:r w:rsidR="00352BA9">
        <w:t xml:space="preserve">With these initiatives, </w:t>
      </w:r>
      <w:r w:rsidRPr="003F00AF">
        <w:t xml:space="preserve">the GoP is helping to build trust among communities, investors, and government entities on the effects of environmental policies and on decision making regarding specific projects with potentially significant environmental impacts. </w:t>
      </w:r>
    </w:p>
    <w:p w14:paraId="6065D851" w14:textId="77777777" w:rsidR="008E18F4" w:rsidRPr="003F00AF" w:rsidRDefault="008E18F4" w:rsidP="008E18F4">
      <w:pPr>
        <w:pStyle w:val="ListParagraph"/>
        <w:keepNext/>
        <w:keepLines/>
        <w:numPr>
          <w:ilvl w:val="0"/>
          <w:numId w:val="12"/>
        </w:numPr>
        <w:spacing w:after="240"/>
        <w:ind w:left="720" w:firstLine="0"/>
        <w:rPr>
          <w:b/>
        </w:rPr>
      </w:pPr>
      <w:r w:rsidRPr="003F00AF">
        <w:rPr>
          <w:b/>
        </w:rPr>
        <w:t>Natural Resources Management</w:t>
      </w:r>
    </w:p>
    <w:p w14:paraId="3E287916" w14:textId="033DEC1B" w:rsidR="008E18F4" w:rsidRPr="003F00AF" w:rsidRDefault="008E18F4" w:rsidP="00266C85">
      <w:pPr>
        <w:pStyle w:val="ListParagraph"/>
        <w:numPr>
          <w:ilvl w:val="0"/>
          <w:numId w:val="1"/>
        </w:numPr>
        <w:spacing w:after="240"/>
        <w:ind w:left="0" w:firstLine="0"/>
        <w:jc w:val="both"/>
      </w:pPr>
      <w:r w:rsidRPr="003F00AF">
        <w:rPr>
          <w:b/>
        </w:rPr>
        <w:t xml:space="preserve">The definition of biodiversity conservation as a GoP priority enabled significant progress in a relatively short time frame. </w:t>
      </w:r>
      <w:r w:rsidRPr="003F00AF">
        <w:t xml:space="preserve">Biodiversity conservation has long been a GoP priority; however, the ENVDPLs’ support enabled significant improvements such as a substantial increase in investments made in the establishment and management of NPAs. Similarly, the GoP successfully built synergies between biodiversity conservation and climate change mitigation and adaptation efforts, including through the development of the Climate Change Forest Action Plan, related projects on forest management (funded by </w:t>
      </w:r>
      <w:r w:rsidR="00EA5D0F" w:rsidRPr="003F00AF">
        <w:t xml:space="preserve">Forest Carbon Partnership Facility and Forest Investment Programme), </w:t>
      </w:r>
      <w:r w:rsidRPr="003F00AF">
        <w:t xml:space="preserve">and Peru’s Nationally Determined Contribution. By linking these issues, the GoP was able to both leverage carbon finance to support its conservation efforts and become a leader in international negotiations on climate change. Taking advantage of these achievements, the GoP can now focus on environmental health risks, which are now associated with the most significant economic and social effects of environmental degradation in Peru. </w:t>
      </w:r>
    </w:p>
    <w:p w14:paraId="0FA09280" w14:textId="77777777" w:rsidR="00CC6987" w:rsidRPr="003F00AF" w:rsidRDefault="00CC6987" w:rsidP="00CC6987">
      <w:pPr>
        <w:pStyle w:val="ListParagraph"/>
        <w:keepNext/>
        <w:keepLines/>
        <w:numPr>
          <w:ilvl w:val="0"/>
          <w:numId w:val="12"/>
        </w:numPr>
        <w:spacing w:after="240"/>
        <w:ind w:left="720" w:firstLine="0"/>
        <w:rPr>
          <w:b/>
        </w:rPr>
      </w:pPr>
      <w:r w:rsidRPr="003F00AF">
        <w:rPr>
          <w:b/>
        </w:rPr>
        <w:t>Air Quality Management</w:t>
      </w:r>
    </w:p>
    <w:p w14:paraId="1E210262" w14:textId="77777777" w:rsidR="00CC6987" w:rsidRPr="003F00AF" w:rsidRDefault="00CC6987" w:rsidP="00CC6987">
      <w:pPr>
        <w:pStyle w:val="ListParagraph"/>
        <w:numPr>
          <w:ilvl w:val="0"/>
          <w:numId w:val="1"/>
        </w:numPr>
        <w:spacing w:after="240"/>
        <w:ind w:left="0" w:firstLine="0"/>
        <w:jc w:val="both"/>
      </w:pPr>
      <w:r w:rsidRPr="003F00AF">
        <w:rPr>
          <w:b/>
        </w:rPr>
        <w:t xml:space="preserve">A reliable monitoring network is crucial to communicate the severity of the problem, as well as to gauge progress in addressing it. </w:t>
      </w:r>
      <w:r w:rsidRPr="003F00AF">
        <w:t xml:space="preserve">The old adage that it is impossible to manage what is not measured is particularly applicable to air quality. Specialized equipment, regular maintenance, supplies of consumables, standardized protocols for reading and interpreting the data, and training of personnel are all essential elements of viable air quality management policies. Overall, a strong institutional structure, combined with solid base funding and continued oversight, is essential for achieving reliable and consistent measurements over time. In spite of significant progress in the implementation of air quality management policies, air quality in cities such as Lima-Callao continues to be among the worst in Latin America. In this context, a reliable monitoring network is fundamental to communicate the results of policies adopted to date, while also explaining the need to adopt even more ambitious policies. </w:t>
      </w:r>
    </w:p>
    <w:p w14:paraId="736520D2" w14:textId="77777777" w:rsidR="00CC6987" w:rsidRPr="003F00AF" w:rsidRDefault="00CC6987" w:rsidP="00CC6987">
      <w:pPr>
        <w:pStyle w:val="ListParagraph"/>
        <w:numPr>
          <w:ilvl w:val="0"/>
          <w:numId w:val="1"/>
        </w:numPr>
        <w:spacing w:after="240"/>
        <w:ind w:left="0" w:firstLine="0"/>
        <w:jc w:val="both"/>
      </w:pPr>
      <w:r w:rsidRPr="003F00AF">
        <w:rPr>
          <w:b/>
        </w:rPr>
        <w:t>Framing air pollution as a priority problem for poverty reduction and income distribution is fundamental to catalyze action.</w:t>
      </w:r>
      <w:r w:rsidRPr="003F00AF">
        <w:t xml:space="preserve"> The CEA helped raise the visibility of air pollution and mobilize a broader stakeholder base to address it because it demonstrated that their impacts were significantly higher on the poor and other vulnerable groups (women, elderly, and small children). It also helped to better understand how poor air quality resulted in decreased productivity and educational performance, thereby constraining vulnerable groups’ opportunities for economic advancement. This type of evidence helped to persuade policy makers that air pollution was the concern not only of environmental groups, but also of those aiming to tackle Peru’s development challenges. </w:t>
      </w:r>
    </w:p>
    <w:p w14:paraId="09A9137A" w14:textId="77777777" w:rsidR="00CC6987" w:rsidRPr="003F00AF" w:rsidRDefault="00CC6987" w:rsidP="00CC6987">
      <w:pPr>
        <w:pStyle w:val="ListParagraph"/>
        <w:numPr>
          <w:ilvl w:val="0"/>
          <w:numId w:val="1"/>
        </w:numPr>
        <w:spacing w:after="240"/>
        <w:ind w:left="0" w:firstLine="0"/>
        <w:jc w:val="both"/>
      </w:pPr>
      <w:r w:rsidRPr="003F00AF">
        <w:rPr>
          <w:b/>
        </w:rPr>
        <w:t>Interinstitutional coordination is paramount to tackle environmental problems.</w:t>
      </w:r>
      <w:r w:rsidRPr="003F00AF">
        <w:t xml:space="preserve"> The causes of environmental degradation transcend the environmental sector. In the case of deteriorating air quality, the problem largely stems from the energy and urban transport sectors. Interagency coordination was crucial to develop a package of policies that succeeded in reducing ambient air pollution in Peru’s key cities. Today’s main challenge consists of generating information of homogeneous quality and making it available. Thus, further interagency coordination is needed, including by the different agencies that are currently in charge of operating the existing air quality monitoring networks. Although both DIGESA and SENAMHI are members of the Management Committee of the Clean Air Initiative for Lima and Callao, they still use different methods to disseminate </w:t>
      </w:r>
      <w:r>
        <w:t xml:space="preserve">air quality </w:t>
      </w:r>
      <w:r w:rsidRPr="003F00AF">
        <w:t>information. Their current coordination efforts aim at harmonizing and integrating these monitoring systems.</w:t>
      </w:r>
    </w:p>
    <w:p w14:paraId="3E8403C4" w14:textId="77777777" w:rsidR="008E18F4" w:rsidRPr="003F00AF" w:rsidRDefault="008E18F4" w:rsidP="008E18F4">
      <w:pPr>
        <w:pStyle w:val="ListParagraph"/>
        <w:keepNext/>
        <w:keepLines/>
        <w:numPr>
          <w:ilvl w:val="0"/>
          <w:numId w:val="12"/>
        </w:numPr>
        <w:spacing w:after="240"/>
        <w:ind w:left="720" w:firstLine="0"/>
        <w:rPr>
          <w:b/>
        </w:rPr>
      </w:pPr>
      <w:r w:rsidRPr="003F00AF">
        <w:rPr>
          <w:b/>
        </w:rPr>
        <w:t>Mining</w:t>
      </w:r>
    </w:p>
    <w:p w14:paraId="69913B0F" w14:textId="5CA7246E" w:rsidR="008E18F4" w:rsidRDefault="008E18F4" w:rsidP="008E18F4">
      <w:pPr>
        <w:pStyle w:val="ListParagraph"/>
        <w:numPr>
          <w:ilvl w:val="0"/>
          <w:numId w:val="1"/>
        </w:numPr>
        <w:spacing w:after="240"/>
        <w:ind w:left="0" w:firstLine="0"/>
        <w:jc w:val="both"/>
      </w:pPr>
      <w:r w:rsidRPr="003F00AF">
        <w:rPr>
          <w:b/>
        </w:rPr>
        <w:t xml:space="preserve">Reforms need to be continuously evaluated to ensure that they are contributing to </w:t>
      </w:r>
      <w:r w:rsidR="00CA6C04">
        <w:rPr>
          <w:b/>
        </w:rPr>
        <w:t xml:space="preserve">the </w:t>
      </w:r>
      <w:r w:rsidRPr="003F00AF">
        <w:rPr>
          <w:b/>
        </w:rPr>
        <w:t>achieve</w:t>
      </w:r>
      <w:r w:rsidR="00CA6C04">
        <w:rPr>
          <w:b/>
        </w:rPr>
        <w:t>ment of</w:t>
      </w:r>
      <w:r w:rsidRPr="003F00AF">
        <w:rPr>
          <w:b/>
        </w:rPr>
        <w:t xml:space="preserve"> the program’s development goal. </w:t>
      </w:r>
      <w:r w:rsidRPr="003F00AF">
        <w:t xml:space="preserve">The ENVDPL reforms in the mining sector aimed to address MELs and lack of participatory monitoring projects, which had been identified as the main sources of conflict in the sector. Although the DPL series achieved all of its intended results within the sector and investment in this sector has not decreased in the last 10 years, mining-related social conflict has not decreased either. In response to a request from the GoP, in 2016, the World Bank completed another evaluation of the social and environmental sustainability of the mining sector. The analytical work, compiled in the report ‘Peru: Policy Options to Enhance Environmental Sustainability of the Mining Sector’, aimed at supporting the GoP in improving the policy and institutional framework for environmental protection and conflict prevention and management in the mining sector. The report indicates that mining has been responsible for at least 25 percent of the conflicts in Peru between 2008 and 2014. Although most </w:t>
      </w:r>
      <w:r w:rsidRPr="003F00AF">
        <w:rPr>
          <w:bCs/>
        </w:rPr>
        <w:t>conflicts had multiple problems</w:t>
      </w:r>
      <w:r w:rsidRPr="003F00AF">
        <w:t xml:space="preserve"> </w:t>
      </w:r>
      <w:r w:rsidRPr="003F00AF">
        <w:rPr>
          <w:bCs/>
        </w:rPr>
        <w:t>attributed to them, the data clearly showed the predominance of environmental concerns. The study also found f</w:t>
      </w:r>
      <w:r w:rsidRPr="003F00AF">
        <w:t xml:space="preserve">ive issues that recur consistently across the cases: (a) </w:t>
      </w:r>
      <w:r w:rsidRPr="003F00AF">
        <w:rPr>
          <w:bCs/>
        </w:rPr>
        <w:t xml:space="preserve">fear of pollution based on the common perception that mining is a major polluter; </w:t>
      </w:r>
      <w:r w:rsidRPr="003F00AF">
        <w:t xml:space="preserve">(b) </w:t>
      </w:r>
      <w:r w:rsidRPr="003F00AF">
        <w:rPr>
          <w:bCs/>
        </w:rPr>
        <w:t xml:space="preserve">competition over access to land and water resources; (c) cultural and social issues not adequately addressed, causing communities to oppose mining; (d) asymmetry of power relations; and (e) lack of </w:t>
      </w:r>
      <w:r w:rsidR="003C3342">
        <w:rPr>
          <w:bCs/>
        </w:rPr>
        <w:t xml:space="preserve">communities’ </w:t>
      </w:r>
      <w:r w:rsidRPr="003F00AF">
        <w:rPr>
          <w:bCs/>
        </w:rPr>
        <w:t>trust  o</w:t>
      </w:r>
      <w:r w:rsidR="003C3342">
        <w:rPr>
          <w:bCs/>
        </w:rPr>
        <w:t>f</w:t>
      </w:r>
      <w:r w:rsidRPr="003F00AF">
        <w:rPr>
          <w:bCs/>
        </w:rPr>
        <w:t xml:space="preserve"> the GoP to protect them or the environment.</w:t>
      </w:r>
      <w:r w:rsidRPr="003F00AF">
        <w:t xml:space="preserve"> The report includes recommendations for policy, investment, and technical assistance activities to improve the Government’s capacity to address the causes of environmental </w:t>
      </w:r>
      <w:r w:rsidR="00CC6987">
        <w:t>conflicts in the mining sector.</w:t>
      </w:r>
    </w:p>
    <w:p w14:paraId="37E23ABB" w14:textId="77777777" w:rsidR="00CC6987" w:rsidRPr="003F00AF" w:rsidRDefault="00CC6987" w:rsidP="00CC6987">
      <w:pPr>
        <w:pStyle w:val="ListParagraph"/>
        <w:keepNext/>
        <w:keepLines/>
        <w:numPr>
          <w:ilvl w:val="0"/>
          <w:numId w:val="12"/>
        </w:numPr>
        <w:spacing w:after="240"/>
        <w:ind w:left="720" w:firstLine="0"/>
        <w:rPr>
          <w:b/>
        </w:rPr>
      </w:pPr>
      <w:r w:rsidRPr="003F00AF">
        <w:rPr>
          <w:b/>
        </w:rPr>
        <w:t>Fisheries</w:t>
      </w:r>
    </w:p>
    <w:p w14:paraId="7CF3E6C1" w14:textId="77777777" w:rsidR="00CC6987" w:rsidRPr="003F00AF" w:rsidRDefault="00CC6987" w:rsidP="00CC6987">
      <w:pPr>
        <w:pStyle w:val="ListParagraph"/>
        <w:numPr>
          <w:ilvl w:val="0"/>
          <w:numId w:val="1"/>
        </w:numPr>
        <w:spacing w:after="240"/>
        <w:ind w:left="0" w:firstLine="0"/>
        <w:jc w:val="both"/>
      </w:pPr>
      <w:r w:rsidRPr="003F00AF">
        <w:rPr>
          <w:b/>
        </w:rPr>
        <w:t>Progress achieved to date could be significantly enhanced by increasing the scope of fishing quotas and ensuring their sustainability.</w:t>
      </w:r>
      <w:r w:rsidRPr="003F00AF">
        <w:t xml:space="preserve"> The evaluation of the individual quota system for the Peruvian </w:t>
      </w:r>
      <w:r w:rsidRPr="003F00AF">
        <w:rPr>
          <w:i/>
        </w:rPr>
        <w:t>anchoveta</w:t>
      </w:r>
      <w:r w:rsidRPr="003F00AF">
        <w:t xml:space="preserve"> fishery suggests that the policy has been associated with the species’ recovery, in addition to other environmental, economic, and social gains. However, it also reveals the need to expand the system of regulation for the entire fishery sector, including artisanal and small scale fisheries, which are currently exempted from this type of regulation. The reason is that having two systems in parallel, one with quotas and one without, creates perverse incentives to evade controls and increase catches. In this sense, it is necessary to have an overall catch quota by species and, within it, a differentiation fee for industrial and artisanal fisheries. Similarly, building on the success of the quotas for </w:t>
      </w:r>
      <w:r w:rsidRPr="003F00AF">
        <w:rPr>
          <w:i/>
        </w:rPr>
        <w:t>anchoveta</w:t>
      </w:r>
      <w:r w:rsidRPr="003F00AF">
        <w:t xml:space="preserve"> fisheries, the GoP could consider establishing quotas for other species. </w:t>
      </w:r>
    </w:p>
    <w:p w14:paraId="33E87D9D" w14:textId="77777777" w:rsidR="00CC6987" w:rsidRPr="003F00AF" w:rsidRDefault="00CC6987" w:rsidP="00CC6987">
      <w:pPr>
        <w:pStyle w:val="ListParagraph"/>
        <w:numPr>
          <w:ilvl w:val="0"/>
          <w:numId w:val="1"/>
        </w:numPr>
        <w:spacing w:after="240"/>
        <w:ind w:left="0" w:firstLine="0"/>
        <w:jc w:val="both"/>
      </w:pPr>
      <w:r w:rsidRPr="003F00AF">
        <w:rPr>
          <w:b/>
        </w:rPr>
        <w:t>Understanding the political economy is capital to achieve policy reforms.</w:t>
      </w:r>
      <w:r w:rsidRPr="003F00AF">
        <w:t xml:space="preserve"> Legislative Decree No. 1084 was introduced in a context of a highly concentrated industry, resulting from mergers and acquisitions of fishmeal firms. Also, before the introduction of the decree, oversupply of </w:t>
      </w:r>
      <w:r w:rsidRPr="003F00AF">
        <w:rPr>
          <w:i/>
        </w:rPr>
        <w:t>anchoveta</w:t>
      </w:r>
      <w:r w:rsidRPr="003F00AF">
        <w:t xml:space="preserve"> in fact eliminated the bargaining power of independent owners, mostly wooden boat owners, when they tried to sell </w:t>
      </w:r>
      <w:r w:rsidRPr="003F00AF">
        <w:rPr>
          <w:i/>
        </w:rPr>
        <w:t>anchoveta</w:t>
      </w:r>
      <w:r w:rsidRPr="003F00AF">
        <w:t xml:space="preserve"> to industrial plants. With the implementation of the quotas, independent owners have been able to negotiate better deals as they can supply plants that are unable to meet their full capacity with their own quotas. On the other hand, plant owners have benefited from improved </w:t>
      </w:r>
      <w:r w:rsidRPr="003F00AF">
        <w:rPr>
          <w:i/>
        </w:rPr>
        <w:t>anchoveta</w:t>
      </w:r>
      <w:r w:rsidRPr="003F00AF">
        <w:t xml:space="preserve"> quality, which has enabled them to diversify their products and target more lucrative markets. Understanding the fleet composition, designing different schemes for steel and wooden vessels, and identifying the potential winners and losers of policy reforms are crucial to build the coalitions needed to enact policy reforms. </w:t>
      </w:r>
    </w:p>
    <w:p w14:paraId="7927C17B" w14:textId="77777777" w:rsidR="00CC6987" w:rsidRPr="003F00AF" w:rsidRDefault="00CC6987" w:rsidP="00CC6987">
      <w:pPr>
        <w:pStyle w:val="ListParagraph"/>
        <w:numPr>
          <w:ilvl w:val="0"/>
          <w:numId w:val="1"/>
        </w:numPr>
        <w:spacing w:after="240"/>
        <w:ind w:left="0" w:firstLine="0"/>
        <w:jc w:val="both"/>
      </w:pPr>
      <w:r w:rsidRPr="003F00AF">
        <w:rPr>
          <w:b/>
        </w:rPr>
        <w:t xml:space="preserve">Win-win outcomes underpin the sustainability of policy reforms. </w:t>
      </w:r>
      <w:r w:rsidRPr="003F00AF">
        <w:t xml:space="preserve">The introduction of Legislative Decree No. 1084 has resulted in economic, social, and environmental benefits for a large number of stakeholders. Economically, fishermen and plant owners have benefited from the associated increase in </w:t>
      </w:r>
      <w:r w:rsidRPr="003F00AF">
        <w:rPr>
          <w:i/>
        </w:rPr>
        <w:t>anchoveta</w:t>
      </w:r>
      <w:r w:rsidRPr="003F00AF">
        <w:t xml:space="preserve"> prices. Available information suggests that the decree might have contributed to the species’ sustainability, which is important from an environmental standpoint, but also results in improved </w:t>
      </w:r>
      <w:r w:rsidRPr="003F00AF">
        <w:rPr>
          <w:i/>
        </w:rPr>
        <w:t>anchoveta</w:t>
      </w:r>
      <w:r w:rsidRPr="003F00AF">
        <w:t xml:space="preserve"> quality. Coupled with increased investments, better resource quality has enabled the redirection of private investment in the sector. In particular, after the decree’s adoption, investments increased to convert plants to special flours plants. Other investment has been directed to the construction and improvement of canning and freezing plants for direct human consumption.</w:t>
      </w:r>
    </w:p>
    <w:p w14:paraId="05367689" w14:textId="77777777" w:rsidR="00CC6987" w:rsidRPr="003F00AF" w:rsidRDefault="00CC6987" w:rsidP="00CC6987">
      <w:pPr>
        <w:pStyle w:val="ListParagraph"/>
        <w:numPr>
          <w:ilvl w:val="0"/>
          <w:numId w:val="1"/>
        </w:numPr>
        <w:spacing w:after="240"/>
        <w:ind w:left="0" w:firstLine="0"/>
        <w:jc w:val="both"/>
      </w:pPr>
      <w:r w:rsidRPr="003F00AF">
        <w:rPr>
          <w:b/>
        </w:rPr>
        <w:t>Integrating mechanisms to mitigate social impacts is indispensable to protect vulnerable groups from the potentially negative effects of policy reforms.</w:t>
      </w:r>
      <w:r w:rsidRPr="003F00AF">
        <w:t xml:space="preserve"> This was precisely why the ENVDPL incorporated the creation of FONCOPES as one of the supported policies in the fisheries sector. FONCOPES demonstrates how such mechanisms can be designed to be sustainable over time and can contribute to achieve development objectives, while simultaneously protecting vulnerable groups. </w:t>
      </w:r>
    </w:p>
    <w:p w14:paraId="0393ABE2" w14:textId="4C8E19B5" w:rsidR="008E18F4" w:rsidRPr="003F00AF" w:rsidRDefault="00BA4AEC" w:rsidP="008E18F4">
      <w:pPr>
        <w:pStyle w:val="Heading1"/>
        <w:keepNext/>
        <w:keepLines/>
        <w:spacing w:before="0" w:beforeAutospacing="0" w:after="240"/>
        <w:rPr>
          <w:sz w:val="24"/>
          <w:szCs w:val="24"/>
        </w:rPr>
      </w:pPr>
      <w:bookmarkStart w:id="149" w:name="_Toc463040018"/>
      <w:r w:rsidRPr="003F00AF">
        <w:rPr>
          <w:sz w:val="24"/>
          <w:szCs w:val="24"/>
        </w:rPr>
        <w:t>7.</w:t>
      </w:r>
      <w:r w:rsidRPr="003F00AF">
        <w:rPr>
          <w:sz w:val="24"/>
          <w:szCs w:val="24"/>
        </w:rPr>
        <w:tab/>
      </w:r>
      <w:r w:rsidR="008E18F4" w:rsidRPr="003F00AF">
        <w:rPr>
          <w:sz w:val="24"/>
          <w:szCs w:val="24"/>
        </w:rPr>
        <w:t>Comments on Issues Raised by Borrower/Implementing Agencies/Partners</w:t>
      </w:r>
      <w:bookmarkEnd w:id="144"/>
      <w:bookmarkEnd w:id="145"/>
      <w:bookmarkEnd w:id="146"/>
      <w:bookmarkEnd w:id="148"/>
      <w:bookmarkEnd w:id="149"/>
      <w:r w:rsidR="008E18F4" w:rsidRPr="003F00AF">
        <w:rPr>
          <w:sz w:val="24"/>
          <w:szCs w:val="24"/>
        </w:rPr>
        <w:t xml:space="preserve"> </w:t>
      </w:r>
    </w:p>
    <w:p w14:paraId="5335B320" w14:textId="1D9BF5A1" w:rsidR="008E18F4" w:rsidRPr="003F00AF" w:rsidRDefault="00E83586" w:rsidP="008E18F4">
      <w:pPr>
        <w:pStyle w:val="ListParagraph"/>
        <w:keepNext/>
        <w:keepLines/>
        <w:spacing w:after="240"/>
        <w:ind w:left="0"/>
        <w:rPr>
          <w:i/>
        </w:rPr>
      </w:pPr>
      <w:r w:rsidRPr="003F00AF">
        <w:rPr>
          <w:i/>
        </w:rPr>
        <w:t>(a)</w:t>
      </w:r>
      <w:r w:rsidRPr="003F00AF">
        <w:rPr>
          <w:i/>
        </w:rPr>
        <w:tab/>
      </w:r>
      <w:r w:rsidR="008E18F4" w:rsidRPr="003F00AF">
        <w:rPr>
          <w:i/>
        </w:rPr>
        <w:t xml:space="preserve">Borrower/Implementing </w:t>
      </w:r>
      <w:r w:rsidRPr="003F00AF">
        <w:rPr>
          <w:i/>
        </w:rPr>
        <w:t>A</w:t>
      </w:r>
      <w:r w:rsidR="008E18F4" w:rsidRPr="003F00AF">
        <w:rPr>
          <w:i/>
        </w:rPr>
        <w:t>gencie</w:t>
      </w:r>
      <w:bookmarkStart w:id="150" w:name="T_SEC11TEXT_SEC12A"/>
      <w:bookmarkEnd w:id="150"/>
      <w:r w:rsidR="008E18F4" w:rsidRPr="003F00AF">
        <w:rPr>
          <w:i/>
        </w:rPr>
        <w:t>s</w:t>
      </w:r>
    </w:p>
    <w:p w14:paraId="4E25AB0A" w14:textId="77777777" w:rsidR="008E18F4" w:rsidRPr="003F00AF" w:rsidRDefault="008E18F4" w:rsidP="00CF677E">
      <w:pPr>
        <w:spacing w:after="240"/>
        <w:jc w:val="both"/>
      </w:pPr>
      <w:r w:rsidRPr="003F00AF">
        <w:rPr>
          <w:rStyle w:val="Strong"/>
          <w:b w:val="0"/>
          <w:bCs w:val="0"/>
          <w:i/>
          <w:color w:val="000000"/>
        </w:rPr>
        <w:t xml:space="preserve">To be supplied by the borrower. </w:t>
      </w:r>
    </w:p>
    <w:p w14:paraId="161F855D" w14:textId="2DC5983C" w:rsidR="008E18F4" w:rsidRPr="003F00AF" w:rsidRDefault="00E83586" w:rsidP="008E18F4">
      <w:pPr>
        <w:pStyle w:val="ListParagraph"/>
        <w:keepNext/>
        <w:keepLines/>
        <w:spacing w:after="240"/>
        <w:ind w:left="0"/>
        <w:rPr>
          <w:i/>
        </w:rPr>
      </w:pPr>
      <w:r w:rsidRPr="003F00AF">
        <w:rPr>
          <w:i/>
        </w:rPr>
        <w:t>(b)</w:t>
      </w:r>
      <w:r w:rsidRPr="003F00AF">
        <w:rPr>
          <w:i/>
        </w:rPr>
        <w:tab/>
      </w:r>
      <w:r w:rsidR="008E18F4" w:rsidRPr="003F00AF">
        <w:rPr>
          <w:i/>
        </w:rPr>
        <w:t>Co-financiers</w:t>
      </w:r>
      <w:bookmarkStart w:id="151" w:name="T_SEC11TEXT_SEC12B"/>
      <w:bookmarkEnd w:id="151"/>
    </w:p>
    <w:p w14:paraId="524BF562" w14:textId="77777777" w:rsidR="008E18F4" w:rsidRPr="003F00AF" w:rsidRDefault="008E18F4" w:rsidP="008E18F4">
      <w:pPr>
        <w:pStyle w:val="ListParagraph"/>
        <w:numPr>
          <w:ilvl w:val="0"/>
          <w:numId w:val="1"/>
        </w:numPr>
        <w:spacing w:after="240"/>
        <w:ind w:left="0" w:firstLine="0"/>
        <w:jc w:val="both"/>
        <w:rPr>
          <w:b/>
        </w:rPr>
      </w:pPr>
      <w:r w:rsidRPr="003F00AF">
        <w:rPr>
          <w:iCs/>
          <w:color w:val="000000"/>
        </w:rPr>
        <w:t>Not applicable.</w:t>
      </w:r>
    </w:p>
    <w:p w14:paraId="47119E12" w14:textId="20DF0F60" w:rsidR="008E18F4" w:rsidRPr="003F00AF" w:rsidRDefault="00E83586" w:rsidP="008E18F4">
      <w:pPr>
        <w:pStyle w:val="ListParagraph"/>
        <w:keepNext/>
        <w:keepLines/>
        <w:spacing w:after="240"/>
        <w:ind w:left="0"/>
        <w:rPr>
          <w:i/>
        </w:rPr>
      </w:pPr>
      <w:r w:rsidRPr="003F00AF">
        <w:rPr>
          <w:i/>
        </w:rPr>
        <w:t>(c)</w:t>
      </w:r>
      <w:r w:rsidRPr="003F00AF">
        <w:rPr>
          <w:i/>
        </w:rPr>
        <w:tab/>
      </w:r>
      <w:r w:rsidR="008E18F4" w:rsidRPr="003F00AF">
        <w:rPr>
          <w:i/>
        </w:rPr>
        <w:t xml:space="preserve">Other </w:t>
      </w:r>
      <w:r w:rsidRPr="003F00AF">
        <w:rPr>
          <w:i/>
        </w:rPr>
        <w:t>P</w:t>
      </w:r>
      <w:r w:rsidR="008E18F4" w:rsidRPr="003F00AF">
        <w:rPr>
          <w:i/>
        </w:rPr>
        <w:t xml:space="preserve">artners and </w:t>
      </w:r>
      <w:r w:rsidRPr="003F00AF">
        <w:rPr>
          <w:i/>
        </w:rPr>
        <w:t>S</w:t>
      </w:r>
      <w:r w:rsidR="008E18F4" w:rsidRPr="003F00AF">
        <w:rPr>
          <w:i/>
        </w:rPr>
        <w:t xml:space="preserve">takeholders </w:t>
      </w:r>
    </w:p>
    <w:p w14:paraId="09EA00D8" w14:textId="77777777" w:rsidR="008E18F4" w:rsidRPr="003F00AF" w:rsidRDefault="008E18F4" w:rsidP="008E18F4">
      <w:pPr>
        <w:pStyle w:val="ListParagraph"/>
        <w:numPr>
          <w:ilvl w:val="0"/>
          <w:numId w:val="1"/>
        </w:numPr>
        <w:spacing w:after="240"/>
        <w:ind w:left="0" w:firstLine="0"/>
        <w:jc w:val="both"/>
        <w:rPr>
          <w:b/>
        </w:rPr>
      </w:pPr>
      <w:r w:rsidRPr="003F00AF">
        <w:rPr>
          <w:iCs/>
          <w:color w:val="000000"/>
        </w:rPr>
        <w:t>Not applicable.</w:t>
      </w:r>
    </w:p>
    <w:p w14:paraId="712F0BF3" w14:textId="77777777" w:rsidR="008E18F4" w:rsidRPr="003F00AF" w:rsidRDefault="008E18F4" w:rsidP="008E18F4">
      <w:pPr>
        <w:sectPr w:rsidR="008E18F4" w:rsidRPr="003F00AF" w:rsidSect="00FA4ABA">
          <w:headerReference w:type="even" r:id="rId28"/>
          <w:headerReference w:type="default" r:id="rId29"/>
          <w:footerReference w:type="even" r:id="rId30"/>
          <w:footerReference w:type="default" r:id="rId31"/>
          <w:headerReference w:type="first" r:id="rId32"/>
          <w:footerReference w:type="first" r:id="rId33"/>
          <w:pgSz w:w="12240" w:h="15840" w:code="1"/>
          <w:pgMar w:top="1440" w:right="1440" w:bottom="1440" w:left="1440" w:header="720" w:footer="720" w:gutter="0"/>
          <w:pgNumType w:start="1"/>
          <w:cols w:space="720"/>
          <w:docGrid w:linePitch="360"/>
        </w:sectPr>
      </w:pPr>
      <w:bookmarkStart w:id="152" w:name="_Annex_1._Bank"/>
      <w:bookmarkStart w:id="153" w:name="_Toc156197722"/>
      <w:bookmarkStart w:id="154" w:name="_Toc158020659"/>
      <w:bookmarkStart w:id="155" w:name="_IL16"/>
      <w:bookmarkEnd w:id="152"/>
    </w:p>
    <w:p w14:paraId="34EA4CEF" w14:textId="77777777" w:rsidR="008E18F4" w:rsidRPr="003F00AF" w:rsidRDefault="008E18F4" w:rsidP="008E18F4">
      <w:pPr>
        <w:keepNext/>
        <w:keepLines/>
        <w:spacing w:after="240"/>
        <w:jc w:val="center"/>
        <w:rPr>
          <w:b/>
        </w:rPr>
      </w:pPr>
      <w:r w:rsidRPr="003F00AF">
        <w:rPr>
          <w:b/>
        </w:rPr>
        <w:t>ANNEXES</w:t>
      </w:r>
    </w:p>
    <w:p w14:paraId="3568C3B8" w14:textId="77777777" w:rsidR="00266C85" w:rsidRPr="003F00AF" w:rsidRDefault="00266C85" w:rsidP="00266C85">
      <w:pPr>
        <w:pStyle w:val="Heading2"/>
        <w:spacing w:after="120"/>
        <w:jc w:val="center"/>
        <w:rPr>
          <w:sz w:val="24"/>
        </w:rPr>
      </w:pPr>
      <w:bookmarkStart w:id="156" w:name="_Toc448507381"/>
      <w:bookmarkStart w:id="157" w:name="_Toc156197723"/>
      <w:bookmarkStart w:id="158" w:name="_Toc156197724"/>
      <w:bookmarkStart w:id="159" w:name="_Toc158020660"/>
      <w:bookmarkStart w:id="160" w:name="_IL20"/>
      <w:bookmarkStart w:id="161" w:name="T_SEC11TEXT_SEC12C"/>
      <w:bookmarkStart w:id="162" w:name="_Toc463040019"/>
      <w:bookmarkEnd w:id="153"/>
      <w:bookmarkEnd w:id="154"/>
      <w:bookmarkEnd w:id="155"/>
      <w:r w:rsidRPr="003F00AF">
        <w:rPr>
          <w:sz w:val="24"/>
        </w:rPr>
        <w:t>Annex 1. Bank Lending and Implementation Support/Supervision Processes</w:t>
      </w:r>
      <w:bookmarkEnd w:id="156"/>
      <w:bookmarkEnd w:id="162"/>
    </w:p>
    <w:p w14:paraId="0F294915" w14:textId="77777777" w:rsidR="00266C85" w:rsidRPr="003F00AF" w:rsidRDefault="00266C85" w:rsidP="00266C85">
      <w:pPr>
        <w:rPr>
          <w:b/>
        </w:rPr>
      </w:pPr>
      <w:r w:rsidRPr="003F00AF">
        <w:rPr>
          <w:b/>
        </w:rPr>
        <w:t>(a) Task Team members</w:t>
      </w:r>
    </w:p>
    <w:p w14:paraId="3DE558EF" w14:textId="77777777" w:rsidR="00266C85" w:rsidRPr="003F00AF" w:rsidRDefault="00266C85" w:rsidP="00266C85"/>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330"/>
        <w:gridCol w:w="2371"/>
        <w:gridCol w:w="2466"/>
      </w:tblGrid>
      <w:tr w:rsidR="00266C85" w:rsidRPr="003F00AF" w14:paraId="6999DF74" w14:textId="77777777" w:rsidTr="00266C85">
        <w:trPr>
          <w:trHeight w:val="300"/>
          <w:tblHeader/>
        </w:trPr>
        <w:tc>
          <w:tcPr>
            <w:tcW w:w="1795" w:type="dxa"/>
            <w:shd w:val="clear" w:color="auto" w:fill="auto"/>
            <w:noWrap/>
            <w:hideMark/>
          </w:tcPr>
          <w:p w14:paraId="2291AC68" w14:textId="77777777" w:rsidR="00266C85" w:rsidRPr="003F00AF" w:rsidRDefault="00266C85" w:rsidP="00266C85">
            <w:pPr>
              <w:rPr>
                <w:rFonts w:eastAsia="Times New Roman"/>
                <w:b/>
                <w:sz w:val="20"/>
                <w:szCs w:val="20"/>
              </w:rPr>
            </w:pPr>
            <w:r w:rsidRPr="003F00AF">
              <w:rPr>
                <w:rFonts w:eastAsia="Times New Roman"/>
                <w:b/>
                <w:sz w:val="20"/>
                <w:szCs w:val="20"/>
              </w:rPr>
              <w:t>Name</w:t>
            </w:r>
          </w:p>
        </w:tc>
        <w:tc>
          <w:tcPr>
            <w:tcW w:w="3330" w:type="dxa"/>
            <w:shd w:val="clear" w:color="auto" w:fill="auto"/>
            <w:noWrap/>
            <w:hideMark/>
          </w:tcPr>
          <w:p w14:paraId="498FD49E" w14:textId="77777777" w:rsidR="00266C85" w:rsidRPr="003F00AF" w:rsidRDefault="00266C85" w:rsidP="00266C85">
            <w:pPr>
              <w:rPr>
                <w:rFonts w:eastAsia="Times New Roman"/>
                <w:b/>
                <w:sz w:val="20"/>
                <w:szCs w:val="20"/>
              </w:rPr>
            </w:pPr>
            <w:r w:rsidRPr="003F00AF">
              <w:rPr>
                <w:rFonts w:eastAsia="Times New Roman"/>
                <w:b/>
                <w:sz w:val="20"/>
                <w:szCs w:val="20"/>
              </w:rPr>
              <w:t>Title</w:t>
            </w:r>
          </w:p>
        </w:tc>
        <w:tc>
          <w:tcPr>
            <w:tcW w:w="2371" w:type="dxa"/>
            <w:shd w:val="clear" w:color="auto" w:fill="auto"/>
            <w:noWrap/>
            <w:hideMark/>
          </w:tcPr>
          <w:p w14:paraId="2DDC8C23" w14:textId="77777777" w:rsidR="00266C85" w:rsidRPr="003F00AF" w:rsidRDefault="00266C85" w:rsidP="00266C85">
            <w:pPr>
              <w:rPr>
                <w:rFonts w:eastAsia="Times New Roman"/>
                <w:b/>
                <w:sz w:val="20"/>
                <w:szCs w:val="20"/>
              </w:rPr>
            </w:pPr>
            <w:r w:rsidRPr="003F00AF">
              <w:rPr>
                <w:rFonts w:eastAsia="Times New Roman"/>
                <w:b/>
                <w:sz w:val="20"/>
                <w:szCs w:val="20"/>
              </w:rPr>
              <w:t>Unit</w:t>
            </w:r>
          </w:p>
        </w:tc>
        <w:tc>
          <w:tcPr>
            <w:tcW w:w="2466" w:type="dxa"/>
            <w:shd w:val="clear" w:color="auto" w:fill="auto"/>
            <w:noWrap/>
            <w:hideMark/>
          </w:tcPr>
          <w:p w14:paraId="00F8F349" w14:textId="77777777" w:rsidR="00266C85" w:rsidRPr="003F00AF" w:rsidRDefault="00266C85" w:rsidP="00266C85">
            <w:pPr>
              <w:rPr>
                <w:rFonts w:eastAsia="Times New Roman"/>
                <w:b/>
                <w:sz w:val="20"/>
                <w:szCs w:val="20"/>
              </w:rPr>
            </w:pPr>
            <w:r w:rsidRPr="003F00AF">
              <w:rPr>
                <w:rFonts w:eastAsia="Times New Roman"/>
                <w:b/>
                <w:sz w:val="20"/>
                <w:szCs w:val="20"/>
              </w:rPr>
              <w:t>Responsibility/Specialty</w:t>
            </w:r>
          </w:p>
        </w:tc>
      </w:tr>
      <w:tr w:rsidR="00266C85" w:rsidRPr="003F00AF" w14:paraId="5B11AA64" w14:textId="77777777" w:rsidTr="00266C85">
        <w:trPr>
          <w:trHeight w:val="300"/>
        </w:trPr>
        <w:tc>
          <w:tcPr>
            <w:tcW w:w="9962" w:type="dxa"/>
            <w:gridSpan w:val="4"/>
            <w:shd w:val="clear" w:color="auto" w:fill="auto"/>
            <w:noWrap/>
            <w:hideMark/>
          </w:tcPr>
          <w:p w14:paraId="4F1E5E3A" w14:textId="77777777" w:rsidR="00266C85" w:rsidRPr="003F00AF" w:rsidRDefault="00266C85" w:rsidP="00266C85">
            <w:pPr>
              <w:rPr>
                <w:rFonts w:eastAsia="Times New Roman"/>
                <w:b/>
                <w:sz w:val="20"/>
                <w:szCs w:val="20"/>
              </w:rPr>
            </w:pPr>
            <w:r w:rsidRPr="003F00AF">
              <w:rPr>
                <w:rFonts w:eastAsia="Times New Roman"/>
                <w:b/>
                <w:sz w:val="20"/>
                <w:szCs w:val="20"/>
              </w:rPr>
              <w:t>Lending (from Task Team in Program Document)</w:t>
            </w:r>
          </w:p>
        </w:tc>
      </w:tr>
      <w:tr w:rsidR="00266C85" w:rsidRPr="003F00AF" w14:paraId="7747FBB8" w14:textId="77777777" w:rsidTr="00266C85">
        <w:trPr>
          <w:trHeight w:val="300"/>
        </w:trPr>
        <w:tc>
          <w:tcPr>
            <w:tcW w:w="1795" w:type="dxa"/>
            <w:shd w:val="clear" w:color="auto" w:fill="auto"/>
            <w:noWrap/>
            <w:hideMark/>
          </w:tcPr>
          <w:p w14:paraId="4FC29791" w14:textId="77777777" w:rsidR="00266C85" w:rsidRPr="003F00AF" w:rsidRDefault="00266C85" w:rsidP="00266C85">
            <w:pPr>
              <w:rPr>
                <w:rFonts w:eastAsia="Times New Roman"/>
                <w:sz w:val="20"/>
                <w:szCs w:val="20"/>
              </w:rPr>
            </w:pPr>
            <w:r w:rsidRPr="003F00AF">
              <w:rPr>
                <w:sz w:val="20"/>
                <w:szCs w:val="20"/>
              </w:rPr>
              <w:t>Abel Mejia</w:t>
            </w:r>
          </w:p>
        </w:tc>
        <w:tc>
          <w:tcPr>
            <w:tcW w:w="3330" w:type="dxa"/>
            <w:shd w:val="clear" w:color="auto" w:fill="auto"/>
            <w:noWrap/>
            <w:hideMark/>
          </w:tcPr>
          <w:p w14:paraId="773D7C53" w14:textId="77777777" w:rsidR="00266C85" w:rsidRPr="003F00AF" w:rsidRDefault="00266C85" w:rsidP="00266C85">
            <w:pPr>
              <w:rPr>
                <w:rFonts w:eastAsia="Times New Roman"/>
                <w:sz w:val="20"/>
                <w:szCs w:val="20"/>
              </w:rPr>
            </w:pPr>
            <w:r w:rsidRPr="003F00AF">
              <w:rPr>
                <w:rFonts w:eastAsia="Times New Roman"/>
                <w:sz w:val="20"/>
                <w:szCs w:val="20"/>
              </w:rPr>
              <w:t>Sector Manager</w:t>
            </w:r>
          </w:p>
        </w:tc>
        <w:tc>
          <w:tcPr>
            <w:tcW w:w="2371" w:type="dxa"/>
            <w:shd w:val="clear" w:color="auto" w:fill="auto"/>
            <w:noWrap/>
            <w:hideMark/>
          </w:tcPr>
          <w:p w14:paraId="0CD77684" w14:textId="77777777" w:rsidR="00266C85" w:rsidRPr="003F00AF" w:rsidRDefault="00266C85" w:rsidP="00266C85">
            <w:pPr>
              <w:rPr>
                <w:rFonts w:eastAsia="Times New Roman"/>
                <w:sz w:val="20"/>
                <w:szCs w:val="20"/>
              </w:rPr>
            </w:pPr>
            <w:r w:rsidRPr="003F00AF">
              <w:rPr>
                <w:rFonts w:eastAsia="Times New Roman"/>
                <w:sz w:val="20"/>
                <w:szCs w:val="20"/>
              </w:rPr>
              <w:t>ETWAA</w:t>
            </w:r>
          </w:p>
        </w:tc>
        <w:tc>
          <w:tcPr>
            <w:tcW w:w="2466" w:type="dxa"/>
            <w:shd w:val="clear" w:color="auto" w:fill="auto"/>
            <w:noWrap/>
            <w:hideMark/>
          </w:tcPr>
          <w:p w14:paraId="40EA4AE5" w14:textId="77777777" w:rsidR="00266C85" w:rsidRPr="003F00AF" w:rsidRDefault="00266C85" w:rsidP="00266C85">
            <w:pPr>
              <w:rPr>
                <w:rFonts w:eastAsia="Times New Roman"/>
                <w:sz w:val="20"/>
                <w:szCs w:val="20"/>
              </w:rPr>
            </w:pPr>
            <w:r w:rsidRPr="003F00AF">
              <w:rPr>
                <w:rFonts w:eastAsia="Times New Roman"/>
                <w:sz w:val="20"/>
                <w:szCs w:val="20"/>
              </w:rPr>
              <w:t>Management</w:t>
            </w:r>
          </w:p>
        </w:tc>
      </w:tr>
      <w:tr w:rsidR="00266C85" w:rsidRPr="003F00AF" w14:paraId="381FF0BC" w14:textId="77777777" w:rsidTr="00266C85">
        <w:trPr>
          <w:trHeight w:val="300"/>
        </w:trPr>
        <w:tc>
          <w:tcPr>
            <w:tcW w:w="1795" w:type="dxa"/>
            <w:shd w:val="clear" w:color="auto" w:fill="auto"/>
            <w:noWrap/>
          </w:tcPr>
          <w:p w14:paraId="1F90BB74" w14:textId="77777777" w:rsidR="00266C85" w:rsidRPr="003F00AF" w:rsidRDefault="00266C85" w:rsidP="00266C85">
            <w:pPr>
              <w:rPr>
                <w:rFonts w:eastAsia="Times New Roman"/>
                <w:sz w:val="20"/>
                <w:szCs w:val="20"/>
              </w:rPr>
            </w:pPr>
            <w:r w:rsidRPr="003F00AF">
              <w:rPr>
                <w:sz w:val="20"/>
                <w:szCs w:val="20"/>
              </w:rPr>
              <w:t>Alberto Ninio</w:t>
            </w:r>
          </w:p>
        </w:tc>
        <w:tc>
          <w:tcPr>
            <w:tcW w:w="3330" w:type="dxa"/>
            <w:shd w:val="clear" w:color="auto" w:fill="auto"/>
            <w:noWrap/>
          </w:tcPr>
          <w:p w14:paraId="0E74237D" w14:textId="77777777" w:rsidR="00266C85" w:rsidRPr="003F00AF" w:rsidRDefault="00266C85" w:rsidP="00266C85">
            <w:pPr>
              <w:rPr>
                <w:rStyle w:val="p2"/>
                <w:sz w:val="20"/>
                <w:szCs w:val="20"/>
              </w:rPr>
            </w:pPr>
            <w:r w:rsidRPr="003F00AF">
              <w:rPr>
                <w:rStyle w:val="p2"/>
                <w:sz w:val="20"/>
                <w:szCs w:val="20"/>
              </w:rPr>
              <w:t>Chief Counsel</w:t>
            </w:r>
          </w:p>
          <w:p w14:paraId="18823DCA" w14:textId="77777777" w:rsidR="00266C85" w:rsidRPr="003F00AF" w:rsidRDefault="00266C85" w:rsidP="00266C85">
            <w:pPr>
              <w:rPr>
                <w:rFonts w:eastAsia="Times New Roman"/>
                <w:sz w:val="20"/>
                <w:szCs w:val="20"/>
              </w:rPr>
            </w:pPr>
            <w:r w:rsidRPr="003F00AF">
              <w:rPr>
                <w:rStyle w:val="p2"/>
                <w:sz w:val="20"/>
                <w:szCs w:val="20"/>
              </w:rPr>
              <w:t>(Currently, Deputy General Counsel, Operations)</w:t>
            </w:r>
          </w:p>
        </w:tc>
        <w:tc>
          <w:tcPr>
            <w:tcW w:w="2371" w:type="dxa"/>
            <w:shd w:val="clear" w:color="auto" w:fill="auto"/>
            <w:noWrap/>
          </w:tcPr>
          <w:p w14:paraId="57893DE1" w14:textId="77777777" w:rsidR="00266C85" w:rsidRPr="003F00AF" w:rsidRDefault="00266C85" w:rsidP="00266C85">
            <w:pPr>
              <w:rPr>
                <w:rFonts w:eastAsia="Times New Roman"/>
                <w:sz w:val="20"/>
                <w:szCs w:val="20"/>
              </w:rPr>
            </w:pPr>
            <w:r w:rsidRPr="003F00AF">
              <w:rPr>
                <w:rFonts w:eastAsia="Times New Roman"/>
                <w:sz w:val="20"/>
                <w:szCs w:val="20"/>
              </w:rPr>
              <w:t>LEGEN</w:t>
            </w:r>
          </w:p>
          <w:p w14:paraId="4717D63A" w14:textId="77777777" w:rsidR="00266C85" w:rsidRPr="003F00AF" w:rsidRDefault="00266C85" w:rsidP="00266C85">
            <w:pPr>
              <w:rPr>
                <w:rFonts w:eastAsia="Times New Roman"/>
                <w:sz w:val="20"/>
                <w:szCs w:val="20"/>
              </w:rPr>
            </w:pPr>
            <w:r w:rsidRPr="003F00AF">
              <w:rPr>
                <w:rFonts w:eastAsia="Times New Roman"/>
                <w:sz w:val="20"/>
                <w:szCs w:val="20"/>
              </w:rPr>
              <w:t>(Currently LEGVP)</w:t>
            </w:r>
          </w:p>
        </w:tc>
        <w:tc>
          <w:tcPr>
            <w:tcW w:w="2466" w:type="dxa"/>
            <w:shd w:val="clear" w:color="auto" w:fill="auto"/>
            <w:noWrap/>
          </w:tcPr>
          <w:p w14:paraId="788241B7"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218BBCB7" w14:textId="77777777" w:rsidTr="00266C85">
        <w:trPr>
          <w:trHeight w:val="300"/>
        </w:trPr>
        <w:tc>
          <w:tcPr>
            <w:tcW w:w="1795" w:type="dxa"/>
            <w:shd w:val="clear" w:color="auto" w:fill="auto"/>
            <w:noWrap/>
          </w:tcPr>
          <w:p w14:paraId="3C631B76" w14:textId="77777777" w:rsidR="00266C85" w:rsidRPr="003F00AF" w:rsidRDefault="00266C85" w:rsidP="00266C85">
            <w:pPr>
              <w:rPr>
                <w:rFonts w:eastAsia="Times New Roman"/>
                <w:sz w:val="20"/>
                <w:szCs w:val="20"/>
              </w:rPr>
            </w:pPr>
            <w:r w:rsidRPr="003F00AF">
              <w:rPr>
                <w:sz w:val="20"/>
                <w:szCs w:val="20"/>
              </w:rPr>
              <w:t>Alonso Zarzar Casis</w:t>
            </w:r>
          </w:p>
        </w:tc>
        <w:tc>
          <w:tcPr>
            <w:tcW w:w="3330" w:type="dxa"/>
            <w:shd w:val="clear" w:color="auto" w:fill="auto"/>
            <w:noWrap/>
          </w:tcPr>
          <w:p w14:paraId="41215C6D" w14:textId="77777777" w:rsidR="00266C85" w:rsidRPr="003F00AF" w:rsidRDefault="00266C85" w:rsidP="00266C85">
            <w:pPr>
              <w:rPr>
                <w:rFonts w:eastAsia="Times New Roman"/>
                <w:sz w:val="20"/>
                <w:szCs w:val="20"/>
              </w:rPr>
            </w:pPr>
            <w:r w:rsidRPr="003F00AF">
              <w:rPr>
                <w:rFonts w:eastAsia="Times New Roman"/>
                <w:sz w:val="20"/>
                <w:szCs w:val="20"/>
                <w:lang w:val="es-CO"/>
              </w:rPr>
              <w:t>Senior Social Scientist</w:t>
            </w:r>
          </w:p>
        </w:tc>
        <w:tc>
          <w:tcPr>
            <w:tcW w:w="2371" w:type="dxa"/>
            <w:shd w:val="clear" w:color="auto" w:fill="auto"/>
            <w:noWrap/>
          </w:tcPr>
          <w:p w14:paraId="37E3A447"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LCSSO</w:t>
            </w:r>
          </w:p>
          <w:p w14:paraId="33221A1A" w14:textId="77777777" w:rsidR="00266C85" w:rsidRPr="003F00AF" w:rsidRDefault="00266C85" w:rsidP="00266C85">
            <w:pPr>
              <w:rPr>
                <w:rFonts w:eastAsia="Times New Roman"/>
                <w:sz w:val="20"/>
                <w:szCs w:val="20"/>
              </w:rPr>
            </w:pPr>
            <w:r w:rsidRPr="003F00AF">
              <w:rPr>
                <w:rFonts w:eastAsia="Times New Roman"/>
                <w:sz w:val="20"/>
                <w:szCs w:val="20"/>
                <w:lang w:val="es-CO"/>
              </w:rPr>
              <w:t>(Currently GSU04)</w:t>
            </w:r>
          </w:p>
        </w:tc>
        <w:tc>
          <w:tcPr>
            <w:tcW w:w="2466" w:type="dxa"/>
            <w:shd w:val="clear" w:color="auto" w:fill="auto"/>
            <w:noWrap/>
          </w:tcPr>
          <w:p w14:paraId="3E5016E9" w14:textId="77777777" w:rsidR="00266C85" w:rsidRPr="003F00AF" w:rsidRDefault="00266C85" w:rsidP="00266C85">
            <w:pPr>
              <w:rPr>
                <w:rFonts w:eastAsia="Times New Roman"/>
                <w:sz w:val="20"/>
                <w:szCs w:val="20"/>
              </w:rPr>
            </w:pPr>
            <w:r w:rsidRPr="003F00AF">
              <w:rPr>
                <w:rFonts w:eastAsia="Times New Roman"/>
                <w:sz w:val="20"/>
                <w:szCs w:val="20"/>
              </w:rPr>
              <w:t>Social Development</w:t>
            </w:r>
          </w:p>
        </w:tc>
      </w:tr>
      <w:tr w:rsidR="00266C85" w:rsidRPr="003F00AF" w14:paraId="7417F201" w14:textId="77777777" w:rsidTr="00266C85">
        <w:trPr>
          <w:trHeight w:val="300"/>
        </w:trPr>
        <w:tc>
          <w:tcPr>
            <w:tcW w:w="1795" w:type="dxa"/>
            <w:shd w:val="clear" w:color="auto" w:fill="auto"/>
            <w:noWrap/>
          </w:tcPr>
          <w:p w14:paraId="08D38AAE" w14:textId="77777777" w:rsidR="00266C85" w:rsidRPr="003F00AF" w:rsidRDefault="00266C85" w:rsidP="00266C85">
            <w:pPr>
              <w:rPr>
                <w:rFonts w:eastAsia="Times New Roman"/>
                <w:sz w:val="20"/>
                <w:szCs w:val="20"/>
              </w:rPr>
            </w:pPr>
            <w:r w:rsidRPr="003F00AF">
              <w:rPr>
                <w:sz w:val="20"/>
                <w:szCs w:val="20"/>
              </w:rPr>
              <w:t>Ana Nunez Sanchez</w:t>
            </w:r>
          </w:p>
        </w:tc>
        <w:tc>
          <w:tcPr>
            <w:tcW w:w="3330" w:type="dxa"/>
            <w:shd w:val="clear" w:color="auto" w:fill="auto"/>
            <w:noWrap/>
          </w:tcPr>
          <w:p w14:paraId="367BF2A7" w14:textId="77777777" w:rsidR="00266C85" w:rsidRPr="003F00AF" w:rsidRDefault="00266C85" w:rsidP="00266C85">
            <w:pPr>
              <w:rPr>
                <w:rFonts w:eastAsia="Times New Roman"/>
                <w:sz w:val="20"/>
                <w:szCs w:val="20"/>
              </w:rPr>
            </w:pPr>
            <w:r w:rsidRPr="003F00AF">
              <w:rPr>
                <w:rFonts w:eastAsia="Times New Roman"/>
                <w:sz w:val="20"/>
                <w:szCs w:val="20"/>
                <w:lang w:val="es-CO"/>
              </w:rPr>
              <w:t>Extended Term Consultant</w:t>
            </w:r>
          </w:p>
        </w:tc>
        <w:tc>
          <w:tcPr>
            <w:tcW w:w="2371" w:type="dxa"/>
            <w:shd w:val="clear" w:color="auto" w:fill="auto"/>
            <w:noWrap/>
          </w:tcPr>
          <w:p w14:paraId="4C18C869"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6DCD3284" w14:textId="77777777" w:rsidR="00266C85" w:rsidRPr="003F00AF" w:rsidRDefault="00266C85" w:rsidP="00266C85">
            <w:pPr>
              <w:rPr>
                <w:rFonts w:eastAsia="Times New Roman"/>
                <w:sz w:val="20"/>
                <w:szCs w:val="20"/>
                <w:highlight w:val="cyan"/>
              </w:rPr>
            </w:pPr>
            <w:r w:rsidRPr="003F00AF">
              <w:rPr>
                <w:rFonts w:eastAsia="Times New Roman"/>
                <w:sz w:val="20"/>
                <w:szCs w:val="20"/>
              </w:rPr>
              <w:t>Environment</w:t>
            </w:r>
          </w:p>
        </w:tc>
      </w:tr>
      <w:tr w:rsidR="00266C85" w:rsidRPr="003F00AF" w14:paraId="25AD25CC" w14:textId="77777777" w:rsidTr="00266C85">
        <w:trPr>
          <w:trHeight w:val="300"/>
        </w:trPr>
        <w:tc>
          <w:tcPr>
            <w:tcW w:w="1795" w:type="dxa"/>
            <w:shd w:val="clear" w:color="auto" w:fill="auto"/>
            <w:noWrap/>
          </w:tcPr>
          <w:p w14:paraId="55ABFA89" w14:textId="77777777" w:rsidR="00266C85" w:rsidRPr="003F00AF" w:rsidRDefault="00266C85" w:rsidP="00266C85">
            <w:pPr>
              <w:rPr>
                <w:rFonts w:eastAsia="Times New Roman"/>
                <w:sz w:val="20"/>
                <w:szCs w:val="20"/>
              </w:rPr>
            </w:pPr>
            <w:r w:rsidRPr="003F00AF">
              <w:rPr>
                <w:sz w:val="20"/>
                <w:szCs w:val="20"/>
              </w:rPr>
              <w:t>Andrea Semaan</w:t>
            </w:r>
          </w:p>
        </w:tc>
        <w:tc>
          <w:tcPr>
            <w:tcW w:w="3330" w:type="dxa"/>
            <w:shd w:val="clear" w:color="auto" w:fill="auto"/>
            <w:noWrap/>
          </w:tcPr>
          <w:p w14:paraId="41B74272" w14:textId="77777777" w:rsidR="00266C85" w:rsidRPr="003F00AF" w:rsidRDefault="00266C85" w:rsidP="00266C85">
            <w:pPr>
              <w:rPr>
                <w:rFonts w:eastAsia="Times New Roman"/>
                <w:sz w:val="20"/>
                <w:szCs w:val="20"/>
              </w:rPr>
            </w:pPr>
            <w:r w:rsidRPr="003F00AF">
              <w:rPr>
                <w:rFonts w:eastAsia="Times New Roman"/>
                <w:sz w:val="20"/>
                <w:szCs w:val="20"/>
                <w:lang w:val="es-CO"/>
              </w:rPr>
              <w:t>Consultant</w:t>
            </w:r>
          </w:p>
        </w:tc>
        <w:tc>
          <w:tcPr>
            <w:tcW w:w="2371" w:type="dxa"/>
            <w:shd w:val="clear" w:color="auto" w:fill="auto"/>
            <w:noWrap/>
          </w:tcPr>
          <w:p w14:paraId="2E7CDFBD"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07A024B7" w14:textId="77777777" w:rsidR="00266C85" w:rsidRPr="003F00AF" w:rsidRDefault="00266C85" w:rsidP="00266C85">
            <w:pPr>
              <w:rPr>
                <w:rFonts w:eastAsia="Times New Roman"/>
                <w:sz w:val="20"/>
                <w:szCs w:val="20"/>
                <w:highlight w:val="cyan"/>
              </w:rPr>
            </w:pPr>
            <w:r w:rsidRPr="003F00AF">
              <w:rPr>
                <w:rFonts w:eastAsia="Times New Roman"/>
                <w:sz w:val="20"/>
                <w:szCs w:val="20"/>
              </w:rPr>
              <w:t>Operations</w:t>
            </w:r>
          </w:p>
        </w:tc>
      </w:tr>
      <w:tr w:rsidR="00266C85" w:rsidRPr="003F00AF" w14:paraId="02E67561" w14:textId="77777777" w:rsidTr="00266C85">
        <w:trPr>
          <w:trHeight w:val="300"/>
        </w:trPr>
        <w:tc>
          <w:tcPr>
            <w:tcW w:w="1795" w:type="dxa"/>
            <w:shd w:val="clear" w:color="auto" w:fill="auto"/>
            <w:noWrap/>
          </w:tcPr>
          <w:p w14:paraId="7E8FC81D" w14:textId="77777777" w:rsidR="00266C85" w:rsidRPr="003F00AF" w:rsidRDefault="00266C85" w:rsidP="00266C85">
            <w:pPr>
              <w:rPr>
                <w:rFonts w:eastAsia="Times New Roman"/>
                <w:sz w:val="20"/>
                <w:szCs w:val="20"/>
              </w:rPr>
            </w:pPr>
            <w:r w:rsidRPr="003F00AF">
              <w:rPr>
                <w:sz w:val="20"/>
                <w:szCs w:val="20"/>
              </w:rPr>
              <w:t>Angelica Afanador-Ardila</w:t>
            </w:r>
          </w:p>
        </w:tc>
        <w:tc>
          <w:tcPr>
            <w:tcW w:w="3330" w:type="dxa"/>
            <w:shd w:val="clear" w:color="auto" w:fill="auto"/>
            <w:noWrap/>
          </w:tcPr>
          <w:p w14:paraId="6CFD0BE6"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42BE7110"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1F044C0E" w14:textId="77777777" w:rsidR="00266C85" w:rsidRPr="003F00AF" w:rsidRDefault="00266C85" w:rsidP="00266C85">
            <w:pPr>
              <w:rPr>
                <w:rFonts w:eastAsia="Times New Roman"/>
                <w:sz w:val="20"/>
                <w:szCs w:val="20"/>
                <w:highlight w:val="cyan"/>
              </w:rPr>
            </w:pPr>
            <w:r w:rsidRPr="003F00AF">
              <w:rPr>
                <w:rFonts w:eastAsia="Times New Roman"/>
                <w:sz w:val="20"/>
                <w:szCs w:val="20"/>
              </w:rPr>
              <w:t>Environment and Energy</w:t>
            </w:r>
          </w:p>
        </w:tc>
      </w:tr>
      <w:tr w:rsidR="00266C85" w:rsidRPr="003F00AF" w14:paraId="1F75F96E" w14:textId="77777777" w:rsidTr="00266C85">
        <w:trPr>
          <w:trHeight w:val="300"/>
        </w:trPr>
        <w:tc>
          <w:tcPr>
            <w:tcW w:w="1795" w:type="dxa"/>
            <w:shd w:val="clear" w:color="auto" w:fill="auto"/>
            <w:noWrap/>
          </w:tcPr>
          <w:p w14:paraId="5E31B7DE" w14:textId="77777777" w:rsidR="00266C85" w:rsidRPr="003F00AF" w:rsidRDefault="00266C85" w:rsidP="00266C85">
            <w:pPr>
              <w:rPr>
                <w:sz w:val="20"/>
                <w:szCs w:val="20"/>
              </w:rPr>
            </w:pPr>
            <w:r w:rsidRPr="003F00AF">
              <w:rPr>
                <w:sz w:val="20"/>
                <w:szCs w:val="20"/>
              </w:rPr>
              <w:t>Angela Armstrong</w:t>
            </w:r>
          </w:p>
        </w:tc>
        <w:tc>
          <w:tcPr>
            <w:tcW w:w="3330" w:type="dxa"/>
            <w:shd w:val="clear" w:color="auto" w:fill="auto"/>
            <w:noWrap/>
          </w:tcPr>
          <w:p w14:paraId="3467B13E" w14:textId="77777777" w:rsidR="00266C85" w:rsidRPr="003F00AF" w:rsidRDefault="00266C85" w:rsidP="00266C85">
            <w:pPr>
              <w:rPr>
                <w:bCs/>
                <w:sz w:val="20"/>
                <w:szCs w:val="20"/>
                <w:lang w:val="en"/>
              </w:rPr>
            </w:pPr>
            <w:r w:rsidRPr="003F00AF">
              <w:rPr>
                <w:bCs/>
                <w:sz w:val="20"/>
                <w:szCs w:val="20"/>
                <w:lang w:val="en"/>
              </w:rPr>
              <w:t>Senior Operations Officer</w:t>
            </w:r>
          </w:p>
          <w:p w14:paraId="09077018" w14:textId="77777777" w:rsidR="00266C85" w:rsidRPr="003F00AF" w:rsidRDefault="00266C85" w:rsidP="00266C85">
            <w:pPr>
              <w:rPr>
                <w:bCs/>
                <w:sz w:val="20"/>
                <w:szCs w:val="20"/>
                <w:lang w:val="en"/>
              </w:rPr>
            </w:pPr>
            <w:r w:rsidRPr="003F00AF">
              <w:rPr>
                <w:bCs/>
                <w:sz w:val="20"/>
                <w:szCs w:val="20"/>
                <w:lang w:val="en"/>
              </w:rPr>
              <w:t>(Currently, Senior Natural Resources Management Specialist)</w:t>
            </w:r>
          </w:p>
        </w:tc>
        <w:tc>
          <w:tcPr>
            <w:tcW w:w="2371" w:type="dxa"/>
            <w:shd w:val="clear" w:color="auto" w:fill="auto"/>
            <w:noWrap/>
          </w:tcPr>
          <w:p w14:paraId="7D63F0A7"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7E142FC0" w14:textId="77777777" w:rsidR="00266C85" w:rsidRPr="003F00AF" w:rsidRDefault="00266C85" w:rsidP="00266C85">
            <w:pPr>
              <w:rPr>
                <w:rFonts w:eastAsia="Times New Roman"/>
                <w:sz w:val="20"/>
                <w:szCs w:val="20"/>
              </w:rPr>
            </w:pPr>
            <w:r w:rsidRPr="003F00AF">
              <w:rPr>
                <w:rFonts w:eastAsia="Times New Roman"/>
                <w:sz w:val="20"/>
                <w:szCs w:val="20"/>
              </w:rPr>
              <w:t>(Currently GEN04)</w:t>
            </w:r>
          </w:p>
        </w:tc>
        <w:tc>
          <w:tcPr>
            <w:tcW w:w="2466" w:type="dxa"/>
            <w:shd w:val="clear" w:color="auto" w:fill="auto"/>
            <w:noWrap/>
          </w:tcPr>
          <w:p w14:paraId="6778C6F8" w14:textId="77777777" w:rsidR="00266C85" w:rsidRPr="003F00AF" w:rsidRDefault="00266C85" w:rsidP="00266C85">
            <w:pPr>
              <w:rPr>
                <w:rFonts w:eastAsia="Times New Roman"/>
                <w:sz w:val="20"/>
                <w:szCs w:val="20"/>
              </w:rPr>
            </w:pPr>
            <w:r w:rsidRPr="003F00AF">
              <w:rPr>
                <w:rFonts w:eastAsia="Times New Roman"/>
                <w:sz w:val="20"/>
                <w:szCs w:val="20"/>
              </w:rPr>
              <w:t>Operations / Natural Resources Management</w:t>
            </w:r>
          </w:p>
        </w:tc>
      </w:tr>
      <w:tr w:rsidR="00266C85" w:rsidRPr="003F00AF" w14:paraId="4C32C7FA" w14:textId="77777777" w:rsidTr="00266C85">
        <w:trPr>
          <w:trHeight w:val="300"/>
        </w:trPr>
        <w:tc>
          <w:tcPr>
            <w:tcW w:w="1795" w:type="dxa"/>
            <w:shd w:val="clear" w:color="auto" w:fill="auto"/>
            <w:noWrap/>
          </w:tcPr>
          <w:p w14:paraId="0BEEA291" w14:textId="77777777" w:rsidR="00266C85" w:rsidRPr="003F00AF" w:rsidRDefault="00266C85" w:rsidP="00266C85">
            <w:pPr>
              <w:rPr>
                <w:rFonts w:eastAsia="Times New Roman"/>
                <w:sz w:val="20"/>
                <w:szCs w:val="20"/>
              </w:rPr>
            </w:pPr>
            <w:r w:rsidRPr="003F00AF">
              <w:rPr>
                <w:sz w:val="20"/>
                <w:szCs w:val="20"/>
              </w:rPr>
              <w:t>Anjali Acharya</w:t>
            </w:r>
          </w:p>
        </w:tc>
        <w:tc>
          <w:tcPr>
            <w:tcW w:w="3330" w:type="dxa"/>
            <w:shd w:val="clear" w:color="auto" w:fill="auto"/>
            <w:noWrap/>
          </w:tcPr>
          <w:p w14:paraId="5CDF5197" w14:textId="77777777" w:rsidR="00266C85" w:rsidRPr="003F00AF" w:rsidRDefault="00266C85" w:rsidP="00266C85">
            <w:pPr>
              <w:rPr>
                <w:rFonts w:eastAsia="Times New Roman"/>
                <w:sz w:val="20"/>
                <w:szCs w:val="20"/>
              </w:rPr>
            </w:pPr>
            <w:r w:rsidRPr="003F00AF">
              <w:rPr>
                <w:bCs/>
                <w:sz w:val="20"/>
                <w:szCs w:val="20"/>
                <w:lang w:val="en"/>
              </w:rPr>
              <w:t>Senior Environmental Specialist</w:t>
            </w:r>
          </w:p>
        </w:tc>
        <w:tc>
          <w:tcPr>
            <w:tcW w:w="2371" w:type="dxa"/>
            <w:shd w:val="clear" w:color="auto" w:fill="auto"/>
            <w:noWrap/>
          </w:tcPr>
          <w:p w14:paraId="7E4A018B"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782A1CB7" w14:textId="77777777" w:rsidR="00266C85" w:rsidRPr="003F00AF" w:rsidRDefault="00266C85" w:rsidP="00266C85">
            <w:pPr>
              <w:rPr>
                <w:rFonts w:eastAsia="Times New Roman"/>
                <w:sz w:val="20"/>
                <w:szCs w:val="20"/>
              </w:rPr>
            </w:pPr>
            <w:r w:rsidRPr="003F00AF">
              <w:rPr>
                <w:rFonts w:eastAsia="Times New Roman"/>
                <w:sz w:val="20"/>
                <w:szCs w:val="20"/>
              </w:rPr>
              <w:t>(Currently GEN2B)</w:t>
            </w:r>
          </w:p>
        </w:tc>
        <w:tc>
          <w:tcPr>
            <w:tcW w:w="2466" w:type="dxa"/>
            <w:shd w:val="clear" w:color="auto" w:fill="auto"/>
            <w:noWrap/>
          </w:tcPr>
          <w:p w14:paraId="029C95FD" w14:textId="77777777" w:rsidR="00266C85" w:rsidRPr="003F00AF" w:rsidRDefault="00266C85" w:rsidP="00266C85">
            <w:pPr>
              <w:rPr>
                <w:rFonts w:eastAsia="Times New Roman"/>
                <w:sz w:val="20"/>
                <w:szCs w:val="20"/>
              </w:rPr>
            </w:pPr>
            <w:r w:rsidRPr="003F00AF">
              <w:rPr>
                <w:rFonts w:eastAsia="Times New Roman"/>
                <w:sz w:val="20"/>
                <w:szCs w:val="20"/>
              </w:rPr>
              <w:t>Task Team Leader</w:t>
            </w:r>
          </w:p>
        </w:tc>
      </w:tr>
      <w:tr w:rsidR="00266C85" w:rsidRPr="003F00AF" w14:paraId="29D30AF7" w14:textId="77777777" w:rsidTr="00266C85">
        <w:trPr>
          <w:trHeight w:val="300"/>
        </w:trPr>
        <w:tc>
          <w:tcPr>
            <w:tcW w:w="1795" w:type="dxa"/>
            <w:shd w:val="clear" w:color="auto" w:fill="auto"/>
            <w:noWrap/>
          </w:tcPr>
          <w:p w14:paraId="532E9D16" w14:textId="77777777" w:rsidR="00266C85" w:rsidRPr="003F00AF" w:rsidRDefault="00266C85" w:rsidP="00266C85">
            <w:pPr>
              <w:rPr>
                <w:sz w:val="20"/>
                <w:szCs w:val="20"/>
              </w:rPr>
            </w:pPr>
            <w:r w:rsidRPr="003F00AF">
              <w:rPr>
                <w:sz w:val="20"/>
                <w:szCs w:val="20"/>
              </w:rPr>
              <w:t>Carlos Felipe Jaramillo</w:t>
            </w:r>
          </w:p>
        </w:tc>
        <w:tc>
          <w:tcPr>
            <w:tcW w:w="3330" w:type="dxa"/>
            <w:shd w:val="clear" w:color="auto" w:fill="auto"/>
            <w:noWrap/>
          </w:tcPr>
          <w:p w14:paraId="3E4D289D" w14:textId="77777777" w:rsidR="00266C85" w:rsidRPr="003F00AF" w:rsidRDefault="00266C85" w:rsidP="00266C85">
            <w:pPr>
              <w:rPr>
                <w:bCs/>
                <w:sz w:val="20"/>
                <w:szCs w:val="20"/>
                <w:lang w:val="en"/>
              </w:rPr>
            </w:pPr>
            <w:r w:rsidRPr="003F00AF">
              <w:rPr>
                <w:bCs/>
                <w:sz w:val="20"/>
                <w:szCs w:val="20"/>
                <w:lang w:val="en"/>
              </w:rPr>
              <w:t>Country Director</w:t>
            </w:r>
          </w:p>
          <w:p w14:paraId="311BDDC9" w14:textId="77777777" w:rsidR="00266C85" w:rsidRPr="003F00AF" w:rsidRDefault="00266C85" w:rsidP="00266C85">
            <w:pPr>
              <w:rPr>
                <w:bCs/>
                <w:sz w:val="20"/>
                <w:szCs w:val="20"/>
                <w:lang w:val="en"/>
              </w:rPr>
            </w:pPr>
            <w:r w:rsidRPr="003F00AF">
              <w:rPr>
                <w:bCs/>
                <w:sz w:val="20"/>
                <w:szCs w:val="20"/>
                <w:lang w:val="en"/>
              </w:rPr>
              <w:t>(Currently Senior Director)</w:t>
            </w:r>
          </w:p>
        </w:tc>
        <w:tc>
          <w:tcPr>
            <w:tcW w:w="2371" w:type="dxa"/>
            <w:shd w:val="clear" w:color="auto" w:fill="auto"/>
            <w:noWrap/>
          </w:tcPr>
          <w:p w14:paraId="15183E31" w14:textId="77777777" w:rsidR="00266C85" w:rsidRPr="003F00AF" w:rsidRDefault="00266C85" w:rsidP="00266C85">
            <w:pPr>
              <w:rPr>
                <w:rFonts w:eastAsia="Times New Roman"/>
                <w:sz w:val="20"/>
                <w:szCs w:val="20"/>
              </w:rPr>
            </w:pPr>
            <w:r w:rsidRPr="003F00AF">
              <w:rPr>
                <w:rFonts w:eastAsia="Times New Roman"/>
                <w:sz w:val="20"/>
                <w:szCs w:val="20"/>
              </w:rPr>
              <w:t>LCC6C</w:t>
            </w:r>
          </w:p>
          <w:p w14:paraId="5E168CEE" w14:textId="77777777" w:rsidR="00266C85" w:rsidRPr="003F00AF" w:rsidRDefault="00266C85" w:rsidP="00266C85">
            <w:pPr>
              <w:rPr>
                <w:rFonts w:eastAsia="Times New Roman"/>
                <w:sz w:val="20"/>
                <w:szCs w:val="20"/>
              </w:rPr>
            </w:pPr>
            <w:r w:rsidRPr="003F00AF">
              <w:rPr>
                <w:rFonts w:eastAsia="Times New Roman"/>
                <w:sz w:val="20"/>
                <w:szCs w:val="20"/>
              </w:rPr>
              <w:t>(Currently GMFDR)</w:t>
            </w:r>
          </w:p>
        </w:tc>
        <w:tc>
          <w:tcPr>
            <w:tcW w:w="2466" w:type="dxa"/>
            <w:shd w:val="clear" w:color="auto" w:fill="auto"/>
            <w:noWrap/>
          </w:tcPr>
          <w:p w14:paraId="222969F8" w14:textId="77777777" w:rsidR="00266C85" w:rsidRPr="003F00AF" w:rsidRDefault="00266C85" w:rsidP="00266C85">
            <w:pPr>
              <w:rPr>
                <w:rFonts w:eastAsia="Times New Roman"/>
                <w:sz w:val="20"/>
                <w:szCs w:val="20"/>
              </w:rPr>
            </w:pPr>
            <w:r w:rsidRPr="003F00AF">
              <w:rPr>
                <w:rFonts w:eastAsia="Times New Roman"/>
                <w:sz w:val="20"/>
                <w:szCs w:val="20"/>
              </w:rPr>
              <w:t>Management</w:t>
            </w:r>
          </w:p>
        </w:tc>
      </w:tr>
      <w:tr w:rsidR="00266C85" w:rsidRPr="003F00AF" w14:paraId="67E618C5" w14:textId="77777777" w:rsidTr="00266C85">
        <w:trPr>
          <w:trHeight w:val="300"/>
        </w:trPr>
        <w:tc>
          <w:tcPr>
            <w:tcW w:w="1795" w:type="dxa"/>
            <w:shd w:val="clear" w:color="auto" w:fill="auto"/>
            <w:noWrap/>
          </w:tcPr>
          <w:p w14:paraId="20585E3B" w14:textId="77777777" w:rsidR="00266C85" w:rsidRPr="003F00AF" w:rsidRDefault="00266C85" w:rsidP="00266C85">
            <w:pPr>
              <w:rPr>
                <w:sz w:val="20"/>
                <w:szCs w:val="20"/>
              </w:rPr>
            </w:pPr>
            <w:r w:rsidRPr="003F00AF">
              <w:rPr>
                <w:sz w:val="20"/>
                <w:szCs w:val="20"/>
              </w:rPr>
              <w:t>Claudia Sobrevila</w:t>
            </w:r>
          </w:p>
        </w:tc>
        <w:tc>
          <w:tcPr>
            <w:tcW w:w="3330" w:type="dxa"/>
            <w:shd w:val="clear" w:color="auto" w:fill="auto"/>
            <w:noWrap/>
          </w:tcPr>
          <w:p w14:paraId="7923AF42" w14:textId="77777777" w:rsidR="00266C85" w:rsidRPr="003F00AF" w:rsidRDefault="00266C85" w:rsidP="00266C85">
            <w:pPr>
              <w:rPr>
                <w:rFonts w:eastAsia="Times New Roman"/>
                <w:sz w:val="20"/>
                <w:szCs w:val="20"/>
              </w:rPr>
            </w:pPr>
            <w:r w:rsidRPr="003F00AF">
              <w:rPr>
                <w:rFonts w:eastAsia="Times New Roman"/>
                <w:sz w:val="20"/>
                <w:szCs w:val="20"/>
              </w:rPr>
              <w:t xml:space="preserve">Senior Biodiversity Specialist </w:t>
            </w:r>
          </w:p>
          <w:p w14:paraId="69076F29" w14:textId="77777777" w:rsidR="00266C85" w:rsidRPr="003F00AF" w:rsidRDefault="00266C85" w:rsidP="00266C85">
            <w:pPr>
              <w:rPr>
                <w:rFonts w:eastAsia="Times New Roman"/>
                <w:sz w:val="20"/>
                <w:szCs w:val="20"/>
              </w:rPr>
            </w:pPr>
            <w:r w:rsidRPr="003F00AF">
              <w:rPr>
                <w:rFonts w:eastAsia="Times New Roman"/>
                <w:sz w:val="20"/>
                <w:szCs w:val="20"/>
              </w:rPr>
              <w:t>(Currently Senior Environmental Specialist)</w:t>
            </w:r>
          </w:p>
        </w:tc>
        <w:tc>
          <w:tcPr>
            <w:tcW w:w="2371" w:type="dxa"/>
            <w:shd w:val="clear" w:color="auto" w:fill="auto"/>
            <w:noWrap/>
          </w:tcPr>
          <w:p w14:paraId="5D405F38" w14:textId="77777777" w:rsidR="00266C85" w:rsidRPr="003F00AF" w:rsidRDefault="00266C85" w:rsidP="00266C85">
            <w:pPr>
              <w:rPr>
                <w:rFonts w:eastAsia="Times New Roman"/>
                <w:sz w:val="20"/>
                <w:szCs w:val="20"/>
              </w:rPr>
            </w:pPr>
            <w:r w:rsidRPr="003F00AF">
              <w:rPr>
                <w:rFonts w:eastAsia="Times New Roman"/>
                <w:sz w:val="20"/>
                <w:szCs w:val="20"/>
              </w:rPr>
              <w:t>ENV</w:t>
            </w:r>
          </w:p>
          <w:p w14:paraId="0991D3B2" w14:textId="77777777" w:rsidR="00266C85" w:rsidRPr="003F00AF" w:rsidRDefault="00266C85" w:rsidP="00266C85">
            <w:pPr>
              <w:rPr>
                <w:rFonts w:eastAsia="Times New Roman"/>
                <w:sz w:val="20"/>
                <w:szCs w:val="20"/>
              </w:rPr>
            </w:pPr>
            <w:r w:rsidRPr="003F00AF">
              <w:rPr>
                <w:rFonts w:eastAsia="Times New Roman"/>
                <w:sz w:val="20"/>
                <w:szCs w:val="20"/>
              </w:rPr>
              <w:t>(Currently GEN01)</w:t>
            </w:r>
          </w:p>
        </w:tc>
        <w:tc>
          <w:tcPr>
            <w:tcW w:w="2466" w:type="dxa"/>
            <w:shd w:val="clear" w:color="auto" w:fill="auto"/>
            <w:noWrap/>
          </w:tcPr>
          <w:p w14:paraId="3A72F9CE" w14:textId="77777777" w:rsidR="00266C85" w:rsidRPr="003F00AF" w:rsidRDefault="00266C85" w:rsidP="00266C85">
            <w:pPr>
              <w:rPr>
                <w:rFonts w:eastAsia="Times New Roman"/>
                <w:sz w:val="20"/>
                <w:szCs w:val="20"/>
              </w:rPr>
            </w:pPr>
            <w:r w:rsidRPr="003F00AF">
              <w:rPr>
                <w:rFonts w:eastAsia="Times New Roman"/>
                <w:sz w:val="20"/>
                <w:szCs w:val="20"/>
              </w:rPr>
              <w:t>Peer Reviewer</w:t>
            </w:r>
          </w:p>
        </w:tc>
      </w:tr>
      <w:tr w:rsidR="00266C85" w:rsidRPr="003F00AF" w14:paraId="29DB9B61" w14:textId="77777777" w:rsidTr="00266C85">
        <w:trPr>
          <w:trHeight w:val="300"/>
        </w:trPr>
        <w:tc>
          <w:tcPr>
            <w:tcW w:w="1795" w:type="dxa"/>
            <w:shd w:val="clear" w:color="auto" w:fill="auto"/>
            <w:noWrap/>
          </w:tcPr>
          <w:p w14:paraId="01511B9B" w14:textId="77777777" w:rsidR="00266C85" w:rsidRPr="003F00AF" w:rsidRDefault="00266C85" w:rsidP="00266C85">
            <w:pPr>
              <w:rPr>
                <w:rFonts w:eastAsia="Times New Roman"/>
                <w:sz w:val="20"/>
                <w:szCs w:val="20"/>
              </w:rPr>
            </w:pPr>
            <w:r w:rsidRPr="003F00AF">
              <w:rPr>
                <w:sz w:val="20"/>
                <w:szCs w:val="20"/>
              </w:rPr>
              <w:t>Diane Stamm</w:t>
            </w:r>
          </w:p>
        </w:tc>
        <w:tc>
          <w:tcPr>
            <w:tcW w:w="3330" w:type="dxa"/>
            <w:shd w:val="clear" w:color="auto" w:fill="auto"/>
            <w:noWrap/>
          </w:tcPr>
          <w:p w14:paraId="1F9CBB37"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5AC6DF68"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1A75877E" w14:textId="77777777" w:rsidR="00266C85" w:rsidRPr="003F00AF" w:rsidRDefault="00266C85" w:rsidP="00266C85">
            <w:pPr>
              <w:rPr>
                <w:rFonts w:eastAsia="Times New Roman"/>
                <w:sz w:val="20"/>
                <w:szCs w:val="20"/>
              </w:rPr>
            </w:pPr>
            <w:r w:rsidRPr="003F00AF">
              <w:rPr>
                <w:rFonts w:eastAsia="Times New Roman"/>
                <w:sz w:val="20"/>
                <w:szCs w:val="20"/>
              </w:rPr>
              <w:t>Editor</w:t>
            </w:r>
          </w:p>
        </w:tc>
      </w:tr>
      <w:tr w:rsidR="00266C85" w:rsidRPr="003F00AF" w14:paraId="3CF9FE70" w14:textId="77777777" w:rsidTr="00266C85">
        <w:trPr>
          <w:trHeight w:val="300"/>
        </w:trPr>
        <w:tc>
          <w:tcPr>
            <w:tcW w:w="1795" w:type="dxa"/>
            <w:shd w:val="clear" w:color="auto" w:fill="auto"/>
            <w:noWrap/>
          </w:tcPr>
          <w:p w14:paraId="68E4B153" w14:textId="77777777" w:rsidR="00266C85" w:rsidRPr="003F00AF" w:rsidRDefault="00266C85" w:rsidP="00266C85">
            <w:pPr>
              <w:rPr>
                <w:rFonts w:eastAsia="Times New Roman"/>
                <w:sz w:val="20"/>
                <w:szCs w:val="20"/>
              </w:rPr>
            </w:pPr>
            <w:r w:rsidRPr="003F00AF">
              <w:rPr>
                <w:sz w:val="20"/>
                <w:szCs w:val="20"/>
              </w:rPr>
              <w:t>Dinesh Aryal</w:t>
            </w:r>
          </w:p>
        </w:tc>
        <w:tc>
          <w:tcPr>
            <w:tcW w:w="3330" w:type="dxa"/>
            <w:shd w:val="clear" w:color="auto" w:fill="auto"/>
            <w:noWrap/>
          </w:tcPr>
          <w:p w14:paraId="2873BC3C" w14:textId="77777777" w:rsidR="00266C85" w:rsidRPr="003F00AF" w:rsidRDefault="00266C85" w:rsidP="00266C85">
            <w:pPr>
              <w:rPr>
                <w:rStyle w:val="p2"/>
                <w:sz w:val="20"/>
                <w:szCs w:val="20"/>
              </w:rPr>
            </w:pPr>
            <w:r w:rsidRPr="003F00AF">
              <w:rPr>
                <w:rStyle w:val="p2"/>
                <w:sz w:val="20"/>
                <w:szCs w:val="20"/>
              </w:rPr>
              <w:t>Operations Officer</w:t>
            </w:r>
          </w:p>
          <w:p w14:paraId="7B08FFAB" w14:textId="77777777" w:rsidR="00266C85" w:rsidRPr="003F00AF" w:rsidRDefault="00266C85" w:rsidP="00266C85">
            <w:pPr>
              <w:rPr>
                <w:rFonts w:eastAsia="Times New Roman"/>
                <w:sz w:val="20"/>
                <w:szCs w:val="20"/>
              </w:rPr>
            </w:pPr>
            <w:r w:rsidRPr="003F00AF">
              <w:rPr>
                <w:bCs/>
                <w:sz w:val="20"/>
                <w:szCs w:val="20"/>
                <w:lang w:val="en"/>
              </w:rPr>
              <w:t>(Currently, Senior Natural Resources Management Specialist)</w:t>
            </w:r>
          </w:p>
        </w:tc>
        <w:tc>
          <w:tcPr>
            <w:tcW w:w="2371" w:type="dxa"/>
            <w:shd w:val="clear" w:color="auto" w:fill="auto"/>
            <w:noWrap/>
          </w:tcPr>
          <w:p w14:paraId="234533F7"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30E7537D" w14:textId="77777777" w:rsidR="00266C85" w:rsidRPr="003F00AF" w:rsidRDefault="00266C85" w:rsidP="00266C85">
            <w:pPr>
              <w:rPr>
                <w:rFonts w:eastAsia="Times New Roman"/>
                <w:sz w:val="20"/>
                <w:szCs w:val="20"/>
              </w:rPr>
            </w:pPr>
            <w:r w:rsidRPr="003F00AF">
              <w:rPr>
                <w:rFonts w:eastAsia="Times New Roman"/>
                <w:sz w:val="20"/>
                <w:szCs w:val="20"/>
              </w:rPr>
              <w:t>(Currently GEN04)</w:t>
            </w:r>
          </w:p>
        </w:tc>
        <w:tc>
          <w:tcPr>
            <w:tcW w:w="2466" w:type="dxa"/>
            <w:shd w:val="clear" w:color="auto" w:fill="auto"/>
            <w:noWrap/>
          </w:tcPr>
          <w:p w14:paraId="357AA433" w14:textId="77777777" w:rsidR="00266C85" w:rsidRPr="003F00AF" w:rsidRDefault="00266C85" w:rsidP="00266C85">
            <w:pPr>
              <w:rPr>
                <w:rFonts w:eastAsia="Times New Roman"/>
                <w:sz w:val="20"/>
                <w:szCs w:val="20"/>
              </w:rPr>
            </w:pPr>
            <w:r w:rsidRPr="003F00AF">
              <w:rPr>
                <w:rFonts w:eastAsia="Times New Roman"/>
                <w:sz w:val="20"/>
                <w:szCs w:val="20"/>
              </w:rPr>
              <w:t>Operations / Natural Resources Management</w:t>
            </w:r>
          </w:p>
        </w:tc>
      </w:tr>
      <w:tr w:rsidR="00266C85" w:rsidRPr="003F00AF" w14:paraId="15FE78EB" w14:textId="77777777" w:rsidTr="00266C85">
        <w:trPr>
          <w:trHeight w:val="300"/>
        </w:trPr>
        <w:tc>
          <w:tcPr>
            <w:tcW w:w="1795" w:type="dxa"/>
            <w:shd w:val="clear" w:color="auto" w:fill="auto"/>
            <w:noWrap/>
          </w:tcPr>
          <w:p w14:paraId="5DA2D438" w14:textId="77777777" w:rsidR="00266C85" w:rsidRPr="003F00AF" w:rsidRDefault="00266C85" w:rsidP="00266C85">
            <w:pPr>
              <w:rPr>
                <w:rFonts w:eastAsia="Times New Roman"/>
                <w:sz w:val="20"/>
                <w:szCs w:val="20"/>
              </w:rPr>
            </w:pPr>
            <w:r w:rsidRPr="003F00AF">
              <w:rPr>
                <w:sz w:val="20"/>
                <w:szCs w:val="20"/>
              </w:rPr>
              <w:t>Edgardo Maravi</w:t>
            </w:r>
          </w:p>
        </w:tc>
        <w:tc>
          <w:tcPr>
            <w:tcW w:w="3330" w:type="dxa"/>
            <w:shd w:val="clear" w:color="auto" w:fill="auto"/>
            <w:noWrap/>
          </w:tcPr>
          <w:p w14:paraId="4AB457C3"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0397B181"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6D815749" w14:textId="77777777" w:rsidR="00266C85" w:rsidRPr="003F00AF" w:rsidRDefault="00266C85" w:rsidP="00266C85">
            <w:pPr>
              <w:rPr>
                <w:rFonts w:eastAsia="Times New Roman"/>
                <w:sz w:val="20"/>
                <w:szCs w:val="20"/>
              </w:rPr>
            </w:pPr>
            <w:r w:rsidRPr="003F00AF">
              <w:rPr>
                <w:rFonts w:eastAsia="Times New Roman"/>
                <w:sz w:val="20"/>
                <w:szCs w:val="20"/>
              </w:rPr>
              <w:t>Forestry</w:t>
            </w:r>
          </w:p>
        </w:tc>
      </w:tr>
      <w:tr w:rsidR="00266C85" w:rsidRPr="003F00AF" w14:paraId="1D1991C3" w14:textId="77777777" w:rsidTr="00266C85">
        <w:trPr>
          <w:trHeight w:val="300"/>
        </w:trPr>
        <w:tc>
          <w:tcPr>
            <w:tcW w:w="1795" w:type="dxa"/>
            <w:shd w:val="clear" w:color="auto" w:fill="auto"/>
            <w:noWrap/>
          </w:tcPr>
          <w:p w14:paraId="5E718A57" w14:textId="77777777" w:rsidR="00266C85" w:rsidRPr="003F00AF" w:rsidRDefault="00266C85" w:rsidP="00266C85">
            <w:pPr>
              <w:rPr>
                <w:sz w:val="20"/>
                <w:szCs w:val="20"/>
              </w:rPr>
            </w:pPr>
            <w:r w:rsidRPr="003F00AF">
              <w:rPr>
                <w:sz w:val="20"/>
                <w:szCs w:val="20"/>
              </w:rPr>
              <w:t>Eduardo Zolezzi</w:t>
            </w:r>
          </w:p>
        </w:tc>
        <w:tc>
          <w:tcPr>
            <w:tcW w:w="3330" w:type="dxa"/>
            <w:shd w:val="clear" w:color="auto" w:fill="auto"/>
            <w:noWrap/>
          </w:tcPr>
          <w:p w14:paraId="44D50392"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3AF6DB52" w14:textId="77777777" w:rsidR="00266C85" w:rsidRPr="003F00AF" w:rsidRDefault="00266C85" w:rsidP="00266C85">
            <w:pPr>
              <w:rPr>
                <w:rFonts w:eastAsia="Times New Roman"/>
                <w:sz w:val="20"/>
                <w:szCs w:val="20"/>
              </w:rPr>
            </w:pPr>
            <w:r w:rsidRPr="003F00AF">
              <w:rPr>
                <w:rFonts w:eastAsia="Times New Roman"/>
                <w:sz w:val="20"/>
                <w:szCs w:val="20"/>
              </w:rPr>
              <w:t>LCSEG</w:t>
            </w:r>
          </w:p>
        </w:tc>
        <w:tc>
          <w:tcPr>
            <w:tcW w:w="2466" w:type="dxa"/>
            <w:shd w:val="clear" w:color="auto" w:fill="auto"/>
            <w:noWrap/>
          </w:tcPr>
          <w:p w14:paraId="2B48A61E" w14:textId="77777777" w:rsidR="00266C85" w:rsidRPr="003F00AF" w:rsidRDefault="00266C85" w:rsidP="00266C85">
            <w:pPr>
              <w:rPr>
                <w:rFonts w:eastAsia="Times New Roman"/>
                <w:sz w:val="20"/>
                <w:szCs w:val="20"/>
              </w:rPr>
            </w:pPr>
            <w:r w:rsidRPr="003F00AF">
              <w:rPr>
                <w:rFonts w:eastAsia="Times New Roman"/>
                <w:sz w:val="20"/>
                <w:szCs w:val="20"/>
              </w:rPr>
              <w:t>Energy</w:t>
            </w:r>
          </w:p>
        </w:tc>
      </w:tr>
      <w:tr w:rsidR="00266C85" w:rsidRPr="003F00AF" w14:paraId="34715A11" w14:textId="77777777" w:rsidTr="00266C85">
        <w:trPr>
          <w:trHeight w:val="300"/>
        </w:trPr>
        <w:tc>
          <w:tcPr>
            <w:tcW w:w="1795" w:type="dxa"/>
            <w:shd w:val="clear" w:color="auto" w:fill="auto"/>
            <w:noWrap/>
          </w:tcPr>
          <w:p w14:paraId="78F9968A" w14:textId="77777777" w:rsidR="00266C85" w:rsidRPr="003F00AF" w:rsidRDefault="00266C85" w:rsidP="00266C85">
            <w:pPr>
              <w:rPr>
                <w:rFonts w:eastAsia="Times New Roman"/>
                <w:sz w:val="20"/>
                <w:szCs w:val="20"/>
              </w:rPr>
            </w:pPr>
            <w:r w:rsidRPr="003F00AF">
              <w:rPr>
                <w:sz w:val="20"/>
                <w:szCs w:val="20"/>
              </w:rPr>
              <w:t>Eleodoro O Mayorga Alba</w:t>
            </w:r>
          </w:p>
        </w:tc>
        <w:tc>
          <w:tcPr>
            <w:tcW w:w="3330" w:type="dxa"/>
            <w:shd w:val="clear" w:color="auto" w:fill="auto"/>
            <w:noWrap/>
          </w:tcPr>
          <w:p w14:paraId="1A112EE3" w14:textId="77777777" w:rsidR="00266C85" w:rsidRPr="003F00AF" w:rsidRDefault="00266C85" w:rsidP="00266C85">
            <w:pPr>
              <w:rPr>
                <w:rFonts w:eastAsia="Times New Roman"/>
                <w:sz w:val="20"/>
                <w:szCs w:val="20"/>
              </w:rPr>
            </w:pPr>
            <w:r w:rsidRPr="003F00AF">
              <w:rPr>
                <w:rFonts w:eastAsia="Times New Roman"/>
                <w:sz w:val="20"/>
                <w:szCs w:val="20"/>
              </w:rPr>
              <w:t>Coordinator</w:t>
            </w:r>
          </w:p>
        </w:tc>
        <w:tc>
          <w:tcPr>
            <w:tcW w:w="2371" w:type="dxa"/>
            <w:shd w:val="clear" w:color="auto" w:fill="auto"/>
            <w:noWrap/>
          </w:tcPr>
          <w:p w14:paraId="20406C98" w14:textId="77777777" w:rsidR="00266C85" w:rsidRPr="003F00AF" w:rsidRDefault="00266C85" w:rsidP="00266C85">
            <w:pPr>
              <w:rPr>
                <w:rFonts w:eastAsia="Times New Roman"/>
                <w:sz w:val="20"/>
                <w:szCs w:val="20"/>
              </w:rPr>
            </w:pPr>
            <w:r w:rsidRPr="003F00AF">
              <w:rPr>
                <w:rFonts w:eastAsia="Times New Roman"/>
                <w:sz w:val="20"/>
                <w:szCs w:val="20"/>
              </w:rPr>
              <w:t>COCPO</w:t>
            </w:r>
          </w:p>
        </w:tc>
        <w:tc>
          <w:tcPr>
            <w:tcW w:w="2466" w:type="dxa"/>
            <w:shd w:val="clear" w:color="auto" w:fill="auto"/>
            <w:noWrap/>
          </w:tcPr>
          <w:p w14:paraId="6292CA8C" w14:textId="77777777" w:rsidR="00266C85" w:rsidRPr="003F00AF" w:rsidRDefault="00266C85" w:rsidP="00266C85">
            <w:pPr>
              <w:rPr>
                <w:rFonts w:eastAsia="Times New Roman"/>
                <w:sz w:val="20"/>
                <w:szCs w:val="20"/>
              </w:rPr>
            </w:pPr>
            <w:r w:rsidRPr="003F00AF">
              <w:rPr>
                <w:rFonts w:eastAsia="Times New Roman"/>
                <w:sz w:val="20"/>
                <w:szCs w:val="20"/>
              </w:rPr>
              <w:t>Peer Reviewer</w:t>
            </w:r>
          </w:p>
        </w:tc>
      </w:tr>
      <w:tr w:rsidR="00266C85" w:rsidRPr="003F00AF" w14:paraId="19D2D274" w14:textId="77777777" w:rsidTr="00266C85">
        <w:trPr>
          <w:trHeight w:val="300"/>
        </w:trPr>
        <w:tc>
          <w:tcPr>
            <w:tcW w:w="1795" w:type="dxa"/>
            <w:shd w:val="clear" w:color="auto" w:fill="auto"/>
            <w:noWrap/>
          </w:tcPr>
          <w:p w14:paraId="7B9905A7" w14:textId="77777777" w:rsidR="00266C85" w:rsidRPr="003F00AF" w:rsidRDefault="00266C85" w:rsidP="00266C85">
            <w:pPr>
              <w:rPr>
                <w:rFonts w:eastAsia="Times New Roman"/>
                <w:sz w:val="20"/>
                <w:szCs w:val="20"/>
              </w:rPr>
            </w:pPr>
            <w:r w:rsidRPr="003F00AF">
              <w:rPr>
                <w:sz w:val="20"/>
                <w:szCs w:val="20"/>
              </w:rPr>
              <w:t>Elias Pinto Martinez</w:t>
            </w:r>
          </w:p>
        </w:tc>
        <w:tc>
          <w:tcPr>
            <w:tcW w:w="3330" w:type="dxa"/>
            <w:shd w:val="clear" w:color="auto" w:fill="auto"/>
            <w:noWrap/>
          </w:tcPr>
          <w:p w14:paraId="387AE2D0"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5D5C04E0"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2E33F1DF" w14:textId="77777777" w:rsidR="00266C85" w:rsidRPr="003F00AF" w:rsidRDefault="00266C85" w:rsidP="00266C85">
            <w:pPr>
              <w:rPr>
                <w:rFonts w:eastAsia="Times New Roman"/>
                <w:sz w:val="20"/>
                <w:szCs w:val="20"/>
              </w:rPr>
            </w:pPr>
            <w:r w:rsidRPr="003F00AF">
              <w:rPr>
                <w:rFonts w:eastAsia="Times New Roman"/>
                <w:sz w:val="20"/>
                <w:szCs w:val="20"/>
              </w:rPr>
              <w:t>Sustainable Development</w:t>
            </w:r>
          </w:p>
        </w:tc>
      </w:tr>
      <w:tr w:rsidR="00266C85" w:rsidRPr="003F00AF" w14:paraId="57026B13" w14:textId="77777777" w:rsidTr="00266C85">
        <w:trPr>
          <w:trHeight w:val="300"/>
        </w:trPr>
        <w:tc>
          <w:tcPr>
            <w:tcW w:w="1795" w:type="dxa"/>
            <w:shd w:val="clear" w:color="auto" w:fill="auto"/>
            <w:noWrap/>
          </w:tcPr>
          <w:p w14:paraId="47E068D5" w14:textId="77777777" w:rsidR="00266C85" w:rsidRPr="003F00AF" w:rsidRDefault="00266C85" w:rsidP="00266C85">
            <w:pPr>
              <w:rPr>
                <w:sz w:val="20"/>
                <w:szCs w:val="20"/>
              </w:rPr>
            </w:pPr>
            <w:r w:rsidRPr="003F00AF">
              <w:rPr>
                <w:sz w:val="20"/>
                <w:szCs w:val="20"/>
              </w:rPr>
              <w:t>Elizabeth Huaman</w:t>
            </w:r>
          </w:p>
        </w:tc>
        <w:tc>
          <w:tcPr>
            <w:tcW w:w="3330" w:type="dxa"/>
            <w:shd w:val="clear" w:color="auto" w:fill="auto"/>
            <w:noWrap/>
          </w:tcPr>
          <w:p w14:paraId="0722922B" w14:textId="77777777" w:rsidR="00266C85" w:rsidRPr="003F00AF" w:rsidRDefault="00266C85" w:rsidP="00266C85">
            <w:pPr>
              <w:rPr>
                <w:rFonts w:eastAsia="Times New Roman"/>
                <w:sz w:val="20"/>
                <w:szCs w:val="20"/>
              </w:rPr>
            </w:pPr>
            <w:r w:rsidRPr="003F00AF">
              <w:rPr>
                <w:rFonts w:eastAsia="Times New Roman"/>
                <w:sz w:val="20"/>
                <w:szCs w:val="20"/>
              </w:rPr>
              <w:t>Program Assistant</w:t>
            </w:r>
          </w:p>
        </w:tc>
        <w:tc>
          <w:tcPr>
            <w:tcW w:w="2371" w:type="dxa"/>
            <w:shd w:val="clear" w:color="auto" w:fill="auto"/>
            <w:noWrap/>
          </w:tcPr>
          <w:p w14:paraId="544E267B" w14:textId="77777777" w:rsidR="00266C85" w:rsidRPr="003F00AF" w:rsidRDefault="00266C85" w:rsidP="00266C85">
            <w:pPr>
              <w:rPr>
                <w:rFonts w:eastAsia="Times New Roman"/>
                <w:sz w:val="20"/>
                <w:szCs w:val="20"/>
              </w:rPr>
            </w:pPr>
            <w:r w:rsidRPr="003F00AF">
              <w:rPr>
                <w:rFonts w:eastAsia="Times New Roman"/>
                <w:sz w:val="20"/>
                <w:szCs w:val="20"/>
              </w:rPr>
              <w:t>LCC6C</w:t>
            </w:r>
          </w:p>
        </w:tc>
        <w:tc>
          <w:tcPr>
            <w:tcW w:w="2466" w:type="dxa"/>
            <w:shd w:val="clear" w:color="auto" w:fill="auto"/>
            <w:noWrap/>
          </w:tcPr>
          <w:p w14:paraId="552712A0" w14:textId="77777777" w:rsidR="00266C85" w:rsidRPr="003F00AF" w:rsidRDefault="00266C85" w:rsidP="00266C85">
            <w:pPr>
              <w:rPr>
                <w:rFonts w:eastAsia="Times New Roman"/>
                <w:sz w:val="20"/>
                <w:szCs w:val="20"/>
              </w:rPr>
            </w:pPr>
            <w:r w:rsidRPr="003F00AF">
              <w:rPr>
                <w:rFonts w:eastAsia="Times New Roman"/>
                <w:sz w:val="20"/>
                <w:szCs w:val="20"/>
              </w:rPr>
              <w:t>Administrative and Client Support</w:t>
            </w:r>
          </w:p>
        </w:tc>
      </w:tr>
      <w:tr w:rsidR="00266C85" w:rsidRPr="003F00AF" w14:paraId="12585137" w14:textId="77777777" w:rsidTr="00266C85">
        <w:trPr>
          <w:trHeight w:val="300"/>
        </w:trPr>
        <w:tc>
          <w:tcPr>
            <w:tcW w:w="1795" w:type="dxa"/>
            <w:shd w:val="clear" w:color="auto" w:fill="auto"/>
            <w:noWrap/>
          </w:tcPr>
          <w:p w14:paraId="12D2A7C6" w14:textId="77777777" w:rsidR="00266C85" w:rsidRPr="003F00AF" w:rsidRDefault="00266C85" w:rsidP="00266C85">
            <w:pPr>
              <w:rPr>
                <w:rFonts w:eastAsia="Times New Roman"/>
                <w:sz w:val="20"/>
                <w:szCs w:val="20"/>
              </w:rPr>
            </w:pPr>
            <w:r w:rsidRPr="003F00AF">
              <w:rPr>
                <w:sz w:val="20"/>
                <w:szCs w:val="20"/>
              </w:rPr>
              <w:t>Erwin De Nys</w:t>
            </w:r>
          </w:p>
        </w:tc>
        <w:tc>
          <w:tcPr>
            <w:tcW w:w="3330" w:type="dxa"/>
            <w:shd w:val="clear" w:color="auto" w:fill="auto"/>
            <w:noWrap/>
          </w:tcPr>
          <w:p w14:paraId="367B11AD" w14:textId="77777777" w:rsidR="00266C85" w:rsidRPr="003F00AF" w:rsidRDefault="00266C85" w:rsidP="00266C85">
            <w:pPr>
              <w:rPr>
                <w:rFonts w:eastAsia="Times New Roman"/>
                <w:sz w:val="20"/>
                <w:szCs w:val="20"/>
              </w:rPr>
            </w:pPr>
            <w:r w:rsidRPr="003F00AF">
              <w:rPr>
                <w:rFonts w:eastAsia="Times New Roman"/>
                <w:sz w:val="20"/>
                <w:szCs w:val="20"/>
              </w:rPr>
              <w:t>Water Resources Specialist</w:t>
            </w:r>
          </w:p>
          <w:p w14:paraId="2A61DCE9" w14:textId="77777777" w:rsidR="00266C85" w:rsidRPr="003F00AF" w:rsidRDefault="00266C85" w:rsidP="00266C85">
            <w:pPr>
              <w:rPr>
                <w:rFonts w:eastAsia="Times New Roman"/>
                <w:sz w:val="20"/>
                <w:szCs w:val="20"/>
              </w:rPr>
            </w:pPr>
            <w:r w:rsidRPr="003F00AF">
              <w:rPr>
                <w:rFonts w:eastAsia="Times New Roman"/>
                <w:sz w:val="20"/>
                <w:szCs w:val="20"/>
              </w:rPr>
              <w:t>(Currently Program Leader)</w:t>
            </w:r>
          </w:p>
        </w:tc>
        <w:tc>
          <w:tcPr>
            <w:tcW w:w="2371" w:type="dxa"/>
            <w:shd w:val="clear" w:color="auto" w:fill="auto"/>
            <w:noWrap/>
          </w:tcPr>
          <w:p w14:paraId="07649FEE" w14:textId="77777777" w:rsidR="00266C85" w:rsidRPr="003F00AF" w:rsidRDefault="00266C85" w:rsidP="00266C85">
            <w:pPr>
              <w:rPr>
                <w:rFonts w:eastAsia="Times New Roman"/>
                <w:sz w:val="20"/>
                <w:szCs w:val="20"/>
              </w:rPr>
            </w:pPr>
            <w:r w:rsidRPr="003F00AF">
              <w:rPr>
                <w:rFonts w:eastAsia="Times New Roman"/>
                <w:sz w:val="20"/>
                <w:szCs w:val="20"/>
              </w:rPr>
              <w:t>LCSSD</w:t>
            </w:r>
          </w:p>
          <w:p w14:paraId="3A58134D" w14:textId="77777777" w:rsidR="00266C85" w:rsidRPr="003F00AF" w:rsidRDefault="00266C85" w:rsidP="00266C85">
            <w:pPr>
              <w:rPr>
                <w:rFonts w:eastAsia="Times New Roman"/>
                <w:sz w:val="20"/>
                <w:szCs w:val="20"/>
              </w:rPr>
            </w:pPr>
            <w:r w:rsidRPr="003F00AF">
              <w:rPr>
                <w:rFonts w:eastAsia="Times New Roman"/>
                <w:sz w:val="20"/>
                <w:szCs w:val="20"/>
              </w:rPr>
              <w:t>(Currently LCC1C)</w:t>
            </w:r>
          </w:p>
        </w:tc>
        <w:tc>
          <w:tcPr>
            <w:tcW w:w="2466" w:type="dxa"/>
            <w:shd w:val="clear" w:color="auto" w:fill="auto"/>
            <w:noWrap/>
          </w:tcPr>
          <w:p w14:paraId="5FE94065" w14:textId="77777777" w:rsidR="00266C85" w:rsidRPr="003F00AF" w:rsidRDefault="00266C85" w:rsidP="00266C85">
            <w:pPr>
              <w:rPr>
                <w:rFonts w:eastAsia="Times New Roman"/>
                <w:sz w:val="20"/>
                <w:szCs w:val="20"/>
              </w:rPr>
            </w:pPr>
            <w:r w:rsidRPr="003F00AF">
              <w:rPr>
                <w:rFonts w:eastAsia="Times New Roman"/>
                <w:sz w:val="20"/>
                <w:szCs w:val="20"/>
              </w:rPr>
              <w:t>Water</w:t>
            </w:r>
          </w:p>
        </w:tc>
      </w:tr>
      <w:tr w:rsidR="00266C85" w:rsidRPr="003F00AF" w14:paraId="60300129" w14:textId="77777777" w:rsidTr="00266C85">
        <w:trPr>
          <w:trHeight w:val="300"/>
        </w:trPr>
        <w:tc>
          <w:tcPr>
            <w:tcW w:w="1795" w:type="dxa"/>
            <w:shd w:val="clear" w:color="auto" w:fill="auto"/>
            <w:noWrap/>
          </w:tcPr>
          <w:p w14:paraId="61305B62" w14:textId="77777777" w:rsidR="00266C85" w:rsidRPr="003F00AF" w:rsidRDefault="00266C85" w:rsidP="00266C85">
            <w:pPr>
              <w:rPr>
                <w:rFonts w:eastAsia="Times New Roman"/>
                <w:sz w:val="20"/>
                <w:szCs w:val="20"/>
              </w:rPr>
            </w:pPr>
            <w:r w:rsidRPr="003F00AF">
              <w:rPr>
                <w:sz w:val="20"/>
                <w:szCs w:val="20"/>
              </w:rPr>
              <w:t>Evelyn Villatoro</w:t>
            </w:r>
          </w:p>
        </w:tc>
        <w:tc>
          <w:tcPr>
            <w:tcW w:w="3330" w:type="dxa"/>
            <w:shd w:val="clear" w:color="auto" w:fill="auto"/>
            <w:noWrap/>
          </w:tcPr>
          <w:p w14:paraId="172EA57B" w14:textId="77777777" w:rsidR="00266C85" w:rsidRPr="003F00AF" w:rsidRDefault="00266C85" w:rsidP="00266C85">
            <w:pPr>
              <w:rPr>
                <w:rFonts w:eastAsia="Times New Roman"/>
                <w:sz w:val="20"/>
                <w:szCs w:val="20"/>
              </w:rPr>
            </w:pPr>
            <w:r w:rsidRPr="003F00AF">
              <w:rPr>
                <w:rFonts w:eastAsia="Times New Roman"/>
                <w:sz w:val="20"/>
                <w:szCs w:val="20"/>
              </w:rPr>
              <w:t>Senior Procurement Specialist</w:t>
            </w:r>
          </w:p>
        </w:tc>
        <w:tc>
          <w:tcPr>
            <w:tcW w:w="2371" w:type="dxa"/>
            <w:shd w:val="clear" w:color="auto" w:fill="auto"/>
            <w:noWrap/>
          </w:tcPr>
          <w:p w14:paraId="738F2238" w14:textId="77777777" w:rsidR="00266C85" w:rsidRPr="003F00AF" w:rsidRDefault="00266C85" w:rsidP="00266C85">
            <w:pPr>
              <w:rPr>
                <w:rFonts w:eastAsia="Times New Roman"/>
                <w:sz w:val="20"/>
                <w:szCs w:val="20"/>
              </w:rPr>
            </w:pPr>
            <w:r w:rsidRPr="003F00AF">
              <w:rPr>
                <w:rFonts w:eastAsia="Times New Roman"/>
                <w:sz w:val="20"/>
                <w:szCs w:val="20"/>
              </w:rPr>
              <w:t>LCRPR</w:t>
            </w:r>
          </w:p>
        </w:tc>
        <w:tc>
          <w:tcPr>
            <w:tcW w:w="2466" w:type="dxa"/>
            <w:shd w:val="clear" w:color="auto" w:fill="auto"/>
            <w:noWrap/>
          </w:tcPr>
          <w:p w14:paraId="5520A392" w14:textId="77777777" w:rsidR="00266C85" w:rsidRPr="003F00AF" w:rsidRDefault="00266C85" w:rsidP="00266C85">
            <w:pPr>
              <w:rPr>
                <w:rFonts w:eastAsia="Times New Roman"/>
                <w:sz w:val="20"/>
                <w:szCs w:val="20"/>
              </w:rPr>
            </w:pPr>
            <w:r w:rsidRPr="003F00AF">
              <w:rPr>
                <w:rFonts w:eastAsia="Times New Roman"/>
                <w:sz w:val="20"/>
                <w:szCs w:val="20"/>
              </w:rPr>
              <w:t>Procurement</w:t>
            </w:r>
          </w:p>
        </w:tc>
      </w:tr>
      <w:tr w:rsidR="00266C85" w:rsidRPr="003F00AF" w14:paraId="58CB6F38" w14:textId="77777777" w:rsidTr="00266C85">
        <w:trPr>
          <w:trHeight w:val="300"/>
        </w:trPr>
        <w:tc>
          <w:tcPr>
            <w:tcW w:w="1795" w:type="dxa"/>
            <w:shd w:val="clear" w:color="auto" w:fill="auto"/>
            <w:noWrap/>
          </w:tcPr>
          <w:p w14:paraId="2CA97C07" w14:textId="77777777" w:rsidR="00266C85" w:rsidRPr="003F00AF" w:rsidRDefault="00266C85" w:rsidP="00266C85">
            <w:pPr>
              <w:rPr>
                <w:rFonts w:eastAsia="Times New Roman"/>
                <w:sz w:val="20"/>
                <w:szCs w:val="20"/>
              </w:rPr>
            </w:pPr>
            <w:r w:rsidRPr="003F00AF">
              <w:rPr>
                <w:sz w:val="20"/>
                <w:szCs w:val="20"/>
              </w:rPr>
              <w:t>Fabiola Altimari Montiel</w:t>
            </w:r>
          </w:p>
        </w:tc>
        <w:tc>
          <w:tcPr>
            <w:tcW w:w="3330" w:type="dxa"/>
            <w:shd w:val="clear" w:color="auto" w:fill="auto"/>
            <w:noWrap/>
          </w:tcPr>
          <w:p w14:paraId="7D07F53A" w14:textId="77777777" w:rsidR="00266C85" w:rsidRPr="003F00AF" w:rsidRDefault="00266C85" w:rsidP="00266C85">
            <w:pPr>
              <w:rPr>
                <w:rFonts w:eastAsia="Times New Roman"/>
                <w:sz w:val="20"/>
                <w:szCs w:val="20"/>
              </w:rPr>
            </w:pPr>
            <w:r w:rsidRPr="003F00AF">
              <w:rPr>
                <w:rFonts w:eastAsia="Times New Roman"/>
                <w:sz w:val="20"/>
                <w:szCs w:val="20"/>
              </w:rPr>
              <w:t>Senior Counsel</w:t>
            </w:r>
          </w:p>
        </w:tc>
        <w:tc>
          <w:tcPr>
            <w:tcW w:w="2371" w:type="dxa"/>
            <w:shd w:val="clear" w:color="auto" w:fill="auto"/>
            <w:noWrap/>
          </w:tcPr>
          <w:p w14:paraId="3557A65C" w14:textId="77777777" w:rsidR="00266C85" w:rsidRPr="003F00AF" w:rsidRDefault="00266C85" w:rsidP="00266C85">
            <w:pPr>
              <w:rPr>
                <w:rFonts w:eastAsia="Times New Roman"/>
                <w:sz w:val="20"/>
                <w:szCs w:val="20"/>
              </w:rPr>
            </w:pPr>
            <w:r w:rsidRPr="003F00AF">
              <w:rPr>
                <w:rFonts w:eastAsia="Times New Roman"/>
                <w:sz w:val="20"/>
                <w:szCs w:val="20"/>
              </w:rPr>
              <w:t>LEGLE</w:t>
            </w:r>
          </w:p>
        </w:tc>
        <w:tc>
          <w:tcPr>
            <w:tcW w:w="2466" w:type="dxa"/>
            <w:shd w:val="clear" w:color="auto" w:fill="auto"/>
            <w:noWrap/>
          </w:tcPr>
          <w:p w14:paraId="7E95EDA9"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5C0CBE68" w14:textId="77777777" w:rsidTr="00266C85">
        <w:trPr>
          <w:trHeight w:val="300"/>
        </w:trPr>
        <w:tc>
          <w:tcPr>
            <w:tcW w:w="1795" w:type="dxa"/>
            <w:shd w:val="clear" w:color="auto" w:fill="auto"/>
            <w:noWrap/>
          </w:tcPr>
          <w:p w14:paraId="0F7696E1" w14:textId="77777777" w:rsidR="00266C85" w:rsidRPr="003F00AF" w:rsidRDefault="00266C85" w:rsidP="00266C85">
            <w:pPr>
              <w:rPr>
                <w:sz w:val="20"/>
                <w:szCs w:val="20"/>
              </w:rPr>
            </w:pPr>
            <w:r w:rsidRPr="003F00AF">
              <w:rPr>
                <w:sz w:val="20"/>
                <w:szCs w:val="20"/>
              </w:rPr>
              <w:t>Franz Drees-Gross</w:t>
            </w:r>
          </w:p>
        </w:tc>
        <w:tc>
          <w:tcPr>
            <w:tcW w:w="3330" w:type="dxa"/>
            <w:shd w:val="clear" w:color="auto" w:fill="auto"/>
            <w:noWrap/>
          </w:tcPr>
          <w:p w14:paraId="5386FFEB" w14:textId="77777777" w:rsidR="00266C85" w:rsidRPr="003F00AF" w:rsidRDefault="00266C85" w:rsidP="00266C85">
            <w:pPr>
              <w:rPr>
                <w:rFonts w:eastAsia="Times New Roman"/>
                <w:sz w:val="20"/>
                <w:szCs w:val="20"/>
              </w:rPr>
            </w:pPr>
            <w:r w:rsidRPr="003F00AF">
              <w:rPr>
                <w:rFonts w:eastAsia="Times New Roman"/>
                <w:sz w:val="20"/>
                <w:szCs w:val="20"/>
              </w:rPr>
              <w:t>Sector Leader</w:t>
            </w:r>
          </w:p>
          <w:p w14:paraId="7D14AD77" w14:textId="77777777" w:rsidR="00266C85" w:rsidRPr="003F00AF" w:rsidRDefault="00266C85" w:rsidP="00266C85">
            <w:pPr>
              <w:rPr>
                <w:rFonts w:eastAsia="Times New Roman"/>
                <w:sz w:val="20"/>
                <w:szCs w:val="20"/>
              </w:rPr>
            </w:pPr>
            <w:r w:rsidRPr="003F00AF">
              <w:rPr>
                <w:rFonts w:eastAsia="Times New Roman"/>
                <w:sz w:val="20"/>
                <w:szCs w:val="20"/>
              </w:rPr>
              <w:t>(Currently Director, Strategy and Operations)</w:t>
            </w:r>
          </w:p>
        </w:tc>
        <w:tc>
          <w:tcPr>
            <w:tcW w:w="2371" w:type="dxa"/>
            <w:shd w:val="clear" w:color="auto" w:fill="auto"/>
            <w:noWrap/>
          </w:tcPr>
          <w:p w14:paraId="1D4F98EE" w14:textId="77777777" w:rsidR="00266C85" w:rsidRPr="003F00AF" w:rsidRDefault="00266C85" w:rsidP="00266C85">
            <w:pPr>
              <w:rPr>
                <w:rFonts w:eastAsia="Times New Roman"/>
                <w:sz w:val="20"/>
                <w:szCs w:val="20"/>
              </w:rPr>
            </w:pPr>
            <w:r w:rsidRPr="003F00AF">
              <w:rPr>
                <w:rFonts w:eastAsia="Times New Roman"/>
                <w:sz w:val="20"/>
                <w:szCs w:val="20"/>
              </w:rPr>
              <w:t>LCSSD</w:t>
            </w:r>
            <w:r w:rsidRPr="003F00AF">
              <w:rPr>
                <w:rFonts w:eastAsia="Times New Roman"/>
                <w:sz w:val="20"/>
                <w:szCs w:val="20"/>
              </w:rPr>
              <w:br/>
              <w:t>(Currently MDI)</w:t>
            </w:r>
          </w:p>
        </w:tc>
        <w:tc>
          <w:tcPr>
            <w:tcW w:w="2466" w:type="dxa"/>
            <w:shd w:val="clear" w:color="auto" w:fill="auto"/>
            <w:noWrap/>
          </w:tcPr>
          <w:p w14:paraId="11AAAF1E" w14:textId="77777777" w:rsidR="00266C85" w:rsidRPr="003F00AF" w:rsidRDefault="00266C85" w:rsidP="00266C85">
            <w:pPr>
              <w:rPr>
                <w:rFonts w:eastAsia="Times New Roman"/>
                <w:sz w:val="20"/>
                <w:szCs w:val="20"/>
              </w:rPr>
            </w:pPr>
            <w:r w:rsidRPr="003F00AF">
              <w:rPr>
                <w:rFonts w:eastAsia="Times New Roman"/>
                <w:sz w:val="20"/>
                <w:szCs w:val="20"/>
              </w:rPr>
              <w:t>Management</w:t>
            </w:r>
          </w:p>
        </w:tc>
      </w:tr>
      <w:tr w:rsidR="00266C85" w:rsidRPr="003F00AF" w14:paraId="5DC68041" w14:textId="77777777" w:rsidTr="00266C85">
        <w:trPr>
          <w:trHeight w:val="300"/>
        </w:trPr>
        <w:tc>
          <w:tcPr>
            <w:tcW w:w="1795" w:type="dxa"/>
            <w:shd w:val="clear" w:color="auto" w:fill="auto"/>
            <w:noWrap/>
          </w:tcPr>
          <w:p w14:paraId="6FF17192" w14:textId="77777777" w:rsidR="00266C85" w:rsidRPr="003F00AF" w:rsidRDefault="00266C85" w:rsidP="00266C85">
            <w:pPr>
              <w:rPr>
                <w:rFonts w:eastAsia="Times New Roman"/>
                <w:sz w:val="20"/>
                <w:szCs w:val="20"/>
              </w:rPr>
            </w:pPr>
            <w:r w:rsidRPr="003F00AF">
              <w:rPr>
                <w:sz w:val="20"/>
                <w:szCs w:val="20"/>
              </w:rPr>
              <w:t>Glenn S. Morgan</w:t>
            </w:r>
          </w:p>
        </w:tc>
        <w:tc>
          <w:tcPr>
            <w:tcW w:w="3330" w:type="dxa"/>
            <w:shd w:val="clear" w:color="auto" w:fill="auto"/>
            <w:noWrap/>
          </w:tcPr>
          <w:p w14:paraId="1C9EED6B" w14:textId="77777777" w:rsidR="00266C85" w:rsidRPr="003F00AF" w:rsidRDefault="00266C85" w:rsidP="00266C85">
            <w:pPr>
              <w:rPr>
                <w:rFonts w:eastAsia="Times New Roman"/>
                <w:sz w:val="20"/>
                <w:szCs w:val="20"/>
              </w:rPr>
            </w:pPr>
            <w:r w:rsidRPr="003F00AF">
              <w:rPr>
                <w:rFonts w:eastAsia="Times New Roman"/>
                <w:sz w:val="20"/>
                <w:szCs w:val="20"/>
              </w:rPr>
              <w:t>Regional Environmental and Safeguards Coordinator</w:t>
            </w:r>
          </w:p>
        </w:tc>
        <w:tc>
          <w:tcPr>
            <w:tcW w:w="2371" w:type="dxa"/>
            <w:shd w:val="clear" w:color="auto" w:fill="auto"/>
            <w:noWrap/>
          </w:tcPr>
          <w:p w14:paraId="1806F39F"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5DBCD4C1" w14:textId="77777777" w:rsidR="00266C85" w:rsidRPr="003F00AF" w:rsidRDefault="00266C85" w:rsidP="00266C85">
            <w:pPr>
              <w:rPr>
                <w:rFonts w:eastAsia="Times New Roman"/>
                <w:sz w:val="20"/>
                <w:szCs w:val="20"/>
              </w:rPr>
            </w:pPr>
            <w:r w:rsidRPr="003F00AF">
              <w:rPr>
                <w:rFonts w:eastAsia="Times New Roman"/>
                <w:sz w:val="20"/>
                <w:szCs w:val="20"/>
              </w:rPr>
              <w:t>(Lately OPSPF)</w:t>
            </w:r>
          </w:p>
        </w:tc>
        <w:tc>
          <w:tcPr>
            <w:tcW w:w="2466" w:type="dxa"/>
            <w:shd w:val="clear" w:color="auto" w:fill="auto"/>
            <w:noWrap/>
          </w:tcPr>
          <w:p w14:paraId="303AE095" w14:textId="77777777" w:rsidR="00266C85" w:rsidRPr="003F00AF" w:rsidRDefault="00266C85" w:rsidP="00266C85">
            <w:pPr>
              <w:rPr>
                <w:rFonts w:eastAsia="Times New Roman"/>
                <w:sz w:val="20"/>
                <w:szCs w:val="20"/>
              </w:rPr>
            </w:pPr>
            <w:r w:rsidRPr="003F00AF">
              <w:rPr>
                <w:rFonts w:eastAsia="Times New Roman"/>
                <w:sz w:val="20"/>
                <w:szCs w:val="20"/>
              </w:rPr>
              <w:t>Safeguards</w:t>
            </w:r>
          </w:p>
        </w:tc>
      </w:tr>
      <w:tr w:rsidR="00266C85" w:rsidRPr="003F00AF" w14:paraId="60210E06" w14:textId="77777777" w:rsidTr="00266C85">
        <w:trPr>
          <w:trHeight w:val="300"/>
        </w:trPr>
        <w:tc>
          <w:tcPr>
            <w:tcW w:w="1795" w:type="dxa"/>
            <w:shd w:val="clear" w:color="auto" w:fill="auto"/>
            <w:noWrap/>
          </w:tcPr>
          <w:p w14:paraId="23332C6F" w14:textId="77777777" w:rsidR="00266C85" w:rsidRPr="003F00AF" w:rsidRDefault="00266C85" w:rsidP="00266C85">
            <w:pPr>
              <w:autoSpaceDE w:val="0"/>
              <w:autoSpaceDN w:val="0"/>
              <w:adjustRightInd w:val="0"/>
              <w:rPr>
                <w:sz w:val="20"/>
                <w:szCs w:val="20"/>
              </w:rPr>
            </w:pPr>
            <w:r w:rsidRPr="003F00AF">
              <w:rPr>
                <w:rFonts w:eastAsiaTheme="minorHAnsi"/>
                <w:sz w:val="20"/>
                <w:szCs w:val="20"/>
                <w:lang w:eastAsia="en-US"/>
              </w:rPr>
              <w:t>Isabella Micali Drossos</w:t>
            </w:r>
          </w:p>
        </w:tc>
        <w:tc>
          <w:tcPr>
            <w:tcW w:w="3330" w:type="dxa"/>
            <w:shd w:val="clear" w:color="auto" w:fill="auto"/>
            <w:noWrap/>
          </w:tcPr>
          <w:p w14:paraId="7D3C6A99" w14:textId="77777777" w:rsidR="00266C85" w:rsidRPr="003F00AF" w:rsidRDefault="00266C85" w:rsidP="00266C85">
            <w:pPr>
              <w:rPr>
                <w:rFonts w:eastAsia="Times New Roman"/>
                <w:sz w:val="20"/>
                <w:szCs w:val="20"/>
              </w:rPr>
            </w:pPr>
            <w:r w:rsidRPr="003F00AF">
              <w:rPr>
                <w:rFonts w:eastAsia="Times New Roman"/>
                <w:sz w:val="20"/>
                <w:szCs w:val="20"/>
              </w:rPr>
              <w:t>Senior Counsel</w:t>
            </w:r>
          </w:p>
          <w:p w14:paraId="11D26C57" w14:textId="77777777" w:rsidR="00266C85" w:rsidRPr="003F00AF" w:rsidRDefault="00266C85" w:rsidP="00266C85">
            <w:pPr>
              <w:rPr>
                <w:rFonts w:eastAsia="Times New Roman"/>
                <w:sz w:val="20"/>
                <w:szCs w:val="20"/>
              </w:rPr>
            </w:pPr>
            <w:r w:rsidRPr="003F00AF">
              <w:rPr>
                <w:rFonts w:eastAsia="Times New Roman"/>
                <w:sz w:val="20"/>
                <w:szCs w:val="20"/>
              </w:rPr>
              <w:t>(Currently Senior Counsel)</w:t>
            </w:r>
          </w:p>
        </w:tc>
        <w:tc>
          <w:tcPr>
            <w:tcW w:w="2371" w:type="dxa"/>
            <w:shd w:val="clear" w:color="auto" w:fill="auto"/>
            <w:noWrap/>
          </w:tcPr>
          <w:p w14:paraId="509309B7" w14:textId="77777777" w:rsidR="00266C85" w:rsidRPr="003F00AF" w:rsidRDefault="00266C85" w:rsidP="00266C85">
            <w:pPr>
              <w:rPr>
                <w:rFonts w:eastAsia="Times New Roman"/>
                <w:sz w:val="20"/>
                <w:szCs w:val="20"/>
              </w:rPr>
            </w:pPr>
            <w:r w:rsidRPr="003F00AF">
              <w:rPr>
                <w:rFonts w:eastAsia="Times New Roman"/>
                <w:sz w:val="20"/>
                <w:szCs w:val="20"/>
              </w:rPr>
              <w:t>LEGLA</w:t>
            </w:r>
          </w:p>
          <w:p w14:paraId="33E88F97" w14:textId="77777777" w:rsidR="00266C85" w:rsidRPr="003F00AF" w:rsidRDefault="00266C85" w:rsidP="00266C85">
            <w:pPr>
              <w:rPr>
                <w:rFonts w:eastAsia="Times New Roman"/>
                <w:sz w:val="20"/>
                <w:szCs w:val="20"/>
              </w:rPr>
            </w:pPr>
            <w:r w:rsidRPr="003F00AF">
              <w:rPr>
                <w:rFonts w:eastAsia="Times New Roman"/>
                <w:sz w:val="20"/>
                <w:szCs w:val="20"/>
              </w:rPr>
              <w:t>(Currently LEGAM)</w:t>
            </w:r>
          </w:p>
        </w:tc>
        <w:tc>
          <w:tcPr>
            <w:tcW w:w="2466" w:type="dxa"/>
            <w:shd w:val="clear" w:color="auto" w:fill="auto"/>
            <w:noWrap/>
          </w:tcPr>
          <w:p w14:paraId="7BD97316"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4A4DEC45" w14:textId="77777777" w:rsidTr="00266C85">
        <w:trPr>
          <w:trHeight w:val="300"/>
        </w:trPr>
        <w:tc>
          <w:tcPr>
            <w:tcW w:w="1795" w:type="dxa"/>
            <w:shd w:val="clear" w:color="auto" w:fill="auto"/>
            <w:noWrap/>
          </w:tcPr>
          <w:p w14:paraId="6F23DFE8" w14:textId="77777777" w:rsidR="00266C85" w:rsidRPr="003F00AF" w:rsidRDefault="00266C85" w:rsidP="00266C85">
            <w:pPr>
              <w:rPr>
                <w:rFonts w:eastAsia="Times New Roman"/>
                <w:sz w:val="20"/>
                <w:szCs w:val="20"/>
              </w:rPr>
            </w:pPr>
            <w:r w:rsidRPr="003F00AF">
              <w:rPr>
                <w:sz w:val="20"/>
                <w:szCs w:val="20"/>
              </w:rPr>
              <w:t>John D. Nash</w:t>
            </w:r>
          </w:p>
        </w:tc>
        <w:tc>
          <w:tcPr>
            <w:tcW w:w="3330" w:type="dxa"/>
            <w:shd w:val="clear" w:color="auto" w:fill="auto"/>
            <w:noWrap/>
          </w:tcPr>
          <w:p w14:paraId="4E51BE6B" w14:textId="77777777" w:rsidR="00266C85" w:rsidRPr="003F00AF" w:rsidRDefault="00266C85" w:rsidP="00266C85">
            <w:pPr>
              <w:rPr>
                <w:rFonts w:eastAsia="Times New Roman"/>
                <w:sz w:val="20"/>
                <w:szCs w:val="20"/>
              </w:rPr>
            </w:pPr>
            <w:r w:rsidRPr="003F00AF">
              <w:rPr>
                <w:rFonts w:eastAsia="Times New Roman"/>
                <w:sz w:val="20"/>
                <w:szCs w:val="20"/>
              </w:rPr>
              <w:t>Lead Economist</w:t>
            </w:r>
          </w:p>
        </w:tc>
        <w:tc>
          <w:tcPr>
            <w:tcW w:w="2371" w:type="dxa"/>
            <w:shd w:val="clear" w:color="auto" w:fill="auto"/>
            <w:noWrap/>
          </w:tcPr>
          <w:p w14:paraId="3102E185" w14:textId="77777777" w:rsidR="00266C85" w:rsidRPr="003F00AF" w:rsidRDefault="00266C85" w:rsidP="00266C85">
            <w:pPr>
              <w:rPr>
                <w:rFonts w:eastAsia="Times New Roman"/>
                <w:sz w:val="20"/>
                <w:szCs w:val="20"/>
              </w:rPr>
            </w:pPr>
            <w:r w:rsidRPr="003F00AF">
              <w:rPr>
                <w:rFonts w:eastAsia="Times New Roman"/>
                <w:sz w:val="20"/>
                <w:szCs w:val="20"/>
              </w:rPr>
              <w:t>LCSSD</w:t>
            </w:r>
          </w:p>
        </w:tc>
        <w:tc>
          <w:tcPr>
            <w:tcW w:w="2466" w:type="dxa"/>
            <w:shd w:val="clear" w:color="auto" w:fill="auto"/>
            <w:noWrap/>
          </w:tcPr>
          <w:p w14:paraId="56926C34" w14:textId="77777777" w:rsidR="00266C85" w:rsidRPr="003F00AF" w:rsidRDefault="00266C85" w:rsidP="00266C85">
            <w:pPr>
              <w:rPr>
                <w:rFonts w:eastAsia="Times New Roman"/>
                <w:sz w:val="20"/>
                <w:szCs w:val="20"/>
              </w:rPr>
            </w:pPr>
            <w:r w:rsidRPr="003F00AF">
              <w:rPr>
                <w:rFonts w:eastAsia="Times New Roman"/>
                <w:sz w:val="20"/>
                <w:szCs w:val="20"/>
              </w:rPr>
              <w:t>Peer Reviewer</w:t>
            </w:r>
          </w:p>
        </w:tc>
      </w:tr>
      <w:tr w:rsidR="00266C85" w:rsidRPr="003F00AF" w14:paraId="729B57E7" w14:textId="77777777" w:rsidTr="00266C85">
        <w:trPr>
          <w:trHeight w:val="300"/>
        </w:trPr>
        <w:tc>
          <w:tcPr>
            <w:tcW w:w="1795" w:type="dxa"/>
            <w:shd w:val="clear" w:color="auto" w:fill="auto"/>
            <w:noWrap/>
          </w:tcPr>
          <w:p w14:paraId="2A6DE3B1" w14:textId="77777777" w:rsidR="00266C85" w:rsidRPr="003F00AF" w:rsidRDefault="00266C85" w:rsidP="00266C85">
            <w:pPr>
              <w:rPr>
                <w:rFonts w:eastAsia="Times New Roman"/>
                <w:sz w:val="20"/>
                <w:szCs w:val="20"/>
              </w:rPr>
            </w:pPr>
            <w:r w:rsidRPr="003F00AF">
              <w:rPr>
                <w:sz w:val="20"/>
                <w:szCs w:val="20"/>
              </w:rPr>
              <w:t>Juan C. Belausteguigoitia</w:t>
            </w:r>
          </w:p>
        </w:tc>
        <w:tc>
          <w:tcPr>
            <w:tcW w:w="3330" w:type="dxa"/>
            <w:shd w:val="clear" w:color="auto" w:fill="auto"/>
            <w:noWrap/>
          </w:tcPr>
          <w:p w14:paraId="54C4C1DC" w14:textId="77777777" w:rsidR="00266C85" w:rsidRPr="003F00AF" w:rsidRDefault="00266C85" w:rsidP="00266C85">
            <w:pPr>
              <w:rPr>
                <w:rFonts w:eastAsia="Times New Roman"/>
                <w:sz w:val="20"/>
                <w:szCs w:val="20"/>
              </w:rPr>
            </w:pPr>
            <w:r w:rsidRPr="003F00AF">
              <w:rPr>
                <w:rFonts w:eastAsia="Times New Roman"/>
                <w:sz w:val="20"/>
                <w:szCs w:val="20"/>
              </w:rPr>
              <w:t>Lead Environmental Economist</w:t>
            </w:r>
          </w:p>
          <w:p w14:paraId="1B4DF67B" w14:textId="77777777" w:rsidR="00266C85" w:rsidRPr="003F00AF" w:rsidRDefault="00266C85" w:rsidP="00266C85">
            <w:pPr>
              <w:rPr>
                <w:rFonts w:eastAsia="Times New Roman"/>
                <w:sz w:val="20"/>
                <w:szCs w:val="20"/>
              </w:rPr>
            </w:pPr>
            <w:r w:rsidRPr="003F00AF">
              <w:rPr>
                <w:rFonts w:eastAsia="Times New Roman"/>
                <w:sz w:val="20"/>
                <w:szCs w:val="20"/>
              </w:rPr>
              <w:t>(Currently Consultant)</w:t>
            </w:r>
          </w:p>
        </w:tc>
        <w:tc>
          <w:tcPr>
            <w:tcW w:w="2371" w:type="dxa"/>
            <w:shd w:val="clear" w:color="auto" w:fill="auto"/>
            <w:noWrap/>
          </w:tcPr>
          <w:p w14:paraId="18F59332"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201C95B8" w14:textId="77777777" w:rsidR="00266C85" w:rsidRPr="003F00AF" w:rsidRDefault="00266C85" w:rsidP="00266C85">
            <w:pPr>
              <w:rPr>
                <w:rFonts w:eastAsia="Times New Roman"/>
                <w:sz w:val="20"/>
                <w:szCs w:val="20"/>
              </w:rPr>
            </w:pPr>
            <w:r w:rsidRPr="003F00AF">
              <w:rPr>
                <w:rFonts w:eastAsia="Times New Roman"/>
                <w:sz w:val="20"/>
                <w:szCs w:val="20"/>
              </w:rPr>
              <w:t>(Currently GEN04)</w:t>
            </w:r>
          </w:p>
        </w:tc>
        <w:tc>
          <w:tcPr>
            <w:tcW w:w="2466" w:type="dxa"/>
            <w:shd w:val="clear" w:color="auto" w:fill="auto"/>
            <w:noWrap/>
          </w:tcPr>
          <w:p w14:paraId="03A8824C" w14:textId="77777777" w:rsidR="00266C85" w:rsidRPr="003F00AF" w:rsidRDefault="00266C85" w:rsidP="00266C85">
            <w:pPr>
              <w:rPr>
                <w:rFonts w:eastAsia="Times New Roman"/>
                <w:sz w:val="20"/>
                <w:szCs w:val="20"/>
              </w:rPr>
            </w:pPr>
            <w:r w:rsidRPr="003F00AF">
              <w:rPr>
                <w:rFonts w:eastAsia="Times New Roman"/>
                <w:sz w:val="20"/>
                <w:szCs w:val="20"/>
              </w:rPr>
              <w:t>Task Team Leader</w:t>
            </w:r>
          </w:p>
        </w:tc>
      </w:tr>
      <w:tr w:rsidR="00266C85" w:rsidRPr="003F00AF" w14:paraId="794C4722" w14:textId="77777777" w:rsidTr="00266C85">
        <w:trPr>
          <w:trHeight w:val="300"/>
        </w:trPr>
        <w:tc>
          <w:tcPr>
            <w:tcW w:w="1795" w:type="dxa"/>
            <w:shd w:val="clear" w:color="auto" w:fill="auto"/>
            <w:noWrap/>
          </w:tcPr>
          <w:p w14:paraId="4C881EE5" w14:textId="77777777" w:rsidR="00266C85" w:rsidRPr="003F00AF" w:rsidRDefault="00266C85" w:rsidP="00266C85">
            <w:pPr>
              <w:rPr>
                <w:rFonts w:eastAsia="Times New Roman"/>
                <w:sz w:val="20"/>
                <w:szCs w:val="20"/>
              </w:rPr>
            </w:pPr>
            <w:r w:rsidRPr="003F00AF">
              <w:rPr>
                <w:sz w:val="20"/>
                <w:szCs w:val="20"/>
              </w:rPr>
              <w:t>Juan Carlos Sueiro Cabredo</w:t>
            </w:r>
          </w:p>
        </w:tc>
        <w:tc>
          <w:tcPr>
            <w:tcW w:w="3330" w:type="dxa"/>
            <w:shd w:val="clear" w:color="auto" w:fill="auto"/>
            <w:noWrap/>
          </w:tcPr>
          <w:p w14:paraId="1D161946"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73D46359"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35F45421" w14:textId="77777777" w:rsidR="00266C85" w:rsidRPr="003F00AF" w:rsidRDefault="00266C85" w:rsidP="00266C85">
            <w:pPr>
              <w:rPr>
                <w:rFonts w:eastAsia="Times New Roman"/>
                <w:sz w:val="20"/>
                <w:szCs w:val="20"/>
              </w:rPr>
            </w:pPr>
            <w:r w:rsidRPr="003F00AF">
              <w:rPr>
                <w:rFonts w:eastAsia="Times New Roman"/>
                <w:sz w:val="20"/>
                <w:szCs w:val="20"/>
              </w:rPr>
              <w:t>Fisheries</w:t>
            </w:r>
          </w:p>
        </w:tc>
      </w:tr>
      <w:tr w:rsidR="00266C85" w:rsidRPr="003F00AF" w14:paraId="4C2B07D8" w14:textId="77777777" w:rsidTr="00266C85">
        <w:trPr>
          <w:trHeight w:val="300"/>
        </w:trPr>
        <w:tc>
          <w:tcPr>
            <w:tcW w:w="1795" w:type="dxa"/>
            <w:shd w:val="clear" w:color="auto" w:fill="auto"/>
            <w:noWrap/>
          </w:tcPr>
          <w:p w14:paraId="7E51D8B0" w14:textId="77777777" w:rsidR="00266C85" w:rsidRPr="003F00AF" w:rsidRDefault="00266C85" w:rsidP="00266C85">
            <w:pPr>
              <w:rPr>
                <w:sz w:val="20"/>
                <w:szCs w:val="20"/>
              </w:rPr>
            </w:pPr>
            <w:r w:rsidRPr="003F00AF">
              <w:rPr>
                <w:sz w:val="20"/>
                <w:szCs w:val="20"/>
              </w:rPr>
              <w:t>Karin Kemper</w:t>
            </w:r>
          </w:p>
        </w:tc>
        <w:tc>
          <w:tcPr>
            <w:tcW w:w="3330" w:type="dxa"/>
            <w:shd w:val="clear" w:color="auto" w:fill="auto"/>
            <w:noWrap/>
          </w:tcPr>
          <w:p w14:paraId="24F2C329" w14:textId="77777777" w:rsidR="00266C85" w:rsidRPr="003F00AF" w:rsidRDefault="00266C85" w:rsidP="00266C85">
            <w:pPr>
              <w:rPr>
                <w:rFonts w:eastAsia="Times New Roman"/>
                <w:sz w:val="20"/>
                <w:szCs w:val="20"/>
              </w:rPr>
            </w:pPr>
            <w:r w:rsidRPr="003F00AF">
              <w:rPr>
                <w:rFonts w:eastAsia="Times New Roman"/>
                <w:sz w:val="20"/>
                <w:szCs w:val="20"/>
              </w:rPr>
              <w:t>Sector Manager</w:t>
            </w:r>
          </w:p>
          <w:p w14:paraId="1035D30A" w14:textId="77777777" w:rsidR="00266C85" w:rsidRPr="003F00AF" w:rsidRDefault="00266C85" w:rsidP="00266C85">
            <w:pPr>
              <w:rPr>
                <w:rFonts w:eastAsia="Times New Roman"/>
                <w:sz w:val="20"/>
                <w:szCs w:val="20"/>
              </w:rPr>
            </w:pPr>
            <w:r w:rsidRPr="003F00AF">
              <w:rPr>
                <w:rFonts w:eastAsia="Times New Roman"/>
                <w:sz w:val="20"/>
                <w:szCs w:val="20"/>
              </w:rPr>
              <w:t>(Currently Senior Regional Adviser)</w:t>
            </w:r>
          </w:p>
        </w:tc>
        <w:tc>
          <w:tcPr>
            <w:tcW w:w="2371" w:type="dxa"/>
            <w:shd w:val="clear" w:color="auto" w:fill="auto"/>
            <w:noWrap/>
          </w:tcPr>
          <w:p w14:paraId="7BEDE39F" w14:textId="77777777" w:rsidR="00266C85" w:rsidRPr="003F00AF" w:rsidRDefault="00266C85" w:rsidP="00266C85">
            <w:pPr>
              <w:rPr>
                <w:rFonts w:eastAsia="Times New Roman"/>
                <w:sz w:val="20"/>
                <w:szCs w:val="20"/>
              </w:rPr>
            </w:pPr>
            <w:r w:rsidRPr="003F00AF">
              <w:rPr>
                <w:rFonts w:eastAsia="Times New Roman"/>
                <w:sz w:val="20"/>
                <w:szCs w:val="20"/>
              </w:rPr>
              <w:t xml:space="preserve">LCSEN </w:t>
            </w:r>
          </w:p>
          <w:p w14:paraId="7042456B" w14:textId="77777777" w:rsidR="00266C85" w:rsidRPr="003F00AF" w:rsidRDefault="00266C85" w:rsidP="00266C85">
            <w:pPr>
              <w:rPr>
                <w:rFonts w:eastAsia="Times New Roman"/>
                <w:sz w:val="20"/>
                <w:szCs w:val="20"/>
              </w:rPr>
            </w:pPr>
            <w:r w:rsidRPr="003F00AF">
              <w:rPr>
                <w:rFonts w:eastAsia="Times New Roman"/>
                <w:sz w:val="20"/>
                <w:szCs w:val="20"/>
              </w:rPr>
              <w:t>(Currently LCRVP)</w:t>
            </w:r>
          </w:p>
        </w:tc>
        <w:tc>
          <w:tcPr>
            <w:tcW w:w="2466" w:type="dxa"/>
            <w:shd w:val="clear" w:color="auto" w:fill="auto"/>
            <w:noWrap/>
          </w:tcPr>
          <w:p w14:paraId="396E010C" w14:textId="77777777" w:rsidR="00266C85" w:rsidRPr="003F00AF" w:rsidRDefault="00266C85" w:rsidP="00266C85">
            <w:pPr>
              <w:rPr>
                <w:rFonts w:eastAsia="Times New Roman"/>
                <w:sz w:val="20"/>
                <w:szCs w:val="20"/>
              </w:rPr>
            </w:pPr>
            <w:r w:rsidRPr="003F00AF">
              <w:rPr>
                <w:rFonts w:eastAsia="Times New Roman"/>
                <w:sz w:val="20"/>
                <w:szCs w:val="20"/>
              </w:rPr>
              <w:t>Management</w:t>
            </w:r>
          </w:p>
        </w:tc>
      </w:tr>
      <w:tr w:rsidR="00266C85" w:rsidRPr="003F00AF" w14:paraId="1FFB532A" w14:textId="77777777" w:rsidTr="00266C85">
        <w:trPr>
          <w:trHeight w:val="300"/>
        </w:trPr>
        <w:tc>
          <w:tcPr>
            <w:tcW w:w="1795" w:type="dxa"/>
            <w:shd w:val="clear" w:color="auto" w:fill="auto"/>
            <w:noWrap/>
          </w:tcPr>
          <w:p w14:paraId="29D8C52F" w14:textId="77777777" w:rsidR="00266C85" w:rsidRPr="003F00AF" w:rsidRDefault="00266C85" w:rsidP="00266C85">
            <w:pPr>
              <w:rPr>
                <w:rFonts w:eastAsia="Times New Roman"/>
                <w:sz w:val="20"/>
                <w:szCs w:val="20"/>
              </w:rPr>
            </w:pPr>
            <w:r w:rsidRPr="003F00AF">
              <w:rPr>
                <w:sz w:val="20"/>
                <w:szCs w:val="20"/>
              </w:rPr>
              <w:t>Kieran Kelleher</w:t>
            </w:r>
          </w:p>
        </w:tc>
        <w:tc>
          <w:tcPr>
            <w:tcW w:w="3330" w:type="dxa"/>
            <w:shd w:val="clear" w:color="auto" w:fill="auto"/>
            <w:noWrap/>
          </w:tcPr>
          <w:p w14:paraId="7C115C22" w14:textId="77777777" w:rsidR="00266C85" w:rsidRPr="003F00AF" w:rsidRDefault="00266C85" w:rsidP="00266C85">
            <w:pPr>
              <w:rPr>
                <w:rFonts w:eastAsia="Times New Roman"/>
                <w:sz w:val="20"/>
                <w:szCs w:val="20"/>
              </w:rPr>
            </w:pPr>
            <w:r w:rsidRPr="003F00AF">
              <w:rPr>
                <w:rFonts w:eastAsia="Times New Roman"/>
                <w:sz w:val="20"/>
                <w:szCs w:val="20"/>
              </w:rPr>
              <w:t>Senior Fisheries Specialist</w:t>
            </w:r>
          </w:p>
        </w:tc>
        <w:tc>
          <w:tcPr>
            <w:tcW w:w="2371" w:type="dxa"/>
            <w:shd w:val="clear" w:color="auto" w:fill="auto"/>
            <w:noWrap/>
          </w:tcPr>
          <w:p w14:paraId="4108902B" w14:textId="77777777" w:rsidR="00266C85" w:rsidRPr="003F00AF" w:rsidRDefault="00266C85" w:rsidP="00266C85">
            <w:pPr>
              <w:rPr>
                <w:rFonts w:eastAsia="Times New Roman"/>
                <w:sz w:val="20"/>
                <w:szCs w:val="20"/>
              </w:rPr>
            </w:pPr>
            <w:r w:rsidRPr="003F00AF">
              <w:rPr>
                <w:rFonts w:eastAsia="Times New Roman"/>
                <w:sz w:val="20"/>
                <w:szCs w:val="20"/>
              </w:rPr>
              <w:t>ARD</w:t>
            </w:r>
          </w:p>
        </w:tc>
        <w:tc>
          <w:tcPr>
            <w:tcW w:w="2466" w:type="dxa"/>
            <w:shd w:val="clear" w:color="auto" w:fill="auto"/>
            <w:noWrap/>
          </w:tcPr>
          <w:p w14:paraId="008F995E" w14:textId="77777777" w:rsidR="00266C85" w:rsidRPr="003F00AF" w:rsidRDefault="00266C85" w:rsidP="00266C85">
            <w:pPr>
              <w:rPr>
                <w:rFonts w:eastAsia="Times New Roman"/>
                <w:sz w:val="20"/>
                <w:szCs w:val="20"/>
              </w:rPr>
            </w:pPr>
            <w:r w:rsidRPr="003F00AF">
              <w:rPr>
                <w:rFonts w:eastAsia="Times New Roman"/>
                <w:sz w:val="20"/>
                <w:szCs w:val="20"/>
              </w:rPr>
              <w:t>Fisheries</w:t>
            </w:r>
          </w:p>
        </w:tc>
      </w:tr>
      <w:tr w:rsidR="00266C85" w:rsidRPr="003F00AF" w14:paraId="78759980" w14:textId="77777777" w:rsidTr="00266C85">
        <w:trPr>
          <w:trHeight w:val="300"/>
        </w:trPr>
        <w:tc>
          <w:tcPr>
            <w:tcW w:w="1795" w:type="dxa"/>
            <w:shd w:val="clear" w:color="auto" w:fill="auto"/>
            <w:noWrap/>
          </w:tcPr>
          <w:p w14:paraId="07B22597" w14:textId="77777777" w:rsidR="00266C85" w:rsidRPr="003F00AF" w:rsidRDefault="00266C85" w:rsidP="00266C85">
            <w:pPr>
              <w:rPr>
                <w:sz w:val="20"/>
                <w:szCs w:val="20"/>
              </w:rPr>
            </w:pPr>
            <w:r w:rsidRPr="003F00AF">
              <w:rPr>
                <w:sz w:val="20"/>
                <w:szCs w:val="20"/>
              </w:rPr>
              <w:t>Kirk Hamilton</w:t>
            </w:r>
          </w:p>
        </w:tc>
        <w:tc>
          <w:tcPr>
            <w:tcW w:w="3330" w:type="dxa"/>
            <w:shd w:val="clear" w:color="auto" w:fill="auto"/>
            <w:noWrap/>
          </w:tcPr>
          <w:p w14:paraId="5858BABA" w14:textId="77777777" w:rsidR="00266C85" w:rsidRPr="003F00AF" w:rsidRDefault="00266C85" w:rsidP="00266C85">
            <w:pPr>
              <w:rPr>
                <w:sz w:val="20"/>
                <w:szCs w:val="20"/>
              </w:rPr>
            </w:pPr>
            <w:r w:rsidRPr="003F00AF">
              <w:rPr>
                <w:sz w:val="20"/>
                <w:szCs w:val="20"/>
              </w:rPr>
              <w:t>Lead Environmental Economist</w:t>
            </w:r>
          </w:p>
        </w:tc>
        <w:tc>
          <w:tcPr>
            <w:tcW w:w="2371" w:type="dxa"/>
            <w:shd w:val="clear" w:color="auto" w:fill="auto"/>
            <w:noWrap/>
          </w:tcPr>
          <w:p w14:paraId="5F0061D9" w14:textId="77777777" w:rsidR="00266C85" w:rsidRPr="003F00AF" w:rsidRDefault="00266C85" w:rsidP="00266C85">
            <w:pPr>
              <w:rPr>
                <w:sz w:val="20"/>
                <w:szCs w:val="20"/>
              </w:rPr>
            </w:pPr>
            <w:r w:rsidRPr="003F00AF">
              <w:rPr>
                <w:sz w:val="20"/>
                <w:szCs w:val="20"/>
              </w:rPr>
              <w:t>ENV</w:t>
            </w:r>
          </w:p>
        </w:tc>
        <w:tc>
          <w:tcPr>
            <w:tcW w:w="2466" w:type="dxa"/>
            <w:shd w:val="clear" w:color="auto" w:fill="auto"/>
            <w:noWrap/>
          </w:tcPr>
          <w:p w14:paraId="2CB6B61F" w14:textId="77777777" w:rsidR="00266C85" w:rsidRPr="003F00AF" w:rsidRDefault="00266C85" w:rsidP="00266C85">
            <w:pPr>
              <w:rPr>
                <w:rFonts w:eastAsia="Times New Roman"/>
                <w:sz w:val="20"/>
                <w:szCs w:val="20"/>
              </w:rPr>
            </w:pPr>
            <w:r w:rsidRPr="003F00AF">
              <w:rPr>
                <w:rFonts w:eastAsia="Times New Roman"/>
                <w:sz w:val="20"/>
                <w:szCs w:val="20"/>
              </w:rPr>
              <w:t>Peer Reviewer</w:t>
            </w:r>
          </w:p>
        </w:tc>
      </w:tr>
      <w:tr w:rsidR="00266C85" w:rsidRPr="003F00AF" w14:paraId="16B592F9" w14:textId="77777777" w:rsidTr="00266C85">
        <w:trPr>
          <w:trHeight w:val="300"/>
        </w:trPr>
        <w:tc>
          <w:tcPr>
            <w:tcW w:w="1795" w:type="dxa"/>
            <w:shd w:val="clear" w:color="auto" w:fill="auto"/>
            <w:noWrap/>
          </w:tcPr>
          <w:p w14:paraId="528EC653" w14:textId="77777777" w:rsidR="00266C85" w:rsidRPr="003F00AF" w:rsidRDefault="00266C85" w:rsidP="00266C85">
            <w:pPr>
              <w:rPr>
                <w:sz w:val="20"/>
                <w:szCs w:val="20"/>
              </w:rPr>
            </w:pPr>
            <w:r w:rsidRPr="003F00AF">
              <w:rPr>
                <w:sz w:val="20"/>
                <w:szCs w:val="20"/>
              </w:rPr>
              <w:t>Laura Tlaiye</w:t>
            </w:r>
          </w:p>
        </w:tc>
        <w:tc>
          <w:tcPr>
            <w:tcW w:w="3330" w:type="dxa"/>
            <w:shd w:val="clear" w:color="auto" w:fill="auto"/>
            <w:noWrap/>
          </w:tcPr>
          <w:p w14:paraId="4A5B3DB0" w14:textId="77777777" w:rsidR="00266C85" w:rsidRPr="003F00AF" w:rsidRDefault="00266C85" w:rsidP="00266C85">
            <w:pPr>
              <w:rPr>
                <w:rFonts w:eastAsia="Times New Roman"/>
                <w:sz w:val="20"/>
                <w:szCs w:val="20"/>
              </w:rPr>
            </w:pPr>
            <w:r w:rsidRPr="003F00AF">
              <w:rPr>
                <w:rFonts w:eastAsia="Times New Roman"/>
                <w:sz w:val="20"/>
                <w:szCs w:val="20"/>
              </w:rPr>
              <w:t>Sector Manager</w:t>
            </w:r>
          </w:p>
        </w:tc>
        <w:tc>
          <w:tcPr>
            <w:tcW w:w="2371" w:type="dxa"/>
            <w:shd w:val="clear" w:color="auto" w:fill="auto"/>
            <w:noWrap/>
          </w:tcPr>
          <w:p w14:paraId="295A531E"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093378FF" w14:textId="77777777" w:rsidR="00266C85" w:rsidRPr="003F00AF" w:rsidRDefault="00266C85" w:rsidP="00266C85">
            <w:pPr>
              <w:rPr>
                <w:rFonts w:eastAsia="Times New Roman"/>
                <w:sz w:val="20"/>
                <w:szCs w:val="20"/>
              </w:rPr>
            </w:pPr>
            <w:r w:rsidRPr="003F00AF">
              <w:rPr>
                <w:rFonts w:eastAsia="Times New Roman"/>
                <w:sz w:val="20"/>
                <w:szCs w:val="20"/>
              </w:rPr>
              <w:t>Management</w:t>
            </w:r>
          </w:p>
        </w:tc>
      </w:tr>
      <w:tr w:rsidR="00266C85" w:rsidRPr="003F00AF" w14:paraId="6641C87B" w14:textId="77777777" w:rsidTr="00266C85">
        <w:trPr>
          <w:trHeight w:val="300"/>
        </w:trPr>
        <w:tc>
          <w:tcPr>
            <w:tcW w:w="1795" w:type="dxa"/>
            <w:shd w:val="clear" w:color="auto" w:fill="auto"/>
            <w:noWrap/>
          </w:tcPr>
          <w:p w14:paraId="4ED4271C" w14:textId="77777777" w:rsidR="00266C85" w:rsidRPr="003F00AF" w:rsidRDefault="00266C85" w:rsidP="00266C85">
            <w:pPr>
              <w:rPr>
                <w:sz w:val="20"/>
                <w:szCs w:val="20"/>
              </w:rPr>
            </w:pPr>
            <w:r w:rsidRPr="003F00AF">
              <w:rPr>
                <w:sz w:val="20"/>
                <w:szCs w:val="20"/>
              </w:rPr>
              <w:t>Laura Tuck</w:t>
            </w:r>
          </w:p>
        </w:tc>
        <w:tc>
          <w:tcPr>
            <w:tcW w:w="3330" w:type="dxa"/>
            <w:shd w:val="clear" w:color="auto" w:fill="auto"/>
            <w:noWrap/>
          </w:tcPr>
          <w:p w14:paraId="3BED300B" w14:textId="77777777" w:rsidR="00266C85" w:rsidRPr="003F00AF" w:rsidRDefault="00266C85" w:rsidP="00266C85">
            <w:pPr>
              <w:rPr>
                <w:rFonts w:eastAsia="Times New Roman"/>
                <w:sz w:val="20"/>
                <w:szCs w:val="20"/>
              </w:rPr>
            </w:pPr>
            <w:r w:rsidRPr="003F00AF">
              <w:rPr>
                <w:rFonts w:eastAsia="Times New Roman"/>
                <w:sz w:val="20"/>
                <w:szCs w:val="20"/>
              </w:rPr>
              <w:t>Sector Director</w:t>
            </w:r>
          </w:p>
          <w:p w14:paraId="1558EBCB" w14:textId="77777777" w:rsidR="00266C85" w:rsidRPr="003F00AF" w:rsidRDefault="00266C85" w:rsidP="00266C85">
            <w:pPr>
              <w:rPr>
                <w:rFonts w:eastAsia="Times New Roman"/>
                <w:sz w:val="20"/>
                <w:szCs w:val="20"/>
              </w:rPr>
            </w:pPr>
            <w:r w:rsidRPr="003F00AF">
              <w:rPr>
                <w:rFonts w:eastAsia="Times New Roman"/>
                <w:sz w:val="20"/>
                <w:szCs w:val="20"/>
              </w:rPr>
              <w:t>(Currently Vice President)</w:t>
            </w:r>
          </w:p>
        </w:tc>
        <w:tc>
          <w:tcPr>
            <w:tcW w:w="2371" w:type="dxa"/>
            <w:shd w:val="clear" w:color="auto" w:fill="auto"/>
            <w:noWrap/>
          </w:tcPr>
          <w:p w14:paraId="0F5A7D67" w14:textId="77777777" w:rsidR="00266C85" w:rsidRPr="003F00AF" w:rsidRDefault="00266C85" w:rsidP="00266C85">
            <w:pPr>
              <w:rPr>
                <w:rFonts w:eastAsia="Times New Roman"/>
                <w:sz w:val="20"/>
                <w:szCs w:val="20"/>
              </w:rPr>
            </w:pPr>
            <w:r w:rsidRPr="003F00AF">
              <w:rPr>
                <w:rFonts w:eastAsia="Times New Roman"/>
                <w:sz w:val="20"/>
                <w:szCs w:val="20"/>
              </w:rPr>
              <w:t>LCSSD</w:t>
            </w:r>
          </w:p>
          <w:p w14:paraId="1D8983CE" w14:textId="77777777" w:rsidR="00266C85" w:rsidRPr="003F00AF" w:rsidRDefault="00266C85" w:rsidP="00266C85">
            <w:pPr>
              <w:rPr>
                <w:rFonts w:eastAsia="Times New Roman"/>
                <w:sz w:val="20"/>
                <w:szCs w:val="20"/>
              </w:rPr>
            </w:pPr>
            <w:r w:rsidRPr="003F00AF">
              <w:rPr>
                <w:rFonts w:eastAsia="Times New Roman"/>
                <w:sz w:val="20"/>
                <w:szCs w:val="20"/>
              </w:rPr>
              <w:t>(Currently GGSVP)</w:t>
            </w:r>
          </w:p>
        </w:tc>
        <w:tc>
          <w:tcPr>
            <w:tcW w:w="2466" w:type="dxa"/>
            <w:shd w:val="clear" w:color="auto" w:fill="auto"/>
            <w:noWrap/>
          </w:tcPr>
          <w:p w14:paraId="3F922FD5" w14:textId="77777777" w:rsidR="00266C85" w:rsidRPr="003F00AF" w:rsidRDefault="00266C85" w:rsidP="00266C85">
            <w:pPr>
              <w:rPr>
                <w:rFonts w:eastAsia="Times New Roman"/>
                <w:sz w:val="20"/>
                <w:szCs w:val="20"/>
              </w:rPr>
            </w:pPr>
            <w:r w:rsidRPr="003F00AF">
              <w:rPr>
                <w:rFonts w:eastAsia="Times New Roman"/>
                <w:sz w:val="20"/>
                <w:szCs w:val="20"/>
              </w:rPr>
              <w:t>Management</w:t>
            </w:r>
          </w:p>
        </w:tc>
      </w:tr>
      <w:tr w:rsidR="00266C85" w:rsidRPr="003F00AF" w14:paraId="2D475E7F" w14:textId="77777777" w:rsidTr="00266C85">
        <w:trPr>
          <w:trHeight w:val="300"/>
        </w:trPr>
        <w:tc>
          <w:tcPr>
            <w:tcW w:w="1795" w:type="dxa"/>
            <w:shd w:val="clear" w:color="auto" w:fill="auto"/>
            <w:noWrap/>
          </w:tcPr>
          <w:p w14:paraId="04B5092E" w14:textId="77777777" w:rsidR="00266C85" w:rsidRPr="003F00AF" w:rsidRDefault="00266C85" w:rsidP="00266C85">
            <w:pPr>
              <w:rPr>
                <w:rFonts w:eastAsia="Times New Roman"/>
                <w:sz w:val="20"/>
                <w:szCs w:val="20"/>
              </w:rPr>
            </w:pPr>
            <w:r w:rsidRPr="003F00AF">
              <w:rPr>
                <w:sz w:val="20"/>
                <w:szCs w:val="20"/>
              </w:rPr>
              <w:t>Lidvard Gronnevet</w:t>
            </w:r>
          </w:p>
        </w:tc>
        <w:tc>
          <w:tcPr>
            <w:tcW w:w="3330" w:type="dxa"/>
            <w:shd w:val="clear" w:color="auto" w:fill="auto"/>
            <w:noWrap/>
          </w:tcPr>
          <w:p w14:paraId="302DCBCE" w14:textId="77777777" w:rsidR="00266C85" w:rsidRPr="003F00AF" w:rsidRDefault="00266C85" w:rsidP="00266C85">
            <w:pPr>
              <w:rPr>
                <w:rFonts w:eastAsia="Times New Roman"/>
                <w:sz w:val="20"/>
                <w:szCs w:val="20"/>
              </w:rPr>
            </w:pPr>
            <w:r w:rsidRPr="003F00AF">
              <w:rPr>
                <w:rFonts w:eastAsia="Times New Roman"/>
                <w:sz w:val="20"/>
                <w:szCs w:val="20"/>
              </w:rPr>
              <w:t>Senior Fisheries Advisor</w:t>
            </w:r>
          </w:p>
        </w:tc>
        <w:tc>
          <w:tcPr>
            <w:tcW w:w="2371" w:type="dxa"/>
            <w:shd w:val="clear" w:color="auto" w:fill="auto"/>
            <w:noWrap/>
          </w:tcPr>
          <w:p w14:paraId="67F06A1C" w14:textId="77777777" w:rsidR="00266C85" w:rsidRPr="003F00AF" w:rsidRDefault="00266C85" w:rsidP="00266C85">
            <w:pPr>
              <w:rPr>
                <w:rFonts w:eastAsia="Times New Roman"/>
                <w:sz w:val="20"/>
                <w:szCs w:val="20"/>
              </w:rPr>
            </w:pPr>
            <w:r w:rsidRPr="003F00AF">
              <w:rPr>
                <w:rFonts w:eastAsia="Times New Roman"/>
                <w:sz w:val="20"/>
                <w:szCs w:val="20"/>
              </w:rPr>
              <w:t>ARD</w:t>
            </w:r>
          </w:p>
        </w:tc>
        <w:tc>
          <w:tcPr>
            <w:tcW w:w="2466" w:type="dxa"/>
            <w:shd w:val="clear" w:color="auto" w:fill="auto"/>
            <w:noWrap/>
          </w:tcPr>
          <w:p w14:paraId="0D23B0EE" w14:textId="77777777" w:rsidR="00266C85" w:rsidRPr="003F00AF" w:rsidRDefault="00266C85" w:rsidP="00266C85">
            <w:pPr>
              <w:rPr>
                <w:rFonts w:eastAsia="Times New Roman"/>
                <w:sz w:val="20"/>
                <w:szCs w:val="20"/>
              </w:rPr>
            </w:pPr>
            <w:r w:rsidRPr="003F00AF">
              <w:rPr>
                <w:rFonts w:eastAsia="Times New Roman"/>
                <w:sz w:val="20"/>
                <w:szCs w:val="20"/>
              </w:rPr>
              <w:t>Fisheries</w:t>
            </w:r>
          </w:p>
        </w:tc>
      </w:tr>
      <w:tr w:rsidR="00266C85" w:rsidRPr="003F00AF" w14:paraId="05B686D2" w14:textId="77777777" w:rsidTr="00266C85">
        <w:trPr>
          <w:trHeight w:val="300"/>
        </w:trPr>
        <w:tc>
          <w:tcPr>
            <w:tcW w:w="1795" w:type="dxa"/>
            <w:shd w:val="clear" w:color="auto" w:fill="auto"/>
            <w:noWrap/>
          </w:tcPr>
          <w:p w14:paraId="26010548" w14:textId="77777777" w:rsidR="00266C85" w:rsidRPr="003F00AF" w:rsidRDefault="00266C85" w:rsidP="00266C85">
            <w:pPr>
              <w:rPr>
                <w:rFonts w:eastAsia="Times New Roman"/>
                <w:sz w:val="20"/>
                <w:szCs w:val="20"/>
              </w:rPr>
            </w:pPr>
            <w:r w:rsidRPr="003F00AF">
              <w:rPr>
                <w:sz w:val="20"/>
                <w:szCs w:val="20"/>
              </w:rPr>
              <w:t>Lourdes Consuelo Linares Loza</w:t>
            </w:r>
          </w:p>
        </w:tc>
        <w:tc>
          <w:tcPr>
            <w:tcW w:w="3330" w:type="dxa"/>
            <w:shd w:val="clear" w:color="auto" w:fill="auto"/>
            <w:noWrap/>
          </w:tcPr>
          <w:p w14:paraId="10345827" w14:textId="77777777" w:rsidR="00266C85" w:rsidRPr="003F00AF" w:rsidRDefault="00266C85" w:rsidP="00266C85">
            <w:pPr>
              <w:rPr>
                <w:rFonts w:eastAsia="Times New Roman"/>
                <w:sz w:val="20"/>
                <w:szCs w:val="20"/>
              </w:rPr>
            </w:pPr>
            <w:r w:rsidRPr="003F00AF">
              <w:rPr>
                <w:bCs/>
                <w:sz w:val="20"/>
                <w:szCs w:val="20"/>
                <w:lang w:val="en"/>
              </w:rPr>
              <w:t>Senior Financial Management Specialist</w:t>
            </w:r>
          </w:p>
        </w:tc>
        <w:tc>
          <w:tcPr>
            <w:tcW w:w="2371" w:type="dxa"/>
            <w:shd w:val="clear" w:color="auto" w:fill="auto"/>
            <w:noWrap/>
          </w:tcPr>
          <w:p w14:paraId="43267E19" w14:textId="77777777" w:rsidR="00266C85" w:rsidRPr="003F00AF" w:rsidRDefault="00266C85" w:rsidP="00266C85">
            <w:pPr>
              <w:rPr>
                <w:rFonts w:eastAsia="Times New Roman"/>
                <w:sz w:val="20"/>
                <w:szCs w:val="20"/>
              </w:rPr>
            </w:pPr>
            <w:r w:rsidRPr="003F00AF">
              <w:rPr>
                <w:rFonts w:eastAsia="Times New Roman"/>
                <w:sz w:val="20"/>
                <w:szCs w:val="20"/>
              </w:rPr>
              <w:t>LCSFM</w:t>
            </w:r>
          </w:p>
          <w:p w14:paraId="36C06C2F" w14:textId="77777777" w:rsidR="00266C85" w:rsidRPr="003F00AF" w:rsidRDefault="00266C85" w:rsidP="00266C85">
            <w:pPr>
              <w:rPr>
                <w:rFonts w:eastAsia="Times New Roman"/>
                <w:sz w:val="20"/>
                <w:szCs w:val="20"/>
              </w:rPr>
            </w:pPr>
            <w:r w:rsidRPr="003F00AF">
              <w:rPr>
                <w:rFonts w:eastAsia="Times New Roman"/>
                <w:sz w:val="20"/>
                <w:szCs w:val="20"/>
              </w:rPr>
              <w:t>(Currently GGO22)</w:t>
            </w:r>
          </w:p>
        </w:tc>
        <w:tc>
          <w:tcPr>
            <w:tcW w:w="2466" w:type="dxa"/>
            <w:shd w:val="clear" w:color="auto" w:fill="auto"/>
            <w:noWrap/>
          </w:tcPr>
          <w:p w14:paraId="0F031E85" w14:textId="77777777" w:rsidR="00266C85" w:rsidRPr="003F00AF" w:rsidRDefault="00266C85" w:rsidP="00266C85">
            <w:pPr>
              <w:rPr>
                <w:rFonts w:eastAsia="Times New Roman"/>
                <w:sz w:val="20"/>
                <w:szCs w:val="20"/>
              </w:rPr>
            </w:pPr>
            <w:r w:rsidRPr="003F00AF">
              <w:rPr>
                <w:rFonts w:eastAsia="Times New Roman"/>
                <w:sz w:val="20"/>
                <w:szCs w:val="20"/>
              </w:rPr>
              <w:t>Financial Management</w:t>
            </w:r>
          </w:p>
        </w:tc>
      </w:tr>
      <w:tr w:rsidR="00266C85" w:rsidRPr="003F00AF" w14:paraId="5CD95A27" w14:textId="77777777" w:rsidTr="00266C85">
        <w:trPr>
          <w:trHeight w:val="300"/>
        </w:trPr>
        <w:tc>
          <w:tcPr>
            <w:tcW w:w="1795" w:type="dxa"/>
            <w:shd w:val="clear" w:color="auto" w:fill="auto"/>
            <w:noWrap/>
          </w:tcPr>
          <w:p w14:paraId="465EEA19" w14:textId="77777777" w:rsidR="00266C85" w:rsidRPr="003F00AF" w:rsidRDefault="00266C85" w:rsidP="00266C85">
            <w:pPr>
              <w:rPr>
                <w:sz w:val="20"/>
                <w:szCs w:val="20"/>
              </w:rPr>
            </w:pPr>
            <w:r w:rsidRPr="003F00AF">
              <w:rPr>
                <w:sz w:val="20"/>
                <w:szCs w:val="20"/>
              </w:rPr>
              <w:t>Luis Barrantes</w:t>
            </w:r>
          </w:p>
        </w:tc>
        <w:tc>
          <w:tcPr>
            <w:tcW w:w="3330" w:type="dxa"/>
            <w:shd w:val="clear" w:color="auto" w:fill="auto"/>
            <w:noWrap/>
          </w:tcPr>
          <w:p w14:paraId="4247A9AF" w14:textId="77777777" w:rsidR="00266C85" w:rsidRPr="003F00AF" w:rsidRDefault="00266C85" w:rsidP="00266C85">
            <w:pPr>
              <w:rPr>
                <w:bCs/>
                <w:sz w:val="20"/>
                <w:szCs w:val="20"/>
                <w:lang w:val="en"/>
              </w:rPr>
            </w:pPr>
            <w:r w:rsidRPr="003F00AF">
              <w:rPr>
                <w:bCs/>
                <w:sz w:val="20"/>
                <w:szCs w:val="20"/>
                <w:lang w:val="en"/>
              </w:rPr>
              <w:t>N/A</w:t>
            </w:r>
          </w:p>
        </w:tc>
        <w:tc>
          <w:tcPr>
            <w:tcW w:w="2371" w:type="dxa"/>
            <w:shd w:val="clear" w:color="auto" w:fill="auto"/>
            <w:noWrap/>
          </w:tcPr>
          <w:p w14:paraId="524567EE" w14:textId="77777777" w:rsidR="00266C85" w:rsidRPr="003F00AF" w:rsidRDefault="00266C85" w:rsidP="00266C85">
            <w:pPr>
              <w:rPr>
                <w:rFonts w:eastAsia="Times New Roman"/>
                <w:sz w:val="20"/>
                <w:szCs w:val="20"/>
              </w:rPr>
            </w:pPr>
            <w:r w:rsidRPr="003F00AF">
              <w:rPr>
                <w:rFonts w:eastAsia="Times New Roman"/>
                <w:sz w:val="20"/>
                <w:szCs w:val="20"/>
              </w:rPr>
              <w:t>LCC6C</w:t>
            </w:r>
          </w:p>
        </w:tc>
        <w:tc>
          <w:tcPr>
            <w:tcW w:w="2466" w:type="dxa"/>
            <w:shd w:val="clear" w:color="auto" w:fill="auto"/>
            <w:noWrap/>
          </w:tcPr>
          <w:p w14:paraId="4BB0E8A2" w14:textId="77777777" w:rsidR="00266C85" w:rsidRPr="003F00AF" w:rsidRDefault="00266C85" w:rsidP="00266C85">
            <w:pPr>
              <w:rPr>
                <w:rFonts w:eastAsia="Times New Roman"/>
                <w:sz w:val="20"/>
                <w:szCs w:val="20"/>
              </w:rPr>
            </w:pPr>
            <w:r w:rsidRPr="003F00AF">
              <w:rPr>
                <w:rFonts w:eastAsia="Times New Roman"/>
                <w:sz w:val="20"/>
                <w:szCs w:val="20"/>
              </w:rPr>
              <w:t>Research</w:t>
            </w:r>
          </w:p>
        </w:tc>
      </w:tr>
      <w:tr w:rsidR="00266C85" w:rsidRPr="003F00AF" w14:paraId="37532905" w14:textId="77777777" w:rsidTr="00266C85">
        <w:trPr>
          <w:trHeight w:val="300"/>
        </w:trPr>
        <w:tc>
          <w:tcPr>
            <w:tcW w:w="1795" w:type="dxa"/>
            <w:shd w:val="clear" w:color="auto" w:fill="auto"/>
            <w:noWrap/>
          </w:tcPr>
          <w:p w14:paraId="19647911" w14:textId="77777777" w:rsidR="00266C85" w:rsidRPr="003F00AF" w:rsidRDefault="00266C85" w:rsidP="00266C85">
            <w:pPr>
              <w:rPr>
                <w:sz w:val="20"/>
                <w:szCs w:val="20"/>
              </w:rPr>
            </w:pPr>
            <w:r w:rsidRPr="003F00AF">
              <w:rPr>
                <w:sz w:val="20"/>
                <w:szCs w:val="20"/>
              </w:rPr>
              <w:t>Manju Ghumman</w:t>
            </w:r>
          </w:p>
        </w:tc>
        <w:tc>
          <w:tcPr>
            <w:tcW w:w="3330" w:type="dxa"/>
            <w:shd w:val="clear" w:color="auto" w:fill="auto"/>
            <w:noWrap/>
          </w:tcPr>
          <w:p w14:paraId="3E852E0F" w14:textId="77777777" w:rsidR="00266C85" w:rsidRPr="003F00AF" w:rsidRDefault="00266C85" w:rsidP="00266C85">
            <w:pPr>
              <w:rPr>
                <w:bCs/>
                <w:sz w:val="20"/>
                <w:szCs w:val="20"/>
                <w:lang w:val="en"/>
              </w:rPr>
            </w:pPr>
            <w:r w:rsidRPr="003F00AF">
              <w:rPr>
                <w:bCs/>
                <w:sz w:val="20"/>
                <w:szCs w:val="20"/>
                <w:lang w:val="en"/>
              </w:rPr>
              <w:t>Program Assistant</w:t>
            </w:r>
          </w:p>
        </w:tc>
        <w:tc>
          <w:tcPr>
            <w:tcW w:w="2371" w:type="dxa"/>
            <w:shd w:val="clear" w:color="auto" w:fill="auto"/>
            <w:noWrap/>
          </w:tcPr>
          <w:p w14:paraId="1644C7B9" w14:textId="77777777" w:rsidR="00266C85" w:rsidRPr="003F00AF" w:rsidRDefault="00266C85" w:rsidP="00266C85">
            <w:pPr>
              <w:rPr>
                <w:rFonts w:eastAsia="Times New Roman"/>
                <w:sz w:val="20"/>
                <w:szCs w:val="20"/>
              </w:rPr>
            </w:pPr>
            <w:r w:rsidRPr="003F00AF">
              <w:rPr>
                <w:rFonts w:eastAsia="Times New Roman"/>
                <w:sz w:val="20"/>
                <w:szCs w:val="20"/>
              </w:rPr>
              <w:t>LEGLE</w:t>
            </w:r>
          </w:p>
        </w:tc>
        <w:tc>
          <w:tcPr>
            <w:tcW w:w="2466" w:type="dxa"/>
            <w:shd w:val="clear" w:color="auto" w:fill="auto"/>
            <w:noWrap/>
          </w:tcPr>
          <w:p w14:paraId="67AEC89D"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4B5DCB3E" w14:textId="77777777" w:rsidTr="00266C85">
        <w:trPr>
          <w:trHeight w:val="300"/>
        </w:trPr>
        <w:tc>
          <w:tcPr>
            <w:tcW w:w="1795" w:type="dxa"/>
            <w:shd w:val="clear" w:color="auto" w:fill="auto"/>
            <w:noWrap/>
          </w:tcPr>
          <w:p w14:paraId="0C597392" w14:textId="77777777" w:rsidR="00266C85" w:rsidRPr="003F00AF" w:rsidRDefault="00266C85" w:rsidP="00266C85">
            <w:pPr>
              <w:rPr>
                <w:rFonts w:eastAsia="Times New Roman"/>
                <w:sz w:val="20"/>
                <w:szCs w:val="20"/>
              </w:rPr>
            </w:pPr>
            <w:r w:rsidRPr="003F00AF">
              <w:rPr>
                <w:sz w:val="20"/>
                <w:szCs w:val="20"/>
              </w:rPr>
              <w:t>Maria Chappuis</w:t>
            </w:r>
          </w:p>
        </w:tc>
        <w:tc>
          <w:tcPr>
            <w:tcW w:w="3330" w:type="dxa"/>
            <w:shd w:val="clear" w:color="auto" w:fill="auto"/>
            <w:noWrap/>
          </w:tcPr>
          <w:p w14:paraId="5EB357D7"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213DCEF7"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5B3996DF" w14:textId="77777777" w:rsidR="00266C85" w:rsidRPr="003F00AF" w:rsidRDefault="00266C85" w:rsidP="00266C85">
            <w:pPr>
              <w:rPr>
                <w:rFonts w:eastAsia="Times New Roman"/>
                <w:sz w:val="20"/>
                <w:szCs w:val="20"/>
              </w:rPr>
            </w:pPr>
            <w:r w:rsidRPr="003F00AF">
              <w:rPr>
                <w:rFonts w:eastAsia="Times New Roman"/>
                <w:sz w:val="20"/>
                <w:szCs w:val="20"/>
              </w:rPr>
              <w:t>Mining</w:t>
            </w:r>
          </w:p>
        </w:tc>
      </w:tr>
      <w:tr w:rsidR="00266C85" w:rsidRPr="003F00AF" w14:paraId="19687C8A" w14:textId="77777777" w:rsidTr="00266C85">
        <w:trPr>
          <w:trHeight w:val="300"/>
        </w:trPr>
        <w:tc>
          <w:tcPr>
            <w:tcW w:w="1795" w:type="dxa"/>
            <w:shd w:val="clear" w:color="auto" w:fill="auto"/>
            <w:noWrap/>
          </w:tcPr>
          <w:p w14:paraId="684AE861" w14:textId="77777777" w:rsidR="00266C85" w:rsidRPr="003F00AF" w:rsidRDefault="00266C85" w:rsidP="00266C85">
            <w:pPr>
              <w:rPr>
                <w:rFonts w:eastAsia="Times New Roman"/>
                <w:sz w:val="20"/>
                <w:szCs w:val="20"/>
              </w:rPr>
            </w:pPr>
            <w:r w:rsidRPr="003F00AF">
              <w:rPr>
                <w:sz w:val="20"/>
                <w:szCs w:val="20"/>
              </w:rPr>
              <w:t>Michel Kerf</w:t>
            </w:r>
          </w:p>
        </w:tc>
        <w:tc>
          <w:tcPr>
            <w:tcW w:w="3330" w:type="dxa"/>
            <w:shd w:val="clear" w:color="auto" w:fill="auto"/>
            <w:noWrap/>
          </w:tcPr>
          <w:p w14:paraId="1CC1CFCB" w14:textId="77777777" w:rsidR="00266C85" w:rsidRPr="003F00AF" w:rsidRDefault="00266C85" w:rsidP="00266C85">
            <w:pPr>
              <w:rPr>
                <w:rFonts w:eastAsia="Times New Roman"/>
                <w:sz w:val="20"/>
                <w:szCs w:val="20"/>
              </w:rPr>
            </w:pPr>
            <w:r w:rsidRPr="003F00AF">
              <w:rPr>
                <w:rFonts w:eastAsia="Times New Roman"/>
                <w:sz w:val="20"/>
                <w:szCs w:val="20"/>
              </w:rPr>
              <w:t>Sector Leader</w:t>
            </w:r>
          </w:p>
          <w:p w14:paraId="524D7091" w14:textId="77777777" w:rsidR="00266C85" w:rsidRPr="003F00AF" w:rsidRDefault="00266C85" w:rsidP="00266C85">
            <w:pPr>
              <w:rPr>
                <w:rFonts w:eastAsia="Times New Roman"/>
                <w:sz w:val="20"/>
                <w:szCs w:val="20"/>
              </w:rPr>
            </w:pPr>
            <w:r w:rsidRPr="003F00AF">
              <w:rPr>
                <w:rFonts w:eastAsia="Times New Roman"/>
                <w:sz w:val="20"/>
                <w:szCs w:val="20"/>
              </w:rPr>
              <w:t>(Currently: Practice Manager)</w:t>
            </w:r>
          </w:p>
          <w:p w14:paraId="7FE45200" w14:textId="77777777" w:rsidR="00266C85" w:rsidRPr="003F00AF" w:rsidRDefault="00266C85" w:rsidP="00266C85">
            <w:pPr>
              <w:rPr>
                <w:rFonts w:eastAsia="Times New Roman"/>
                <w:sz w:val="20"/>
                <w:szCs w:val="20"/>
              </w:rPr>
            </w:pPr>
          </w:p>
        </w:tc>
        <w:tc>
          <w:tcPr>
            <w:tcW w:w="2371" w:type="dxa"/>
            <w:shd w:val="clear" w:color="auto" w:fill="auto"/>
            <w:noWrap/>
          </w:tcPr>
          <w:p w14:paraId="752AB658" w14:textId="77777777" w:rsidR="00266C85" w:rsidRPr="003F00AF" w:rsidRDefault="00266C85" w:rsidP="00266C85">
            <w:pPr>
              <w:rPr>
                <w:rFonts w:eastAsia="Times New Roman"/>
                <w:sz w:val="20"/>
                <w:szCs w:val="20"/>
              </w:rPr>
            </w:pPr>
            <w:r w:rsidRPr="003F00AF">
              <w:rPr>
                <w:rFonts w:eastAsia="Times New Roman"/>
                <w:sz w:val="20"/>
                <w:szCs w:val="20"/>
              </w:rPr>
              <w:t>LCSSD</w:t>
            </w:r>
          </w:p>
          <w:p w14:paraId="02A240FD" w14:textId="77777777" w:rsidR="00266C85" w:rsidRPr="003F00AF" w:rsidRDefault="00266C85" w:rsidP="00266C85">
            <w:pPr>
              <w:rPr>
                <w:rFonts w:eastAsia="Times New Roman"/>
                <w:sz w:val="20"/>
                <w:szCs w:val="20"/>
              </w:rPr>
            </w:pPr>
            <w:r w:rsidRPr="003F00AF">
              <w:rPr>
                <w:rFonts w:eastAsia="Times New Roman"/>
                <w:sz w:val="20"/>
                <w:szCs w:val="20"/>
              </w:rPr>
              <w:t>(GTI02)</w:t>
            </w:r>
          </w:p>
        </w:tc>
        <w:tc>
          <w:tcPr>
            <w:tcW w:w="2466" w:type="dxa"/>
            <w:shd w:val="clear" w:color="auto" w:fill="auto"/>
            <w:noWrap/>
          </w:tcPr>
          <w:p w14:paraId="25A3D67F" w14:textId="77777777" w:rsidR="00266C85" w:rsidRPr="003F00AF" w:rsidRDefault="00266C85" w:rsidP="00266C85">
            <w:pPr>
              <w:rPr>
                <w:rFonts w:eastAsia="Times New Roman"/>
                <w:sz w:val="20"/>
                <w:szCs w:val="20"/>
              </w:rPr>
            </w:pPr>
            <w:r w:rsidRPr="003F00AF">
              <w:rPr>
                <w:rFonts w:eastAsia="Times New Roman"/>
                <w:sz w:val="20"/>
                <w:szCs w:val="20"/>
              </w:rPr>
              <w:t>Sector Leader</w:t>
            </w:r>
          </w:p>
        </w:tc>
      </w:tr>
      <w:tr w:rsidR="00266C85" w:rsidRPr="003F00AF" w14:paraId="29CF61B5" w14:textId="77777777" w:rsidTr="00266C85">
        <w:trPr>
          <w:trHeight w:val="300"/>
        </w:trPr>
        <w:tc>
          <w:tcPr>
            <w:tcW w:w="1795" w:type="dxa"/>
            <w:shd w:val="clear" w:color="auto" w:fill="auto"/>
            <w:noWrap/>
          </w:tcPr>
          <w:p w14:paraId="587E7FAA" w14:textId="77777777" w:rsidR="00266C85" w:rsidRPr="003F00AF" w:rsidRDefault="00266C85" w:rsidP="00266C85">
            <w:pPr>
              <w:rPr>
                <w:sz w:val="20"/>
                <w:szCs w:val="20"/>
              </w:rPr>
            </w:pPr>
            <w:r w:rsidRPr="003F00AF">
              <w:rPr>
                <w:sz w:val="20"/>
                <w:szCs w:val="20"/>
              </w:rPr>
              <w:t>Oscar Calvo-Gonzalez</w:t>
            </w:r>
          </w:p>
        </w:tc>
        <w:tc>
          <w:tcPr>
            <w:tcW w:w="3330" w:type="dxa"/>
            <w:shd w:val="clear" w:color="auto" w:fill="auto"/>
            <w:noWrap/>
          </w:tcPr>
          <w:p w14:paraId="07F48C2E" w14:textId="77777777" w:rsidR="00266C85" w:rsidRPr="003F00AF" w:rsidRDefault="00266C85" w:rsidP="00266C85">
            <w:pPr>
              <w:rPr>
                <w:bCs/>
                <w:sz w:val="20"/>
                <w:szCs w:val="20"/>
                <w:lang w:val="en"/>
              </w:rPr>
            </w:pPr>
            <w:r w:rsidRPr="003F00AF">
              <w:rPr>
                <w:bCs/>
                <w:sz w:val="20"/>
                <w:szCs w:val="20"/>
                <w:lang w:val="en"/>
              </w:rPr>
              <w:t>Economist</w:t>
            </w:r>
          </w:p>
          <w:p w14:paraId="4BB27802" w14:textId="77777777" w:rsidR="00266C85" w:rsidRPr="003F00AF" w:rsidRDefault="00266C85" w:rsidP="00266C85">
            <w:pPr>
              <w:rPr>
                <w:bCs/>
                <w:sz w:val="20"/>
                <w:szCs w:val="20"/>
                <w:lang w:val="en"/>
              </w:rPr>
            </w:pPr>
            <w:r w:rsidRPr="003F00AF">
              <w:rPr>
                <w:bCs/>
                <w:sz w:val="20"/>
                <w:szCs w:val="20"/>
                <w:lang w:val="en"/>
              </w:rPr>
              <w:t>(Currently Practice Manager)</w:t>
            </w:r>
          </w:p>
        </w:tc>
        <w:tc>
          <w:tcPr>
            <w:tcW w:w="2371" w:type="dxa"/>
            <w:shd w:val="clear" w:color="auto" w:fill="auto"/>
            <w:noWrap/>
          </w:tcPr>
          <w:p w14:paraId="18B2C084" w14:textId="77777777" w:rsidR="00266C85" w:rsidRPr="003F00AF" w:rsidRDefault="00266C85" w:rsidP="00266C85">
            <w:pPr>
              <w:rPr>
                <w:rFonts w:eastAsia="Times New Roman"/>
                <w:sz w:val="20"/>
                <w:szCs w:val="20"/>
              </w:rPr>
            </w:pPr>
            <w:r w:rsidRPr="003F00AF">
              <w:rPr>
                <w:rFonts w:eastAsia="Times New Roman"/>
                <w:sz w:val="20"/>
                <w:szCs w:val="20"/>
              </w:rPr>
              <w:t>LCSPE</w:t>
            </w:r>
          </w:p>
          <w:p w14:paraId="1C904EFD" w14:textId="77777777" w:rsidR="00266C85" w:rsidRPr="003F00AF" w:rsidRDefault="00266C85" w:rsidP="00266C85">
            <w:pPr>
              <w:rPr>
                <w:rFonts w:eastAsia="Times New Roman"/>
                <w:sz w:val="20"/>
                <w:szCs w:val="20"/>
              </w:rPr>
            </w:pPr>
            <w:r w:rsidRPr="003F00AF">
              <w:rPr>
                <w:rFonts w:eastAsia="Times New Roman"/>
                <w:sz w:val="20"/>
                <w:szCs w:val="20"/>
              </w:rPr>
              <w:t>(Currently GPV04)</w:t>
            </w:r>
          </w:p>
        </w:tc>
        <w:tc>
          <w:tcPr>
            <w:tcW w:w="2466" w:type="dxa"/>
            <w:shd w:val="clear" w:color="auto" w:fill="auto"/>
            <w:noWrap/>
          </w:tcPr>
          <w:p w14:paraId="6732FAE0" w14:textId="77777777" w:rsidR="00266C85" w:rsidRPr="003F00AF" w:rsidRDefault="00266C85" w:rsidP="00266C85">
            <w:pPr>
              <w:rPr>
                <w:rFonts w:eastAsia="Times New Roman"/>
                <w:sz w:val="20"/>
                <w:szCs w:val="20"/>
              </w:rPr>
            </w:pPr>
            <w:r w:rsidRPr="003F00AF">
              <w:rPr>
                <w:rFonts w:eastAsia="Times New Roman"/>
                <w:sz w:val="20"/>
                <w:szCs w:val="20"/>
              </w:rPr>
              <w:t>Economics</w:t>
            </w:r>
          </w:p>
        </w:tc>
      </w:tr>
      <w:tr w:rsidR="00266C85" w:rsidRPr="003F00AF" w14:paraId="71262177" w14:textId="77777777" w:rsidTr="00266C85">
        <w:trPr>
          <w:trHeight w:val="300"/>
        </w:trPr>
        <w:tc>
          <w:tcPr>
            <w:tcW w:w="1795" w:type="dxa"/>
            <w:shd w:val="clear" w:color="auto" w:fill="auto"/>
            <w:noWrap/>
          </w:tcPr>
          <w:p w14:paraId="13E419AC" w14:textId="77777777" w:rsidR="00266C85" w:rsidRPr="003F00AF" w:rsidRDefault="00266C85" w:rsidP="00266C85">
            <w:pPr>
              <w:rPr>
                <w:sz w:val="20"/>
                <w:szCs w:val="20"/>
                <w:lang w:val="es-CO"/>
              </w:rPr>
            </w:pPr>
            <w:r w:rsidRPr="003F00AF">
              <w:rPr>
                <w:sz w:val="20"/>
                <w:szCs w:val="20"/>
                <w:lang w:val="es-CO"/>
              </w:rPr>
              <w:t>Patricia de la Fuente Hoyes</w:t>
            </w:r>
          </w:p>
        </w:tc>
        <w:tc>
          <w:tcPr>
            <w:tcW w:w="3330" w:type="dxa"/>
            <w:shd w:val="clear" w:color="auto" w:fill="auto"/>
            <w:noWrap/>
          </w:tcPr>
          <w:p w14:paraId="30B9A8D0" w14:textId="77777777" w:rsidR="00266C85" w:rsidRPr="003F00AF" w:rsidRDefault="00266C85" w:rsidP="00266C85">
            <w:pPr>
              <w:rPr>
                <w:rFonts w:eastAsia="Times New Roman"/>
                <w:sz w:val="20"/>
                <w:szCs w:val="20"/>
              </w:rPr>
            </w:pPr>
            <w:r w:rsidRPr="003F00AF">
              <w:rPr>
                <w:rFonts w:eastAsia="Times New Roman"/>
                <w:sz w:val="20"/>
                <w:szCs w:val="20"/>
              </w:rPr>
              <w:t>Senior Finance Officer</w:t>
            </w:r>
          </w:p>
          <w:p w14:paraId="5D8DF86C" w14:textId="77777777" w:rsidR="00266C85" w:rsidRPr="003F00AF" w:rsidRDefault="00266C85" w:rsidP="00266C85">
            <w:pPr>
              <w:rPr>
                <w:rFonts w:eastAsia="Times New Roman"/>
                <w:sz w:val="20"/>
                <w:szCs w:val="20"/>
              </w:rPr>
            </w:pPr>
            <w:r w:rsidRPr="003F00AF">
              <w:rPr>
                <w:rFonts w:eastAsia="Times New Roman"/>
                <w:sz w:val="20"/>
                <w:szCs w:val="20"/>
              </w:rPr>
              <w:t>(Currently Senior Financial Management Specialist)</w:t>
            </w:r>
          </w:p>
        </w:tc>
        <w:tc>
          <w:tcPr>
            <w:tcW w:w="2371" w:type="dxa"/>
            <w:shd w:val="clear" w:color="auto" w:fill="auto"/>
            <w:noWrap/>
          </w:tcPr>
          <w:p w14:paraId="2A801E4D" w14:textId="77777777" w:rsidR="00266C85" w:rsidRPr="003F00AF" w:rsidRDefault="00266C85" w:rsidP="00266C85">
            <w:pPr>
              <w:rPr>
                <w:rFonts w:eastAsia="Times New Roman"/>
                <w:sz w:val="20"/>
                <w:szCs w:val="20"/>
              </w:rPr>
            </w:pPr>
            <w:r w:rsidRPr="003F00AF">
              <w:rPr>
                <w:rFonts w:eastAsia="Times New Roman"/>
                <w:sz w:val="20"/>
                <w:szCs w:val="20"/>
              </w:rPr>
              <w:t>LOAFC</w:t>
            </w:r>
          </w:p>
          <w:p w14:paraId="10174C5D" w14:textId="77777777" w:rsidR="00266C85" w:rsidRPr="003F00AF" w:rsidRDefault="00266C85" w:rsidP="00266C85">
            <w:pPr>
              <w:rPr>
                <w:rFonts w:eastAsia="Times New Roman"/>
                <w:sz w:val="20"/>
                <w:szCs w:val="20"/>
              </w:rPr>
            </w:pPr>
            <w:r w:rsidRPr="003F00AF">
              <w:rPr>
                <w:rFonts w:eastAsia="Times New Roman"/>
                <w:sz w:val="20"/>
                <w:szCs w:val="20"/>
              </w:rPr>
              <w:t>(Currently GGO22)</w:t>
            </w:r>
          </w:p>
        </w:tc>
        <w:tc>
          <w:tcPr>
            <w:tcW w:w="2466" w:type="dxa"/>
            <w:shd w:val="clear" w:color="auto" w:fill="auto"/>
            <w:noWrap/>
          </w:tcPr>
          <w:p w14:paraId="68D93DD6"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Finance</w:t>
            </w:r>
          </w:p>
        </w:tc>
      </w:tr>
      <w:tr w:rsidR="00266C85" w:rsidRPr="003F00AF" w14:paraId="124E0356" w14:textId="77777777" w:rsidTr="00266C85">
        <w:trPr>
          <w:trHeight w:val="300"/>
        </w:trPr>
        <w:tc>
          <w:tcPr>
            <w:tcW w:w="1795" w:type="dxa"/>
            <w:shd w:val="clear" w:color="auto" w:fill="auto"/>
            <w:noWrap/>
          </w:tcPr>
          <w:p w14:paraId="5EDED38E" w14:textId="77777777" w:rsidR="00266C85" w:rsidRPr="003F00AF" w:rsidRDefault="00266C85" w:rsidP="00266C85">
            <w:pPr>
              <w:rPr>
                <w:rFonts w:eastAsia="Times New Roman"/>
                <w:sz w:val="20"/>
                <w:szCs w:val="20"/>
              </w:rPr>
            </w:pPr>
            <w:r w:rsidRPr="003F00AF">
              <w:rPr>
                <w:sz w:val="20"/>
                <w:szCs w:val="20"/>
              </w:rPr>
              <w:t>Peter Davis</w:t>
            </w:r>
          </w:p>
        </w:tc>
        <w:tc>
          <w:tcPr>
            <w:tcW w:w="3330" w:type="dxa"/>
            <w:shd w:val="clear" w:color="auto" w:fill="auto"/>
            <w:noWrap/>
          </w:tcPr>
          <w:p w14:paraId="2566DC35"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761AAD20"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78709696" w14:textId="77777777" w:rsidR="00266C85" w:rsidRPr="003F00AF" w:rsidRDefault="00266C85" w:rsidP="00266C85">
            <w:pPr>
              <w:rPr>
                <w:rFonts w:eastAsia="Times New Roman"/>
                <w:sz w:val="20"/>
                <w:szCs w:val="20"/>
              </w:rPr>
            </w:pPr>
            <w:r w:rsidRPr="003F00AF">
              <w:rPr>
                <w:rFonts w:eastAsia="Times New Roman"/>
                <w:sz w:val="20"/>
                <w:szCs w:val="20"/>
              </w:rPr>
              <w:t>Transport</w:t>
            </w:r>
          </w:p>
        </w:tc>
      </w:tr>
      <w:tr w:rsidR="00266C85" w:rsidRPr="003F00AF" w14:paraId="7C86BDBF" w14:textId="77777777" w:rsidTr="00266C85">
        <w:trPr>
          <w:trHeight w:val="300"/>
        </w:trPr>
        <w:tc>
          <w:tcPr>
            <w:tcW w:w="1795" w:type="dxa"/>
            <w:shd w:val="clear" w:color="auto" w:fill="auto"/>
            <w:noWrap/>
          </w:tcPr>
          <w:p w14:paraId="55E2C40C" w14:textId="77777777" w:rsidR="00266C85" w:rsidRPr="003F00AF" w:rsidRDefault="00266C85" w:rsidP="00266C85">
            <w:pPr>
              <w:rPr>
                <w:rFonts w:eastAsia="Times New Roman"/>
                <w:sz w:val="20"/>
                <w:szCs w:val="20"/>
              </w:rPr>
            </w:pPr>
            <w:r w:rsidRPr="003F00AF">
              <w:rPr>
                <w:sz w:val="20"/>
                <w:szCs w:val="20"/>
              </w:rPr>
              <w:t>Raul Tolmos</w:t>
            </w:r>
          </w:p>
        </w:tc>
        <w:tc>
          <w:tcPr>
            <w:tcW w:w="3330" w:type="dxa"/>
            <w:shd w:val="clear" w:color="auto" w:fill="auto"/>
            <w:noWrap/>
          </w:tcPr>
          <w:p w14:paraId="7787D6F9" w14:textId="77777777" w:rsidR="00266C85" w:rsidRPr="003F00AF" w:rsidRDefault="00266C85" w:rsidP="00266C85">
            <w:pPr>
              <w:rPr>
                <w:rFonts w:eastAsia="Times New Roman"/>
                <w:sz w:val="20"/>
                <w:szCs w:val="20"/>
              </w:rPr>
            </w:pPr>
            <w:r w:rsidRPr="003F00AF">
              <w:rPr>
                <w:rFonts w:eastAsia="Times New Roman"/>
                <w:sz w:val="20"/>
                <w:szCs w:val="20"/>
              </w:rPr>
              <w:t>Environmental Specialist</w:t>
            </w:r>
          </w:p>
        </w:tc>
        <w:tc>
          <w:tcPr>
            <w:tcW w:w="2371" w:type="dxa"/>
            <w:shd w:val="clear" w:color="auto" w:fill="auto"/>
            <w:noWrap/>
          </w:tcPr>
          <w:p w14:paraId="314F0DC3"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40CFBCB2" w14:textId="77777777" w:rsidR="00266C85" w:rsidRPr="003F00AF" w:rsidRDefault="00266C85" w:rsidP="00266C85">
            <w:pPr>
              <w:rPr>
                <w:rFonts w:eastAsia="Times New Roman"/>
                <w:sz w:val="20"/>
                <w:szCs w:val="20"/>
              </w:rPr>
            </w:pPr>
            <w:r w:rsidRPr="003F00AF">
              <w:rPr>
                <w:rFonts w:eastAsia="Times New Roman"/>
                <w:sz w:val="20"/>
                <w:szCs w:val="20"/>
              </w:rPr>
              <w:t>Environment/Safeguards</w:t>
            </w:r>
          </w:p>
        </w:tc>
      </w:tr>
      <w:tr w:rsidR="00266C85" w:rsidRPr="003F00AF" w14:paraId="2A177D8D" w14:textId="77777777" w:rsidTr="00266C85">
        <w:trPr>
          <w:trHeight w:val="300"/>
        </w:trPr>
        <w:tc>
          <w:tcPr>
            <w:tcW w:w="1795" w:type="dxa"/>
            <w:shd w:val="clear" w:color="auto" w:fill="auto"/>
            <w:noWrap/>
          </w:tcPr>
          <w:p w14:paraId="582A345B" w14:textId="77777777" w:rsidR="00266C85" w:rsidRPr="003F00AF" w:rsidRDefault="00266C85" w:rsidP="00266C85">
            <w:pPr>
              <w:rPr>
                <w:rFonts w:eastAsia="Times New Roman"/>
                <w:sz w:val="20"/>
                <w:szCs w:val="20"/>
              </w:rPr>
            </w:pPr>
            <w:r w:rsidRPr="003F00AF">
              <w:rPr>
                <w:sz w:val="20"/>
                <w:szCs w:val="20"/>
              </w:rPr>
              <w:t>Renan Alberto Poveda</w:t>
            </w:r>
          </w:p>
        </w:tc>
        <w:tc>
          <w:tcPr>
            <w:tcW w:w="3330" w:type="dxa"/>
            <w:shd w:val="clear" w:color="auto" w:fill="auto"/>
            <w:noWrap/>
          </w:tcPr>
          <w:p w14:paraId="66277D85" w14:textId="77777777" w:rsidR="00266C85" w:rsidRPr="003F00AF" w:rsidRDefault="00266C85" w:rsidP="00266C85">
            <w:pPr>
              <w:rPr>
                <w:rFonts w:eastAsia="Times New Roman"/>
                <w:sz w:val="20"/>
                <w:szCs w:val="20"/>
              </w:rPr>
            </w:pPr>
            <w:r w:rsidRPr="003F00AF">
              <w:rPr>
                <w:rFonts w:eastAsia="Times New Roman"/>
                <w:sz w:val="20"/>
                <w:szCs w:val="20"/>
              </w:rPr>
              <w:t>Senior Environmental Specialist</w:t>
            </w:r>
          </w:p>
        </w:tc>
        <w:tc>
          <w:tcPr>
            <w:tcW w:w="2371" w:type="dxa"/>
            <w:shd w:val="clear" w:color="auto" w:fill="auto"/>
            <w:noWrap/>
          </w:tcPr>
          <w:p w14:paraId="140737D4"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73F571B1" w14:textId="77777777" w:rsidR="00266C85" w:rsidRPr="003F00AF" w:rsidRDefault="00266C85" w:rsidP="00266C85">
            <w:pPr>
              <w:rPr>
                <w:rFonts w:eastAsia="Times New Roman"/>
                <w:sz w:val="20"/>
                <w:szCs w:val="20"/>
              </w:rPr>
            </w:pPr>
            <w:r w:rsidRPr="003F00AF">
              <w:rPr>
                <w:rFonts w:eastAsia="Times New Roman"/>
                <w:sz w:val="20"/>
                <w:szCs w:val="20"/>
              </w:rPr>
              <w:t>Task Team Leader</w:t>
            </w:r>
          </w:p>
        </w:tc>
      </w:tr>
      <w:tr w:rsidR="00266C85" w:rsidRPr="003F00AF" w14:paraId="0B1CABD5" w14:textId="77777777" w:rsidTr="00266C85">
        <w:trPr>
          <w:trHeight w:val="300"/>
        </w:trPr>
        <w:tc>
          <w:tcPr>
            <w:tcW w:w="1795" w:type="dxa"/>
            <w:shd w:val="clear" w:color="auto" w:fill="auto"/>
            <w:noWrap/>
          </w:tcPr>
          <w:p w14:paraId="62385393" w14:textId="77777777" w:rsidR="00266C85" w:rsidRPr="003F00AF" w:rsidRDefault="00266C85" w:rsidP="00266C85">
            <w:pPr>
              <w:rPr>
                <w:sz w:val="20"/>
                <w:szCs w:val="20"/>
              </w:rPr>
            </w:pPr>
            <w:r w:rsidRPr="003F00AF">
              <w:rPr>
                <w:sz w:val="20"/>
                <w:szCs w:val="20"/>
              </w:rPr>
              <w:t>Richard Damania</w:t>
            </w:r>
          </w:p>
        </w:tc>
        <w:tc>
          <w:tcPr>
            <w:tcW w:w="3330" w:type="dxa"/>
            <w:shd w:val="clear" w:color="auto" w:fill="auto"/>
            <w:noWrap/>
          </w:tcPr>
          <w:p w14:paraId="25EB27F0" w14:textId="77777777" w:rsidR="00266C85" w:rsidRPr="003F00AF" w:rsidRDefault="00266C85" w:rsidP="00266C85">
            <w:pPr>
              <w:rPr>
                <w:rFonts w:eastAsia="Times New Roman"/>
                <w:sz w:val="20"/>
                <w:szCs w:val="20"/>
              </w:rPr>
            </w:pPr>
            <w:r w:rsidRPr="003F00AF">
              <w:rPr>
                <w:rFonts w:eastAsia="Times New Roman"/>
                <w:sz w:val="20"/>
                <w:szCs w:val="20"/>
              </w:rPr>
              <w:t>Lead Environmental Economist</w:t>
            </w:r>
          </w:p>
          <w:p w14:paraId="4967ED7D" w14:textId="77777777" w:rsidR="00266C85" w:rsidRPr="003F00AF" w:rsidRDefault="00266C85" w:rsidP="00266C85">
            <w:pPr>
              <w:rPr>
                <w:rFonts w:eastAsia="Times New Roman"/>
                <w:sz w:val="20"/>
                <w:szCs w:val="20"/>
              </w:rPr>
            </w:pPr>
            <w:r w:rsidRPr="003F00AF">
              <w:rPr>
                <w:rFonts w:eastAsia="Times New Roman"/>
                <w:sz w:val="20"/>
                <w:szCs w:val="20"/>
              </w:rPr>
              <w:t>(Currently Lead Economist)</w:t>
            </w:r>
          </w:p>
        </w:tc>
        <w:tc>
          <w:tcPr>
            <w:tcW w:w="2371" w:type="dxa"/>
            <w:shd w:val="clear" w:color="auto" w:fill="auto"/>
            <w:noWrap/>
          </w:tcPr>
          <w:p w14:paraId="330EC34E" w14:textId="77777777" w:rsidR="00266C85" w:rsidRPr="003F00AF" w:rsidRDefault="00266C85" w:rsidP="00266C85">
            <w:pPr>
              <w:rPr>
                <w:rFonts w:eastAsia="Times New Roman"/>
                <w:sz w:val="20"/>
                <w:szCs w:val="20"/>
              </w:rPr>
            </w:pPr>
            <w:r w:rsidRPr="003F00AF">
              <w:rPr>
                <w:rFonts w:eastAsia="Times New Roman"/>
                <w:sz w:val="20"/>
                <w:szCs w:val="20"/>
              </w:rPr>
              <w:t>SASDI</w:t>
            </w:r>
          </w:p>
          <w:p w14:paraId="58675A95" w14:textId="77777777" w:rsidR="00266C85" w:rsidRPr="003F00AF" w:rsidRDefault="00266C85" w:rsidP="00266C85">
            <w:pPr>
              <w:rPr>
                <w:rFonts w:eastAsia="Times New Roman"/>
                <w:sz w:val="20"/>
                <w:szCs w:val="20"/>
              </w:rPr>
            </w:pPr>
            <w:r w:rsidRPr="003F00AF">
              <w:rPr>
                <w:rFonts w:eastAsia="Times New Roman"/>
                <w:sz w:val="20"/>
                <w:szCs w:val="20"/>
              </w:rPr>
              <w:t>(Currently GWADR)</w:t>
            </w:r>
          </w:p>
        </w:tc>
        <w:tc>
          <w:tcPr>
            <w:tcW w:w="2466" w:type="dxa"/>
            <w:shd w:val="clear" w:color="auto" w:fill="auto"/>
            <w:noWrap/>
          </w:tcPr>
          <w:p w14:paraId="100AD867" w14:textId="77777777" w:rsidR="00266C85" w:rsidRPr="003F00AF" w:rsidRDefault="00266C85" w:rsidP="00266C85">
            <w:pPr>
              <w:rPr>
                <w:rFonts w:eastAsia="Times New Roman"/>
                <w:sz w:val="20"/>
                <w:szCs w:val="20"/>
              </w:rPr>
            </w:pPr>
            <w:r w:rsidRPr="003F00AF">
              <w:rPr>
                <w:rFonts w:eastAsia="Times New Roman"/>
                <w:sz w:val="20"/>
                <w:szCs w:val="20"/>
              </w:rPr>
              <w:t>Peer Reviewer</w:t>
            </w:r>
          </w:p>
        </w:tc>
      </w:tr>
      <w:tr w:rsidR="00266C85" w:rsidRPr="003F00AF" w14:paraId="7F8497DC" w14:textId="77777777" w:rsidTr="00266C85">
        <w:trPr>
          <w:trHeight w:val="300"/>
        </w:trPr>
        <w:tc>
          <w:tcPr>
            <w:tcW w:w="1795" w:type="dxa"/>
            <w:shd w:val="clear" w:color="auto" w:fill="auto"/>
            <w:noWrap/>
          </w:tcPr>
          <w:p w14:paraId="65F8B7A2" w14:textId="77777777" w:rsidR="00266C85" w:rsidRPr="003F00AF" w:rsidRDefault="00266C85" w:rsidP="00266C85">
            <w:pPr>
              <w:rPr>
                <w:sz w:val="20"/>
                <w:szCs w:val="20"/>
              </w:rPr>
            </w:pPr>
            <w:r w:rsidRPr="003F00AF">
              <w:rPr>
                <w:sz w:val="20"/>
                <w:szCs w:val="20"/>
              </w:rPr>
              <w:t>Rossana Polastri</w:t>
            </w:r>
          </w:p>
        </w:tc>
        <w:tc>
          <w:tcPr>
            <w:tcW w:w="3330" w:type="dxa"/>
            <w:shd w:val="clear" w:color="auto" w:fill="auto"/>
            <w:noWrap/>
          </w:tcPr>
          <w:p w14:paraId="11A9B6F8" w14:textId="77777777" w:rsidR="00266C85" w:rsidRPr="003F00AF" w:rsidRDefault="00266C85" w:rsidP="00266C85">
            <w:pPr>
              <w:rPr>
                <w:rFonts w:eastAsia="Times New Roman"/>
                <w:sz w:val="20"/>
                <w:szCs w:val="20"/>
              </w:rPr>
            </w:pPr>
            <w:r w:rsidRPr="003F00AF">
              <w:rPr>
                <w:rFonts w:eastAsia="Times New Roman"/>
                <w:sz w:val="20"/>
                <w:szCs w:val="20"/>
              </w:rPr>
              <w:t>Senior Country Economist</w:t>
            </w:r>
          </w:p>
        </w:tc>
        <w:tc>
          <w:tcPr>
            <w:tcW w:w="2371" w:type="dxa"/>
            <w:shd w:val="clear" w:color="auto" w:fill="auto"/>
            <w:noWrap/>
          </w:tcPr>
          <w:p w14:paraId="36DCF7E6" w14:textId="77777777" w:rsidR="00266C85" w:rsidRPr="003F00AF" w:rsidRDefault="00266C85" w:rsidP="00266C85">
            <w:pPr>
              <w:rPr>
                <w:rFonts w:eastAsia="Times New Roman"/>
                <w:sz w:val="20"/>
                <w:szCs w:val="20"/>
              </w:rPr>
            </w:pPr>
            <w:r w:rsidRPr="003F00AF">
              <w:rPr>
                <w:rFonts w:eastAsia="Times New Roman"/>
                <w:sz w:val="20"/>
                <w:szCs w:val="20"/>
              </w:rPr>
              <w:t>LCSPE</w:t>
            </w:r>
          </w:p>
        </w:tc>
        <w:tc>
          <w:tcPr>
            <w:tcW w:w="2466" w:type="dxa"/>
            <w:shd w:val="clear" w:color="auto" w:fill="auto"/>
            <w:noWrap/>
          </w:tcPr>
          <w:p w14:paraId="561F080C" w14:textId="77777777" w:rsidR="00266C85" w:rsidRPr="003F00AF" w:rsidRDefault="00266C85" w:rsidP="00266C85">
            <w:pPr>
              <w:rPr>
                <w:rFonts w:eastAsia="Times New Roman"/>
                <w:sz w:val="20"/>
                <w:szCs w:val="20"/>
              </w:rPr>
            </w:pPr>
            <w:r w:rsidRPr="003F00AF">
              <w:rPr>
                <w:rFonts w:eastAsia="Times New Roman"/>
                <w:sz w:val="20"/>
                <w:szCs w:val="20"/>
              </w:rPr>
              <w:t>Economics</w:t>
            </w:r>
          </w:p>
        </w:tc>
      </w:tr>
      <w:tr w:rsidR="00266C85" w:rsidRPr="003F00AF" w14:paraId="5C04D518" w14:textId="77777777" w:rsidTr="00266C85">
        <w:trPr>
          <w:trHeight w:val="300"/>
        </w:trPr>
        <w:tc>
          <w:tcPr>
            <w:tcW w:w="1795" w:type="dxa"/>
            <w:shd w:val="clear" w:color="auto" w:fill="auto"/>
            <w:noWrap/>
          </w:tcPr>
          <w:p w14:paraId="1CC2DB85" w14:textId="77777777" w:rsidR="00266C85" w:rsidRPr="003F00AF" w:rsidRDefault="00266C85" w:rsidP="00266C85">
            <w:pPr>
              <w:rPr>
                <w:rFonts w:eastAsia="Times New Roman"/>
                <w:sz w:val="20"/>
                <w:szCs w:val="20"/>
              </w:rPr>
            </w:pPr>
            <w:r w:rsidRPr="003F00AF">
              <w:rPr>
                <w:sz w:val="20"/>
                <w:szCs w:val="20"/>
              </w:rPr>
              <w:t>Santiago Sandoval Valencia</w:t>
            </w:r>
          </w:p>
        </w:tc>
        <w:tc>
          <w:tcPr>
            <w:tcW w:w="3330" w:type="dxa"/>
            <w:shd w:val="clear" w:color="auto" w:fill="auto"/>
            <w:noWrap/>
          </w:tcPr>
          <w:p w14:paraId="7A6C35E2" w14:textId="77777777" w:rsidR="00266C85" w:rsidRPr="003F00AF" w:rsidRDefault="00266C85" w:rsidP="00266C85">
            <w:pPr>
              <w:rPr>
                <w:rFonts w:eastAsia="Times New Roman"/>
                <w:sz w:val="20"/>
                <w:szCs w:val="20"/>
              </w:rPr>
            </w:pPr>
            <w:r w:rsidRPr="003F00AF">
              <w:rPr>
                <w:rFonts w:eastAsia="Times New Roman"/>
                <w:sz w:val="20"/>
                <w:szCs w:val="20"/>
              </w:rPr>
              <w:t>Language Program Assistant</w:t>
            </w:r>
          </w:p>
        </w:tc>
        <w:tc>
          <w:tcPr>
            <w:tcW w:w="2371" w:type="dxa"/>
            <w:shd w:val="clear" w:color="auto" w:fill="auto"/>
            <w:noWrap/>
          </w:tcPr>
          <w:p w14:paraId="245C24A0"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7DF5DBF9" w14:textId="77777777" w:rsidR="00266C85" w:rsidRPr="003F00AF" w:rsidRDefault="00266C85" w:rsidP="00266C85">
            <w:pPr>
              <w:rPr>
                <w:rFonts w:eastAsia="Times New Roman"/>
                <w:sz w:val="20"/>
                <w:szCs w:val="20"/>
              </w:rPr>
            </w:pPr>
            <w:r w:rsidRPr="003F00AF">
              <w:rPr>
                <w:rFonts w:eastAsia="Times New Roman"/>
                <w:sz w:val="20"/>
                <w:szCs w:val="20"/>
              </w:rPr>
              <w:t>Administrative and Client Support</w:t>
            </w:r>
          </w:p>
        </w:tc>
      </w:tr>
      <w:tr w:rsidR="00266C85" w:rsidRPr="003F00AF" w14:paraId="3CEBF564" w14:textId="77777777" w:rsidTr="00266C85">
        <w:trPr>
          <w:trHeight w:val="300"/>
        </w:trPr>
        <w:tc>
          <w:tcPr>
            <w:tcW w:w="1795" w:type="dxa"/>
            <w:shd w:val="clear" w:color="auto" w:fill="auto"/>
            <w:noWrap/>
          </w:tcPr>
          <w:p w14:paraId="406FDA74" w14:textId="77777777" w:rsidR="00266C85" w:rsidRPr="003F00AF" w:rsidRDefault="00266C85" w:rsidP="00266C85">
            <w:pPr>
              <w:rPr>
                <w:sz w:val="20"/>
                <w:szCs w:val="20"/>
              </w:rPr>
            </w:pPr>
            <w:r w:rsidRPr="003F00AF">
              <w:rPr>
                <w:rFonts w:eastAsiaTheme="minorHAnsi"/>
                <w:sz w:val="20"/>
                <w:szCs w:val="20"/>
                <w:lang w:eastAsia="en-US"/>
              </w:rPr>
              <w:t>Teresa Genta-Fons</w:t>
            </w:r>
          </w:p>
        </w:tc>
        <w:tc>
          <w:tcPr>
            <w:tcW w:w="3330" w:type="dxa"/>
            <w:shd w:val="clear" w:color="auto" w:fill="auto"/>
            <w:noWrap/>
          </w:tcPr>
          <w:p w14:paraId="1E1C5ABA" w14:textId="77777777" w:rsidR="00266C85" w:rsidRPr="003F00AF" w:rsidRDefault="00266C85" w:rsidP="00266C85">
            <w:pPr>
              <w:rPr>
                <w:rFonts w:eastAsia="Times New Roman"/>
                <w:sz w:val="20"/>
                <w:szCs w:val="20"/>
              </w:rPr>
            </w:pPr>
            <w:r w:rsidRPr="003F00AF">
              <w:rPr>
                <w:rFonts w:eastAsia="Times New Roman"/>
                <w:sz w:val="20"/>
                <w:szCs w:val="20"/>
              </w:rPr>
              <w:t>Lead Counsel</w:t>
            </w:r>
          </w:p>
        </w:tc>
        <w:tc>
          <w:tcPr>
            <w:tcW w:w="2371" w:type="dxa"/>
            <w:shd w:val="clear" w:color="auto" w:fill="auto"/>
            <w:noWrap/>
          </w:tcPr>
          <w:p w14:paraId="40D14918" w14:textId="77777777" w:rsidR="00266C85" w:rsidRPr="003F00AF" w:rsidRDefault="00266C85" w:rsidP="00266C85">
            <w:pPr>
              <w:rPr>
                <w:rFonts w:eastAsia="Times New Roman"/>
                <w:sz w:val="20"/>
                <w:szCs w:val="20"/>
              </w:rPr>
            </w:pPr>
            <w:r w:rsidRPr="003F00AF">
              <w:rPr>
                <w:rFonts w:eastAsia="Times New Roman"/>
                <w:sz w:val="20"/>
                <w:szCs w:val="20"/>
              </w:rPr>
              <w:t>LEGLA</w:t>
            </w:r>
          </w:p>
        </w:tc>
        <w:tc>
          <w:tcPr>
            <w:tcW w:w="2466" w:type="dxa"/>
            <w:shd w:val="clear" w:color="auto" w:fill="auto"/>
            <w:noWrap/>
          </w:tcPr>
          <w:p w14:paraId="37EDE80C"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12330CF4" w14:textId="77777777" w:rsidTr="00266C85">
        <w:trPr>
          <w:trHeight w:val="300"/>
        </w:trPr>
        <w:tc>
          <w:tcPr>
            <w:tcW w:w="1795" w:type="dxa"/>
            <w:shd w:val="clear" w:color="auto" w:fill="auto"/>
            <w:noWrap/>
          </w:tcPr>
          <w:p w14:paraId="4331DFC9" w14:textId="77777777" w:rsidR="00266C85" w:rsidRPr="003F00AF" w:rsidRDefault="00266C85" w:rsidP="00266C85">
            <w:pPr>
              <w:rPr>
                <w:rFonts w:eastAsia="Times New Roman"/>
                <w:sz w:val="20"/>
                <w:szCs w:val="20"/>
              </w:rPr>
            </w:pPr>
            <w:r w:rsidRPr="003F00AF">
              <w:rPr>
                <w:sz w:val="20"/>
                <w:szCs w:val="20"/>
              </w:rPr>
              <w:t>Xiomara A Morel</w:t>
            </w:r>
          </w:p>
        </w:tc>
        <w:tc>
          <w:tcPr>
            <w:tcW w:w="3330" w:type="dxa"/>
            <w:shd w:val="clear" w:color="auto" w:fill="auto"/>
            <w:noWrap/>
          </w:tcPr>
          <w:p w14:paraId="6B62EF6B" w14:textId="77777777" w:rsidR="00266C85" w:rsidRPr="003F00AF" w:rsidRDefault="00266C85" w:rsidP="00266C85">
            <w:pPr>
              <w:rPr>
                <w:bCs/>
                <w:sz w:val="20"/>
                <w:szCs w:val="20"/>
                <w:lang w:val="en"/>
              </w:rPr>
            </w:pPr>
            <w:r w:rsidRPr="003F00AF">
              <w:rPr>
                <w:bCs/>
                <w:sz w:val="20"/>
                <w:szCs w:val="20"/>
                <w:lang w:val="en"/>
              </w:rPr>
              <w:t>Senior Financial Management Specialist</w:t>
            </w:r>
          </w:p>
          <w:p w14:paraId="4D87CE10" w14:textId="77777777" w:rsidR="00266C85" w:rsidRPr="003F00AF" w:rsidRDefault="00266C85" w:rsidP="00266C85">
            <w:pPr>
              <w:rPr>
                <w:rFonts w:eastAsia="Times New Roman"/>
                <w:sz w:val="20"/>
                <w:szCs w:val="20"/>
              </w:rPr>
            </w:pPr>
            <w:r w:rsidRPr="003F00AF">
              <w:rPr>
                <w:bCs/>
                <w:sz w:val="20"/>
                <w:szCs w:val="20"/>
                <w:lang w:val="en"/>
              </w:rPr>
              <w:t>(Currently Lead Financial Management Specialist)</w:t>
            </w:r>
          </w:p>
        </w:tc>
        <w:tc>
          <w:tcPr>
            <w:tcW w:w="2371" w:type="dxa"/>
            <w:shd w:val="clear" w:color="auto" w:fill="auto"/>
            <w:noWrap/>
          </w:tcPr>
          <w:p w14:paraId="6DF90EC1" w14:textId="77777777" w:rsidR="00266C85" w:rsidRPr="003F00AF" w:rsidRDefault="00266C85" w:rsidP="00266C85">
            <w:pPr>
              <w:rPr>
                <w:rFonts w:eastAsia="Times New Roman"/>
                <w:sz w:val="20"/>
                <w:szCs w:val="20"/>
              </w:rPr>
            </w:pPr>
            <w:r w:rsidRPr="003F00AF">
              <w:rPr>
                <w:rFonts w:eastAsia="Times New Roman"/>
                <w:sz w:val="20"/>
                <w:szCs w:val="20"/>
              </w:rPr>
              <w:t>LCSFM</w:t>
            </w:r>
          </w:p>
          <w:p w14:paraId="06B8053E" w14:textId="77777777" w:rsidR="00266C85" w:rsidRPr="003F00AF" w:rsidRDefault="00266C85" w:rsidP="00266C85">
            <w:pPr>
              <w:rPr>
                <w:rFonts w:eastAsia="Times New Roman"/>
                <w:sz w:val="20"/>
                <w:szCs w:val="20"/>
              </w:rPr>
            </w:pPr>
            <w:r w:rsidRPr="003F00AF">
              <w:rPr>
                <w:rFonts w:eastAsia="Times New Roman"/>
                <w:sz w:val="20"/>
                <w:szCs w:val="20"/>
              </w:rPr>
              <w:t>(GGO22</w:t>
            </w:r>
          </w:p>
        </w:tc>
        <w:tc>
          <w:tcPr>
            <w:tcW w:w="2466" w:type="dxa"/>
            <w:shd w:val="clear" w:color="auto" w:fill="auto"/>
            <w:noWrap/>
          </w:tcPr>
          <w:p w14:paraId="5CADCA34" w14:textId="77777777" w:rsidR="00266C85" w:rsidRPr="003F00AF" w:rsidRDefault="00266C85" w:rsidP="00266C85">
            <w:pPr>
              <w:rPr>
                <w:rFonts w:eastAsia="Times New Roman"/>
                <w:sz w:val="20"/>
                <w:szCs w:val="20"/>
              </w:rPr>
            </w:pPr>
            <w:r w:rsidRPr="003F00AF">
              <w:rPr>
                <w:rFonts w:eastAsia="Times New Roman"/>
                <w:sz w:val="20"/>
                <w:szCs w:val="20"/>
              </w:rPr>
              <w:t>Financial Management</w:t>
            </w:r>
          </w:p>
        </w:tc>
      </w:tr>
      <w:tr w:rsidR="00266C85" w:rsidRPr="003F00AF" w14:paraId="393639A0" w14:textId="77777777" w:rsidTr="00266C85">
        <w:trPr>
          <w:trHeight w:val="300"/>
        </w:trPr>
        <w:tc>
          <w:tcPr>
            <w:tcW w:w="9962" w:type="dxa"/>
            <w:gridSpan w:val="4"/>
            <w:shd w:val="clear" w:color="auto" w:fill="auto"/>
            <w:noWrap/>
            <w:hideMark/>
          </w:tcPr>
          <w:p w14:paraId="4B849ADF" w14:textId="77777777" w:rsidR="00266C85" w:rsidRPr="003F00AF" w:rsidRDefault="00266C85" w:rsidP="00266C85">
            <w:pPr>
              <w:rPr>
                <w:rFonts w:eastAsia="Times New Roman"/>
                <w:b/>
                <w:sz w:val="20"/>
                <w:szCs w:val="20"/>
              </w:rPr>
            </w:pPr>
            <w:r w:rsidRPr="003F00AF">
              <w:rPr>
                <w:rFonts w:eastAsia="Times New Roman"/>
                <w:b/>
                <w:sz w:val="20"/>
                <w:szCs w:val="20"/>
              </w:rPr>
              <w:t>Supervision (from Task Team Members in all archived ISRs)</w:t>
            </w:r>
          </w:p>
        </w:tc>
      </w:tr>
      <w:tr w:rsidR="00266C85" w:rsidRPr="003F00AF" w14:paraId="1A555426" w14:textId="77777777" w:rsidTr="00266C85">
        <w:trPr>
          <w:trHeight w:val="300"/>
        </w:trPr>
        <w:tc>
          <w:tcPr>
            <w:tcW w:w="1795" w:type="dxa"/>
            <w:shd w:val="clear" w:color="auto" w:fill="auto"/>
            <w:noWrap/>
          </w:tcPr>
          <w:p w14:paraId="704D7614" w14:textId="77777777" w:rsidR="00266C85" w:rsidRPr="003F00AF" w:rsidRDefault="00266C85" w:rsidP="00266C85">
            <w:pPr>
              <w:rPr>
                <w:rFonts w:eastAsia="Times New Roman"/>
                <w:sz w:val="20"/>
                <w:szCs w:val="20"/>
              </w:rPr>
            </w:pPr>
            <w:r w:rsidRPr="003F00AF">
              <w:rPr>
                <w:sz w:val="20"/>
                <w:szCs w:val="20"/>
              </w:rPr>
              <w:t>Alexandre Takahashi</w:t>
            </w:r>
          </w:p>
        </w:tc>
        <w:tc>
          <w:tcPr>
            <w:tcW w:w="3330" w:type="dxa"/>
            <w:shd w:val="clear" w:color="auto" w:fill="auto"/>
            <w:noWrap/>
          </w:tcPr>
          <w:p w14:paraId="66B7DDFE"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36CC3583"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532DAD11" w14:textId="77777777" w:rsidR="00266C85" w:rsidRPr="003F00AF" w:rsidRDefault="00266C85" w:rsidP="00266C85">
            <w:pPr>
              <w:rPr>
                <w:rFonts w:eastAsia="Times New Roman"/>
                <w:sz w:val="20"/>
                <w:szCs w:val="20"/>
              </w:rPr>
            </w:pPr>
            <w:r w:rsidRPr="003F00AF">
              <w:rPr>
                <w:rFonts w:eastAsia="Times New Roman"/>
                <w:sz w:val="20"/>
                <w:szCs w:val="20"/>
              </w:rPr>
              <w:t>Environment</w:t>
            </w:r>
          </w:p>
        </w:tc>
      </w:tr>
      <w:tr w:rsidR="00266C85" w:rsidRPr="003F00AF" w14:paraId="03491B32" w14:textId="77777777" w:rsidTr="00266C85">
        <w:trPr>
          <w:trHeight w:val="300"/>
        </w:trPr>
        <w:tc>
          <w:tcPr>
            <w:tcW w:w="1795" w:type="dxa"/>
            <w:shd w:val="clear" w:color="auto" w:fill="auto"/>
            <w:noWrap/>
          </w:tcPr>
          <w:p w14:paraId="5689E9A7" w14:textId="77777777" w:rsidR="00266C85" w:rsidRPr="003F00AF" w:rsidRDefault="00266C85" w:rsidP="00266C85">
            <w:pPr>
              <w:rPr>
                <w:rFonts w:eastAsia="Times New Roman"/>
                <w:sz w:val="20"/>
                <w:szCs w:val="20"/>
              </w:rPr>
            </w:pPr>
            <w:r w:rsidRPr="003F00AF">
              <w:rPr>
                <w:sz w:val="20"/>
                <w:szCs w:val="20"/>
              </w:rPr>
              <w:t>Alonso Zarzar Casis</w:t>
            </w:r>
          </w:p>
        </w:tc>
        <w:tc>
          <w:tcPr>
            <w:tcW w:w="3330" w:type="dxa"/>
            <w:shd w:val="clear" w:color="auto" w:fill="auto"/>
            <w:noWrap/>
          </w:tcPr>
          <w:p w14:paraId="03D5A02F"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Senior Social Scientist</w:t>
            </w:r>
          </w:p>
        </w:tc>
        <w:tc>
          <w:tcPr>
            <w:tcW w:w="2371" w:type="dxa"/>
            <w:shd w:val="clear" w:color="auto" w:fill="auto"/>
            <w:noWrap/>
          </w:tcPr>
          <w:p w14:paraId="356EEFDC"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LCSSO</w:t>
            </w:r>
          </w:p>
          <w:p w14:paraId="7BF49B04"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(Currently GSU04)</w:t>
            </w:r>
          </w:p>
        </w:tc>
        <w:tc>
          <w:tcPr>
            <w:tcW w:w="2466" w:type="dxa"/>
            <w:shd w:val="clear" w:color="auto" w:fill="auto"/>
            <w:noWrap/>
          </w:tcPr>
          <w:p w14:paraId="71EBEF52"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Social Development</w:t>
            </w:r>
          </w:p>
        </w:tc>
      </w:tr>
      <w:tr w:rsidR="00266C85" w:rsidRPr="003F00AF" w14:paraId="4775E247" w14:textId="77777777" w:rsidTr="00266C85">
        <w:trPr>
          <w:trHeight w:val="300"/>
        </w:trPr>
        <w:tc>
          <w:tcPr>
            <w:tcW w:w="1795" w:type="dxa"/>
            <w:shd w:val="clear" w:color="auto" w:fill="auto"/>
            <w:noWrap/>
          </w:tcPr>
          <w:p w14:paraId="26A51120" w14:textId="77777777" w:rsidR="00266C85" w:rsidRPr="003F00AF" w:rsidRDefault="00266C85" w:rsidP="00266C85">
            <w:pPr>
              <w:rPr>
                <w:rFonts w:eastAsia="Times New Roman"/>
                <w:sz w:val="20"/>
                <w:szCs w:val="20"/>
                <w:lang w:val="es-CO"/>
              </w:rPr>
            </w:pPr>
            <w:r w:rsidRPr="003F00AF">
              <w:rPr>
                <w:sz w:val="20"/>
                <w:szCs w:val="20"/>
                <w:lang w:val="es-CO"/>
              </w:rPr>
              <w:t>Ana Luisa Gomes Lima</w:t>
            </w:r>
          </w:p>
        </w:tc>
        <w:tc>
          <w:tcPr>
            <w:tcW w:w="3330" w:type="dxa"/>
            <w:shd w:val="clear" w:color="auto" w:fill="auto"/>
            <w:noWrap/>
          </w:tcPr>
          <w:p w14:paraId="258EC8CD"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Environmental Specialist</w:t>
            </w:r>
          </w:p>
        </w:tc>
        <w:tc>
          <w:tcPr>
            <w:tcW w:w="2371" w:type="dxa"/>
            <w:shd w:val="clear" w:color="auto" w:fill="auto"/>
            <w:noWrap/>
          </w:tcPr>
          <w:p w14:paraId="71BA3896"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GEN04</w:t>
            </w:r>
          </w:p>
        </w:tc>
        <w:tc>
          <w:tcPr>
            <w:tcW w:w="2466" w:type="dxa"/>
            <w:shd w:val="clear" w:color="auto" w:fill="auto"/>
            <w:noWrap/>
          </w:tcPr>
          <w:p w14:paraId="1019C3B6" w14:textId="77777777" w:rsidR="00266C85" w:rsidRPr="003F00AF" w:rsidRDefault="00266C85" w:rsidP="00266C85">
            <w:pPr>
              <w:rPr>
                <w:rFonts w:eastAsia="Times New Roman"/>
                <w:sz w:val="20"/>
                <w:szCs w:val="20"/>
                <w:highlight w:val="cyan"/>
                <w:lang w:val="es-CO"/>
              </w:rPr>
            </w:pPr>
            <w:r w:rsidRPr="003F00AF">
              <w:rPr>
                <w:rFonts w:eastAsia="Times New Roman"/>
                <w:sz w:val="20"/>
                <w:szCs w:val="20"/>
                <w:lang w:val="es-CO"/>
              </w:rPr>
              <w:t>ICR Author</w:t>
            </w:r>
          </w:p>
        </w:tc>
      </w:tr>
      <w:tr w:rsidR="00266C85" w:rsidRPr="003F00AF" w14:paraId="28335FA5" w14:textId="77777777" w:rsidTr="00266C85">
        <w:trPr>
          <w:trHeight w:val="300"/>
        </w:trPr>
        <w:tc>
          <w:tcPr>
            <w:tcW w:w="1795" w:type="dxa"/>
            <w:shd w:val="clear" w:color="auto" w:fill="auto"/>
            <w:noWrap/>
          </w:tcPr>
          <w:p w14:paraId="10768A5F" w14:textId="77777777" w:rsidR="00266C85" w:rsidRPr="003F00AF" w:rsidRDefault="00266C85" w:rsidP="00266C85">
            <w:pPr>
              <w:rPr>
                <w:rFonts w:eastAsia="Times New Roman"/>
                <w:sz w:val="20"/>
                <w:szCs w:val="20"/>
                <w:lang w:val="es-CO"/>
              </w:rPr>
            </w:pPr>
            <w:r w:rsidRPr="003F00AF">
              <w:rPr>
                <w:sz w:val="20"/>
                <w:szCs w:val="20"/>
                <w:lang w:val="es-CO"/>
              </w:rPr>
              <w:t>Andrea Semaan</w:t>
            </w:r>
          </w:p>
        </w:tc>
        <w:tc>
          <w:tcPr>
            <w:tcW w:w="3330" w:type="dxa"/>
            <w:shd w:val="clear" w:color="auto" w:fill="auto"/>
            <w:noWrap/>
          </w:tcPr>
          <w:p w14:paraId="2EA72A6A"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Consultant</w:t>
            </w:r>
          </w:p>
        </w:tc>
        <w:tc>
          <w:tcPr>
            <w:tcW w:w="2371" w:type="dxa"/>
            <w:shd w:val="clear" w:color="auto" w:fill="auto"/>
            <w:noWrap/>
          </w:tcPr>
          <w:p w14:paraId="5E12FE6C"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OPSPF</w:t>
            </w:r>
          </w:p>
        </w:tc>
        <w:tc>
          <w:tcPr>
            <w:tcW w:w="2466" w:type="dxa"/>
            <w:shd w:val="clear" w:color="auto" w:fill="auto"/>
            <w:noWrap/>
          </w:tcPr>
          <w:p w14:paraId="19B74DE1" w14:textId="77777777" w:rsidR="00266C85" w:rsidRPr="003F00AF" w:rsidRDefault="00266C85" w:rsidP="00266C85">
            <w:pPr>
              <w:rPr>
                <w:rFonts w:eastAsia="Times New Roman"/>
                <w:sz w:val="20"/>
                <w:szCs w:val="20"/>
                <w:lang w:val="es-CO"/>
              </w:rPr>
            </w:pPr>
            <w:r w:rsidRPr="003F00AF">
              <w:rPr>
                <w:rFonts w:eastAsia="Times New Roman"/>
                <w:sz w:val="20"/>
                <w:szCs w:val="20"/>
              </w:rPr>
              <w:t>Operations</w:t>
            </w:r>
          </w:p>
        </w:tc>
      </w:tr>
      <w:tr w:rsidR="00266C85" w:rsidRPr="003F00AF" w14:paraId="6AE5B831" w14:textId="77777777" w:rsidTr="00266C85">
        <w:trPr>
          <w:trHeight w:val="300"/>
        </w:trPr>
        <w:tc>
          <w:tcPr>
            <w:tcW w:w="1795" w:type="dxa"/>
            <w:shd w:val="clear" w:color="auto" w:fill="auto"/>
            <w:noWrap/>
          </w:tcPr>
          <w:p w14:paraId="55E90B8A" w14:textId="77777777" w:rsidR="00266C85" w:rsidRPr="003F00AF" w:rsidRDefault="00266C85" w:rsidP="00266C85">
            <w:pPr>
              <w:rPr>
                <w:rFonts w:eastAsia="Times New Roman"/>
                <w:sz w:val="20"/>
                <w:szCs w:val="20"/>
              </w:rPr>
            </w:pPr>
            <w:r w:rsidRPr="003F00AF">
              <w:rPr>
                <w:sz w:val="20"/>
                <w:szCs w:val="20"/>
              </w:rPr>
              <w:t>Anjali Acharya</w:t>
            </w:r>
          </w:p>
        </w:tc>
        <w:tc>
          <w:tcPr>
            <w:tcW w:w="3330" w:type="dxa"/>
            <w:shd w:val="clear" w:color="auto" w:fill="auto"/>
            <w:noWrap/>
          </w:tcPr>
          <w:p w14:paraId="686C9BBA" w14:textId="77777777" w:rsidR="00266C85" w:rsidRPr="003F00AF" w:rsidRDefault="00266C85" w:rsidP="00266C85">
            <w:pPr>
              <w:rPr>
                <w:rFonts w:eastAsia="Times New Roman"/>
                <w:sz w:val="20"/>
                <w:szCs w:val="20"/>
              </w:rPr>
            </w:pPr>
            <w:r w:rsidRPr="003F00AF">
              <w:rPr>
                <w:bCs/>
                <w:sz w:val="20"/>
                <w:szCs w:val="20"/>
                <w:lang w:val="en"/>
              </w:rPr>
              <w:t>Senior Environmental Specialist</w:t>
            </w:r>
          </w:p>
        </w:tc>
        <w:tc>
          <w:tcPr>
            <w:tcW w:w="2371" w:type="dxa"/>
            <w:shd w:val="clear" w:color="auto" w:fill="auto"/>
            <w:noWrap/>
          </w:tcPr>
          <w:p w14:paraId="299F0C4F"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55A7EF17" w14:textId="77777777" w:rsidR="00266C85" w:rsidRPr="003F00AF" w:rsidRDefault="00266C85" w:rsidP="00266C85">
            <w:pPr>
              <w:rPr>
                <w:rFonts w:eastAsia="Times New Roman"/>
                <w:sz w:val="20"/>
                <w:szCs w:val="20"/>
              </w:rPr>
            </w:pPr>
            <w:r w:rsidRPr="003F00AF">
              <w:rPr>
                <w:rFonts w:eastAsia="Times New Roman"/>
                <w:sz w:val="20"/>
                <w:szCs w:val="20"/>
              </w:rPr>
              <w:t>(Currently GEN2B)</w:t>
            </w:r>
          </w:p>
        </w:tc>
        <w:tc>
          <w:tcPr>
            <w:tcW w:w="2466" w:type="dxa"/>
            <w:shd w:val="clear" w:color="auto" w:fill="auto"/>
            <w:noWrap/>
          </w:tcPr>
          <w:p w14:paraId="268C2EA2" w14:textId="77777777" w:rsidR="00266C85" w:rsidRPr="003F00AF" w:rsidRDefault="00266C85" w:rsidP="00266C85">
            <w:pPr>
              <w:rPr>
                <w:rFonts w:eastAsia="Times New Roman"/>
                <w:sz w:val="20"/>
                <w:szCs w:val="20"/>
              </w:rPr>
            </w:pPr>
            <w:r w:rsidRPr="003F00AF">
              <w:rPr>
                <w:rFonts w:eastAsia="Times New Roman"/>
                <w:sz w:val="20"/>
                <w:szCs w:val="20"/>
              </w:rPr>
              <w:t>Task Team Leader</w:t>
            </w:r>
          </w:p>
        </w:tc>
      </w:tr>
      <w:tr w:rsidR="00266C85" w:rsidRPr="003F00AF" w14:paraId="63D3A439" w14:textId="77777777" w:rsidTr="00266C85">
        <w:trPr>
          <w:trHeight w:val="300"/>
        </w:trPr>
        <w:tc>
          <w:tcPr>
            <w:tcW w:w="1795" w:type="dxa"/>
            <w:shd w:val="clear" w:color="auto" w:fill="auto"/>
            <w:noWrap/>
          </w:tcPr>
          <w:p w14:paraId="09D82A9D" w14:textId="77777777" w:rsidR="00266C85" w:rsidRPr="003F00AF" w:rsidRDefault="00266C85" w:rsidP="00266C85">
            <w:pPr>
              <w:rPr>
                <w:rFonts w:eastAsia="Times New Roman"/>
                <w:sz w:val="20"/>
                <w:szCs w:val="20"/>
                <w:lang w:val="es-CO"/>
              </w:rPr>
            </w:pPr>
            <w:r w:rsidRPr="003F00AF">
              <w:rPr>
                <w:sz w:val="20"/>
                <w:szCs w:val="20"/>
                <w:lang w:val="es-CO"/>
              </w:rPr>
              <w:t>Carter J. Brandon</w:t>
            </w:r>
          </w:p>
        </w:tc>
        <w:tc>
          <w:tcPr>
            <w:tcW w:w="3330" w:type="dxa"/>
            <w:shd w:val="clear" w:color="auto" w:fill="auto"/>
            <w:noWrap/>
          </w:tcPr>
          <w:p w14:paraId="44E7716C"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Lead Economist</w:t>
            </w:r>
          </w:p>
        </w:tc>
        <w:tc>
          <w:tcPr>
            <w:tcW w:w="2371" w:type="dxa"/>
            <w:shd w:val="clear" w:color="auto" w:fill="auto"/>
            <w:noWrap/>
          </w:tcPr>
          <w:p w14:paraId="7DF71266"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GENGE</w:t>
            </w:r>
          </w:p>
        </w:tc>
        <w:tc>
          <w:tcPr>
            <w:tcW w:w="2466" w:type="dxa"/>
            <w:shd w:val="clear" w:color="auto" w:fill="auto"/>
            <w:noWrap/>
          </w:tcPr>
          <w:p w14:paraId="0A89CEEA"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Economics</w:t>
            </w:r>
          </w:p>
        </w:tc>
      </w:tr>
      <w:tr w:rsidR="00266C85" w:rsidRPr="003F00AF" w14:paraId="6DEB03B6" w14:textId="77777777" w:rsidTr="00266C85">
        <w:trPr>
          <w:trHeight w:val="300"/>
        </w:trPr>
        <w:tc>
          <w:tcPr>
            <w:tcW w:w="1795" w:type="dxa"/>
            <w:shd w:val="clear" w:color="auto" w:fill="auto"/>
            <w:noWrap/>
          </w:tcPr>
          <w:p w14:paraId="495007E8" w14:textId="77777777" w:rsidR="00266C85" w:rsidRPr="003F00AF" w:rsidRDefault="00266C85" w:rsidP="00266C85">
            <w:pPr>
              <w:rPr>
                <w:rFonts w:eastAsia="Times New Roman"/>
                <w:sz w:val="20"/>
                <w:szCs w:val="20"/>
              </w:rPr>
            </w:pPr>
            <w:r w:rsidRPr="003F00AF">
              <w:rPr>
                <w:sz w:val="20"/>
                <w:szCs w:val="20"/>
              </w:rPr>
              <w:t>Ernesto Sanchez-Triana</w:t>
            </w:r>
          </w:p>
        </w:tc>
        <w:tc>
          <w:tcPr>
            <w:tcW w:w="3330" w:type="dxa"/>
            <w:shd w:val="clear" w:color="auto" w:fill="auto"/>
            <w:noWrap/>
          </w:tcPr>
          <w:p w14:paraId="1E4C2A06" w14:textId="77777777" w:rsidR="00266C85" w:rsidRPr="003F00AF" w:rsidRDefault="00266C85" w:rsidP="00266C85">
            <w:pPr>
              <w:rPr>
                <w:rFonts w:eastAsia="Times New Roman"/>
                <w:sz w:val="20"/>
                <w:szCs w:val="20"/>
              </w:rPr>
            </w:pPr>
            <w:r w:rsidRPr="003F00AF">
              <w:rPr>
                <w:rFonts w:eastAsia="Times New Roman"/>
                <w:sz w:val="20"/>
                <w:szCs w:val="20"/>
              </w:rPr>
              <w:t>Lead Environmental Specialist</w:t>
            </w:r>
          </w:p>
        </w:tc>
        <w:tc>
          <w:tcPr>
            <w:tcW w:w="2371" w:type="dxa"/>
            <w:shd w:val="clear" w:color="auto" w:fill="auto"/>
            <w:noWrap/>
          </w:tcPr>
          <w:p w14:paraId="6AF4DA61" w14:textId="77777777" w:rsidR="00266C85" w:rsidRPr="003F00AF" w:rsidRDefault="00266C85" w:rsidP="00266C85">
            <w:pPr>
              <w:rPr>
                <w:rFonts w:eastAsia="Times New Roman"/>
                <w:sz w:val="20"/>
                <w:szCs w:val="20"/>
              </w:rPr>
            </w:pPr>
            <w:r w:rsidRPr="003F00AF">
              <w:rPr>
                <w:rFonts w:eastAsia="Times New Roman"/>
                <w:sz w:val="20"/>
                <w:szCs w:val="20"/>
              </w:rPr>
              <w:t>GENGE</w:t>
            </w:r>
          </w:p>
        </w:tc>
        <w:tc>
          <w:tcPr>
            <w:tcW w:w="2466" w:type="dxa"/>
            <w:shd w:val="clear" w:color="auto" w:fill="auto"/>
            <w:noWrap/>
          </w:tcPr>
          <w:p w14:paraId="4E6AAFE7" w14:textId="77777777" w:rsidR="00266C85" w:rsidRPr="003F00AF" w:rsidRDefault="00266C85" w:rsidP="00266C85">
            <w:pPr>
              <w:rPr>
                <w:rFonts w:eastAsia="Times New Roman"/>
                <w:sz w:val="20"/>
                <w:szCs w:val="20"/>
              </w:rPr>
            </w:pPr>
            <w:r w:rsidRPr="003F00AF">
              <w:rPr>
                <w:rFonts w:eastAsia="Times New Roman"/>
                <w:sz w:val="20"/>
                <w:szCs w:val="20"/>
              </w:rPr>
              <w:t>Task Team Leader</w:t>
            </w:r>
          </w:p>
        </w:tc>
      </w:tr>
      <w:tr w:rsidR="00266C85" w:rsidRPr="003F00AF" w14:paraId="53B5961E" w14:textId="77777777" w:rsidTr="00266C85">
        <w:trPr>
          <w:trHeight w:val="300"/>
        </w:trPr>
        <w:tc>
          <w:tcPr>
            <w:tcW w:w="1795" w:type="dxa"/>
            <w:shd w:val="clear" w:color="auto" w:fill="auto"/>
            <w:noWrap/>
          </w:tcPr>
          <w:p w14:paraId="6BFA524D" w14:textId="77777777" w:rsidR="00266C85" w:rsidRPr="003F00AF" w:rsidRDefault="00266C85" w:rsidP="00266C85">
            <w:pPr>
              <w:rPr>
                <w:rFonts w:eastAsia="Times New Roman"/>
                <w:sz w:val="20"/>
                <w:szCs w:val="20"/>
              </w:rPr>
            </w:pPr>
            <w:r w:rsidRPr="003F00AF">
              <w:rPr>
                <w:sz w:val="20"/>
                <w:szCs w:val="20"/>
              </w:rPr>
              <w:t>Erwin De Nys</w:t>
            </w:r>
          </w:p>
        </w:tc>
        <w:tc>
          <w:tcPr>
            <w:tcW w:w="3330" w:type="dxa"/>
            <w:shd w:val="clear" w:color="auto" w:fill="auto"/>
            <w:noWrap/>
          </w:tcPr>
          <w:p w14:paraId="7D345778" w14:textId="77777777" w:rsidR="00266C85" w:rsidRPr="003F00AF" w:rsidRDefault="00266C85" w:rsidP="00266C85">
            <w:pPr>
              <w:rPr>
                <w:rFonts w:eastAsia="Times New Roman"/>
                <w:sz w:val="20"/>
                <w:szCs w:val="20"/>
              </w:rPr>
            </w:pPr>
            <w:r w:rsidRPr="003F00AF">
              <w:rPr>
                <w:rFonts w:eastAsia="Times New Roman"/>
                <w:sz w:val="20"/>
                <w:szCs w:val="20"/>
              </w:rPr>
              <w:t>Water Resources Specialist</w:t>
            </w:r>
          </w:p>
          <w:p w14:paraId="5C0C8E67" w14:textId="77777777" w:rsidR="00266C85" w:rsidRPr="003F00AF" w:rsidRDefault="00266C85" w:rsidP="00266C85">
            <w:pPr>
              <w:rPr>
                <w:rFonts w:eastAsia="Times New Roman"/>
                <w:sz w:val="20"/>
                <w:szCs w:val="20"/>
              </w:rPr>
            </w:pPr>
            <w:r w:rsidRPr="003F00AF">
              <w:rPr>
                <w:rFonts w:eastAsia="Times New Roman"/>
                <w:sz w:val="20"/>
                <w:szCs w:val="20"/>
              </w:rPr>
              <w:t>(Currently Program Leader)</w:t>
            </w:r>
          </w:p>
        </w:tc>
        <w:tc>
          <w:tcPr>
            <w:tcW w:w="2371" w:type="dxa"/>
            <w:shd w:val="clear" w:color="auto" w:fill="auto"/>
            <w:noWrap/>
          </w:tcPr>
          <w:p w14:paraId="68BFF057" w14:textId="77777777" w:rsidR="00266C85" w:rsidRPr="003F00AF" w:rsidRDefault="00266C85" w:rsidP="00266C85">
            <w:pPr>
              <w:rPr>
                <w:rFonts w:eastAsia="Times New Roman"/>
                <w:sz w:val="20"/>
                <w:szCs w:val="20"/>
              </w:rPr>
            </w:pPr>
            <w:r w:rsidRPr="003F00AF">
              <w:rPr>
                <w:rFonts w:eastAsia="Times New Roman"/>
                <w:sz w:val="20"/>
                <w:szCs w:val="20"/>
              </w:rPr>
              <w:t>LCSSD</w:t>
            </w:r>
          </w:p>
          <w:p w14:paraId="26741B2A" w14:textId="77777777" w:rsidR="00266C85" w:rsidRPr="003F00AF" w:rsidRDefault="00266C85" w:rsidP="00266C85">
            <w:pPr>
              <w:rPr>
                <w:rFonts w:eastAsia="Times New Roman"/>
                <w:sz w:val="20"/>
                <w:szCs w:val="20"/>
              </w:rPr>
            </w:pPr>
            <w:r w:rsidRPr="003F00AF">
              <w:rPr>
                <w:rFonts w:eastAsia="Times New Roman"/>
                <w:sz w:val="20"/>
                <w:szCs w:val="20"/>
              </w:rPr>
              <w:t>(Currently LCC1C)</w:t>
            </w:r>
          </w:p>
        </w:tc>
        <w:tc>
          <w:tcPr>
            <w:tcW w:w="2466" w:type="dxa"/>
            <w:shd w:val="clear" w:color="auto" w:fill="auto"/>
            <w:noWrap/>
          </w:tcPr>
          <w:p w14:paraId="4F42E0C4" w14:textId="77777777" w:rsidR="00266C85" w:rsidRPr="003F00AF" w:rsidRDefault="00266C85" w:rsidP="00266C85">
            <w:pPr>
              <w:rPr>
                <w:rFonts w:eastAsia="Times New Roman"/>
                <w:sz w:val="20"/>
                <w:szCs w:val="20"/>
              </w:rPr>
            </w:pPr>
            <w:r w:rsidRPr="003F00AF">
              <w:rPr>
                <w:rFonts w:eastAsia="Times New Roman"/>
                <w:sz w:val="20"/>
                <w:szCs w:val="20"/>
              </w:rPr>
              <w:t>Water</w:t>
            </w:r>
          </w:p>
        </w:tc>
      </w:tr>
      <w:tr w:rsidR="00266C85" w:rsidRPr="003F00AF" w14:paraId="5E515AC4" w14:textId="77777777" w:rsidTr="00266C85">
        <w:trPr>
          <w:trHeight w:val="300"/>
        </w:trPr>
        <w:tc>
          <w:tcPr>
            <w:tcW w:w="1795" w:type="dxa"/>
            <w:shd w:val="clear" w:color="auto" w:fill="auto"/>
            <w:noWrap/>
          </w:tcPr>
          <w:p w14:paraId="784CF1B5" w14:textId="77777777" w:rsidR="00266C85" w:rsidRPr="003F00AF" w:rsidRDefault="00266C85" w:rsidP="00266C85">
            <w:pPr>
              <w:rPr>
                <w:rFonts w:eastAsia="Times New Roman"/>
                <w:sz w:val="20"/>
                <w:szCs w:val="20"/>
              </w:rPr>
            </w:pPr>
            <w:r w:rsidRPr="003F00AF">
              <w:rPr>
                <w:sz w:val="20"/>
                <w:szCs w:val="20"/>
              </w:rPr>
              <w:t>Fabiola Altimari Montiel</w:t>
            </w:r>
          </w:p>
        </w:tc>
        <w:tc>
          <w:tcPr>
            <w:tcW w:w="3330" w:type="dxa"/>
            <w:shd w:val="clear" w:color="auto" w:fill="auto"/>
            <w:noWrap/>
          </w:tcPr>
          <w:p w14:paraId="3AE1B3C6" w14:textId="77777777" w:rsidR="00266C85" w:rsidRPr="003F00AF" w:rsidRDefault="00266C85" w:rsidP="00266C85">
            <w:pPr>
              <w:rPr>
                <w:rFonts w:eastAsia="Times New Roman"/>
                <w:sz w:val="20"/>
                <w:szCs w:val="20"/>
              </w:rPr>
            </w:pPr>
            <w:r w:rsidRPr="003F00AF">
              <w:rPr>
                <w:rFonts w:eastAsia="Times New Roman"/>
                <w:sz w:val="20"/>
                <w:szCs w:val="20"/>
              </w:rPr>
              <w:t>Senior Counsel</w:t>
            </w:r>
          </w:p>
        </w:tc>
        <w:tc>
          <w:tcPr>
            <w:tcW w:w="2371" w:type="dxa"/>
            <w:shd w:val="clear" w:color="auto" w:fill="auto"/>
            <w:noWrap/>
          </w:tcPr>
          <w:p w14:paraId="7FBA990E" w14:textId="77777777" w:rsidR="00266C85" w:rsidRPr="003F00AF" w:rsidRDefault="00266C85" w:rsidP="00266C85">
            <w:pPr>
              <w:rPr>
                <w:rFonts w:eastAsia="Times New Roman"/>
                <w:sz w:val="20"/>
                <w:szCs w:val="20"/>
              </w:rPr>
            </w:pPr>
            <w:r w:rsidRPr="003F00AF">
              <w:rPr>
                <w:rFonts w:eastAsia="Times New Roman"/>
                <w:sz w:val="20"/>
                <w:szCs w:val="20"/>
              </w:rPr>
              <w:t>LEGLE</w:t>
            </w:r>
          </w:p>
        </w:tc>
        <w:tc>
          <w:tcPr>
            <w:tcW w:w="2466" w:type="dxa"/>
            <w:shd w:val="clear" w:color="auto" w:fill="auto"/>
            <w:noWrap/>
          </w:tcPr>
          <w:p w14:paraId="348E9E08"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6A4C3BA8" w14:textId="77777777" w:rsidTr="00266C85">
        <w:trPr>
          <w:trHeight w:val="300"/>
        </w:trPr>
        <w:tc>
          <w:tcPr>
            <w:tcW w:w="1795" w:type="dxa"/>
            <w:shd w:val="clear" w:color="auto" w:fill="auto"/>
            <w:noWrap/>
          </w:tcPr>
          <w:p w14:paraId="72140471" w14:textId="77777777" w:rsidR="00266C85" w:rsidRPr="003F00AF" w:rsidRDefault="00266C85" w:rsidP="00266C85">
            <w:pPr>
              <w:rPr>
                <w:rFonts w:eastAsia="Times New Roman"/>
                <w:sz w:val="20"/>
                <w:szCs w:val="20"/>
              </w:rPr>
            </w:pPr>
            <w:r w:rsidRPr="003F00AF">
              <w:rPr>
                <w:sz w:val="20"/>
                <w:szCs w:val="20"/>
              </w:rPr>
              <w:t>Ismael Fernando Loayza Careaga</w:t>
            </w:r>
          </w:p>
        </w:tc>
        <w:tc>
          <w:tcPr>
            <w:tcW w:w="3330" w:type="dxa"/>
            <w:shd w:val="clear" w:color="auto" w:fill="auto"/>
            <w:noWrap/>
          </w:tcPr>
          <w:p w14:paraId="04FB4AD5" w14:textId="77777777" w:rsidR="00266C85" w:rsidRPr="003F00AF" w:rsidRDefault="00266C85" w:rsidP="00266C85">
            <w:pPr>
              <w:rPr>
                <w:rFonts w:eastAsia="Times New Roman"/>
                <w:sz w:val="20"/>
                <w:szCs w:val="20"/>
              </w:rPr>
            </w:pPr>
            <w:r w:rsidRPr="003F00AF">
              <w:rPr>
                <w:rFonts w:eastAsia="Times New Roman"/>
                <w:sz w:val="20"/>
                <w:szCs w:val="20"/>
              </w:rPr>
              <w:t>Senior Environmental Economist</w:t>
            </w:r>
          </w:p>
        </w:tc>
        <w:tc>
          <w:tcPr>
            <w:tcW w:w="2371" w:type="dxa"/>
            <w:shd w:val="clear" w:color="auto" w:fill="auto"/>
            <w:noWrap/>
          </w:tcPr>
          <w:p w14:paraId="37727085"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3C537F6D" w14:textId="77777777" w:rsidR="00266C85" w:rsidRPr="003F00AF" w:rsidRDefault="00266C85" w:rsidP="00266C85">
            <w:pPr>
              <w:rPr>
                <w:rFonts w:eastAsia="Times New Roman"/>
                <w:sz w:val="20"/>
                <w:szCs w:val="20"/>
              </w:rPr>
            </w:pPr>
            <w:r w:rsidRPr="003F00AF">
              <w:rPr>
                <w:rFonts w:eastAsia="Times New Roman"/>
                <w:sz w:val="20"/>
                <w:szCs w:val="20"/>
              </w:rPr>
              <w:t>Environment</w:t>
            </w:r>
          </w:p>
        </w:tc>
      </w:tr>
      <w:tr w:rsidR="00266C85" w:rsidRPr="003F00AF" w14:paraId="513F1322" w14:textId="77777777" w:rsidTr="00266C85">
        <w:trPr>
          <w:trHeight w:val="300"/>
        </w:trPr>
        <w:tc>
          <w:tcPr>
            <w:tcW w:w="1795" w:type="dxa"/>
            <w:shd w:val="clear" w:color="auto" w:fill="auto"/>
            <w:noWrap/>
          </w:tcPr>
          <w:p w14:paraId="09998BAE" w14:textId="77777777" w:rsidR="00266C85" w:rsidRPr="003F00AF" w:rsidRDefault="00266C85" w:rsidP="00266C85">
            <w:pPr>
              <w:rPr>
                <w:rFonts w:eastAsia="Times New Roman"/>
                <w:sz w:val="20"/>
                <w:szCs w:val="20"/>
              </w:rPr>
            </w:pPr>
            <w:r w:rsidRPr="003F00AF">
              <w:rPr>
                <w:sz w:val="20"/>
                <w:szCs w:val="20"/>
              </w:rPr>
              <w:t>Jeffrey D. Lewis</w:t>
            </w:r>
          </w:p>
        </w:tc>
        <w:tc>
          <w:tcPr>
            <w:tcW w:w="3330" w:type="dxa"/>
            <w:shd w:val="clear" w:color="auto" w:fill="auto"/>
            <w:noWrap/>
          </w:tcPr>
          <w:p w14:paraId="6290380C"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51C31A25"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44CEEBF6" w14:textId="77777777" w:rsidR="00266C85" w:rsidRPr="003F00AF" w:rsidRDefault="00266C85" w:rsidP="00266C85">
            <w:pPr>
              <w:rPr>
                <w:rFonts w:eastAsia="Times New Roman"/>
                <w:sz w:val="20"/>
                <w:szCs w:val="20"/>
              </w:rPr>
            </w:pPr>
            <w:r w:rsidRPr="003F00AF">
              <w:rPr>
                <w:rFonts w:eastAsia="Times New Roman"/>
                <w:sz w:val="20"/>
                <w:szCs w:val="20"/>
              </w:rPr>
              <w:t>Environment</w:t>
            </w:r>
          </w:p>
        </w:tc>
      </w:tr>
      <w:tr w:rsidR="00266C85" w:rsidRPr="003F00AF" w14:paraId="5DB7B90E" w14:textId="77777777" w:rsidTr="00266C85">
        <w:trPr>
          <w:trHeight w:val="300"/>
        </w:trPr>
        <w:tc>
          <w:tcPr>
            <w:tcW w:w="1795" w:type="dxa"/>
            <w:shd w:val="clear" w:color="auto" w:fill="auto"/>
            <w:noWrap/>
          </w:tcPr>
          <w:p w14:paraId="7BCDE63A" w14:textId="77777777" w:rsidR="00266C85" w:rsidRPr="003F00AF" w:rsidRDefault="00266C85" w:rsidP="00266C85">
            <w:pPr>
              <w:rPr>
                <w:rFonts w:eastAsia="Times New Roman"/>
                <w:sz w:val="20"/>
                <w:szCs w:val="20"/>
              </w:rPr>
            </w:pPr>
            <w:r w:rsidRPr="003F00AF">
              <w:rPr>
                <w:sz w:val="20"/>
                <w:szCs w:val="20"/>
              </w:rPr>
              <w:t>John Magne Skjelvik</w:t>
            </w:r>
          </w:p>
        </w:tc>
        <w:tc>
          <w:tcPr>
            <w:tcW w:w="3330" w:type="dxa"/>
            <w:shd w:val="clear" w:color="auto" w:fill="auto"/>
            <w:noWrap/>
          </w:tcPr>
          <w:p w14:paraId="250627F9"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78383A52"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202244D7" w14:textId="77777777" w:rsidR="00266C85" w:rsidRPr="003F00AF" w:rsidRDefault="00266C85" w:rsidP="00266C85">
            <w:pPr>
              <w:rPr>
                <w:rFonts w:eastAsia="Times New Roman"/>
                <w:sz w:val="20"/>
                <w:szCs w:val="20"/>
              </w:rPr>
            </w:pPr>
            <w:r w:rsidRPr="003F00AF">
              <w:rPr>
                <w:rFonts w:eastAsia="Times New Roman"/>
                <w:sz w:val="20"/>
                <w:szCs w:val="20"/>
              </w:rPr>
              <w:t>Environment</w:t>
            </w:r>
          </w:p>
        </w:tc>
      </w:tr>
      <w:tr w:rsidR="00266C85" w:rsidRPr="003F00AF" w14:paraId="23AF3284" w14:textId="77777777" w:rsidTr="00266C85">
        <w:trPr>
          <w:trHeight w:val="300"/>
        </w:trPr>
        <w:tc>
          <w:tcPr>
            <w:tcW w:w="1795" w:type="dxa"/>
            <w:shd w:val="clear" w:color="auto" w:fill="auto"/>
            <w:noWrap/>
          </w:tcPr>
          <w:p w14:paraId="6C433CD4" w14:textId="77777777" w:rsidR="00266C85" w:rsidRPr="003F00AF" w:rsidRDefault="00266C85" w:rsidP="00266C85">
            <w:pPr>
              <w:rPr>
                <w:rFonts w:eastAsia="Times New Roman"/>
                <w:sz w:val="20"/>
                <w:szCs w:val="20"/>
              </w:rPr>
            </w:pPr>
            <w:r w:rsidRPr="003F00AF">
              <w:rPr>
                <w:sz w:val="20"/>
                <w:szCs w:val="20"/>
              </w:rPr>
              <w:t>Juan C. Belausteguigoitia</w:t>
            </w:r>
          </w:p>
        </w:tc>
        <w:tc>
          <w:tcPr>
            <w:tcW w:w="3330" w:type="dxa"/>
            <w:shd w:val="clear" w:color="auto" w:fill="auto"/>
            <w:noWrap/>
          </w:tcPr>
          <w:p w14:paraId="6A817CAF" w14:textId="77777777" w:rsidR="00266C85" w:rsidRPr="003F00AF" w:rsidRDefault="00266C85" w:rsidP="00266C85">
            <w:pPr>
              <w:rPr>
                <w:rFonts w:eastAsia="Times New Roman"/>
                <w:sz w:val="20"/>
                <w:szCs w:val="20"/>
              </w:rPr>
            </w:pPr>
            <w:r w:rsidRPr="003F00AF">
              <w:rPr>
                <w:rFonts w:eastAsia="Times New Roman"/>
                <w:sz w:val="20"/>
                <w:szCs w:val="20"/>
              </w:rPr>
              <w:t>Lead Environmental Economist</w:t>
            </w:r>
          </w:p>
        </w:tc>
        <w:tc>
          <w:tcPr>
            <w:tcW w:w="2371" w:type="dxa"/>
            <w:shd w:val="clear" w:color="auto" w:fill="auto"/>
            <w:noWrap/>
          </w:tcPr>
          <w:p w14:paraId="04994688"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073373AD" w14:textId="77777777" w:rsidR="00266C85" w:rsidRPr="003F00AF" w:rsidRDefault="00266C85" w:rsidP="00266C85">
            <w:pPr>
              <w:rPr>
                <w:rFonts w:eastAsia="Times New Roman"/>
                <w:sz w:val="20"/>
                <w:szCs w:val="20"/>
              </w:rPr>
            </w:pPr>
          </w:p>
        </w:tc>
        <w:tc>
          <w:tcPr>
            <w:tcW w:w="2466" w:type="dxa"/>
            <w:shd w:val="clear" w:color="auto" w:fill="auto"/>
            <w:noWrap/>
          </w:tcPr>
          <w:p w14:paraId="5BE96406" w14:textId="77777777" w:rsidR="00266C85" w:rsidRPr="003F00AF" w:rsidRDefault="00266C85" w:rsidP="00266C85">
            <w:pPr>
              <w:rPr>
                <w:rFonts w:eastAsia="Times New Roman"/>
                <w:sz w:val="20"/>
                <w:szCs w:val="20"/>
              </w:rPr>
            </w:pPr>
            <w:r w:rsidRPr="003F00AF">
              <w:rPr>
                <w:rFonts w:eastAsia="Times New Roman"/>
                <w:sz w:val="20"/>
                <w:szCs w:val="20"/>
              </w:rPr>
              <w:t>Task Team Leader</w:t>
            </w:r>
          </w:p>
        </w:tc>
      </w:tr>
      <w:tr w:rsidR="00266C85" w:rsidRPr="003F00AF" w14:paraId="7422686C" w14:textId="77777777" w:rsidTr="00266C85">
        <w:trPr>
          <w:trHeight w:val="300"/>
        </w:trPr>
        <w:tc>
          <w:tcPr>
            <w:tcW w:w="1795" w:type="dxa"/>
            <w:shd w:val="clear" w:color="auto" w:fill="auto"/>
            <w:noWrap/>
          </w:tcPr>
          <w:p w14:paraId="1331C0DB" w14:textId="77777777" w:rsidR="00266C85" w:rsidRPr="003F00AF" w:rsidRDefault="00266C85" w:rsidP="00266C85">
            <w:pPr>
              <w:rPr>
                <w:rFonts w:eastAsia="Times New Roman"/>
                <w:sz w:val="20"/>
                <w:szCs w:val="20"/>
              </w:rPr>
            </w:pPr>
            <w:r w:rsidRPr="003F00AF">
              <w:rPr>
                <w:sz w:val="20"/>
                <w:szCs w:val="20"/>
              </w:rPr>
              <w:t>Juan Jose Miranda Montero</w:t>
            </w:r>
          </w:p>
        </w:tc>
        <w:tc>
          <w:tcPr>
            <w:tcW w:w="3330" w:type="dxa"/>
            <w:shd w:val="clear" w:color="auto" w:fill="auto"/>
            <w:noWrap/>
          </w:tcPr>
          <w:p w14:paraId="76C04F4C" w14:textId="77777777" w:rsidR="00266C85" w:rsidRPr="003F00AF" w:rsidRDefault="00266C85" w:rsidP="00266C85">
            <w:pPr>
              <w:rPr>
                <w:rFonts w:eastAsia="Times New Roman"/>
                <w:sz w:val="20"/>
                <w:szCs w:val="20"/>
              </w:rPr>
            </w:pPr>
            <w:r w:rsidRPr="003F00AF">
              <w:rPr>
                <w:rFonts w:eastAsia="Times New Roman"/>
                <w:sz w:val="20"/>
                <w:szCs w:val="20"/>
              </w:rPr>
              <w:t>Environmental Economist</w:t>
            </w:r>
          </w:p>
        </w:tc>
        <w:tc>
          <w:tcPr>
            <w:tcW w:w="2371" w:type="dxa"/>
            <w:shd w:val="clear" w:color="auto" w:fill="auto"/>
            <w:noWrap/>
          </w:tcPr>
          <w:p w14:paraId="4AAF0A39" w14:textId="77777777" w:rsidR="00266C85" w:rsidRPr="003F00AF" w:rsidRDefault="00266C85" w:rsidP="00266C85">
            <w:pPr>
              <w:rPr>
                <w:rFonts w:eastAsia="Times New Roman"/>
                <w:sz w:val="20"/>
                <w:szCs w:val="20"/>
              </w:rPr>
            </w:pPr>
            <w:r w:rsidRPr="003F00AF">
              <w:rPr>
                <w:rFonts w:eastAsia="Times New Roman"/>
                <w:sz w:val="20"/>
                <w:szCs w:val="20"/>
              </w:rPr>
              <w:t>GENGE</w:t>
            </w:r>
          </w:p>
        </w:tc>
        <w:tc>
          <w:tcPr>
            <w:tcW w:w="2466" w:type="dxa"/>
            <w:shd w:val="clear" w:color="auto" w:fill="auto"/>
            <w:noWrap/>
          </w:tcPr>
          <w:p w14:paraId="38281109" w14:textId="77777777" w:rsidR="00266C85" w:rsidRPr="003F00AF" w:rsidRDefault="00266C85" w:rsidP="00266C85">
            <w:pPr>
              <w:rPr>
                <w:rFonts w:eastAsia="Times New Roman"/>
                <w:sz w:val="20"/>
                <w:szCs w:val="20"/>
              </w:rPr>
            </w:pPr>
            <w:r w:rsidRPr="003F00AF">
              <w:rPr>
                <w:rFonts w:eastAsia="Times New Roman"/>
                <w:sz w:val="20"/>
                <w:szCs w:val="20"/>
              </w:rPr>
              <w:t>Economist</w:t>
            </w:r>
          </w:p>
        </w:tc>
      </w:tr>
      <w:tr w:rsidR="00266C85" w:rsidRPr="003F00AF" w14:paraId="1474335E" w14:textId="77777777" w:rsidTr="00266C85">
        <w:trPr>
          <w:trHeight w:val="300"/>
        </w:trPr>
        <w:tc>
          <w:tcPr>
            <w:tcW w:w="1795" w:type="dxa"/>
            <w:shd w:val="clear" w:color="auto" w:fill="auto"/>
            <w:noWrap/>
          </w:tcPr>
          <w:p w14:paraId="670CF57D" w14:textId="77777777" w:rsidR="00266C85" w:rsidRPr="003F00AF" w:rsidRDefault="00266C85" w:rsidP="00266C85">
            <w:pPr>
              <w:rPr>
                <w:rFonts w:eastAsia="Times New Roman"/>
                <w:sz w:val="20"/>
                <w:szCs w:val="20"/>
              </w:rPr>
            </w:pPr>
            <w:r w:rsidRPr="003F00AF">
              <w:rPr>
                <w:sz w:val="20"/>
                <w:szCs w:val="20"/>
              </w:rPr>
              <w:t>Lourdes Consuelo Linares Loza</w:t>
            </w:r>
          </w:p>
        </w:tc>
        <w:tc>
          <w:tcPr>
            <w:tcW w:w="3330" w:type="dxa"/>
            <w:shd w:val="clear" w:color="auto" w:fill="auto"/>
            <w:noWrap/>
          </w:tcPr>
          <w:p w14:paraId="773298CB" w14:textId="77777777" w:rsidR="00266C85" w:rsidRPr="003F00AF" w:rsidRDefault="00266C85" w:rsidP="00266C85">
            <w:pPr>
              <w:rPr>
                <w:rFonts w:eastAsia="Times New Roman"/>
                <w:sz w:val="20"/>
                <w:szCs w:val="20"/>
              </w:rPr>
            </w:pPr>
            <w:r w:rsidRPr="003F00AF">
              <w:rPr>
                <w:bCs/>
                <w:sz w:val="20"/>
                <w:szCs w:val="20"/>
                <w:lang w:val="en"/>
              </w:rPr>
              <w:t>Senior Financial Management Specialist</w:t>
            </w:r>
          </w:p>
        </w:tc>
        <w:tc>
          <w:tcPr>
            <w:tcW w:w="2371" w:type="dxa"/>
            <w:shd w:val="clear" w:color="auto" w:fill="auto"/>
            <w:noWrap/>
          </w:tcPr>
          <w:p w14:paraId="6B1CA286" w14:textId="77777777" w:rsidR="00266C85" w:rsidRPr="003F00AF" w:rsidRDefault="00266C85" w:rsidP="00266C85">
            <w:pPr>
              <w:rPr>
                <w:rFonts w:eastAsia="Times New Roman"/>
                <w:sz w:val="20"/>
                <w:szCs w:val="20"/>
              </w:rPr>
            </w:pPr>
            <w:r w:rsidRPr="003F00AF">
              <w:rPr>
                <w:rFonts w:eastAsia="Times New Roman"/>
                <w:sz w:val="20"/>
                <w:szCs w:val="20"/>
              </w:rPr>
              <w:t>LCSFM</w:t>
            </w:r>
          </w:p>
          <w:p w14:paraId="4493D568" w14:textId="77777777" w:rsidR="00266C85" w:rsidRPr="003F00AF" w:rsidRDefault="00266C85" w:rsidP="00266C85">
            <w:pPr>
              <w:rPr>
                <w:rFonts w:eastAsia="Times New Roman"/>
                <w:sz w:val="20"/>
                <w:szCs w:val="20"/>
              </w:rPr>
            </w:pPr>
            <w:r w:rsidRPr="003F00AF">
              <w:rPr>
                <w:rFonts w:eastAsia="Times New Roman"/>
                <w:sz w:val="20"/>
                <w:szCs w:val="20"/>
              </w:rPr>
              <w:t>(Currently GGO22)</w:t>
            </w:r>
          </w:p>
        </w:tc>
        <w:tc>
          <w:tcPr>
            <w:tcW w:w="2466" w:type="dxa"/>
            <w:shd w:val="clear" w:color="auto" w:fill="auto"/>
            <w:noWrap/>
          </w:tcPr>
          <w:p w14:paraId="766ED1D1" w14:textId="77777777" w:rsidR="00266C85" w:rsidRPr="003F00AF" w:rsidRDefault="00266C85" w:rsidP="00266C85">
            <w:pPr>
              <w:rPr>
                <w:rFonts w:eastAsia="Times New Roman"/>
                <w:sz w:val="20"/>
                <w:szCs w:val="20"/>
              </w:rPr>
            </w:pPr>
            <w:r w:rsidRPr="003F00AF">
              <w:rPr>
                <w:rFonts w:eastAsia="Times New Roman"/>
                <w:sz w:val="20"/>
                <w:szCs w:val="20"/>
              </w:rPr>
              <w:t>Financial Management</w:t>
            </w:r>
          </w:p>
        </w:tc>
      </w:tr>
      <w:tr w:rsidR="00266C85" w:rsidRPr="003F00AF" w14:paraId="1B4F48FC" w14:textId="77777777" w:rsidTr="00266C85">
        <w:trPr>
          <w:trHeight w:val="300"/>
        </w:trPr>
        <w:tc>
          <w:tcPr>
            <w:tcW w:w="1795" w:type="dxa"/>
            <w:shd w:val="clear" w:color="auto" w:fill="auto"/>
            <w:noWrap/>
          </w:tcPr>
          <w:p w14:paraId="48E35B1D" w14:textId="77777777" w:rsidR="00266C85" w:rsidRPr="003F00AF" w:rsidRDefault="00266C85" w:rsidP="00266C85">
            <w:pPr>
              <w:rPr>
                <w:rFonts w:eastAsia="Times New Roman"/>
                <w:sz w:val="20"/>
                <w:szCs w:val="20"/>
              </w:rPr>
            </w:pPr>
            <w:r w:rsidRPr="003F00AF">
              <w:rPr>
                <w:sz w:val="20"/>
                <w:szCs w:val="20"/>
              </w:rPr>
              <w:t>Maria Chappuis</w:t>
            </w:r>
          </w:p>
        </w:tc>
        <w:tc>
          <w:tcPr>
            <w:tcW w:w="3330" w:type="dxa"/>
            <w:shd w:val="clear" w:color="auto" w:fill="auto"/>
            <w:noWrap/>
          </w:tcPr>
          <w:p w14:paraId="552B49B1"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78B6E330" w14:textId="77777777" w:rsidR="00266C85" w:rsidRPr="003F00AF" w:rsidRDefault="00266C85" w:rsidP="00266C85">
            <w:pPr>
              <w:rPr>
                <w:rFonts w:eastAsia="Times New Roman"/>
                <w:sz w:val="20"/>
                <w:szCs w:val="20"/>
              </w:rPr>
            </w:pPr>
          </w:p>
        </w:tc>
        <w:tc>
          <w:tcPr>
            <w:tcW w:w="2466" w:type="dxa"/>
            <w:shd w:val="clear" w:color="auto" w:fill="auto"/>
            <w:noWrap/>
          </w:tcPr>
          <w:p w14:paraId="1B36AB1D" w14:textId="77777777" w:rsidR="00266C85" w:rsidRPr="003F00AF" w:rsidRDefault="00266C85" w:rsidP="00266C85">
            <w:pPr>
              <w:rPr>
                <w:rFonts w:eastAsia="Times New Roman"/>
                <w:sz w:val="20"/>
                <w:szCs w:val="20"/>
              </w:rPr>
            </w:pPr>
            <w:r w:rsidRPr="003F00AF">
              <w:rPr>
                <w:rFonts w:eastAsia="Times New Roman"/>
                <w:sz w:val="20"/>
                <w:szCs w:val="20"/>
              </w:rPr>
              <w:t>Mining</w:t>
            </w:r>
          </w:p>
        </w:tc>
      </w:tr>
      <w:tr w:rsidR="00266C85" w:rsidRPr="003F00AF" w14:paraId="4C9DB8A5" w14:textId="77777777" w:rsidTr="00266C85">
        <w:trPr>
          <w:trHeight w:val="300"/>
        </w:trPr>
        <w:tc>
          <w:tcPr>
            <w:tcW w:w="1795" w:type="dxa"/>
            <w:shd w:val="clear" w:color="auto" w:fill="auto"/>
            <w:noWrap/>
          </w:tcPr>
          <w:p w14:paraId="4BAFB008" w14:textId="77777777" w:rsidR="00266C85" w:rsidRPr="003F00AF" w:rsidRDefault="00266C85" w:rsidP="00266C85">
            <w:pPr>
              <w:rPr>
                <w:rFonts w:eastAsia="Times New Roman"/>
                <w:sz w:val="20"/>
                <w:szCs w:val="20"/>
              </w:rPr>
            </w:pPr>
            <w:r w:rsidRPr="003F00AF">
              <w:rPr>
                <w:sz w:val="20"/>
                <w:szCs w:val="20"/>
              </w:rPr>
              <w:t>Michel Kerf</w:t>
            </w:r>
          </w:p>
        </w:tc>
        <w:tc>
          <w:tcPr>
            <w:tcW w:w="3330" w:type="dxa"/>
            <w:shd w:val="clear" w:color="auto" w:fill="auto"/>
            <w:noWrap/>
          </w:tcPr>
          <w:p w14:paraId="2E00FD7F" w14:textId="77777777" w:rsidR="00266C85" w:rsidRPr="003F00AF" w:rsidRDefault="00266C85" w:rsidP="00266C85">
            <w:pPr>
              <w:rPr>
                <w:rFonts w:eastAsia="Times New Roman"/>
                <w:sz w:val="20"/>
                <w:szCs w:val="20"/>
              </w:rPr>
            </w:pPr>
            <w:r w:rsidRPr="003F00AF">
              <w:rPr>
                <w:rFonts w:eastAsia="Times New Roman"/>
                <w:sz w:val="20"/>
                <w:szCs w:val="20"/>
              </w:rPr>
              <w:t>Sector Leader</w:t>
            </w:r>
          </w:p>
          <w:p w14:paraId="7709BBC3" w14:textId="77777777" w:rsidR="00266C85" w:rsidRPr="003F00AF" w:rsidRDefault="00266C85" w:rsidP="00266C85">
            <w:pPr>
              <w:rPr>
                <w:rFonts w:eastAsia="Times New Roman"/>
                <w:sz w:val="20"/>
                <w:szCs w:val="20"/>
              </w:rPr>
            </w:pPr>
            <w:r w:rsidRPr="003F00AF">
              <w:rPr>
                <w:rFonts w:eastAsia="Times New Roman"/>
                <w:sz w:val="20"/>
                <w:szCs w:val="20"/>
              </w:rPr>
              <w:t>(Currently: Practice Manager)</w:t>
            </w:r>
          </w:p>
          <w:p w14:paraId="4B7524BF" w14:textId="77777777" w:rsidR="00266C85" w:rsidRPr="003F00AF" w:rsidRDefault="00266C85" w:rsidP="00266C85">
            <w:pPr>
              <w:rPr>
                <w:rFonts w:eastAsia="Times New Roman"/>
                <w:sz w:val="20"/>
                <w:szCs w:val="20"/>
              </w:rPr>
            </w:pPr>
          </w:p>
        </w:tc>
        <w:tc>
          <w:tcPr>
            <w:tcW w:w="2371" w:type="dxa"/>
            <w:shd w:val="clear" w:color="auto" w:fill="auto"/>
            <w:noWrap/>
          </w:tcPr>
          <w:p w14:paraId="680F856E" w14:textId="77777777" w:rsidR="00266C85" w:rsidRPr="003F00AF" w:rsidRDefault="00266C85" w:rsidP="00266C85">
            <w:pPr>
              <w:rPr>
                <w:rFonts w:eastAsia="Times New Roman"/>
                <w:sz w:val="20"/>
                <w:szCs w:val="20"/>
              </w:rPr>
            </w:pPr>
            <w:r w:rsidRPr="003F00AF">
              <w:rPr>
                <w:rFonts w:eastAsia="Times New Roman"/>
                <w:sz w:val="20"/>
                <w:szCs w:val="20"/>
              </w:rPr>
              <w:t>LCSSD</w:t>
            </w:r>
          </w:p>
          <w:p w14:paraId="367EC931" w14:textId="77777777" w:rsidR="00266C85" w:rsidRPr="003F00AF" w:rsidRDefault="00266C85" w:rsidP="00266C85">
            <w:pPr>
              <w:rPr>
                <w:rFonts w:eastAsia="Times New Roman"/>
                <w:sz w:val="20"/>
                <w:szCs w:val="20"/>
              </w:rPr>
            </w:pPr>
            <w:r w:rsidRPr="003F00AF">
              <w:rPr>
                <w:rFonts w:eastAsia="Times New Roman"/>
                <w:sz w:val="20"/>
                <w:szCs w:val="20"/>
              </w:rPr>
              <w:t>(GTI02)</w:t>
            </w:r>
          </w:p>
        </w:tc>
        <w:tc>
          <w:tcPr>
            <w:tcW w:w="2466" w:type="dxa"/>
            <w:shd w:val="clear" w:color="auto" w:fill="auto"/>
            <w:noWrap/>
          </w:tcPr>
          <w:p w14:paraId="38F93CC9" w14:textId="77777777" w:rsidR="00266C85" w:rsidRPr="003F00AF" w:rsidRDefault="00266C85" w:rsidP="00266C85">
            <w:pPr>
              <w:rPr>
                <w:rFonts w:eastAsia="Times New Roman"/>
                <w:sz w:val="20"/>
                <w:szCs w:val="20"/>
              </w:rPr>
            </w:pPr>
            <w:r w:rsidRPr="003F00AF">
              <w:rPr>
                <w:rFonts w:eastAsia="Times New Roman"/>
                <w:sz w:val="20"/>
                <w:szCs w:val="20"/>
              </w:rPr>
              <w:t>Sector Leader</w:t>
            </w:r>
          </w:p>
        </w:tc>
      </w:tr>
      <w:tr w:rsidR="00266C85" w:rsidRPr="003F00AF" w14:paraId="34F26D31" w14:textId="77777777" w:rsidTr="00266C85">
        <w:trPr>
          <w:trHeight w:val="300"/>
        </w:trPr>
        <w:tc>
          <w:tcPr>
            <w:tcW w:w="1795" w:type="dxa"/>
            <w:shd w:val="clear" w:color="auto" w:fill="auto"/>
            <w:noWrap/>
          </w:tcPr>
          <w:p w14:paraId="59C172AC" w14:textId="77777777" w:rsidR="00266C85" w:rsidRPr="003F00AF" w:rsidRDefault="00266C85" w:rsidP="00266C85">
            <w:pPr>
              <w:rPr>
                <w:sz w:val="20"/>
                <w:szCs w:val="20"/>
                <w:lang w:val="es-CO"/>
              </w:rPr>
            </w:pPr>
            <w:r w:rsidRPr="003F00AF">
              <w:rPr>
                <w:sz w:val="20"/>
                <w:szCs w:val="20"/>
                <w:lang w:val="es-CO"/>
              </w:rPr>
              <w:t>Patricia de la Fuente Hoyes</w:t>
            </w:r>
          </w:p>
        </w:tc>
        <w:tc>
          <w:tcPr>
            <w:tcW w:w="3330" w:type="dxa"/>
            <w:shd w:val="clear" w:color="auto" w:fill="auto"/>
            <w:noWrap/>
          </w:tcPr>
          <w:p w14:paraId="6D591D6D" w14:textId="77777777" w:rsidR="00266C85" w:rsidRPr="003F00AF" w:rsidRDefault="00266C85" w:rsidP="00266C85">
            <w:pPr>
              <w:rPr>
                <w:bCs/>
                <w:sz w:val="20"/>
                <w:szCs w:val="20"/>
                <w:lang w:val="en"/>
              </w:rPr>
            </w:pPr>
            <w:r w:rsidRPr="003F00AF">
              <w:rPr>
                <w:bCs/>
                <w:sz w:val="20"/>
                <w:szCs w:val="20"/>
                <w:lang w:val="en"/>
              </w:rPr>
              <w:t>Senior Finance Officer</w:t>
            </w:r>
          </w:p>
          <w:p w14:paraId="0ECAE2D9" w14:textId="77777777" w:rsidR="00266C85" w:rsidRPr="003F00AF" w:rsidRDefault="00266C85" w:rsidP="00266C85">
            <w:pPr>
              <w:rPr>
                <w:bCs/>
                <w:sz w:val="20"/>
                <w:szCs w:val="20"/>
              </w:rPr>
            </w:pPr>
            <w:r w:rsidRPr="003F00AF">
              <w:rPr>
                <w:bCs/>
                <w:sz w:val="20"/>
                <w:szCs w:val="20"/>
                <w:lang w:val="en"/>
              </w:rPr>
              <w:t>(Currently Senior Financial Management Specialist)</w:t>
            </w:r>
          </w:p>
        </w:tc>
        <w:tc>
          <w:tcPr>
            <w:tcW w:w="2371" w:type="dxa"/>
            <w:shd w:val="clear" w:color="auto" w:fill="auto"/>
            <w:noWrap/>
          </w:tcPr>
          <w:p w14:paraId="186D693D" w14:textId="77777777" w:rsidR="00266C85" w:rsidRPr="003F00AF" w:rsidRDefault="00266C85" w:rsidP="00266C85">
            <w:pPr>
              <w:rPr>
                <w:rFonts w:eastAsiaTheme="minorHAnsi"/>
                <w:sz w:val="20"/>
                <w:szCs w:val="20"/>
                <w:lang w:eastAsia="en-US"/>
              </w:rPr>
            </w:pPr>
            <w:r w:rsidRPr="003F00AF">
              <w:rPr>
                <w:rFonts w:eastAsiaTheme="minorHAnsi"/>
                <w:sz w:val="20"/>
                <w:szCs w:val="20"/>
                <w:lang w:eastAsia="en-US"/>
              </w:rPr>
              <w:t>LOAFC</w:t>
            </w:r>
          </w:p>
          <w:p w14:paraId="386B0ACC" w14:textId="77777777" w:rsidR="00266C85" w:rsidRPr="003F00AF" w:rsidRDefault="00266C85" w:rsidP="00266C85">
            <w:pPr>
              <w:rPr>
                <w:rFonts w:eastAsia="Times New Roman"/>
                <w:sz w:val="20"/>
                <w:szCs w:val="20"/>
                <w:lang w:val="es-CO"/>
              </w:rPr>
            </w:pPr>
            <w:r w:rsidRPr="003F00AF">
              <w:rPr>
                <w:rFonts w:eastAsiaTheme="minorHAnsi"/>
                <w:sz w:val="20"/>
                <w:szCs w:val="20"/>
                <w:lang w:eastAsia="en-US"/>
              </w:rPr>
              <w:t xml:space="preserve">(Currently </w:t>
            </w:r>
            <w:r w:rsidRPr="003F00AF">
              <w:rPr>
                <w:rFonts w:eastAsia="Times New Roman"/>
                <w:sz w:val="20"/>
                <w:szCs w:val="20"/>
              </w:rPr>
              <w:t>GGO22)</w:t>
            </w:r>
          </w:p>
        </w:tc>
        <w:tc>
          <w:tcPr>
            <w:tcW w:w="2466" w:type="dxa"/>
            <w:shd w:val="clear" w:color="auto" w:fill="auto"/>
            <w:noWrap/>
          </w:tcPr>
          <w:p w14:paraId="7D8A1271" w14:textId="77777777" w:rsidR="00266C85" w:rsidRPr="003F00AF" w:rsidRDefault="00266C85" w:rsidP="00266C85">
            <w:pPr>
              <w:rPr>
                <w:rFonts w:eastAsia="Times New Roman"/>
                <w:sz w:val="20"/>
                <w:szCs w:val="20"/>
                <w:lang w:val="es-CO"/>
              </w:rPr>
            </w:pPr>
            <w:r w:rsidRPr="003F00AF">
              <w:rPr>
                <w:rFonts w:eastAsia="Times New Roman"/>
                <w:sz w:val="20"/>
                <w:szCs w:val="20"/>
                <w:lang w:val="es-CO"/>
              </w:rPr>
              <w:t>Loan</w:t>
            </w:r>
          </w:p>
        </w:tc>
      </w:tr>
      <w:tr w:rsidR="00266C85" w:rsidRPr="003F00AF" w14:paraId="63018CFB" w14:textId="77777777" w:rsidTr="00266C85">
        <w:trPr>
          <w:trHeight w:val="300"/>
        </w:trPr>
        <w:tc>
          <w:tcPr>
            <w:tcW w:w="1795" w:type="dxa"/>
            <w:shd w:val="clear" w:color="auto" w:fill="auto"/>
            <w:noWrap/>
          </w:tcPr>
          <w:p w14:paraId="5353B941" w14:textId="77777777" w:rsidR="00266C85" w:rsidRPr="003F00AF" w:rsidRDefault="00266C85" w:rsidP="00266C85">
            <w:pPr>
              <w:rPr>
                <w:rFonts w:eastAsia="Times New Roman"/>
                <w:sz w:val="20"/>
                <w:szCs w:val="20"/>
              </w:rPr>
            </w:pPr>
            <w:r w:rsidRPr="003F00AF">
              <w:rPr>
                <w:sz w:val="20"/>
                <w:szCs w:val="20"/>
              </w:rPr>
              <w:t>Peter Davis</w:t>
            </w:r>
          </w:p>
        </w:tc>
        <w:tc>
          <w:tcPr>
            <w:tcW w:w="3330" w:type="dxa"/>
            <w:shd w:val="clear" w:color="auto" w:fill="auto"/>
            <w:noWrap/>
          </w:tcPr>
          <w:p w14:paraId="4DF6E541" w14:textId="77777777" w:rsidR="00266C85" w:rsidRPr="003F00AF" w:rsidRDefault="00266C85" w:rsidP="00266C85">
            <w:pPr>
              <w:rPr>
                <w:rFonts w:eastAsia="Times New Roman"/>
                <w:sz w:val="20"/>
                <w:szCs w:val="20"/>
              </w:rPr>
            </w:pPr>
            <w:r w:rsidRPr="003F00AF">
              <w:rPr>
                <w:rFonts w:eastAsia="Times New Roman"/>
                <w:sz w:val="20"/>
                <w:szCs w:val="20"/>
              </w:rPr>
              <w:t>Consultant</w:t>
            </w:r>
          </w:p>
        </w:tc>
        <w:tc>
          <w:tcPr>
            <w:tcW w:w="2371" w:type="dxa"/>
            <w:shd w:val="clear" w:color="auto" w:fill="auto"/>
            <w:noWrap/>
          </w:tcPr>
          <w:p w14:paraId="13C5C502" w14:textId="77777777" w:rsidR="00266C85" w:rsidRPr="003F00AF" w:rsidRDefault="00266C85" w:rsidP="00266C85">
            <w:pPr>
              <w:rPr>
                <w:rFonts w:eastAsia="Times New Roman"/>
                <w:sz w:val="20"/>
                <w:szCs w:val="20"/>
              </w:rPr>
            </w:pPr>
            <w:r w:rsidRPr="003F00AF">
              <w:rPr>
                <w:rFonts w:eastAsia="Times New Roman"/>
                <w:sz w:val="20"/>
                <w:szCs w:val="20"/>
              </w:rPr>
              <w:t>LCSEN</w:t>
            </w:r>
          </w:p>
        </w:tc>
        <w:tc>
          <w:tcPr>
            <w:tcW w:w="2466" w:type="dxa"/>
            <w:shd w:val="clear" w:color="auto" w:fill="auto"/>
            <w:noWrap/>
          </w:tcPr>
          <w:p w14:paraId="2523A1C3" w14:textId="77777777" w:rsidR="00266C85" w:rsidRPr="003F00AF" w:rsidRDefault="00266C85" w:rsidP="00266C85">
            <w:pPr>
              <w:rPr>
                <w:rFonts w:eastAsia="Times New Roman"/>
                <w:sz w:val="20"/>
                <w:szCs w:val="20"/>
              </w:rPr>
            </w:pPr>
            <w:r w:rsidRPr="003F00AF">
              <w:rPr>
                <w:rFonts w:eastAsia="Times New Roman"/>
                <w:sz w:val="20"/>
                <w:szCs w:val="20"/>
              </w:rPr>
              <w:t>Transport</w:t>
            </w:r>
          </w:p>
        </w:tc>
      </w:tr>
      <w:tr w:rsidR="00266C85" w:rsidRPr="003F00AF" w14:paraId="1B335773" w14:textId="77777777" w:rsidTr="00266C85">
        <w:trPr>
          <w:trHeight w:val="300"/>
        </w:trPr>
        <w:tc>
          <w:tcPr>
            <w:tcW w:w="1795" w:type="dxa"/>
            <w:shd w:val="clear" w:color="auto" w:fill="auto"/>
            <w:noWrap/>
          </w:tcPr>
          <w:p w14:paraId="4D8A5C8A" w14:textId="77777777" w:rsidR="00266C85" w:rsidRPr="003F00AF" w:rsidRDefault="00266C85" w:rsidP="00266C85">
            <w:pPr>
              <w:rPr>
                <w:rFonts w:eastAsia="Times New Roman"/>
                <w:sz w:val="20"/>
                <w:szCs w:val="20"/>
              </w:rPr>
            </w:pPr>
            <w:r w:rsidRPr="003F00AF">
              <w:rPr>
                <w:sz w:val="20"/>
                <w:szCs w:val="20"/>
              </w:rPr>
              <w:t>Momoe Kanada</w:t>
            </w:r>
          </w:p>
        </w:tc>
        <w:tc>
          <w:tcPr>
            <w:tcW w:w="3330" w:type="dxa"/>
            <w:shd w:val="clear" w:color="auto" w:fill="auto"/>
            <w:noWrap/>
          </w:tcPr>
          <w:p w14:paraId="500CEE6D" w14:textId="77777777" w:rsidR="00266C85" w:rsidRPr="003F00AF" w:rsidRDefault="00266C85" w:rsidP="00266C85">
            <w:pPr>
              <w:rPr>
                <w:rFonts w:eastAsia="Times New Roman"/>
                <w:sz w:val="20"/>
                <w:szCs w:val="20"/>
              </w:rPr>
            </w:pPr>
            <w:r w:rsidRPr="003F00AF">
              <w:rPr>
                <w:rFonts w:eastAsia="Times New Roman"/>
                <w:sz w:val="20"/>
                <w:szCs w:val="20"/>
              </w:rPr>
              <w:t>Junior Professional Officer</w:t>
            </w:r>
          </w:p>
          <w:p w14:paraId="1B23B2B4" w14:textId="77777777" w:rsidR="00266C85" w:rsidRPr="003F00AF" w:rsidRDefault="00266C85" w:rsidP="00266C85">
            <w:pPr>
              <w:rPr>
                <w:rFonts w:eastAsia="Times New Roman"/>
                <w:sz w:val="20"/>
                <w:szCs w:val="20"/>
              </w:rPr>
            </w:pPr>
            <w:r w:rsidRPr="003F00AF">
              <w:rPr>
                <w:rFonts w:eastAsia="Times New Roman"/>
                <w:sz w:val="20"/>
                <w:szCs w:val="20"/>
              </w:rPr>
              <w:t>(Currently Consultant)</w:t>
            </w:r>
          </w:p>
        </w:tc>
        <w:tc>
          <w:tcPr>
            <w:tcW w:w="2371" w:type="dxa"/>
            <w:shd w:val="clear" w:color="auto" w:fill="auto"/>
            <w:noWrap/>
          </w:tcPr>
          <w:p w14:paraId="438B5478" w14:textId="77777777" w:rsidR="00266C85" w:rsidRPr="003F00AF" w:rsidRDefault="00266C85" w:rsidP="00266C85">
            <w:pPr>
              <w:rPr>
                <w:rFonts w:eastAsia="Times New Roman"/>
                <w:sz w:val="20"/>
                <w:szCs w:val="20"/>
              </w:rPr>
            </w:pPr>
            <w:r w:rsidRPr="003F00AF">
              <w:rPr>
                <w:rFonts w:eastAsia="Times New Roman"/>
                <w:sz w:val="20"/>
                <w:szCs w:val="20"/>
              </w:rPr>
              <w:t>LCSEN</w:t>
            </w:r>
          </w:p>
          <w:p w14:paraId="53345875" w14:textId="77777777" w:rsidR="00266C85" w:rsidRPr="003F00AF" w:rsidRDefault="00266C85" w:rsidP="00266C85">
            <w:pPr>
              <w:rPr>
                <w:rFonts w:eastAsia="Times New Roman"/>
                <w:sz w:val="20"/>
                <w:szCs w:val="20"/>
              </w:rPr>
            </w:pPr>
            <w:r w:rsidRPr="003F00AF">
              <w:rPr>
                <w:rFonts w:eastAsia="Times New Roman"/>
                <w:sz w:val="20"/>
                <w:szCs w:val="20"/>
              </w:rPr>
              <w:t>(Currently GENGE)</w:t>
            </w:r>
          </w:p>
        </w:tc>
        <w:tc>
          <w:tcPr>
            <w:tcW w:w="2466" w:type="dxa"/>
            <w:shd w:val="clear" w:color="auto" w:fill="auto"/>
            <w:noWrap/>
          </w:tcPr>
          <w:p w14:paraId="1A326AAE" w14:textId="77777777" w:rsidR="00266C85" w:rsidRPr="003F00AF" w:rsidRDefault="00266C85" w:rsidP="00266C85">
            <w:pPr>
              <w:rPr>
                <w:rFonts w:eastAsia="Times New Roman"/>
                <w:sz w:val="20"/>
                <w:szCs w:val="20"/>
              </w:rPr>
            </w:pPr>
            <w:r w:rsidRPr="003F00AF">
              <w:rPr>
                <w:rFonts w:eastAsia="Times New Roman"/>
                <w:sz w:val="20"/>
                <w:szCs w:val="20"/>
              </w:rPr>
              <w:t>Environment</w:t>
            </w:r>
          </w:p>
        </w:tc>
      </w:tr>
      <w:tr w:rsidR="00266C85" w:rsidRPr="003F00AF" w14:paraId="33A66591" w14:textId="77777777" w:rsidTr="00266C85">
        <w:trPr>
          <w:trHeight w:val="300"/>
        </w:trPr>
        <w:tc>
          <w:tcPr>
            <w:tcW w:w="1795" w:type="dxa"/>
            <w:shd w:val="clear" w:color="auto" w:fill="auto"/>
            <w:noWrap/>
          </w:tcPr>
          <w:p w14:paraId="1BAEA022" w14:textId="77777777" w:rsidR="00266C85" w:rsidRPr="003F00AF" w:rsidRDefault="00266C85" w:rsidP="00266C85">
            <w:pPr>
              <w:rPr>
                <w:sz w:val="20"/>
                <w:szCs w:val="20"/>
              </w:rPr>
            </w:pPr>
            <w:r w:rsidRPr="003F00AF">
              <w:rPr>
                <w:sz w:val="20"/>
                <w:szCs w:val="20"/>
              </w:rPr>
              <w:t>Oscar Calvo-Gonzalez</w:t>
            </w:r>
          </w:p>
        </w:tc>
        <w:tc>
          <w:tcPr>
            <w:tcW w:w="3330" w:type="dxa"/>
            <w:shd w:val="clear" w:color="auto" w:fill="auto"/>
            <w:noWrap/>
          </w:tcPr>
          <w:p w14:paraId="15420B86" w14:textId="77777777" w:rsidR="00266C85" w:rsidRPr="003F00AF" w:rsidRDefault="00266C85" w:rsidP="00266C85">
            <w:pPr>
              <w:rPr>
                <w:bCs/>
                <w:sz w:val="20"/>
                <w:szCs w:val="20"/>
                <w:lang w:val="en"/>
              </w:rPr>
            </w:pPr>
            <w:r w:rsidRPr="003F00AF">
              <w:rPr>
                <w:bCs/>
                <w:sz w:val="20"/>
                <w:szCs w:val="20"/>
                <w:lang w:val="en"/>
              </w:rPr>
              <w:t>Economist</w:t>
            </w:r>
          </w:p>
          <w:p w14:paraId="21C0DEFC" w14:textId="77777777" w:rsidR="00266C85" w:rsidRPr="003F00AF" w:rsidRDefault="00266C85" w:rsidP="00266C85">
            <w:pPr>
              <w:rPr>
                <w:bCs/>
                <w:sz w:val="20"/>
                <w:szCs w:val="20"/>
                <w:lang w:val="en"/>
              </w:rPr>
            </w:pPr>
            <w:r w:rsidRPr="003F00AF">
              <w:rPr>
                <w:bCs/>
                <w:sz w:val="20"/>
                <w:szCs w:val="20"/>
                <w:lang w:val="en"/>
              </w:rPr>
              <w:t>(Currently Practice Manager)</w:t>
            </w:r>
          </w:p>
        </w:tc>
        <w:tc>
          <w:tcPr>
            <w:tcW w:w="2371" w:type="dxa"/>
            <w:shd w:val="clear" w:color="auto" w:fill="auto"/>
            <w:noWrap/>
          </w:tcPr>
          <w:p w14:paraId="7F373213" w14:textId="77777777" w:rsidR="00266C85" w:rsidRPr="003F00AF" w:rsidRDefault="00266C85" w:rsidP="00266C85">
            <w:pPr>
              <w:rPr>
                <w:rFonts w:eastAsia="Times New Roman"/>
                <w:sz w:val="20"/>
                <w:szCs w:val="20"/>
              </w:rPr>
            </w:pPr>
            <w:r w:rsidRPr="003F00AF">
              <w:rPr>
                <w:rFonts w:eastAsia="Times New Roman"/>
                <w:sz w:val="20"/>
                <w:szCs w:val="20"/>
              </w:rPr>
              <w:t>LCSPE</w:t>
            </w:r>
          </w:p>
          <w:p w14:paraId="0388FC84" w14:textId="77777777" w:rsidR="00266C85" w:rsidRPr="003F00AF" w:rsidRDefault="00266C85" w:rsidP="00266C85">
            <w:pPr>
              <w:rPr>
                <w:rFonts w:eastAsia="Times New Roman"/>
                <w:sz w:val="20"/>
                <w:szCs w:val="20"/>
              </w:rPr>
            </w:pPr>
            <w:r w:rsidRPr="003F00AF">
              <w:rPr>
                <w:rFonts w:eastAsia="Times New Roman"/>
                <w:sz w:val="20"/>
                <w:szCs w:val="20"/>
              </w:rPr>
              <w:t>(Currently GPV04)</w:t>
            </w:r>
          </w:p>
        </w:tc>
        <w:tc>
          <w:tcPr>
            <w:tcW w:w="2466" w:type="dxa"/>
            <w:shd w:val="clear" w:color="auto" w:fill="auto"/>
            <w:noWrap/>
          </w:tcPr>
          <w:p w14:paraId="394BFFF0" w14:textId="77777777" w:rsidR="00266C85" w:rsidRPr="003F00AF" w:rsidRDefault="00266C85" w:rsidP="00266C85">
            <w:pPr>
              <w:rPr>
                <w:rFonts w:eastAsia="Times New Roman"/>
                <w:sz w:val="20"/>
                <w:szCs w:val="20"/>
              </w:rPr>
            </w:pPr>
            <w:r w:rsidRPr="003F00AF">
              <w:rPr>
                <w:rFonts w:eastAsia="Times New Roman"/>
                <w:sz w:val="20"/>
                <w:szCs w:val="20"/>
              </w:rPr>
              <w:t>Economics</w:t>
            </w:r>
          </w:p>
        </w:tc>
      </w:tr>
      <w:tr w:rsidR="00266C85" w:rsidRPr="003F00AF" w14:paraId="7A54128A" w14:textId="77777777" w:rsidTr="00266C85">
        <w:trPr>
          <w:trHeight w:val="300"/>
        </w:trPr>
        <w:tc>
          <w:tcPr>
            <w:tcW w:w="1795" w:type="dxa"/>
            <w:shd w:val="clear" w:color="auto" w:fill="auto"/>
            <w:noWrap/>
          </w:tcPr>
          <w:p w14:paraId="11933B2E" w14:textId="77777777" w:rsidR="00266C85" w:rsidRPr="003F00AF" w:rsidRDefault="00266C85" w:rsidP="00266C85">
            <w:pPr>
              <w:rPr>
                <w:rFonts w:eastAsia="Times New Roman"/>
                <w:sz w:val="20"/>
                <w:szCs w:val="20"/>
              </w:rPr>
            </w:pPr>
            <w:r w:rsidRPr="003F00AF">
              <w:rPr>
                <w:sz w:val="20"/>
                <w:szCs w:val="20"/>
              </w:rPr>
              <w:t>Raul Tolmos</w:t>
            </w:r>
          </w:p>
        </w:tc>
        <w:tc>
          <w:tcPr>
            <w:tcW w:w="3330" w:type="dxa"/>
            <w:shd w:val="clear" w:color="auto" w:fill="auto"/>
            <w:noWrap/>
          </w:tcPr>
          <w:p w14:paraId="5851FC79" w14:textId="77777777" w:rsidR="00266C85" w:rsidRPr="003F00AF" w:rsidRDefault="00266C85" w:rsidP="00266C85">
            <w:pPr>
              <w:rPr>
                <w:rFonts w:eastAsia="Times New Roman"/>
                <w:sz w:val="20"/>
                <w:szCs w:val="20"/>
              </w:rPr>
            </w:pPr>
            <w:r w:rsidRPr="003F00AF">
              <w:rPr>
                <w:rFonts w:eastAsia="Times New Roman"/>
                <w:sz w:val="20"/>
                <w:szCs w:val="20"/>
              </w:rPr>
              <w:t>Environmental Specialist</w:t>
            </w:r>
          </w:p>
        </w:tc>
        <w:tc>
          <w:tcPr>
            <w:tcW w:w="2371" w:type="dxa"/>
            <w:shd w:val="clear" w:color="auto" w:fill="auto"/>
            <w:noWrap/>
          </w:tcPr>
          <w:p w14:paraId="5C4F809A"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71057B32" w14:textId="77777777" w:rsidR="00266C85" w:rsidRPr="003F00AF" w:rsidRDefault="00266C85" w:rsidP="00266C85">
            <w:pPr>
              <w:rPr>
                <w:rFonts w:eastAsia="Times New Roman"/>
                <w:sz w:val="20"/>
                <w:szCs w:val="20"/>
              </w:rPr>
            </w:pPr>
            <w:r w:rsidRPr="003F00AF">
              <w:rPr>
                <w:rFonts w:eastAsia="Times New Roman"/>
                <w:sz w:val="20"/>
                <w:szCs w:val="20"/>
              </w:rPr>
              <w:t>Environment/Safeguards</w:t>
            </w:r>
          </w:p>
        </w:tc>
      </w:tr>
      <w:tr w:rsidR="00266C85" w:rsidRPr="003F00AF" w14:paraId="6D6AA1BB" w14:textId="77777777" w:rsidTr="00266C85">
        <w:trPr>
          <w:trHeight w:val="300"/>
        </w:trPr>
        <w:tc>
          <w:tcPr>
            <w:tcW w:w="1795" w:type="dxa"/>
            <w:shd w:val="clear" w:color="auto" w:fill="auto"/>
            <w:noWrap/>
          </w:tcPr>
          <w:p w14:paraId="06582F33" w14:textId="77777777" w:rsidR="00266C85" w:rsidRPr="003F00AF" w:rsidRDefault="00266C85" w:rsidP="00266C85">
            <w:pPr>
              <w:rPr>
                <w:rFonts w:eastAsia="Times New Roman"/>
                <w:sz w:val="20"/>
                <w:szCs w:val="20"/>
              </w:rPr>
            </w:pPr>
            <w:r w:rsidRPr="003F00AF">
              <w:rPr>
                <w:sz w:val="20"/>
                <w:szCs w:val="20"/>
              </w:rPr>
              <w:t>Renan Alberto Poveda</w:t>
            </w:r>
          </w:p>
        </w:tc>
        <w:tc>
          <w:tcPr>
            <w:tcW w:w="3330" w:type="dxa"/>
            <w:shd w:val="clear" w:color="auto" w:fill="auto"/>
            <w:noWrap/>
          </w:tcPr>
          <w:p w14:paraId="00175CC5" w14:textId="77777777" w:rsidR="00266C85" w:rsidRPr="003F00AF" w:rsidRDefault="00266C85" w:rsidP="00266C85">
            <w:pPr>
              <w:rPr>
                <w:rFonts w:eastAsia="Times New Roman"/>
                <w:sz w:val="20"/>
                <w:szCs w:val="20"/>
              </w:rPr>
            </w:pPr>
            <w:r w:rsidRPr="003F00AF">
              <w:rPr>
                <w:rFonts w:eastAsia="Times New Roman"/>
                <w:sz w:val="20"/>
                <w:szCs w:val="20"/>
              </w:rPr>
              <w:t>Senior Environmental Specialist</w:t>
            </w:r>
          </w:p>
        </w:tc>
        <w:tc>
          <w:tcPr>
            <w:tcW w:w="2371" w:type="dxa"/>
            <w:shd w:val="clear" w:color="auto" w:fill="auto"/>
            <w:noWrap/>
          </w:tcPr>
          <w:p w14:paraId="1B4EAF9C"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34B3B66F" w14:textId="77777777" w:rsidR="00266C85" w:rsidRPr="003F00AF" w:rsidRDefault="00266C85" w:rsidP="00266C85">
            <w:pPr>
              <w:rPr>
                <w:rFonts w:eastAsia="Times New Roman"/>
                <w:sz w:val="20"/>
                <w:szCs w:val="20"/>
              </w:rPr>
            </w:pPr>
            <w:r w:rsidRPr="003F00AF">
              <w:rPr>
                <w:rFonts w:eastAsia="Times New Roman"/>
                <w:sz w:val="20"/>
                <w:szCs w:val="20"/>
              </w:rPr>
              <w:t>Environment</w:t>
            </w:r>
          </w:p>
        </w:tc>
      </w:tr>
      <w:tr w:rsidR="00266C85" w:rsidRPr="003F00AF" w14:paraId="78743BA3" w14:textId="77777777" w:rsidTr="00266C85">
        <w:trPr>
          <w:trHeight w:val="300"/>
        </w:trPr>
        <w:tc>
          <w:tcPr>
            <w:tcW w:w="1795" w:type="dxa"/>
            <w:shd w:val="clear" w:color="auto" w:fill="auto"/>
            <w:noWrap/>
          </w:tcPr>
          <w:p w14:paraId="2ECB61DE" w14:textId="77777777" w:rsidR="00266C85" w:rsidRPr="003F00AF" w:rsidRDefault="00266C85" w:rsidP="00266C85">
            <w:pPr>
              <w:rPr>
                <w:rFonts w:eastAsia="Times New Roman"/>
                <w:sz w:val="20"/>
                <w:szCs w:val="20"/>
              </w:rPr>
            </w:pPr>
            <w:r w:rsidRPr="003F00AF">
              <w:rPr>
                <w:sz w:val="20"/>
                <w:szCs w:val="20"/>
              </w:rPr>
              <w:t>Sameer Akbar</w:t>
            </w:r>
          </w:p>
        </w:tc>
        <w:tc>
          <w:tcPr>
            <w:tcW w:w="3330" w:type="dxa"/>
            <w:shd w:val="clear" w:color="auto" w:fill="auto"/>
            <w:noWrap/>
          </w:tcPr>
          <w:p w14:paraId="4B7660E2" w14:textId="77777777" w:rsidR="00266C85" w:rsidRPr="003F00AF" w:rsidRDefault="00266C85" w:rsidP="00266C85">
            <w:pPr>
              <w:rPr>
                <w:rFonts w:eastAsia="Times New Roman"/>
                <w:sz w:val="20"/>
                <w:szCs w:val="20"/>
              </w:rPr>
            </w:pPr>
            <w:r w:rsidRPr="003F00AF">
              <w:rPr>
                <w:rFonts w:eastAsia="Times New Roman"/>
                <w:sz w:val="20"/>
                <w:szCs w:val="20"/>
              </w:rPr>
              <w:t>Senior Environmental Specialist</w:t>
            </w:r>
          </w:p>
        </w:tc>
        <w:tc>
          <w:tcPr>
            <w:tcW w:w="2371" w:type="dxa"/>
            <w:shd w:val="clear" w:color="auto" w:fill="auto"/>
            <w:noWrap/>
          </w:tcPr>
          <w:p w14:paraId="176F92C6" w14:textId="77777777" w:rsidR="00266C85" w:rsidRPr="003F00AF" w:rsidRDefault="00266C85" w:rsidP="00266C85">
            <w:pPr>
              <w:rPr>
                <w:rFonts w:eastAsia="Times New Roman"/>
                <w:sz w:val="20"/>
                <w:szCs w:val="20"/>
              </w:rPr>
            </w:pPr>
            <w:r w:rsidRPr="003F00AF">
              <w:rPr>
                <w:rFonts w:eastAsia="Times New Roman"/>
                <w:sz w:val="20"/>
                <w:szCs w:val="20"/>
              </w:rPr>
              <w:t>GCCPT</w:t>
            </w:r>
          </w:p>
        </w:tc>
        <w:tc>
          <w:tcPr>
            <w:tcW w:w="2466" w:type="dxa"/>
            <w:shd w:val="clear" w:color="auto" w:fill="auto"/>
            <w:noWrap/>
          </w:tcPr>
          <w:p w14:paraId="2E5E7326" w14:textId="77777777" w:rsidR="00266C85" w:rsidRPr="003F00AF" w:rsidRDefault="00266C85" w:rsidP="00266C85">
            <w:pPr>
              <w:rPr>
                <w:rFonts w:eastAsia="Times New Roman"/>
                <w:sz w:val="20"/>
                <w:szCs w:val="20"/>
              </w:rPr>
            </w:pPr>
            <w:r w:rsidRPr="003F00AF">
              <w:rPr>
                <w:rFonts w:eastAsia="Times New Roman"/>
                <w:sz w:val="20"/>
                <w:szCs w:val="20"/>
              </w:rPr>
              <w:t>Climate Change</w:t>
            </w:r>
          </w:p>
        </w:tc>
      </w:tr>
      <w:tr w:rsidR="00266C85" w:rsidRPr="003F00AF" w14:paraId="0F937781" w14:textId="77777777" w:rsidTr="00266C85">
        <w:trPr>
          <w:trHeight w:val="300"/>
        </w:trPr>
        <w:tc>
          <w:tcPr>
            <w:tcW w:w="1795" w:type="dxa"/>
            <w:shd w:val="clear" w:color="auto" w:fill="auto"/>
            <w:noWrap/>
          </w:tcPr>
          <w:p w14:paraId="1E20DD52" w14:textId="77777777" w:rsidR="00266C85" w:rsidRPr="003F00AF" w:rsidRDefault="00266C85" w:rsidP="00266C85">
            <w:pPr>
              <w:rPr>
                <w:rFonts w:eastAsia="Times New Roman"/>
                <w:sz w:val="20"/>
                <w:szCs w:val="20"/>
              </w:rPr>
            </w:pPr>
            <w:r w:rsidRPr="003F00AF">
              <w:rPr>
                <w:sz w:val="20"/>
                <w:szCs w:val="20"/>
              </w:rPr>
              <w:t>Santiago Sandoval Valencia</w:t>
            </w:r>
          </w:p>
        </w:tc>
        <w:tc>
          <w:tcPr>
            <w:tcW w:w="3330" w:type="dxa"/>
            <w:shd w:val="clear" w:color="auto" w:fill="auto"/>
            <w:noWrap/>
          </w:tcPr>
          <w:p w14:paraId="6DD74510" w14:textId="77777777" w:rsidR="00266C85" w:rsidRPr="003F00AF" w:rsidRDefault="00266C85" w:rsidP="00266C85">
            <w:pPr>
              <w:rPr>
                <w:rFonts w:eastAsia="Times New Roman"/>
                <w:sz w:val="20"/>
                <w:szCs w:val="20"/>
              </w:rPr>
            </w:pPr>
            <w:r w:rsidRPr="003F00AF">
              <w:rPr>
                <w:rFonts w:eastAsia="Times New Roman"/>
                <w:sz w:val="20"/>
                <w:szCs w:val="20"/>
              </w:rPr>
              <w:t>Language Program Assistant</w:t>
            </w:r>
          </w:p>
        </w:tc>
        <w:tc>
          <w:tcPr>
            <w:tcW w:w="2371" w:type="dxa"/>
            <w:shd w:val="clear" w:color="auto" w:fill="auto"/>
            <w:noWrap/>
          </w:tcPr>
          <w:p w14:paraId="76817271" w14:textId="77777777" w:rsidR="00266C85" w:rsidRPr="003F00AF" w:rsidRDefault="00266C85" w:rsidP="00266C85">
            <w:pPr>
              <w:rPr>
                <w:rFonts w:eastAsia="Times New Roman"/>
                <w:sz w:val="20"/>
                <w:szCs w:val="20"/>
              </w:rPr>
            </w:pPr>
            <w:r w:rsidRPr="003F00AF">
              <w:rPr>
                <w:rFonts w:eastAsia="Times New Roman"/>
                <w:sz w:val="20"/>
                <w:szCs w:val="20"/>
              </w:rPr>
              <w:t>GEN04</w:t>
            </w:r>
          </w:p>
        </w:tc>
        <w:tc>
          <w:tcPr>
            <w:tcW w:w="2466" w:type="dxa"/>
            <w:shd w:val="clear" w:color="auto" w:fill="auto"/>
            <w:noWrap/>
          </w:tcPr>
          <w:p w14:paraId="5F104E2A" w14:textId="77777777" w:rsidR="00266C85" w:rsidRPr="003F00AF" w:rsidRDefault="00266C85" w:rsidP="00266C85">
            <w:pPr>
              <w:rPr>
                <w:rFonts w:eastAsia="Times New Roman"/>
                <w:sz w:val="20"/>
                <w:szCs w:val="20"/>
              </w:rPr>
            </w:pPr>
            <w:r w:rsidRPr="003F00AF">
              <w:rPr>
                <w:rFonts w:eastAsia="Times New Roman"/>
                <w:sz w:val="20"/>
                <w:szCs w:val="20"/>
              </w:rPr>
              <w:t>Administrative and Client Support</w:t>
            </w:r>
          </w:p>
        </w:tc>
      </w:tr>
      <w:tr w:rsidR="00266C85" w:rsidRPr="003F00AF" w14:paraId="51575646" w14:textId="77777777" w:rsidTr="00266C85">
        <w:trPr>
          <w:trHeight w:val="300"/>
        </w:trPr>
        <w:tc>
          <w:tcPr>
            <w:tcW w:w="1795" w:type="dxa"/>
            <w:shd w:val="clear" w:color="auto" w:fill="auto"/>
            <w:noWrap/>
          </w:tcPr>
          <w:p w14:paraId="275C45F7" w14:textId="77777777" w:rsidR="00266C85" w:rsidRPr="003F00AF" w:rsidRDefault="00266C85" w:rsidP="00266C85">
            <w:pPr>
              <w:rPr>
                <w:sz w:val="20"/>
                <w:szCs w:val="20"/>
                <w:lang w:val="es-CO"/>
              </w:rPr>
            </w:pPr>
            <w:r w:rsidRPr="003F00AF">
              <w:rPr>
                <w:sz w:val="20"/>
                <w:szCs w:val="20"/>
                <w:lang w:val="es-CO"/>
              </w:rPr>
              <w:t>Selene del Rocio La</w:t>
            </w:r>
          </w:p>
          <w:p w14:paraId="19F4CDC1" w14:textId="77777777" w:rsidR="00266C85" w:rsidRPr="003F00AF" w:rsidRDefault="00266C85" w:rsidP="00266C85">
            <w:pPr>
              <w:rPr>
                <w:sz w:val="20"/>
                <w:szCs w:val="20"/>
                <w:lang w:val="es-CO"/>
              </w:rPr>
            </w:pPr>
            <w:r w:rsidRPr="003F00AF">
              <w:rPr>
                <w:sz w:val="20"/>
                <w:szCs w:val="20"/>
                <w:lang w:val="es-CO"/>
              </w:rPr>
              <w:t>Vera</w:t>
            </w:r>
          </w:p>
        </w:tc>
        <w:tc>
          <w:tcPr>
            <w:tcW w:w="3330" w:type="dxa"/>
            <w:shd w:val="clear" w:color="auto" w:fill="auto"/>
            <w:noWrap/>
          </w:tcPr>
          <w:p w14:paraId="5F86215B" w14:textId="77777777" w:rsidR="00266C85" w:rsidRPr="003F00AF" w:rsidRDefault="00266C85" w:rsidP="00266C85">
            <w:pPr>
              <w:rPr>
                <w:rFonts w:eastAsia="Times New Roman"/>
                <w:sz w:val="20"/>
                <w:szCs w:val="20"/>
              </w:rPr>
            </w:pPr>
            <w:r w:rsidRPr="003F00AF">
              <w:rPr>
                <w:rFonts w:eastAsia="Times New Roman"/>
                <w:sz w:val="20"/>
                <w:szCs w:val="20"/>
              </w:rPr>
              <w:t>Procurement Specialist</w:t>
            </w:r>
          </w:p>
        </w:tc>
        <w:tc>
          <w:tcPr>
            <w:tcW w:w="2371" w:type="dxa"/>
            <w:shd w:val="clear" w:color="auto" w:fill="auto"/>
            <w:noWrap/>
          </w:tcPr>
          <w:p w14:paraId="37BA7B66" w14:textId="77777777" w:rsidR="00266C85" w:rsidRPr="003F00AF" w:rsidRDefault="00266C85" w:rsidP="00266C85">
            <w:pPr>
              <w:rPr>
                <w:rFonts w:eastAsia="Times New Roman"/>
                <w:sz w:val="20"/>
                <w:szCs w:val="20"/>
              </w:rPr>
            </w:pPr>
            <w:r w:rsidRPr="003F00AF">
              <w:rPr>
                <w:rFonts w:eastAsia="Times New Roman"/>
                <w:sz w:val="20"/>
                <w:szCs w:val="20"/>
              </w:rPr>
              <w:t>GGO04</w:t>
            </w:r>
          </w:p>
        </w:tc>
        <w:tc>
          <w:tcPr>
            <w:tcW w:w="2466" w:type="dxa"/>
            <w:shd w:val="clear" w:color="auto" w:fill="auto"/>
            <w:noWrap/>
          </w:tcPr>
          <w:p w14:paraId="081CBBA5" w14:textId="77777777" w:rsidR="00266C85" w:rsidRPr="003F00AF" w:rsidRDefault="00266C85" w:rsidP="00266C85">
            <w:pPr>
              <w:rPr>
                <w:rFonts w:eastAsia="Times New Roman"/>
                <w:sz w:val="20"/>
                <w:szCs w:val="20"/>
              </w:rPr>
            </w:pPr>
            <w:r w:rsidRPr="003F00AF">
              <w:rPr>
                <w:rFonts w:eastAsia="Times New Roman"/>
                <w:sz w:val="20"/>
                <w:szCs w:val="20"/>
              </w:rPr>
              <w:t>Procurement</w:t>
            </w:r>
          </w:p>
        </w:tc>
      </w:tr>
      <w:tr w:rsidR="00266C85" w:rsidRPr="003F00AF" w14:paraId="1E19697B" w14:textId="77777777" w:rsidTr="00266C85">
        <w:trPr>
          <w:trHeight w:val="300"/>
        </w:trPr>
        <w:tc>
          <w:tcPr>
            <w:tcW w:w="1795" w:type="dxa"/>
            <w:shd w:val="clear" w:color="auto" w:fill="auto"/>
            <w:noWrap/>
          </w:tcPr>
          <w:p w14:paraId="1E959126" w14:textId="77777777" w:rsidR="00266C85" w:rsidRPr="003F00AF" w:rsidRDefault="00266C85" w:rsidP="00266C85">
            <w:pPr>
              <w:rPr>
                <w:rFonts w:eastAsia="Times New Roman"/>
                <w:sz w:val="20"/>
                <w:szCs w:val="20"/>
              </w:rPr>
            </w:pPr>
            <w:r w:rsidRPr="003F00AF">
              <w:rPr>
                <w:sz w:val="20"/>
                <w:szCs w:val="20"/>
              </w:rPr>
              <w:t>Syed Sada Hussain Shah Naqvi</w:t>
            </w:r>
          </w:p>
        </w:tc>
        <w:tc>
          <w:tcPr>
            <w:tcW w:w="3330" w:type="dxa"/>
            <w:shd w:val="clear" w:color="auto" w:fill="auto"/>
            <w:noWrap/>
          </w:tcPr>
          <w:p w14:paraId="6AEE30D9" w14:textId="77777777" w:rsidR="00266C85" w:rsidRPr="003F00AF" w:rsidRDefault="00266C85" w:rsidP="00266C85">
            <w:pPr>
              <w:rPr>
                <w:rFonts w:eastAsia="Times New Roman"/>
                <w:sz w:val="20"/>
                <w:szCs w:val="20"/>
              </w:rPr>
            </w:pPr>
            <w:r w:rsidRPr="003F00AF">
              <w:rPr>
                <w:rFonts w:eastAsia="Times New Roman"/>
                <w:sz w:val="20"/>
                <w:szCs w:val="20"/>
              </w:rPr>
              <w:t>Temporary</w:t>
            </w:r>
          </w:p>
        </w:tc>
        <w:tc>
          <w:tcPr>
            <w:tcW w:w="2371" w:type="dxa"/>
            <w:shd w:val="clear" w:color="auto" w:fill="auto"/>
            <w:noWrap/>
          </w:tcPr>
          <w:p w14:paraId="4ED4F110" w14:textId="77777777" w:rsidR="00266C85" w:rsidRPr="003F00AF" w:rsidRDefault="00266C85" w:rsidP="00266C85">
            <w:pPr>
              <w:rPr>
                <w:rFonts w:eastAsia="Times New Roman"/>
                <w:sz w:val="20"/>
                <w:szCs w:val="20"/>
              </w:rPr>
            </w:pPr>
            <w:r w:rsidRPr="003F00AF">
              <w:rPr>
                <w:rFonts w:eastAsia="Times New Roman"/>
                <w:sz w:val="20"/>
                <w:szCs w:val="20"/>
              </w:rPr>
              <w:t>GTI01</w:t>
            </w:r>
          </w:p>
        </w:tc>
        <w:tc>
          <w:tcPr>
            <w:tcW w:w="2466" w:type="dxa"/>
            <w:shd w:val="clear" w:color="auto" w:fill="auto"/>
            <w:noWrap/>
          </w:tcPr>
          <w:p w14:paraId="5A30D2F2" w14:textId="77777777" w:rsidR="00266C85" w:rsidRPr="003F00AF" w:rsidRDefault="00266C85" w:rsidP="00266C85">
            <w:pPr>
              <w:rPr>
                <w:rFonts w:eastAsia="Times New Roman"/>
                <w:sz w:val="20"/>
                <w:szCs w:val="20"/>
              </w:rPr>
            </w:pPr>
            <w:r w:rsidRPr="003F00AF">
              <w:rPr>
                <w:rFonts w:eastAsia="Times New Roman"/>
                <w:sz w:val="20"/>
                <w:szCs w:val="20"/>
              </w:rPr>
              <w:t>Administrative and Client Support</w:t>
            </w:r>
          </w:p>
        </w:tc>
      </w:tr>
      <w:tr w:rsidR="00266C85" w:rsidRPr="003F00AF" w14:paraId="6A70C187" w14:textId="77777777" w:rsidTr="00266C85">
        <w:trPr>
          <w:trHeight w:val="300"/>
        </w:trPr>
        <w:tc>
          <w:tcPr>
            <w:tcW w:w="1795" w:type="dxa"/>
            <w:shd w:val="clear" w:color="auto" w:fill="auto"/>
            <w:noWrap/>
          </w:tcPr>
          <w:p w14:paraId="4FF045CF" w14:textId="77777777" w:rsidR="00266C85" w:rsidRPr="003F00AF" w:rsidRDefault="00266C85" w:rsidP="00266C85">
            <w:pPr>
              <w:rPr>
                <w:sz w:val="20"/>
                <w:szCs w:val="20"/>
              </w:rPr>
            </w:pPr>
            <w:r w:rsidRPr="003F00AF">
              <w:rPr>
                <w:rFonts w:eastAsiaTheme="minorHAnsi"/>
                <w:sz w:val="20"/>
                <w:szCs w:val="20"/>
                <w:lang w:eastAsia="en-US"/>
              </w:rPr>
              <w:t>Teresa Genta-Fons</w:t>
            </w:r>
          </w:p>
        </w:tc>
        <w:tc>
          <w:tcPr>
            <w:tcW w:w="3330" w:type="dxa"/>
            <w:shd w:val="clear" w:color="auto" w:fill="auto"/>
            <w:noWrap/>
          </w:tcPr>
          <w:p w14:paraId="4FB303E5" w14:textId="77777777" w:rsidR="00266C85" w:rsidRPr="003F00AF" w:rsidRDefault="00266C85" w:rsidP="00266C85">
            <w:pPr>
              <w:rPr>
                <w:rFonts w:eastAsia="Times New Roman"/>
                <w:sz w:val="20"/>
                <w:szCs w:val="20"/>
              </w:rPr>
            </w:pPr>
            <w:r w:rsidRPr="003F00AF">
              <w:rPr>
                <w:rFonts w:eastAsia="Times New Roman"/>
                <w:sz w:val="20"/>
                <w:szCs w:val="20"/>
              </w:rPr>
              <w:t>Lead Counsel</w:t>
            </w:r>
          </w:p>
        </w:tc>
        <w:tc>
          <w:tcPr>
            <w:tcW w:w="2371" w:type="dxa"/>
            <w:shd w:val="clear" w:color="auto" w:fill="auto"/>
            <w:noWrap/>
          </w:tcPr>
          <w:p w14:paraId="21A93F09" w14:textId="77777777" w:rsidR="00266C85" w:rsidRPr="003F00AF" w:rsidRDefault="00266C85" w:rsidP="00266C85">
            <w:pPr>
              <w:rPr>
                <w:rFonts w:eastAsia="Times New Roman"/>
                <w:sz w:val="20"/>
                <w:szCs w:val="20"/>
              </w:rPr>
            </w:pPr>
            <w:r w:rsidRPr="003F00AF">
              <w:rPr>
                <w:rFonts w:eastAsia="Times New Roman"/>
                <w:sz w:val="20"/>
                <w:szCs w:val="20"/>
              </w:rPr>
              <w:t>LEGLA</w:t>
            </w:r>
          </w:p>
        </w:tc>
        <w:tc>
          <w:tcPr>
            <w:tcW w:w="2466" w:type="dxa"/>
            <w:shd w:val="clear" w:color="auto" w:fill="auto"/>
            <w:noWrap/>
          </w:tcPr>
          <w:p w14:paraId="74E403C0" w14:textId="77777777" w:rsidR="00266C85" w:rsidRPr="003F00AF" w:rsidRDefault="00266C85" w:rsidP="00266C85">
            <w:pPr>
              <w:rPr>
                <w:rFonts w:eastAsia="Times New Roman"/>
                <w:sz w:val="20"/>
                <w:szCs w:val="20"/>
              </w:rPr>
            </w:pPr>
            <w:r w:rsidRPr="003F00AF">
              <w:rPr>
                <w:rFonts w:eastAsia="Times New Roman"/>
                <w:sz w:val="20"/>
                <w:szCs w:val="20"/>
              </w:rPr>
              <w:t>Legal</w:t>
            </w:r>
          </w:p>
        </w:tc>
      </w:tr>
      <w:tr w:rsidR="00266C85" w:rsidRPr="003F00AF" w14:paraId="16914E0C" w14:textId="77777777" w:rsidTr="00266C85">
        <w:trPr>
          <w:trHeight w:val="300"/>
        </w:trPr>
        <w:tc>
          <w:tcPr>
            <w:tcW w:w="1795" w:type="dxa"/>
            <w:shd w:val="clear" w:color="auto" w:fill="auto"/>
            <w:noWrap/>
          </w:tcPr>
          <w:p w14:paraId="02BD3DBA" w14:textId="77777777" w:rsidR="00266C85" w:rsidRPr="003F00AF" w:rsidRDefault="00266C85" w:rsidP="00266C85">
            <w:pPr>
              <w:rPr>
                <w:rFonts w:eastAsia="Times New Roman"/>
                <w:sz w:val="20"/>
                <w:szCs w:val="20"/>
              </w:rPr>
            </w:pPr>
            <w:r w:rsidRPr="003F00AF">
              <w:rPr>
                <w:sz w:val="20"/>
                <w:szCs w:val="20"/>
              </w:rPr>
              <w:t>Xiomara A Morel</w:t>
            </w:r>
          </w:p>
        </w:tc>
        <w:tc>
          <w:tcPr>
            <w:tcW w:w="3330" w:type="dxa"/>
            <w:shd w:val="clear" w:color="auto" w:fill="auto"/>
            <w:noWrap/>
          </w:tcPr>
          <w:p w14:paraId="30F5A857" w14:textId="77777777" w:rsidR="00266C85" w:rsidRPr="003F00AF" w:rsidRDefault="00266C85" w:rsidP="00266C85">
            <w:pPr>
              <w:rPr>
                <w:bCs/>
                <w:sz w:val="20"/>
                <w:szCs w:val="20"/>
                <w:lang w:val="en"/>
              </w:rPr>
            </w:pPr>
            <w:r w:rsidRPr="003F00AF">
              <w:rPr>
                <w:bCs/>
                <w:sz w:val="20"/>
                <w:szCs w:val="20"/>
                <w:lang w:val="en"/>
              </w:rPr>
              <w:t>Senior Financial Management Specialist</w:t>
            </w:r>
          </w:p>
          <w:p w14:paraId="5B47EC0B" w14:textId="77777777" w:rsidR="00266C85" w:rsidRPr="003F00AF" w:rsidRDefault="00266C85" w:rsidP="00266C85">
            <w:pPr>
              <w:rPr>
                <w:rFonts w:eastAsia="Times New Roman"/>
                <w:sz w:val="20"/>
                <w:szCs w:val="20"/>
              </w:rPr>
            </w:pPr>
            <w:r w:rsidRPr="003F00AF">
              <w:rPr>
                <w:bCs/>
                <w:sz w:val="20"/>
                <w:szCs w:val="20"/>
                <w:lang w:val="en"/>
              </w:rPr>
              <w:t>(Currently Lead Financial Management Specialist)</w:t>
            </w:r>
          </w:p>
        </w:tc>
        <w:tc>
          <w:tcPr>
            <w:tcW w:w="2371" w:type="dxa"/>
            <w:shd w:val="clear" w:color="auto" w:fill="auto"/>
            <w:noWrap/>
          </w:tcPr>
          <w:p w14:paraId="71375C0D" w14:textId="77777777" w:rsidR="00266C85" w:rsidRPr="003F00AF" w:rsidRDefault="00266C85" w:rsidP="00266C85">
            <w:pPr>
              <w:rPr>
                <w:rFonts w:eastAsia="Times New Roman"/>
                <w:sz w:val="20"/>
                <w:szCs w:val="20"/>
              </w:rPr>
            </w:pPr>
            <w:r w:rsidRPr="003F00AF">
              <w:rPr>
                <w:rFonts w:eastAsia="Times New Roman"/>
                <w:sz w:val="20"/>
                <w:szCs w:val="20"/>
              </w:rPr>
              <w:t>LCSFM</w:t>
            </w:r>
          </w:p>
          <w:p w14:paraId="73D35ACD" w14:textId="77777777" w:rsidR="00266C85" w:rsidRPr="003F00AF" w:rsidRDefault="00266C85" w:rsidP="00266C85">
            <w:pPr>
              <w:rPr>
                <w:rFonts w:eastAsia="Times New Roman"/>
                <w:sz w:val="20"/>
                <w:szCs w:val="20"/>
              </w:rPr>
            </w:pPr>
            <w:r w:rsidRPr="003F00AF">
              <w:rPr>
                <w:rFonts w:eastAsia="Times New Roman"/>
                <w:sz w:val="20"/>
                <w:szCs w:val="20"/>
              </w:rPr>
              <w:t>(GGO22</w:t>
            </w:r>
          </w:p>
        </w:tc>
        <w:tc>
          <w:tcPr>
            <w:tcW w:w="2466" w:type="dxa"/>
            <w:shd w:val="clear" w:color="auto" w:fill="auto"/>
            <w:noWrap/>
          </w:tcPr>
          <w:p w14:paraId="0E4F62E3" w14:textId="77777777" w:rsidR="00266C85" w:rsidRPr="003F00AF" w:rsidRDefault="00266C85" w:rsidP="00266C85">
            <w:pPr>
              <w:rPr>
                <w:rFonts w:eastAsia="Times New Roman"/>
                <w:sz w:val="20"/>
                <w:szCs w:val="20"/>
              </w:rPr>
            </w:pPr>
            <w:r w:rsidRPr="003F00AF">
              <w:rPr>
                <w:rFonts w:eastAsia="Times New Roman"/>
                <w:sz w:val="20"/>
                <w:szCs w:val="20"/>
              </w:rPr>
              <w:t>Financial Management</w:t>
            </w:r>
          </w:p>
        </w:tc>
      </w:tr>
    </w:tbl>
    <w:p w14:paraId="5F6BE2F2" w14:textId="77777777" w:rsidR="00266C85" w:rsidRPr="003F00AF" w:rsidRDefault="00266C85" w:rsidP="00266C85">
      <w:pPr>
        <w:rPr>
          <w:b/>
        </w:rPr>
      </w:pPr>
    </w:p>
    <w:p w14:paraId="48EE4DC8" w14:textId="77777777" w:rsidR="00266C85" w:rsidRPr="003F00AF" w:rsidRDefault="00266C85" w:rsidP="00266C85">
      <w:pPr>
        <w:keepNext/>
        <w:rPr>
          <w:b/>
        </w:rPr>
      </w:pPr>
      <w:r w:rsidRPr="003F00AF">
        <w:rPr>
          <w:b/>
        </w:rPr>
        <w:t>(b) Staff Time and Cost (from SAP) (the system pulls data available for all fields)</w:t>
      </w:r>
    </w:p>
    <w:p w14:paraId="792AD2C3" w14:textId="77777777" w:rsidR="00266C85" w:rsidRPr="003F00AF" w:rsidRDefault="00266C85" w:rsidP="00266C85">
      <w:pPr>
        <w:keepNext/>
        <w:rPr>
          <w:rStyle w:val="Heading2Char"/>
        </w:rPr>
      </w:pPr>
      <w:bookmarkStart w:id="163" w:name="TEAM_SUP"/>
      <w:bookmarkEnd w:id="163"/>
    </w:p>
    <w:tbl>
      <w:tblPr>
        <w:tblW w:w="8635" w:type="dxa"/>
        <w:tblLook w:val="04A0" w:firstRow="1" w:lastRow="0" w:firstColumn="1" w:lastColumn="0" w:noHBand="0" w:noVBand="1"/>
      </w:tblPr>
      <w:tblGrid>
        <w:gridCol w:w="2155"/>
        <w:gridCol w:w="2790"/>
        <w:gridCol w:w="3690"/>
      </w:tblGrid>
      <w:tr w:rsidR="00266C85" w:rsidRPr="003F00AF" w14:paraId="1098B0B3" w14:textId="77777777" w:rsidTr="00266C85">
        <w:trPr>
          <w:trHeight w:val="300"/>
          <w:tblHeader/>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46C43" w14:textId="77777777" w:rsidR="00266C85" w:rsidRPr="003F00AF" w:rsidRDefault="00266C85" w:rsidP="00266C85">
            <w:pPr>
              <w:keepNext/>
              <w:jc w:val="center"/>
              <w:rPr>
                <w:rFonts w:eastAsia="Arial Unicode MS"/>
                <w:b/>
                <w:bCs/>
                <w:color w:val="000000"/>
                <w:sz w:val="22"/>
                <w:szCs w:val="22"/>
              </w:rPr>
            </w:pPr>
            <w:r w:rsidRPr="003F00AF">
              <w:rPr>
                <w:rFonts w:eastAsia="Arial Unicode MS"/>
                <w:b/>
                <w:bCs/>
                <w:color w:val="000000"/>
                <w:sz w:val="22"/>
                <w:szCs w:val="22"/>
              </w:rPr>
              <w:t>Stage</w:t>
            </w:r>
          </w:p>
        </w:tc>
        <w:tc>
          <w:tcPr>
            <w:tcW w:w="6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1A360F" w14:textId="77777777" w:rsidR="00266C85" w:rsidRPr="003F00AF" w:rsidRDefault="00266C85" w:rsidP="00266C85">
            <w:pPr>
              <w:keepNext/>
              <w:jc w:val="center"/>
              <w:rPr>
                <w:rFonts w:eastAsia="Arial Unicode MS"/>
                <w:b/>
                <w:bCs/>
                <w:color w:val="000000"/>
                <w:sz w:val="22"/>
                <w:szCs w:val="22"/>
              </w:rPr>
            </w:pPr>
            <w:r w:rsidRPr="003F00AF">
              <w:rPr>
                <w:rFonts w:eastAsia="Arial Unicode MS"/>
                <w:b/>
                <w:bCs/>
                <w:color w:val="000000"/>
                <w:sz w:val="22"/>
                <w:szCs w:val="22"/>
              </w:rPr>
              <w:t>Staff Time and Cost (Bank Budget Only)</w:t>
            </w:r>
          </w:p>
        </w:tc>
      </w:tr>
      <w:tr w:rsidR="00266C85" w:rsidRPr="003F00AF" w14:paraId="55B6AFA4" w14:textId="77777777" w:rsidTr="00266C85">
        <w:trPr>
          <w:trHeight w:val="557"/>
          <w:tblHeader/>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4CBF6EEF" w14:textId="77777777" w:rsidR="00266C85" w:rsidRPr="003F00AF" w:rsidRDefault="00266C85" w:rsidP="00266C85">
            <w:pPr>
              <w:rPr>
                <w:rFonts w:eastAsia="Arial Unicode MS"/>
                <w:b/>
                <w:bCs/>
                <w:color w:val="000000"/>
                <w:sz w:val="22"/>
                <w:szCs w:val="22"/>
              </w:rPr>
            </w:pPr>
          </w:p>
        </w:tc>
        <w:tc>
          <w:tcPr>
            <w:tcW w:w="2790" w:type="dxa"/>
            <w:tcBorders>
              <w:top w:val="nil"/>
              <w:left w:val="nil"/>
              <w:bottom w:val="single" w:sz="4" w:space="0" w:color="auto"/>
              <w:right w:val="single" w:sz="4" w:space="0" w:color="auto"/>
            </w:tcBorders>
            <w:shd w:val="clear" w:color="auto" w:fill="auto"/>
            <w:noWrap/>
            <w:hideMark/>
          </w:tcPr>
          <w:p w14:paraId="670FB198" w14:textId="77777777" w:rsidR="00266C85" w:rsidRPr="003F00AF" w:rsidRDefault="00266C85" w:rsidP="00266C85">
            <w:pPr>
              <w:rPr>
                <w:rFonts w:eastAsia="Arial Unicode MS"/>
                <w:b/>
                <w:bCs/>
                <w:color w:val="000000"/>
                <w:sz w:val="22"/>
                <w:szCs w:val="22"/>
              </w:rPr>
            </w:pPr>
            <w:r w:rsidRPr="003F00AF">
              <w:rPr>
                <w:rFonts w:eastAsia="Arial Unicode MS"/>
                <w:b/>
                <w:bCs/>
                <w:color w:val="000000"/>
                <w:sz w:val="22"/>
                <w:szCs w:val="22"/>
              </w:rPr>
              <w:t>No. of Staff Weeks</w:t>
            </w:r>
          </w:p>
        </w:tc>
        <w:tc>
          <w:tcPr>
            <w:tcW w:w="3690" w:type="dxa"/>
            <w:tcBorders>
              <w:top w:val="nil"/>
              <w:left w:val="nil"/>
              <w:bottom w:val="single" w:sz="4" w:space="0" w:color="auto"/>
              <w:right w:val="single" w:sz="4" w:space="0" w:color="auto"/>
            </w:tcBorders>
            <w:shd w:val="clear" w:color="auto" w:fill="auto"/>
            <w:hideMark/>
          </w:tcPr>
          <w:p w14:paraId="601D0E33" w14:textId="77777777" w:rsidR="00266C85" w:rsidRPr="003F00AF" w:rsidRDefault="00266C85" w:rsidP="00266C85">
            <w:pPr>
              <w:jc w:val="center"/>
              <w:rPr>
                <w:rFonts w:eastAsia="Arial Unicode MS"/>
                <w:b/>
                <w:bCs/>
                <w:color w:val="000000"/>
                <w:sz w:val="22"/>
                <w:szCs w:val="22"/>
              </w:rPr>
            </w:pPr>
            <w:r w:rsidRPr="003F00AF">
              <w:rPr>
                <w:rFonts w:eastAsia="Arial Unicode MS"/>
                <w:b/>
                <w:bCs/>
                <w:color w:val="000000"/>
                <w:sz w:val="22"/>
                <w:szCs w:val="22"/>
              </w:rPr>
              <w:t>US$ Thousands</w:t>
            </w:r>
            <w:r w:rsidRPr="003F00AF">
              <w:rPr>
                <w:rFonts w:eastAsia="Arial Unicode MS"/>
                <w:b/>
                <w:bCs/>
                <w:color w:val="000000"/>
                <w:sz w:val="22"/>
                <w:szCs w:val="22"/>
              </w:rPr>
              <w:br/>
            </w:r>
            <w:r w:rsidRPr="003F00AF">
              <w:rPr>
                <w:rFonts w:eastAsia="Arial Unicode MS"/>
                <w:b/>
                <w:bCs/>
                <w:color w:val="000000"/>
                <w:sz w:val="21"/>
                <w:szCs w:val="22"/>
              </w:rPr>
              <w:t>(including travel and consultant costs)</w:t>
            </w:r>
          </w:p>
        </w:tc>
      </w:tr>
      <w:tr w:rsidR="00266C85" w:rsidRPr="003F00AF" w14:paraId="07877BC2"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C7CFCBF" w14:textId="77777777" w:rsidR="00266C85" w:rsidRPr="003F00AF" w:rsidRDefault="00266C85" w:rsidP="00266C85">
            <w:pPr>
              <w:rPr>
                <w:rFonts w:eastAsia="Arial Unicode MS"/>
                <w:b/>
                <w:bCs/>
                <w:color w:val="000000"/>
                <w:sz w:val="22"/>
                <w:szCs w:val="22"/>
              </w:rPr>
            </w:pPr>
            <w:r w:rsidRPr="003F00AF">
              <w:rPr>
                <w:rFonts w:eastAsia="Arial Unicode MS"/>
                <w:b/>
                <w:bCs/>
                <w:color w:val="000000"/>
                <w:sz w:val="22"/>
                <w:szCs w:val="22"/>
              </w:rPr>
              <w:t>Lending</w:t>
            </w:r>
          </w:p>
        </w:tc>
        <w:tc>
          <w:tcPr>
            <w:tcW w:w="2790" w:type="dxa"/>
            <w:tcBorders>
              <w:top w:val="nil"/>
              <w:left w:val="nil"/>
              <w:bottom w:val="single" w:sz="4" w:space="0" w:color="auto"/>
              <w:right w:val="single" w:sz="4" w:space="0" w:color="auto"/>
            </w:tcBorders>
            <w:shd w:val="clear" w:color="auto" w:fill="auto"/>
            <w:noWrap/>
            <w:vAlign w:val="bottom"/>
            <w:hideMark/>
          </w:tcPr>
          <w:p w14:paraId="41F900E1" w14:textId="77777777" w:rsidR="00266C85" w:rsidRPr="003F00AF" w:rsidRDefault="00266C85" w:rsidP="00266C85">
            <w:pPr>
              <w:rPr>
                <w:rFonts w:eastAsia="Arial Unicode MS"/>
                <w:color w:val="000000"/>
                <w:sz w:val="22"/>
                <w:szCs w:val="22"/>
              </w:rPr>
            </w:pPr>
            <w:r w:rsidRPr="003F00AF">
              <w:rPr>
                <w:rFonts w:eastAsia="Arial Unicode MS"/>
                <w:color w:val="000000"/>
                <w:sz w:val="22"/>
                <w:szCs w:val="22"/>
              </w:rPr>
              <w:t> </w:t>
            </w:r>
          </w:p>
        </w:tc>
        <w:tc>
          <w:tcPr>
            <w:tcW w:w="3690" w:type="dxa"/>
            <w:tcBorders>
              <w:top w:val="nil"/>
              <w:left w:val="nil"/>
              <w:bottom w:val="single" w:sz="4" w:space="0" w:color="auto"/>
              <w:right w:val="single" w:sz="4" w:space="0" w:color="auto"/>
            </w:tcBorders>
            <w:shd w:val="clear" w:color="auto" w:fill="auto"/>
            <w:noWrap/>
            <w:vAlign w:val="bottom"/>
            <w:hideMark/>
          </w:tcPr>
          <w:p w14:paraId="08A39B3F" w14:textId="77777777" w:rsidR="00266C85" w:rsidRPr="003F00AF" w:rsidRDefault="00266C85" w:rsidP="00266C85">
            <w:pPr>
              <w:rPr>
                <w:rFonts w:eastAsia="Arial Unicode MS"/>
                <w:color w:val="000000"/>
                <w:sz w:val="22"/>
                <w:szCs w:val="22"/>
              </w:rPr>
            </w:pPr>
            <w:r w:rsidRPr="003F00AF">
              <w:rPr>
                <w:rFonts w:eastAsia="Arial Unicode MS"/>
                <w:color w:val="000000"/>
                <w:sz w:val="22"/>
                <w:szCs w:val="22"/>
              </w:rPr>
              <w:t> </w:t>
            </w:r>
          </w:p>
        </w:tc>
      </w:tr>
      <w:tr w:rsidR="00266C85" w:rsidRPr="003F00AF" w14:paraId="7DD501D1"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3A379F8"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FY08</w:t>
            </w:r>
          </w:p>
        </w:tc>
        <w:tc>
          <w:tcPr>
            <w:tcW w:w="2790" w:type="dxa"/>
            <w:tcBorders>
              <w:top w:val="nil"/>
              <w:left w:val="nil"/>
              <w:bottom w:val="single" w:sz="4" w:space="0" w:color="auto"/>
              <w:right w:val="single" w:sz="4" w:space="0" w:color="auto"/>
            </w:tcBorders>
            <w:shd w:val="clear" w:color="auto" w:fill="auto"/>
            <w:noWrap/>
            <w:vAlign w:val="bottom"/>
            <w:hideMark/>
          </w:tcPr>
          <w:p w14:paraId="618B1DA5"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 26.13</w:t>
            </w:r>
          </w:p>
        </w:tc>
        <w:tc>
          <w:tcPr>
            <w:tcW w:w="3690" w:type="dxa"/>
            <w:tcBorders>
              <w:top w:val="nil"/>
              <w:left w:val="nil"/>
              <w:bottom w:val="single" w:sz="4" w:space="0" w:color="auto"/>
              <w:right w:val="single" w:sz="4" w:space="0" w:color="auto"/>
            </w:tcBorders>
            <w:shd w:val="clear" w:color="auto" w:fill="auto"/>
            <w:noWrap/>
            <w:vAlign w:val="bottom"/>
            <w:hideMark/>
          </w:tcPr>
          <w:p w14:paraId="30FD3B34"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101,132 </w:t>
            </w:r>
          </w:p>
        </w:tc>
      </w:tr>
      <w:tr w:rsidR="00266C85" w:rsidRPr="003F00AF" w14:paraId="3139DFF0"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6FB3BD83"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FY09</w:t>
            </w:r>
          </w:p>
        </w:tc>
        <w:tc>
          <w:tcPr>
            <w:tcW w:w="2790" w:type="dxa"/>
            <w:tcBorders>
              <w:top w:val="nil"/>
              <w:left w:val="nil"/>
              <w:bottom w:val="single" w:sz="4" w:space="0" w:color="auto"/>
              <w:right w:val="single" w:sz="4" w:space="0" w:color="auto"/>
            </w:tcBorders>
            <w:shd w:val="clear" w:color="auto" w:fill="auto"/>
            <w:noWrap/>
            <w:vAlign w:val="bottom"/>
          </w:tcPr>
          <w:p w14:paraId="5D7A3DE7"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38.57</w:t>
            </w:r>
          </w:p>
        </w:tc>
        <w:tc>
          <w:tcPr>
            <w:tcW w:w="3690" w:type="dxa"/>
            <w:tcBorders>
              <w:top w:val="nil"/>
              <w:left w:val="nil"/>
              <w:bottom w:val="single" w:sz="4" w:space="0" w:color="auto"/>
              <w:right w:val="single" w:sz="4" w:space="0" w:color="auto"/>
            </w:tcBorders>
            <w:shd w:val="clear" w:color="auto" w:fill="auto"/>
            <w:noWrap/>
            <w:vAlign w:val="bottom"/>
          </w:tcPr>
          <w:p w14:paraId="35A5B5BD"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168,227</w:t>
            </w:r>
          </w:p>
        </w:tc>
      </w:tr>
      <w:tr w:rsidR="00266C85" w:rsidRPr="003F00AF" w14:paraId="5F756E7C"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1450D095"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FY10</w:t>
            </w:r>
          </w:p>
        </w:tc>
        <w:tc>
          <w:tcPr>
            <w:tcW w:w="2790" w:type="dxa"/>
            <w:tcBorders>
              <w:top w:val="nil"/>
              <w:left w:val="nil"/>
              <w:bottom w:val="single" w:sz="4" w:space="0" w:color="auto"/>
              <w:right w:val="single" w:sz="4" w:space="0" w:color="auto"/>
            </w:tcBorders>
            <w:shd w:val="clear" w:color="auto" w:fill="auto"/>
            <w:noWrap/>
            <w:vAlign w:val="bottom"/>
          </w:tcPr>
          <w:p w14:paraId="7B5EA829"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46.20</w:t>
            </w:r>
          </w:p>
        </w:tc>
        <w:tc>
          <w:tcPr>
            <w:tcW w:w="3690" w:type="dxa"/>
            <w:tcBorders>
              <w:top w:val="nil"/>
              <w:left w:val="nil"/>
              <w:bottom w:val="single" w:sz="4" w:space="0" w:color="auto"/>
              <w:right w:val="single" w:sz="4" w:space="0" w:color="auto"/>
            </w:tcBorders>
            <w:shd w:val="clear" w:color="auto" w:fill="auto"/>
            <w:noWrap/>
            <w:vAlign w:val="bottom"/>
          </w:tcPr>
          <w:p w14:paraId="79662A65"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173,439</w:t>
            </w:r>
          </w:p>
        </w:tc>
      </w:tr>
      <w:tr w:rsidR="00266C85" w:rsidRPr="003F00AF" w14:paraId="259BD017"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371C6663"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FY11</w:t>
            </w:r>
          </w:p>
        </w:tc>
        <w:tc>
          <w:tcPr>
            <w:tcW w:w="2790" w:type="dxa"/>
            <w:tcBorders>
              <w:top w:val="nil"/>
              <w:left w:val="nil"/>
              <w:bottom w:val="single" w:sz="4" w:space="0" w:color="auto"/>
              <w:right w:val="single" w:sz="4" w:space="0" w:color="auto"/>
            </w:tcBorders>
            <w:shd w:val="clear" w:color="auto" w:fill="auto"/>
            <w:noWrap/>
            <w:vAlign w:val="bottom"/>
            <w:hideMark/>
          </w:tcPr>
          <w:p w14:paraId="5790A78D"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 20.55</w:t>
            </w:r>
          </w:p>
        </w:tc>
        <w:tc>
          <w:tcPr>
            <w:tcW w:w="3690" w:type="dxa"/>
            <w:tcBorders>
              <w:top w:val="nil"/>
              <w:left w:val="nil"/>
              <w:bottom w:val="single" w:sz="4" w:space="0" w:color="auto"/>
              <w:right w:val="single" w:sz="4" w:space="0" w:color="auto"/>
            </w:tcBorders>
            <w:shd w:val="clear" w:color="auto" w:fill="auto"/>
            <w:noWrap/>
            <w:vAlign w:val="bottom"/>
            <w:hideMark/>
          </w:tcPr>
          <w:p w14:paraId="63789FEA"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 87,552</w:t>
            </w:r>
          </w:p>
        </w:tc>
      </w:tr>
      <w:tr w:rsidR="00266C85" w:rsidRPr="003F00AF" w14:paraId="4C20037D"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58AD466" w14:textId="77777777" w:rsidR="00266C85" w:rsidRPr="003F00AF" w:rsidRDefault="00266C85" w:rsidP="00266C85">
            <w:pPr>
              <w:jc w:val="right"/>
              <w:rPr>
                <w:rFonts w:eastAsia="Arial Unicode MS"/>
                <w:b/>
                <w:bCs/>
                <w:color w:val="000000"/>
                <w:sz w:val="22"/>
                <w:szCs w:val="22"/>
              </w:rPr>
            </w:pPr>
            <w:r w:rsidRPr="003F00AF">
              <w:rPr>
                <w:rFonts w:eastAsia="Arial Unicode MS"/>
                <w:b/>
                <w:bCs/>
                <w:color w:val="000000"/>
                <w:sz w:val="22"/>
                <w:szCs w:val="22"/>
              </w:rPr>
              <w:t xml:space="preserve">TOTAL: </w:t>
            </w:r>
          </w:p>
        </w:tc>
        <w:tc>
          <w:tcPr>
            <w:tcW w:w="2790" w:type="dxa"/>
            <w:tcBorders>
              <w:top w:val="nil"/>
              <w:left w:val="nil"/>
              <w:bottom w:val="single" w:sz="4" w:space="0" w:color="auto"/>
              <w:right w:val="single" w:sz="4" w:space="0" w:color="auto"/>
            </w:tcBorders>
            <w:shd w:val="clear" w:color="auto" w:fill="auto"/>
            <w:noWrap/>
            <w:vAlign w:val="bottom"/>
            <w:hideMark/>
          </w:tcPr>
          <w:p w14:paraId="1A03494A" w14:textId="77777777" w:rsidR="00266C85" w:rsidRPr="003F00AF" w:rsidRDefault="00266C85" w:rsidP="00266C85">
            <w:pPr>
              <w:tabs>
                <w:tab w:val="decimal" w:pos="1422"/>
              </w:tabs>
              <w:rPr>
                <w:rFonts w:eastAsia="Arial Unicode MS"/>
                <w:b/>
                <w:color w:val="000000"/>
                <w:sz w:val="22"/>
                <w:szCs w:val="22"/>
              </w:rPr>
            </w:pPr>
            <w:r w:rsidRPr="003F00AF">
              <w:rPr>
                <w:rFonts w:eastAsia="Arial Unicode MS"/>
                <w:b/>
                <w:color w:val="000000"/>
                <w:sz w:val="22"/>
                <w:szCs w:val="22"/>
              </w:rPr>
              <w:t> 131.45</w:t>
            </w:r>
          </w:p>
        </w:tc>
        <w:tc>
          <w:tcPr>
            <w:tcW w:w="3690" w:type="dxa"/>
            <w:tcBorders>
              <w:top w:val="nil"/>
              <w:left w:val="nil"/>
              <w:bottom w:val="single" w:sz="4" w:space="0" w:color="auto"/>
              <w:right w:val="single" w:sz="4" w:space="0" w:color="auto"/>
            </w:tcBorders>
            <w:shd w:val="clear" w:color="auto" w:fill="auto"/>
            <w:noWrap/>
            <w:vAlign w:val="bottom"/>
            <w:hideMark/>
          </w:tcPr>
          <w:p w14:paraId="0B1F5582" w14:textId="77777777" w:rsidR="00266C85" w:rsidRPr="003F00AF" w:rsidRDefault="00266C85" w:rsidP="00266C85">
            <w:pPr>
              <w:tabs>
                <w:tab w:val="decimal" w:pos="2602"/>
              </w:tabs>
              <w:rPr>
                <w:rFonts w:eastAsia="Arial Unicode MS"/>
                <w:b/>
                <w:color w:val="000000"/>
                <w:sz w:val="22"/>
                <w:szCs w:val="22"/>
              </w:rPr>
            </w:pPr>
            <w:r w:rsidRPr="003F00AF">
              <w:rPr>
                <w:rFonts w:eastAsia="Arial Unicode MS"/>
                <w:b/>
                <w:color w:val="000000"/>
                <w:sz w:val="22"/>
                <w:szCs w:val="22"/>
              </w:rPr>
              <w:t> 530,349</w:t>
            </w:r>
          </w:p>
        </w:tc>
      </w:tr>
      <w:tr w:rsidR="00266C85" w:rsidRPr="003F00AF" w14:paraId="24E98282"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332B326" w14:textId="77777777" w:rsidR="00266C85" w:rsidRPr="003F00AF" w:rsidRDefault="00266C85" w:rsidP="00266C85">
            <w:pPr>
              <w:rPr>
                <w:rFonts w:eastAsia="Arial Unicode MS"/>
                <w:b/>
                <w:bCs/>
                <w:color w:val="000000"/>
                <w:sz w:val="22"/>
                <w:szCs w:val="22"/>
              </w:rPr>
            </w:pPr>
            <w:r w:rsidRPr="003F00AF">
              <w:rPr>
                <w:rFonts w:eastAsia="Arial Unicode MS"/>
                <w:b/>
                <w:bCs/>
                <w:color w:val="000000"/>
                <w:sz w:val="22"/>
                <w:szCs w:val="22"/>
              </w:rPr>
              <w:t>Supervision/ICR</w:t>
            </w:r>
          </w:p>
        </w:tc>
        <w:tc>
          <w:tcPr>
            <w:tcW w:w="2790" w:type="dxa"/>
            <w:tcBorders>
              <w:top w:val="nil"/>
              <w:left w:val="nil"/>
              <w:bottom w:val="single" w:sz="4" w:space="0" w:color="auto"/>
              <w:right w:val="single" w:sz="4" w:space="0" w:color="auto"/>
            </w:tcBorders>
            <w:shd w:val="clear" w:color="auto" w:fill="auto"/>
            <w:noWrap/>
            <w:vAlign w:val="bottom"/>
            <w:hideMark/>
          </w:tcPr>
          <w:p w14:paraId="4B0F5906"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 </w:t>
            </w:r>
          </w:p>
        </w:tc>
        <w:tc>
          <w:tcPr>
            <w:tcW w:w="3690" w:type="dxa"/>
            <w:tcBorders>
              <w:top w:val="nil"/>
              <w:left w:val="nil"/>
              <w:bottom w:val="single" w:sz="4" w:space="0" w:color="auto"/>
              <w:right w:val="single" w:sz="4" w:space="0" w:color="auto"/>
            </w:tcBorders>
            <w:shd w:val="clear" w:color="auto" w:fill="auto"/>
            <w:noWrap/>
            <w:vAlign w:val="bottom"/>
            <w:hideMark/>
          </w:tcPr>
          <w:p w14:paraId="26D71912"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 </w:t>
            </w:r>
          </w:p>
        </w:tc>
      </w:tr>
      <w:tr w:rsidR="00266C85" w:rsidRPr="003F00AF" w14:paraId="0CC479DE"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D408D32"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FY09</w:t>
            </w:r>
          </w:p>
        </w:tc>
        <w:tc>
          <w:tcPr>
            <w:tcW w:w="2790" w:type="dxa"/>
            <w:tcBorders>
              <w:top w:val="nil"/>
              <w:left w:val="nil"/>
              <w:bottom w:val="single" w:sz="4" w:space="0" w:color="auto"/>
              <w:right w:val="single" w:sz="4" w:space="0" w:color="auto"/>
            </w:tcBorders>
            <w:shd w:val="clear" w:color="auto" w:fill="auto"/>
            <w:noWrap/>
            <w:vAlign w:val="bottom"/>
            <w:hideMark/>
          </w:tcPr>
          <w:p w14:paraId="20757415"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11.78 </w:t>
            </w:r>
          </w:p>
        </w:tc>
        <w:tc>
          <w:tcPr>
            <w:tcW w:w="3690" w:type="dxa"/>
            <w:tcBorders>
              <w:top w:val="nil"/>
              <w:left w:val="nil"/>
              <w:bottom w:val="single" w:sz="4" w:space="0" w:color="auto"/>
              <w:right w:val="single" w:sz="4" w:space="0" w:color="auto"/>
            </w:tcBorders>
            <w:shd w:val="clear" w:color="auto" w:fill="auto"/>
            <w:noWrap/>
            <w:vAlign w:val="bottom"/>
            <w:hideMark/>
          </w:tcPr>
          <w:p w14:paraId="54F316F4"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20,824 </w:t>
            </w:r>
          </w:p>
        </w:tc>
      </w:tr>
      <w:tr w:rsidR="00266C85" w:rsidRPr="003F00AF" w14:paraId="695A45B8"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883EA5A"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FY10</w:t>
            </w:r>
          </w:p>
        </w:tc>
        <w:tc>
          <w:tcPr>
            <w:tcW w:w="2790" w:type="dxa"/>
            <w:tcBorders>
              <w:top w:val="nil"/>
              <w:left w:val="nil"/>
              <w:bottom w:val="single" w:sz="4" w:space="0" w:color="auto"/>
              <w:right w:val="single" w:sz="4" w:space="0" w:color="auto"/>
            </w:tcBorders>
            <w:shd w:val="clear" w:color="auto" w:fill="auto"/>
            <w:noWrap/>
            <w:vAlign w:val="bottom"/>
            <w:hideMark/>
          </w:tcPr>
          <w:p w14:paraId="27C25B15"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 11.85</w:t>
            </w:r>
          </w:p>
        </w:tc>
        <w:tc>
          <w:tcPr>
            <w:tcW w:w="3690" w:type="dxa"/>
            <w:tcBorders>
              <w:top w:val="nil"/>
              <w:left w:val="nil"/>
              <w:bottom w:val="single" w:sz="4" w:space="0" w:color="auto"/>
              <w:right w:val="single" w:sz="4" w:space="0" w:color="auto"/>
            </w:tcBorders>
            <w:shd w:val="clear" w:color="auto" w:fill="auto"/>
            <w:noWrap/>
            <w:vAlign w:val="bottom"/>
            <w:hideMark/>
          </w:tcPr>
          <w:p w14:paraId="662D0D0B"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 37,586</w:t>
            </w:r>
          </w:p>
        </w:tc>
      </w:tr>
      <w:tr w:rsidR="00266C85" w:rsidRPr="003F00AF" w14:paraId="79AB82DF"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4731A52B"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FY11</w:t>
            </w:r>
          </w:p>
        </w:tc>
        <w:tc>
          <w:tcPr>
            <w:tcW w:w="2790" w:type="dxa"/>
            <w:tcBorders>
              <w:top w:val="nil"/>
              <w:left w:val="nil"/>
              <w:bottom w:val="single" w:sz="4" w:space="0" w:color="auto"/>
              <w:right w:val="single" w:sz="4" w:space="0" w:color="auto"/>
            </w:tcBorders>
            <w:shd w:val="clear" w:color="auto" w:fill="auto"/>
            <w:noWrap/>
            <w:vAlign w:val="bottom"/>
          </w:tcPr>
          <w:p w14:paraId="569A5017"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1.68</w:t>
            </w:r>
          </w:p>
        </w:tc>
        <w:tc>
          <w:tcPr>
            <w:tcW w:w="3690" w:type="dxa"/>
            <w:tcBorders>
              <w:top w:val="nil"/>
              <w:left w:val="nil"/>
              <w:bottom w:val="single" w:sz="4" w:space="0" w:color="auto"/>
              <w:right w:val="single" w:sz="4" w:space="0" w:color="auto"/>
            </w:tcBorders>
            <w:shd w:val="clear" w:color="auto" w:fill="auto"/>
            <w:noWrap/>
            <w:vAlign w:val="bottom"/>
          </w:tcPr>
          <w:p w14:paraId="78FF6AA7"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6,305</w:t>
            </w:r>
          </w:p>
        </w:tc>
      </w:tr>
      <w:tr w:rsidR="00266C85" w:rsidRPr="003F00AF" w14:paraId="4C203254"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43C8AF1B"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FY12</w:t>
            </w:r>
          </w:p>
        </w:tc>
        <w:tc>
          <w:tcPr>
            <w:tcW w:w="2790" w:type="dxa"/>
            <w:tcBorders>
              <w:top w:val="nil"/>
              <w:left w:val="nil"/>
              <w:bottom w:val="single" w:sz="4" w:space="0" w:color="auto"/>
              <w:right w:val="single" w:sz="4" w:space="0" w:color="auto"/>
            </w:tcBorders>
            <w:shd w:val="clear" w:color="auto" w:fill="auto"/>
            <w:noWrap/>
            <w:vAlign w:val="bottom"/>
          </w:tcPr>
          <w:p w14:paraId="04F26FA9"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3.19</w:t>
            </w:r>
          </w:p>
        </w:tc>
        <w:tc>
          <w:tcPr>
            <w:tcW w:w="3690" w:type="dxa"/>
            <w:tcBorders>
              <w:top w:val="nil"/>
              <w:left w:val="nil"/>
              <w:bottom w:val="single" w:sz="4" w:space="0" w:color="auto"/>
              <w:right w:val="single" w:sz="4" w:space="0" w:color="auto"/>
            </w:tcBorders>
            <w:shd w:val="clear" w:color="auto" w:fill="auto"/>
            <w:noWrap/>
            <w:vAlign w:val="bottom"/>
          </w:tcPr>
          <w:p w14:paraId="63B2597E"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18,536</w:t>
            </w:r>
          </w:p>
        </w:tc>
      </w:tr>
      <w:tr w:rsidR="00266C85" w:rsidRPr="003F00AF" w14:paraId="6E0B9DEB"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0A37AE84"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FY13</w:t>
            </w:r>
          </w:p>
        </w:tc>
        <w:tc>
          <w:tcPr>
            <w:tcW w:w="2790" w:type="dxa"/>
            <w:tcBorders>
              <w:top w:val="nil"/>
              <w:left w:val="nil"/>
              <w:bottom w:val="single" w:sz="4" w:space="0" w:color="auto"/>
              <w:right w:val="single" w:sz="4" w:space="0" w:color="auto"/>
            </w:tcBorders>
            <w:shd w:val="clear" w:color="auto" w:fill="auto"/>
            <w:noWrap/>
            <w:vAlign w:val="bottom"/>
          </w:tcPr>
          <w:p w14:paraId="152EA3F2"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4.48</w:t>
            </w:r>
          </w:p>
        </w:tc>
        <w:tc>
          <w:tcPr>
            <w:tcW w:w="3690" w:type="dxa"/>
            <w:tcBorders>
              <w:top w:val="nil"/>
              <w:left w:val="nil"/>
              <w:bottom w:val="single" w:sz="4" w:space="0" w:color="auto"/>
              <w:right w:val="single" w:sz="4" w:space="0" w:color="auto"/>
            </w:tcBorders>
            <w:shd w:val="clear" w:color="auto" w:fill="auto"/>
            <w:noWrap/>
            <w:vAlign w:val="bottom"/>
          </w:tcPr>
          <w:p w14:paraId="395431EA"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28,785</w:t>
            </w:r>
          </w:p>
        </w:tc>
      </w:tr>
      <w:tr w:rsidR="00266C85" w:rsidRPr="003F00AF" w14:paraId="791AA02F"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4EB63E40"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FY14</w:t>
            </w:r>
          </w:p>
        </w:tc>
        <w:tc>
          <w:tcPr>
            <w:tcW w:w="2790" w:type="dxa"/>
            <w:tcBorders>
              <w:top w:val="nil"/>
              <w:left w:val="nil"/>
              <w:bottom w:val="single" w:sz="4" w:space="0" w:color="auto"/>
              <w:right w:val="single" w:sz="4" w:space="0" w:color="auto"/>
            </w:tcBorders>
            <w:shd w:val="clear" w:color="auto" w:fill="auto"/>
            <w:noWrap/>
            <w:vAlign w:val="bottom"/>
          </w:tcPr>
          <w:p w14:paraId="407EFD15"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10.36</w:t>
            </w:r>
          </w:p>
        </w:tc>
        <w:tc>
          <w:tcPr>
            <w:tcW w:w="3690" w:type="dxa"/>
            <w:tcBorders>
              <w:top w:val="nil"/>
              <w:left w:val="nil"/>
              <w:bottom w:val="single" w:sz="4" w:space="0" w:color="auto"/>
              <w:right w:val="single" w:sz="4" w:space="0" w:color="auto"/>
            </w:tcBorders>
            <w:shd w:val="clear" w:color="auto" w:fill="auto"/>
            <w:noWrap/>
            <w:vAlign w:val="bottom"/>
          </w:tcPr>
          <w:p w14:paraId="62BFF4AE"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35,385</w:t>
            </w:r>
          </w:p>
        </w:tc>
      </w:tr>
      <w:tr w:rsidR="00266C85" w:rsidRPr="003F00AF" w14:paraId="4A6AE5D9"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0D801746"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FY15</w:t>
            </w:r>
          </w:p>
        </w:tc>
        <w:tc>
          <w:tcPr>
            <w:tcW w:w="2790" w:type="dxa"/>
            <w:tcBorders>
              <w:top w:val="nil"/>
              <w:left w:val="nil"/>
              <w:bottom w:val="single" w:sz="4" w:space="0" w:color="auto"/>
              <w:right w:val="single" w:sz="4" w:space="0" w:color="auto"/>
            </w:tcBorders>
            <w:shd w:val="clear" w:color="auto" w:fill="auto"/>
            <w:noWrap/>
            <w:vAlign w:val="bottom"/>
          </w:tcPr>
          <w:p w14:paraId="06099700"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3.6</w:t>
            </w:r>
          </w:p>
        </w:tc>
        <w:tc>
          <w:tcPr>
            <w:tcW w:w="3690" w:type="dxa"/>
            <w:tcBorders>
              <w:top w:val="nil"/>
              <w:left w:val="nil"/>
              <w:bottom w:val="single" w:sz="4" w:space="0" w:color="auto"/>
              <w:right w:val="single" w:sz="4" w:space="0" w:color="auto"/>
            </w:tcBorders>
            <w:shd w:val="clear" w:color="auto" w:fill="auto"/>
            <w:noWrap/>
            <w:vAlign w:val="bottom"/>
          </w:tcPr>
          <w:p w14:paraId="38F281D0"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13,726</w:t>
            </w:r>
          </w:p>
        </w:tc>
      </w:tr>
      <w:tr w:rsidR="00266C85" w:rsidRPr="003F00AF" w14:paraId="3BF55FD7"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02009525"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FY16</w:t>
            </w:r>
          </w:p>
        </w:tc>
        <w:tc>
          <w:tcPr>
            <w:tcW w:w="2790" w:type="dxa"/>
            <w:tcBorders>
              <w:top w:val="nil"/>
              <w:left w:val="nil"/>
              <w:bottom w:val="single" w:sz="4" w:space="0" w:color="auto"/>
              <w:right w:val="single" w:sz="4" w:space="0" w:color="auto"/>
            </w:tcBorders>
            <w:shd w:val="clear" w:color="auto" w:fill="auto"/>
            <w:noWrap/>
            <w:vAlign w:val="bottom"/>
          </w:tcPr>
          <w:p w14:paraId="6B6661B7"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7.11</w:t>
            </w:r>
          </w:p>
        </w:tc>
        <w:tc>
          <w:tcPr>
            <w:tcW w:w="3690" w:type="dxa"/>
            <w:tcBorders>
              <w:top w:val="nil"/>
              <w:left w:val="nil"/>
              <w:bottom w:val="single" w:sz="4" w:space="0" w:color="auto"/>
              <w:right w:val="single" w:sz="4" w:space="0" w:color="auto"/>
            </w:tcBorders>
            <w:shd w:val="clear" w:color="auto" w:fill="auto"/>
            <w:noWrap/>
            <w:vAlign w:val="bottom"/>
          </w:tcPr>
          <w:p w14:paraId="51BF88F1"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33,386</w:t>
            </w:r>
          </w:p>
        </w:tc>
      </w:tr>
      <w:tr w:rsidR="00266C85" w:rsidRPr="003F00AF" w14:paraId="734D778D" w14:textId="77777777" w:rsidTr="00266C85">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tcPr>
          <w:p w14:paraId="4F6A9039" w14:textId="77777777" w:rsidR="00266C85" w:rsidRPr="003F00AF" w:rsidRDefault="00266C85" w:rsidP="00266C85">
            <w:pPr>
              <w:jc w:val="center"/>
              <w:rPr>
                <w:rFonts w:eastAsia="Arial Unicode MS"/>
                <w:color w:val="000000"/>
                <w:sz w:val="22"/>
                <w:szCs w:val="22"/>
              </w:rPr>
            </w:pPr>
            <w:r w:rsidRPr="003F00AF">
              <w:rPr>
                <w:rFonts w:eastAsia="Arial Unicode MS"/>
                <w:color w:val="000000"/>
                <w:sz w:val="22"/>
                <w:szCs w:val="22"/>
              </w:rPr>
              <w:t>FY17</w:t>
            </w:r>
          </w:p>
        </w:tc>
        <w:tc>
          <w:tcPr>
            <w:tcW w:w="2790" w:type="dxa"/>
            <w:tcBorders>
              <w:top w:val="nil"/>
              <w:left w:val="nil"/>
              <w:bottom w:val="single" w:sz="4" w:space="0" w:color="auto"/>
              <w:right w:val="single" w:sz="4" w:space="0" w:color="auto"/>
            </w:tcBorders>
            <w:shd w:val="clear" w:color="auto" w:fill="auto"/>
            <w:noWrap/>
            <w:vAlign w:val="bottom"/>
          </w:tcPr>
          <w:p w14:paraId="462BC1BC" w14:textId="77777777" w:rsidR="00266C85" w:rsidRPr="003F00AF" w:rsidRDefault="00266C85" w:rsidP="00266C85">
            <w:pPr>
              <w:tabs>
                <w:tab w:val="decimal" w:pos="1422"/>
              </w:tabs>
              <w:rPr>
                <w:rFonts w:eastAsia="Arial Unicode MS"/>
                <w:color w:val="000000"/>
                <w:sz w:val="22"/>
                <w:szCs w:val="22"/>
              </w:rPr>
            </w:pPr>
            <w:r w:rsidRPr="003F00AF">
              <w:rPr>
                <w:rFonts w:eastAsia="Arial Unicode MS"/>
                <w:color w:val="000000"/>
                <w:sz w:val="22"/>
                <w:szCs w:val="22"/>
              </w:rPr>
              <w:t>2.92</w:t>
            </w:r>
          </w:p>
        </w:tc>
        <w:tc>
          <w:tcPr>
            <w:tcW w:w="3690" w:type="dxa"/>
            <w:tcBorders>
              <w:top w:val="nil"/>
              <w:left w:val="nil"/>
              <w:bottom w:val="single" w:sz="4" w:space="0" w:color="auto"/>
              <w:right w:val="single" w:sz="4" w:space="0" w:color="auto"/>
            </w:tcBorders>
            <w:shd w:val="clear" w:color="auto" w:fill="auto"/>
            <w:noWrap/>
            <w:vAlign w:val="bottom"/>
          </w:tcPr>
          <w:p w14:paraId="17B419C6" w14:textId="77777777" w:rsidR="00266C85" w:rsidRPr="003F00AF" w:rsidRDefault="00266C85" w:rsidP="00266C85">
            <w:pPr>
              <w:tabs>
                <w:tab w:val="decimal" w:pos="2602"/>
              </w:tabs>
              <w:rPr>
                <w:rFonts w:eastAsia="Arial Unicode MS"/>
                <w:color w:val="000000"/>
                <w:sz w:val="22"/>
                <w:szCs w:val="22"/>
              </w:rPr>
            </w:pPr>
            <w:r w:rsidRPr="003F00AF">
              <w:rPr>
                <w:rFonts w:eastAsia="Arial Unicode MS"/>
                <w:color w:val="000000"/>
                <w:sz w:val="22"/>
                <w:szCs w:val="22"/>
              </w:rPr>
              <w:t>11,727</w:t>
            </w:r>
          </w:p>
        </w:tc>
      </w:tr>
      <w:tr w:rsidR="00266C85" w:rsidRPr="003F00AF" w14:paraId="03CC64FA" w14:textId="77777777" w:rsidTr="00266C85">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04605" w14:textId="77777777" w:rsidR="00266C85" w:rsidRPr="003F00AF" w:rsidRDefault="00266C85" w:rsidP="00266C85">
            <w:pPr>
              <w:jc w:val="right"/>
              <w:rPr>
                <w:rFonts w:eastAsia="Arial Unicode MS"/>
                <w:b/>
                <w:bCs/>
                <w:color w:val="000000"/>
                <w:sz w:val="22"/>
                <w:szCs w:val="22"/>
              </w:rPr>
            </w:pPr>
            <w:r w:rsidRPr="003F00AF">
              <w:rPr>
                <w:rFonts w:eastAsia="Arial Unicode MS"/>
                <w:b/>
                <w:bCs/>
                <w:color w:val="000000"/>
                <w:sz w:val="22"/>
                <w:szCs w:val="22"/>
              </w:rPr>
              <w:t xml:space="preserve">TOTAL: </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05BB19F1" w14:textId="77777777" w:rsidR="00266C85" w:rsidRPr="003F00AF" w:rsidRDefault="00266C85" w:rsidP="00266C85">
            <w:pPr>
              <w:tabs>
                <w:tab w:val="decimal" w:pos="1422"/>
              </w:tabs>
              <w:rPr>
                <w:rFonts w:eastAsia="Arial Unicode MS"/>
                <w:b/>
                <w:color w:val="000000"/>
                <w:sz w:val="22"/>
                <w:szCs w:val="22"/>
              </w:rPr>
            </w:pPr>
            <w:r w:rsidRPr="003F00AF">
              <w:rPr>
                <w:rFonts w:eastAsia="Arial Unicode MS"/>
                <w:b/>
                <w:color w:val="000000"/>
                <w:sz w:val="22"/>
                <w:szCs w:val="22"/>
              </w:rPr>
              <w:t> 56.97</w:t>
            </w:r>
          </w:p>
        </w:tc>
        <w:tc>
          <w:tcPr>
            <w:tcW w:w="3690" w:type="dxa"/>
            <w:tcBorders>
              <w:top w:val="single" w:sz="4" w:space="0" w:color="auto"/>
              <w:left w:val="nil"/>
              <w:bottom w:val="single" w:sz="4" w:space="0" w:color="auto"/>
              <w:right w:val="single" w:sz="4" w:space="0" w:color="auto"/>
            </w:tcBorders>
            <w:shd w:val="clear" w:color="auto" w:fill="auto"/>
            <w:noWrap/>
            <w:vAlign w:val="bottom"/>
            <w:hideMark/>
          </w:tcPr>
          <w:p w14:paraId="75DEEA38" w14:textId="77777777" w:rsidR="00266C85" w:rsidRPr="003F00AF" w:rsidRDefault="00266C85" w:rsidP="00266C85">
            <w:pPr>
              <w:tabs>
                <w:tab w:val="decimal" w:pos="2602"/>
              </w:tabs>
              <w:rPr>
                <w:rFonts w:eastAsia="Arial Unicode MS"/>
                <w:b/>
                <w:color w:val="000000"/>
                <w:sz w:val="22"/>
                <w:szCs w:val="22"/>
              </w:rPr>
            </w:pPr>
            <w:r w:rsidRPr="003F00AF">
              <w:rPr>
                <w:rFonts w:eastAsia="Arial Unicode MS"/>
                <w:b/>
                <w:color w:val="000000"/>
                <w:sz w:val="22"/>
                <w:szCs w:val="22"/>
              </w:rPr>
              <w:t> 206,259</w:t>
            </w:r>
          </w:p>
        </w:tc>
      </w:tr>
      <w:tr w:rsidR="00266C85" w:rsidRPr="003F00AF" w14:paraId="2A5D50BA" w14:textId="77777777" w:rsidTr="00266C85">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A7D65" w14:textId="77777777" w:rsidR="00266C85" w:rsidRPr="003F00AF" w:rsidRDefault="00266C85" w:rsidP="00266C85">
            <w:pPr>
              <w:jc w:val="right"/>
              <w:rPr>
                <w:rFonts w:eastAsia="Arial Unicode MS"/>
                <w:b/>
                <w:bCs/>
                <w:color w:val="000000"/>
                <w:sz w:val="22"/>
                <w:szCs w:val="22"/>
              </w:rPr>
            </w:pPr>
            <w:r w:rsidRPr="003F00AF">
              <w:rPr>
                <w:rFonts w:eastAsia="Arial Unicode MS"/>
                <w:b/>
                <w:bCs/>
                <w:color w:val="000000"/>
                <w:sz w:val="22"/>
                <w:szCs w:val="22"/>
              </w:rPr>
              <w:t>TOTAL:</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6BB97CD5" w14:textId="77777777" w:rsidR="00266C85" w:rsidRPr="003F00AF" w:rsidRDefault="00266C85" w:rsidP="00266C85">
            <w:pPr>
              <w:tabs>
                <w:tab w:val="decimal" w:pos="1422"/>
              </w:tabs>
              <w:rPr>
                <w:rFonts w:eastAsia="Arial Unicode MS"/>
                <w:b/>
                <w:color w:val="000000"/>
                <w:sz w:val="22"/>
                <w:szCs w:val="22"/>
              </w:rPr>
            </w:pPr>
            <w:r w:rsidRPr="003F00AF">
              <w:rPr>
                <w:rFonts w:eastAsia="Arial Unicode MS"/>
                <w:b/>
                <w:color w:val="000000"/>
                <w:sz w:val="22"/>
                <w:szCs w:val="22"/>
              </w:rPr>
              <w:t>188.42</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45F6DBDC" w14:textId="77777777" w:rsidR="00266C85" w:rsidRPr="003F00AF" w:rsidRDefault="00266C85" w:rsidP="00266C85">
            <w:pPr>
              <w:tabs>
                <w:tab w:val="decimal" w:pos="2602"/>
              </w:tabs>
              <w:rPr>
                <w:rFonts w:eastAsia="Arial Unicode MS"/>
                <w:b/>
                <w:color w:val="000000"/>
                <w:sz w:val="22"/>
                <w:szCs w:val="22"/>
              </w:rPr>
            </w:pPr>
            <w:r w:rsidRPr="003F00AF">
              <w:rPr>
                <w:rFonts w:eastAsia="Arial Unicode MS"/>
                <w:b/>
                <w:color w:val="000000"/>
                <w:sz w:val="22"/>
                <w:szCs w:val="22"/>
              </w:rPr>
              <w:t>736,608</w:t>
            </w:r>
          </w:p>
        </w:tc>
      </w:tr>
    </w:tbl>
    <w:p w14:paraId="58EEC630" w14:textId="77777777" w:rsidR="00266C85" w:rsidRPr="003F00AF" w:rsidRDefault="00266C85" w:rsidP="00266C85"/>
    <w:p w14:paraId="428E6750" w14:textId="77777777" w:rsidR="007F7357" w:rsidRPr="003F00AF" w:rsidRDefault="007F7357" w:rsidP="007F7357">
      <w:pPr>
        <w:sectPr w:rsidR="007F7357" w:rsidRPr="003F00AF" w:rsidSect="0062621C">
          <w:pgSz w:w="12240" w:h="15840" w:code="1"/>
          <w:pgMar w:top="1440" w:right="1440" w:bottom="1440" w:left="1440" w:header="720" w:footer="720" w:gutter="0"/>
          <w:cols w:space="720"/>
          <w:docGrid w:linePitch="360"/>
        </w:sectPr>
      </w:pPr>
    </w:p>
    <w:p w14:paraId="7D5B4AC5" w14:textId="77777777" w:rsidR="00A45C1C" w:rsidRDefault="007F7357" w:rsidP="000036F9">
      <w:pPr>
        <w:pStyle w:val="Heading1"/>
        <w:keepNext/>
        <w:keepLines/>
        <w:spacing w:before="0" w:beforeAutospacing="0" w:after="240"/>
        <w:rPr>
          <w:sz w:val="24"/>
          <w:szCs w:val="24"/>
        </w:rPr>
      </w:pPr>
      <w:bookmarkStart w:id="164" w:name="_IL22"/>
      <w:bookmarkStart w:id="165" w:name="_Toc156197726"/>
      <w:bookmarkStart w:id="166" w:name="_Toc158020662"/>
      <w:bookmarkStart w:id="167" w:name="_Toc463040020"/>
      <w:bookmarkEnd w:id="157"/>
      <w:bookmarkEnd w:id="158"/>
      <w:bookmarkEnd w:id="159"/>
      <w:bookmarkEnd w:id="160"/>
      <w:bookmarkEnd w:id="161"/>
      <w:r w:rsidRPr="003F00AF">
        <w:rPr>
          <w:sz w:val="24"/>
          <w:szCs w:val="24"/>
        </w:rPr>
        <w:t xml:space="preserve">Annex </w:t>
      </w:r>
      <w:r w:rsidR="00266C85" w:rsidRPr="003F00AF">
        <w:rPr>
          <w:sz w:val="24"/>
          <w:szCs w:val="24"/>
        </w:rPr>
        <w:t>2</w:t>
      </w:r>
      <w:r w:rsidRPr="003F00AF">
        <w:rPr>
          <w:sz w:val="24"/>
          <w:szCs w:val="24"/>
        </w:rPr>
        <w:t>. Borrower’s Comments on Draft ICR</w:t>
      </w:r>
      <w:bookmarkStart w:id="168" w:name="_IL26"/>
      <w:bookmarkStart w:id="169" w:name="_Toc156197729"/>
      <w:bookmarkStart w:id="170" w:name="MAP"/>
      <w:bookmarkEnd w:id="164"/>
      <w:bookmarkEnd w:id="165"/>
      <w:bookmarkEnd w:id="166"/>
      <w:bookmarkEnd w:id="167"/>
    </w:p>
    <w:p w14:paraId="0B3CF4EA" w14:textId="37797826" w:rsidR="00A45C1C" w:rsidRDefault="00A45C1C" w:rsidP="005D2AA4">
      <w:pPr>
        <w:spacing w:after="120"/>
        <w:jc w:val="both"/>
        <w:rPr>
          <w:b/>
        </w:rPr>
      </w:pPr>
      <w:bookmarkStart w:id="171" w:name="_Toc463007698"/>
      <w:r w:rsidRPr="005D2AA4">
        <w:rPr>
          <w:b/>
        </w:rPr>
        <w:t>Summary prepared by the ICR Task Team:</w:t>
      </w:r>
      <w:bookmarkEnd w:id="171"/>
    </w:p>
    <w:p w14:paraId="41685D45" w14:textId="77777777" w:rsidR="005D2AA4" w:rsidRPr="005D2AA4" w:rsidRDefault="005D2AA4" w:rsidP="005D2AA4">
      <w:pPr>
        <w:spacing w:after="120"/>
        <w:jc w:val="both"/>
        <w:rPr>
          <w:b/>
        </w:rPr>
      </w:pPr>
    </w:p>
    <w:p w14:paraId="3B8B2691" w14:textId="31E7BC45" w:rsidR="00A45C1C" w:rsidRDefault="00A45C1C" w:rsidP="00A45C1C">
      <w:pPr>
        <w:numPr>
          <w:ilvl w:val="0"/>
          <w:numId w:val="41"/>
        </w:numPr>
        <w:spacing w:after="120"/>
        <w:ind w:left="0" w:firstLine="0"/>
        <w:jc w:val="both"/>
      </w:pPr>
      <w:r w:rsidRPr="00B5005A">
        <w:t>On September 2</w:t>
      </w:r>
      <w:r w:rsidR="005039FE">
        <w:t>7</w:t>
      </w:r>
      <w:r w:rsidRPr="00B5005A">
        <w:t xml:space="preserve">, 2016, the </w:t>
      </w:r>
      <w:r>
        <w:t xml:space="preserve">Government of Peru (GoP) </w:t>
      </w:r>
      <w:r w:rsidRPr="00B5005A">
        <w:t xml:space="preserve">presented </w:t>
      </w:r>
      <w:r>
        <w:t>a report with the Borrower’s comments on the draft ICR for the “Peru Programmatic Environmental Development Policy Loans” (ENVDPLs)</w:t>
      </w:r>
      <w:r w:rsidR="005039FE">
        <w:t xml:space="preserve"> (full copy below)</w:t>
      </w:r>
      <w:r>
        <w:t xml:space="preserve">. The report focuses on the implementation of the programmatic series, lessons learned and performance of the Government and the </w:t>
      </w:r>
      <w:r w:rsidR="00A564BD">
        <w:t xml:space="preserve">World </w:t>
      </w:r>
      <w:r>
        <w:t xml:space="preserve">Bank. </w:t>
      </w:r>
    </w:p>
    <w:p w14:paraId="64535B52" w14:textId="77777777" w:rsidR="00A45C1C" w:rsidRPr="00034FD0" w:rsidRDefault="00A45C1C" w:rsidP="00A45C1C">
      <w:pPr>
        <w:numPr>
          <w:ilvl w:val="0"/>
          <w:numId w:val="41"/>
        </w:numPr>
        <w:spacing w:after="120"/>
        <w:ind w:left="0" w:firstLine="0"/>
        <w:jc w:val="both"/>
      </w:pPr>
      <w:r w:rsidRPr="00034FD0">
        <w:t xml:space="preserve">The GoP confirmed the adoption of all prior actions envisaged in the programmatic series. The program focused on key priorities associated with the legal and institutional framework required to address environmental degradation in the context of sustainable economic growth. In this regards, the GoP confirmed the program sustainability, presenting </w:t>
      </w:r>
      <w:r>
        <w:t xml:space="preserve">additional </w:t>
      </w:r>
      <w:r w:rsidRPr="00034FD0">
        <w:t>data on the PDO indicators, as well as information on policies and investments carried out to complement, refine or continue the policy reforms supported by the ENVDPLs.</w:t>
      </w:r>
    </w:p>
    <w:p w14:paraId="6CE3400A" w14:textId="77777777" w:rsidR="00A45C1C" w:rsidRDefault="00A45C1C" w:rsidP="00A45C1C">
      <w:pPr>
        <w:numPr>
          <w:ilvl w:val="0"/>
          <w:numId w:val="41"/>
        </w:numPr>
        <w:spacing w:after="120"/>
        <w:ind w:left="0" w:firstLine="0"/>
        <w:jc w:val="both"/>
      </w:pPr>
      <w:r w:rsidRPr="00494722">
        <w:t xml:space="preserve">In regards to </w:t>
      </w:r>
      <w:r>
        <w:t>its p</w:t>
      </w:r>
      <w:r w:rsidRPr="00494722">
        <w:t xml:space="preserve">erformance, the GoP stated that the participation of all collaborating agencies was key to implement the policy reforms and achieve the program objectives. The GoP emphasized lessons learned associated with ownership; interinstitutional consensus on the program relevance; implementation time required for different policies; and interinstitutional coordination. </w:t>
      </w:r>
    </w:p>
    <w:p w14:paraId="651CA502" w14:textId="77777777" w:rsidR="00A45C1C" w:rsidRPr="00494722" w:rsidRDefault="00A45C1C" w:rsidP="00A45C1C">
      <w:pPr>
        <w:numPr>
          <w:ilvl w:val="0"/>
          <w:numId w:val="41"/>
        </w:numPr>
        <w:spacing w:after="120"/>
        <w:ind w:left="0" w:firstLine="0"/>
        <w:jc w:val="both"/>
      </w:pPr>
      <w:r w:rsidRPr="00494722">
        <w:t>In addition, the GoP stated that the Bank performance was satisfactory the programmatic series – from design to implementation – with a continuous follow-up and technical expertise on the issues covered by the program. The GoP indicated that the Bank team supervised the operations closely and constructively, contributing to identify potential constraints to the program implementation and suggesting adequate solutions to achieve the program objectives.</w:t>
      </w:r>
    </w:p>
    <w:p w14:paraId="16F334CA" w14:textId="77777777" w:rsidR="00A45C1C" w:rsidRDefault="00A45C1C" w:rsidP="00A45C1C">
      <w:pPr>
        <w:numPr>
          <w:ilvl w:val="0"/>
          <w:numId w:val="41"/>
        </w:numPr>
        <w:spacing w:after="120"/>
        <w:ind w:left="0" w:firstLine="0"/>
        <w:jc w:val="both"/>
        <w:rPr>
          <w:rStyle w:val="ParagraphNumberingChar"/>
          <w:rFonts w:eastAsia="MS Mincho"/>
        </w:rPr>
      </w:pPr>
      <w:r w:rsidRPr="00A54760">
        <w:rPr>
          <w:rStyle w:val="ParagraphNumberingChar"/>
          <w:rFonts w:eastAsia="MS Mincho"/>
        </w:rPr>
        <w:t>The GoP stated that the policy reforms continue to demonstrate their value and relevance over the years. Despite changes in public sector management, the issues covered by the ENVDPLs continue to be part of the agenda of the participating agencies.</w:t>
      </w:r>
    </w:p>
    <w:p w14:paraId="485D2174" w14:textId="77777777" w:rsidR="00A45C1C" w:rsidRDefault="00A45C1C" w:rsidP="000036F9">
      <w:pPr>
        <w:pStyle w:val="Heading1"/>
        <w:keepNext/>
        <w:keepLines/>
        <w:spacing w:before="0" w:beforeAutospacing="0" w:after="240"/>
      </w:pPr>
    </w:p>
    <w:p w14:paraId="1D6CCCDE" w14:textId="77777777" w:rsidR="00A45C1C" w:rsidRDefault="00A45C1C" w:rsidP="000036F9">
      <w:pPr>
        <w:pStyle w:val="Heading1"/>
        <w:keepNext/>
        <w:keepLines/>
        <w:spacing w:before="0" w:beforeAutospacing="0" w:after="240"/>
      </w:pPr>
    </w:p>
    <w:p w14:paraId="1D361034" w14:textId="77777777" w:rsidR="00A45C1C" w:rsidRDefault="00A45C1C" w:rsidP="000036F9">
      <w:pPr>
        <w:pStyle w:val="Heading1"/>
        <w:keepNext/>
        <w:keepLines/>
        <w:spacing w:before="0" w:beforeAutospacing="0" w:after="240"/>
      </w:pPr>
    </w:p>
    <w:p w14:paraId="3E186A3D" w14:textId="77777777" w:rsidR="00A45C1C" w:rsidRDefault="00A45C1C" w:rsidP="000036F9">
      <w:pPr>
        <w:pStyle w:val="Heading1"/>
        <w:keepNext/>
        <w:keepLines/>
        <w:spacing w:before="0" w:beforeAutospacing="0" w:after="240"/>
      </w:pPr>
    </w:p>
    <w:p w14:paraId="49B08DB6" w14:textId="77777777" w:rsidR="00A45C1C" w:rsidRDefault="00A45C1C" w:rsidP="000036F9">
      <w:pPr>
        <w:pStyle w:val="Heading1"/>
        <w:keepNext/>
        <w:keepLines/>
        <w:spacing w:before="0" w:beforeAutospacing="0" w:after="240"/>
      </w:pPr>
    </w:p>
    <w:p w14:paraId="15395A02" w14:textId="77777777" w:rsidR="00A45C1C" w:rsidRDefault="00A45C1C" w:rsidP="000036F9">
      <w:pPr>
        <w:pStyle w:val="Heading1"/>
        <w:keepNext/>
        <w:keepLines/>
        <w:spacing w:before="0" w:beforeAutospacing="0" w:after="240"/>
      </w:pPr>
    </w:p>
    <w:p w14:paraId="062D10B6" w14:textId="77777777" w:rsidR="00A45C1C" w:rsidRDefault="00A45C1C" w:rsidP="007F7357"/>
    <w:p w14:paraId="09E6C33A" w14:textId="77777777" w:rsidR="00A45C1C" w:rsidRDefault="00A45C1C" w:rsidP="007F7357"/>
    <w:p w14:paraId="667CA367" w14:textId="77777777" w:rsidR="005039FE" w:rsidRDefault="005039FE" w:rsidP="007F7357"/>
    <w:p w14:paraId="56958174" w14:textId="77777777" w:rsidR="005039FE" w:rsidRDefault="005039FE" w:rsidP="007F7357"/>
    <w:p w14:paraId="40943394" w14:textId="77777777" w:rsidR="005039FE" w:rsidRDefault="005039FE" w:rsidP="007F7357"/>
    <w:p w14:paraId="108B98F3" w14:textId="77777777" w:rsidR="005039FE" w:rsidRDefault="005039FE" w:rsidP="007F7357"/>
    <w:p w14:paraId="56775022" w14:textId="77777777" w:rsidR="005039FE" w:rsidRDefault="005039FE" w:rsidP="007F7357"/>
    <w:p w14:paraId="3A4A087C" w14:textId="77777777" w:rsidR="005039FE" w:rsidRDefault="005039FE" w:rsidP="007F7357"/>
    <w:p w14:paraId="7D1BEFE5" w14:textId="64C5233D" w:rsidR="000036F9" w:rsidRPr="003F00AF" w:rsidRDefault="002B185B" w:rsidP="007F7357">
      <w:r>
        <w:rPr>
          <w:noProof/>
          <w:lang w:eastAsia="en-US"/>
        </w:rPr>
        <w:drawing>
          <wp:inline distT="0" distB="0" distL="0" distR="0" wp14:anchorId="79E5C243" wp14:editId="16F8DDFD">
            <wp:extent cx="5943600" cy="641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41350"/>
                    </a:xfrm>
                    <a:prstGeom prst="rect">
                      <a:avLst/>
                    </a:prstGeom>
                  </pic:spPr>
                </pic:pic>
              </a:graphicData>
            </a:graphic>
          </wp:inline>
        </w:drawing>
      </w:r>
    </w:p>
    <w:p w14:paraId="44205086" w14:textId="77777777" w:rsidR="00A45C1C" w:rsidRPr="00A45C1C" w:rsidRDefault="00A45C1C" w:rsidP="00A45C1C">
      <w:pPr>
        <w:jc w:val="center"/>
        <w:rPr>
          <w:rFonts w:ascii="Arial" w:eastAsia="Times New Roman" w:hAnsi="Arial" w:cs="Arial"/>
          <w:b/>
          <w:sz w:val="22"/>
          <w:szCs w:val="22"/>
          <w:lang w:val="es-CO"/>
        </w:rPr>
      </w:pPr>
      <w:r w:rsidRPr="00A45C1C">
        <w:rPr>
          <w:rFonts w:ascii="Arial" w:hAnsi="Arial" w:cs="Arial"/>
          <w:b/>
          <w:sz w:val="22"/>
          <w:szCs w:val="22"/>
          <w:lang w:val="es-CO"/>
        </w:rPr>
        <w:t>INFORME FINAL DE EJECUCIÓN</w:t>
      </w:r>
    </w:p>
    <w:p w14:paraId="26BDEF3C" w14:textId="77777777" w:rsidR="00A45C1C" w:rsidRPr="00A45C1C" w:rsidRDefault="00A45C1C" w:rsidP="00A45C1C">
      <w:pPr>
        <w:jc w:val="center"/>
        <w:rPr>
          <w:rFonts w:ascii="Arial" w:hAnsi="Arial" w:cs="Arial"/>
          <w:b/>
          <w:sz w:val="22"/>
          <w:szCs w:val="22"/>
          <w:lang w:val="es-CO"/>
        </w:rPr>
      </w:pPr>
    </w:p>
    <w:p w14:paraId="5F8FA05E" w14:textId="77777777" w:rsidR="00A45C1C" w:rsidRPr="00A45C1C" w:rsidRDefault="00A45C1C" w:rsidP="00A45C1C">
      <w:pPr>
        <w:jc w:val="center"/>
        <w:rPr>
          <w:rFonts w:ascii="Arial" w:hAnsi="Arial" w:cs="Arial"/>
          <w:b/>
          <w:sz w:val="22"/>
          <w:szCs w:val="22"/>
          <w:lang w:val="es-CO"/>
        </w:rPr>
      </w:pPr>
      <w:r w:rsidRPr="00A45C1C">
        <w:rPr>
          <w:rFonts w:ascii="Arial" w:hAnsi="Arial" w:cs="Arial"/>
          <w:b/>
          <w:sz w:val="22"/>
          <w:szCs w:val="22"/>
          <w:lang w:val="es-CO"/>
        </w:rPr>
        <w:t xml:space="preserve">Serie de Préstamos Programáticos para Políticas de Desarrollo Ambiental </w:t>
      </w:r>
    </w:p>
    <w:p w14:paraId="2408329B" w14:textId="77777777" w:rsidR="00A45C1C" w:rsidRDefault="00A45C1C" w:rsidP="00A45C1C">
      <w:pPr>
        <w:jc w:val="center"/>
        <w:rPr>
          <w:rFonts w:ascii="Arial" w:hAnsi="Arial" w:cs="Arial"/>
          <w:b/>
          <w:sz w:val="22"/>
          <w:szCs w:val="22"/>
        </w:rPr>
      </w:pPr>
      <w:r>
        <w:rPr>
          <w:rFonts w:ascii="Arial" w:hAnsi="Arial" w:cs="Arial"/>
          <w:b/>
          <w:sz w:val="22"/>
          <w:szCs w:val="22"/>
        </w:rPr>
        <w:t>BANCO MUNDIAL (BM)</w:t>
      </w:r>
    </w:p>
    <w:p w14:paraId="698A32D5" w14:textId="77777777" w:rsidR="00A45C1C" w:rsidRDefault="00A45C1C" w:rsidP="00A45C1C">
      <w:pPr>
        <w:jc w:val="both"/>
        <w:rPr>
          <w:rFonts w:ascii="Arial" w:hAnsi="Arial" w:cs="Arial"/>
          <w:sz w:val="22"/>
          <w:szCs w:val="22"/>
        </w:rPr>
      </w:pPr>
    </w:p>
    <w:p w14:paraId="75CCFD00" w14:textId="77777777" w:rsidR="00A45C1C" w:rsidRDefault="00A45C1C" w:rsidP="00A45C1C">
      <w:pPr>
        <w:numPr>
          <w:ilvl w:val="0"/>
          <w:numId w:val="42"/>
        </w:numPr>
        <w:ind w:hanging="796"/>
        <w:jc w:val="both"/>
        <w:rPr>
          <w:rFonts w:ascii="Arial" w:hAnsi="Arial" w:cs="Arial"/>
          <w:b/>
          <w:sz w:val="22"/>
          <w:szCs w:val="22"/>
        </w:rPr>
      </w:pPr>
      <w:r>
        <w:rPr>
          <w:rFonts w:ascii="Arial" w:hAnsi="Arial" w:cs="Arial"/>
          <w:b/>
          <w:sz w:val="22"/>
          <w:szCs w:val="22"/>
        </w:rPr>
        <w:t>Generalidades</w:t>
      </w:r>
    </w:p>
    <w:p w14:paraId="5412F138" w14:textId="77777777" w:rsidR="00A45C1C" w:rsidRDefault="00A45C1C" w:rsidP="00A45C1C">
      <w:pPr>
        <w:pStyle w:val="Title"/>
        <w:jc w:val="both"/>
        <w:rPr>
          <w:rFonts w:ascii="Arial" w:hAnsi="Arial" w:cs="Arial"/>
          <w:sz w:val="22"/>
          <w:szCs w:val="22"/>
          <w:lang w:val="es-PE"/>
        </w:rPr>
      </w:pPr>
    </w:p>
    <w:p w14:paraId="75BCD3DF" w14:textId="6FB3F9A2" w:rsidR="00A45C1C" w:rsidRDefault="00A45C1C" w:rsidP="00A45C1C">
      <w:pPr>
        <w:ind w:left="709"/>
        <w:jc w:val="both"/>
        <w:rPr>
          <w:rFonts w:ascii="Arial" w:hAnsi="Arial" w:cs="Arial"/>
          <w:sz w:val="20"/>
          <w:szCs w:val="22"/>
          <w:lang w:val="es-ES"/>
        </w:rPr>
      </w:pPr>
      <w:r w:rsidRPr="00A45C1C">
        <w:rPr>
          <w:rFonts w:ascii="Arial" w:hAnsi="Arial" w:cs="Arial"/>
          <w:szCs w:val="22"/>
          <w:lang w:val="es-CO"/>
        </w:rPr>
        <w:t>Durante el año 2007, el Gobierno Peruano y el BM iniciaron el diseño de un programa de reformas cuyo objetivo principal es apoyar los esfuerzos para fortalecer la gobernabilidad ambiental y su</w:t>
      </w:r>
      <w:r w:rsidR="005039FE">
        <w:rPr>
          <w:rFonts w:ascii="Arial" w:hAnsi="Arial" w:cs="Arial"/>
          <w:szCs w:val="22"/>
          <w:lang w:val="es-CO"/>
        </w:rPr>
        <w:t xml:space="preserve"> </w:t>
      </w:r>
      <w:r w:rsidRPr="00A45C1C">
        <w:rPr>
          <w:rFonts w:ascii="Arial" w:hAnsi="Arial" w:cs="Arial"/>
          <w:szCs w:val="22"/>
          <w:lang w:val="es-CO"/>
        </w:rPr>
        <w:t>institucionalidad en el Perú, e incorporar la sostenibilidad ambiental en la agenda de desarrollo de sectores clave tales como minería, pesca, transporte urbano y energía. El programa consistiría en tres préstamos de libre disponibilidad bajo la denominación “Préstamo Programático de Política Ambiental”.</w:t>
      </w:r>
    </w:p>
    <w:p w14:paraId="68190CBE" w14:textId="77777777" w:rsidR="00A45C1C" w:rsidRPr="00A45C1C" w:rsidRDefault="00A45C1C" w:rsidP="00A45C1C">
      <w:pPr>
        <w:ind w:left="709"/>
        <w:jc w:val="both"/>
        <w:rPr>
          <w:szCs w:val="20"/>
          <w:lang w:val="es-CO"/>
        </w:rPr>
      </w:pPr>
    </w:p>
    <w:p w14:paraId="240AC33F"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 xml:space="preserve">La concertación de dichos préstamos se realizó de forma anual, entre el periodo 2009 – 2011, bajo la modalidad de “préstamos programáticos”. La primera operación </w:t>
      </w:r>
      <w:r w:rsidRPr="00A45C1C">
        <w:rPr>
          <w:rFonts w:ascii="Arial" w:hAnsi="Arial" w:cs="Arial"/>
          <w:lang w:val="es-CO"/>
        </w:rPr>
        <w:t>por un monto de US$ 330 millones fue aprobada mediante Decreto Supremo Nº 196-2009-EF publicado el 03 de septiembre de 2009, de los cuales US$ 20 millones corresponden a endeudamiento externo y US$ 310 millones a un financiamiento contingente de desembolso diferido DDO (Deferred Drawdown Option). Asimismo, la segunda operación por US</w:t>
      </w:r>
      <w:r w:rsidRPr="00A45C1C">
        <w:rPr>
          <w:rFonts w:ascii="Arial" w:eastAsia="Calibri" w:hAnsi="Arial" w:cs="Arial"/>
          <w:lang w:val="es-CO"/>
        </w:rPr>
        <w:t xml:space="preserve">$ 50 millones fue aprobada mediante Decreto Supremo Nº 297-2009-EF del </w:t>
      </w:r>
      <w:r w:rsidRPr="00A45C1C">
        <w:rPr>
          <w:rFonts w:ascii="Arial" w:hAnsi="Arial" w:cs="Arial"/>
          <w:color w:val="000000"/>
          <w:lang w:val="es-CO"/>
        </w:rPr>
        <w:t>17 de diciembre de 2009. Finalmente, la última operación</w:t>
      </w:r>
      <w:r w:rsidRPr="00A45C1C">
        <w:rPr>
          <w:rFonts w:ascii="Arial" w:hAnsi="Arial" w:cs="Arial"/>
          <w:lang w:val="es-CO"/>
        </w:rPr>
        <w:t xml:space="preserve"> por </w:t>
      </w:r>
      <w:r w:rsidRPr="00A45C1C">
        <w:rPr>
          <w:rFonts w:ascii="Arial" w:eastAsia="Calibri" w:hAnsi="Arial" w:cs="Arial"/>
          <w:lang w:val="es-CO"/>
        </w:rPr>
        <w:t>US$ 75 millones se aprobó mediante Decreto Supremo Nº 180-2010-EF</w:t>
      </w:r>
      <w:r w:rsidRPr="00A45C1C">
        <w:rPr>
          <w:rFonts w:ascii="Arial" w:hAnsi="Arial" w:cs="Arial"/>
          <w:color w:val="000000"/>
          <w:lang w:val="es-CO"/>
        </w:rPr>
        <w:t xml:space="preserve"> del 25 de agosto de 2010. Todas las operaciones de endeudamiento fueron desembolsadas uno o dos meses luego de su aprobación, mientras que el monto del financiamiento contingente de la primera operación fue desembolsado en octubre 2015.</w:t>
      </w:r>
    </w:p>
    <w:p w14:paraId="4BF102C8" w14:textId="77777777" w:rsidR="00A45C1C" w:rsidRPr="00A45C1C" w:rsidRDefault="00A45C1C" w:rsidP="00A45C1C">
      <w:pPr>
        <w:ind w:left="709"/>
        <w:jc w:val="both"/>
        <w:rPr>
          <w:rFonts w:ascii="Arial" w:hAnsi="Arial" w:cs="Arial"/>
          <w:color w:val="000000"/>
          <w:szCs w:val="20"/>
          <w:lang w:val="es-CO"/>
        </w:rPr>
      </w:pPr>
    </w:p>
    <w:p w14:paraId="780483A7" w14:textId="77777777" w:rsidR="00A45C1C" w:rsidRPr="00A45C1C" w:rsidRDefault="00A45C1C" w:rsidP="00A45C1C">
      <w:pPr>
        <w:ind w:left="709"/>
        <w:jc w:val="both"/>
        <w:rPr>
          <w:rFonts w:ascii="Arial" w:hAnsi="Arial" w:cs="Arial"/>
          <w:color w:val="000000"/>
          <w:lang w:val="es-CO"/>
        </w:rPr>
      </w:pPr>
      <w:r w:rsidRPr="00A45C1C">
        <w:rPr>
          <w:rFonts w:ascii="Arial" w:hAnsi="Arial" w:cs="Arial"/>
          <w:color w:val="000000"/>
          <w:lang w:val="es-CO"/>
        </w:rPr>
        <w:t>Cabe mencionar, que la tercera operación contó con el cofinanciamiento de la cooperación Alemana (KfW) por € 21 millones, básicamente apoyando el componente referido al SERNANP.</w:t>
      </w:r>
    </w:p>
    <w:p w14:paraId="603B8511" w14:textId="77777777" w:rsidR="00A45C1C" w:rsidRPr="00A45C1C" w:rsidRDefault="00A45C1C" w:rsidP="00A45C1C">
      <w:pPr>
        <w:ind w:left="709"/>
        <w:jc w:val="both"/>
        <w:rPr>
          <w:rFonts w:ascii="Arial" w:hAnsi="Arial" w:cs="Arial"/>
          <w:szCs w:val="22"/>
          <w:highlight w:val="lightGray"/>
          <w:lang w:val="es-CO"/>
        </w:rPr>
      </w:pPr>
    </w:p>
    <w:p w14:paraId="666CD07D"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La ejecución de la serie programática estuvo a cargo del Ministerio de Economía y Finanzas, con la participación técnica de las siguientes entidades:</w:t>
      </w:r>
    </w:p>
    <w:p w14:paraId="77873A27" w14:textId="77777777" w:rsidR="00A45C1C" w:rsidRPr="00A45C1C" w:rsidRDefault="00A45C1C" w:rsidP="00A45C1C">
      <w:pPr>
        <w:numPr>
          <w:ilvl w:val="0"/>
          <w:numId w:val="43"/>
        </w:numPr>
        <w:jc w:val="both"/>
        <w:rPr>
          <w:rFonts w:ascii="Arial" w:hAnsi="Arial" w:cs="Arial"/>
          <w:szCs w:val="20"/>
          <w:lang w:val="es-CO"/>
        </w:rPr>
      </w:pPr>
      <w:r w:rsidRPr="00A45C1C">
        <w:rPr>
          <w:rFonts w:ascii="Arial" w:hAnsi="Arial" w:cs="Arial"/>
          <w:lang w:val="es-CO"/>
        </w:rPr>
        <w:t>Dirección General de Salud Ambiental del Ministerio de Salud (DIGESA)</w:t>
      </w:r>
    </w:p>
    <w:p w14:paraId="19CED5D8" w14:textId="77777777" w:rsidR="00A45C1C" w:rsidRDefault="00A45C1C" w:rsidP="00A45C1C">
      <w:pPr>
        <w:numPr>
          <w:ilvl w:val="0"/>
          <w:numId w:val="43"/>
        </w:numPr>
        <w:jc w:val="both"/>
        <w:rPr>
          <w:rFonts w:ascii="Arial" w:hAnsi="Arial" w:cs="Arial"/>
        </w:rPr>
      </w:pPr>
      <w:r>
        <w:rPr>
          <w:rFonts w:ascii="Arial" w:hAnsi="Arial" w:cs="Arial"/>
        </w:rPr>
        <w:t>Ministerio del Ambiente (MINAM)</w:t>
      </w:r>
    </w:p>
    <w:p w14:paraId="2EEE73B2" w14:textId="77777777" w:rsidR="00A45C1C" w:rsidRPr="00A45C1C" w:rsidRDefault="00A45C1C" w:rsidP="00A45C1C">
      <w:pPr>
        <w:numPr>
          <w:ilvl w:val="0"/>
          <w:numId w:val="43"/>
        </w:numPr>
        <w:jc w:val="both"/>
        <w:rPr>
          <w:rFonts w:ascii="Arial" w:hAnsi="Arial" w:cs="Arial"/>
          <w:lang w:val="es-CO"/>
        </w:rPr>
      </w:pPr>
      <w:r w:rsidRPr="00A45C1C">
        <w:rPr>
          <w:rFonts w:ascii="Arial" w:hAnsi="Arial" w:cs="Arial"/>
          <w:lang w:val="es-CO"/>
        </w:rPr>
        <w:t>Ministerio de Energía y Minas (MEM)</w:t>
      </w:r>
    </w:p>
    <w:p w14:paraId="0CD93E4C" w14:textId="77777777" w:rsidR="00A45C1C" w:rsidRPr="00A45C1C" w:rsidRDefault="00A45C1C" w:rsidP="00A45C1C">
      <w:pPr>
        <w:numPr>
          <w:ilvl w:val="0"/>
          <w:numId w:val="43"/>
        </w:numPr>
        <w:jc w:val="both"/>
        <w:rPr>
          <w:rFonts w:ascii="Arial" w:hAnsi="Arial" w:cs="Arial"/>
          <w:lang w:val="es-CO"/>
        </w:rPr>
      </w:pPr>
      <w:r w:rsidRPr="00A45C1C">
        <w:rPr>
          <w:rFonts w:ascii="Arial" w:hAnsi="Arial" w:cs="Arial"/>
          <w:lang w:val="es-CO"/>
        </w:rPr>
        <w:t>Ministerio de la Producción (PRODUCE)</w:t>
      </w:r>
    </w:p>
    <w:p w14:paraId="053799CB" w14:textId="77777777" w:rsidR="00A45C1C" w:rsidRPr="00A45C1C" w:rsidRDefault="00A45C1C" w:rsidP="00A45C1C">
      <w:pPr>
        <w:numPr>
          <w:ilvl w:val="0"/>
          <w:numId w:val="43"/>
        </w:numPr>
        <w:jc w:val="both"/>
        <w:rPr>
          <w:rFonts w:ascii="Arial" w:hAnsi="Arial" w:cs="Arial"/>
          <w:lang w:val="es-CO"/>
        </w:rPr>
      </w:pPr>
      <w:r w:rsidRPr="00A45C1C">
        <w:rPr>
          <w:rFonts w:ascii="Arial" w:hAnsi="Arial" w:cs="Arial"/>
          <w:lang w:val="es-CO"/>
        </w:rPr>
        <w:t>Ministerio de Transportes y Comunicaciones (MTC)</w:t>
      </w:r>
    </w:p>
    <w:p w14:paraId="4113AC5B" w14:textId="77777777" w:rsidR="00A45C1C" w:rsidRPr="00A45C1C" w:rsidRDefault="00A45C1C" w:rsidP="00A45C1C">
      <w:pPr>
        <w:numPr>
          <w:ilvl w:val="0"/>
          <w:numId w:val="43"/>
        </w:numPr>
        <w:jc w:val="both"/>
        <w:rPr>
          <w:rFonts w:ascii="Arial" w:hAnsi="Arial" w:cs="Arial"/>
          <w:lang w:val="pt-BR"/>
        </w:rPr>
      </w:pPr>
      <w:r w:rsidRPr="00A45C1C">
        <w:rPr>
          <w:rFonts w:ascii="Arial" w:hAnsi="Arial" w:cs="Arial"/>
          <w:lang w:val="pt-BR"/>
        </w:rPr>
        <w:t>Servicio Nacional de Áreas Naturales Protegidas (SERNANP)</w:t>
      </w:r>
    </w:p>
    <w:p w14:paraId="2AC7EDF6" w14:textId="77777777" w:rsidR="00A45C1C" w:rsidRPr="00A45C1C" w:rsidRDefault="00A45C1C" w:rsidP="00A45C1C">
      <w:pPr>
        <w:numPr>
          <w:ilvl w:val="0"/>
          <w:numId w:val="43"/>
        </w:numPr>
        <w:jc w:val="both"/>
        <w:rPr>
          <w:rFonts w:ascii="Arial" w:hAnsi="Arial" w:cs="Arial"/>
          <w:lang w:val="es-CO"/>
        </w:rPr>
      </w:pPr>
      <w:r w:rsidRPr="00A45C1C">
        <w:rPr>
          <w:rFonts w:ascii="Arial" w:hAnsi="Arial" w:cs="Arial"/>
          <w:lang w:val="es-CO"/>
        </w:rPr>
        <w:t>Servicio Nacional de Meteorología e Hidrología (SENAMHI)</w:t>
      </w:r>
    </w:p>
    <w:p w14:paraId="5300B41B" w14:textId="77777777" w:rsidR="00A45C1C" w:rsidRPr="00A45C1C" w:rsidRDefault="00A45C1C" w:rsidP="00A45C1C">
      <w:pPr>
        <w:numPr>
          <w:ilvl w:val="0"/>
          <w:numId w:val="43"/>
        </w:numPr>
        <w:jc w:val="both"/>
        <w:rPr>
          <w:rFonts w:ascii="Arial" w:hAnsi="Arial" w:cs="Arial"/>
          <w:lang w:val="es-CO"/>
        </w:rPr>
      </w:pPr>
      <w:r w:rsidRPr="00A45C1C">
        <w:rPr>
          <w:rFonts w:ascii="Arial" w:hAnsi="Arial" w:cs="Arial"/>
          <w:lang w:val="es-CO"/>
        </w:rPr>
        <w:t>Organismo de Evaluación y Fiscalización Ambiental (OEFA)</w:t>
      </w:r>
    </w:p>
    <w:p w14:paraId="5D0A636C" w14:textId="77777777" w:rsidR="00A45C1C" w:rsidRPr="00A45C1C" w:rsidRDefault="00A45C1C" w:rsidP="00A45C1C">
      <w:pPr>
        <w:ind w:left="284"/>
        <w:jc w:val="both"/>
        <w:rPr>
          <w:rFonts w:ascii="Arial" w:hAnsi="Arial" w:cs="Arial"/>
          <w:szCs w:val="22"/>
          <w:lang w:val="es-CO"/>
        </w:rPr>
      </w:pPr>
    </w:p>
    <w:p w14:paraId="72950A7C" w14:textId="77777777" w:rsidR="00A45C1C" w:rsidRDefault="00A45C1C" w:rsidP="00A45C1C">
      <w:pPr>
        <w:numPr>
          <w:ilvl w:val="0"/>
          <w:numId w:val="42"/>
        </w:numPr>
        <w:ind w:hanging="796"/>
        <w:jc w:val="both"/>
        <w:rPr>
          <w:rFonts w:ascii="Arial" w:hAnsi="Arial" w:cs="Arial"/>
          <w:b/>
          <w:sz w:val="22"/>
          <w:szCs w:val="22"/>
        </w:rPr>
      </w:pPr>
      <w:r>
        <w:rPr>
          <w:rFonts w:ascii="Arial" w:hAnsi="Arial" w:cs="Arial"/>
          <w:b/>
          <w:sz w:val="22"/>
          <w:szCs w:val="22"/>
        </w:rPr>
        <w:t>Descripción de la Serie Programática</w:t>
      </w:r>
    </w:p>
    <w:p w14:paraId="5AC03899" w14:textId="77777777" w:rsidR="00A45C1C" w:rsidRDefault="00A45C1C" w:rsidP="00A45C1C">
      <w:pPr>
        <w:ind w:left="708"/>
        <w:jc w:val="both"/>
        <w:rPr>
          <w:rFonts w:ascii="Arial" w:hAnsi="Arial" w:cs="Arial"/>
          <w:sz w:val="20"/>
          <w:szCs w:val="22"/>
        </w:rPr>
      </w:pPr>
    </w:p>
    <w:p w14:paraId="1B4821AC" w14:textId="77777777" w:rsidR="00A45C1C" w:rsidRPr="00A45C1C" w:rsidRDefault="00A45C1C" w:rsidP="00A45C1C">
      <w:pPr>
        <w:ind w:left="709"/>
        <w:jc w:val="both"/>
        <w:rPr>
          <w:rStyle w:val="ParagraphNumberingChar"/>
          <w:rFonts w:ascii="Arial" w:eastAsia="MS Mincho" w:hAnsi="Arial" w:cs="Arial"/>
          <w:szCs w:val="22"/>
          <w:lang w:val="es-CO"/>
        </w:rPr>
      </w:pPr>
      <w:r w:rsidRPr="00A45C1C">
        <w:rPr>
          <w:rStyle w:val="ParagraphNumberingChar"/>
          <w:rFonts w:ascii="Arial" w:eastAsia="MS Mincho" w:hAnsi="Arial" w:cs="Arial"/>
          <w:szCs w:val="22"/>
          <w:lang w:val="es-CO"/>
        </w:rPr>
        <w:t xml:space="preserve">Las reformas asociadas a la Serie Programática, cuyo objetivo es </w:t>
      </w:r>
      <w:r w:rsidRPr="00A45C1C">
        <w:rPr>
          <w:rFonts w:ascii="Arial" w:hAnsi="Arial" w:cs="Arial"/>
          <w:szCs w:val="22"/>
          <w:lang w:val="es-CO"/>
        </w:rPr>
        <w:t>apoyar los esfuerzos para fortalecer la gobernabilidad ambiental y sus instituciones en el Perú, e incorporar la sostenibilidad ambiental en la agenda de desarrollo de sectores clave tales como minería, pesca, transporte urbano y energía</w:t>
      </w:r>
      <w:r>
        <w:rPr>
          <w:rStyle w:val="FootnoteReference"/>
          <w:szCs w:val="22"/>
        </w:rPr>
        <w:footnoteReference w:id="28"/>
      </w:r>
      <w:r w:rsidRPr="00A45C1C">
        <w:rPr>
          <w:rStyle w:val="ParagraphNumberingChar"/>
          <w:rFonts w:ascii="Arial" w:eastAsia="MS Mincho" w:hAnsi="Arial" w:cs="Arial"/>
          <w:szCs w:val="22"/>
          <w:lang w:val="es-CO"/>
        </w:rPr>
        <w:t xml:space="preserve">, cuyas acciones previas fueron consideradas durante las cuatro operaciones de la serie programática, se detallan a continuación: </w:t>
      </w:r>
    </w:p>
    <w:p w14:paraId="39408007" w14:textId="77777777" w:rsidR="00A45C1C" w:rsidRPr="00A45C1C" w:rsidRDefault="00A45C1C" w:rsidP="00A45C1C">
      <w:pPr>
        <w:ind w:left="709"/>
        <w:jc w:val="both"/>
        <w:rPr>
          <w:rStyle w:val="ParagraphNumberingChar"/>
          <w:rFonts w:ascii="Arial" w:eastAsia="MS Mincho" w:hAnsi="Arial" w:cs="Arial"/>
          <w:szCs w:val="22"/>
          <w:lang w:val="es-CO"/>
        </w:rPr>
      </w:pPr>
    </w:p>
    <w:p w14:paraId="7A7C5D63" w14:textId="77777777" w:rsidR="00A45C1C" w:rsidRDefault="00A45C1C" w:rsidP="00A45C1C">
      <w:pPr>
        <w:pStyle w:val="Prrafodelista2"/>
        <w:numPr>
          <w:ilvl w:val="0"/>
          <w:numId w:val="44"/>
        </w:numPr>
        <w:ind w:left="1134"/>
        <w:jc w:val="both"/>
      </w:pPr>
      <w:r>
        <w:rPr>
          <w:rFonts w:ascii="Arial" w:hAnsi="Arial" w:cs="Arial"/>
          <w:szCs w:val="22"/>
          <w:lang w:val="es-ES"/>
        </w:rPr>
        <w:t>Gobernabilidad Ambiental</w:t>
      </w:r>
      <w:r>
        <w:rPr>
          <w:rFonts w:ascii="Arial" w:hAnsi="Arial" w:cs="Arial"/>
          <w:bCs/>
          <w:szCs w:val="22"/>
          <w:lang w:val="es-ES"/>
        </w:rPr>
        <w:t xml:space="preserve"> </w:t>
      </w:r>
    </w:p>
    <w:p w14:paraId="10179ECC" w14:textId="77777777" w:rsidR="00A45C1C" w:rsidRDefault="00A45C1C" w:rsidP="00A45C1C">
      <w:pPr>
        <w:pStyle w:val="Prrafodelista2"/>
        <w:ind w:left="709"/>
        <w:jc w:val="both"/>
        <w:rPr>
          <w:rFonts w:ascii="Arial" w:hAnsi="Arial" w:cs="Arial"/>
          <w:szCs w:val="22"/>
        </w:rPr>
      </w:pPr>
    </w:p>
    <w:p w14:paraId="7533A716"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Con el fin de fortalecer el marco legal e institucional de la gestión ambiental se consideraron las siguientes acciones previas:</w:t>
      </w:r>
    </w:p>
    <w:p w14:paraId="599DF2EC" w14:textId="77777777" w:rsidR="00A45C1C" w:rsidRPr="00A45C1C" w:rsidRDefault="00A45C1C" w:rsidP="00A45C1C">
      <w:pPr>
        <w:ind w:left="1134"/>
        <w:jc w:val="both"/>
        <w:rPr>
          <w:rFonts w:ascii="Arial" w:hAnsi="Arial" w:cs="Arial"/>
          <w:szCs w:val="22"/>
          <w:lang w:val="es-CO"/>
        </w:rPr>
      </w:pPr>
    </w:p>
    <w:p w14:paraId="1B7D325C"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 xml:space="preserve">1° Operación. </w:t>
      </w:r>
    </w:p>
    <w:p w14:paraId="2D01B91B" w14:textId="77777777" w:rsidR="00A45C1C" w:rsidRPr="00A45C1C" w:rsidRDefault="00A45C1C" w:rsidP="00A45C1C">
      <w:pPr>
        <w:ind w:left="1418"/>
        <w:jc w:val="both"/>
        <w:rPr>
          <w:rFonts w:ascii="Arial" w:hAnsi="Arial" w:cs="Arial"/>
          <w:szCs w:val="22"/>
          <w:lang w:val="es-CO"/>
        </w:rPr>
      </w:pPr>
      <w:r w:rsidRPr="00A45C1C">
        <w:rPr>
          <w:rFonts w:ascii="Arial" w:hAnsi="Arial" w:cs="Arial"/>
          <w:szCs w:val="22"/>
          <w:lang w:val="es-CO"/>
        </w:rPr>
        <w:t>Creación del Ministerio del Ambiente (MINAM) y establecimiento de las funciones de SERNANP.</w:t>
      </w:r>
    </w:p>
    <w:p w14:paraId="14C8E8E5" w14:textId="77777777" w:rsidR="00A45C1C" w:rsidRPr="00A45C1C" w:rsidRDefault="00A45C1C" w:rsidP="00A45C1C">
      <w:pPr>
        <w:ind w:left="709"/>
        <w:jc w:val="both"/>
        <w:rPr>
          <w:rFonts w:ascii="Arial" w:hAnsi="Arial" w:cs="Arial"/>
          <w:szCs w:val="22"/>
          <w:lang w:val="es-CO"/>
        </w:rPr>
      </w:pPr>
    </w:p>
    <w:p w14:paraId="7A9B4F5C" w14:textId="77777777" w:rsidR="00A45C1C" w:rsidRPr="00A45C1C" w:rsidRDefault="00A45C1C" w:rsidP="00A45C1C">
      <w:pPr>
        <w:ind w:left="1134"/>
        <w:jc w:val="both"/>
        <w:rPr>
          <w:rFonts w:ascii="Arial" w:hAnsi="Arial" w:cs="Arial"/>
          <w:szCs w:val="20"/>
          <w:lang w:val="es-CO"/>
        </w:rPr>
      </w:pPr>
      <w:r w:rsidRPr="00A45C1C">
        <w:rPr>
          <w:rFonts w:ascii="Arial" w:hAnsi="Arial" w:cs="Arial"/>
          <w:lang w:val="es-CO"/>
        </w:rPr>
        <w:t xml:space="preserve">2° Operación. </w:t>
      </w:r>
    </w:p>
    <w:p w14:paraId="33408923" w14:textId="77777777" w:rsidR="00A45C1C" w:rsidRPr="00A45C1C" w:rsidRDefault="00A45C1C" w:rsidP="00A45C1C">
      <w:pPr>
        <w:ind w:left="1418"/>
        <w:jc w:val="both"/>
        <w:rPr>
          <w:rFonts w:ascii="Arial" w:hAnsi="Arial" w:cs="Arial"/>
          <w:lang w:val="es-CO"/>
        </w:rPr>
      </w:pPr>
      <w:r w:rsidRPr="00A45C1C">
        <w:rPr>
          <w:rFonts w:ascii="Arial" w:hAnsi="Arial" w:cs="Arial"/>
          <w:lang w:val="es-CO"/>
        </w:rPr>
        <w:t>D</w:t>
      </w:r>
      <w:r w:rsidRPr="00A45C1C">
        <w:rPr>
          <w:rFonts w:ascii="Arial" w:hAnsi="Arial" w:cs="Arial"/>
          <w:bCs/>
          <w:iCs/>
          <w:lang w:val="es-CO"/>
        </w:rPr>
        <w:t>efinición de los roles y responsabilidades del MINAM en las evaluaciones del impacto ambiental de grandes proyectos y de sectores clave</w:t>
      </w:r>
      <w:r>
        <w:rPr>
          <w:rFonts w:ascii="Arial" w:hAnsi="Arial" w:cs="Arial"/>
          <w:lang w:val="es-PE"/>
        </w:rPr>
        <w:t xml:space="preserve">. </w:t>
      </w:r>
    </w:p>
    <w:p w14:paraId="4DD9E259" w14:textId="77777777" w:rsidR="00A45C1C" w:rsidRPr="00A45C1C" w:rsidRDefault="00A45C1C" w:rsidP="00A45C1C">
      <w:pPr>
        <w:ind w:left="1134"/>
        <w:jc w:val="both"/>
        <w:rPr>
          <w:rFonts w:ascii="Arial" w:hAnsi="Arial" w:cs="Arial"/>
          <w:lang w:val="es-CO"/>
        </w:rPr>
      </w:pPr>
    </w:p>
    <w:p w14:paraId="3ACD59FB" w14:textId="77777777" w:rsidR="00A45C1C" w:rsidRPr="00A45C1C" w:rsidRDefault="00A45C1C" w:rsidP="00A45C1C">
      <w:pPr>
        <w:ind w:left="1134"/>
        <w:jc w:val="both"/>
        <w:rPr>
          <w:rFonts w:ascii="Arial" w:hAnsi="Arial" w:cs="Arial"/>
          <w:lang w:val="es-CO"/>
        </w:rPr>
      </w:pPr>
      <w:r w:rsidRPr="00A45C1C">
        <w:rPr>
          <w:rFonts w:ascii="Arial" w:hAnsi="Arial" w:cs="Arial"/>
          <w:lang w:val="es-CO"/>
        </w:rPr>
        <w:t>Las siguientes acciones se incorporaron con el objetivo de fortalecer el marco legal e institucional para la conservación de la biodiversidad y el manejo de las Áreas Naturales Protegidas (ANP).</w:t>
      </w:r>
    </w:p>
    <w:p w14:paraId="7301D05E" w14:textId="77777777" w:rsidR="00A45C1C" w:rsidRPr="00A45C1C" w:rsidRDefault="00A45C1C" w:rsidP="00A45C1C">
      <w:pPr>
        <w:ind w:left="1134"/>
        <w:jc w:val="both"/>
        <w:rPr>
          <w:rFonts w:ascii="Arial" w:hAnsi="Arial" w:cs="Arial"/>
          <w:szCs w:val="22"/>
          <w:lang w:val="es-CO"/>
        </w:rPr>
      </w:pPr>
    </w:p>
    <w:p w14:paraId="27A38C5A" w14:textId="77777777" w:rsidR="00A45C1C" w:rsidRPr="00A45C1C" w:rsidRDefault="00A45C1C" w:rsidP="00A45C1C">
      <w:pPr>
        <w:ind w:left="1134"/>
        <w:jc w:val="both"/>
        <w:rPr>
          <w:rFonts w:ascii="Arial" w:hAnsi="Arial" w:cs="Arial"/>
          <w:szCs w:val="20"/>
          <w:lang w:val="es-CO"/>
        </w:rPr>
      </w:pPr>
      <w:r w:rsidRPr="00A45C1C">
        <w:rPr>
          <w:rFonts w:ascii="Arial" w:hAnsi="Arial" w:cs="Arial"/>
          <w:szCs w:val="22"/>
          <w:lang w:val="es-CO"/>
        </w:rPr>
        <w:t>1</w:t>
      </w:r>
      <w:r w:rsidRPr="00A45C1C">
        <w:rPr>
          <w:rFonts w:ascii="Arial" w:hAnsi="Arial" w:cs="Arial"/>
          <w:lang w:val="es-CO"/>
        </w:rPr>
        <w:t xml:space="preserve">° Operación. </w:t>
      </w:r>
    </w:p>
    <w:p w14:paraId="484C293E" w14:textId="77777777" w:rsidR="00A45C1C" w:rsidRPr="00A45C1C" w:rsidRDefault="00A45C1C" w:rsidP="00A45C1C">
      <w:pPr>
        <w:ind w:left="1418"/>
        <w:jc w:val="both"/>
        <w:rPr>
          <w:rFonts w:ascii="Arial" w:hAnsi="Arial" w:cs="Arial"/>
          <w:bCs/>
          <w:lang w:val="es-CO"/>
        </w:rPr>
      </w:pPr>
      <w:r w:rsidRPr="00A45C1C">
        <w:rPr>
          <w:rFonts w:ascii="Arial" w:hAnsi="Arial" w:cs="Arial"/>
          <w:lang w:val="es-CO"/>
        </w:rPr>
        <w:t>Establecimiento de las funciones del Servicio Nacional de Áreas Naturales Protegidas por el Estado (</w:t>
      </w:r>
      <w:r w:rsidRPr="00A45C1C">
        <w:rPr>
          <w:rFonts w:ascii="Arial" w:hAnsi="Arial" w:cs="Arial"/>
          <w:bCs/>
          <w:lang w:val="es-CO"/>
        </w:rPr>
        <w:t>SERNANP).</w:t>
      </w:r>
    </w:p>
    <w:p w14:paraId="2CD7137B" w14:textId="77777777" w:rsidR="00A45C1C" w:rsidRPr="00A45C1C" w:rsidRDefault="00A45C1C" w:rsidP="00A45C1C">
      <w:pPr>
        <w:ind w:left="1134"/>
        <w:jc w:val="both"/>
        <w:rPr>
          <w:rFonts w:ascii="Arial" w:hAnsi="Arial" w:cs="Arial"/>
          <w:bCs/>
          <w:lang w:val="es-CO"/>
        </w:rPr>
      </w:pPr>
    </w:p>
    <w:p w14:paraId="521314FF" w14:textId="77777777" w:rsidR="00A45C1C" w:rsidRPr="00A45C1C" w:rsidRDefault="00A45C1C" w:rsidP="00A45C1C">
      <w:pPr>
        <w:ind w:left="1134"/>
        <w:jc w:val="both"/>
        <w:rPr>
          <w:rFonts w:ascii="Arial" w:hAnsi="Arial" w:cs="Arial"/>
          <w:lang w:val="es-CO"/>
        </w:rPr>
      </w:pPr>
      <w:r w:rsidRPr="00A45C1C">
        <w:rPr>
          <w:rFonts w:ascii="Arial" w:hAnsi="Arial" w:cs="Arial"/>
          <w:lang w:val="es-CO"/>
        </w:rPr>
        <w:t xml:space="preserve">2° Operación. </w:t>
      </w:r>
    </w:p>
    <w:p w14:paraId="41196722" w14:textId="77777777" w:rsidR="00A45C1C" w:rsidRPr="00A45C1C" w:rsidRDefault="00A45C1C" w:rsidP="00A45C1C">
      <w:pPr>
        <w:ind w:left="1418"/>
        <w:jc w:val="both"/>
        <w:rPr>
          <w:rFonts w:ascii="Arial" w:hAnsi="Arial" w:cs="Arial"/>
          <w:lang w:val="es-CO"/>
        </w:rPr>
      </w:pPr>
      <w:r w:rsidRPr="00A45C1C">
        <w:rPr>
          <w:rFonts w:ascii="Arial" w:hAnsi="Arial" w:cs="Arial"/>
          <w:lang w:val="es-CO"/>
        </w:rPr>
        <w:t xml:space="preserve">Aprobación del </w:t>
      </w:r>
      <w:r w:rsidRPr="00A45C1C">
        <w:rPr>
          <w:rFonts w:ascii="Arial" w:hAnsi="Arial" w:cs="Arial"/>
          <w:bCs/>
          <w:iCs/>
          <w:lang w:val="es-CO"/>
        </w:rPr>
        <w:t xml:space="preserve">Plan Financiero del Sistema de Áreas Naturales Protegidas por el Estado y el </w:t>
      </w:r>
      <w:r w:rsidRPr="00A45C1C">
        <w:rPr>
          <w:rFonts w:ascii="Arial" w:hAnsi="Arial" w:cs="Arial"/>
          <w:bCs/>
          <w:lang w:val="es-CO"/>
        </w:rPr>
        <w:t>del Plan de Acción del Sistema Nacional de Áreas Naturales Protegidas (</w:t>
      </w:r>
      <w:r w:rsidRPr="00A45C1C">
        <w:rPr>
          <w:rFonts w:ascii="Arial" w:hAnsi="Arial" w:cs="Arial"/>
          <w:bCs/>
          <w:i/>
          <w:lang w:val="es-CO"/>
        </w:rPr>
        <w:t>Plan Director</w:t>
      </w:r>
      <w:r w:rsidRPr="00A45C1C">
        <w:rPr>
          <w:rFonts w:ascii="Arial" w:hAnsi="Arial" w:cs="Arial"/>
          <w:bCs/>
          <w:lang w:val="es-CO"/>
        </w:rPr>
        <w:t xml:space="preserve">), así como la aprobación de medidas regulatorias sobre la participación del sector privado, tales como la Guía para la formación de patronatos </w:t>
      </w:r>
      <w:r w:rsidRPr="00A45C1C">
        <w:rPr>
          <w:rFonts w:ascii="Arial" w:hAnsi="Arial" w:cs="Arial"/>
          <w:bCs/>
          <w:iCs/>
          <w:lang w:val="es-CO"/>
        </w:rPr>
        <w:t>en Áreas Naturales Protegidas y el reglamento de uso turístico en ANP.</w:t>
      </w:r>
    </w:p>
    <w:p w14:paraId="06965DCB" w14:textId="77777777" w:rsidR="00A45C1C" w:rsidRPr="00A45C1C" w:rsidRDefault="00A45C1C" w:rsidP="00A45C1C">
      <w:pPr>
        <w:ind w:left="1134"/>
        <w:jc w:val="both"/>
        <w:rPr>
          <w:rFonts w:ascii="Arial" w:hAnsi="Arial" w:cs="Arial"/>
          <w:lang w:val="es-CO"/>
        </w:rPr>
      </w:pPr>
    </w:p>
    <w:p w14:paraId="5198F170" w14:textId="77777777" w:rsidR="00A45C1C" w:rsidRPr="00A45C1C" w:rsidRDefault="00A45C1C" w:rsidP="00A45C1C">
      <w:pPr>
        <w:ind w:left="1134"/>
        <w:jc w:val="both"/>
        <w:rPr>
          <w:rFonts w:ascii="Arial" w:hAnsi="Arial" w:cs="Arial"/>
          <w:lang w:val="es-CO"/>
        </w:rPr>
      </w:pPr>
      <w:r w:rsidRPr="00A45C1C">
        <w:rPr>
          <w:rFonts w:ascii="Arial" w:hAnsi="Arial" w:cs="Arial"/>
          <w:lang w:val="es-CO"/>
        </w:rPr>
        <w:t xml:space="preserve">3° Operación. </w:t>
      </w:r>
    </w:p>
    <w:p w14:paraId="73733478" w14:textId="77777777" w:rsidR="00A45C1C" w:rsidRPr="00A45C1C" w:rsidRDefault="00A45C1C" w:rsidP="00A45C1C">
      <w:pPr>
        <w:ind w:left="1418"/>
        <w:jc w:val="both"/>
        <w:rPr>
          <w:rFonts w:ascii="Arial" w:hAnsi="Arial" w:cs="Arial"/>
          <w:lang w:val="es-CO"/>
        </w:rPr>
      </w:pPr>
      <w:r w:rsidRPr="00A45C1C">
        <w:rPr>
          <w:rFonts w:ascii="Arial" w:hAnsi="Arial" w:cs="Arial"/>
          <w:lang w:val="es-CO"/>
        </w:rPr>
        <w:t>Adopción de un plan director con tres planes de acción que conduzcan a la sostenibilidad financiera del Sistema Nacional de Áreas Naturales Protegidas por el Estado (SINANPE), la adopción de mecanismos para promover el financiamiento y manejo por parte del sector privado de cuatro nuevas áreas de conservación.</w:t>
      </w:r>
    </w:p>
    <w:p w14:paraId="25B0D72E" w14:textId="77777777" w:rsidR="00A45C1C" w:rsidRPr="00A45C1C" w:rsidRDefault="00A45C1C" w:rsidP="00A45C1C">
      <w:pPr>
        <w:ind w:left="1134"/>
        <w:jc w:val="both"/>
        <w:rPr>
          <w:rFonts w:ascii="Arial" w:hAnsi="Arial" w:cs="Arial"/>
          <w:lang w:val="es-CO"/>
        </w:rPr>
      </w:pPr>
    </w:p>
    <w:p w14:paraId="0C3BD5A8" w14:textId="77777777" w:rsidR="00A45C1C" w:rsidRPr="00A45C1C" w:rsidRDefault="00A45C1C" w:rsidP="00A45C1C">
      <w:pPr>
        <w:ind w:left="1134"/>
        <w:jc w:val="both"/>
        <w:rPr>
          <w:rFonts w:ascii="Arial" w:hAnsi="Arial" w:cs="Arial"/>
          <w:lang w:val="es-CO"/>
        </w:rPr>
      </w:pPr>
      <w:r w:rsidRPr="00A45C1C">
        <w:rPr>
          <w:rFonts w:ascii="Arial" w:hAnsi="Arial" w:cs="Arial"/>
          <w:lang w:val="es-CO"/>
        </w:rPr>
        <w:t>La siguientes acciones se consideraron con el objetivo de fortalecer el marco para los estándares de calidad ambiental (ECA), los límites de emisión y el monitoreo ambiental.</w:t>
      </w:r>
    </w:p>
    <w:p w14:paraId="6E804E9E" w14:textId="77777777" w:rsidR="00A45C1C" w:rsidRPr="00A45C1C" w:rsidRDefault="00A45C1C" w:rsidP="00A45C1C">
      <w:pPr>
        <w:ind w:left="1134"/>
        <w:jc w:val="both"/>
        <w:rPr>
          <w:rFonts w:ascii="Arial" w:hAnsi="Arial" w:cs="Arial"/>
          <w:lang w:val="es-CO"/>
        </w:rPr>
      </w:pPr>
    </w:p>
    <w:p w14:paraId="4B54F344" w14:textId="77777777" w:rsidR="00A45C1C" w:rsidRPr="00A45C1C" w:rsidRDefault="00A45C1C" w:rsidP="00A45C1C">
      <w:pPr>
        <w:ind w:left="1134"/>
        <w:jc w:val="both"/>
        <w:rPr>
          <w:rFonts w:ascii="Arial" w:hAnsi="Arial" w:cs="Arial"/>
          <w:lang w:val="es-CO"/>
        </w:rPr>
      </w:pPr>
      <w:r w:rsidRPr="00A45C1C">
        <w:rPr>
          <w:rFonts w:ascii="Arial" w:hAnsi="Arial" w:cs="Arial"/>
          <w:lang w:val="es-CO"/>
        </w:rPr>
        <w:t xml:space="preserve">1° Operación. </w:t>
      </w:r>
    </w:p>
    <w:p w14:paraId="150558E3" w14:textId="77777777" w:rsidR="00A45C1C" w:rsidRPr="00A45C1C" w:rsidRDefault="00A45C1C" w:rsidP="00A45C1C">
      <w:pPr>
        <w:ind w:left="1418"/>
        <w:jc w:val="both"/>
        <w:rPr>
          <w:rFonts w:ascii="Arial" w:hAnsi="Arial" w:cs="Arial"/>
          <w:lang w:val="es-CO"/>
        </w:rPr>
      </w:pPr>
      <w:r w:rsidRPr="00A45C1C">
        <w:rPr>
          <w:rFonts w:ascii="Arial" w:hAnsi="Arial" w:cs="Arial"/>
          <w:lang w:val="es-CO"/>
        </w:rPr>
        <w:t>Establecimiento de los estándares de calidad ambiental (ECA) y los límites máximos permisibles (LMP) para las emisiones atmosféricas.</w:t>
      </w:r>
    </w:p>
    <w:p w14:paraId="092FC67F" w14:textId="77777777" w:rsidR="00A45C1C" w:rsidRPr="00A45C1C" w:rsidRDefault="00A45C1C" w:rsidP="00A45C1C">
      <w:pPr>
        <w:ind w:left="1134"/>
        <w:jc w:val="both"/>
        <w:rPr>
          <w:rFonts w:ascii="Arial" w:hAnsi="Arial" w:cs="Arial"/>
          <w:lang w:val="es-CO"/>
        </w:rPr>
      </w:pPr>
    </w:p>
    <w:p w14:paraId="08DEBB4D" w14:textId="77777777" w:rsidR="00A45C1C" w:rsidRPr="00A45C1C" w:rsidRDefault="00A45C1C" w:rsidP="00A45C1C">
      <w:pPr>
        <w:ind w:left="1134"/>
        <w:jc w:val="both"/>
        <w:rPr>
          <w:rFonts w:ascii="Arial" w:hAnsi="Arial" w:cs="Arial"/>
          <w:lang w:val="es-CO"/>
        </w:rPr>
      </w:pPr>
      <w:r w:rsidRPr="00A45C1C">
        <w:rPr>
          <w:rFonts w:ascii="Arial" w:hAnsi="Arial" w:cs="Arial"/>
          <w:lang w:val="es-CO"/>
        </w:rPr>
        <w:t xml:space="preserve">2° Operación. </w:t>
      </w:r>
    </w:p>
    <w:p w14:paraId="63C41F2F" w14:textId="77777777" w:rsidR="00A45C1C" w:rsidRPr="00A45C1C" w:rsidRDefault="00A45C1C" w:rsidP="00A45C1C">
      <w:pPr>
        <w:ind w:left="1418"/>
        <w:jc w:val="both"/>
        <w:rPr>
          <w:rFonts w:ascii="Arial" w:hAnsi="Arial" w:cs="Arial"/>
          <w:lang w:val="es-CO"/>
        </w:rPr>
      </w:pPr>
      <w:r w:rsidRPr="00A45C1C">
        <w:rPr>
          <w:rFonts w:ascii="Arial" w:hAnsi="Arial" w:cs="Arial"/>
          <w:lang w:val="es-CO"/>
        </w:rPr>
        <w:t>Publicación y diseminación, en los sitios web del SENAMHI y DIGESA, de los datos del monitoreo diario de la calidad del aire en las ciudades de Lima y La Oroya.</w:t>
      </w:r>
    </w:p>
    <w:p w14:paraId="75ED4056" w14:textId="77777777" w:rsidR="00A45C1C" w:rsidRPr="00A45C1C" w:rsidRDefault="00A45C1C" w:rsidP="00A45C1C">
      <w:pPr>
        <w:ind w:left="1134"/>
        <w:jc w:val="both"/>
        <w:rPr>
          <w:rFonts w:ascii="Arial" w:hAnsi="Arial" w:cs="Arial"/>
          <w:lang w:val="es-CO"/>
        </w:rPr>
      </w:pPr>
    </w:p>
    <w:p w14:paraId="29CA2385" w14:textId="77777777" w:rsidR="00A45C1C" w:rsidRPr="00A45C1C" w:rsidRDefault="00A45C1C" w:rsidP="00A45C1C">
      <w:pPr>
        <w:pStyle w:val="Prrafodelista2"/>
        <w:numPr>
          <w:ilvl w:val="0"/>
          <w:numId w:val="44"/>
        </w:numPr>
        <w:ind w:left="1134"/>
        <w:jc w:val="both"/>
        <w:rPr>
          <w:rFonts w:ascii="Arial" w:hAnsi="Arial" w:cs="Arial"/>
          <w:szCs w:val="22"/>
          <w:lang w:val="es-CO"/>
        </w:rPr>
      </w:pPr>
      <w:r>
        <w:rPr>
          <w:rFonts w:ascii="Arial" w:hAnsi="Arial" w:cs="Arial"/>
          <w:bCs/>
          <w:szCs w:val="22"/>
        </w:rPr>
        <w:t xml:space="preserve">Incorporación de los principios del desarrollo sostenible en sectores clave. </w:t>
      </w:r>
    </w:p>
    <w:p w14:paraId="4AC17DF5" w14:textId="77777777" w:rsidR="00A45C1C" w:rsidRPr="00A45C1C" w:rsidRDefault="00A45C1C" w:rsidP="00A45C1C">
      <w:pPr>
        <w:pStyle w:val="Prrafodelista2"/>
        <w:jc w:val="both"/>
        <w:rPr>
          <w:rFonts w:ascii="Arial" w:hAnsi="Arial" w:cs="Arial"/>
          <w:bCs/>
          <w:szCs w:val="22"/>
          <w:lang w:val="es-CO"/>
        </w:rPr>
      </w:pPr>
    </w:p>
    <w:p w14:paraId="7C09F545" w14:textId="77777777" w:rsidR="00A45C1C" w:rsidRDefault="00A45C1C" w:rsidP="00A45C1C">
      <w:pPr>
        <w:pStyle w:val="Prrafodelista2"/>
        <w:ind w:left="1134"/>
        <w:jc w:val="both"/>
        <w:rPr>
          <w:rFonts w:ascii="Arial" w:hAnsi="Arial" w:cs="Arial"/>
          <w:szCs w:val="22"/>
          <w:u w:val="single"/>
        </w:rPr>
      </w:pPr>
      <w:r>
        <w:rPr>
          <w:rFonts w:ascii="Arial" w:hAnsi="Arial" w:cs="Arial"/>
          <w:bCs/>
          <w:szCs w:val="22"/>
          <w:u w:val="single"/>
        </w:rPr>
        <w:t>Sector Minero</w:t>
      </w:r>
    </w:p>
    <w:p w14:paraId="25134D08" w14:textId="77777777" w:rsidR="00A45C1C" w:rsidRDefault="00A45C1C" w:rsidP="00A45C1C">
      <w:pPr>
        <w:pStyle w:val="Prrafodelista2"/>
        <w:jc w:val="both"/>
        <w:rPr>
          <w:rFonts w:ascii="Arial" w:hAnsi="Arial" w:cs="Arial"/>
          <w:szCs w:val="22"/>
        </w:rPr>
      </w:pPr>
    </w:p>
    <w:p w14:paraId="707EF436" w14:textId="77777777" w:rsidR="00A45C1C" w:rsidRDefault="00A45C1C" w:rsidP="00A45C1C">
      <w:pPr>
        <w:pStyle w:val="Prrafodelista2"/>
        <w:ind w:left="1134"/>
        <w:jc w:val="both"/>
        <w:rPr>
          <w:rFonts w:ascii="Arial" w:hAnsi="Arial" w:cs="Arial"/>
        </w:rPr>
      </w:pPr>
      <w:r>
        <w:rPr>
          <w:rFonts w:ascii="Arial" w:hAnsi="Arial" w:cs="Arial"/>
          <w:lang w:val="es-ES"/>
        </w:rPr>
        <w:t>Se incorporaron las siguientes acciones en el programa con el objetivo de mejorar la información y la capacidad de remediar pasivos ambientales mineros (PAM), y fortalecer la gobernabilidad ambiental y social en el sector minero.</w:t>
      </w:r>
    </w:p>
    <w:p w14:paraId="516BA052" w14:textId="77777777" w:rsidR="00A45C1C" w:rsidRDefault="00A45C1C" w:rsidP="00A45C1C">
      <w:pPr>
        <w:pStyle w:val="Prrafodelista2"/>
        <w:jc w:val="both"/>
        <w:rPr>
          <w:rFonts w:ascii="Arial" w:hAnsi="Arial" w:cs="Arial"/>
          <w:szCs w:val="22"/>
        </w:rPr>
      </w:pPr>
    </w:p>
    <w:p w14:paraId="28F2486D"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1° Operación</w:t>
      </w:r>
    </w:p>
    <w:p w14:paraId="71D140E1" w14:textId="77777777" w:rsidR="00A45C1C" w:rsidRPr="00A45C1C" w:rsidRDefault="00A45C1C" w:rsidP="00A45C1C">
      <w:pPr>
        <w:ind w:left="1418"/>
        <w:jc w:val="both"/>
        <w:rPr>
          <w:rFonts w:ascii="Arial" w:hAnsi="Arial" w:cs="Arial"/>
          <w:szCs w:val="20"/>
          <w:lang w:val="es-CO"/>
        </w:rPr>
      </w:pPr>
      <w:r w:rsidRPr="00A45C1C">
        <w:rPr>
          <w:rFonts w:ascii="Arial" w:hAnsi="Arial" w:cs="Arial"/>
          <w:lang w:val="es-CO"/>
        </w:rPr>
        <w:t>Modificación de la Ley de Pasivos Mineros, transferencia de la responsabilidad de remediación en el propietario privado (aún después de la expiración de la concesión), y prohibición del otorgamiento de nuevas concesiones mineras a aquellas empresas que no han remediado sus pasivos mineros en otros sitios.</w:t>
      </w:r>
    </w:p>
    <w:p w14:paraId="03B2FC4A" w14:textId="77777777" w:rsidR="00A45C1C" w:rsidRPr="00A45C1C" w:rsidRDefault="00A45C1C" w:rsidP="00A45C1C">
      <w:pPr>
        <w:rPr>
          <w:lang w:val="es-CO"/>
        </w:rPr>
      </w:pPr>
    </w:p>
    <w:p w14:paraId="048562CD" w14:textId="77777777" w:rsidR="00A45C1C" w:rsidRPr="00A45C1C" w:rsidRDefault="00A45C1C" w:rsidP="00A45C1C">
      <w:pPr>
        <w:ind w:left="1418"/>
        <w:jc w:val="both"/>
        <w:rPr>
          <w:rFonts w:ascii="Arial" w:hAnsi="Arial" w:cs="Arial"/>
          <w:szCs w:val="22"/>
          <w:lang w:val="es-CO"/>
        </w:rPr>
      </w:pPr>
      <w:r w:rsidRPr="00A45C1C">
        <w:rPr>
          <w:rFonts w:ascii="Arial" w:hAnsi="Arial" w:cs="Arial"/>
          <w:lang w:val="es-CO"/>
        </w:rPr>
        <w:t>Aprobación del Reglamento de participación ciudadana en el subsector minero, durante las etapas de concesión, exploración, explotación, ejecución y cierre del proceso minero</w:t>
      </w:r>
      <w:r w:rsidRPr="00A45C1C">
        <w:rPr>
          <w:rFonts w:ascii="Arial" w:hAnsi="Arial" w:cs="Arial"/>
          <w:szCs w:val="22"/>
          <w:lang w:val="es-CO"/>
        </w:rPr>
        <w:t xml:space="preserve">. </w:t>
      </w:r>
    </w:p>
    <w:p w14:paraId="0C2C03A1" w14:textId="77777777" w:rsidR="00A45C1C" w:rsidRPr="00A45C1C" w:rsidRDefault="00A45C1C" w:rsidP="00A45C1C">
      <w:pPr>
        <w:ind w:left="1134"/>
        <w:jc w:val="both"/>
        <w:rPr>
          <w:rFonts w:ascii="Arial" w:hAnsi="Arial" w:cs="Arial"/>
          <w:szCs w:val="22"/>
          <w:lang w:val="es-CO"/>
        </w:rPr>
      </w:pPr>
    </w:p>
    <w:p w14:paraId="0F93F0F6"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2° Operación</w:t>
      </w:r>
    </w:p>
    <w:p w14:paraId="398FCD0F" w14:textId="77777777" w:rsidR="00A45C1C" w:rsidRPr="00A45C1C" w:rsidRDefault="00A45C1C" w:rsidP="00A45C1C">
      <w:pPr>
        <w:ind w:left="1418"/>
        <w:jc w:val="both"/>
        <w:rPr>
          <w:rFonts w:ascii="Arial" w:hAnsi="Arial" w:cs="Arial"/>
          <w:szCs w:val="20"/>
          <w:lang w:val="es-CO"/>
        </w:rPr>
      </w:pPr>
      <w:r w:rsidRPr="00A45C1C">
        <w:rPr>
          <w:rFonts w:ascii="Arial" w:hAnsi="Arial" w:cs="Arial"/>
          <w:lang w:val="es-CO"/>
        </w:rPr>
        <w:t>Aplicación de la metodología desarrollada mediante el Programa de Cooperación Peruano Canadiense (PERCAN) para la identificación y priorización de todos los pasivos ambientales mineros, y aprobación del programa de trabajo por tres años, e incorporación de presupuesto para el 2010 para identificar, clasificar y gestionar pasivos ambientales mineros.</w:t>
      </w:r>
    </w:p>
    <w:p w14:paraId="5CBA7B0F" w14:textId="77777777" w:rsidR="00A45C1C" w:rsidRPr="00A45C1C" w:rsidRDefault="00A45C1C" w:rsidP="00A45C1C">
      <w:pPr>
        <w:ind w:left="1134"/>
        <w:rPr>
          <w:lang w:val="es-CO"/>
        </w:rPr>
      </w:pPr>
    </w:p>
    <w:p w14:paraId="790FDAA4" w14:textId="77777777" w:rsidR="00A45C1C" w:rsidRPr="00A45C1C" w:rsidRDefault="00A45C1C" w:rsidP="00A45C1C">
      <w:pPr>
        <w:ind w:left="1418"/>
        <w:jc w:val="both"/>
        <w:rPr>
          <w:rFonts w:ascii="Arial" w:hAnsi="Arial" w:cs="Arial"/>
          <w:lang w:val="es-CO"/>
        </w:rPr>
      </w:pPr>
      <w:r w:rsidRPr="00A45C1C">
        <w:rPr>
          <w:rFonts w:ascii="Arial" w:hAnsi="Arial" w:cs="Arial"/>
          <w:lang w:val="es-CO"/>
        </w:rPr>
        <w:t>Aprobación de normas que regulan el proceso participativo de monitoreo ambiental,   vigilancia de actividades de explotación minera, e inicio de operaciones de al menos 40 iniciativas de monitoreo ambiental participativo.</w:t>
      </w:r>
    </w:p>
    <w:p w14:paraId="7043D0DE" w14:textId="77777777" w:rsidR="00A45C1C" w:rsidRPr="00A45C1C" w:rsidRDefault="00A45C1C" w:rsidP="00A45C1C">
      <w:pPr>
        <w:ind w:left="1134"/>
        <w:jc w:val="both"/>
        <w:rPr>
          <w:rFonts w:ascii="Arial" w:hAnsi="Arial" w:cs="Arial"/>
          <w:szCs w:val="22"/>
          <w:lang w:val="es-CO"/>
        </w:rPr>
      </w:pPr>
    </w:p>
    <w:p w14:paraId="74B0C843"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3° Operación</w:t>
      </w:r>
    </w:p>
    <w:p w14:paraId="3CFF96AB" w14:textId="77777777" w:rsidR="00A45C1C" w:rsidRPr="00A45C1C" w:rsidRDefault="00A45C1C" w:rsidP="00A45C1C">
      <w:pPr>
        <w:ind w:left="1418"/>
        <w:jc w:val="both"/>
        <w:rPr>
          <w:rFonts w:ascii="Arial" w:hAnsi="Arial" w:cs="Arial"/>
          <w:szCs w:val="20"/>
          <w:lang w:val="es-CO"/>
        </w:rPr>
      </w:pPr>
      <w:r w:rsidRPr="00A45C1C">
        <w:rPr>
          <w:rFonts w:ascii="Arial" w:hAnsi="Arial" w:cs="Arial"/>
          <w:lang w:val="es-CO"/>
        </w:rPr>
        <w:t>Desarrollo de un enfoque estandarizado para la elaboración de los Planes de Cierre de Pasivos Ambientales de la actividad minera mediante la aprobación de la Guía del Plan de Cierre de Pasivos Ambientales Mineros.</w:t>
      </w:r>
    </w:p>
    <w:p w14:paraId="3444005A" w14:textId="77777777" w:rsidR="00A45C1C" w:rsidRPr="00A45C1C" w:rsidRDefault="00A45C1C" w:rsidP="00A45C1C">
      <w:pPr>
        <w:ind w:left="1134"/>
        <w:rPr>
          <w:lang w:val="es-CO"/>
        </w:rPr>
      </w:pPr>
    </w:p>
    <w:p w14:paraId="2FCE5B8E" w14:textId="77777777" w:rsidR="00A45C1C" w:rsidRDefault="00A45C1C" w:rsidP="00A45C1C">
      <w:pPr>
        <w:pStyle w:val="Prrafodelista2"/>
        <w:ind w:left="1134"/>
        <w:jc w:val="both"/>
        <w:rPr>
          <w:rFonts w:ascii="Arial" w:hAnsi="Arial" w:cs="Arial"/>
          <w:bCs/>
          <w:szCs w:val="22"/>
          <w:u w:val="single"/>
        </w:rPr>
      </w:pPr>
      <w:r>
        <w:rPr>
          <w:rFonts w:ascii="Arial" w:hAnsi="Arial" w:cs="Arial"/>
          <w:bCs/>
          <w:szCs w:val="22"/>
          <w:u w:val="single"/>
        </w:rPr>
        <w:t>Sector Transporte Urbano</w:t>
      </w:r>
    </w:p>
    <w:p w14:paraId="1A9B2EC7" w14:textId="77777777" w:rsidR="00A45C1C" w:rsidRDefault="00A45C1C" w:rsidP="00A45C1C">
      <w:pPr>
        <w:pStyle w:val="Prrafodelista2"/>
        <w:jc w:val="both"/>
        <w:rPr>
          <w:rFonts w:ascii="Arial" w:hAnsi="Arial" w:cs="Arial"/>
          <w:szCs w:val="22"/>
        </w:rPr>
      </w:pPr>
    </w:p>
    <w:p w14:paraId="4E5E5A1D" w14:textId="77777777" w:rsidR="00A45C1C" w:rsidRDefault="00A45C1C" w:rsidP="00A45C1C">
      <w:pPr>
        <w:pStyle w:val="Prrafodelista2"/>
        <w:ind w:left="1134"/>
        <w:jc w:val="both"/>
        <w:rPr>
          <w:rFonts w:ascii="Arial" w:hAnsi="Arial" w:cs="Arial"/>
          <w:szCs w:val="22"/>
        </w:rPr>
      </w:pPr>
      <w:r>
        <w:rPr>
          <w:rFonts w:ascii="Arial" w:hAnsi="Arial" w:cs="Arial"/>
          <w:szCs w:val="22"/>
        </w:rPr>
        <w:t>Con el fin de mejorar la calidad de combustibles y el desempeño de vehículos se reconocieron las siguientes acciones previas en el Programa.</w:t>
      </w:r>
    </w:p>
    <w:p w14:paraId="14B3F1DD" w14:textId="77777777" w:rsidR="00A45C1C" w:rsidRPr="00A45C1C" w:rsidRDefault="00A45C1C" w:rsidP="00A45C1C">
      <w:pPr>
        <w:ind w:left="1134"/>
        <w:jc w:val="both"/>
        <w:rPr>
          <w:rFonts w:ascii="Arial" w:hAnsi="Arial" w:cs="Arial"/>
          <w:szCs w:val="22"/>
          <w:lang w:val="es-CO"/>
        </w:rPr>
      </w:pPr>
    </w:p>
    <w:p w14:paraId="56527144"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1° Operación</w:t>
      </w:r>
    </w:p>
    <w:p w14:paraId="33D03092" w14:textId="77777777" w:rsidR="00A45C1C" w:rsidRPr="00A45C1C" w:rsidRDefault="00A45C1C" w:rsidP="00A45C1C">
      <w:pPr>
        <w:ind w:left="1418" w:right="44"/>
        <w:jc w:val="both"/>
        <w:rPr>
          <w:rFonts w:ascii="Arial" w:hAnsi="Arial" w:cs="Arial"/>
          <w:szCs w:val="20"/>
          <w:lang w:val="es-CO"/>
        </w:rPr>
      </w:pPr>
      <w:r w:rsidRPr="00A45C1C">
        <w:rPr>
          <w:rFonts w:ascii="Arial" w:hAnsi="Arial" w:cs="Arial"/>
          <w:lang w:val="es-CO"/>
        </w:rPr>
        <w:t>Reducción del nivel de azufre en diesel a 50 ppm a partir del 2010 mediante la promulgación de la Ley No.28694.</w:t>
      </w:r>
    </w:p>
    <w:p w14:paraId="54E415F9" w14:textId="77777777" w:rsidR="00A45C1C" w:rsidRPr="00A45C1C" w:rsidRDefault="00A45C1C" w:rsidP="00A45C1C">
      <w:pPr>
        <w:ind w:left="1134"/>
        <w:jc w:val="both"/>
        <w:rPr>
          <w:lang w:val="es-CO"/>
        </w:rPr>
      </w:pPr>
    </w:p>
    <w:p w14:paraId="4D2BCF7E" w14:textId="77777777" w:rsidR="00A45C1C" w:rsidRPr="00A45C1C" w:rsidRDefault="00A45C1C" w:rsidP="00A45C1C">
      <w:pPr>
        <w:ind w:left="1418" w:right="44"/>
        <w:jc w:val="both"/>
        <w:rPr>
          <w:rFonts w:ascii="Arial" w:hAnsi="Arial" w:cs="Arial"/>
          <w:lang w:val="es-CO"/>
        </w:rPr>
      </w:pPr>
      <w:r w:rsidRPr="00A45C1C">
        <w:rPr>
          <w:rFonts w:ascii="Arial" w:hAnsi="Arial" w:cs="Arial"/>
          <w:lang w:val="es-CO"/>
        </w:rPr>
        <w:t xml:space="preserve">Aprobación de un esquema temporal a nivel nacional de promoción de renovación del parque automotor mediante el chatarreo de vehículos a diesel por vehículos nuevos que consuman gasolina o gas natural vehicular (GNV).  </w:t>
      </w:r>
    </w:p>
    <w:p w14:paraId="24C3ED0A" w14:textId="77777777" w:rsidR="00A45C1C" w:rsidRPr="00A45C1C" w:rsidRDefault="00A45C1C" w:rsidP="00A45C1C">
      <w:pPr>
        <w:ind w:left="1418"/>
        <w:jc w:val="both"/>
        <w:rPr>
          <w:lang w:val="es-CO"/>
        </w:rPr>
      </w:pPr>
    </w:p>
    <w:p w14:paraId="0B69716D" w14:textId="77777777" w:rsidR="00A45C1C" w:rsidRPr="00A45C1C" w:rsidRDefault="00A45C1C" w:rsidP="00A45C1C">
      <w:pPr>
        <w:ind w:left="1418" w:right="44"/>
        <w:jc w:val="both"/>
        <w:rPr>
          <w:rFonts w:ascii="Arial" w:hAnsi="Arial" w:cs="Arial"/>
          <w:lang w:val="es-CO"/>
        </w:rPr>
      </w:pPr>
      <w:r w:rsidRPr="00A45C1C">
        <w:rPr>
          <w:rFonts w:ascii="Arial" w:hAnsi="Arial" w:cs="Arial"/>
          <w:lang w:val="es-CO"/>
        </w:rPr>
        <w:t>Establecimiento de los requerimientos para vehículos a diesel para acceder a incentivos económicos y estándares para el proceso de chatarreo.</w:t>
      </w:r>
    </w:p>
    <w:p w14:paraId="67311F70" w14:textId="77777777" w:rsidR="00A45C1C" w:rsidRPr="00A45C1C" w:rsidRDefault="00A45C1C" w:rsidP="00A45C1C">
      <w:pPr>
        <w:ind w:left="1134"/>
        <w:jc w:val="both"/>
        <w:rPr>
          <w:rFonts w:ascii="Arial" w:hAnsi="Arial" w:cs="Arial"/>
          <w:szCs w:val="22"/>
          <w:lang w:val="es-CO"/>
        </w:rPr>
      </w:pPr>
    </w:p>
    <w:p w14:paraId="628FF868"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2° Operación</w:t>
      </w:r>
    </w:p>
    <w:p w14:paraId="48399D20" w14:textId="77777777" w:rsidR="00A45C1C" w:rsidRPr="00A45C1C" w:rsidRDefault="00A45C1C" w:rsidP="00A45C1C">
      <w:pPr>
        <w:ind w:left="1418"/>
        <w:jc w:val="both"/>
        <w:rPr>
          <w:rFonts w:ascii="Arial" w:hAnsi="Arial" w:cs="Arial"/>
          <w:szCs w:val="22"/>
          <w:lang w:val="es-CO"/>
        </w:rPr>
      </w:pPr>
      <w:r w:rsidRPr="00A45C1C">
        <w:rPr>
          <w:rFonts w:ascii="Arial" w:hAnsi="Arial" w:cs="Arial"/>
          <w:szCs w:val="22"/>
          <w:lang w:val="es-CO"/>
        </w:rPr>
        <w:t>Continuación de la promoción e implementación de la conversión de vehículos a GNV.</w:t>
      </w:r>
    </w:p>
    <w:p w14:paraId="654DAB51" w14:textId="77777777" w:rsidR="00A45C1C" w:rsidRPr="00A45C1C" w:rsidRDefault="00A45C1C" w:rsidP="00A45C1C">
      <w:pPr>
        <w:ind w:left="1418"/>
        <w:jc w:val="both"/>
        <w:rPr>
          <w:rFonts w:ascii="Arial" w:hAnsi="Arial" w:cs="Arial"/>
          <w:szCs w:val="22"/>
          <w:lang w:val="es-CO"/>
        </w:rPr>
      </w:pPr>
    </w:p>
    <w:p w14:paraId="6FB22255" w14:textId="77777777" w:rsidR="00A45C1C" w:rsidRPr="00A45C1C" w:rsidRDefault="00A45C1C" w:rsidP="00A45C1C">
      <w:pPr>
        <w:ind w:left="1418"/>
        <w:jc w:val="both"/>
        <w:rPr>
          <w:rFonts w:ascii="Arial" w:hAnsi="Arial" w:cs="Arial"/>
          <w:szCs w:val="22"/>
          <w:lang w:val="es-CO"/>
        </w:rPr>
      </w:pPr>
      <w:r w:rsidRPr="00A45C1C">
        <w:rPr>
          <w:rFonts w:ascii="Arial" w:hAnsi="Arial" w:cs="Arial"/>
          <w:szCs w:val="22"/>
          <w:lang w:val="es-CO"/>
        </w:rPr>
        <w:t>Implementación del Sistema de Inspección y Mantenimiento de Vehículos en Lima Metropolitana de acuerdo a un cronograma basado en los números de las placas.</w:t>
      </w:r>
    </w:p>
    <w:p w14:paraId="1FDC03E7" w14:textId="77777777" w:rsidR="00A45C1C" w:rsidRPr="00A45C1C" w:rsidRDefault="00A45C1C" w:rsidP="00A45C1C">
      <w:pPr>
        <w:ind w:left="1134"/>
        <w:jc w:val="both"/>
        <w:rPr>
          <w:rFonts w:ascii="Arial" w:hAnsi="Arial" w:cs="Arial"/>
          <w:szCs w:val="22"/>
          <w:lang w:val="es-CO"/>
        </w:rPr>
      </w:pPr>
    </w:p>
    <w:p w14:paraId="568E737B"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 xml:space="preserve">3° Operación: </w:t>
      </w:r>
    </w:p>
    <w:p w14:paraId="31F12939" w14:textId="77777777" w:rsidR="00A45C1C" w:rsidRPr="00A45C1C" w:rsidRDefault="00A45C1C" w:rsidP="00A45C1C">
      <w:pPr>
        <w:ind w:left="1418"/>
        <w:jc w:val="both"/>
        <w:rPr>
          <w:rFonts w:ascii="Arial" w:hAnsi="Arial" w:cs="Arial"/>
          <w:szCs w:val="22"/>
          <w:lang w:val="es-CO"/>
        </w:rPr>
      </w:pPr>
      <w:r w:rsidRPr="00A45C1C">
        <w:rPr>
          <w:rFonts w:ascii="Arial" w:hAnsi="Arial" w:cs="Arial"/>
          <w:szCs w:val="22"/>
          <w:lang w:val="es-CO"/>
        </w:rPr>
        <w:t>Continuación de la implementación del Sistema de Inspección y Mantenimiento de Vehículos en Lima y 3 ciudades adicionales (Arequipa, Chiclayo y Trujillo) mediante la introducción de un sistema informático y de comunicaciones que requiere el uso de equipo fotográfico digital capaz de capturar la secuencia de imágenes del vehículo en cada punto de la inspección.</w:t>
      </w:r>
    </w:p>
    <w:p w14:paraId="0BC74CFF" w14:textId="77777777" w:rsidR="00A45C1C" w:rsidRPr="00A45C1C" w:rsidRDefault="00A45C1C" w:rsidP="00A45C1C">
      <w:pPr>
        <w:ind w:left="1134"/>
        <w:jc w:val="both"/>
        <w:rPr>
          <w:rFonts w:ascii="Arial" w:hAnsi="Arial" w:cs="Arial"/>
          <w:szCs w:val="22"/>
          <w:lang w:val="es-CO"/>
        </w:rPr>
      </w:pPr>
    </w:p>
    <w:p w14:paraId="77E18B94" w14:textId="77777777" w:rsidR="00A45C1C" w:rsidRDefault="00A45C1C" w:rsidP="00A45C1C">
      <w:pPr>
        <w:pStyle w:val="Prrafodelista2"/>
        <w:ind w:left="1134"/>
        <w:jc w:val="both"/>
        <w:rPr>
          <w:rFonts w:ascii="Arial" w:hAnsi="Arial" w:cs="Arial"/>
          <w:bCs/>
          <w:szCs w:val="22"/>
          <w:u w:val="single"/>
        </w:rPr>
      </w:pPr>
      <w:r>
        <w:rPr>
          <w:rFonts w:ascii="Arial" w:hAnsi="Arial" w:cs="Arial"/>
          <w:bCs/>
          <w:szCs w:val="22"/>
          <w:u w:val="single"/>
        </w:rPr>
        <w:t>Sector Pesca</w:t>
      </w:r>
    </w:p>
    <w:p w14:paraId="22B4AEC5" w14:textId="77777777" w:rsidR="00A45C1C" w:rsidRPr="00A45C1C" w:rsidRDefault="00A45C1C" w:rsidP="00A45C1C">
      <w:pPr>
        <w:ind w:left="1134"/>
        <w:jc w:val="both"/>
        <w:rPr>
          <w:rFonts w:ascii="Arial" w:hAnsi="Arial" w:cs="Arial"/>
          <w:szCs w:val="22"/>
          <w:lang w:val="es-CO"/>
        </w:rPr>
      </w:pPr>
    </w:p>
    <w:p w14:paraId="08A174BE"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Con el objetivo de reducir la sobrecapacidad de la flota de anchoveta y mitigar los impactos sociales asociados con la reducción de flota.</w:t>
      </w:r>
    </w:p>
    <w:p w14:paraId="350840D7" w14:textId="77777777" w:rsidR="00A45C1C" w:rsidRPr="00A45C1C" w:rsidRDefault="00A45C1C" w:rsidP="00A45C1C">
      <w:pPr>
        <w:ind w:left="1134"/>
        <w:jc w:val="both"/>
        <w:rPr>
          <w:rFonts w:ascii="Arial" w:hAnsi="Arial" w:cs="Arial"/>
          <w:szCs w:val="22"/>
          <w:lang w:val="es-CO"/>
        </w:rPr>
      </w:pPr>
    </w:p>
    <w:p w14:paraId="18AC4B34"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 xml:space="preserve">1° Operación: </w:t>
      </w:r>
    </w:p>
    <w:p w14:paraId="24CDCE3A" w14:textId="77777777" w:rsidR="00A45C1C" w:rsidRDefault="00A45C1C" w:rsidP="00A45C1C">
      <w:pPr>
        <w:pStyle w:val="Prrafodelista2"/>
        <w:ind w:left="1418"/>
        <w:jc w:val="both"/>
        <w:rPr>
          <w:rFonts w:ascii="Arial" w:hAnsi="Arial" w:cs="Arial"/>
          <w:szCs w:val="22"/>
          <w:lang w:val="es-ES"/>
        </w:rPr>
      </w:pPr>
      <w:r>
        <w:rPr>
          <w:rFonts w:ascii="Arial" w:hAnsi="Arial" w:cs="Arial"/>
          <w:szCs w:val="22"/>
          <w:lang w:val="es-ES"/>
        </w:rPr>
        <w:t>Aprobación del Decreto Legislativo No. 1084 el cual regula las cuotas de pesca de anchoveta por embarcación, y las medidas de protección social para trabajadores desplazados por esta medida.</w:t>
      </w:r>
    </w:p>
    <w:p w14:paraId="066D53BA" w14:textId="77777777" w:rsidR="00A45C1C" w:rsidRDefault="00A45C1C" w:rsidP="00A45C1C">
      <w:pPr>
        <w:ind w:left="1134"/>
        <w:jc w:val="both"/>
        <w:rPr>
          <w:rFonts w:ascii="Arial" w:hAnsi="Arial" w:cs="Arial"/>
          <w:szCs w:val="22"/>
          <w:lang w:val="es-ES"/>
        </w:rPr>
      </w:pPr>
    </w:p>
    <w:p w14:paraId="2B31B314"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 xml:space="preserve">2° Operación: </w:t>
      </w:r>
    </w:p>
    <w:p w14:paraId="2CAFDC0F" w14:textId="77777777" w:rsidR="00A45C1C" w:rsidRDefault="00A45C1C" w:rsidP="00A45C1C">
      <w:pPr>
        <w:pStyle w:val="Prrafodelista2"/>
        <w:ind w:left="1418"/>
        <w:jc w:val="both"/>
        <w:rPr>
          <w:rFonts w:ascii="Arial" w:hAnsi="Arial" w:cs="Arial"/>
          <w:szCs w:val="22"/>
          <w:lang w:val="es-ES"/>
        </w:rPr>
      </w:pPr>
      <w:r>
        <w:rPr>
          <w:rFonts w:ascii="Arial" w:hAnsi="Arial" w:cs="Arial"/>
          <w:szCs w:val="22"/>
          <w:lang w:val="es-ES"/>
        </w:rPr>
        <w:t xml:space="preserve">Aprobación del reglamento de la Ley sobre límites máximos de captura por embarcación (DL N° 1084), con el cual se establecen los procedimientos para la aplicación del régimen de cuotas de pesca de anchoveta por embarcación, la implementación del Fondo de Compensación para el Ordenamiento Pesquero (FONCOPES) y el fondo de pensiones de retiro. </w:t>
      </w:r>
    </w:p>
    <w:p w14:paraId="719A0476" w14:textId="77777777" w:rsidR="00A45C1C" w:rsidRDefault="00A45C1C" w:rsidP="00A45C1C">
      <w:pPr>
        <w:ind w:left="1134"/>
        <w:jc w:val="both"/>
        <w:rPr>
          <w:szCs w:val="20"/>
          <w:highlight w:val="yellow"/>
          <w:lang w:val="es-ES"/>
        </w:rPr>
      </w:pPr>
    </w:p>
    <w:p w14:paraId="3CAA1AFA" w14:textId="77777777" w:rsidR="00A45C1C" w:rsidRPr="00A45C1C" w:rsidRDefault="00A45C1C" w:rsidP="00A45C1C">
      <w:pPr>
        <w:ind w:left="1134"/>
        <w:jc w:val="both"/>
        <w:rPr>
          <w:rFonts w:ascii="Arial" w:hAnsi="Arial" w:cs="Arial"/>
          <w:szCs w:val="22"/>
          <w:lang w:val="es-CO"/>
        </w:rPr>
      </w:pPr>
      <w:r w:rsidRPr="00A45C1C">
        <w:rPr>
          <w:rFonts w:ascii="Arial" w:hAnsi="Arial" w:cs="Arial"/>
          <w:szCs w:val="22"/>
          <w:lang w:val="es-CO"/>
        </w:rPr>
        <w:t xml:space="preserve">3° Operación: </w:t>
      </w:r>
    </w:p>
    <w:p w14:paraId="120A93B0" w14:textId="400205CE" w:rsidR="00A45C1C" w:rsidRDefault="00A45C1C" w:rsidP="005039FE">
      <w:pPr>
        <w:pStyle w:val="Prrafodelista2"/>
        <w:ind w:left="1418"/>
        <w:jc w:val="both"/>
        <w:rPr>
          <w:rFonts w:ascii="Arial" w:hAnsi="Arial" w:cs="Arial"/>
          <w:sz w:val="22"/>
          <w:szCs w:val="22"/>
          <w:lang w:val="es-ES"/>
        </w:rPr>
      </w:pPr>
      <w:r>
        <w:rPr>
          <w:rFonts w:ascii="Arial" w:hAnsi="Arial" w:cs="Arial"/>
          <w:szCs w:val="22"/>
          <w:lang w:val="es-ES"/>
        </w:rPr>
        <w:t>Establecimiento de cuotas para la pesca de anchoveta para la región norte y central, y aplican medidas para el monitoreo y fiscalización del sistema de cuotas establecido</w:t>
      </w:r>
      <w:r w:rsidR="005039FE">
        <w:rPr>
          <w:lang w:val="es-ES"/>
        </w:rPr>
        <w:t>.</w:t>
      </w:r>
    </w:p>
    <w:p w14:paraId="3AD08EF2" w14:textId="77777777" w:rsidR="00A45C1C" w:rsidRDefault="00A45C1C" w:rsidP="00A45C1C">
      <w:pPr>
        <w:pStyle w:val="Prrafodelista2"/>
        <w:jc w:val="both"/>
        <w:rPr>
          <w:rFonts w:ascii="Arial" w:hAnsi="Arial" w:cs="Arial"/>
          <w:sz w:val="22"/>
          <w:szCs w:val="22"/>
          <w:lang w:val="es-ES"/>
        </w:rPr>
      </w:pPr>
    </w:p>
    <w:p w14:paraId="6E08A2BE" w14:textId="77777777" w:rsidR="00A45C1C" w:rsidRDefault="00A45C1C" w:rsidP="00A45C1C">
      <w:pPr>
        <w:pStyle w:val="Prrafodelista2"/>
        <w:jc w:val="both"/>
        <w:rPr>
          <w:rFonts w:ascii="Arial" w:hAnsi="Arial" w:cs="Arial"/>
          <w:sz w:val="22"/>
          <w:szCs w:val="22"/>
          <w:lang w:val="es-ES"/>
        </w:rPr>
      </w:pPr>
    </w:p>
    <w:p w14:paraId="5C584224" w14:textId="77777777" w:rsidR="00A45C1C" w:rsidRDefault="00A45C1C" w:rsidP="00A45C1C">
      <w:pPr>
        <w:numPr>
          <w:ilvl w:val="0"/>
          <w:numId w:val="42"/>
        </w:numPr>
        <w:ind w:hanging="796"/>
        <w:jc w:val="both"/>
        <w:rPr>
          <w:rFonts w:ascii="Arial" w:hAnsi="Arial" w:cs="Arial"/>
          <w:b/>
          <w:sz w:val="22"/>
          <w:szCs w:val="22"/>
          <w:lang w:val="es-ES"/>
        </w:rPr>
      </w:pPr>
      <w:r w:rsidRPr="00A45C1C">
        <w:rPr>
          <w:rFonts w:ascii="Arial" w:hAnsi="Arial" w:cs="Arial"/>
          <w:b/>
          <w:sz w:val="22"/>
          <w:szCs w:val="22"/>
          <w:lang w:val="es-CO"/>
        </w:rPr>
        <w:t xml:space="preserve">Relevancia de objetivos de la reforma y sostenibilidad </w:t>
      </w:r>
    </w:p>
    <w:p w14:paraId="40EE474E" w14:textId="77777777" w:rsidR="00A45C1C" w:rsidRPr="00A45C1C" w:rsidRDefault="00A45C1C" w:rsidP="00A45C1C">
      <w:pPr>
        <w:ind w:left="720"/>
        <w:jc w:val="both"/>
        <w:rPr>
          <w:rFonts w:ascii="Arial" w:hAnsi="Arial" w:cs="Arial"/>
          <w:b/>
          <w:sz w:val="22"/>
          <w:szCs w:val="22"/>
          <w:lang w:val="es-CO"/>
        </w:rPr>
      </w:pPr>
    </w:p>
    <w:p w14:paraId="10324837" w14:textId="77777777" w:rsidR="00A45C1C" w:rsidRPr="00A45C1C" w:rsidRDefault="00A45C1C" w:rsidP="00A45C1C">
      <w:pPr>
        <w:ind w:left="709"/>
        <w:jc w:val="both"/>
        <w:rPr>
          <w:rFonts w:ascii="Arial" w:hAnsi="Arial" w:cs="Arial"/>
          <w:sz w:val="20"/>
          <w:szCs w:val="22"/>
          <w:lang w:val="es-CO"/>
        </w:rPr>
      </w:pPr>
      <w:r w:rsidRPr="00A45C1C">
        <w:rPr>
          <w:rFonts w:ascii="Arial" w:hAnsi="Arial" w:cs="Arial"/>
          <w:szCs w:val="22"/>
          <w:lang w:val="es-CO"/>
        </w:rPr>
        <w:t>Con la Serie Programática se propuso impulsar reformas sustanciales, tanto en el marco legal e institucional de la gestión ambiental, como respecto a la incorporación de los principios de desarrollo sostenible en los sectores económicos clave. El programa se enmarcó dentro de las prioridades del gobierno relacionadas con crear la institucionalidad adecuada para enfrentar el desafío de evitar la degradación ambiental ante el crecimiento económico sostenido.</w:t>
      </w:r>
    </w:p>
    <w:p w14:paraId="74092764" w14:textId="77777777" w:rsidR="00A45C1C" w:rsidRPr="00A45C1C" w:rsidRDefault="00A45C1C" w:rsidP="00A45C1C">
      <w:pPr>
        <w:ind w:left="709"/>
        <w:jc w:val="both"/>
        <w:rPr>
          <w:rFonts w:ascii="Arial" w:hAnsi="Arial" w:cs="Arial"/>
          <w:szCs w:val="22"/>
          <w:lang w:val="es-CO"/>
        </w:rPr>
      </w:pPr>
    </w:p>
    <w:p w14:paraId="1E391720"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 xml:space="preserve">Las principales reformas del programa se mantienen desde la aprobación de la última operación de la serie, es decir, después de seis años. Destaca el progreso observado en el área institucional. Desde la creación del MINAM mediante Decreto Legislativo N° 1013 en el año 2008, se ha logrado la integración de las políticas públicas ambientales con la aprobación de diversos instrumentos como los Ejes Estratégicos de Gestión Ambiental, la Estrategia Nacional de Cambio Climático, la Estrategia Nacional de Biodiversidad, la Estrategia Nacional de Humedales, la Política Nacional de Educación Ambiental y los Lineamientos de política sobre inversión pública en materia de residuos sólidos, diversidad biológica y servicios ecosistémicos, entre otros. </w:t>
      </w:r>
    </w:p>
    <w:p w14:paraId="0F38DA67" w14:textId="77777777" w:rsidR="00A45C1C" w:rsidRPr="00A45C1C" w:rsidRDefault="00A45C1C" w:rsidP="00A45C1C">
      <w:pPr>
        <w:ind w:left="709"/>
        <w:jc w:val="both"/>
        <w:rPr>
          <w:rFonts w:ascii="Arial" w:hAnsi="Arial" w:cs="Arial"/>
          <w:szCs w:val="22"/>
          <w:lang w:val="es-CO"/>
        </w:rPr>
      </w:pPr>
    </w:p>
    <w:p w14:paraId="131F689A"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 xml:space="preserve">A nivel institucional los avances en los últimos años son notables, destacando la creación del Servicio Nacional de Certificación Ambiental para Inversiones Sostenibles (SENACE), el fortalecimiento del Sistema Nacional de Fiscalización Ambiental (SINEFA), el mejoramiento del rol de OEFA con facultades de control e incentivos, la creación del Instituto Nacional de Investigaciones en Glaciares y Ecosistemas de Montaña (INAIGEM), y el mejoramiento de la justicia ambiental mediante la creación de la Procuraduría Especializada en Delitos Ambientales. </w:t>
      </w:r>
    </w:p>
    <w:p w14:paraId="36FCA4DA" w14:textId="77777777" w:rsidR="00A45C1C" w:rsidRPr="00A45C1C" w:rsidRDefault="00A45C1C" w:rsidP="00A45C1C">
      <w:pPr>
        <w:ind w:left="709"/>
        <w:jc w:val="both"/>
        <w:rPr>
          <w:rFonts w:ascii="Arial" w:hAnsi="Arial" w:cs="Arial"/>
          <w:szCs w:val="22"/>
          <w:lang w:val="es-CO"/>
        </w:rPr>
      </w:pPr>
    </w:p>
    <w:p w14:paraId="154D0EEC"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Asimismo, el MINAM ha fortalecido la gestión ambiental regional y local principalmente mediante la asistencia técnica permanente, la implementación de la Estrategia de descentralización en relación a las políticas y estrategias regionales, y la implementación de las Oficinas desconcentradas del MINAM.</w:t>
      </w:r>
    </w:p>
    <w:p w14:paraId="48423166" w14:textId="77777777" w:rsidR="00A45C1C" w:rsidRPr="00A45C1C" w:rsidRDefault="00A45C1C" w:rsidP="00A45C1C">
      <w:pPr>
        <w:ind w:left="709"/>
        <w:jc w:val="both"/>
        <w:rPr>
          <w:rFonts w:ascii="Arial" w:hAnsi="Arial" w:cs="Arial"/>
          <w:szCs w:val="22"/>
          <w:lang w:val="es-CO"/>
        </w:rPr>
      </w:pPr>
    </w:p>
    <w:p w14:paraId="2E6E02B4" w14:textId="77777777" w:rsidR="00A45C1C" w:rsidRDefault="00A45C1C" w:rsidP="00A45C1C">
      <w:pPr>
        <w:ind w:left="709"/>
        <w:jc w:val="both"/>
        <w:rPr>
          <w:rFonts w:ascii="Arial" w:hAnsi="Arial" w:cs="Arial"/>
          <w:szCs w:val="22"/>
          <w:lang w:val="es-PE"/>
        </w:rPr>
      </w:pPr>
      <w:r w:rsidRPr="00A45C1C">
        <w:rPr>
          <w:rFonts w:ascii="Arial" w:hAnsi="Arial" w:cs="Arial"/>
          <w:szCs w:val="22"/>
          <w:lang w:val="es-CO"/>
        </w:rPr>
        <w:t>Como ente rector del Sistema Nacional de Evaluación de Impacto Ambiental (SEIA), el MINAM ha contribuido al fortalecimiento de dicho sistema mediante la actualización y adecuación de la normativa sectorial del SEIA para cinco sectores: Agricultura, Vivienda, Minería, Hidrocarburos e Industria Manufacturera y Comercio Interno. Asimismo, se fortaleció el SEIA mediante la creación del SENACE, la cual tiene a cargo la aprobación de los Estudios de Impacto Ambiental detallados (EIA-d), centralizando en esta entidad las funciones de evaluación de impactos ambientales que le transfieren los diversos Sectores. Adicionalmente, se creó el proceso de Certificación Ambiental Global a cargo del SENACE para proyectos de inversión, el cual se enmarca en los principios de eficiencia, eficacia y sostenibilidad ambiental. Dicho proceso está orientado a incorporar progresivamente en un solo procedimiento administrativo los distintos títulos habilitantes que corresponden con la naturaleza del proyecto y exigibilidad, y se establece el plazo de revisión de EIA-d por parte del SENACE.</w:t>
      </w:r>
    </w:p>
    <w:p w14:paraId="4D6A7567" w14:textId="77777777" w:rsidR="00A45C1C" w:rsidRDefault="00A45C1C" w:rsidP="00A45C1C">
      <w:pPr>
        <w:pStyle w:val="Default"/>
        <w:rPr>
          <w:rFonts w:ascii="Times New Roman" w:hAnsi="Times New Roman" w:cs="Times New Roman"/>
          <w:lang w:val="es-PE"/>
        </w:rPr>
      </w:pPr>
    </w:p>
    <w:p w14:paraId="0826CB3C"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Por su parte, el Servicio Nacional de Áreas Naturales Protegidas por el Estado (SERNANP), ha ejercido sus competencias a nivel nacional, contando con oficinas para gestionar la Áreas Naturales Protegidas (ANP) de administración nacional, las cuales incluyen áreas marinas y costeras. Gracias al aumento de representatividad de los ecosistemas del país y su estado de conservación, se ha logrado un incremento en la superficie física y en la cobertura de la diversidad biológica representado en un crecimiento a alrededor de dos millones de hectáreas del territorio nacional protegidas en áreas de administración con categoría definitiva, con niveles de administración regional y privado.</w:t>
      </w:r>
    </w:p>
    <w:p w14:paraId="534F75F7" w14:textId="77777777" w:rsidR="00A45C1C" w:rsidRPr="00A45C1C" w:rsidRDefault="00A45C1C" w:rsidP="00A45C1C">
      <w:pPr>
        <w:ind w:left="709"/>
        <w:jc w:val="both"/>
        <w:rPr>
          <w:rFonts w:ascii="Arial" w:hAnsi="Arial" w:cs="Arial"/>
          <w:szCs w:val="22"/>
          <w:lang w:val="es-CO"/>
        </w:rPr>
      </w:pPr>
    </w:p>
    <w:p w14:paraId="2A6D7546"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 xml:space="preserve">Mediante el Plan de Acción Nacional de Diversidad Biológicas 2014-2018 se promovió que los gobiernos regionales cuenten con un espacio permanente de coordinación interregional, que se reúne anualmente para evaluar el avance en la implementación de los sistemas regionales de conservación de la diversidad biológica. Asimismo, tanto los gobiernos regionales como otras entidades competentes reportan al MINAM de manera anual el estado de conservación de las ANP y otras modalidades de conservación. Asimismo, se cuenta con una evaluación general sobre los factores que afectan la conectividad de los ecosistemas, así como una lista de ecosistemas frágiles priorizados y lineamientos y criterios para su gestión, entre otros. Adicionalmente, en relación a los Planes Maestros de las Áreas Naturales Protegidas, en el 2012 se propuso una modificación de los lineamientos de desarrollo de los Planes Maestros que incluye una nueva metodología y procedimiento. </w:t>
      </w:r>
    </w:p>
    <w:p w14:paraId="4438D186" w14:textId="77777777" w:rsidR="00A45C1C" w:rsidRPr="00A45C1C" w:rsidRDefault="00A45C1C" w:rsidP="00A45C1C">
      <w:pPr>
        <w:ind w:left="709"/>
        <w:jc w:val="both"/>
        <w:rPr>
          <w:rFonts w:ascii="Arial" w:hAnsi="Arial" w:cs="Arial"/>
          <w:szCs w:val="22"/>
          <w:lang w:val="es-CO"/>
        </w:rPr>
      </w:pPr>
    </w:p>
    <w:p w14:paraId="52CAEC60"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Adicionalmente, con el esquema de Presupuesto por Resultados, se ha podido diseñar el Programa Presupuestal 0057 “Mejora en la conservación de la Diversidad Biológica y Aprovechamiento Sostenible de los Recursos Naturales de las ANP”, lo cual ha permitido elevar la asignación del presupuesto público. Además, se han diversificado las fuentes de financiamiento, por ejemplo a través de la implementación de iniciativas REDD+ en ANP e impulsando la iniciativa Asegurando el Futuro de las Áreas Naturales Protegidas del Perú. Parques Nacionales: Patrimonio del Perú.</w:t>
      </w:r>
    </w:p>
    <w:p w14:paraId="4DDB11E4" w14:textId="77777777" w:rsidR="00A45C1C" w:rsidRPr="00A45C1C" w:rsidRDefault="00A45C1C" w:rsidP="00A45C1C">
      <w:pPr>
        <w:ind w:left="709"/>
        <w:jc w:val="both"/>
        <w:rPr>
          <w:rFonts w:ascii="Arial" w:hAnsi="Arial" w:cs="Arial"/>
          <w:szCs w:val="22"/>
          <w:lang w:val="es-CO"/>
        </w:rPr>
      </w:pPr>
    </w:p>
    <w:p w14:paraId="684A2AB2"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En relación a la calidad del aire, SENAMHI dentro de su Plan Estratégico Institucional mantiene como objetivo estratégico el fortalecer la vigilancia atmosférica para la toma de decisiones. Asimismo, mediante su política institucional de Calidad Ambiental Atmosférica se espera fortalecer la vigilancia atmosférica en el país. La estrategia adoptada está referida a la incorporación en el Programa Presupuestal 096 “Gestión de la Calidad del Aire” a partir del 2013, y el incremento en la cobertura de la vigilancia de la calidad del aire de 03 a 10 ciudades del país y vigilancia de la radiación ultravioleta en 10 ciudades capitales.</w:t>
      </w:r>
    </w:p>
    <w:p w14:paraId="0054EAD3" w14:textId="77777777" w:rsidR="00A45C1C" w:rsidRPr="00A45C1C" w:rsidRDefault="00A45C1C" w:rsidP="00A45C1C">
      <w:pPr>
        <w:ind w:left="709"/>
        <w:jc w:val="both"/>
        <w:rPr>
          <w:rFonts w:ascii="Arial" w:hAnsi="Arial" w:cs="Arial"/>
          <w:szCs w:val="22"/>
          <w:lang w:val="es-CO"/>
        </w:rPr>
      </w:pPr>
    </w:p>
    <w:p w14:paraId="54C1534E"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Complementariamente, la Dirección General de Salud Ambiental (DIGESA) del Ministerio de Salud, realiza el monitoreo de la calidad del aire de manera permanente en Lima y Callao a través de cinco estaciones fijas de monitoreo. Asimismo, DIGESA ha desarrollado Estudios de Línea Base en ciudades como Chimbote, Tacna, Iquitos, Cusco, La Oroya, con el fin de identificar zonas de riesgo e implementar planes de Vigilancia de la Calidad del Aire. Además, realiza estudios puntuales en otras ciudades del país, así como una serie de evaluaciones específicas en respuesta a denuncias de la población.</w:t>
      </w:r>
    </w:p>
    <w:p w14:paraId="17A5A916" w14:textId="77777777" w:rsidR="00A45C1C" w:rsidRPr="00A45C1C" w:rsidRDefault="00A45C1C" w:rsidP="00A45C1C">
      <w:pPr>
        <w:ind w:left="709"/>
        <w:jc w:val="both"/>
        <w:rPr>
          <w:rFonts w:ascii="Arial" w:hAnsi="Arial" w:cs="Arial"/>
          <w:szCs w:val="22"/>
          <w:lang w:val="es-CO"/>
        </w:rPr>
      </w:pPr>
    </w:p>
    <w:p w14:paraId="4954795F"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En relación a la incorporación de los principios de desarrollo sostenible en sectores claves, específicamente sobre los pasivos ambientales mineros, se tiene que desde el 2011 se vienen desarrollando actividades relacionadas a 61 cuencas hidrográficas, lo cual ha permitido tener un registro del inventario de alrededor de 8 850 pasivos ambientales mineros (PAM), lo cual ha permitido contar con herramientas que permitan tomar decisiones en torno a la gestión de proyectos de remediación de pasivos de esta naturaleza. En ese sentido, el MINEM ha gestionado la remediación de 685 PAM agrupados en 15 proyectos de remediación ubicados en 7 regiones del país.</w:t>
      </w:r>
    </w:p>
    <w:p w14:paraId="48C11D2F" w14:textId="77777777" w:rsidR="00A45C1C" w:rsidRPr="00A45C1C" w:rsidRDefault="00A45C1C" w:rsidP="00A45C1C">
      <w:pPr>
        <w:jc w:val="both"/>
        <w:rPr>
          <w:rFonts w:ascii="Arial" w:hAnsi="Arial" w:cs="Arial"/>
          <w:szCs w:val="22"/>
          <w:lang w:val="es-CO"/>
        </w:rPr>
      </w:pPr>
    </w:p>
    <w:p w14:paraId="33896E97" w14:textId="77777777" w:rsidR="00A45C1C" w:rsidRDefault="00A45C1C" w:rsidP="00A45C1C">
      <w:pPr>
        <w:ind w:left="709"/>
        <w:jc w:val="both"/>
        <w:rPr>
          <w:rFonts w:ascii="Arial" w:hAnsi="Arial" w:cs="Arial"/>
          <w:szCs w:val="22"/>
          <w:lang w:val="es-PE"/>
        </w:rPr>
      </w:pPr>
      <w:r>
        <w:rPr>
          <w:rFonts w:ascii="Arial" w:hAnsi="Arial" w:cs="Arial"/>
          <w:szCs w:val="22"/>
          <w:lang w:val="es-PE"/>
        </w:rPr>
        <w:t>Respecto a mejorar la calidad de los combustibles, en el año 2014 se iniciaron las obras de construcción del Proyecto de Modernización de la Refinería Talara, el cual comprende la ampliación de la capacidad productiva de 65 a 95 MBPD de petróleo, optimización de los procesos de conversión y la construcción de nuevas unidades de proceso para refinar crudo ligero y pesado, gasolinas, GLP y Diesel (contenido máximo de 50 ppm de azufre), lo que favorecerá el abastecimiento del mercado peruano con combustibles más limpios. Se espera finalizar dicha construcción en el año 2019.</w:t>
      </w:r>
    </w:p>
    <w:p w14:paraId="3A645A84" w14:textId="77777777" w:rsidR="00A45C1C" w:rsidRDefault="00A45C1C" w:rsidP="00A45C1C">
      <w:pPr>
        <w:ind w:left="709"/>
        <w:jc w:val="both"/>
        <w:rPr>
          <w:rFonts w:ascii="Arial" w:hAnsi="Arial" w:cs="Arial"/>
          <w:szCs w:val="22"/>
          <w:lang w:val="es-PE"/>
        </w:rPr>
      </w:pPr>
    </w:p>
    <w:p w14:paraId="36F1549E" w14:textId="77777777" w:rsidR="00A45C1C" w:rsidRDefault="00A45C1C" w:rsidP="00A45C1C">
      <w:pPr>
        <w:ind w:left="709"/>
        <w:jc w:val="both"/>
        <w:rPr>
          <w:rFonts w:ascii="Arial" w:hAnsi="Arial" w:cs="Arial"/>
          <w:szCs w:val="22"/>
          <w:lang w:val="es-PE"/>
        </w:rPr>
      </w:pPr>
      <w:r>
        <w:rPr>
          <w:rFonts w:ascii="Arial" w:hAnsi="Arial" w:cs="Arial"/>
          <w:szCs w:val="22"/>
          <w:lang w:val="es-PE"/>
        </w:rPr>
        <w:t>Asimismo, las conversiones de autos a gas natural casi se han duplicado pasando de 127 265 vehículos activados en el 2011 a un total de 245 640 a abril 2016. De igual manera, el número de estaciones de servicio que proveen gas natural se ha incrementado en 57% durante el período mencionado, alcanzando un total de 277 estaciones.</w:t>
      </w:r>
    </w:p>
    <w:p w14:paraId="634802FE" w14:textId="77777777" w:rsidR="00A45C1C" w:rsidRDefault="00A45C1C" w:rsidP="00A45C1C">
      <w:pPr>
        <w:ind w:left="709"/>
        <w:jc w:val="both"/>
        <w:rPr>
          <w:rFonts w:ascii="Arial" w:hAnsi="Arial" w:cs="Arial"/>
          <w:szCs w:val="22"/>
          <w:lang w:val="es-PE"/>
        </w:rPr>
      </w:pPr>
    </w:p>
    <w:p w14:paraId="5CA7C30E" w14:textId="77777777" w:rsidR="00A45C1C" w:rsidRDefault="00A45C1C" w:rsidP="00A45C1C">
      <w:pPr>
        <w:ind w:left="709"/>
        <w:jc w:val="both"/>
        <w:rPr>
          <w:rFonts w:ascii="Arial" w:hAnsi="Arial" w:cs="Arial"/>
          <w:szCs w:val="22"/>
          <w:lang w:val="es-PE"/>
        </w:rPr>
      </w:pPr>
      <w:r>
        <w:rPr>
          <w:rFonts w:ascii="Arial" w:hAnsi="Arial" w:cs="Arial"/>
          <w:szCs w:val="22"/>
          <w:lang w:val="es-PE"/>
        </w:rPr>
        <w:t>Con respecto a la mejora del desempeño vehicular, el MTC ha continuado perfeccionando la aplicación del Reglamento Nacional de Inspecciones Técnicas Vehiculares. Asimismo, a diciembre 2015 se encontraban operando 54 empresas y 80 establecimientos autorizados como centros de inspección técnica vehicular.</w:t>
      </w:r>
    </w:p>
    <w:p w14:paraId="2AF2E8CC" w14:textId="77777777" w:rsidR="00A45C1C" w:rsidRDefault="00A45C1C" w:rsidP="00A45C1C">
      <w:pPr>
        <w:ind w:left="709"/>
        <w:jc w:val="both"/>
        <w:rPr>
          <w:rFonts w:ascii="Arial" w:hAnsi="Arial" w:cs="Arial"/>
          <w:szCs w:val="22"/>
          <w:lang w:val="es-ES"/>
        </w:rPr>
      </w:pPr>
    </w:p>
    <w:p w14:paraId="0FAE7BEA" w14:textId="0E39EAAD" w:rsidR="00A45C1C" w:rsidRPr="00A45C1C" w:rsidRDefault="00A45C1C" w:rsidP="005039FE">
      <w:pPr>
        <w:ind w:left="709"/>
        <w:jc w:val="both"/>
        <w:rPr>
          <w:rFonts w:ascii="Arial" w:hAnsi="Arial" w:cs="Arial"/>
          <w:szCs w:val="22"/>
          <w:lang w:val="es-CO"/>
        </w:rPr>
      </w:pPr>
      <w:r w:rsidRPr="00A45C1C">
        <w:rPr>
          <w:rFonts w:ascii="Arial" w:hAnsi="Arial" w:cs="Arial"/>
          <w:szCs w:val="22"/>
          <w:lang w:val="es-CO"/>
        </w:rPr>
        <w:t>Finalmente, en relación al sector pesquero, persiste el interés en que las actividades pesqueras y acuícolas guarden armonía con el ambiente, la biodiversidad y la socio-economía. Asimismo, existe la preocupación por promover acciones de adaptación y mitigación frente al cambio climático, vinculadas a la sostenibilidad pesquera. En ese sentido, se realiza un seguimiento continuo de las condiciones oceanográficas sobre la biomasa para determinar las cuotas aplicables a la explotación de la ancho</w:t>
      </w:r>
      <w:r w:rsidR="005039FE">
        <w:rPr>
          <w:rFonts w:ascii="Arial" w:hAnsi="Arial" w:cs="Arial"/>
          <w:szCs w:val="22"/>
          <w:lang w:val="es-CO"/>
        </w:rPr>
        <w:t>veta, principalmente.</w:t>
      </w:r>
    </w:p>
    <w:p w14:paraId="5D149EDE" w14:textId="0E209F92" w:rsidR="00A45C1C" w:rsidRDefault="00A45C1C" w:rsidP="00A45C1C">
      <w:pPr>
        <w:ind w:left="709"/>
        <w:jc w:val="both"/>
        <w:rPr>
          <w:rFonts w:ascii="Arial" w:hAnsi="Arial" w:cs="Arial"/>
          <w:b/>
          <w:sz w:val="22"/>
          <w:szCs w:val="22"/>
          <w:lang w:val="es-PE"/>
        </w:rPr>
      </w:pPr>
      <w:r w:rsidRPr="00A45C1C">
        <w:rPr>
          <w:rFonts w:ascii="Arial" w:hAnsi="Arial" w:cs="Arial"/>
          <w:szCs w:val="22"/>
          <w:lang w:val="es-CO"/>
        </w:rPr>
        <w:t xml:space="preserve"> </w:t>
      </w:r>
    </w:p>
    <w:p w14:paraId="7B1F902C" w14:textId="77777777" w:rsidR="00A45C1C" w:rsidRDefault="00A45C1C" w:rsidP="00A45C1C">
      <w:pPr>
        <w:numPr>
          <w:ilvl w:val="0"/>
          <w:numId w:val="42"/>
        </w:numPr>
        <w:ind w:hanging="796"/>
        <w:jc w:val="both"/>
        <w:rPr>
          <w:rFonts w:ascii="Arial" w:hAnsi="Arial" w:cs="Arial"/>
          <w:b/>
          <w:sz w:val="22"/>
          <w:szCs w:val="22"/>
          <w:lang w:val="es-ES"/>
        </w:rPr>
      </w:pPr>
      <w:r w:rsidRPr="00A45C1C">
        <w:rPr>
          <w:rFonts w:ascii="Arial" w:hAnsi="Arial" w:cs="Arial"/>
          <w:b/>
          <w:sz w:val="22"/>
          <w:szCs w:val="22"/>
          <w:lang w:val="es-CO"/>
        </w:rPr>
        <w:t>Evaluación del desempeño de la participación del Sector Público</w:t>
      </w:r>
    </w:p>
    <w:p w14:paraId="04EAECE9" w14:textId="77777777" w:rsidR="00A45C1C" w:rsidRPr="00A45C1C" w:rsidRDefault="00A45C1C" w:rsidP="00A45C1C">
      <w:pPr>
        <w:ind w:left="720"/>
        <w:jc w:val="both"/>
        <w:rPr>
          <w:rFonts w:ascii="Arial" w:hAnsi="Arial" w:cs="Arial"/>
          <w:b/>
          <w:sz w:val="22"/>
          <w:szCs w:val="22"/>
          <w:lang w:val="es-CO"/>
        </w:rPr>
      </w:pPr>
    </w:p>
    <w:p w14:paraId="438F631D" w14:textId="77777777" w:rsidR="00A45C1C" w:rsidRPr="00A45C1C" w:rsidRDefault="00A45C1C" w:rsidP="00A45C1C">
      <w:pPr>
        <w:ind w:left="709"/>
        <w:jc w:val="both"/>
        <w:rPr>
          <w:rFonts w:ascii="Arial" w:hAnsi="Arial" w:cs="Arial"/>
          <w:sz w:val="20"/>
          <w:szCs w:val="22"/>
          <w:lang w:val="es-CO"/>
        </w:rPr>
      </w:pPr>
      <w:r w:rsidRPr="00A45C1C">
        <w:rPr>
          <w:rFonts w:ascii="Arial" w:hAnsi="Arial" w:cs="Arial"/>
          <w:szCs w:val="22"/>
          <w:lang w:val="es-CO"/>
        </w:rPr>
        <w:t xml:space="preserve">Se considera que la participación de las diversas entidades participantes de la Serie Programática fue clave para el logro de los objetivos planteados. Tanto durante el diseño de la Serie como en su ejecución, dichas entidades mostraron gran interés en la consecución de las reformas planteadas. </w:t>
      </w:r>
    </w:p>
    <w:p w14:paraId="6EDA1969" w14:textId="77777777" w:rsidR="00A45C1C" w:rsidRPr="00A45C1C" w:rsidRDefault="00A45C1C" w:rsidP="00A45C1C">
      <w:pPr>
        <w:ind w:left="709"/>
        <w:jc w:val="both"/>
        <w:rPr>
          <w:rFonts w:ascii="Arial" w:hAnsi="Arial" w:cs="Arial"/>
          <w:szCs w:val="22"/>
          <w:lang w:val="es-CO"/>
        </w:rPr>
      </w:pPr>
    </w:p>
    <w:p w14:paraId="400DD518" w14:textId="77777777" w:rsidR="00A45C1C" w:rsidRPr="00A45C1C" w:rsidRDefault="00A45C1C" w:rsidP="00A45C1C">
      <w:pPr>
        <w:ind w:left="709"/>
        <w:jc w:val="both"/>
        <w:rPr>
          <w:rFonts w:ascii="Arial" w:hAnsi="Arial" w:cs="Arial"/>
          <w:szCs w:val="22"/>
          <w:u w:val="single"/>
          <w:lang w:val="es-CO"/>
        </w:rPr>
      </w:pPr>
      <w:r w:rsidRPr="00A45C1C">
        <w:rPr>
          <w:rFonts w:ascii="Arial" w:hAnsi="Arial" w:cs="Arial"/>
          <w:szCs w:val="22"/>
          <w:u w:val="single"/>
          <w:lang w:val="es-CO"/>
        </w:rPr>
        <w:t>Lecciones aprendidas</w:t>
      </w:r>
    </w:p>
    <w:p w14:paraId="6DB4CE9C" w14:textId="77777777" w:rsidR="00A45C1C" w:rsidRPr="00A45C1C" w:rsidRDefault="00A45C1C" w:rsidP="00A45C1C">
      <w:pPr>
        <w:ind w:left="709"/>
        <w:jc w:val="both"/>
        <w:rPr>
          <w:rFonts w:ascii="Arial" w:hAnsi="Arial" w:cs="Arial"/>
          <w:szCs w:val="22"/>
          <w:lang w:val="es-CO"/>
        </w:rPr>
      </w:pPr>
    </w:p>
    <w:p w14:paraId="4C672F28" w14:textId="77777777" w:rsidR="00A45C1C" w:rsidRPr="00A45C1C" w:rsidRDefault="00A45C1C" w:rsidP="00A45C1C">
      <w:pPr>
        <w:ind w:left="709"/>
        <w:jc w:val="both"/>
        <w:rPr>
          <w:rFonts w:ascii="Arial" w:hAnsi="Arial" w:cs="Arial"/>
          <w:szCs w:val="22"/>
          <w:highlight w:val="cyan"/>
          <w:lang w:val="es-CO"/>
        </w:rPr>
      </w:pPr>
      <w:r w:rsidRPr="00A45C1C">
        <w:rPr>
          <w:rFonts w:ascii="Arial" w:hAnsi="Arial" w:cs="Arial"/>
          <w:szCs w:val="22"/>
          <w:u w:val="single"/>
          <w:lang w:val="es-CO"/>
        </w:rPr>
        <w:t>Apropiación de las Reformas.</w:t>
      </w:r>
      <w:r>
        <w:rPr>
          <w:rFonts w:ascii="Tahoma" w:hAnsi="Tahoma" w:cs="Tahoma"/>
          <w:b/>
          <w:lang w:val="es-PE"/>
        </w:rPr>
        <w:t xml:space="preserve"> </w:t>
      </w:r>
      <w:r w:rsidRPr="00A45C1C">
        <w:rPr>
          <w:rFonts w:ascii="Arial" w:hAnsi="Arial" w:cs="Arial"/>
          <w:szCs w:val="22"/>
          <w:lang w:val="es-CO"/>
        </w:rPr>
        <w:t xml:space="preserve">La definición de las reformas principales de la operación con base en las prioridades del Gobierno del Perú y en diagnósticos realizados por los participantes contribuyó a la apropiación de las mismas, así como de los resultados logrados en los últimos años. </w:t>
      </w:r>
    </w:p>
    <w:p w14:paraId="2D88EE5E" w14:textId="77777777" w:rsidR="00A45C1C" w:rsidRPr="00A45C1C" w:rsidRDefault="00A45C1C" w:rsidP="00A45C1C">
      <w:pPr>
        <w:ind w:left="709"/>
        <w:jc w:val="both"/>
        <w:rPr>
          <w:rFonts w:ascii="Arial" w:hAnsi="Arial" w:cs="Arial"/>
          <w:szCs w:val="22"/>
          <w:highlight w:val="cyan"/>
          <w:lang w:val="es-CO"/>
        </w:rPr>
      </w:pPr>
    </w:p>
    <w:p w14:paraId="792D6802"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u w:val="single"/>
          <w:lang w:val="es-CO"/>
        </w:rPr>
        <w:t>Consenso</w:t>
      </w:r>
      <w:r w:rsidRPr="00A45C1C">
        <w:rPr>
          <w:rFonts w:ascii="Arial" w:hAnsi="Arial" w:cs="Arial"/>
          <w:szCs w:val="22"/>
          <w:lang w:val="es-CO"/>
        </w:rPr>
        <w:t>: Desde la aprobación de la última operación de la serie programática se ha observado un consenso a nivel interinstitucional sobre la importancia de las reformas y su vigencia actual, lo cual favorece la sostenibilidad en el tiempo de las mismas.</w:t>
      </w:r>
    </w:p>
    <w:p w14:paraId="5DFC0917" w14:textId="77777777" w:rsidR="00A45C1C" w:rsidRPr="00A45C1C" w:rsidRDefault="00A45C1C" w:rsidP="00A45C1C">
      <w:pPr>
        <w:ind w:left="709"/>
        <w:jc w:val="both"/>
        <w:rPr>
          <w:rFonts w:ascii="Arial" w:hAnsi="Arial" w:cs="Arial"/>
          <w:szCs w:val="22"/>
          <w:lang w:val="es-CO"/>
        </w:rPr>
      </w:pPr>
    </w:p>
    <w:p w14:paraId="28F594A5"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u w:val="single"/>
          <w:lang w:val="es-CO"/>
        </w:rPr>
        <w:t>Tiempo de implementación</w:t>
      </w:r>
      <w:r w:rsidRPr="00A45C1C">
        <w:rPr>
          <w:rFonts w:ascii="Arial" w:hAnsi="Arial" w:cs="Arial"/>
          <w:szCs w:val="22"/>
          <w:lang w:val="es-CO"/>
        </w:rPr>
        <w:t>: Se observa que la implementación total de algunas medidas toman mayor tiempo de lo esperado inicialmente, como en el caso de la remediación de pasivos ambientales, por lo cual es importante considerar los diversos sistemas administrativos del sector público en el diseño de futuros programas. Asimismo, los cambios novedosos que implican las reformas requieren de una validación por parte de las entidades participantes y, asimismo, el tiempo suficiente para afinar los instrumentos legales y su aplicación en el tiempo para que los mismos tengan mayor efecto y actualidad.</w:t>
      </w:r>
    </w:p>
    <w:p w14:paraId="705436E2" w14:textId="77777777" w:rsidR="00A45C1C" w:rsidRPr="00A45C1C" w:rsidRDefault="00A45C1C" w:rsidP="00A45C1C">
      <w:pPr>
        <w:ind w:left="709"/>
        <w:jc w:val="both"/>
        <w:rPr>
          <w:rFonts w:ascii="Arial" w:hAnsi="Arial" w:cs="Arial"/>
          <w:szCs w:val="22"/>
          <w:u w:val="single"/>
          <w:lang w:val="es-CO"/>
        </w:rPr>
      </w:pPr>
    </w:p>
    <w:p w14:paraId="69CA7E1A" w14:textId="77777777" w:rsidR="00A45C1C" w:rsidRPr="00A45C1C" w:rsidRDefault="00A45C1C" w:rsidP="00A45C1C">
      <w:pPr>
        <w:ind w:left="709"/>
        <w:jc w:val="both"/>
        <w:rPr>
          <w:rFonts w:ascii="Arial" w:hAnsi="Arial" w:cs="Arial"/>
          <w:szCs w:val="22"/>
          <w:u w:val="single"/>
          <w:lang w:val="es-CO"/>
        </w:rPr>
      </w:pPr>
      <w:r w:rsidRPr="00A45C1C">
        <w:rPr>
          <w:rFonts w:ascii="Arial" w:hAnsi="Arial" w:cs="Arial"/>
          <w:szCs w:val="22"/>
          <w:u w:val="single"/>
          <w:lang w:val="es-CO"/>
        </w:rPr>
        <w:t>Coordinación interinstitucional</w:t>
      </w:r>
      <w:r w:rsidRPr="00A45C1C">
        <w:rPr>
          <w:rFonts w:ascii="Arial" w:hAnsi="Arial" w:cs="Arial"/>
          <w:szCs w:val="22"/>
          <w:lang w:val="es-CO"/>
        </w:rPr>
        <w:t>: Si bien el MEF facilitó en gran medida la coordinación durante la ejecución de la Serie Programática, se observan pocos incentivos necesarios para que dicha coordinación continúe entre otras entidades del Sector Público en forma fluida sin el acompañamiento propio del Programa.</w:t>
      </w:r>
    </w:p>
    <w:p w14:paraId="18548AFB" w14:textId="77777777" w:rsidR="00A45C1C" w:rsidRDefault="00A45C1C" w:rsidP="00A45C1C">
      <w:pPr>
        <w:ind w:left="720"/>
        <w:jc w:val="both"/>
        <w:rPr>
          <w:rFonts w:ascii="Arial" w:hAnsi="Arial" w:cs="Arial"/>
          <w:b/>
          <w:sz w:val="22"/>
          <w:szCs w:val="22"/>
          <w:lang w:val="es-PE"/>
        </w:rPr>
      </w:pPr>
    </w:p>
    <w:p w14:paraId="7E64895C" w14:textId="77777777" w:rsidR="00A45C1C" w:rsidRDefault="00A45C1C" w:rsidP="00A45C1C">
      <w:pPr>
        <w:numPr>
          <w:ilvl w:val="0"/>
          <w:numId w:val="42"/>
        </w:numPr>
        <w:ind w:hanging="796"/>
        <w:jc w:val="both"/>
        <w:rPr>
          <w:rFonts w:ascii="Arial" w:hAnsi="Arial" w:cs="Arial"/>
          <w:b/>
          <w:sz w:val="22"/>
          <w:szCs w:val="22"/>
          <w:lang w:val="es-ES"/>
        </w:rPr>
      </w:pPr>
      <w:r w:rsidRPr="00A45C1C">
        <w:rPr>
          <w:rFonts w:ascii="Arial" w:hAnsi="Arial" w:cs="Arial"/>
          <w:b/>
          <w:sz w:val="22"/>
          <w:szCs w:val="22"/>
          <w:lang w:val="es-CO"/>
        </w:rPr>
        <w:t>Evaluación del desempeño del Banco Mundial</w:t>
      </w:r>
    </w:p>
    <w:p w14:paraId="71F687E1" w14:textId="77777777" w:rsidR="00A45C1C" w:rsidRPr="00A45C1C" w:rsidRDefault="00A45C1C" w:rsidP="00A45C1C">
      <w:pPr>
        <w:jc w:val="both"/>
        <w:rPr>
          <w:rFonts w:ascii="Arial" w:hAnsi="Arial" w:cs="Arial"/>
          <w:b/>
          <w:sz w:val="22"/>
          <w:szCs w:val="22"/>
          <w:lang w:val="es-CO"/>
        </w:rPr>
      </w:pPr>
    </w:p>
    <w:p w14:paraId="19C7AD84" w14:textId="77777777" w:rsidR="00A45C1C" w:rsidRPr="00A45C1C" w:rsidRDefault="00A45C1C" w:rsidP="00A45C1C">
      <w:pPr>
        <w:ind w:left="709"/>
        <w:jc w:val="both"/>
        <w:rPr>
          <w:rFonts w:ascii="Arial" w:hAnsi="Arial" w:cs="Arial"/>
          <w:sz w:val="20"/>
          <w:szCs w:val="22"/>
          <w:lang w:val="es-CO"/>
        </w:rPr>
      </w:pPr>
      <w:r w:rsidRPr="00A45C1C">
        <w:rPr>
          <w:rFonts w:ascii="Arial" w:hAnsi="Arial" w:cs="Arial"/>
          <w:szCs w:val="22"/>
          <w:lang w:val="es-CO"/>
        </w:rPr>
        <w:t>Se considera que el desempeño del Banco ha sido satisfactorio a lo largo de la ejecución de la Serie Programática, tanto en la etapa de diseño como en la ejecución de la Serie. Destaca el seguimiento continuo y la claridad técnica de los diversos temas abordados en la Serie.</w:t>
      </w:r>
    </w:p>
    <w:p w14:paraId="1C584E4A" w14:textId="77777777" w:rsidR="00A45C1C" w:rsidRPr="00A45C1C" w:rsidRDefault="00A45C1C" w:rsidP="00A45C1C">
      <w:pPr>
        <w:ind w:left="709"/>
        <w:jc w:val="both"/>
        <w:rPr>
          <w:rFonts w:ascii="Arial" w:hAnsi="Arial" w:cs="Arial"/>
          <w:szCs w:val="22"/>
          <w:lang w:val="es-CO"/>
        </w:rPr>
      </w:pPr>
    </w:p>
    <w:p w14:paraId="02C01C3E" w14:textId="77777777" w:rsidR="00A45C1C" w:rsidRPr="00A45C1C" w:rsidRDefault="00A45C1C" w:rsidP="00A45C1C">
      <w:pPr>
        <w:ind w:left="709"/>
        <w:jc w:val="both"/>
        <w:rPr>
          <w:rFonts w:ascii="Arial" w:hAnsi="Arial" w:cs="Arial"/>
          <w:szCs w:val="22"/>
          <w:u w:val="single"/>
          <w:lang w:val="es-CO"/>
        </w:rPr>
      </w:pPr>
      <w:r w:rsidRPr="00A45C1C">
        <w:rPr>
          <w:rFonts w:ascii="Arial" w:hAnsi="Arial" w:cs="Arial"/>
          <w:szCs w:val="22"/>
          <w:u w:val="single"/>
          <w:lang w:val="es-CO"/>
        </w:rPr>
        <w:t>Lecciones aprendidas</w:t>
      </w:r>
    </w:p>
    <w:p w14:paraId="1F082235" w14:textId="77777777" w:rsidR="00A45C1C" w:rsidRDefault="00A45C1C" w:rsidP="00A45C1C">
      <w:pPr>
        <w:ind w:left="709"/>
        <w:jc w:val="both"/>
        <w:rPr>
          <w:rFonts w:ascii="Arial" w:hAnsi="Arial" w:cs="Arial"/>
          <w:szCs w:val="22"/>
          <w:lang w:val="es-PE"/>
        </w:rPr>
      </w:pPr>
    </w:p>
    <w:p w14:paraId="16152121" w14:textId="77777777" w:rsidR="00A45C1C" w:rsidRDefault="00A45C1C" w:rsidP="00A45C1C">
      <w:pPr>
        <w:ind w:left="709"/>
        <w:jc w:val="both"/>
        <w:rPr>
          <w:rFonts w:ascii="Arial" w:hAnsi="Arial" w:cs="Arial"/>
          <w:szCs w:val="22"/>
          <w:lang w:val="es-ES"/>
        </w:rPr>
      </w:pPr>
      <w:r w:rsidRPr="00A45C1C">
        <w:rPr>
          <w:rFonts w:ascii="Arial" w:hAnsi="Arial" w:cs="Arial"/>
          <w:szCs w:val="22"/>
          <w:u w:val="single"/>
          <w:lang w:val="es-CO"/>
        </w:rPr>
        <w:t>Coordinación y asistencia técnica</w:t>
      </w:r>
      <w:r w:rsidRPr="00A45C1C">
        <w:rPr>
          <w:rFonts w:ascii="Tahoma" w:hAnsi="Tahoma" w:cs="Tahoma"/>
          <w:lang w:val="es-CO"/>
        </w:rPr>
        <w:t>.</w:t>
      </w:r>
      <w:r w:rsidRPr="00A45C1C">
        <w:rPr>
          <w:rFonts w:ascii="Tahoma" w:hAnsi="Tahoma" w:cs="Tahoma"/>
          <w:b/>
          <w:lang w:val="es-CO"/>
        </w:rPr>
        <w:t xml:space="preserve"> </w:t>
      </w:r>
      <w:r w:rsidRPr="00A45C1C">
        <w:rPr>
          <w:rFonts w:ascii="Arial" w:hAnsi="Arial" w:cs="Arial"/>
          <w:szCs w:val="22"/>
          <w:lang w:val="es-CO"/>
        </w:rPr>
        <w:t>En general, el Banco abordó los temas de la matriz permitiendo que la relación con los equipos del Gobierno fuera fluida, facilitando la detección oportuna de obstáculos o restricciones que pudieran afectar los compromisos, y dando soluciones adecuadas para el logro de las reformas.</w:t>
      </w:r>
    </w:p>
    <w:p w14:paraId="43A4993F" w14:textId="77777777" w:rsidR="00A45C1C" w:rsidRPr="00A45C1C" w:rsidRDefault="00A45C1C" w:rsidP="00A45C1C">
      <w:pPr>
        <w:ind w:left="709"/>
        <w:jc w:val="both"/>
        <w:rPr>
          <w:rFonts w:ascii="Arial" w:hAnsi="Arial" w:cs="Arial"/>
          <w:szCs w:val="22"/>
          <w:lang w:val="es-CO"/>
        </w:rPr>
      </w:pPr>
    </w:p>
    <w:p w14:paraId="1C97F0D0"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u w:val="single"/>
          <w:lang w:val="es-CO"/>
        </w:rPr>
        <w:t>Sostenibilidad</w:t>
      </w:r>
      <w:r w:rsidRPr="00A45C1C">
        <w:rPr>
          <w:rFonts w:ascii="Arial" w:hAnsi="Arial" w:cs="Arial"/>
          <w:szCs w:val="22"/>
          <w:lang w:val="es-CO"/>
        </w:rPr>
        <w:t>. El equipo del Banco tuvo un rol clave en el seguimiento de los objetivos del programa durante toda la ejecución de la serie programática, a pesar de los cambios de los funcionarios a cargo que se registraron en el período, lo cual favoreció la continuidad y consecución de las reformas.</w:t>
      </w:r>
    </w:p>
    <w:p w14:paraId="0BFE16C2" w14:textId="77777777" w:rsidR="00A45C1C" w:rsidRPr="00A45C1C" w:rsidRDefault="00A45C1C" w:rsidP="00A45C1C">
      <w:pPr>
        <w:ind w:left="709"/>
        <w:jc w:val="both"/>
        <w:rPr>
          <w:rFonts w:ascii="Arial" w:hAnsi="Arial" w:cs="Arial"/>
          <w:szCs w:val="22"/>
          <w:lang w:val="es-CO"/>
        </w:rPr>
      </w:pPr>
    </w:p>
    <w:p w14:paraId="2DBBD6FC"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u w:val="single"/>
          <w:lang w:val="es-CO"/>
        </w:rPr>
        <w:t>Expertise</w:t>
      </w:r>
      <w:r w:rsidRPr="00A45C1C">
        <w:rPr>
          <w:rFonts w:ascii="Arial" w:hAnsi="Arial" w:cs="Arial"/>
          <w:szCs w:val="22"/>
          <w:lang w:val="es-CO"/>
        </w:rPr>
        <w:t>. El acompañamiento que brindó el Banco fue cercano y constructivo, brindando su experiencia y recomendando estrategias implementadas de manera exitosa en otros países para que sean implementadas mediante la Serie Programática.</w:t>
      </w:r>
    </w:p>
    <w:p w14:paraId="1A335877" w14:textId="77777777" w:rsidR="00A45C1C" w:rsidRPr="00A45C1C" w:rsidRDefault="00A45C1C" w:rsidP="00A45C1C">
      <w:pPr>
        <w:ind w:left="709"/>
        <w:jc w:val="both"/>
        <w:rPr>
          <w:rFonts w:ascii="Arial" w:hAnsi="Arial" w:cs="Arial"/>
          <w:szCs w:val="22"/>
          <w:lang w:val="es-CO"/>
        </w:rPr>
      </w:pPr>
    </w:p>
    <w:p w14:paraId="3ED59BAE" w14:textId="77777777" w:rsidR="00A45C1C" w:rsidRPr="00A45C1C" w:rsidRDefault="00A45C1C" w:rsidP="00A45C1C">
      <w:pPr>
        <w:ind w:left="709"/>
        <w:jc w:val="both"/>
        <w:rPr>
          <w:rFonts w:ascii="Arial" w:hAnsi="Arial" w:cs="Arial"/>
          <w:b/>
          <w:sz w:val="22"/>
          <w:szCs w:val="22"/>
          <w:lang w:val="es-CO"/>
        </w:rPr>
      </w:pPr>
      <w:r w:rsidRPr="00A45C1C">
        <w:rPr>
          <w:rFonts w:ascii="Arial" w:hAnsi="Arial" w:cs="Arial"/>
          <w:szCs w:val="22"/>
          <w:lang w:val="es-CO"/>
        </w:rPr>
        <w:t xml:space="preserve"> </w:t>
      </w:r>
    </w:p>
    <w:p w14:paraId="23C242DF" w14:textId="77777777" w:rsidR="00A45C1C" w:rsidRDefault="00A45C1C" w:rsidP="00A45C1C">
      <w:pPr>
        <w:numPr>
          <w:ilvl w:val="0"/>
          <w:numId w:val="42"/>
        </w:numPr>
        <w:ind w:hanging="796"/>
        <w:jc w:val="both"/>
        <w:rPr>
          <w:rFonts w:ascii="Arial" w:hAnsi="Arial" w:cs="Arial"/>
          <w:b/>
          <w:sz w:val="22"/>
          <w:szCs w:val="22"/>
        </w:rPr>
      </w:pPr>
      <w:r>
        <w:rPr>
          <w:rFonts w:ascii="Arial" w:hAnsi="Arial" w:cs="Arial"/>
          <w:b/>
          <w:sz w:val="22"/>
          <w:szCs w:val="22"/>
        </w:rPr>
        <w:t>Conclusiones</w:t>
      </w:r>
    </w:p>
    <w:p w14:paraId="6E8C24A0" w14:textId="77777777" w:rsidR="00A45C1C" w:rsidRDefault="00A45C1C" w:rsidP="00A45C1C">
      <w:pPr>
        <w:ind w:left="360"/>
        <w:jc w:val="both"/>
        <w:rPr>
          <w:rStyle w:val="ParagraphNumberingChar"/>
          <w:rFonts w:ascii="Arial" w:eastAsia="MS Mincho" w:hAnsi="Arial" w:cs="Arial"/>
          <w:sz w:val="22"/>
          <w:szCs w:val="22"/>
        </w:rPr>
      </w:pPr>
    </w:p>
    <w:p w14:paraId="1165F022" w14:textId="77777777" w:rsidR="00A45C1C" w:rsidRPr="00A45C1C" w:rsidRDefault="00A45C1C" w:rsidP="00A45C1C">
      <w:pPr>
        <w:ind w:left="709"/>
        <w:jc w:val="both"/>
        <w:rPr>
          <w:sz w:val="20"/>
          <w:lang w:val="es-CO"/>
        </w:rPr>
      </w:pPr>
      <w:r w:rsidRPr="00A45C1C">
        <w:rPr>
          <w:rFonts w:ascii="Arial" w:hAnsi="Arial" w:cs="Arial"/>
          <w:szCs w:val="22"/>
          <w:lang w:val="es-CO"/>
        </w:rPr>
        <w:t xml:space="preserve">De acuerdo al análisis realizado, se considera que la Serie Programática ha mantenido su efecto positivo a lo largo de su ejecución, como en períodos posteriores. Las reformas siguen mostrando validez y relevancia a pesar del tiempo transcurrido. </w:t>
      </w:r>
    </w:p>
    <w:p w14:paraId="0EBA124F" w14:textId="77777777" w:rsidR="00A45C1C" w:rsidRPr="00A45C1C" w:rsidRDefault="00A45C1C" w:rsidP="00A45C1C">
      <w:pPr>
        <w:ind w:left="709"/>
        <w:jc w:val="both"/>
        <w:rPr>
          <w:rFonts w:ascii="Arial" w:hAnsi="Arial" w:cs="Arial"/>
          <w:szCs w:val="22"/>
          <w:lang w:val="es-CO"/>
        </w:rPr>
      </w:pPr>
    </w:p>
    <w:p w14:paraId="135D1EE5" w14:textId="77777777" w:rsidR="00A45C1C" w:rsidRPr="00A45C1C" w:rsidRDefault="00A45C1C" w:rsidP="00A45C1C">
      <w:pPr>
        <w:ind w:left="709"/>
        <w:jc w:val="both"/>
        <w:rPr>
          <w:rFonts w:ascii="Arial" w:hAnsi="Arial" w:cs="Arial"/>
          <w:szCs w:val="22"/>
          <w:lang w:val="es-CO"/>
        </w:rPr>
      </w:pPr>
      <w:r w:rsidRPr="00A45C1C">
        <w:rPr>
          <w:rFonts w:ascii="Arial" w:hAnsi="Arial" w:cs="Arial"/>
          <w:szCs w:val="22"/>
          <w:lang w:val="es-CO"/>
        </w:rPr>
        <w:t xml:space="preserve">Asimismo, a pesar de los cambios de gestión observados en el Sector Público, en general los temas trabajados siguen formando parte de las agendas de las entidades involucradas en las reformas de políticas. </w:t>
      </w:r>
    </w:p>
    <w:p w14:paraId="7676E186" w14:textId="77777777" w:rsidR="00A45C1C" w:rsidRPr="00A45C1C" w:rsidRDefault="00A45C1C" w:rsidP="00A45C1C">
      <w:pPr>
        <w:ind w:left="709"/>
        <w:jc w:val="both"/>
        <w:rPr>
          <w:rFonts w:ascii="Arial" w:hAnsi="Arial" w:cs="Arial"/>
          <w:szCs w:val="22"/>
          <w:lang w:val="es-CO"/>
        </w:rPr>
      </w:pPr>
    </w:p>
    <w:p w14:paraId="49B6C392" w14:textId="77777777" w:rsidR="00A45C1C" w:rsidRDefault="00A45C1C" w:rsidP="00A45C1C">
      <w:pPr>
        <w:ind w:left="709"/>
        <w:jc w:val="both"/>
        <w:rPr>
          <w:rFonts w:ascii="Tahoma" w:hAnsi="Tahoma" w:cs="Tahoma"/>
          <w:szCs w:val="20"/>
          <w:lang w:val="es-PE"/>
        </w:rPr>
      </w:pPr>
    </w:p>
    <w:p w14:paraId="0379957B" w14:textId="77777777" w:rsidR="00A45C1C" w:rsidRDefault="00A45C1C" w:rsidP="00A45C1C">
      <w:pPr>
        <w:ind w:left="709"/>
        <w:jc w:val="both"/>
        <w:rPr>
          <w:rFonts w:ascii="Arial" w:hAnsi="Arial" w:cs="Arial"/>
          <w:szCs w:val="22"/>
          <w:lang w:val="es-ES"/>
        </w:rPr>
      </w:pPr>
    </w:p>
    <w:p w14:paraId="6A683033" w14:textId="77777777" w:rsidR="00A45C1C" w:rsidRPr="00A45C1C" w:rsidRDefault="00A45C1C" w:rsidP="00A45C1C">
      <w:pPr>
        <w:ind w:left="993"/>
        <w:jc w:val="both"/>
        <w:rPr>
          <w:rFonts w:ascii="Arial" w:hAnsi="Arial"/>
          <w:sz w:val="22"/>
          <w:szCs w:val="20"/>
          <w:lang w:val="es-CO"/>
        </w:rPr>
      </w:pPr>
    </w:p>
    <w:p w14:paraId="335E002C" w14:textId="77777777" w:rsidR="00A45C1C" w:rsidRPr="00A45C1C" w:rsidRDefault="00A45C1C" w:rsidP="00A45C1C">
      <w:pPr>
        <w:tabs>
          <w:tab w:val="left" w:pos="360"/>
        </w:tabs>
        <w:ind w:left="708"/>
        <w:jc w:val="both"/>
        <w:rPr>
          <w:rFonts w:ascii="Arial" w:hAnsi="Arial" w:cs="Arial"/>
          <w:sz w:val="22"/>
          <w:szCs w:val="22"/>
          <w:lang w:val="es-CO"/>
        </w:rPr>
      </w:pPr>
    </w:p>
    <w:p w14:paraId="3723C9D1" w14:textId="5CD4BD18" w:rsidR="00A45C1C" w:rsidRPr="005039FE" w:rsidRDefault="00A45C1C" w:rsidP="00CC6101">
      <w:pPr>
        <w:tabs>
          <w:tab w:val="left" w:pos="360"/>
        </w:tabs>
        <w:ind w:left="708"/>
        <w:jc w:val="right"/>
        <w:rPr>
          <w:rFonts w:ascii="Arial" w:hAnsi="Arial" w:cs="Arial"/>
          <w:szCs w:val="22"/>
        </w:rPr>
        <w:sectPr w:rsidR="00A45C1C" w:rsidRPr="005039FE">
          <w:pgSz w:w="11906" w:h="16838"/>
          <w:pgMar w:top="1418" w:right="1133" w:bottom="851" w:left="1134" w:header="567" w:footer="567" w:gutter="0"/>
          <w:cols w:space="720"/>
        </w:sectPr>
      </w:pPr>
      <w:r w:rsidRPr="005039FE">
        <w:rPr>
          <w:rFonts w:ascii="Arial" w:hAnsi="Arial" w:cs="Arial"/>
          <w:szCs w:val="22"/>
        </w:rPr>
        <w:t>Lima, 27 setiembre 2016</w:t>
      </w:r>
    </w:p>
    <w:p w14:paraId="1B887392" w14:textId="0C1CCA59" w:rsidR="00CC6101" w:rsidRDefault="007F7357" w:rsidP="007F7357">
      <w:pPr>
        <w:pStyle w:val="Heading1"/>
        <w:keepNext/>
        <w:keepLines/>
        <w:spacing w:before="0" w:beforeAutospacing="0" w:after="240"/>
        <w:rPr>
          <w:sz w:val="24"/>
          <w:szCs w:val="24"/>
        </w:rPr>
      </w:pPr>
      <w:bookmarkStart w:id="172" w:name="_Toc463040021"/>
      <w:r w:rsidRPr="003F00AF">
        <w:rPr>
          <w:sz w:val="24"/>
          <w:szCs w:val="24"/>
        </w:rPr>
        <w:t xml:space="preserve">Annex </w:t>
      </w:r>
      <w:r w:rsidR="00FC132D">
        <w:rPr>
          <w:sz w:val="24"/>
          <w:szCs w:val="24"/>
        </w:rPr>
        <w:t>3</w:t>
      </w:r>
      <w:r w:rsidRPr="003F00AF">
        <w:rPr>
          <w:sz w:val="24"/>
          <w:szCs w:val="24"/>
        </w:rPr>
        <w:t xml:space="preserve">. </w:t>
      </w:r>
      <w:bookmarkEnd w:id="168"/>
      <w:bookmarkEnd w:id="169"/>
      <w:bookmarkEnd w:id="170"/>
      <w:r w:rsidR="00CC6101">
        <w:rPr>
          <w:sz w:val="24"/>
          <w:szCs w:val="24"/>
        </w:rPr>
        <w:t>Status of PDO Indicators throughout the Programmatic Series</w:t>
      </w:r>
      <w:bookmarkEnd w:id="172"/>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left w:w="10" w:type="dxa"/>
          <w:bottom w:w="10" w:type="dxa"/>
          <w:right w:w="10" w:type="dxa"/>
        </w:tblCellMar>
        <w:tblLook w:val="0000" w:firstRow="0" w:lastRow="0" w:firstColumn="0" w:lastColumn="0" w:noHBand="0" w:noVBand="0"/>
      </w:tblPr>
      <w:tblGrid>
        <w:gridCol w:w="2954"/>
        <w:gridCol w:w="3428"/>
        <w:gridCol w:w="3421"/>
        <w:gridCol w:w="3691"/>
      </w:tblGrid>
      <w:tr w:rsidR="003F1E3D" w:rsidRPr="00B230A3" w14:paraId="2CEE8DFD" w14:textId="77777777" w:rsidTr="002B6A1B">
        <w:tc>
          <w:tcPr>
            <w:tcW w:w="2955" w:type="dxa"/>
            <w:shd w:val="clear" w:color="auto" w:fill="auto"/>
            <w:vAlign w:val="center"/>
          </w:tcPr>
          <w:p w14:paraId="442C46A8" w14:textId="77777777" w:rsidR="003F1E3D" w:rsidRPr="00B230A3" w:rsidRDefault="003F1E3D" w:rsidP="002B6A1B">
            <w:pPr>
              <w:keepNext/>
              <w:ind w:left="75" w:right="80"/>
              <w:jc w:val="center"/>
              <w:rPr>
                <w:b/>
                <w:bCs/>
                <w:color w:val="606060"/>
                <w:sz w:val="20"/>
                <w:szCs w:val="20"/>
              </w:rPr>
            </w:pPr>
            <w:r w:rsidRPr="00B230A3">
              <w:rPr>
                <w:b/>
                <w:bCs/>
                <w:color w:val="606060"/>
                <w:sz w:val="20"/>
                <w:szCs w:val="20"/>
              </w:rPr>
              <w:t>Target Value</w:t>
            </w:r>
          </w:p>
        </w:tc>
        <w:tc>
          <w:tcPr>
            <w:tcW w:w="3428" w:type="dxa"/>
            <w:shd w:val="clear" w:color="auto" w:fill="auto"/>
          </w:tcPr>
          <w:p w14:paraId="00C9C64D" w14:textId="57C91D10" w:rsidR="002B6A1B" w:rsidRDefault="002B6A1B" w:rsidP="002B6A1B">
            <w:pPr>
              <w:keepNext/>
              <w:ind w:left="75" w:right="80"/>
              <w:jc w:val="center"/>
              <w:rPr>
                <w:b/>
                <w:bCs/>
                <w:color w:val="606060"/>
                <w:sz w:val="20"/>
                <w:szCs w:val="20"/>
              </w:rPr>
            </w:pPr>
            <w:r>
              <w:rPr>
                <w:b/>
                <w:bCs/>
                <w:color w:val="606060"/>
                <w:sz w:val="20"/>
                <w:szCs w:val="20"/>
              </w:rPr>
              <w:t>Actual Value at</w:t>
            </w:r>
          </w:p>
          <w:p w14:paraId="719F6F66" w14:textId="77777777" w:rsidR="003F1E3D" w:rsidRPr="00B230A3" w:rsidRDefault="003F1E3D" w:rsidP="002B6A1B">
            <w:pPr>
              <w:keepNext/>
              <w:ind w:left="75" w:right="80"/>
              <w:jc w:val="center"/>
              <w:rPr>
                <w:b/>
                <w:bCs/>
                <w:color w:val="606060"/>
                <w:sz w:val="20"/>
                <w:szCs w:val="20"/>
              </w:rPr>
            </w:pPr>
            <w:r w:rsidRPr="00B230A3">
              <w:rPr>
                <w:b/>
                <w:bCs/>
                <w:color w:val="606060"/>
                <w:sz w:val="20"/>
                <w:szCs w:val="20"/>
              </w:rPr>
              <w:t>Closing of ENVDPL II</w:t>
            </w:r>
          </w:p>
          <w:p w14:paraId="0C818A21" w14:textId="77777777" w:rsidR="003F1E3D" w:rsidRPr="00B230A3" w:rsidRDefault="003F1E3D" w:rsidP="002B6A1B">
            <w:pPr>
              <w:keepNext/>
              <w:ind w:left="75" w:right="80"/>
              <w:jc w:val="center"/>
              <w:rPr>
                <w:b/>
                <w:bCs/>
                <w:color w:val="606060"/>
                <w:sz w:val="20"/>
                <w:szCs w:val="20"/>
              </w:rPr>
            </w:pPr>
            <w:r w:rsidRPr="00B230A3">
              <w:rPr>
                <w:b/>
                <w:bCs/>
                <w:color w:val="606060"/>
                <w:sz w:val="20"/>
                <w:szCs w:val="20"/>
              </w:rPr>
              <w:t>(12/31/2012)</w:t>
            </w:r>
          </w:p>
        </w:tc>
        <w:tc>
          <w:tcPr>
            <w:tcW w:w="3421" w:type="dxa"/>
            <w:shd w:val="clear" w:color="auto" w:fill="auto"/>
          </w:tcPr>
          <w:p w14:paraId="1B5FCF03" w14:textId="77777777" w:rsidR="002B6A1B" w:rsidRDefault="002B6A1B" w:rsidP="002B6A1B">
            <w:pPr>
              <w:keepNext/>
              <w:ind w:left="75" w:right="80"/>
              <w:jc w:val="center"/>
              <w:rPr>
                <w:b/>
                <w:bCs/>
                <w:color w:val="606060"/>
                <w:sz w:val="20"/>
                <w:szCs w:val="20"/>
              </w:rPr>
            </w:pPr>
            <w:r>
              <w:rPr>
                <w:b/>
                <w:bCs/>
                <w:color w:val="606060"/>
                <w:sz w:val="20"/>
                <w:szCs w:val="20"/>
              </w:rPr>
              <w:t>Actual Value at</w:t>
            </w:r>
          </w:p>
          <w:p w14:paraId="609CC105" w14:textId="77777777" w:rsidR="003F1E3D" w:rsidRPr="00B230A3" w:rsidRDefault="003F1E3D" w:rsidP="002B6A1B">
            <w:pPr>
              <w:keepNext/>
              <w:ind w:left="75" w:right="80"/>
              <w:jc w:val="center"/>
              <w:rPr>
                <w:b/>
                <w:bCs/>
                <w:color w:val="606060"/>
                <w:sz w:val="20"/>
                <w:szCs w:val="20"/>
              </w:rPr>
            </w:pPr>
            <w:r w:rsidRPr="00B230A3">
              <w:rPr>
                <w:b/>
                <w:bCs/>
                <w:color w:val="606060"/>
                <w:sz w:val="20"/>
                <w:szCs w:val="20"/>
              </w:rPr>
              <w:t>Closing of ENVDPL III</w:t>
            </w:r>
          </w:p>
          <w:p w14:paraId="78A5BD05" w14:textId="2DF9C424" w:rsidR="003F1E3D" w:rsidRPr="00B230A3" w:rsidRDefault="003F1E3D" w:rsidP="002B6A1B">
            <w:pPr>
              <w:keepNext/>
              <w:ind w:left="75" w:right="80"/>
              <w:jc w:val="center"/>
              <w:rPr>
                <w:b/>
                <w:bCs/>
                <w:color w:val="606060"/>
                <w:sz w:val="20"/>
                <w:szCs w:val="20"/>
              </w:rPr>
            </w:pPr>
            <w:r w:rsidRPr="00B230A3">
              <w:rPr>
                <w:b/>
                <w:bCs/>
                <w:color w:val="606060"/>
                <w:sz w:val="20"/>
                <w:szCs w:val="20"/>
              </w:rPr>
              <w:t>(12/31/2013)</w:t>
            </w:r>
          </w:p>
        </w:tc>
        <w:tc>
          <w:tcPr>
            <w:tcW w:w="3691" w:type="dxa"/>
            <w:shd w:val="clear" w:color="auto" w:fill="auto"/>
          </w:tcPr>
          <w:p w14:paraId="0F155048" w14:textId="03DAD1CA" w:rsidR="002B6A1B" w:rsidRDefault="002B6A1B" w:rsidP="002B6A1B">
            <w:pPr>
              <w:keepNext/>
              <w:ind w:left="75" w:right="80"/>
              <w:jc w:val="center"/>
              <w:rPr>
                <w:b/>
                <w:bCs/>
                <w:color w:val="606060"/>
                <w:sz w:val="20"/>
                <w:szCs w:val="20"/>
              </w:rPr>
            </w:pPr>
            <w:r>
              <w:rPr>
                <w:b/>
                <w:bCs/>
                <w:color w:val="606060"/>
                <w:sz w:val="20"/>
                <w:szCs w:val="20"/>
              </w:rPr>
              <w:t>Actual Value after</w:t>
            </w:r>
          </w:p>
          <w:p w14:paraId="4CBC18D8" w14:textId="5B36ABCB" w:rsidR="003F1E3D" w:rsidRDefault="002B6A1B" w:rsidP="002B6A1B">
            <w:pPr>
              <w:keepNext/>
              <w:ind w:left="75" w:right="80"/>
              <w:jc w:val="center"/>
              <w:rPr>
                <w:b/>
                <w:bCs/>
                <w:color w:val="606060"/>
                <w:sz w:val="20"/>
                <w:szCs w:val="20"/>
              </w:rPr>
            </w:pPr>
            <w:r>
              <w:rPr>
                <w:b/>
                <w:bCs/>
                <w:color w:val="606060"/>
                <w:sz w:val="20"/>
                <w:szCs w:val="20"/>
              </w:rPr>
              <w:t>C</w:t>
            </w:r>
            <w:r w:rsidR="003F1E3D" w:rsidRPr="00B230A3">
              <w:rPr>
                <w:b/>
                <w:bCs/>
                <w:color w:val="606060"/>
                <w:sz w:val="20"/>
                <w:szCs w:val="20"/>
              </w:rPr>
              <w:t>losing of ENVDPL I</w:t>
            </w:r>
          </w:p>
          <w:p w14:paraId="14842790" w14:textId="6711F540" w:rsidR="00B230A3" w:rsidRPr="00B230A3" w:rsidRDefault="00B230A3" w:rsidP="002B6A1B">
            <w:pPr>
              <w:keepNext/>
              <w:ind w:left="75" w:right="80"/>
              <w:jc w:val="center"/>
              <w:rPr>
                <w:b/>
                <w:bCs/>
                <w:color w:val="606060"/>
                <w:sz w:val="20"/>
                <w:szCs w:val="20"/>
              </w:rPr>
            </w:pPr>
            <w:r>
              <w:rPr>
                <w:b/>
                <w:bCs/>
                <w:color w:val="606060"/>
                <w:sz w:val="20"/>
                <w:szCs w:val="20"/>
              </w:rPr>
              <w:t>(12/31/2015)</w:t>
            </w:r>
          </w:p>
        </w:tc>
      </w:tr>
      <w:tr w:rsidR="003F1E3D" w:rsidRPr="00B230A3" w14:paraId="1C59F5CA" w14:textId="77777777" w:rsidTr="002B6A1B">
        <w:tc>
          <w:tcPr>
            <w:tcW w:w="13495" w:type="dxa"/>
            <w:gridSpan w:val="4"/>
            <w:shd w:val="clear" w:color="auto" w:fill="auto"/>
            <w:vAlign w:val="center"/>
          </w:tcPr>
          <w:p w14:paraId="56C9F21C" w14:textId="77777777" w:rsidR="003F1E3D" w:rsidRPr="00B230A3" w:rsidRDefault="003F1E3D" w:rsidP="002B6A1B">
            <w:pPr>
              <w:keepNext/>
              <w:ind w:left="75" w:right="80"/>
              <w:jc w:val="both"/>
              <w:rPr>
                <w:b/>
                <w:bCs/>
                <w:sz w:val="20"/>
                <w:szCs w:val="20"/>
              </w:rPr>
            </w:pPr>
            <w:r w:rsidRPr="00B230A3">
              <w:rPr>
                <w:b/>
                <w:bCs/>
                <w:sz w:val="20"/>
                <w:szCs w:val="20"/>
              </w:rPr>
              <w:t xml:space="preserve">PDO Indicator 1: </w:t>
            </w:r>
            <w:r w:rsidRPr="00B230A3">
              <w:rPr>
                <w:bCs/>
                <w:sz w:val="20"/>
                <w:szCs w:val="20"/>
              </w:rPr>
              <w:t>Number of Environmental Impact Assessments (</w:t>
            </w:r>
            <w:r w:rsidRPr="00B230A3">
              <w:rPr>
                <w:bCs/>
                <w:i/>
                <w:sz w:val="20"/>
                <w:szCs w:val="20"/>
              </w:rPr>
              <w:t>Evaluaciones de Impacto Ambiental</w:t>
            </w:r>
            <w:r w:rsidRPr="00B230A3">
              <w:rPr>
                <w:bCs/>
                <w:sz w:val="20"/>
                <w:szCs w:val="20"/>
              </w:rPr>
              <w:t>, EIAs) of large infrastructure/investment projects with potentially significant impacts reviewed by Ministry of Environment (</w:t>
            </w:r>
            <w:r w:rsidRPr="00B230A3">
              <w:rPr>
                <w:bCs/>
                <w:i/>
                <w:sz w:val="20"/>
                <w:szCs w:val="20"/>
              </w:rPr>
              <w:t>Ministerio del Ambiente</w:t>
            </w:r>
            <w:r w:rsidRPr="00B230A3">
              <w:rPr>
                <w:bCs/>
                <w:sz w:val="20"/>
                <w:szCs w:val="20"/>
              </w:rPr>
              <w:t>, MINAM).</w:t>
            </w:r>
          </w:p>
        </w:tc>
      </w:tr>
      <w:tr w:rsidR="003F1E3D" w:rsidRPr="00B230A3" w14:paraId="0B9021C2" w14:textId="77777777" w:rsidTr="002B6A1B">
        <w:trPr>
          <w:trHeight w:val="1449"/>
        </w:trPr>
        <w:tc>
          <w:tcPr>
            <w:tcW w:w="2955" w:type="dxa"/>
            <w:shd w:val="clear" w:color="auto" w:fill="auto"/>
            <w:vAlign w:val="center"/>
          </w:tcPr>
          <w:p w14:paraId="42370326" w14:textId="77777777" w:rsidR="003F1E3D" w:rsidRPr="00B230A3" w:rsidRDefault="003F1E3D" w:rsidP="002B6A1B">
            <w:pPr>
              <w:pStyle w:val="Default"/>
              <w:ind w:left="75" w:right="80"/>
              <w:rPr>
                <w:rFonts w:ascii="Times New Roman" w:hAnsi="Times New Roman" w:cs="Times New Roman"/>
                <w:sz w:val="20"/>
                <w:szCs w:val="20"/>
              </w:rPr>
            </w:pPr>
            <w:r w:rsidRPr="00B230A3">
              <w:rPr>
                <w:rFonts w:ascii="Times New Roman" w:hAnsi="Times New Roman" w:cs="Times New Roman"/>
                <w:bCs/>
                <w:sz w:val="20"/>
                <w:szCs w:val="20"/>
              </w:rPr>
              <w:t>MINAM has the capacity to review EIAs of large infrastructure / investment  projects with potentially significant impacts (select at least 10 projects per year based on technical and legal criteria)</w:t>
            </w:r>
          </w:p>
        </w:tc>
        <w:tc>
          <w:tcPr>
            <w:tcW w:w="3428" w:type="dxa"/>
            <w:shd w:val="clear" w:color="auto" w:fill="auto"/>
            <w:vAlign w:val="center"/>
          </w:tcPr>
          <w:p w14:paraId="5380AE8E" w14:textId="2B7D8F3A" w:rsidR="003F1E3D" w:rsidRPr="00B230A3" w:rsidRDefault="00D149C0" w:rsidP="002B6A1B">
            <w:pPr>
              <w:keepNext/>
              <w:ind w:left="75" w:right="80"/>
              <w:rPr>
                <w:bCs/>
                <w:sz w:val="20"/>
                <w:szCs w:val="20"/>
              </w:rPr>
            </w:pPr>
            <w:r w:rsidRPr="00B230A3">
              <w:rPr>
                <w:bCs/>
                <w:sz w:val="20"/>
                <w:szCs w:val="20"/>
              </w:rPr>
              <w:t>In 2011 and 2012, MINAM randomly reviewed 242 EIAs approved by sectoral agencies between 2001 and 2011 for projects with potentially significant impacts, based on technical and legal criteria.</w:t>
            </w:r>
          </w:p>
        </w:tc>
        <w:tc>
          <w:tcPr>
            <w:tcW w:w="3421" w:type="dxa"/>
            <w:shd w:val="clear" w:color="auto" w:fill="auto"/>
            <w:vAlign w:val="center"/>
          </w:tcPr>
          <w:p w14:paraId="0AB5710E" w14:textId="253CE082" w:rsidR="003F1E3D" w:rsidRPr="00B230A3" w:rsidRDefault="00D149C0" w:rsidP="002B6A1B">
            <w:pPr>
              <w:keepNext/>
              <w:ind w:left="75" w:right="80"/>
              <w:rPr>
                <w:bCs/>
                <w:sz w:val="20"/>
                <w:szCs w:val="20"/>
              </w:rPr>
            </w:pPr>
            <w:r w:rsidRPr="00B230A3">
              <w:rPr>
                <w:bCs/>
                <w:sz w:val="20"/>
                <w:szCs w:val="20"/>
              </w:rPr>
              <w:t>In 2011 and 2012, MINAM randomly reviewed 242 EIAs approved by sectoral agencies between 2001 and 2011 for projects with potentially significant impacts, based on technical and legal criteria.</w:t>
            </w:r>
          </w:p>
        </w:tc>
        <w:tc>
          <w:tcPr>
            <w:tcW w:w="3691" w:type="dxa"/>
            <w:shd w:val="clear" w:color="auto" w:fill="auto"/>
            <w:vAlign w:val="center"/>
          </w:tcPr>
          <w:p w14:paraId="4D262110" w14:textId="77777777" w:rsidR="003F1E3D" w:rsidRPr="00B230A3" w:rsidRDefault="003F1E3D" w:rsidP="002B6A1B">
            <w:pPr>
              <w:keepNext/>
              <w:ind w:left="75" w:right="80"/>
              <w:rPr>
                <w:bCs/>
                <w:sz w:val="20"/>
                <w:szCs w:val="20"/>
              </w:rPr>
            </w:pPr>
            <w:r w:rsidRPr="00B230A3">
              <w:rPr>
                <w:bCs/>
                <w:sz w:val="20"/>
                <w:szCs w:val="20"/>
              </w:rPr>
              <w:t>MINAM has the capacity to review EIAs of large infrastructure / investment projects with potentially significant impacts.</w:t>
            </w:r>
          </w:p>
          <w:p w14:paraId="4ACF3E26" w14:textId="77777777" w:rsidR="003F1E3D" w:rsidRPr="00B230A3" w:rsidRDefault="003F1E3D" w:rsidP="002B6A1B">
            <w:pPr>
              <w:keepNext/>
              <w:ind w:left="75" w:right="80"/>
              <w:rPr>
                <w:bCs/>
                <w:sz w:val="20"/>
                <w:szCs w:val="20"/>
              </w:rPr>
            </w:pPr>
            <w:r w:rsidRPr="00B230A3">
              <w:rPr>
                <w:bCs/>
                <w:sz w:val="20"/>
                <w:szCs w:val="20"/>
              </w:rPr>
              <w:t>In 2011 and 2012, MINAM randomly reviewed 242 EIAs approved by sectoral agencies between 2001 and 2011 for projects with potentially significant impacts, based on technical and legal criteria.</w:t>
            </w:r>
          </w:p>
        </w:tc>
      </w:tr>
      <w:tr w:rsidR="003F1E3D" w:rsidRPr="00B230A3" w14:paraId="473726EB" w14:textId="77777777" w:rsidTr="002B6A1B">
        <w:tc>
          <w:tcPr>
            <w:tcW w:w="13495" w:type="dxa"/>
            <w:gridSpan w:val="4"/>
            <w:shd w:val="clear" w:color="auto" w:fill="auto"/>
            <w:vAlign w:val="center"/>
          </w:tcPr>
          <w:p w14:paraId="336BBCCF" w14:textId="77777777" w:rsidR="003F1E3D" w:rsidRPr="00B230A3" w:rsidRDefault="003F1E3D" w:rsidP="002B6A1B">
            <w:pPr>
              <w:autoSpaceDE w:val="0"/>
              <w:autoSpaceDN w:val="0"/>
              <w:adjustRightInd w:val="0"/>
              <w:ind w:left="75" w:right="80"/>
              <w:jc w:val="both"/>
              <w:rPr>
                <w:bCs/>
                <w:sz w:val="20"/>
                <w:szCs w:val="20"/>
              </w:rPr>
            </w:pPr>
            <w:r w:rsidRPr="00B230A3">
              <w:rPr>
                <w:b/>
                <w:bCs/>
                <w:sz w:val="20"/>
                <w:szCs w:val="20"/>
              </w:rPr>
              <w:t xml:space="preserve">PDO Indicator 2: </w:t>
            </w:r>
            <w:r w:rsidRPr="00B230A3">
              <w:rPr>
                <w:bCs/>
                <w:sz w:val="20"/>
                <w:szCs w:val="20"/>
              </w:rPr>
              <w:t xml:space="preserve">The </w:t>
            </w:r>
            <w:r w:rsidRPr="00B230A3">
              <w:rPr>
                <w:sz w:val="20"/>
                <w:szCs w:val="20"/>
              </w:rPr>
              <w:t>National Service of Natural Protected Areas by the State (</w:t>
            </w:r>
            <w:r w:rsidRPr="00B230A3">
              <w:rPr>
                <w:i/>
                <w:sz w:val="20"/>
                <w:szCs w:val="20"/>
              </w:rPr>
              <w:t>Servicio Nacional de Áreas Naturales Protegidas por el Estado</w:t>
            </w:r>
            <w:r w:rsidRPr="00B230A3">
              <w:rPr>
                <w:bCs/>
                <w:sz w:val="20"/>
                <w:szCs w:val="20"/>
              </w:rPr>
              <w:t>, SERNANP) applies financial strategy to increase funding for managing natural protected areas (NPA) from various sources (including private sector).</w:t>
            </w:r>
          </w:p>
        </w:tc>
      </w:tr>
      <w:tr w:rsidR="003F1E3D" w:rsidRPr="00B230A3" w14:paraId="55EB13BA" w14:textId="77777777" w:rsidTr="002B6A1B">
        <w:trPr>
          <w:trHeight w:val="619"/>
        </w:trPr>
        <w:tc>
          <w:tcPr>
            <w:tcW w:w="2955" w:type="dxa"/>
            <w:shd w:val="clear" w:color="auto" w:fill="auto"/>
            <w:vAlign w:val="center"/>
          </w:tcPr>
          <w:p w14:paraId="29DCD76B"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Increase NPA funding by at least US$2 million per year</w:t>
            </w:r>
          </w:p>
        </w:tc>
        <w:tc>
          <w:tcPr>
            <w:tcW w:w="3428" w:type="dxa"/>
            <w:shd w:val="clear" w:color="auto" w:fill="auto"/>
            <w:vAlign w:val="center"/>
          </w:tcPr>
          <w:p w14:paraId="1840F9BE" w14:textId="5DB6ED72" w:rsidR="003F1E3D" w:rsidRPr="00B230A3" w:rsidRDefault="000D71B7" w:rsidP="002B6A1B">
            <w:pPr>
              <w:keepNext/>
              <w:ind w:left="75" w:right="80"/>
              <w:rPr>
                <w:bCs/>
                <w:sz w:val="20"/>
                <w:szCs w:val="20"/>
              </w:rPr>
            </w:pPr>
            <w:r w:rsidRPr="00B230A3">
              <w:rPr>
                <w:bCs/>
                <w:sz w:val="20"/>
                <w:szCs w:val="20"/>
              </w:rPr>
              <w:t>NPA funding was US$19 million.</w:t>
            </w:r>
          </w:p>
        </w:tc>
        <w:tc>
          <w:tcPr>
            <w:tcW w:w="3421" w:type="dxa"/>
            <w:shd w:val="clear" w:color="auto" w:fill="auto"/>
            <w:vAlign w:val="center"/>
          </w:tcPr>
          <w:p w14:paraId="0FB9A7A6" w14:textId="44F521FB" w:rsidR="003F1E3D" w:rsidRPr="00B230A3" w:rsidRDefault="000D71B7" w:rsidP="002B6A1B">
            <w:pPr>
              <w:keepNext/>
              <w:ind w:left="75" w:right="80"/>
              <w:rPr>
                <w:bCs/>
                <w:sz w:val="20"/>
                <w:szCs w:val="20"/>
              </w:rPr>
            </w:pPr>
            <w:r w:rsidRPr="00B230A3">
              <w:rPr>
                <w:bCs/>
                <w:sz w:val="20"/>
                <w:szCs w:val="20"/>
              </w:rPr>
              <w:t>NPA funding was US$21 million.</w:t>
            </w:r>
          </w:p>
        </w:tc>
        <w:tc>
          <w:tcPr>
            <w:tcW w:w="3691" w:type="dxa"/>
            <w:shd w:val="clear" w:color="auto" w:fill="auto"/>
            <w:vAlign w:val="center"/>
          </w:tcPr>
          <w:p w14:paraId="0BDDC569" w14:textId="1DC4C302" w:rsidR="003F1E3D" w:rsidRPr="00B230A3" w:rsidRDefault="003F1E3D" w:rsidP="002B6A1B">
            <w:pPr>
              <w:keepNext/>
              <w:ind w:left="75" w:right="80"/>
              <w:rPr>
                <w:bCs/>
                <w:sz w:val="20"/>
                <w:szCs w:val="20"/>
              </w:rPr>
            </w:pPr>
            <w:r w:rsidRPr="00B230A3">
              <w:rPr>
                <w:bCs/>
                <w:sz w:val="20"/>
                <w:szCs w:val="20"/>
              </w:rPr>
              <w:t>NPA funding increased from US$1</w:t>
            </w:r>
            <w:r w:rsidR="000D71B7" w:rsidRPr="00B230A3">
              <w:rPr>
                <w:bCs/>
                <w:sz w:val="20"/>
                <w:szCs w:val="20"/>
              </w:rPr>
              <w:t>9</w:t>
            </w:r>
            <w:r w:rsidRPr="00B230A3">
              <w:rPr>
                <w:bCs/>
                <w:sz w:val="20"/>
                <w:szCs w:val="20"/>
              </w:rPr>
              <w:t xml:space="preserve"> million in 2012 to US$2</w:t>
            </w:r>
            <w:r w:rsidR="009E4BAF" w:rsidRPr="00B230A3">
              <w:rPr>
                <w:bCs/>
                <w:sz w:val="20"/>
                <w:szCs w:val="20"/>
              </w:rPr>
              <w:t>8</w:t>
            </w:r>
            <w:r w:rsidRPr="00B230A3">
              <w:rPr>
                <w:bCs/>
                <w:sz w:val="20"/>
                <w:szCs w:val="20"/>
              </w:rPr>
              <w:t>.</w:t>
            </w:r>
            <w:r w:rsidR="009E4BAF" w:rsidRPr="00B230A3">
              <w:rPr>
                <w:bCs/>
                <w:sz w:val="20"/>
                <w:szCs w:val="20"/>
              </w:rPr>
              <w:t>5</w:t>
            </w:r>
            <w:r w:rsidRPr="00B230A3">
              <w:rPr>
                <w:bCs/>
                <w:sz w:val="20"/>
                <w:szCs w:val="20"/>
              </w:rPr>
              <w:t xml:space="preserve"> million in 2015.</w:t>
            </w:r>
          </w:p>
        </w:tc>
      </w:tr>
      <w:tr w:rsidR="003F1E3D" w:rsidRPr="00B230A3" w14:paraId="3491E6D5" w14:textId="77777777" w:rsidTr="002B6A1B">
        <w:tc>
          <w:tcPr>
            <w:tcW w:w="13495" w:type="dxa"/>
            <w:gridSpan w:val="4"/>
            <w:shd w:val="clear" w:color="auto" w:fill="auto"/>
            <w:vAlign w:val="center"/>
          </w:tcPr>
          <w:p w14:paraId="3660A475" w14:textId="77777777" w:rsidR="003F1E3D" w:rsidRPr="00B230A3" w:rsidRDefault="003F1E3D" w:rsidP="002B6A1B">
            <w:pPr>
              <w:keepNext/>
              <w:ind w:left="75" w:right="80"/>
              <w:rPr>
                <w:bCs/>
                <w:sz w:val="20"/>
                <w:szCs w:val="20"/>
              </w:rPr>
            </w:pPr>
            <w:r w:rsidRPr="00B230A3">
              <w:rPr>
                <w:b/>
                <w:bCs/>
                <w:sz w:val="20"/>
                <w:szCs w:val="20"/>
              </w:rPr>
              <w:t xml:space="preserve">PDO Indicator 3: </w:t>
            </w:r>
            <w:r w:rsidRPr="00B230A3">
              <w:rPr>
                <w:bCs/>
                <w:sz w:val="20"/>
                <w:szCs w:val="20"/>
              </w:rPr>
              <w:t>Air quality data for the Lima-Callao Metropolitan Region (LCMR) widely published and disseminated (in real time) through a harmonized and integrated monitoring network</w:t>
            </w:r>
          </w:p>
        </w:tc>
      </w:tr>
      <w:tr w:rsidR="003F1E3D" w:rsidRPr="00B230A3" w14:paraId="3F30E16F" w14:textId="77777777" w:rsidTr="002B6A1B">
        <w:trPr>
          <w:trHeight w:val="916"/>
        </w:trPr>
        <w:tc>
          <w:tcPr>
            <w:tcW w:w="2955" w:type="dxa"/>
            <w:shd w:val="clear" w:color="auto" w:fill="auto"/>
            <w:vAlign w:val="center"/>
          </w:tcPr>
          <w:p w14:paraId="5C515A69"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Harmonized monitoring network publishes air quality data in real time for LCMR.</w:t>
            </w:r>
          </w:p>
        </w:tc>
        <w:tc>
          <w:tcPr>
            <w:tcW w:w="3428" w:type="dxa"/>
            <w:shd w:val="clear" w:color="auto" w:fill="auto"/>
            <w:vAlign w:val="center"/>
          </w:tcPr>
          <w:p w14:paraId="3806509A" w14:textId="3958B829" w:rsidR="003F1E3D" w:rsidRPr="00B230A3" w:rsidRDefault="00D149C0" w:rsidP="002B6A1B">
            <w:pPr>
              <w:keepNext/>
              <w:ind w:left="75" w:right="80"/>
              <w:rPr>
                <w:bCs/>
                <w:sz w:val="20"/>
                <w:szCs w:val="20"/>
              </w:rPr>
            </w:pPr>
            <w:r w:rsidRPr="00B230A3">
              <w:rPr>
                <w:bCs/>
                <w:sz w:val="20"/>
                <w:szCs w:val="20"/>
              </w:rPr>
              <w:t>Air quality data for LCMR is published by the harmonized monitoring networks of SENAMHI and DIGESA in real time.</w:t>
            </w:r>
          </w:p>
        </w:tc>
        <w:tc>
          <w:tcPr>
            <w:tcW w:w="3421" w:type="dxa"/>
            <w:shd w:val="clear" w:color="auto" w:fill="auto"/>
            <w:vAlign w:val="center"/>
          </w:tcPr>
          <w:p w14:paraId="654EF158" w14:textId="699A0366" w:rsidR="003F1E3D" w:rsidRPr="00B230A3" w:rsidRDefault="00D149C0" w:rsidP="002B6A1B">
            <w:pPr>
              <w:keepNext/>
              <w:ind w:left="75" w:right="80"/>
              <w:rPr>
                <w:bCs/>
                <w:sz w:val="20"/>
                <w:szCs w:val="20"/>
              </w:rPr>
            </w:pPr>
            <w:r w:rsidRPr="00B230A3">
              <w:rPr>
                <w:bCs/>
                <w:sz w:val="20"/>
                <w:szCs w:val="20"/>
              </w:rPr>
              <w:t>Air quality data for LCMR is published by the harmonized monitoring networks of SENAMHI and DIGESA in real time.</w:t>
            </w:r>
          </w:p>
        </w:tc>
        <w:tc>
          <w:tcPr>
            <w:tcW w:w="3691" w:type="dxa"/>
            <w:shd w:val="clear" w:color="auto" w:fill="auto"/>
            <w:vAlign w:val="center"/>
          </w:tcPr>
          <w:p w14:paraId="4741B7B1" w14:textId="0AC8C14B" w:rsidR="003F1E3D" w:rsidRPr="00B230A3" w:rsidRDefault="003F1E3D" w:rsidP="002B6A1B">
            <w:pPr>
              <w:keepNext/>
              <w:ind w:left="75" w:right="80"/>
              <w:rPr>
                <w:bCs/>
                <w:sz w:val="20"/>
                <w:szCs w:val="20"/>
              </w:rPr>
            </w:pPr>
            <w:r w:rsidRPr="00B230A3">
              <w:rPr>
                <w:bCs/>
                <w:sz w:val="20"/>
                <w:szCs w:val="20"/>
              </w:rPr>
              <w:t>Air quality data for LCMR is published by the harmonized monitoring networks of</w:t>
            </w:r>
            <w:r w:rsidR="00D149C0" w:rsidRPr="00B230A3">
              <w:rPr>
                <w:bCs/>
                <w:sz w:val="20"/>
                <w:szCs w:val="20"/>
              </w:rPr>
              <w:t xml:space="preserve"> </w:t>
            </w:r>
            <w:r w:rsidRPr="00B230A3">
              <w:rPr>
                <w:bCs/>
                <w:sz w:val="20"/>
                <w:szCs w:val="20"/>
              </w:rPr>
              <w:t xml:space="preserve">SENAMHI in real time and </w:t>
            </w:r>
            <w:r w:rsidR="00D149C0" w:rsidRPr="00B230A3">
              <w:rPr>
                <w:bCs/>
                <w:sz w:val="20"/>
                <w:szCs w:val="20"/>
              </w:rPr>
              <w:t>by</w:t>
            </w:r>
            <w:r w:rsidRPr="00B230A3">
              <w:rPr>
                <w:sz w:val="20"/>
                <w:szCs w:val="20"/>
              </w:rPr>
              <w:t xml:space="preserve"> </w:t>
            </w:r>
            <w:r w:rsidRPr="00B230A3">
              <w:rPr>
                <w:bCs/>
                <w:sz w:val="20"/>
                <w:szCs w:val="20"/>
              </w:rPr>
              <w:t>DIGESA.</w:t>
            </w:r>
          </w:p>
        </w:tc>
      </w:tr>
      <w:tr w:rsidR="003F1E3D" w:rsidRPr="00B230A3" w14:paraId="67F0EEF4" w14:textId="77777777" w:rsidTr="002B6A1B">
        <w:tc>
          <w:tcPr>
            <w:tcW w:w="13495" w:type="dxa"/>
            <w:gridSpan w:val="4"/>
            <w:shd w:val="clear" w:color="auto" w:fill="auto"/>
            <w:vAlign w:val="center"/>
          </w:tcPr>
          <w:p w14:paraId="51453AE3" w14:textId="77777777" w:rsidR="003F1E3D" w:rsidRPr="00B230A3" w:rsidRDefault="003F1E3D" w:rsidP="002B6A1B">
            <w:pPr>
              <w:keepNext/>
              <w:ind w:left="75" w:right="80"/>
              <w:rPr>
                <w:bCs/>
                <w:sz w:val="20"/>
                <w:szCs w:val="20"/>
              </w:rPr>
            </w:pPr>
            <w:r w:rsidRPr="00B230A3">
              <w:rPr>
                <w:b/>
                <w:bCs/>
                <w:sz w:val="20"/>
                <w:szCs w:val="20"/>
              </w:rPr>
              <w:t xml:space="preserve">PDO Indicator 4: </w:t>
            </w:r>
            <w:r w:rsidRPr="00B230A3">
              <w:rPr>
                <w:bCs/>
                <w:sz w:val="20"/>
                <w:szCs w:val="20"/>
              </w:rPr>
              <w:t>Air quality contingency plans developed and implemented when pollution levels largely exceed quality standards in cities</w:t>
            </w:r>
          </w:p>
        </w:tc>
      </w:tr>
      <w:tr w:rsidR="003F1E3D" w:rsidRPr="00B230A3" w14:paraId="6EAA5D14" w14:textId="77777777" w:rsidTr="002B6A1B">
        <w:trPr>
          <w:trHeight w:val="1069"/>
        </w:trPr>
        <w:tc>
          <w:tcPr>
            <w:tcW w:w="2955" w:type="dxa"/>
            <w:shd w:val="clear" w:color="auto" w:fill="auto"/>
            <w:vAlign w:val="center"/>
          </w:tcPr>
          <w:p w14:paraId="210BF456"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Air quality contingency plans are developed and implemented in the five most polluted cities</w:t>
            </w:r>
          </w:p>
        </w:tc>
        <w:tc>
          <w:tcPr>
            <w:tcW w:w="3428" w:type="dxa"/>
            <w:shd w:val="clear" w:color="auto" w:fill="auto"/>
            <w:vAlign w:val="center"/>
          </w:tcPr>
          <w:p w14:paraId="62A95E15" w14:textId="5607476B" w:rsidR="003F1E3D" w:rsidRPr="00B230A3" w:rsidRDefault="00887C3E" w:rsidP="002B6A1B">
            <w:pPr>
              <w:ind w:left="75" w:right="80"/>
              <w:rPr>
                <w:sz w:val="20"/>
                <w:szCs w:val="20"/>
              </w:rPr>
            </w:pPr>
            <w:r w:rsidRPr="00B230A3">
              <w:rPr>
                <w:bCs/>
                <w:sz w:val="20"/>
                <w:szCs w:val="20"/>
              </w:rPr>
              <w:t xml:space="preserve">Three out of the five </w:t>
            </w:r>
            <w:r w:rsidRPr="00B230A3">
              <w:rPr>
                <w:sz w:val="20"/>
                <w:szCs w:val="20"/>
              </w:rPr>
              <w:t>most polluted cities (Ilo, La Oroya and Arequipa) developed and implement a</w:t>
            </w:r>
            <w:r w:rsidRPr="00B230A3">
              <w:rPr>
                <w:bCs/>
                <w:sz w:val="20"/>
                <w:szCs w:val="20"/>
              </w:rPr>
              <w:t xml:space="preserve">ir quality contingency </w:t>
            </w:r>
            <w:r w:rsidRPr="00B230A3">
              <w:rPr>
                <w:sz w:val="20"/>
                <w:szCs w:val="20"/>
              </w:rPr>
              <w:t>plans.</w:t>
            </w:r>
          </w:p>
        </w:tc>
        <w:tc>
          <w:tcPr>
            <w:tcW w:w="3421" w:type="dxa"/>
            <w:shd w:val="clear" w:color="auto" w:fill="auto"/>
            <w:vAlign w:val="center"/>
          </w:tcPr>
          <w:p w14:paraId="168B397A" w14:textId="6E8A0B2E" w:rsidR="003F1E3D" w:rsidRPr="00B230A3" w:rsidRDefault="00D149C0" w:rsidP="002B6A1B">
            <w:pPr>
              <w:autoSpaceDE w:val="0"/>
              <w:autoSpaceDN w:val="0"/>
              <w:adjustRightInd w:val="0"/>
              <w:ind w:left="75" w:right="80"/>
              <w:rPr>
                <w:bCs/>
                <w:sz w:val="20"/>
                <w:szCs w:val="20"/>
              </w:rPr>
            </w:pPr>
            <w:r w:rsidRPr="00B230A3">
              <w:rPr>
                <w:bCs/>
                <w:sz w:val="20"/>
                <w:szCs w:val="20"/>
              </w:rPr>
              <w:t xml:space="preserve">Three out of the five </w:t>
            </w:r>
            <w:r w:rsidRPr="00B230A3">
              <w:rPr>
                <w:sz w:val="20"/>
                <w:szCs w:val="20"/>
              </w:rPr>
              <w:t>most polluted cities (Ilo, La Oroya and Arequipa) developed and implement a</w:t>
            </w:r>
            <w:r w:rsidRPr="00B230A3">
              <w:rPr>
                <w:bCs/>
                <w:sz w:val="20"/>
                <w:szCs w:val="20"/>
              </w:rPr>
              <w:t xml:space="preserve">ir quality contingency </w:t>
            </w:r>
            <w:r w:rsidRPr="00B230A3">
              <w:rPr>
                <w:sz w:val="20"/>
                <w:szCs w:val="20"/>
              </w:rPr>
              <w:t>plans.</w:t>
            </w:r>
          </w:p>
        </w:tc>
        <w:tc>
          <w:tcPr>
            <w:tcW w:w="3691" w:type="dxa"/>
            <w:shd w:val="clear" w:color="auto" w:fill="auto"/>
            <w:vAlign w:val="center"/>
          </w:tcPr>
          <w:p w14:paraId="13B700E7" w14:textId="77777777" w:rsidR="003F1E3D" w:rsidRPr="00B230A3" w:rsidRDefault="003F1E3D" w:rsidP="002B6A1B">
            <w:pPr>
              <w:keepNext/>
              <w:spacing w:after="120"/>
              <w:ind w:left="75" w:right="80"/>
              <w:rPr>
                <w:bCs/>
                <w:sz w:val="20"/>
                <w:szCs w:val="20"/>
              </w:rPr>
            </w:pPr>
            <w:r w:rsidRPr="00B230A3">
              <w:rPr>
                <w:bCs/>
                <w:sz w:val="20"/>
                <w:szCs w:val="20"/>
              </w:rPr>
              <w:t xml:space="preserve">Three out of the five </w:t>
            </w:r>
            <w:r w:rsidRPr="00B230A3">
              <w:rPr>
                <w:sz w:val="20"/>
                <w:szCs w:val="20"/>
              </w:rPr>
              <w:t>most polluted cities (Ilo, La Oroya and Arequipa) developed and implement a</w:t>
            </w:r>
            <w:r w:rsidRPr="00B230A3">
              <w:rPr>
                <w:bCs/>
                <w:sz w:val="20"/>
                <w:szCs w:val="20"/>
              </w:rPr>
              <w:t xml:space="preserve">ir quality contingency </w:t>
            </w:r>
            <w:r w:rsidRPr="00B230A3">
              <w:rPr>
                <w:sz w:val="20"/>
                <w:szCs w:val="20"/>
              </w:rPr>
              <w:t>plans.</w:t>
            </w:r>
          </w:p>
        </w:tc>
      </w:tr>
      <w:tr w:rsidR="003F1E3D" w:rsidRPr="00B230A3" w14:paraId="5DE98D44" w14:textId="77777777" w:rsidTr="002B6A1B">
        <w:tc>
          <w:tcPr>
            <w:tcW w:w="13495" w:type="dxa"/>
            <w:gridSpan w:val="4"/>
            <w:shd w:val="clear" w:color="auto" w:fill="auto"/>
            <w:vAlign w:val="center"/>
          </w:tcPr>
          <w:p w14:paraId="18C1CD31" w14:textId="77777777" w:rsidR="003F1E3D" w:rsidRPr="00B230A3" w:rsidRDefault="003F1E3D" w:rsidP="002B6A1B">
            <w:pPr>
              <w:keepNext/>
              <w:ind w:left="75" w:right="80"/>
              <w:rPr>
                <w:b/>
                <w:bCs/>
                <w:sz w:val="20"/>
                <w:szCs w:val="20"/>
              </w:rPr>
            </w:pPr>
            <w:r w:rsidRPr="00B230A3">
              <w:rPr>
                <w:b/>
                <w:bCs/>
                <w:sz w:val="20"/>
                <w:szCs w:val="20"/>
              </w:rPr>
              <w:t xml:space="preserve">PDO Indicator 5: </w:t>
            </w:r>
            <w:r w:rsidRPr="00B230A3">
              <w:rPr>
                <w:bCs/>
                <w:sz w:val="20"/>
                <w:szCs w:val="20"/>
              </w:rPr>
              <w:t>Priority Mining Environmental Legacies (MELs) identified following the priority setting update of MELs’ inventory and resources for remediating priority public/private MELs</w:t>
            </w:r>
          </w:p>
        </w:tc>
      </w:tr>
      <w:tr w:rsidR="003F1E3D" w:rsidRPr="00B230A3" w14:paraId="25F61309" w14:textId="77777777" w:rsidTr="002B6A1B">
        <w:trPr>
          <w:trHeight w:val="160"/>
        </w:trPr>
        <w:tc>
          <w:tcPr>
            <w:tcW w:w="2955" w:type="dxa"/>
            <w:shd w:val="clear" w:color="auto" w:fill="auto"/>
            <w:vAlign w:val="center"/>
          </w:tcPr>
          <w:p w14:paraId="63DD59F2"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At least 10 priority MELs are identified following the priority setting update of MELs inventory and resources for remediating priority public/private MELs confirmed.</w:t>
            </w:r>
          </w:p>
        </w:tc>
        <w:tc>
          <w:tcPr>
            <w:tcW w:w="3428" w:type="dxa"/>
            <w:shd w:val="clear" w:color="auto" w:fill="auto"/>
            <w:vAlign w:val="center"/>
          </w:tcPr>
          <w:p w14:paraId="3DD07680" w14:textId="36FA8FD6" w:rsidR="003F1E3D" w:rsidRPr="00B230A3" w:rsidRDefault="00EB6D5F" w:rsidP="002B6A1B">
            <w:pPr>
              <w:autoSpaceDE w:val="0"/>
              <w:autoSpaceDN w:val="0"/>
              <w:adjustRightInd w:val="0"/>
              <w:ind w:left="75" w:right="80"/>
              <w:rPr>
                <w:bCs/>
                <w:sz w:val="20"/>
                <w:szCs w:val="20"/>
              </w:rPr>
            </w:pPr>
            <w:r w:rsidRPr="00B230A3">
              <w:rPr>
                <w:bCs/>
                <w:sz w:val="20"/>
                <w:szCs w:val="20"/>
              </w:rPr>
              <w:t>MEM identified 7,576 MELs, and prioritized those legacies by risk levels. The GoP has allocated resources to remediate 119 priority MELs in 8 mining units in Cajamarca.</w:t>
            </w:r>
          </w:p>
        </w:tc>
        <w:tc>
          <w:tcPr>
            <w:tcW w:w="3421" w:type="dxa"/>
            <w:shd w:val="clear" w:color="auto" w:fill="auto"/>
            <w:vAlign w:val="center"/>
          </w:tcPr>
          <w:p w14:paraId="2085886F" w14:textId="77777777" w:rsidR="003F1E3D" w:rsidRPr="00B230A3" w:rsidRDefault="00EB6D5F" w:rsidP="002B6A1B">
            <w:pPr>
              <w:keepNext/>
              <w:ind w:left="75" w:right="80"/>
              <w:rPr>
                <w:bCs/>
                <w:sz w:val="20"/>
                <w:szCs w:val="20"/>
              </w:rPr>
            </w:pPr>
            <w:r w:rsidRPr="00B230A3">
              <w:rPr>
                <w:bCs/>
                <w:sz w:val="20"/>
                <w:szCs w:val="20"/>
              </w:rPr>
              <w:t>MEM identified 8,206 MELs, and prioritized those legacies by risk levels.</w:t>
            </w:r>
          </w:p>
          <w:p w14:paraId="015EE153" w14:textId="6004AAA4" w:rsidR="00EB6D5F" w:rsidRPr="00B230A3" w:rsidRDefault="00EB6D5F" w:rsidP="002B6A1B">
            <w:pPr>
              <w:keepNext/>
              <w:ind w:left="75" w:right="80"/>
              <w:rPr>
                <w:bCs/>
                <w:sz w:val="20"/>
                <w:szCs w:val="20"/>
              </w:rPr>
            </w:pPr>
            <w:r w:rsidRPr="00B230A3">
              <w:rPr>
                <w:bCs/>
                <w:sz w:val="20"/>
                <w:szCs w:val="20"/>
              </w:rPr>
              <w:t>The GoP has allocated resources for remediating 119 priority MELs in 8 mining units in Cajamarca, and 407 legacies in 21 former mining units by the state-owned company Activos Mineros.</w:t>
            </w:r>
          </w:p>
        </w:tc>
        <w:tc>
          <w:tcPr>
            <w:tcW w:w="3691" w:type="dxa"/>
            <w:shd w:val="clear" w:color="auto" w:fill="auto"/>
            <w:vAlign w:val="center"/>
          </w:tcPr>
          <w:p w14:paraId="517C3B26" w14:textId="5E543ECE" w:rsidR="003F1E3D" w:rsidRPr="00B230A3" w:rsidRDefault="003F1E3D" w:rsidP="002B6A1B">
            <w:pPr>
              <w:pStyle w:val="ListParagraph"/>
              <w:autoSpaceDE w:val="0"/>
              <w:autoSpaceDN w:val="0"/>
              <w:adjustRightInd w:val="0"/>
              <w:spacing w:before="120" w:after="120"/>
              <w:ind w:left="75" w:right="80"/>
              <w:rPr>
                <w:rFonts w:eastAsia="MS Mincho"/>
                <w:bCs/>
                <w:sz w:val="20"/>
                <w:szCs w:val="20"/>
                <w:lang w:eastAsia="ja-JP"/>
              </w:rPr>
            </w:pPr>
            <w:r w:rsidRPr="00B230A3">
              <w:rPr>
                <w:rFonts w:eastAsia="MS Mincho"/>
                <w:bCs/>
                <w:sz w:val="20"/>
                <w:szCs w:val="20"/>
                <w:lang w:eastAsia="ja-JP"/>
              </w:rPr>
              <w:t>MEM identified 8,616 MELs, and prioritized those legacies by risk levels. 2,546 MELs are of very high risk, and 1,735 are of high risk.</w:t>
            </w:r>
            <w:r w:rsidR="00EB6D5F" w:rsidRPr="00B230A3">
              <w:rPr>
                <w:rFonts w:eastAsia="MS Mincho"/>
                <w:bCs/>
                <w:sz w:val="20"/>
                <w:szCs w:val="20"/>
                <w:lang w:eastAsia="ja-JP"/>
              </w:rPr>
              <w:t xml:space="preserve"> </w:t>
            </w:r>
            <w:r w:rsidRPr="00B230A3">
              <w:rPr>
                <w:rFonts w:eastAsia="MS Mincho"/>
                <w:bCs/>
                <w:sz w:val="20"/>
                <w:szCs w:val="20"/>
                <w:lang w:eastAsia="ja-JP"/>
              </w:rPr>
              <w:t>The GoP has confirmed resources to remediate 801 priority MELs (of high and very high risk) in 44 mining units.</w:t>
            </w:r>
          </w:p>
        </w:tc>
      </w:tr>
      <w:tr w:rsidR="003F1E3D" w:rsidRPr="00B230A3" w14:paraId="2EA63CC6" w14:textId="77777777" w:rsidTr="002B6A1B">
        <w:tc>
          <w:tcPr>
            <w:tcW w:w="13495" w:type="dxa"/>
            <w:gridSpan w:val="4"/>
            <w:shd w:val="clear" w:color="auto" w:fill="auto"/>
            <w:vAlign w:val="center"/>
          </w:tcPr>
          <w:p w14:paraId="6C45038E" w14:textId="77777777" w:rsidR="003F1E3D" w:rsidRPr="00B230A3" w:rsidRDefault="003F1E3D" w:rsidP="002B6A1B">
            <w:pPr>
              <w:keepNext/>
              <w:ind w:left="75" w:right="80"/>
              <w:rPr>
                <w:bCs/>
                <w:sz w:val="20"/>
                <w:szCs w:val="20"/>
              </w:rPr>
            </w:pPr>
            <w:r w:rsidRPr="00B230A3">
              <w:rPr>
                <w:b/>
                <w:bCs/>
                <w:sz w:val="20"/>
                <w:szCs w:val="20"/>
              </w:rPr>
              <w:t xml:space="preserve">PDO Indicator 6: </w:t>
            </w:r>
            <w:r w:rsidRPr="00B230A3">
              <w:rPr>
                <w:bCs/>
                <w:sz w:val="20"/>
                <w:szCs w:val="20"/>
              </w:rPr>
              <w:t>Number of mining sites with environmental participatory monitoring projects</w:t>
            </w:r>
          </w:p>
        </w:tc>
      </w:tr>
      <w:tr w:rsidR="003F1E3D" w:rsidRPr="00B230A3" w14:paraId="1FA1E6C2" w14:textId="77777777" w:rsidTr="002B6A1B">
        <w:trPr>
          <w:trHeight w:val="862"/>
        </w:trPr>
        <w:tc>
          <w:tcPr>
            <w:tcW w:w="2955" w:type="dxa"/>
            <w:shd w:val="clear" w:color="auto" w:fill="auto"/>
            <w:vAlign w:val="center"/>
          </w:tcPr>
          <w:p w14:paraId="3A7637D8"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Environmental participatory monitoring undertaken in at least 60 mining sites</w:t>
            </w:r>
          </w:p>
        </w:tc>
        <w:tc>
          <w:tcPr>
            <w:tcW w:w="3428" w:type="dxa"/>
            <w:shd w:val="clear" w:color="auto" w:fill="auto"/>
            <w:vAlign w:val="center"/>
          </w:tcPr>
          <w:p w14:paraId="644930FC" w14:textId="2BBD51EA" w:rsidR="003F1E3D" w:rsidRPr="00B230A3" w:rsidRDefault="00A454B2" w:rsidP="002B6A1B">
            <w:pPr>
              <w:autoSpaceDE w:val="0"/>
              <w:autoSpaceDN w:val="0"/>
              <w:adjustRightInd w:val="0"/>
              <w:ind w:left="75" w:right="80"/>
              <w:rPr>
                <w:bCs/>
                <w:sz w:val="20"/>
                <w:szCs w:val="20"/>
              </w:rPr>
            </w:pPr>
            <w:r w:rsidRPr="00B230A3">
              <w:rPr>
                <w:bCs/>
                <w:sz w:val="20"/>
                <w:szCs w:val="20"/>
              </w:rPr>
              <w:t>Environmental participatory monitoring undertaken in more than 60 sites.</w:t>
            </w:r>
          </w:p>
        </w:tc>
        <w:tc>
          <w:tcPr>
            <w:tcW w:w="3421" w:type="dxa"/>
            <w:shd w:val="clear" w:color="auto" w:fill="auto"/>
            <w:vAlign w:val="center"/>
          </w:tcPr>
          <w:p w14:paraId="66E91361" w14:textId="1C90D294" w:rsidR="003F1E3D" w:rsidRPr="00B230A3" w:rsidRDefault="004B012D" w:rsidP="002B6A1B">
            <w:pPr>
              <w:keepNext/>
              <w:ind w:left="75" w:right="80"/>
              <w:rPr>
                <w:bCs/>
                <w:sz w:val="20"/>
                <w:szCs w:val="20"/>
              </w:rPr>
            </w:pPr>
            <w:r w:rsidRPr="00B230A3">
              <w:rPr>
                <w:bCs/>
                <w:sz w:val="20"/>
                <w:szCs w:val="20"/>
              </w:rPr>
              <w:t>101 mining sites with environmental participatory monitoring (committees or programs)</w:t>
            </w:r>
          </w:p>
        </w:tc>
        <w:tc>
          <w:tcPr>
            <w:tcW w:w="3691" w:type="dxa"/>
            <w:shd w:val="clear" w:color="auto" w:fill="auto"/>
            <w:vAlign w:val="center"/>
          </w:tcPr>
          <w:p w14:paraId="13903DDC" w14:textId="77777777" w:rsidR="003F1E3D" w:rsidRPr="00B230A3" w:rsidRDefault="003F1E3D" w:rsidP="002B6A1B">
            <w:pPr>
              <w:keepNext/>
              <w:ind w:left="75" w:right="80"/>
              <w:rPr>
                <w:bCs/>
                <w:sz w:val="20"/>
                <w:szCs w:val="20"/>
              </w:rPr>
            </w:pPr>
            <w:r w:rsidRPr="00B230A3">
              <w:rPr>
                <w:bCs/>
                <w:sz w:val="20"/>
                <w:szCs w:val="20"/>
              </w:rPr>
              <w:t>101 mining sites with environmental participatory monitoring (committees or programs)</w:t>
            </w:r>
          </w:p>
        </w:tc>
      </w:tr>
      <w:tr w:rsidR="003F1E3D" w:rsidRPr="00B230A3" w14:paraId="2530F62D" w14:textId="77777777" w:rsidTr="002B6A1B">
        <w:tc>
          <w:tcPr>
            <w:tcW w:w="13495" w:type="dxa"/>
            <w:gridSpan w:val="4"/>
            <w:shd w:val="clear" w:color="auto" w:fill="auto"/>
            <w:vAlign w:val="center"/>
          </w:tcPr>
          <w:p w14:paraId="211E5F0B" w14:textId="77777777" w:rsidR="003F1E3D" w:rsidRPr="00B230A3" w:rsidRDefault="003F1E3D" w:rsidP="002B6A1B">
            <w:pPr>
              <w:keepNext/>
              <w:ind w:left="75" w:right="80"/>
              <w:rPr>
                <w:b/>
                <w:bCs/>
                <w:sz w:val="20"/>
                <w:szCs w:val="20"/>
              </w:rPr>
            </w:pPr>
            <w:r w:rsidRPr="00B230A3">
              <w:rPr>
                <w:b/>
                <w:bCs/>
                <w:sz w:val="20"/>
                <w:szCs w:val="20"/>
              </w:rPr>
              <w:t xml:space="preserve">PDO Indicator 7: </w:t>
            </w:r>
            <w:r w:rsidRPr="00B230A3">
              <w:rPr>
                <w:bCs/>
                <w:sz w:val="20"/>
                <w:szCs w:val="20"/>
              </w:rPr>
              <w:t>Percentage of gas stations in main cities supplying clean diesel (less than 50 ppm of sulfur content)</w:t>
            </w:r>
          </w:p>
        </w:tc>
      </w:tr>
      <w:tr w:rsidR="003F1E3D" w:rsidRPr="00B230A3" w14:paraId="6065550A" w14:textId="77777777" w:rsidTr="002B6A1B">
        <w:trPr>
          <w:trHeight w:val="1240"/>
        </w:trPr>
        <w:tc>
          <w:tcPr>
            <w:tcW w:w="2955" w:type="dxa"/>
            <w:shd w:val="clear" w:color="auto" w:fill="auto"/>
            <w:vAlign w:val="center"/>
          </w:tcPr>
          <w:p w14:paraId="6260D345"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At least 30% of gas stations in main cities (approximately 750) supplying clean diesel (less than 50 ppm of sulfur content) by 2010</w:t>
            </w:r>
          </w:p>
        </w:tc>
        <w:tc>
          <w:tcPr>
            <w:tcW w:w="3428" w:type="dxa"/>
            <w:shd w:val="clear" w:color="auto" w:fill="auto"/>
            <w:vAlign w:val="center"/>
          </w:tcPr>
          <w:p w14:paraId="3795DD60" w14:textId="2F9907E5" w:rsidR="003F1E3D" w:rsidRPr="00B230A3" w:rsidRDefault="00A74E5C" w:rsidP="002B6A1B">
            <w:pPr>
              <w:keepNext/>
              <w:ind w:left="75" w:right="80"/>
              <w:rPr>
                <w:sz w:val="20"/>
                <w:szCs w:val="20"/>
                <w:lang w:eastAsia="zh-TW"/>
              </w:rPr>
            </w:pPr>
            <w:r w:rsidRPr="00B230A3">
              <w:rPr>
                <w:sz w:val="20"/>
                <w:szCs w:val="20"/>
                <w:lang w:eastAsia="zh-TW"/>
              </w:rPr>
              <w:t>All gas stations in Lima and Callao supply diesel with</w:t>
            </w:r>
            <w:r w:rsidRPr="00B230A3">
              <w:rPr>
                <w:bCs/>
                <w:sz w:val="20"/>
                <w:szCs w:val="20"/>
              </w:rPr>
              <w:t xml:space="preserve"> less than 50 ppm of sulfur content.</w:t>
            </w:r>
          </w:p>
        </w:tc>
        <w:tc>
          <w:tcPr>
            <w:tcW w:w="3421" w:type="dxa"/>
            <w:shd w:val="clear" w:color="auto" w:fill="auto"/>
            <w:vAlign w:val="center"/>
          </w:tcPr>
          <w:p w14:paraId="0B5A8784" w14:textId="6EE057E6" w:rsidR="003F1E3D" w:rsidRPr="00B230A3" w:rsidRDefault="004B012D" w:rsidP="002B6A1B">
            <w:pPr>
              <w:keepNext/>
              <w:ind w:left="75" w:right="80"/>
              <w:rPr>
                <w:bCs/>
                <w:sz w:val="20"/>
                <w:szCs w:val="20"/>
              </w:rPr>
            </w:pPr>
            <w:r w:rsidRPr="00B230A3">
              <w:rPr>
                <w:sz w:val="20"/>
                <w:szCs w:val="20"/>
                <w:lang w:eastAsia="zh-TW"/>
              </w:rPr>
              <w:t>All gas stations in the departments of Lima, Arequipa, Cusco, Puno, Madre de Dios, and the constitutional province of Callao supply diesel with</w:t>
            </w:r>
            <w:r w:rsidRPr="00B230A3">
              <w:rPr>
                <w:bCs/>
                <w:sz w:val="20"/>
                <w:szCs w:val="20"/>
              </w:rPr>
              <w:t xml:space="preserve"> less than 50 ppm of sulfur content.</w:t>
            </w:r>
          </w:p>
        </w:tc>
        <w:tc>
          <w:tcPr>
            <w:tcW w:w="3691" w:type="dxa"/>
            <w:shd w:val="clear" w:color="auto" w:fill="auto"/>
            <w:vAlign w:val="center"/>
          </w:tcPr>
          <w:p w14:paraId="41C291EF" w14:textId="77777777" w:rsidR="003F1E3D" w:rsidRPr="00B230A3" w:rsidRDefault="003F1E3D" w:rsidP="002B6A1B">
            <w:pPr>
              <w:ind w:left="75" w:right="80"/>
              <w:rPr>
                <w:bCs/>
                <w:sz w:val="20"/>
                <w:szCs w:val="20"/>
              </w:rPr>
            </w:pPr>
            <w:r w:rsidRPr="00B230A3">
              <w:rPr>
                <w:sz w:val="20"/>
                <w:szCs w:val="20"/>
                <w:lang w:eastAsia="zh-TW"/>
              </w:rPr>
              <w:t>All 2,096 gas stations in the departments of Lima, Arequipa, Cusco, Puno, Madre de Dios, and the constitutional province of Callao supply diesel with</w:t>
            </w:r>
            <w:r w:rsidRPr="00B230A3">
              <w:rPr>
                <w:bCs/>
                <w:sz w:val="20"/>
                <w:szCs w:val="20"/>
              </w:rPr>
              <w:t xml:space="preserve"> less than 50 ppm of sulfur content.</w:t>
            </w:r>
          </w:p>
        </w:tc>
      </w:tr>
      <w:tr w:rsidR="003F1E3D" w:rsidRPr="00B230A3" w14:paraId="7D54692C" w14:textId="77777777" w:rsidTr="002B6A1B">
        <w:tc>
          <w:tcPr>
            <w:tcW w:w="13495" w:type="dxa"/>
            <w:gridSpan w:val="4"/>
            <w:shd w:val="clear" w:color="auto" w:fill="auto"/>
            <w:vAlign w:val="center"/>
          </w:tcPr>
          <w:p w14:paraId="2A7C4AF5" w14:textId="77777777" w:rsidR="003F1E3D" w:rsidRPr="00B230A3" w:rsidRDefault="003F1E3D" w:rsidP="002B6A1B">
            <w:pPr>
              <w:keepNext/>
              <w:ind w:left="75" w:right="80"/>
              <w:rPr>
                <w:sz w:val="20"/>
                <w:szCs w:val="20"/>
                <w:lang w:eastAsia="zh-TW"/>
              </w:rPr>
            </w:pPr>
            <w:r w:rsidRPr="00B230A3">
              <w:rPr>
                <w:b/>
                <w:bCs/>
                <w:sz w:val="20"/>
                <w:szCs w:val="20"/>
              </w:rPr>
              <w:t xml:space="preserve">PDO Indicator 8: </w:t>
            </w:r>
            <w:r w:rsidRPr="00B230A3">
              <w:rPr>
                <w:bCs/>
                <w:sz w:val="20"/>
                <w:szCs w:val="20"/>
              </w:rPr>
              <w:t>Number of vehicles converted to natural gas and number of service stations supplying natural gas in Lima</w:t>
            </w:r>
          </w:p>
        </w:tc>
      </w:tr>
      <w:tr w:rsidR="003F1E3D" w:rsidRPr="00B230A3" w14:paraId="51C5C2C8" w14:textId="77777777" w:rsidTr="002B6A1B">
        <w:trPr>
          <w:trHeight w:val="1060"/>
        </w:trPr>
        <w:tc>
          <w:tcPr>
            <w:tcW w:w="2955" w:type="dxa"/>
            <w:shd w:val="clear" w:color="auto" w:fill="auto"/>
            <w:vAlign w:val="center"/>
          </w:tcPr>
          <w:p w14:paraId="2A53CAD3"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sz w:val="20"/>
                <w:szCs w:val="20"/>
              </w:rPr>
              <w:t>At least 80,000 vehicles converted to natural gas and 90 service stations are installed and operating in Lima.</w:t>
            </w:r>
          </w:p>
        </w:tc>
        <w:tc>
          <w:tcPr>
            <w:tcW w:w="3428" w:type="dxa"/>
            <w:shd w:val="clear" w:color="auto" w:fill="auto"/>
            <w:vAlign w:val="center"/>
          </w:tcPr>
          <w:p w14:paraId="6B98D4A5" w14:textId="04EFA227" w:rsidR="003F1E3D" w:rsidRPr="00B230A3" w:rsidRDefault="00B230A3" w:rsidP="002B6A1B">
            <w:pPr>
              <w:keepNext/>
              <w:ind w:left="75" w:right="80"/>
              <w:rPr>
                <w:bCs/>
                <w:sz w:val="20"/>
                <w:szCs w:val="20"/>
              </w:rPr>
            </w:pPr>
            <w:r w:rsidRPr="00B230A3">
              <w:rPr>
                <w:sz w:val="20"/>
                <w:szCs w:val="20"/>
                <w:lang w:eastAsia="zh-TW"/>
              </w:rPr>
              <w:t>Approximately 140,000 vehicles converted to natural gas and 90 service stations offering natural gas are installed and operating in Lima.</w:t>
            </w:r>
          </w:p>
        </w:tc>
        <w:tc>
          <w:tcPr>
            <w:tcW w:w="3421" w:type="dxa"/>
            <w:shd w:val="clear" w:color="auto" w:fill="auto"/>
            <w:vAlign w:val="center"/>
          </w:tcPr>
          <w:p w14:paraId="6122AF88" w14:textId="4CBC93EC" w:rsidR="003F1E3D" w:rsidRPr="00B230A3" w:rsidRDefault="00B8128D" w:rsidP="002B6A1B">
            <w:pPr>
              <w:autoSpaceDE w:val="0"/>
              <w:autoSpaceDN w:val="0"/>
              <w:adjustRightInd w:val="0"/>
              <w:ind w:left="75" w:right="80"/>
              <w:rPr>
                <w:sz w:val="20"/>
                <w:szCs w:val="20"/>
                <w:lang w:eastAsia="zh-TW"/>
              </w:rPr>
            </w:pPr>
            <w:r w:rsidRPr="00B230A3">
              <w:rPr>
                <w:sz w:val="20"/>
                <w:szCs w:val="20"/>
                <w:lang w:eastAsia="zh-TW"/>
              </w:rPr>
              <w:t>Approximately 162,000 vehicles converted to natural gas and 90 service stations offering natural gas are installed and operating in Lima.</w:t>
            </w:r>
          </w:p>
        </w:tc>
        <w:tc>
          <w:tcPr>
            <w:tcW w:w="3691" w:type="dxa"/>
            <w:shd w:val="clear" w:color="auto" w:fill="auto"/>
            <w:vAlign w:val="center"/>
          </w:tcPr>
          <w:p w14:paraId="5775803F" w14:textId="77777777" w:rsidR="003F1E3D" w:rsidRPr="00B230A3" w:rsidRDefault="003F1E3D" w:rsidP="002B6A1B">
            <w:pPr>
              <w:keepNext/>
              <w:ind w:left="75" w:right="80"/>
              <w:rPr>
                <w:bCs/>
                <w:sz w:val="20"/>
                <w:szCs w:val="20"/>
              </w:rPr>
            </w:pPr>
            <w:r w:rsidRPr="00B230A3">
              <w:rPr>
                <w:sz w:val="20"/>
                <w:szCs w:val="20"/>
                <w:lang w:eastAsia="zh-TW"/>
              </w:rPr>
              <w:t>Approximately 210,000 vehicles converted to natural gas and 236 service stations offering natural gas are installed and operating in Lima.</w:t>
            </w:r>
          </w:p>
        </w:tc>
      </w:tr>
      <w:tr w:rsidR="003F1E3D" w:rsidRPr="00B230A3" w14:paraId="4A6A3281" w14:textId="77777777" w:rsidTr="002B6A1B">
        <w:tc>
          <w:tcPr>
            <w:tcW w:w="13495" w:type="dxa"/>
            <w:gridSpan w:val="4"/>
            <w:shd w:val="clear" w:color="auto" w:fill="auto"/>
            <w:vAlign w:val="center"/>
          </w:tcPr>
          <w:p w14:paraId="2ACE60F4" w14:textId="77777777" w:rsidR="003F1E3D" w:rsidRPr="00B230A3" w:rsidRDefault="003F1E3D" w:rsidP="002B6A1B">
            <w:pPr>
              <w:autoSpaceDE w:val="0"/>
              <w:autoSpaceDN w:val="0"/>
              <w:adjustRightInd w:val="0"/>
              <w:ind w:left="75" w:right="80"/>
              <w:rPr>
                <w:sz w:val="20"/>
                <w:szCs w:val="20"/>
                <w:highlight w:val="yellow"/>
                <w:lang w:eastAsia="zh-TW"/>
              </w:rPr>
            </w:pPr>
            <w:r w:rsidRPr="00B230A3">
              <w:rPr>
                <w:b/>
                <w:bCs/>
                <w:sz w:val="20"/>
                <w:szCs w:val="20"/>
              </w:rPr>
              <w:t xml:space="preserve">PDO Indicator 9: </w:t>
            </w:r>
            <w:r w:rsidRPr="00B230A3">
              <w:rPr>
                <w:bCs/>
                <w:sz w:val="20"/>
                <w:szCs w:val="20"/>
              </w:rPr>
              <w:t>Number of vehicle inspection and maintenance systems operating in Lima and other three largest cities</w:t>
            </w:r>
          </w:p>
        </w:tc>
      </w:tr>
      <w:tr w:rsidR="003F1E3D" w:rsidRPr="00B230A3" w14:paraId="5E91D6D8" w14:textId="77777777" w:rsidTr="002B6A1B">
        <w:trPr>
          <w:trHeight w:val="3958"/>
        </w:trPr>
        <w:tc>
          <w:tcPr>
            <w:tcW w:w="2955" w:type="dxa"/>
            <w:shd w:val="clear" w:color="auto" w:fill="auto"/>
            <w:vAlign w:val="center"/>
          </w:tcPr>
          <w:p w14:paraId="67204BBD"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Vehicle inspection and maintenance system operating in Lima (with at least 600,000 vehicles inspected), and each of the three largest cities (with at least 80,000 vehicles inspected)</w:t>
            </w:r>
          </w:p>
        </w:tc>
        <w:tc>
          <w:tcPr>
            <w:tcW w:w="3428" w:type="dxa"/>
            <w:shd w:val="clear" w:color="auto" w:fill="auto"/>
            <w:vAlign w:val="center"/>
          </w:tcPr>
          <w:p w14:paraId="5D06796F" w14:textId="04150039" w:rsidR="003F1E3D" w:rsidRPr="00B230A3" w:rsidRDefault="009E4493" w:rsidP="002B6A1B">
            <w:pPr>
              <w:autoSpaceDE w:val="0"/>
              <w:autoSpaceDN w:val="0"/>
              <w:adjustRightInd w:val="0"/>
              <w:ind w:left="75" w:right="80"/>
              <w:rPr>
                <w:bCs/>
                <w:sz w:val="20"/>
                <w:szCs w:val="20"/>
              </w:rPr>
            </w:pPr>
            <w:r w:rsidRPr="00B230A3">
              <w:rPr>
                <w:bCs/>
                <w:sz w:val="20"/>
                <w:szCs w:val="20"/>
              </w:rPr>
              <w:t>Vehicle inspection and maintenance systems operating in Lima, Callao, Arequipa and La Libertad. More than 550,000</w:t>
            </w:r>
            <w:r w:rsidRPr="00B230A3">
              <w:rPr>
                <w:bCs/>
                <w:color w:val="000000"/>
                <w:sz w:val="20"/>
                <w:szCs w:val="20"/>
                <w:lang w:eastAsia="zh-TW"/>
              </w:rPr>
              <w:t xml:space="preserve"> vehicles inspected in Lima-Callao, 47,688 vehicles in Arequipa and 29,263 vehicles in La Libertad.</w:t>
            </w:r>
          </w:p>
        </w:tc>
        <w:tc>
          <w:tcPr>
            <w:tcW w:w="3421" w:type="dxa"/>
            <w:shd w:val="clear" w:color="auto" w:fill="auto"/>
            <w:vAlign w:val="center"/>
          </w:tcPr>
          <w:p w14:paraId="5C6D871E" w14:textId="18D557E8" w:rsidR="003F1E3D" w:rsidRPr="00B230A3" w:rsidRDefault="00D647E3" w:rsidP="002B6A1B">
            <w:pPr>
              <w:autoSpaceDE w:val="0"/>
              <w:autoSpaceDN w:val="0"/>
              <w:adjustRightInd w:val="0"/>
              <w:ind w:left="75" w:right="80"/>
              <w:rPr>
                <w:sz w:val="20"/>
                <w:szCs w:val="20"/>
                <w:lang w:eastAsia="zh-TW"/>
              </w:rPr>
            </w:pPr>
            <w:r w:rsidRPr="00B230A3">
              <w:rPr>
                <w:bCs/>
                <w:sz w:val="20"/>
                <w:szCs w:val="20"/>
              </w:rPr>
              <w:t>Vehicle inspection and maintenance systems operating in Lima, Callao, Arequipa and La Libertad. More than 1,000,000</w:t>
            </w:r>
            <w:r w:rsidRPr="00B230A3">
              <w:rPr>
                <w:bCs/>
                <w:color w:val="000000"/>
                <w:sz w:val="20"/>
                <w:szCs w:val="20"/>
                <w:lang w:eastAsia="zh-TW"/>
              </w:rPr>
              <w:t xml:space="preserve"> vehicles inspected in Lima-Callao</w:t>
            </w:r>
            <w:r w:rsidR="00EE6F4D" w:rsidRPr="00B230A3">
              <w:rPr>
                <w:bCs/>
                <w:color w:val="000000"/>
                <w:sz w:val="20"/>
                <w:szCs w:val="20"/>
                <w:lang w:eastAsia="zh-TW"/>
              </w:rPr>
              <w:t xml:space="preserve">. Another </w:t>
            </w:r>
            <w:r w:rsidRPr="00B230A3">
              <w:rPr>
                <w:bCs/>
                <w:color w:val="000000"/>
                <w:sz w:val="20"/>
                <w:szCs w:val="20"/>
                <w:lang w:eastAsia="zh-TW"/>
              </w:rPr>
              <w:t>47,688 vehicles in Arequipa and 29,263 vehicles in La Libertad</w:t>
            </w:r>
            <w:r w:rsidR="00EE6F4D" w:rsidRPr="00B230A3">
              <w:rPr>
                <w:bCs/>
                <w:color w:val="000000"/>
                <w:sz w:val="20"/>
                <w:szCs w:val="20"/>
                <w:lang w:eastAsia="zh-TW"/>
              </w:rPr>
              <w:t xml:space="preserve"> in 2012</w:t>
            </w:r>
            <w:r w:rsidRPr="00B230A3">
              <w:rPr>
                <w:bCs/>
                <w:color w:val="000000"/>
                <w:sz w:val="20"/>
                <w:szCs w:val="20"/>
                <w:lang w:eastAsia="zh-TW"/>
              </w:rPr>
              <w:t>.</w:t>
            </w:r>
          </w:p>
        </w:tc>
        <w:tc>
          <w:tcPr>
            <w:tcW w:w="3691" w:type="dxa"/>
            <w:shd w:val="clear" w:color="auto" w:fill="auto"/>
            <w:vAlign w:val="center"/>
          </w:tcPr>
          <w:p w14:paraId="2B3B9AD1" w14:textId="77777777" w:rsidR="003F1E3D" w:rsidRPr="00B230A3" w:rsidRDefault="003F1E3D" w:rsidP="002B6A1B">
            <w:pPr>
              <w:autoSpaceDE w:val="0"/>
              <w:autoSpaceDN w:val="0"/>
              <w:adjustRightInd w:val="0"/>
              <w:ind w:left="75" w:right="80"/>
              <w:rPr>
                <w:bCs/>
                <w:sz w:val="20"/>
                <w:szCs w:val="20"/>
              </w:rPr>
            </w:pPr>
            <w:r w:rsidRPr="00B230A3">
              <w:rPr>
                <w:bCs/>
                <w:sz w:val="20"/>
                <w:szCs w:val="20"/>
              </w:rPr>
              <w:t xml:space="preserve">Twenty vehicle inspection and maintenance systems were operating in Lima and Callao, 7 in Arequipa and 4 in La Libertad. </w:t>
            </w:r>
          </w:p>
          <w:p w14:paraId="28AF0CFC" w14:textId="77777777" w:rsidR="003F1E3D" w:rsidRPr="00B230A3" w:rsidRDefault="003F1E3D" w:rsidP="002B6A1B">
            <w:pPr>
              <w:autoSpaceDE w:val="0"/>
              <w:autoSpaceDN w:val="0"/>
              <w:adjustRightInd w:val="0"/>
              <w:ind w:left="75" w:right="80"/>
              <w:rPr>
                <w:bCs/>
                <w:sz w:val="20"/>
                <w:szCs w:val="20"/>
              </w:rPr>
            </w:pPr>
            <w:r w:rsidRPr="00B230A3">
              <w:rPr>
                <w:bCs/>
                <w:sz w:val="20"/>
                <w:szCs w:val="20"/>
              </w:rPr>
              <w:t>More than 1,000,000 vehicles inspected in Lima and Callao in 2015. Another 47,688 vehicles were inspected in Arequipa and 29,263 in La Libertad in 2012.</w:t>
            </w:r>
          </w:p>
        </w:tc>
      </w:tr>
      <w:tr w:rsidR="003F1E3D" w:rsidRPr="00B230A3" w14:paraId="469FC302" w14:textId="77777777" w:rsidTr="002B6A1B">
        <w:tc>
          <w:tcPr>
            <w:tcW w:w="13495" w:type="dxa"/>
            <w:gridSpan w:val="4"/>
            <w:shd w:val="clear" w:color="auto" w:fill="auto"/>
            <w:vAlign w:val="center"/>
          </w:tcPr>
          <w:p w14:paraId="1BEBF842" w14:textId="77777777" w:rsidR="003F1E3D" w:rsidRPr="00B230A3" w:rsidRDefault="003F1E3D" w:rsidP="002B6A1B">
            <w:pPr>
              <w:keepNext/>
              <w:ind w:left="75" w:right="80"/>
              <w:rPr>
                <w:bCs/>
                <w:sz w:val="20"/>
                <w:szCs w:val="20"/>
              </w:rPr>
            </w:pPr>
            <w:r w:rsidRPr="00B230A3">
              <w:rPr>
                <w:b/>
                <w:bCs/>
                <w:sz w:val="20"/>
                <w:szCs w:val="20"/>
              </w:rPr>
              <w:t xml:space="preserve">PDO Indicator 10: </w:t>
            </w:r>
            <w:r w:rsidRPr="00B230A3">
              <w:rPr>
                <w:bCs/>
                <w:sz w:val="20"/>
                <w:szCs w:val="20"/>
              </w:rPr>
              <w:t xml:space="preserve">Percentage of </w:t>
            </w:r>
            <w:r w:rsidRPr="00B230A3">
              <w:rPr>
                <w:bCs/>
                <w:i/>
                <w:sz w:val="20"/>
                <w:szCs w:val="20"/>
              </w:rPr>
              <w:t>anchoveta</w:t>
            </w:r>
            <w:r w:rsidRPr="00B230A3">
              <w:rPr>
                <w:bCs/>
                <w:sz w:val="20"/>
                <w:szCs w:val="20"/>
              </w:rPr>
              <w:t xml:space="preserve"> fleet under the quota system</w:t>
            </w:r>
          </w:p>
        </w:tc>
      </w:tr>
      <w:tr w:rsidR="003F1E3D" w:rsidRPr="00B230A3" w14:paraId="69FDF34A" w14:textId="77777777" w:rsidTr="002B6A1B">
        <w:trPr>
          <w:trHeight w:val="828"/>
        </w:trPr>
        <w:tc>
          <w:tcPr>
            <w:tcW w:w="2955" w:type="dxa"/>
            <w:shd w:val="clear" w:color="auto" w:fill="auto"/>
            <w:vAlign w:val="center"/>
          </w:tcPr>
          <w:p w14:paraId="7A09050E"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 xml:space="preserve">100% of the </w:t>
            </w:r>
            <w:r w:rsidRPr="00B230A3">
              <w:rPr>
                <w:rFonts w:ascii="Times New Roman" w:hAnsi="Times New Roman" w:cs="Times New Roman"/>
                <w:bCs/>
                <w:i/>
                <w:sz w:val="20"/>
                <w:szCs w:val="20"/>
              </w:rPr>
              <w:t>anchoveta</w:t>
            </w:r>
            <w:r w:rsidRPr="00B230A3">
              <w:rPr>
                <w:rFonts w:ascii="Times New Roman" w:hAnsi="Times New Roman" w:cs="Times New Roman"/>
                <w:bCs/>
                <w:sz w:val="20"/>
                <w:szCs w:val="20"/>
              </w:rPr>
              <w:t xml:space="preserve"> fleet under the quota system</w:t>
            </w:r>
          </w:p>
        </w:tc>
        <w:tc>
          <w:tcPr>
            <w:tcW w:w="3428" w:type="dxa"/>
            <w:shd w:val="clear" w:color="auto" w:fill="auto"/>
            <w:vAlign w:val="center"/>
          </w:tcPr>
          <w:p w14:paraId="4713E86A" w14:textId="6C8765B0" w:rsidR="003F1E3D" w:rsidRPr="00B230A3" w:rsidRDefault="003F1E3D" w:rsidP="002B6A1B">
            <w:pPr>
              <w:keepNext/>
              <w:ind w:left="75" w:right="80"/>
              <w:rPr>
                <w:bCs/>
                <w:sz w:val="20"/>
                <w:szCs w:val="20"/>
              </w:rPr>
            </w:pPr>
            <w:r w:rsidRPr="00B230A3">
              <w:rPr>
                <w:bCs/>
                <w:sz w:val="20"/>
                <w:szCs w:val="20"/>
              </w:rPr>
              <w:t xml:space="preserve">100% of the </w:t>
            </w:r>
            <w:r w:rsidRPr="00B230A3">
              <w:rPr>
                <w:bCs/>
                <w:i/>
                <w:sz w:val="20"/>
                <w:szCs w:val="20"/>
              </w:rPr>
              <w:t xml:space="preserve">anchoveta </w:t>
            </w:r>
            <w:r w:rsidRPr="00B230A3">
              <w:rPr>
                <w:bCs/>
                <w:sz w:val="20"/>
                <w:szCs w:val="20"/>
              </w:rPr>
              <w:t>fleet (</w:t>
            </w:r>
            <w:r w:rsidR="004A6C00">
              <w:rPr>
                <w:bCs/>
                <w:sz w:val="20"/>
                <w:szCs w:val="20"/>
              </w:rPr>
              <w:t>1,004</w:t>
            </w:r>
            <w:r w:rsidRPr="00B230A3">
              <w:rPr>
                <w:bCs/>
                <w:sz w:val="20"/>
                <w:szCs w:val="20"/>
              </w:rPr>
              <w:t xml:space="preserve"> vessels) regulated by the quota system</w:t>
            </w:r>
          </w:p>
        </w:tc>
        <w:tc>
          <w:tcPr>
            <w:tcW w:w="3421" w:type="dxa"/>
            <w:shd w:val="clear" w:color="auto" w:fill="auto"/>
            <w:vAlign w:val="center"/>
          </w:tcPr>
          <w:p w14:paraId="61C80DF0" w14:textId="317CDD09" w:rsidR="003F1E3D" w:rsidRPr="00B230A3" w:rsidRDefault="003F1E3D" w:rsidP="002B6A1B">
            <w:pPr>
              <w:keepNext/>
              <w:ind w:left="75" w:right="80"/>
              <w:rPr>
                <w:bCs/>
                <w:sz w:val="20"/>
                <w:szCs w:val="20"/>
              </w:rPr>
            </w:pPr>
            <w:r w:rsidRPr="00B230A3">
              <w:rPr>
                <w:bCs/>
                <w:sz w:val="20"/>
                <w:szCs w:val="20"/>
              </w:rPr>
              <w:t xml:space="preserve">100% of the </w:t>
            </w:r>
            <w:r w:rsidRPr="00B230A3">
              <w:rPr>
                <w:bCs/>
                <w:i/>
                <w:sz w:val="20"/>
                <w:szCs w:val="20"/>
              </w:rPr>
              <w:t xml:space="preserve">anchoveta </w:t>
            </w:r>
            <w:r w:rsidRPr="00B230A3">
              <w:rPr>
                <w:bCs/>
                <w:sz w:val="20"/>
                <w:szCs w:val="20"/>
              </w:rPr>
              <w:t>fleet (</w:t>
            </w:r>
            <w:r w:rsidR="004A6C00">
              <w:rPr>
                <w:bCs/>
                <w:sz w:val="20"/>
                <w:szCs w:val="20"/>
              </w:rPr>
              <w:t>1,001</w:t>
            </w:r>
            <w:r w:rsidRPr="00B230A3">
              <w:rPr>
                <w:bCs/>
                <w:sz w:val="20"/>
                <w:szCs w:val="20"/>
              </w:rPr>
              <w:t xml:space="preserve"> vessels) regulated by the quota system</w:t>
            </w:r>
          </w:p>
        </w:tc>
        <w:tc>
          <w:tcPr>
            <w:tcW w:w="3691" w:type="dxa"/>
            <w:shd w:val="clear" w:color="auto" w:fill="auto"/>
            <w:vAlign w:val="center"/>
          </w:tcPr>
          <w:p w14:paraId="65B19DC1" w14:textId="77777777" w:rsidR="003F1E3D" w:rsidRPr="00B230A3" w:rsidRDefault="003F1E3D" w:rsidP="002B6A1B">
            <w:pPr>
              <w:keepNext/>
              <w:ind w:left="75" w:right="80"/>
              <w:rPr>
                <w:bCs/>
                <w:sz w:val="20"/>
                <w:szCs w:val="20"/>
              </w:rPr>
            </w:pPr>
            <w:r w:rsidRPr="00B230A3">
              <w:rPr>
                <w:bCs/>
                <w:sz w:val="20"/>
                <w:szCs w:val="20"/>
              </w:rPr>
              <w:t xml:space="preserve">100% of the </w:t>
            </w:r>
            <w:r w:rsidRPr="00B230A3">
              <w:rPr>
                <w:bCs/>
                <w:i/>
                <w:sz w:val="20"/>
                <w:szCs w:val="20"/>
              </w:rPr>
              <w:t xml:space="preserve">anchoveta </w:t>
            </w:r>
            <w:r w:rsidRPr="00B230A3">
              <w:rPr>
                <w:bCs/>
                <w:sz w:val="20"/>
                <w:szCs w:val="20"/>
              </w:rPr>
              <w:t>fleet (900 vessels) regulated by the quota system</w:t>
            </w:r>
          </w:p>
        </w:tc>
      </w:tr>
      <w:tr w:rsidR="003F1E3D" w:rsidRPr="00B230A3" w14:paraId="0758CB6D" w14:textId="77777777" w:rsidTr="002B6A1B">
        <w:tc>
          <w:tcPr>
            <w:tcW w:w="13495" w:type="dxa"/>
            <w:gridSpan w:val="4"/>
            <w:shd w:val="clear" w:color="auto" w:fill="auto"/>
            <w:vAlign w:val="center"/>
          </w:tcPr>
          <w:p w14:paraId="4E6B5997" w14:textId="77777777" w:rsidR="003F1E3D" w:rsidRPr="00B230A3" w:rsidRDefault="003F1E3D" w:rsidP="002B6A1B">
            <w:pPr>
              <w:keepNext/>
              <w:ind w:left="75" w:right="80"/>
              <w:rPr>
                <w:bCs/>
                <w:sz w:val="20"/>
                <w:szCs w:val="20"/>
              </w:rPr>
            </w:pPr>
            <w:r w:rsidRPr="00B230A3">
              <w:rPr>
                <w:b/>
                <w:bCs/>
                <w:sz w:val="20"/>
                <w:szCs w:val="20"/>
              </w:rPr>
              <w:t xml:space="preserve">PDO Indicator 11: </w:t>
            </w:r>
            <w:r w:rsidRPr="00B230A3">
              <w:rPr>
                <w:bCs/>
                <w:sz w:val="20"/>
                <w:szCs w:val="20"/>
              </w:rPr>
              <w:t>Number of workers that benefit from economic incentives for leaving the sector</w:t>
            </w:r>
          </w:p>
        </w:tc>
      </w:tr>
      <w:tr w:rsidR="003F1E3D" w:rsidRPr="00B230A3" w14:paraId="641B27D3" w14:textId="77777777" w:rsidTr="002B6A1B">
        <w:trPr>
          <w:trHeight w:val="844"/>
        </w:trPr>
        <w:tc>
          <w:tcPr>
            <w:tcW w:w="2955" w:type="dxa"/>
            <w:shd w:val="clear" w:color="auto" w:fill="auto"/>
            <w:vAlign w:val="center"/>
          </w:tcPr>
          <w:p w14:paraId="7480D8B4" w14:textId="77777777" w:rsidR="003F1E3D" w:rsidRPr="00B230A3" w:rsidRDefault="003F1E3D" w:rsidP="002B6A1B">
            <w:pPr>
              <w:pStyle w:val="Default"/>
              <w:ind w:left="75" w:right="80"/>
              <w:rPr>
                <w:rFonts w:ascii="Times New Roman" w:hAnsi="Times New Roman" w:cs="Times New Roman"/>
                <w:bCs/>
                <w:sz w:val="20"/>
                <w:szCs w:val="20"/>
              </w:rPr>
            </w:pPr>
            <w:r w:rsidRPr="00B230A3">
              <w:rPr>
                <w:rFonts w:ascii="Times New Roman" w:hAnsi="Times New Roman" w:cs="Times New Roman"/>
                <w:bCs/>
                <w:sz w:val="20"/>
                <w:szCs w:val="20"/>
              </w:rPr>
              <w:t>At least 3,000 workers benefit from economic incentives for leaving the sector.</w:t>
            </w:r>
          </w:p>
        </w:tc>
        <w:tc>
          <w:tcPr>
            <w:tcW w:w="3428" w:type="dxa"/>
            <w:shd w:val="clear" w:color="auto" w:fill="auto"/>
            <w:vAlign w:val="center"/>
          </w:tcPr>
          <w:p w14:paraId="0E0675DE" w14:textId="7EE9BA4F" w:rsidR="003F1E3D" w:rsidRPr="00B230A3" w:rsidRDefault="00B230A3" w:rsidP="002B6A1B">
            <w:pPr>
              <w:autoSpaceDE w:val="0"/>
              <w:autoSpaceDN w:val="0"/>
              <w:adjustRightInd w:val="0"/>
              <w:ind w:left="75" w:right="80"/>
              <w:rPr>
                <w:bCs/>
                <w:sz w:val="20"/>
                <w:szCs w:val="20"/>
              </w:rPr>
            </w:pPr>
            <w:r w:rsidRPr="00B230A3">
              <w:rPr>
                <w:bCs/>
                <w:sz w:val="20"/>
                <w:szCs w:val="20"/>
              </w:rPr>
              <w:t>2,126 workers benefited from economic incentives for leaving the sector</w:t>
            </w:r>
          </w:p>
        </w:tc>
        <w:tc>
          <w:tcPr>
            <w:tcW w:w="3421" w:type="dxa"/>
            <w:shd w:val="clear" w:color="auto" w:fill="auto"/>
            <w:vAlign w:val="center"/>
          </w:tcPr>
          <w:p w14:paraId="28E47E85" w14:textId="7F6F9311" w:rsidR="003F1E3D" w:rsidRPr="00B230A3" w:rsidRDefault="00B230A3" w:rsidP="002B6A1B">
            <w:pPr>
              <w:autoSpaceDE w:val="0"/>
              <w:autoSpaceDN w:val="0"/>
              <w:adjustRightInd w:val="0"/>
              <w:ind w:left="75" w:right="80"/>
              <w:rPr>
                <w:bCs/>
                <w:sz w:val="20"/>
                <w:szCs w:val="20"/>
              </w:rPr>
            </w:pPr>
            <w:r w:rsidRPr="00B230A3">
              <w:rPr>
                <w:bCs/>
                <w:sz w:val="20"/>
                <w:szCs w:val="20"/>
              </w:rPr>
              <w:t>2,283 workers benefited from the economic incentives for voluntarily leaving the fisheries sector provided by FONCOPES</w:t>
            </w:r>
          </w:p>
        </w:tc>
        <w:tc>
          <w:tcPr>
            <w:tcW w:w="3691" w:type="dxa"/>
            <w:shd w:val="clear" w:color="auto" w:fill="auto"/>
            <w:vAlign w:val="center"/>
          </w:tcPr>
          <w:p w14:paraId="21520F21" w14:textId="0F94A764" w:rsidR="003F1E3D" w:rsidRPr="00B230A3" w:rsidRDefault="003F1E3D" w:rsidP="002B6A1B">
            <w:pPr>
              <w:keepNext/>
              <w:ind w:left="75" w:right="80"/>
              <w:rPr>
                <w:bCs/>
                <w:sz w:val="20"/>
                <w:szCs w:val="20"/>
              </w:rPr>
            </w:pPr>
            <w:r w:rsidRPr="00B230A3">
              <w:rPr>
                <w:bCs/>
                <w:sz w:val="20"/>
                <w:szCs w:val="20"/>
              </w:rPr>
              <w:t xml:space="preserve">2,283 workers benefited from the economic incentives for voluntarily leaving the fisheries sector provided by </w:t>
            </w:r>
            <w:r w:rsidR="004B012D" w:rsidRPr="00B230A3">
              <w:rPr>
                <w:bCs/>
                <w:sz w:val="20"/>
                <w:szCs w:val="20"/>
              </w:rPr>
              <w:t>FONCOPES</w:t>
            </w:r>
          </w:p>
        </w:tc>
      </w:tr>
    </w:tbl>
    <w:p w14:paraId="0A63B384" w14:textId="77777777" w:rsidR="00543105" w:rsidRDefault="00CC6101">
      <w:pPr>
        <w:spacing w:after="160" w:line="259" w:lineRule="auto"/>
      </w:pPr>
      <w:r>
        <w:br w:type="page"/>
      </w:r>
    </w:p>
    <w:p w14:paraId="4B726C02" w14:textId="39C30A02" w:rsidR="00CC6101" w:rsidRDefault="00CC6101">
      <w:pPr>
        <w:spacing w:after="160" w:line="259" w:lineRule="auto"/>
        <w:sectPr w:rsidR="00CC6101" w:rsidSect="00CC6101">
          <w:headerReference w:type="even" r:id="rId35"/>
          <w:headerReference w:type="default" r:id="rId36"/>
          <w:footerReference w:type="even" r:id="rId37"/>
          <w:footerReference w:type="default" r:id="rId38"/>
          <w:headerReference w:type="first" r:id="rId39"/>
          <w:footerReference w:type="first" r:id="rId40"/>
          <w:pgSz w:w="15840" w:h="12240" w:orient="landscape" w:code="1"/>
          <w:pgMar w:top="1440" w:right="1440" w:bottom="1440" w:left="1440" w:header="720" w:footer="720" w:gutter="0"/>
          <w:cols w:space="720"/>
          <w:docGrid w:linePitch="360"/>
        </w:sectPr>
      </w:pPr>
    </w:p>
    <w:p w14:paraId="068727DE" w14:textId="4332ABC9" w:rsidR="007F7357" w:rsidRPr="003F00AF" w:rsidRDefault="00CC6101" w:rsidP="007F7357">
      <w:pPr>
        <w:pStyle w:val="Heading1"/>
        <w:keepNext/>
        <w:keepLines/>
        <w:spacing w:before="0" w:beforeAutospacing="0" w:after="240"/>
        <w:rPr>
          <w:sz w:val="24"/>
          <w:szCs w:val="24"/>
        </w:rPr>
      </w:pPr>
      <w:bookmarkStart w:id="173" w:name="_Toc463040022"/>
      <w:r>
        <w:rPr>
          <w:sz w:val="24"/>
          <w:szCs w:val="24"/>
        </w:rPr>
        <w:t xml:space="preserve">Annex 4. </w:t>
      </w:r>
      <w:r w:rsidR="007F7357" w:rsidRPr="003F00AF">
        <w:rPr>
          <w:sz w:val="24"/>
          <w:szCs w:val="24"/>
        </w:rPr>
        <w:t>Milestones in Environmental Policy and Institutions (2008</w:t>
      </w:r>
      <w:r w:rsidR="00A45C1C">
        <w:rPr>
          <w:sz w:val="24"/>
          <w:szCs w:val="24"/>
        </w:rPr>
        <w:t>-2014</w:t>
      </w:r>
      <w:r w:rsidR="007F7357" w:rsidRPr="003F00AF">
        <w:rPr>
          <w:sz w:val="24"/>
          <w:szCs w:val="24"/>
        </w:rPr>
        <w:t>)</w:t>
      </w:r>
      <w:bookmarkEnd w:id="173"/>
    </w:p>
    <w:tbl>
      <w:tblPr>
        <w:tblStyle w:val="TableGrid"/>
        <w:tblW w:w="0" w:type="auto"/>
        <w:jc w:val="center"/>
        <w:tblLook w:val="04A0" w:firstRow="1" w:lastRow="0" w:firstColumn="1" w:lastColumn="0" w:noHBand="0" w:noVBand="1"/>
      </w:tblPr>
      <w:tblGrid>
        <w:gridCol w:w="647"/>
        <w:gridCol w:w="8703"/>
      </w:tblGrid>
      <w:tr w:rsidR="007F7357" w:rsidRPr="003F00AF" w14:paraId="24D0111E" w14:textId="77777777" w:rsidTr="00B24896">
        <w:trPr>
          <w:jc w:val="center"/>
        </w:trPr>
        <w:tc>
          <w:tcPr>
            <w:tcW w:w="647" w:type="dxa"/>
            <w:vAlign w:val="center"/>
          </w:tcPr>
          <w:p w14:paraId="0A111D22" w14:textId="77777777" w:rsidR="007F7357" w:rsidRPr="003F00AF" w:rsidRDefault="007F7357" w:rsidP="0062621C">
            <w:pPr>
              <w:jc w:val="center"/>
              <w:rPr>
                <w:b/>
                <w:sz w:val="20"/>
              </w:rPr>
            </w:pPr>
            <w:r w:rsidRPr="003F00AF">
              <w:rPr>
                <w:b/>
                <w:sz w:val="20"/>
                <w:szCs w:val="18"/>
              </w:rPr>
              <w:t>2008</w:t>
            </w:r>
          </w:p>
        </w:tc>
        <w:tc>
          <w:tcPr>
            <w:tcW w:w="8703" w:type="dxa"/>
            <w:vAlign w:val="center"/>
          </w:tcPr>
          <w:p w14:paraId="4D975EA4" w14:textId="5771339B"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 xml:space="preserve">Creation of MINAM. </w:t>
            </w:r>
            <w:r w:rsidRPr="003F00AF">
              <w:rPr>
                <w:i/>
                <w:iCs/>
                <w:sz w:val="20"/>
                <w:szCs w:val="18"/>
              </w:rPr>
              <w:t xml:space="preserve">Legislative Decree </w:t>
            </w:r>
            <w:r w:rsidRPr="003F00AF">
              <w:rPr>
                <w:sz w:val="20"/>
                <w:szCs w:val="18"/>
              </w:rPr>
              <w:t>No. 1013</w:t>
            </w:r>
          </w:p>
          <w:p w14:paraId="4316A9BF" w14:textId="73CFD20A"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Creation of OEFA</w:t>
            </w:r>
          </w:p>
          <w:p w14:paraId="577ADB01" w14:textId="676B3419"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Creation of the SERNANP. Before the creation of MINAM, these fell under the jurisdiction of the Ministry of Agriculture through INRENA.</w:t>
            </w:r>
          </w:p>
          <w:p w14:paraId="1F308E4E" w14:textId="265DBD8E"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the ECAs for water</w:t>
            </w:r>
          </w:p>
        </w:tc>
      </w:tr>
      <w:tr w:rsidR="007F7357" w:rsidRPr="003F00AF" w14:paraId="4E60DD98" w14:textId="77777777" w:rsidTr="00B24896">
        <w:trPr>
          <w:jc w:val="center"/>
        </w:trPr>
        <w:tc>
          <w:tcPr>
            <w:tcW w:w="647" w:type="dxa"/>
            <w:vAlign w:val="center"/>
          </w:tcPr>
          <w:p w14:paraId="5D2D6A03" w14:textId="77777777" w:rsidR="007F7357" w:rsidRPr="003F00AF" w:rsidRDefault="007F7357" w:rsidP="0062621C">
            <w:pPr>
              <w:jc w:val="center"/>
              <w:rPr>
                <w:b/>
                <w:sz w:val="20"/>
              </w:rPr>
            </w:pPr>
            <w:r w:rsidRPr="003F00AF">
              <w:rPr>
                <w:b/>
                <w:sz w:val="20"/>
                <w:szCs w:val="18"/>
              </w:rPr>
              <w:t>2009</w:t>
            </w:r>
          </w:p>
        </w:tc>
        <w:tc>
          <w:tcPr>
            <w:tcW w:w="8703" w:type="dxa"/>
            <w:vAlign w:val="center"/>
          </w:tcPr>
          <w:p w14:paraId="3248E52F" w14:textId="7777777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Approval of the agenda for scientific research on climate change</w:t>
            </w:r>
          </w:p>
          <w:p w14:paraId="318D0BB9" w14:textId="7777777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Approval of the National Environmental Policy</w:t>
            </w:r>
          </w:p>
          <w:p w14:paraId="0B079546" w14:textId="2CDEA558"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The Master Plan for NPAs (</w:t>
            </w:r>
            <w:r w:rsidRPr="003F00AF">
              <w:rPr>
                <w:i/>
                <w:iCs/>
                <w:sz w:val="20"/>
                <w:szCs w:val="18"/>
              </w:rPr>
              <w:t>Plan Director de Áreas Naturales Protegidas</w:t>
            </w:r>
            <w:r w:rsidRPr="003F00AF">
              <w:rPr>
                <w:sz w:val="20"/>
                <w:szCs w:val="18"/>
              </w:rPr>
              <w:t>) is adopted</w:t>
            </w:r>
          </w:p>
          <w:p w14:paraId="3CF64279" w14:textId="07DD9CDE"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Law No. 29325 National System of Environmental Assessment and Oversight</w:t>
            </w:r>
          </w:p>
        </w:tc>
      </w:tr>
      <w:tr w:rsidR="007F7357" w:rsidRPr="003F00AF" w14:paraId="02F811CE" w14:textId="77777777" w:rsidTr="00B24896">
        <w:trPr>
          <w:jc w:val="center"/>
        </w:trPr>
        <w:tc>
          <w:tcPr>
            <w:tcW w:w="647" w:type="dxa"/>
            <w:vAlign w:val="center"/>
          </w:tcPr>
          <w:p w14:paraId="7521EE8D" w14:textId="77777777" w:rsidR="007F7357" w:rsidRPr="003F00AF" w:rsidRDefault="007F7357" w:rsidP="0062621C">
            <w:pPr>
              <w:jc w:val="center"/>
              <w:rPr>
                <w:b/>
                <w:sz w:val="20"/>
              </w:rPr>
            </w:pPr>
            <w:r w:rsidRPr="003F00AF">
              <w:rPr>
                <w:b/>
                <w:sz w:val="20"/>
                <w:szCs w:val="18"/>
                <w:lang w:val="es-BO"/>
              </w:rPr>
              <w:t>2010</w:t>
            </w:r>
          </w:p>
        </w:tc>
        <w:tc>
          <w:tcPr>
            <w:tcW w:w="8703" w:type="dxa"/>
            <w:vAlign w:val="center"/>
          </w:tcPr>
          <w:p w14:paraId="31C98B5D" w14:textId="5BD7ADB7" w:rsidR="007F7357" w:rsidRPr="003F00AF" w:rsidRDefault="007F7357" w:rsidP="0062621C">
            <w:pPr>
              <w:pStyle w:val="ListParagraph"/>
              <w:numPr>
                <w:ilvl w:val="0"/>
                <w:numId w:val="10"/>
              </w:numPr>
              <w:autoSpaceDE w:val="0"/>
              <w:autoSpaceDN w:val="0"/>
              <w:adjustRightInd w:val="0"/>
              <w:ind w:left="162" w:hanging="180"/>
              <w:contextualSpacing/>
              <w:rPr>
                <w:sz w:val="20"/>
                <w:szCs w:val="18"/>
                <w:lang w:val="es-BO"/>
              </w:rPr>
            </w:pPr>
            <w:r w:rsidRPr="003F00AF">
              <w:rPr>
                <w:sz w:val="20"/>
                <w:szCs w:val="18"/>
                <w:lang w:val="es-CO"/>
              </w:rPr>
              <w:t>Action Plan for Climate Change Adaptation and Mitigation</w:t>
            </w:r>
            <w:r w:rsidRPr="003F00AF">
              <w:rPr>
                <w:sz w:val="20"/>
                <w:szCs w:val="18"/>
                <w:lang w:val="es-BO"/>
              </w:rPr>
              <w:t xml:space="preserve"> (</w:t>
            </w:r>
            <w:r w:rsidRPr="003F00AF">
              <w:rPr>
                <w:i/>
                <w:iCs/>
                <w:sz w:val="20"/>
                <w:szCs w:val="18"/>
                <w:lang w:val="es-BO"/>
              </w:rPr>
              <w:t>Plan de Acción de Adaptación y Mitigación frente al cambio climático</w:t>
            </w:r>
            <w:r w:rsidRPr="003F00AF">
              <w:rPr>
                <w:sz w:val="20"/>
                <w:szCs w:val="18"/>
                <w:lang w:val="es-BO"/>
              </w:rPr>
              <w:t>)</w:t>
            </w:r>
          </w:p>
          <w:p w14:paraId="1BF4373E" w14:textId="42D8BBED"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Second national communication on climate change</w:t>
            </w:r>
          </w:p>
        </w:tc>
      </w:tr>
      <w:tr w:rsidR="007F7357" w:rsidRPr="003F00AF" w14:paraId="498EBFD3" w14:textId="77777777" w:rsidTr="00B24896">
        <w:trPr>
          <w:jc w:val="center"/>
        </w:trPr>
        <w:tc>
          <w:tcPr>
            <w:tcW w:w="647" w:type="dxa"/>
            <w:vAlign w:val="center"/>
          </w:tcPr>
          <w:p w14:paraId="01CFBBDE" w14:textId="77777777" w:rsidR="007F7357" w:rsidRPr="003F00AF" w:rsidRDefault="007F7357" w:rsidP="0062621C">
            <w:pPr>
              <w:jc w:val="center"/>
              <w:rPr>
                <w:b/>
                <w:sz w:val="20"/>
              </w:rPr>
            </w:pPr>
            <w:r w:rsidRPr="003F00AF">
              <w:rPr>
                <w:b/>
                <w:sz w:val="20"/>
                <w:szCs w:val="18"/>
              </w:rPr>
              <w:t>2011</w:t>
            </w:r>
          </w:p>
        </w:tc>
        <w:tc>
          <w:tcPr>
            <w:tcW w:w="8703" w:type="dxa"/>
            <w:vAlign w:val="center"/>
          </w:tcPr>
          <w:p w14:paraId="1966F7B0" w14:textId="0FAE448C"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National Environmental Action Plan, 2011–21 (PLANAA)</w:t>
            </w:r>
          </w:p>
          <w:p w14:paraId="1E38E2B7" w14:textId="2B887358"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Law No. 29763 on Forestry and Wildlife</w:t>
            </w:r>
          </w:p>
          <w:p w14:paraId="075E5926" w14:textId="3E37754F"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Creation of the National System for Disaster Risk Management (</w:t>
            </w:r>
            <w:r w:rsidRPr="003F00AF">
              <w:rPr>
                <w:i/>
                <w:iCs/>
                <w:sz w:val="20"/>
                <w:szCs w:val="18"/>
              </w:rPr>
              <w:t>Sistema Nacional de Gestión del Riesgo de Desastres</w:t>
            </w:r>
            <w:r w:rsidRPr="003F00AF">
              <w:rPr>
                <w:sz w:val="20"/>
                <w:szCs w:val="18"/>
              </w:rPr>
              <w:t>). Law No. 29664.</w:t>
            </w:r>
          </w:p>
        </w:tc>
      </w:tr>
      <w:tr w:rsidR="007F7357" w:rsidRPr="003F00AF" w14:paraId="19CAA0BD" w14:textId="77777777" w:rsidTr="00B24896">
        <w:trPr>
          <w:jc w:val="center"/>
        </w:trPr>
        <w:tc>
          <w:tcPr>
            <w:tcW w:w="647" w:type="dxa"/>
            <w:vAlign w:val="center"/>
          </w:tcPr>
          <w:p w14:paraId="0461E443" w14:textId="77777777" w:rsidR="007F7357" w:rsidRPr="003F00AF" w:rsidRDefault="007F7357" w:rsidP="0062621C">
            <w:pPr>
              <w:jc w:val="center"/>
              <w:rPr>
                <w:b/>
                <w:sz w:val="20"/>
              </w:rPr>
            </w:pPr>
            <w:r w:rsidRPr="003F00AF">
              <w:rPr>
                <w:b/>
                <w:sz w:val="20"/>
                <w:szCs w:val="18"/>
              </w:rPr>
              <w:t>2012</w:t>
            </w:r>
          </w:p>
        </w:tc>
        <w:tc>
          <w:tcPr>
            <w:tcW w:w="8703" w:type="dxa"/>
            <w:vAlign w:val="center"/>
          </w:tcPr>
          <w:p w14:paraId="3A7E9351" w14:textId="3992541D"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the Strategic Pillars of Environmental Management approved by the Council of Ministers, on the basis of the Report of the Multisectoral Commission created by S</w:t>
            </w:r>
            <w:r w:rsidR="00266C85" w:rsidRPr="003F00AF">
              <w:rPr>
                <w:sz w:val="20"/>
                <w:szCs w:val="18"/>
              </w:rPr>
              <w:t>upreme Resolution</w:t>
            </w:r>
            <w:r w:rsidRPr="003F00AF">
              <w:rPr>
                <w:sz w:val="20"/>
                <w:szCs w:val="18"/>
              </w:rPr>
              <w:t xml:space="preserve"> No. 189-2012-PCM and responsible for preparing regulatory and policy proposals to improve the environmental and social conditions in which economic activities, especially those of the extractive industries, are performed.</w:t>
            </w:r>
          </w:p>
          <w:p w14:paraId="24E64E03" w14:textId="597E08CA"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Creation of SENACE</w:t>
            </w:r>
          </w:p>
          <w:p w14:paraId="324B9CC9" w14:textId="7777777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the National Policy on Environmental Education</w:t>
            </w:r>
          </w:p>
        </w:tc>
      </w:tr>
      <w:tr w:rsidR="007F7357" w:rsidRPr="003F00AF" w14:paraId="1D7AD628" w14:textId="77777777" w:rsidTr="00B24896">
        <w:trPr>
          <w:jc w:val="center"/>
        </w:trPr>
        <w:tc>
          <w:tcPr>
            <w:tcW w:w="647" w:type="dxa"/>
            <w:vAlign w:val="center"/>
          </w:tcPr>
          <w:p w14:paraId="0D8544B6" w14:textId="77777777" w:rsidR="007F7357" w:rsidRPr="003F00AF" w:rsidRDefault="007F7357" w:rsidP="0062621C">
            <w:pPr>
              <w:jc w:val="center"/>
              <w:rPr>
                <w:b/>
                <w:sz w:val="20"/>
              </w:rPr>
            </w:pPr>
            <w:r w:rsidRPr="003F00AF">
              <w:rPr>
                <w:b/>
                <w:sz w:val="20"/>
                <w:szCs w:val="18"/>
              </w:rPr>
              <w:t>2013</w:t>
            </w:r>
          </w:p>
        </w:tc>
        <w:tc>
          <w:tcPr>
            <w:tcW w:w="8703" w:type="dxa"/>
            <w:vAlign w:val="center"/>
          </w:tcPr>
          <w:p w14:paraId="4CA9A99F" w14:textId="2B7445FE"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the 2013–16 Multiyear Sectoral Strategic Plan (</w:t>
            </w:r>
            <w:r w:rsidRPr="003F00AF">
              <w:rPr>
                <w:i/>
                <w:iCs/>
                <w:sz w:val="20"/>
                <w:szCs w:val="18"/>
              </w:rPr>
              <w:t>Plan Estratégico Sectorial Multianual</w:t>
            </w:r>
            <w:r w:rsidRPr="003F00AF">
              <w:rPr>
                <w:sz w:val="20"/>
                <w:szCs w:val="18"/>
              </w:rPr>
              <w:t>, PESEM) for the environmental sector</w:t>
            </w:r>
          </w:p>
          <w:p w14:paraId="23DD18BF" w14:textId="7777777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formalization rules and prohibition of illegal mining</w:t>
            </w:r>
          </w:p>
          <w:p w14:paraId="740B2502" w14:textId="7777777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regulations governing the 10-year ban on the import and production of genetically modified organisms</w:t>
            </w:r>
          </w:p>
          <w:p w14:paraId="6A97C4D2" w14:textId="7777777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regulations for management and handling of waste electrical and electronic devices</w:t>
            </w:r>
          </w:p>
          <w:p w14:paraId="5B66994F" w14:textId="26ADF6D8"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National Environmental Action Agenda 2013–14</w:t>
            </w:r>
          </w:p>
          <w:p w14:paraId="0A14508E" w14:textId="1CAAEF9D"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Adoption of the first ECAs for soils</w:t>
            </w:r>
          </w:p>
          <w:p w14:paraId="48631DCB" w14:textId="64B70857" w:rsidR="007F7357" w:rsidRPr="003F00AF" w:rsidRDefault="007F7357" w:rsidP="0062621C">
            <w:pPr>
              <w:pStyle w:val="ListParagraph"/>
              <w:numPr>
                <w:ilvl w:val="0"/>
                <w:numId w:val="10"/>
              </w:numPr>
              <w:autoSpaceDE w:val="0"/>
              <w:autoSpaceDN w:val="0"/>
              <w:adjustRightInd w:val="0"/>
              <w:ind w:left="162" w:hanging="180"/>
              <w:contextualSpacing/>
              <w:rPr>
                <w:sz w:val="20"/>
                <w:szCs w:val="18"/>
              </w:rPr>
            </w:pPr>
            <w:r w:rsidRPr="003F00AF">
              <w:rPr>
                <w:sz w:val="20"/>
                <w:szCs w:val="18"/>
              </w:rPr>
              <w:t>Law No. 30215 on the mechanisms of payment for ecosystem services</w:t>
            </w:r>
          </w:p>
        </w:tc>
      </w:tr>
    </w:tbl>
    <w:p w14:paraId="4BE8184F" w14:textId="77777777" w:rsidR="00B24896" w:rsidRDefault="00B24896" w:rsidP="0062467D">
      <w:pPr>
        <w:pStyle w:val="Heading1"/>
        <w:keepNext/>
        <w:keepLines/>
        <w:spacing w:before="0" w:beforeAutospacing="0" w:after="240"/>
        <w:rPr>
          <w:sz w:val="24"/>
          <w:szCs w:val="24"/>
        </w:rPr>
      </w:pPr>
    </w:p>
    <w:p w14:paraId="02C94BA6" w14:textId="444BDB80" w:rsidR="0062467D" w:rsidRPr="003F00AF" w:rsidRDefault="0062467D" w:rsidP="0062467D">
      <w:pPr>
        <w:pStyle w:val="Heading1"/>
        <w:keepNext/>
        <w:keepLines/>
        <w:spacing w:before="0" w:beforeAutospacing="0" w:after="240"/>
        <w:rPr>
          <w:sz w:val="24"/>
          <w:szCs w:val="24"/>
        </w:rPr>
      </w:pPr>
    </w:p>
    <w:p w14:paraId="2BDA16B9" w14:textId="474D99ED" w:rsidR="007F7357" w:rsidRDefault="007F7357" w:rsidP="00BD1764"/>
    <w:p w14:paraId="352FFC05" w14:textId="2D30A7D3" w:rsidR="0062467D" w:rsidRDefault="00B24896" w:rsidP="00FC132D">
      <w:pPr>
        <w:pStyle w:val="Heading1"/>
        <w:keepNext/>
        <w:keepLines/>
        <w:spacing w:before="0" w:beforeAutospacing="0" w:after="240"/>
        <w:rPr>
          <w:sz w:val="24"/>
          <w:szCs w:val="24"/>
        </w:rPr>
      </w:pPr>
      <w:bookmarkStart w:id="174" w:name="_Toc463040023"/>
      <w:r w:rsidRPr="003F00AF">
        <w:rPr>
          <w:sz w:val="24"/>
          <w:szCs w:val="24"/>
        </w:rPr>
        <w:t xml:space="preserve">Annex </w:t>
      </w:r>
      <w:r>
        <w:rPr>
          <w:sz w:val="24"/>
          <w:szCs w:val="24"/>
        </w:rPr>
        <w:t>5</w:t>
      </w:r>
      <w:r w:rsidRPr="003F00AF">
        <w:rPr>
          <w:sz w:val="24"/>
          <w:szCs w:val="24"/>
        </w:rPr>
        <w:t xml:space="preserve">. </w:t>
      </w:r>
      <w:r>
        <w:rPr>
          <w:sz w:val="24"/>
          <w:szCs w:val="24"/>
        </w:rPr>
        <w:t>MAP</w:t>
      </w:r>
      <w:bookmarkEnd w:id="174"/>
    </w:p>
    <w:p w14:paraId="67174545" w14:textId="55F5A3F8" w:rsidR="0062467D" w:rsidRDefault="00B24896" w:rsidP="005D2AA4">
      <w:r>
        <w:rPr>
          <w:noProof/>
          <w:lang w:eastAsia="en-US"/>
        </w:rPr>
        <w:drawing>
          <wp:inline distT="0" distB="0" distL="0" distR="0" wp14:anchorId="299922A1" wp14:editId="143FC2B8">
            <wp:extent cx="5578306" cy="76481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 of Peru_clear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1168" cy="7652044"/>
                    </a:xfrm>
                    <a:prstGeom prst="rect">
                      <a:avLst/>
                    </a:prstGeom>
                  </pic:spPr>
                </pic:pic>
              </a:graphicData>
            </a:graphic>
          </wp:inline>
        </w:drawing>
      </w:r>
    </w:p>
    <w:sectPr w:rsidR="0062467D" w:rsidSect="007F735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DD0BA" w14:textId="77777777" w:rsidR="005D2AA4" w:rsidRDefault="005D2AA4" w:rsidP="00FB6643">
      <w:r>
        <w:separator/>
      </w:r>
    </w:p>
  </w:endnote>
  <w:endnote w:type="continuationSeparator" w:id="0">
    <w:p w14:paraId="6A81563C" w14:textId="77777777" w:rsidR="005D2AA4" w:rsidRDefault="005D2AA4" w:rsidP="00FB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QETX O+ Rockwell Std">
    <w:altName w:val="SQETX O+ Rockwell Std"/>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AFE66" w14:textId="77777777" w:rsidR="005D2AA4" w:rsidRDefault="005D2A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079429"/>
      <w:docPartObj>
        <w:docPartGallery w:val="Page Numbers (Bottom of Page)"/>
        <w:docPartUnique/>
      </w:docPartObj>
    </w:sdtPr>
    <w:sdtEndPr>
      <w:rPr>
        <w:noProof/>
      </w:rPr>
    </w:sdtEndPr>
    <w:sdtContent>
      <w:p w14:paraId="7724B924" w14:textId="77777777" w:rsidR="005D2AA4" w:rsidRPr="00950B7B" w:rsidRDefault="005D2AA4">
        <w:pPr>
          <w:pStyle w:val="Footer"/>
          <w:jc w:val="center"/>
        </w:pPr>
        <w:r w:rsidRPr="00950B7B">
          <w:fldChar w:fldCharType="begin"/>
        </w:r>
        <w:r w:rsidRPr="00950B7B">
          <w:instrText xml:space="preserve"> PAGE   \* MERGEFORMAT </w:instrText>
        </w:r>
        <w:r w:rsidRPr="00950B7B">
          <w:fldChar w:fldCharType="separate"/>
        </w:r>
        <w:r w:rsidR="000017B0">
          <w:rPr>
            <w:noProof/>
          </w:rPr>
          <w:t>x</w:t>
        </w:r>
        <w:r w:rsidRPr="00950B7B">
          <w:rPr>
            <w:noProof/>
          </w:rPr>
          <w:fldChar w:fldCharType="end"/>
        </w:r>
      </w:p>
    </w:sdtContent>
  </w:sdt>
  <w:p w14:paraId="56DFA4B2" w14:textId="77777777" w:rsidR="005D2AA4" w:rsidRDefault="005D2AA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C748F" w14:textId="77777777" w:rsidR="005D2AA4" w:rsidRDefault="005D2A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673975"/>
      <w:docPartObj>
        <w:docPartGallery w:val="Page Numbers (Bottom of Page)"/>
        <w:docPartUnique/>
      </w:docPartObj>
    </w:sdtPr>
    <w:sdtEndPr>
      <w:rPr>
        <w:noProof/>
      </w:rPr>
    </w:sdtEndPr>
    <w:sdtContent>
      <w:p w14:paraId="666FB6E9" w14:textId="77777777" w:rsidR="005D2AA4" w:rsidRDefault="005D2AA4">
        <w:pPr>
          <w:pStyle w:val="Footer"/>
          <w:jc w:val="center"/>
        </w:pPr>
        <w:r>
          <w:fldChar w:fldCharType="begin"/>
        </w:r>
        <w:r>
          <w:instrText xml:space="preserve"> PAGE   \* MERGEFORMAT </w:instrText>
        </w:r>
        <w:r>
          <w:fldChar w:fldCharType="separate"/>
        </w:r>
        <w:r w:rsidR="000017B0">
          <w:rPr>
            <w:noProof/>
          </w:rPr>
          <w:t>6</w:t>
        </w:r>
        <w:r>
          <w:rPr>
            <w:noProof/>
          </w:rPr>
          <w:fldChar w:fldCharType="end"/>
        </w:r>
      </w:p>
    </w:sdtContent>
  </w:sdt>
  <w:p w14:paraId="66C907B9" w14:textId="77777777" w:rsidR="005D2AA4" w:rsidRDefault="005D2A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3852" w14:textId="77777777" w:rsidR="005D2AA4" w:rsidRDefault="005D2A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42E5" w14:textId="77777777" w:rsidR="005D2AA4" w:rsidRDefault="005D2A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760450"/>
      <w:docPartObj>
        <w:docPartGallery w:val="Page Numbers (Bottom of Page)"/>
        <w:docPartUnique/>
      </w:docPartObj>
    </w:sdtPr>
    <w:sdtEndPr>
      <w:rPr>
        <w:noProof/>
      </w:rPr>
    </w:sdtEndPr>
    <w:sdtContent>
      <w:p w14:paraId="53E13619" w14:textId="509B775D" w:rsidR="005D2AA4" w:rsidRDefault="005D2AA4">
        <w:pPr>
          <w:pStyle w:val="Footer"/>
          <w:jc w:val="center"/>
        </w:pPr>
        <w:r>
          <w:fldChar w:fldCharType="begin"/>
        </w:r>
        <w:r>
          <w:instrText xml:space="preserve"> PAGE   \* MERGEFORMAT </w:instrText>
        </w:r>
        <w:r>
          <w:fldChar w:fldCharType="separate"/>
        </w:r>
        <w:r w:rsidR="000017B0">
          <w:rPr>
            <w:noProof/>
          </w:rPr>
          <w:t>53</w:t>
        </w:r>
        <w:r>
          <w:rPr>
            <w:noProof/>
          </w:rPr>
          <w:fldChar w:fldCharType="end"/>
        </w:r>
      </w:p>
    </w:sdtContent>
  </w:sdt>
  <w:p w14:paraId="417E5068" w14:textId="77777777" w:rsidR="005D2AA4" w:rsidRDefault="005D2AA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539D5" w14:textId="77777777" w:rsidR="005D2AA4" w:rsidRDefault="005D2A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8BBB9" w14:textId="77777777" w:rsidR="005D2AA4" w:rsidRDefault="005D2AA4" w:rsidP="00FB6643">
      <w:r>
        <w:separator/>
      </w:r>
    </w:p>
  </w:footnote>
  <w:footnote w:type="continuationSeparator" w:id="0">
    <w:p w14:paraId="4E39CFB3" w14:textId="77777777" w:rsidR="005D2AA4" w:rsidRDefault="005D2AA4" w:rsidP="00FB6643">
      <w:r>
        <w:continuationSeparator/>
      </w:r>
    </w:p>
  </w:footnote>
  <w:footnote w:id="1">
    <w:p w14:paraId="25DA9425" w14:textId="7F2EA661"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Annex 3 includes detailed information to the status of the PDO indicators throughout the programmatic series.</w:t>
      </w:r>
    </w:p>
  </w:footnote>
  <w:footnote w:id="2">
    <w:p w14:paraId="686D0058" w14:textId="7F52DEC4"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Approval documents do not specify some baseline value dates. In those cases, the ICR team considered the approval date of ENVDPL I (i.e. August 30, 2008) as the baseline value date for the PDO indicators.</w:t>
      </w:r>
    </w:p>
  </w:footnote>
  <w:footnote w:id="3">
    <w:p w14:paraId="06E431EA" w14:textId="1DA0B97B" w:rsidR="005D2AA4" w:rsidRPr="00287990" w:rsidRDefault="005D2AA4" w:rsidP="004257CF">
      <w:pPr>
        <w:pStyle w:val="Default"/>
        <w:rPr>
          <w:rFonts w:ascii="Times New Roman" w:hAnsi="Times New Roman" w:cs="Times New Roman"/>
          <w:color w:val="auto"/>
          <w:sz w:val="20"/>
          <w:szCs w:val="20"/>
          <w:lang w:eastAsia="ja-JP"/>
        </w:rPr>
      </w:pPr>
      <w:r w:rsidRPr="00287990">
        <w:rPr>
          <w:rStyle w:val="FootnoteReference"/>
          <w:rFonts w:ascii="Times New Roman" w:hAnsi="Times New Roman"/>
          <w:sz w:val="20"/>
          <w:szCs w:val="20"/>
        </w:rPr>
        <w:footnoteRef/>
      </w:r>
      <w:r w:rsidRPr="00287990">
        <w:rPr>
          <w:rFonts w:ascii="Times New Roman" w:hAnsi="Times New Roman" w:cs="Times New Roman"/>
          <w:sz w:val="20"/>
          <w:szCs w:val="20"/>
        </w:rPr>
        <w:t xml:space="preserve"> Approval documents do not specify the date when some target values were expected to be achieved. In those cases, </w:t>
      </w:r>
      <w:r w:rsidRPr="00287990">
        <w:rPr>
          <w:rFonts w:ascii="Times New Roman" w:hAnsi="Times New Roman" w:cs="Times New Roman"/>
          <w:color w:val="auto"/>
          <w:sz w:val="20"/>
          <w:szCs w:val="20"/>
          <w:lang w:eastAsia="ja-JP"/>
        </w:rPr>
        <w:t>the ICR team considered the target date as the original closing date of the ENVDPLs, scheduled for December 31, 2013.</w:t>
      </w:r>
    </w:p>
  </w:footnote>
  <w:footnote w:id="4">
    <w:p w14:paraId="0F9BB4D4" w14:textId="6E0550B7"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For instance, MINAM’s predecessor (that is, CONAM) had an operating budget of close to US$3 million in 2006 while El Salvador, a country significantly smaller in size and in economic terms, allocated US$5.3 million to its Ministry of Environment.</w:t>
      </w:r>
    </w:p>
  </w:footnote>
  <w:footnote w:id="5">
    <w:p w14:paraId="7EE04BB2" w14:textId="77777777" w:rsidR="005D2AA4" w:rsidRPr="00287990" w:rsidRDefault="005D2AA4" w:rsidP="004257CF">
      <w:pPr>
        <w:autoSpaceDE w:val="0"/>
        <w:autoSpaceDN w:val="0"/>
        <w:adjustRightInd w:val="0"/>
        <w:rPr>
          <w:sz w:val="20"/>
          <w:szCs w:val="20"/>
        </w:rPr>
      </w:pPr>
      <w:r w:rsidRPr="00287990">
        <w:rPr>
          <w:rStyle w:val="FootnoteReference"/>
          <w:sz w:val="20"/>
          <w:szCs w:val="20"/>
        </w:rPr>
        <w:footnoteRef/>
      </w:r>
      <w:r w:rsidRPr="00287990">
        <w:rPr>
          <w:sz w:val="20"/>
          <w:szCs w:val="20"/>
        </w:rPr>
        <w:t xml:space="preserve"> The analytical work included the following studies and reports: Country Environmental Analysis; Environmental and Social Dimensions of the Mining Sector in Peru; Wealth and Sustainability: The Environmental and Social Dimensions of the Mining Sector in Peru; </w:t>
      </w:r>
      <w:r w:rsidRPr="00287990">
        <w:rPr>
          <w:i/>
          <w:sz w:val="20"/>
          <w:szCs w:val="20"/>
        </w:rPr>
        <w:t>La Industria Anchovetera Peruana: Costos y Beneficios: Un Análisis de su Evolución Reciente y de los Retos para el Futuro</w:t>
      </w:r>
      <w:r w:rsidRPr="00287990">
        <w:rPr>
          <w:sz w:val="20"/>
          <w:szCs w:val="20"/>
        </w:rPr>
        <w:t xml:space="preserve"> (which examined the industry’s economic condition and estimated</w:t>
      </w:r>
    </w:p>
    <w:p w14:paraId="7DC4DCCD" w14:textId="77777777" w:rsidR="005D2AA4" w:rsidRPr="00287990" w:rsidRDefault="005D2AA4" w:rsidP="004257CF">
      <w:pPr>
        <w:autoSpaceDE w:val="0"/>
        <w:autoSpaceDN w:val="0"/>
        <w:adjustRightInd w:val="0"/>
        <w:rPr>
          <w:sz w:val="20"/>
          <w:szCs w:val="20"/>
          <w:lang w:val="es-CO"/>
        </w:rPr>
      </w:pPr>
      <w:r w:rsidRPr="00287990">
        <w:rPr>
          <w:sz w:val="20"/>
          <w:szCs w:val="20"/>
          <w:lang w:val="es-CO"/>
        </w:rPr>
        <w:t xml:space="preserve">benefits from capacity reduction), and </w:t>
      </w:r>
      <w:r w:rsidRPr="00287990">
        <w:rPr>
          <w:i/>
          <w:sz w:val="20"/>
          <w:szCs w:val="20"/>
          <w:lang w:val="es-CO"/>
        </w:rPr>
        <w:t>Estudio de línea de base sobre la repercusión social de la reforma de la flota pesquera de anchoveta en el Perú</w:t>
      </w:r>
      <w:r w:rsidRPr="00287990">
        <w:rPr>
          <w:rFonts w:eastAsiaTheme="minorEastAsia"/>
          <w:sz w:val="20"/>
          <w:szCs w:val="20"/>
          <w:lang w:val="es-CO"/>
        </w:rPr>
        <w:t xml:space="preserve"> </w:t>
      </w:r>
      <w:r w:rsidRPr="00287990">
        <w:rPr>
          <w:sz w:val="20"/>
          <w:szCs w:val="20"/>
          <w:lang w:val="es-CO"/>
        </w:rPr>
        <w:t>(which analyzed employment and other social impacts relating to fleet reduction).</w:t>
      </w:r>
    </w:p>
  </w:footnote>
  <w:footnote w:id="6">
    <w:p w14:paraId="6374E87A" w14:textId="0845C063" w:rsidR="005D2AA4" w:rsidRPr="00287990" w:rsidRDefault="005D2AA4" w:rsidP="004257CF">
      <w:pPr>
        <w:rPr>
          <w:sz w:val="20"/>
          <w:szCs w:val="20"/>
        </w:rPr>
      </w:pPr>
      <w:r w:rsidRPr="00287990">
        <w:rPr>
          <w:rStyle w:val="FootnoteReference"/>
          <w:sz w:val="20"/>
          <w:szCs w:val="20"/>
        </w:rPr>
        <w:footnoteRef/>
      </w:r>
      <w:r w:rsidRPr="00287990">
        <w:rPr>
          <w:sz w:val="20"/>
          <w:szCs w:val="20"/>
        </w:rPr>
        <w:t xml:space="preserve"> Issues</w:t>
      </w:r>
      <w:r w:rsidRPr="00287990">
        <w:rPr>
          <w:spacing w:val="22"/>
          <w:sz w:val="20"/>
          <w:szCs w:val="20"/>
        </w:rPr>
        <w:t xml:space="preserve"> </w:t>
      </w:r>
      <w:r w:rsidRPr="00287990">
        <w:rPr>
          <w:sz w:val="20"/>
          <w:szCs w:val="20"/>
        </w:rPr>
        <w:t>such</w:t>
      </w:r>
      <w:r w:rsidRPr="00287990">
        <w:rPr>
          <w:spacing w:val="25"/>
          <w:sz w:val="20"/>
          <w:szCs w:val="20"/>
        </w:rPr>
        <w:t xml:space="preserve"> </w:t>
      </w:r>
      <w:r w:rsidRPr="00287990">
        <w:rPr>
          <w:sz w:val="20"/>
          <w:szCs w:val="20"/>
        </w:rPr>
        <w:t>as</w:t>
      </w:r>
      <w:r w:rsidRPr="00287990">
        <w:rPr>
          <w:spacing w:val="12"/>
          <w:sz w:val="20"/>
          <w:szCs w:val="20"/>
        </w:rPr>
        <w:t xml:space="preserve"> </w:t>
      </w:r>
      <w:r w:rsidRPr="00287990">
        <w:rPr>
          <w:sz w:val="20"/>
          <w:szCs w:val="20"/>
        </w:rPr>
        <w:t>water</w:t>
      </w:r>
      <w:r w:rsidRPr="00287990">
        <w:rPr>
          <w:spacing w:val="21"/>
          <w:sz w:val="20"/>
          <w:szCs w:val="20"/>
        </w:rPr>
        <w:t xml:space="preserve"> </w:t>
      </w:r>
      <w:r w:rsidRPr="00287990">
        <w:rPr>
          <w:sz w:val="20"/>
          <w:szCs w:val="20"/>
        </w:rPr>
        <w:t>resource</w:t>
      </w:r>
      <w:r w:rsidRPr="00287990">
        <w:rPr>
          <w:spacing w:val="29"/>
          <w:sz w:val="20"/>
          <w:szCs w:val="20"/>
        </w:rPr>
        <w:t xml:space="preserve"> </w:t>
      </w:r>
      <w:r w:rsidRPr="00287990">
        <w:rPr>
          <w:sz w:val="20"/>
          <w:szCs w:val="20"/>
        </w:rPr>
        <w:t>management</w:t>
      </w:r>
      <w:r w:rsidRPr="00287990">
        <w:rPr>
          <w:spacing w:val="38"/>
          <w:sz w:val="20"/>
          <w:szCs w:val="20"/>
        </w:rPr>
        <w:t xml:space="preserve"> </w:t>
      </w:r>
      <w:r w:rsidRPr="00287990">
        <w:rPr>
          <w:sz w:val="20"/>
          <w:szCs w:val="20"/>
        </w:rPr>
        <w:t>(identified</w:t>
      </w:r>
      <w:r w:rsidRPr="00287990">
        <w:rPr>
          <w:spacing w:val="38"/>
          <w:sz w:val="20"/>
          <w:szCs w:val="20"/>
        </w:rPr>
        <w:t xml:space="preserve"> </w:t>
      </w:r>
      <w:r w:rsidRPr="00287990">
        <w:rPr>
          <w:sz w:val="20"/>
          <w:szCs w:val="20"/>
        </w:rPr>
        <w:t>as</w:t>
      </w:r>
      <w:r w:rsidRPr="00287990">
        <w:rPr>
          <w:spacing w:val="12"/>
          <w:sz w:val="20"/>
          <w:szCs w:val="20"/>
        </w:rPr>
        <w:t xml:space="preserve"> </w:t>
      </w:r>
      <w:r w:rsidRPr="00287990">
        <w:rPr>
          <w:sz w:val="20"/>
          <w:szCs w:val="20"/>
        </w:rPr>
        <w:t>critical</w:t>
      </w:r>
      <w:r w:rsidRPr="00287990">
        <w:rPr>
          <w:spacing w:val="34"/>
          <w:sz w:val="20"/>
          <w:szCs w:val="20"/>
        </w:rPr>
        <w:t xml:space="preserve"> </w:t>
      </w:r>
      <w:r w:rsidRPr="00287990">
        <w:rPr>
          <w:sz w:val="20"/>
          <w:szCs w:val="20"/>
        </w:rPr>
        <w:t>in</w:t>
      </w:r>
      <w:r w:rsidRPr="00287990">
        <w:rPr>
          <w:spacing w:val="20"/>
          <w:sz w:val="20"/>
          <w:szCs w:val="20"/>
        </w:rPr>
        <w:t xml:space="preserve"> </w:t>
      </w:r>
      <w:r w:rsidRPr="00287990">
        <w:rPr>
          <w:sz w:val="20"/>
          <w:szCs w:val="20"/>
        </w:rPr>
        <w:t>the</w:t>
      </w:r>
      <w:r w:rsidRPr="00287990">
        <w:rPr>
          <w:spacing w:val="21"/>
          <w:sz w:val="20"/>
          <w:szCs w:val="20"/>
        </w:rPr>
        <w:t xml:space="preserve"> </w:t>
      </w:r>
      <w:r w:rsidRPr="00287990">
        <w:rPr>
          <w:sz w:val="20"/>
          <w:szCs w:val="20"/>
        </w:rPr>
        <w:t>Peru</w:t>
      </w:r>
      <w:r w:rsidRPr="00287990">
        <w:rPr>
          <w:spacing w:val="28"/>
          <w:sz w:val="20"/>
          <w:szCs w:val="20"/>
        </w:rPr>
        <w:t xml:space="preserve"> </w:t>
      </w:r>
      <w:r w:rsidRPr="00287990">
        <w:rPr>
          <w:sz w:val="20"/>
          <w:szCs w:val="20"/>
        </w:rPr>
        <w:t>CEA)</w:t>
      </w:r>
      <w:r w:rsidRPr="00287990">
        <w:rPr>
          <w:spacing w:val="15"/>
          <w:sz w:val="20"/>
          <w:szCs w:val="20"/>
        </w:rPr>
        <w:t xml:space="preserve"> </w:t>
      </w:r>
      <w:r w:rsidRPr="00287990">
        <w:rPr>
          <w:sz w:val="20"/>
          <w:szCs w:val="20"/>
        </w:rPr>
        <w:t>were</w:t>
      </w:r>
      <w:r w:rsidRPr="00287990">
        <w:rPr>
          <w:spacing w:val="14"/>
          <w:sz w:val="20"/>
          <w:szCs w:val="20"/>
        </w:rPr>
        <w:t xml:space="preserve"> </w:t>
      </w:r>
      <w:r w:rsidRPr="00287990">
        <w:rPr>
          <w:sz w:val="20"/>
          <w:szCs w:val="20"/>
        </w:rPr>
        <w:t>not</w:t>
      </w:r>
      <w:r w:rsidRPr="00287990">
        <w:rPr>
          <w:spacing w:val="27"/>
          <w:sz w:val="20"/>
          <w:szCs w:val="20"/>
        </w:rPr>
        <w:t xml:space="preserve"> </w:t>
      </w:r>
      <w:r w:rsidRPr="00287990">
        <w:rPr>
          <w:sz w:val="20"/>
          <w:szCs w:val="20"/>
        </w:rPr>
        <w:t>included</w:t>
      </w:r>
      <w:r w:rsidRPr="00287990">
        <w:rPr>
          <w:spacing w:val="41"/>
          <w:sz w:val="20"/>
          <w:szCs w:val="20"/>
        </w:rPr>
        <w:t xml:space="preserve"> </w:t>
      </w:r>
      <w:r w:rsidRPr="00287990">
        <w:rPr>
          <w:sz w:val="20"/>
          <w:szCs w:val="20"/>
        </w:rPr>
        <w:t>in</w:t>
      </w:r>
      <w:r w:rsidRPr="00287990">
        <w:rPr>
          <w:spacing w:val="26"/>
          <w:sz w:val="20"/>
          <w:szCs w:val="20"/>
        </w:rPr>
        <w:t xml:space="preserve"> </w:t>
      </w:r>
      <w:r w:rsidRPr="00287990">
        <w:rPr>
          <w:sz w:val="20"/>
          <w:szCs w:val="20"/>
        </w:rPr>
        <w:t>the</w:t>
      </w:r>
      <w:r w:rsidRPr="00287990">
        <w:rPr>
          <w:spacing w:val="20"/>
          <w:sz w:val="20"/>
          <w:szCs w:val="20"/>
        </w:rPr>
        <w:t xml:space="preserve"> </w:t>
      </w:r>
      <w:r w:rsidRPr="00287990">
        <w:rPr>
          <w:sz w:val="20"/>
          <w:szCs w:val="20"/>
        </w:rPr>
        <w:t>proposed</w:t>
      </w:r>
      <w:r w:rsidRPr="00287990">
        <w:rPr>
          <w:w w:val="102"/>
          <w:sz w:val="20"/>
          <w:szCs w:val="20"/>
        </w:rPr>
        <w:t xml:space="preserve"> </w:t>
      </w:r>
      <w:r w:rsidRPr="00287990">
        <w:rPr>
          <w:sz w:val="20"/>
          <w:szCs w:val="20"/>
        </w:rPr>
        <w:t>ENVDPLs</w:t>
      </w:r>
      <w:r w:rsidRPr="00287990">
        <w:rPr>
          <w:spacing w:val="26"/>
          <w:sz w:val="20"/>
          <w:szCs w:val="20"/>
        </w:rPr>
        <w:t xml:space="preserve"> </w:t>
      </w:r>
      <w:r w:rsidRPr="00287990">
        <w:rPr>
          <w:sz w:val="20"/>
          <w:szCs w:val="20"/>
        </w:rPr>
        <w:t>because</w:t>
      </w:r>
      <w:r w:rsidRPr="00287990">
        <w:rPr>
          <w:spacing w:val="13"/>
          <w:sz w:val="20"/>
          <w:szCs w:val="20"/>
        </w:rPr>
        <w:t xml:space="preserve"> </w:t>
      </w:r>
      <w:r w:rsidRPr="00287990">
        <w:rPr>
          <w:sz w:val="20"/>
          <w:szCs w:val="20"/>
        </w:rPr>
        <w:t>they</w:t>
      </w:r>
      <w:r w:rsidRPr="00287990">
        <w:rPr>
          <w:spacing w:val="25"/>
          <w:sz w:val="20"/>
          <w:szCs w:val="20"/>
        </w:rPr>
        <w:t xml:space="preserve"> </w:t>
      </w:r>
      <w:r w:rsidRPr="00287990">
        <w:rPr>
          <w:sz w:val="20"/>
          <w:szCs w:val="20"/>
        </w:rPr>
        <w:t>were</w:t>
      </w:r>
      <w:r w:rsidRPr="00287990">
        <w:rPr>
          <w:spacing w:val="15"/>
          <w:sz w:val="20"/>
          <w:szCs w:val="20"/>
        </w:rPr>
        <w:t xml:space="preserve"> </w:t>
      </w:r>
      <w:r w:rsidRPr="00287990">
        <w:rPr>
          <w:sz w:val="20"/>
          <w:szCs w:val="20"/>
        </w:rPr>
        <w:t>already</w:t>
      </w:r>
      <w:r w:rsidRPr="00287990">
        <w:rPr>
          <w:spacing w:val="25"/>
          <w:sz w:val="20"/>
          <w:szCs w:val="20"/>
        </w:rPr>
        <w:t xml:space="preserve"> </w:t>
      </w:r>
      <w:r w:rsidRPr="00287990">
        <w:rPr>
          <w:sz w:val="20"/>
          <w:szCs w:val="20"/>
        </w:rPr>
        <w:t>being</w:t>
      </w:r>
      <w:r w:rsidRPr="00287990">
        <w:rPr>
          <w:spacing w:val="30"/>
          <w:sz w:val="20"/>
          <w:szCs w:val="20"/>
        </w:rPr>
        <w:t xml:space="preserve"> </w:t>
      </w:r>
      <w:r w:rsidRPr="00287990">
        <w:rPr>
          <w:sz w:val="20"/>
          <w:szCs w:val="20"/>
        </w:rPr>
        <w:t>addressed</w:t>
      </w:r>
      <w:r w:rsidRPr="00287990">
        <w:rPr>
          <w:spacing w:val="32"/>
          <w:sz w:val="20"/>
          <w:szCs w:val="20"/>
        </w:rPr>
        <w:t xml:space="preserve"> </w:t>
      </w:r>
      <w:r w:rsidRPr="00287990">
        <w:rPr>
          <w:sz w:val="20"/>
          <w:szCs w:val="20"/>
        </w:rPr>
        <w:t>by</w:t>
      </w:r>
      <w:r w:rsidRPr="00287990">
        <w:rPr>
          <w:spacing w:val="19"/>
          <w:sz w:val="20"/>
          <w:szCs w:val="20"/>
        </w:rPr>
        <w:t xml:space="preserve"> </w:t>
      </w:r>
      <w:r w:rsidRPr="00287990">
        <w:rPr>
          <w:sz w:val="20"/>
          <w:szCs w:val="20"/>
        </w:rPr>
        <w:t>two</w:t>
      </w:r>
      <w:r w:rsidRPr="00287990">
        <w:rPr>
          <w:spacing w:val="26"/>
          <w:sz w:val="20"/>
          <w:szCs w:val="20"/>
        </w:rPr>
        <w:t xml:space="preserve"> </w:t>
      </w:r>
      <w:r w:rsidRPr="00287990">
        <w:rPr>
          <w:sz w:val="20"/>
          <w:szCs w:val="20"/>
        </w:rPr>
        <w:t>separate loans financed by the Inter-American Development Bank, as well as a technical assistance loan from the World</w:t>
      </w:r>
      <w:r w:rsidRPr="00287990">
        <w:rPr>
          <w:spacing w:val="35"/>
          <w:sz w:val="20"/>
          <w:szCs w:val="20"/>
        </w:rPr>
        <w:t xml:space="preserve"> </w:t>
      </w:r>
      <w:r w:rsidRPr="00287990">
        <w:rPr>
          <w:sz w:val="20"/>
          <w:szCs w:val="20"/>
        </w:rPr>
        <w:t>Bank that was under preparation at the time. Similarly, the forest</w:t>
      </w:r>
      <w:r w:rsidRPr="00287990">
        <w:rPr>
          <w:spacing w:val="17"/>
          <w:sz w:val="20"/>
          <w:szCs w:val="20"/>
        </w:rPr>
        <w:t xml:space="preserve"> </w:t>
      </w:r>
      <w:r w:rsidRPr="00287990">
        <w:rPr>
          <w:sz w:val="20"/>
          <w:szCs w:val="20"/>
        </w:rPr>
        <w:t>policy</w:t>
      </w:r>
      <w:r w:rsidRPr="00287990">
        <w:rPr>
          <w:spacing w:val="36"/>
          <w:sz w:val="20"/>
          <w:szCs w:val="20"/>
        </w:rPr>
        <w:t xml:space="preserve"> </w:t>
      </w:r>
      <w:r w:rsidRPr="00287990">
        <w:rPr>
          <w:sz w:val="20"/>
          <w:szCs w:val="20"/>
        </w:rPr>
        <w:t>was</w:t>
      </w:r>
      <w:r w:rsidRPr="00287990">
        <w:rPr>
          <w:spacing w:val="7"/>
          <w:sz w:val="20"/>
          <w:szCs w:val="20"/>
        </w:rPr>
        <w:t xml:space="preserve"> </w:t>
      </w:r>
      <w:r w:rsidRPr="00287990">
        <w:rPr>
          <w:sz w:val="20"/>
          <w:szCs w:val="20"/>
        </w:rPr>
        <w:t>being</w:t>
      </w:r>
      <w:r w:rsidRPr="00287990">
        <w:rPr>
          <w:spacing w:val="28"/>
          <w:sz w:val="20"/>
          <w:szCs w:val="20"/>
        </w:rPr>
        <w:t xml:space="preserve"> </w:t>
      </w:r>
      <w:r w:rsidRPr="00287990">
        <w:rPr>
          <w:sz w:val="20"/>
          <w:szCs w:val="20"/>
        </w:rPr>
        <w:t>covered</w:t>
      </w:r>
      <w:r w:rsidRPr="00287990">
        <w:rPr>
          <w:spacing w:val="26"/>
          <w:sz w:val="20"/>
          <w:szCs w:val="20"/>
        </w:rPr>
        <w:t xml:space="preserve"> </w:t>
      </w:r>
      <w:r w:rsidRPr="00287990">
        <w:rPr>
          <w:sz w:val="20"/>
          <w:szCs w:val="20"/>
        </w:rPr>
        <w:t>within</w:t>
      </w:r>
      <w:r w:rsidRPr="00287990">
        <w:rPr>
          <w:spacing w:val="29"/>
          <w:sz w:val="20"/>
          <w:szCs w:val="20"/>
        </w:rPr>
        <w:t xml:space="preserve"> </w:t>
      </w:r>
      <w:r w:rsidRPr="00287990">
        <w:rPr>
          <w:sz w:val="20"/>
          <w:szCs w:val="20"/>
        </w:rPr>
        <w:t>the</w:t>
      </w:r>
      <w:r w:rsidRPr="00287990">
        <w:rPr>
          <w:spacing w:val="19"/>
          <w:sz w:val="20"/>
          <w:szCs w:val="20"/>
        </w:rPr>
        <w:t xml:space="preserve"> </w:t>
      </w:r>
      <w:r w:rsidRPr="00287990">
        <w:rPr>
          <w:sz w:val="20"/>
          <w:szCs w:val="20"/>
        </w:rPr>
        <w:t>framework</w:t>
      </w:r>
      <w:r w:rsidRPr="00287990">
        <w:rPr>
          <w:spacing w:val="36"/>
          <w:sz w:val="20"/>
          <w:szCs w:val="20"/>
        </w:rPr>
        <w:t xml:space="preserve"> </w:t>
      </w:r>
      <w:r w:rsidRPr="00287990">
        <w:rPr>
          <w:sz w:val="20"/>
          <w:szCs w:val="20"/>
        </w:rPr>
        <w:t>of the Free Trade Agreement and through a loan financed by the Latin American Development</w:t>
      </w:r>
      <w:r w:rsidRPr="00287990">
        <w:rPr>
          <w:w w:val="103"/>
          <w:sz w:val="20"/>
          <w:szCs w:val="20"/>
        </w:rPr>
        <w:t xml:space="preserve"> Bank (CAF)</w:t>
      </w:r>
      <w:r w:rsidRPr="00287990">
        <w:rPr>
          <w:sz w:val="20"/>
          <w:szCs w:val="20"/>
        </w:rPr>
        <w:t>.</w:t>
      </w:r>
    </w:p>
  </w:footnote>
  <w:footnote w:id="7">
    <w:p w14:paraId="574BB7A4" w14:textId="3604B621" w:rsidR="005D2AA4" w:rsidRPr="00287990" w:rsidRDefault="005D2AA4" w:rsidP="004257CF">
      <w:pPr>
        <w:autoSpaceDE w:val="0"/>
        <w:autoSpaceDN w:val="0"/>
        <w:adjustRightInd w:val="0"/>
        <w:rPr>
          <w:sz w:val="20"/>
          <w:szCs w:val="20"/>
        </w:rPr>
      </w:pPr>
      <w:r w:rsidRPr="00287990">
        <w:rPr>
          <w:rStyle w:val="FootnoteReference"/>
          <w:sz w:val="20"/>
          <w:szCs w:val="20"/>
        </w:rPr>
        <w:footnoteRef/>
      </w:r>
      <w:r w:rsidRPr="00287990">
        <w:rPr>
          <w:sz w:val="20"/>
          <w:szCs w:val="20"/>
        </w:rPr>
        <w:t xml:space="preserve"> This event took place in Iquitos on March 22 - 24, 2006. The event counted with the participation of more than 400 representatives from public entities, indigenous peoples, professional associations, academic centers, Non-Governmental Organizations and civil society, who engaged in an open dialogue about Peru’s most pressing environmental challenges (World Bank, 2007).</w:t>
      </w:r>
    </w:p>
  </w:footnote>
  <w:footnote w:id="8">
    <w:p w14:paraId="1E94E6FD" w14:textId="0D6BCE1E" w:rsidR="005D2AA4" w:rsidRPr="00287990" w:rsidRDefault="005D2AA4" w:rsidP="004257CF">
      <w:pPr>
        <w:autoSpaceDE w:val="0"/>
        <w:autoSpaceDN w:val="0"/>
        <w:adjustRightInd w:val="0"/>
        <w:rPr>
          <w:bCs/>
          <w:sz w:val="20"/>
          <w:szCs w:val="20"/>
        </w:rPr>
      </w:pPr>
      <w:r w:rsidRPr="00287990">
        <w:rPr>
          <w:rStyle w:val="FootnoteReference"/>
          <w:sz w:val="20"/>
          <w:szCs w:val="20"/>
        </w:rPr>
        <w:footnoteRef/>
      </w:r>
      <w:r w:rsidRPr="00287990">
        <w:rPr>
          <w:sz w:val="20"/>
          <w:szCs w:val="20"/>
        </w:rPr>
        <w:t xml:space="preserve"> </w:t>
      </w:r>
      <w:r w:rsidRPr="00287990">
        <w:rPr>
          <w:bCs/>
          <w:sz w:val="20"/>
          <w:szCs w:val="20"/>
        </w:rPr>
        <w:t>Environmental mining legacies are installations, effluents, emissions, remains or deposits of waste produced by mining operations, abandoned or inactive, that constitute a permanent and potential risk to human health, surrounding ecosystem and property (Law 28271/2004, Article 2).</w:t>
      </w:r>
    </w:p>
  </w:footnote>
  <w:footnote w:id="9">
    <w:p w14:paraId="5C0CC451" w14:textId="35AE62EA" w:rsidR="005D2AA4" w:rsidRPr="00287990" w:rsidRDefault="005D2AA4" w:rsidP="004257CF">
      <w:pPr>
        <w:rPr>
          <w:rFonts w:eastAsiaTheme="minorHAnsi"/>
          <w:color w:val="1F497D"/>
          <w:sz w:val="20"/>
          <w:szCs w:val="20"/>
          <w:lang w:eastAsia="en-US"/>
        </w:rPr>
      </w:pPr>
      <w:r w:rsidRPr="00287990">
        <w:rPr>
          <w:rStyle w:val="FootnoteReference"/>
          <w:sz w:val="20"/>
          <w:szCs w:val="20"/>
        </w:rPr>
        <w:footnoteRef/>
      </w:r>
      <w:r w:rsidRPr="00287990">
        <w:rPr>
          <w:sz w:val="20"/>
          <w:szCs w:val="20"/>
        </w:rPr>
        <w:t xml:space="preserve"> For example, MINAM publishes reports on the status of its strategic plan, operational plan, budget and other relvant information in its web</w:t>
      </w:r>
      <w:r w:rsidRPr="00287990">
        <w:rPr>
          <w:color w:val="000000" w:themeColor="text1"/>
          <w:sz w:val="20"/>
          <w:szCs w:val="20"/>
        </w:rPr>
        <w:t>site (</w:t>
      </w:r>
      <w:hyperlink r:id="rId1" w:history="1">
        <w:r w:rsidRPr="00287990">
          <w:rPr>
            <w:rStyle w:val="Hyperlink"/>
            <w:color w:val="000000" w:themeColor="text1"/>
            <w:sz w:val="20"/>
            <w:szCs w:val="20"/>
          </w:rPr>
          <w:t>http://www.minam.gob.pe/transparencia-/planeamiento-y-organizacion/</w:t>
        </w:r>
      </w:hyperlink>
      <w:r w:rsidRPr="00287990">
        <w:rPr>
          <w:color w:val="000000" w:themeColor="text1"/>
          <w:sz w:val="20"/>
          <w:szCs w:val="20"/>
        </w:rPr>
        <w:t>). SERNANP’s budget is publicly available in its webpage (</w:t>
      </w:r>
      <w:hyperlink r:id="rId2" w:history="1">
        <w:r w:rsidRPr="00287990">
          <w:rPr>
            <w:rStyle w:val="Hyperlink"/>
            <w:color w:val="000000" w:themeColor="text1"/>
            <w:sz w:val="20"/>
            <w:szCs w:val="20"/>
          </w:rPr>
          <w:t>http://www.sernanp.gob.pe/transparencia</w:t>
        </w:r>
      </w:hyperlink>
      <w:r w:rsidRPr="00287990">
        <w:rPr>
          <w:color w:val="000000" w:themeColor="text1"/>
          <w:sz w:val="20"/>
          <w:szCs w:val="20"/>
        </w:rPr>
        <w:t>). SENAMHI and DIGESA also disseminate air quality data collected by their monitoring systems (</w:t>
      </w:r>
      <w:hyperlink r:id="rId3" w:history="1">
        <w:r w:rsidRPr="00287990">
          <w:rPr>
            <w:rStyle w:val="Hyperlink"/>
            <w:color w:val="000000" w:themeColor="text1"/>
            <w:sz w:val="20"/>
            <w:szCs w:val="20"/>
          </w:rPr>
          <w:t>http://www.senamhi.gob.pe/?p=0410</w:t>
        </w:r>
      </w:hyperlink>
      <w:r w:rsidRPr="00287990">
        <w:rPr>
          <w:color w:val="000000" w:themeColor="text1"/>
          <w:sz w:val="20"/>
          <w:szCs w:val="20"/>
        </w:rPr>
        <w:t xml:space="preserve">; </w:t>
      </w:r>
      <w:hyperlink r:id="rId4" w:history="1">
        <w:r w:rsidRPr="00287990">
          <w:rPr>
            <w:rStyle w:val="Hyperlink"/>
            <w:color w:val="000000" w:themeColor="text1"/>
            <w:sz w:val="20"/>
            <w:szCs w:val="20"/>
          </w:rPr>
          <w:t>http://www.digesa.sld.pe/depa/aire_lc/lima_callao.asp</w:t>
        </w:r>
      </w:hyperlink>
      <w:r w:rsidRPr="00287990">
        <w:rPr>
          <w:color w:val="000000" w:themeColor="text1"/>
          <w:sz w:val="20"/>
          <w:szCs w:val="20"/>
        </w:rPr>
        <w:t>) The list of MELs is publicly available at MEM’s website  (</w:t>
      </w:r>
      <w:hyperlink r:id="rId5" w:history="1">
        <w:r w:rsidRPr="00287990">
          <w:rPr>
            <w:rStyle w:val="Hyperlink"/>
            <w:color w:val="000000" w:themeColor="text1"/>
            <w:sz w:val="20"/>
            <w:szCs w:val="20"/>
          </w:rPr>
          <w:t>http://www.minem.gob.pe/_detalle.php?idSector=1&amp;idTitular=5769&amp;idMenu=sub5768&amp;idCateg=961</w:t>
        </w:r>
      </w:hyperlink>
      <w:r w:rsidRPr="00287990">
        <w:rPr>
          <w:color w:val="000000" w:themeColor="text1"/>
          <w:sz w:val="20"/>
          <w:szCs w:val="20"/>
        </w:rPr>
        <w:t>). Also, the Supervision Agency of Energy and Mining Investments (</w:t>
      </w:r>
      <w:r w:rsidRPr="00287990">
        <w:rPr>
          <w:i/>
          <w:color w:val="000000" w:themeColor="text1"/>
          <w:sz w:val="20"/>
          <w:szCs w:val="20"/>
        </w:rPr>
        <w:t>Organismo Supervisor de la Inversión en Energía y Minería</w:t>
      </w:r>
      <w:r w:rsidRPr="00287990">
        <w:rPr>
          <w:color w:val="000000" w:themeColor="text1"/>
          <w:sz w:val="20"/>
          <w:szCs w:val="20"/>
        </w:rPr>
        <w:t>, OSINERGMIN) maintains a public registry of all gas stations supplying clean diesel and natural gas in Peru (</w:t>
      </w:r>
      <w:hyperlink r:id="rId6" w:history="1">
        <w:r w:rsidRPr="00287990">
          <w:rPr>
            <w:rStyle w:val="Hyperlink"/>
            <w:color w:val="000000" w:themeColor="text1"/>
            <w:sz w:val="20"/>
            <w:szCs w:val="20"/>
          </w:rPr>
          <w:t>http://www.osinergmin.gob.pe/empresas/hidrocarburos/Paginas/RegistroHidrocarburos/RegistrosHidrocarburos.htm</w:t>
        </w:r>
      </w:hyperlink>
      <w:r w:rsidRPr="00287990">
        <w:rPr>
          <w:color w:val="000000" w:themeColor="text1"/>
          <w:sz w:val="20"/>
          <w:szCs w:val="20"/>
        </w:rPr>
        <w:t>). OEFA’s website includes a search system for documents issued in the context of oversight activities (</w:t>
      </w:r>
      <w:r>
        <w:rPr>
          <w:color w:val="000000" w:themeColor="text1"/>
          <w:sz w:val="20"/>
          <w:szCs w:val="20"/>
        </w:rPr>
        <w:t xml:space="preserve">for example, </w:t>
      </w:r>
      <w:r w:rsidRPr="00287990">
        <w:rPr>
          <w:color w:val="000000" w:themeColor="text1"/>
          <w:sz w:val="20"/>
          <w:szCs w:val="20"/>
        </w:rPr>
        <w:t>administrative resolutions, decision on appeals, among other), as well as sectoral and annual reports summarizing OEFA’s activities and environmental performance of key sectors (</w:t>
      </w:r>
      <w:hyperlink r:id="rId7" w:history="1">
        <w:r w:rsidRPr="00287990">
          <w:rPr>
            <w:rStyle w:val="Hyperlink"/>
            <w:color w:val="000000" w:themeColor="text1"/>
            <w:sz w:val="20"/>
            <w:szCs w:val="20"/>
          </w:rPr>
          <w:t>https://www.oefa.gob.pe/raa-rina</w:t>
        </w:r>
      </w:hyperlink>
      <w:r w:rsidRPr="00287990">
        <w:rPr>
          <w:color w:val="000000" w:themeColor="text1"/>
          <w:sz w:val="20"/>
          <w:szCs w:val="20"/>
        </w:rPr>
        <w:t xml:space="preserve">; </w:t>
      </w:r>
      <w:hyperlink r:id="rId8" w:history="1">
        <w:r w:rsidRPr="00287990">
          <w:rPr>
            <w:rStyle w:val="Hyperlink"/>
            <w:color w:val="000000" w:themeColor="text1"/>
            <w:sz w:val="20"/>
            <w:szCs w:val="20"/>
          </w:rPr>
          <w:t>https://www.oefa.gob.pe/publicaciones</w:t>
        </w:r>
      </w:hyperlink>
      <w:r w:rsidRPr="00287990">
        <w:rPr>
          <w:color w:val="000000" w:themeColor="text1"/>
          <w:sz w:val="20"/>
          <w:szCs w:val="20"/>
        </w:rPr>
        <w:t xml:space="preserve">). PRODUCE regularly discloses the list of workers included in the rotation system of each </w:t>
      </w:r>
      <w:r w:rsidRPr="00287990">
        <w:rPr>
          <w:i/>
          <w:color w:val="000000" w:themeColor="text1"/>
          <w:sz w:val="20"/>
          <w:szCs w:val="20"/>
        </w:rPr>
        <w:t>anchoveta</w:t>
      </w:r>
      <w:r w:rsidRPr="00287990">
        <w:rPr>
          <w:color w:val="000000" w:themeColor="text1"/>
          <w:sz w:val="20"/>
          <w:szCs w:val="20"/>
        </w:rPr>
        <w:t xml:space="preserve"> fishing season (</w:t>
      </w:r>
      <w:hyperlink r:id="rId9" w:history="1">
        <w:r w:rsidRPr="00287990">
          <w:rPr>
            <w:color w:val="000000" w:themeColor="text1"/>
            <w:sz w:val="20"/>
            <w:szCs w:val="20"/>
          </w:rPr>
          <w:t>http://www.produce.gob.pe/index.php/dechi/decreto-legislativo-1084-lmce</w:t>
        </w:r>
      </w:hyperlink>
      <w:r w:rsidRPr="00287990">
        <w:rPr>
          <w:color w:val="000000" w:themeColor="text1"/>
          <w:sz w:val="20"/>
          <w:szCs w:val="20"/>
        </w:rPr>
        <w:t>), and FONCOPES publishes the list of beneficiaries and results of the program (</w:t>
      </w:r>
      <w:hyperlink r:id="rId10" w:history="1">
        <w:r w:rsidRPr="00287990">
          <w:rPr>
            <w:rStyle w:val="Hyperlink"/>
            <w:color w:val="000000" w:themeColor="text1"/>
            <w:sz w:val="20"/>
            <w:szCs w:val="20"/>
          </w:rPr>
          <w:t>http://www.foncopes.com.pe/index.php/foncopes/transparencia/beneficiarios.html</w:t>
        </w:r>
      </w:hyperlink>
      <w:r w:rsidRPr="00287990">
        <w:rPr>
          <w:color w:val="000000" w:themeColor="text1"/>
          <w:sz w:val="20"/>
          <w:szCs w:val="20"/>
        </w:rPr>
        <w:t>).</w:t>
      </w:r>
    </w:p>
  </w:footnote>
  <w:footnote w:id="10">
    <w:p w14:paraId="7071DFE7" w14:textId="136B551B" w:rsidR="005D2AA4" w:rsidRPr="00287990" w:rsidRDefault="005D2AA4" w:rsidP="004257CF">
      <w:pPr>
        <w:pStyle w:val="Default"/>
        <w:rPr>
          <w:rFonts w:ascii="Times New Roman" w:hAnsi="Times New Roman" w:cs="Times New Roman"/>
          <w:sz w:val="20"/>
          <w:szCs w:val="20"/>
        </w:rPr>
      </w:pPr>
      <w:r w:rsidRPr="00287990">
        <w:rPr>
          <w:rStyle w:val="FootnoteReference"/>
          <w:rFonts w:ascii="Times New Roman" w:hAnsi="Times New Roman"/>
          <w:sz w:val="20"/>
          <w:szCs w:val="20"/>
        </w:rPr>
        <w:footnoteRef/>
      </w:r>
      <w:r w:rsidRPr="00287990">
        <w:rPr>
          <w:rFonts w:ascii="Times New Roman" w:hAnsi="Times New Roman" w:cs="Times New Roman"/>
          <w:sz w:val="20"/>
          <w:szCs w:val="20"/>
        </w:rPr>
        <w:t xml:space="preserve"> The Bank assessed the policy reforms through ENVDPLs supervision and the non-lending technical assistance</w:t>
      </w:r>
      <w:r w:rsidRPr="00287990">
        <w:rPr>
          <w:rFonts w:ascii="Times New Roman" w:eastAsiaTheme="minorEastAsia" w:hAnsi="Times New Roman" w:cs="Times New Roman"/>
          <w:sz w:val="20"/>
          <w:szCs w:val="20"/>
        </w:rPr>
        <w:t xml:space="preserve"> </w:t>
      </w:r>
      <w:r w:rsidRPr="00287990">
        <w:rPr>
          <w:rFonts w:ascii="Times New Roman" w:hAnsi="Times New Roman" w:cs="Times New Roman"/>
          <w:sz w:val="20"/>
          <w:szCs w:val="20"/>
        </w:rPr>
        <w:t>“</w:t>
      </w:r>
      <w:r w:rsidRPr="00287990">
        <w:rPr>
          <w:rFonts w:ascii="Times New Roman" w:hAnsi="Times New Roman" w:cs="Times New Roman"/>
          <w:i/>
          <w:sz w:val="20"/>
          <w:szCs w:val="20"/>
        </w:rPr>
        <w:t>Peru: Strengthening Environmental and Natural Resource Institutions</w:t>
      </w:r>
      <w:r w:rsidRPr="00287990">
        <w:rPr>
          <w:rFonts w:ascii="Times New Roman" w:hAnsi="Times New Roman" w:cs="Times New Roman"/>
          <w:sz w:val="20"/>
          <w:szCs w:val="20"/>
        </w:rPr>
        <w:t>” (P123881). The latter supported the following technical assistance activities: (i) inclusion of aspects related to biodiversity offsets in the Peru’s environmental regulations; (ii) analysis of the mining-related environmental reforms; and (iii) analysis of air quality in Peru. The findings of the third component are compiled in the following reports: “Baseline report for the prioritization of air quality management policies in the Metropolitan Area of Lima and El Callao” and “Environmental health in Peru – An economic assessment of health effects”. In addition, the Bank prepared the following studies: (i) identification and prioritization of MELs in Peru; (ii) assessment of design and implementation of fisheries reforms in Peru (2006-2012); (iii) environmental management reforms in Peru (1990-2013); (iv) air quality management in Lima and Callao; and, (v) environmental impact assessment reform in Peru.</w:t>
      </w:r>
    </w:p>
  </w:footnote>
  <w:footnote w:id="11">
    <w:p w14:paraId="3F55C87D" w14:textId="2BEC7141"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The Strategic Axes for Environmental Management were prepared by a multi-sectoral commission comprised by the president of Ministries Council and the ministries of Agriculture, Culture, Energy and Mining, Economy and Finance, Health, Production; Development and Social Inclusion; and Environment (Supreme Resolution No. 189-2012-PCM).</w:t>
      </w:r>
    </w:p>
  </w:footnote>
  <w:footnote w:id="12">
    <w:p w14:paraId="1762E050" w14:textId="39CEAA5B"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5D2AA4">
        <w:rPr>
          <w:sz w:val="20"/>
          <w:szCs w:val="20"/>
          <w:lang w:val="es-CO"/>
        </w:rPr>
        <w:t xml:space="preserve"> SERNANP, 2016. </w:t>
      </w:r>
      <w:r w:rsidRPr="005D2AA4">
        <w:rPr>
          <w:i/>
          <w:sz w:val="20"/>
          <w:szCs w:val="20"/>
          <w:lang w:val="es-CO"/>
        </w:rPr>
        <w:t>Sistema de Áreas Naturales Protegidas del Perú</w:t>
      </w:r>
      <w:r w:rsidRPr="005D2AA4">
        <w:rPr>
          <w:sz w:val="20"/>
          <w:szCs w:val="20"/>
          <w:lang w:val="es-CO"/>
        </w:rPr>
        <w:t xml:space="preserve">. </w:t>
      </w:r>
      <w:r w:rsidRPr="00287990">
        <w:rPr>
          <w:sz w:val="20"/>
          <w:szCs w:val="20"/>
        </w:rPr>
        <w:t>Available at: http://www.sernanp.gob.pe/documents/10181/165150/Lista_Pagina_Web_OFICIAL_2016-07-14.pdf/6d59d6bd-e0f0-4109-bbec-824d554aa0b5.</w:t>
      </w:r>
    </w:p>
  </w:footnote>
  <w:footnote w:id="13">
    <w:p w14:paraId="5650F8E3" w14:textId="3FD45B6C" w:rsidR="005D2AA4" w:rsidRPr="00287990" w:rsidRDefault="005D2AA4" w:rsidP="004257CF">
      <w:pPr>
        <w:pStyle w:val="FootnoteText"/>
        <w:spacing w:before="0" w:beforeAutospacing="0" w:after="0" w:afterAutospacing="0"/>
        <w:rPr>
          <w:rFonts w:eastAsiaTheme="minorEastAsia"/>
          <w:sz w:val="20"/>
          <w:szCs w:val="20"/>
        </w:rPr>
      </w:pPr>
      <w:r w:rsidRPr="00287990">
        <w:rPr>
          <w:rStyle w:val="FootnoteReference"/>
          <w:sz w:val="20"/>
          <w:szCs w:val="20"/>
        </w:rPr>
        <w:footnoteRef/>
      </w:r>
      <w:r w:rsidRPr="00287990">
        <w:rPr>
          <w:sz w:val="20"/>
          <w:szCs w:val="20"/>
        </w:rPr>
        <w:t xml:space="preserve"> </w:t>
      </w:r>
      <w:r w:rsidRPr="00287990">
        <w:rPr>
          <w:rFonts w:eastAsiaTheme="minorEastAsia"/>
          <w:sz w:val="20"/>
          <w:szCs w:val="20"/>
        </w:rPr>
        <w:t>PROFONANPE was created in 1992, aimed at providing stable long-term financing for the conservation of the country’s biological diversity.</w:t>
      </w:r>
      <w:r>
        <w:rPr>
          <w:rFonts w:eastAsiaTheme="minorEastAsia"/>
          <w:sz w:val="20"/>
          <w:szCs w:val="20"/>
        </w:rPr>
        <w:t xml:space="preserve"> Part of P</w:t>
      </w:r>
      <w:r w:rsidRPr="00287990">
        <w:rPr>
          <w:rFonts w:eastAsiaTheme="minorEastAsia"/>
          <w:sz w:val="20"/>
          <w:szCs w:val="20"/>
        </w:rPr>
        <w:t>ROFONANPE</w:t>
      </w:r>
      <w:r>
        <w:rPr>
          <w:rFonts w:eastAsiaTheme="minorEastAsia"/>
          <w:sz w:val="20"/>
          <w:szCs w:val="20"/>
        </w:rPr>
        <w:t>’s resources are transferred and directly executed by SERNANP.</w:t>
      </w:r>
    </w:p>
    <w:p w14:paraId="7B68EE35" w14:textId="77777777" w:rsidR="005D2AA4" w:rsidRPr="00287990" w:rsidRDefault="005D2AA4" w:rsidP="004257CF">
      <w:pPr>
        <w:pStyle w:val="FootnoteText"/>
        <w:spacing w:before="0" w:beforeAutospacing="0" w:after="0" w:afterAutospacing="0"/>
        <w:rPr>
          <w:rFonts w:eastAsiaTheme="minorEastAsia"/>
          <w:sz w:val="20"/>
          <w:szCs w:val="20"/>
        </w:rPr>
      </w:pPr>
    </w:p>
  </w:footnote>
  <w:footnote w:id="14">
    <w:p w14:paraId="1C50F5B8" w14:textId="77777777" w:rsidR="005D2AA4" w:rsidRPr="00287990" w:rsidRDefault="005D2AA4" w:rsidP="004257CF">
      <w:pPr>
        <w:rPr>
          <w:sz w:val="20"/>
          <w:szCs w:val="20"/>
          <w:lang w:val="es-CO"/>
        </w:rPr>
      </w:pPr>
      <w:r w:rsidRPr="00287990">
        <w:rPr>
          <w:rStyle w:val="FootnoteReference"/>
          <w:sz w:val="20"/>
          <w:szCs w:val="20"/>
        </w:rPr>
        <w:footnoteRef/>
      </w:r>
      <w:r w:rsidRPr="00287990">
        <w:rPr>
          <w:sz w:val="20"/>
          <w:szCs w:val="20"/>
          <w:lang w:val="es-CO"/>
        </w:rPr>
        <w:t xml:space="preserve"> Districts of Ate, San Borja, Jesus Maria, Villa Maria del Triunfo, Santa Anita, Puente Piedra, Carabayllo, San Martin de Porres, and San Juan de Lurigancho.</w:t>
      </w:r>
    </w:p>
  </w:footnote>
  <w:footnote w:id="15">
    <w:p w14:paraId="695D3970" w14:textId="77777777"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The Action Plan for Arequipa includes a section on alert measures, making reference to interventions that would be adopted by the Ministry of Health.</w:t>
      </w:r>
    </w:p>
  </w:footnote>
  <w:footnote w:id="16">
    <w:p w14:paraId="16E09B62" w14:textId="77777777"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Supreme Decree 009-2012-MINAM and Supreme Decree 004-2013-MINAM.</w:t>
      </w:r>
    </w:p>
  </w:footnote>
  <w:footnote w:id="17">
    <w:p w14:paraId="41B5B9CC" w14:textId="77777777"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Supreme Decree 006-2013-MINAM and Supreme Decree 205-2013-MINAM.</w:t>
      </w:r>
    </w:p>
  </w:footnote>
  <w:footnote w:id="18">
    <w:p w14:paraId="73A58D9D" w14:textId="77777777" w:rsidR="005D2AA4" w:rsidRPr="00287990" w:rsidRDefault="005D2AA4" w:rsidP="004257CF">
      <w:pPr>
        <w:pStyle w:val="FootnoteText"/>
        <w:spacing w:before="0" w:beforeAutospacing="0" w:after="0" w:afterAutospacing="0"/>
        <w:rPr>
          <w:sz w:val="20"/>
          <w:szCs w:val="20"/>
          <w:lang w:val="pt-BR"/>
        </w:rPr>
      </w:pPr>
      <w:r w:rsidRPr="00287990">
        <w:rPr>
          <w:rStyle w:val="FootnoteReference"/>
          <w:sz w:val="20"/>
          <w:szCs w:val="20"/>
        </w:rPr>
        <w:footnoteRef/>
      </w:r>
      <w:r w:rsidRPr="00287990">
        <w:rPr>
          <w:sz w:val="20"/>
          <w:szCs w:val="20"/>
          <w:lang w:val="pt-BR"/>
        </w:rPr>
        <w:t xml:space="preserve"> Supreme Decree 009-2015-MINAM.</w:t>
      </w:r>
    </w:p>
  </w:footnote>
  <w:footnote w:id="19">
    <w:p w14:paraId="10785F7D" w14:textId="74BC4C3C" w:rsidR="005D2AA4" w:rsidRPr="00287990" w:rsidRDefault="005D2AA4" w:rsidP="004257CF">
      <w:pPr>
        <w:pStyle w:val="FootnoteText"/>
        <w:spacing w:before="0" w:beforeAutospacing="0" w:after="0" w:afterAutospacing="0"/>
        <w:rPr>
          <w:sz w:val="20"/>
          <w:szCs w:val="20"/>
          <w:lang w:val="pt-BR"/>
        </w:rPr>
      </w:pPr>
      <w:r w:rsidRPr="00287990">
        <w:rPr>
          <w:rStyle w:val="FootnoteReference"/>
          <w:sz w:val="20"/>
          <w:szCs w:val="20"/>
        </w:rPr>
        <w:footnoteRef/>
      </w:r>
      <w:r w:rsidRPr="00287990">
        <w:rPr>
          <w:sz w:val="20"/>
          <w:szCs w:val="20"/>
          <w:lang w:val="pt-BR"/>
        </w:rPr>
        <w:t xml:space="preserve"> MEM. </w:t>
      </w:r>
      <w:r w:rsidRPr="00287990">
        <w:rPr>
          <w:i/>
          <w:sz w:val="20"/>
          <w:szCs w:val="20"/>
          <w:lang w:val="pt-BR"/>
        </w:rPr>
        <w:t xml:space="preserve">Informe No. 084-2014-MEM/DGAAM/DNAM. </w:t>
      </w:r>
      <w:r w:rsidRPr="00287990">
        <w:rPr>
          <w:sz w:val="20"/>
          <w:szCs w:val="20"/>
          <w:lang w:val="pt-BR"/>
        </w:rPr>
        <w:t>22 January 2014.</w:t>
      </w:r>
    </w:p>
  </w:footnote>
  <w:footnote w:id="20">
    <w:p w14:paraId="15A93F64" w14:textId="4E2C5638" w:rsidR="005D2AA4" w:rsidRPr="00287990" w:rsidRDefault="005D2AA4" w:rsidP="004257CF">
      <w:pPr>
        <w:pStyle w:val="FootnoteText"/>
        <w:spacing w:before="0" w:beforeAutospacing="0" w:after="0" w:afterAutospacing="0"/>
        <w:rPr>
          <w:sz w:val="20"/>
          <w:szCs w:val="20"/>
          <w:lang w:val="es-CO"/>
        </w:rPr>
      </w:pPr>
      <w:r w:rsidRPr="00287990">
        <w:rPr>
          <w:rStyle w:val="FootnoteReference"/>
          <w:sz w:val="20"/>
          <w:szCs w:val="20"/>
        </w:rPr>
        <w:footnoteRef/>
      </w:r>
      <w:r w:rsidRPr="00287990">
        <w:rPr>
          <w:sz w:val="20"/>
          <w:szCs w:val="20"/>
          <w:lang w:val="es-CO"/>
        </w:rPr>
        <w:t xml:space="preserve"> OEFA. </w:t>
      </w:r>
      <w:r w:rsidRPr="00287990">
        <w:rPr>
          <w:i/>
          <w:sz w:val="20"/>
          <w:szCs w:val="20"/>
          <w:lang w:val="es-CO"/>
        </w:rPr>
        <w:t>El impacto de la fiscalización ambiental en el desempeño de las empresas mineras</w:t>
      </w:r>
      <w:r w:rsidRPr="00287990">
        <w:rPr>
          <w:sz w:val="20"/>
          <w:szCs w:val="20"/>
          <w:lang w:val="es-CO"/>
        </w:rPr>
        <w:t>. Documento de Trabajo No. 001-2016-OEFA/DFSAI/SDSI. 2016, pp. 36 and 48. Available at: http://www.oefa.gob.pe/?wpfb_dl=18972.</w:t>
      </w:r>
    </w:p>
  </w:footnote>
  <w:footnote w:id="21">
    <w:p w14:paraId="3974EA40" w14:textId="3005B5D0" w:rsidR="005D2AA4" w:rsidRPr="005D2AA4"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5D2AA4">
        <w:rPr>
          <w:sz w:val="20"/>
          <w:szCs w:val="20"/>
        </w:rPr>
        <w:t xml:space="preserve"> Ministerial Resolution No. 129-2010-MEM/DM.</w:t>
      </w:r>
    </w:p>
  </w:footnote>
  <w:footnote w:id="22">
    <w:p w14:paraId="3AE95AC3" w14:textId="77777777" w:rsidR="005D2AA4" w:rsidRPr="00287990" w:rsidRDefault="005D2AA4" w:rsidP="004257CF">
      <w:pPr>
        <w:autoSpaceDE w:val="0"/>
        <w:autoSpaceDN w:val="0"/>
        <w:adjustRightInd w:val="0"/>
        <w:rPr>
          <w:sz w:val="20"/>
          <w:szCs w:val="20"/>
          <w:lang w:val="pt-BR"/>
        </w:rPr>
      </w:pPr>
      <w:r w:rsidRPr="00287990">
        <w:rPr>
          <w:rStyle w:val="FootnoteReference"/>
          <w:sz w:val="20"/>
          <w:szCs w:val="20"/>
        </w:rPr>
        <w:footnoteRef/>
      </w:r>
      <w:r w:rsidRPr="00287990">
        <w:rPr>
          <w:sz w:val="20"/>
          <w:szCs w:val="20"/>
          <w:lang w:val="pt-BR"/>
        </w:rPr>
        <w:t xml:space="preserve"> Ministerial Resolutions N° 482-2012-EM and N° 094-2013-EM.</w:t>
      </w:r>
    </w:p>
  </w:footnote>
  <w:footnote w:id="23">
    <w:p w14:paraId="1EDAED95" w14:textId="460647CD"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lang w:val="es-CO"/>
        </w:rPr>
        <w:t xml:space="preserve"> MEM. </w:t>
      </w:r>
      <w:r w:rsidRPr="00287990">
        <w:rPr>
          <w:i/>
          <w:sz w:val="20"/>
          <w:szCs w:val="20"/>
          <w:lang w:val="es-CO"/>
        </w:rPr>
        <w:t>Remediación de Pasivos Ambientales Mineros en el Perú</w:t>
      </w:r>
      <w:r w:rsidRPr="00287990">
        <w:rPr>
          <w:sz w:val="20"/>
          <w:szCs w:val="20"/>
          <w:lang w:val="es-CO"/>
        </w:rPr>
        <w:t xml:space="preserve">. </w:t>
      </w:r>
      <w:r w:rsidRPr="00287990">
        <w:rPr>
          <w:sz w:val="20"/>
          <w:szCs w:val="20"/>
        </w:rPr>
        <w:t>November, 2015. Available at: http://www.minam.gob.pe/calidadambiental/wp-content/uploads/sites/22/2015/12/PRESENTACION-3-MINEM-PERU.pdf.</w:t>
      </w:r>
    </w:p>
  </w:footnote>
  <w:footnote w:id="24">
    <w:p w14:paraId="436ED2F6" w14:textId="7750D009"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5D2AA4">
        <w:rPr>
          <w:sz w:val="20"/>
          <w:szCs w:val="20"/>
          <w:lang w:val="es-CO"/>
        </w:rPr>
        <w:t xml:space="preserve"> OSINERGMIN. </w:t>
      </w:r>
      <w:r w:rsidRPr="005D2AA4">
        <w:rPr>
          <w:i/>
          <w:sz w:val="20"/>
          <w:szCs w:val="20"/>
          <w:lang w:val="es-CO"/>
        </w:rPr>
        <w:t>Instalaciones de gas natural</w:t>
      </w:r>
      <w:r w:rsidRPr="005D2AA4">
        <w:rPr>
          <w:sz w:val="20"/>
          <w:szCs w:val="20"/>
          <w:lang w:val="es-CO"/>
        </w:rPr>
        <w:t xml:space="preserve">. </w:t>
      </w:r>
      <w:r w:rsidRPr="00287990">
        <w:rPr>
          <w:sz w:val="20"/>
          <w:szCs w:val="20"/>
        </w:rPr>
        <w:t>Update on May 6, 2016. Available at: http://www.osinergmin.gob.pe/empresas/hidrocarburos/Paginas/RegistroHidrocarburos/Instalaciones-gn.htm</w:t>
      </w:r>
    </w:p>
  </w:footnote>
  <w:footnote w:id="25">
    <w:p w14:paraId="70074B09" w14:textId="0277B54F"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An initiation workshop built consensus on the importance, scope, and methodologies of the analysis. The CEA’s preliminary findings were presented in the Sixth Ecodialogue. The findings and recommendations were disseminated in a workshop held in Lima in June 2007. A broad range of stakeholders participated in these workshops, including representatives of several government agencies (such as environment, health, finance, agriculture, energy, and mines), regional environmental authorities, business organizations, NGOs, indigenous communities, and development agencies.</w:t>
      </w:r>
    </w:p>
  </w:footnote>
  <w:footnote w:id="26">
    <w:p w14:paraId="5295DFEF" w14:textId="69D1F4D0"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Bank-supported analytical work covered the following topics: (i) biodiversity offsets in the Peru’s environmental regulations; (ii) analysis of the mining-related environmental reforms; (iii) analysis of air quality in Peru; (iv) identification and prioritization of MELs in Peru; (v) assessment of design and implementation of fisheries reforms in Peru (2006-2012); (vi) environmental management reforms in Peru (1990-2013); (vii) air quality management in Lima and Callao; (viii) environmental impact assessment reform in Peru; (ix) policies to enhance resolution of socioenvironmental conflicts in the mining sector.</w:t>
      </w:r>
    </w:p>
    <w:p w14:paraId="33E86EB5" w14:textId="77777777" w:rsidR="005D2AA4" w:rsidRPr="00287990" w:rsidRDefault="005D2AA4" w:rsidP="004257CF">
      <w:pPr>
        <w:pStyle w:val="FootnoteText"/>
        <w:spacing w:before="0" w:beforeAutospacing="0" w:after="0" w:afterAutospacing="0"/>
        <w:rPr>
          <w:sz w:val="20"/>
          <w:szCs w:val="20"/>
        </w:rPr>
      </w:pPr>
    </w:p>
  </w:footnote>
  <w:footnote w:id="27">
    <w:p w14:paraId="289FA277" w14:textId="152CC0AF" w:rsidR="005D2AA4" w:rsidRPr="00287990" w:rsidRDefault="005D2AA4" w:rsidP="004257CF">
      <w:pPr>
        <w:pStyle w:val="FootnoteText"/>
        <w:spacing w:before="0" w:beforeAutospacing="0" w:after="0" w:afterAutospacing="0"/>
        <w:rPr>
          <w:sz w:val="20"/>
          <w:szCs w:val="20"/>
        </w:rPr>
      </w:pPr>
      <w:r w:rsidRPr="00287990">
        <w:rPr>
          <w:rStyle w:val="FootnoteReference"/>
          <w:sz w:val="20"/>
          <w:szCs w:val="20"/>
        </w:rPr>
        <w:footnoteRef/>
      </w:r>
      <w:r w:rsidRPr="00287990">
        <w:rPr>
          <w:sz w:val="20"/>
          <w:szCs w:val="20"/>
        </w:rPr>
        <w:t xml:space="preserve"> Board Resolution No. 032-2014-OEFA/CD.</w:t>
      </w:r>
    </w:p>
  </w:footnote>
  <w:footnote w:id="28">
    <w:p w14:paraId="73021EA1" w14:textId="77777777" w:rsidR="005D2AA4" w:rsidRPr="00287990" w:rsidRDefault="005D2AA4" w:rsidP="004257CF">
      <w:pPr>
        <w:pStyle w:val="FootnoteText"/>
        <w:spacing w:before="0" w:beforeAutospacing="0" w:after="0" w:afterAutospacing="0"/>
        <w:rPr>
          <w:sz w:val="20"/>
          <w:szCs w:val="20"/>
          <w:lang w:val="es-ES"/>
        </w:rPr>
      </w:pPr>
      <w:r w:rsidRPr="00287990">
        <w:rPr>
          <w:rStyle w:val="FootnoteReference"/>
          <w:sz w:val="20"/>
          <w:szCs w:val="20"/>
        </w:rPr>
        <w:footnoteRef/>
      </w:r>
      <w:r w:rsidRPr="00287990">
        <w:rPr>
          <w:sz w:val="20"/>
          <w:szCs w:val="20"/>
          <w:lang w:val="es-CO"/>
        </w:rPr>
        <w:t xml:space="preserve"> Se anexa al presente la Matriz de Políticas de la Serie Programática.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9A43" w14:textId="77777777" w:rsidR="005D2AA4" w:rsidRDefault="005D2AA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15F4" w14:textId="77777777" w:rsidR="005D2AA4" w:rsidRDefault="005D2A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1CC2D" w14:textId="77777777" w:rsidR="005D2AA4" w:rsidRPr="00DF2DF8" w:rsidRDefault="005D2AA4" w:rsidP="00DF2D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B7FE4" w14:textId="77777777" w:rsidR="005D2AA4" w:rsidRDefault="005D2A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41CC2" w14:textId="77777777" w:rsidR="005D2AA4" w:rsidRDefault="005D2A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8550C" w14:textId="77777777" w:rsidR="005D2AA4" w:rsidRPr="00DF2DF8" w:rsidRDefault="005D2AA4" w:rsidP="00DF2D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5D90C" w14:textId="77777777" w:rsidR="005D2AA4" w:rsidRDefault="005D2A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7B4D"/>
    <w:multiLevelType w:val="hybridMultilevel"/>
    <w:tmpl w:val="9708822E"/>
    <w:lvl w:ilvl="0" w:tplc="C8AE3E68">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11D07"/>
    <w:multiLevelType w:val="hybridMultilevel"/>
    <w:tmpl w:val="8B6C3EBA"/>
    <w:lvl w:ilvl="0" w:tplc="87FE945C">
      <w:start w:val="1"/>
      <w:numFmt w:val="lowerLetter"/>
      <w:lvlText w:val="(%1)"/>
      <w:lvlJc w:val="left"/>
      <w:pPr>
        <w:ind w:left="3060" w:hanging="360"/>
      </w:pPr>
      <w:rPr>
        <w:rFonts w:ascii="Times New Roman" w:hAnsi="Times New Roman" w:hint="default"/>
        <w:b w:val="0"/>
        <w:i w:val="0"/>
        <w:sz w:val="24"/>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66A3F14"/>
    <w:multiLevelType w:val="multilevel"/>
    <w:tmpl w:val="394A19B0"/>
    <w:lvl w:ilvl="0">
      <w:start w:val="1"/>
      <w:numFmt w:val="lowerLetter"/>
      <w:lvlText w:val="%1)"/>
      <w:lvlJc w:val="left"/>
      <w:pPr>
        <w:ind w:left="720" w:hanging="360"/>
      </w:pPr>
      <w:rPr>
        <w:rFonts w:ascii="Times New Roman" w:eastAsia="Times New Roman" w:hAnsi="Times New Roman" w:cs="Times New Roman"/>
        <w:b/>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Para"/>
      <w:lvlText w:val="%4."/>
      <w:lvlJc w:val="left"/>
      <w:pPr>
        <w:ind w:left="2880" w:hanging="360"/>
      </w:pPr>
      <w:rPr>
        <w:rFonts w:hint="default"/>
        <w:b w:val="0"/>
        <w:i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A812C8"/>
    <w:multiLevelType w:val="multilevel"/>
    <w:tmpl w:val="7D4C288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BA79F7"/>
    <w:multiLevelType w:val="hybridMultilevel"/>
    <w:tmpl w:val="E73809BC"/>
    <w:lvl w:ilvl="0" w:tplc="D8A2796C">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0742C1"/>
    <w:multiLevelType w:val="hybridMultilevel"/>
    <w:tmpl w:val="3B302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63FF9"/>
    <w:multiLevelType w:val="hybridMultilevel"/>
    <w:tmpl w:val="E810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9037D"/>
    <w:multiLevelType w:val="hybridMultilevel"/>
    <w:tmpl w:val="BFAE1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75184"/>
    <w:multiLevelType w:val="hybridMultilevel"/>
    <w:tmpl w:val="D468168A"/>
    <w:lvl w:ilvl="0" w:tplc="0409000F">
      <w:start w:val="1"/>
      <w:numFmt w:val="decimal"/>
      <w:lvlText w:val="%1."/>
      <w:lvlJc w:val="left"/>
      <w:pPr>
        <w:ind w:left="360" w:hanging="360"/>
      </w:pPr>
      <w:rPr>
        <w:rFonts w:hint="default"/>
        <w:b w:val="0"/>
        <w:i w:val="0"/>
        <w:color w:val="000000"/>
        <w:sz w:val="22"/>
      </w:rPr>
    </w:lvl>
    <w:lvl w:ilvl="1" w:tplc="04090019">
      <w:start w:val="1"/>
      <w:numFmt w:val="lowerLetter"/>
      <w:lvlText w:val="%2)"/>
      <w:lvlJc w:val="left"/>
      <w:pPr>
        <w:tabs>
          <w:tab w:val="num" w:pos="1440"/>
        </w:tabs>
        <w:ind w:left="1440" w:hanging="360"/>
      </w:pPr>
      <w:rPr>
        <w:rFonts w:hint="default"/>
        <w:b w:val="0"/>
        <w:i w:val="0"/>
        <w:color w:val="00000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827119"/>
    <w:multiLevelType w:val="multilevel"/>
    <w:tmpl w:val="2F7AC6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92109F"/>
    <w:multiLevelType w:val="multilevel"/>
    <w:tmpl w:val="A01E44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F327B07"/>
    <w:multiLevelType w:val="hybridMultilevel"/>
    <w:tmpl w:val="3386FD1A"/>
    <w:lvl w:ilvl="0" w:tplc="87FE945C">
      <w:start w:val="1"/>
      <w:numFmt w:val="lowerLetter"/>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0161F82"/>
    <w:multiLevelType w:val="hybridMultilevel"/>
    <w:tmpl w:val="9092D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B050CFA"/>
    <w:multiLevelType w:val="hybridMultilevel"/>
    <w:tmpl w:val="2BF4815C"/>
    <w:lvl w:ilvl="0" w:tplc="0D1431A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133DF6"/>
    <w:multiLevelType w:val="hybridMultilevel"/>
    <w:tmpl w:val="E73809BC"/>
    <w:lvl w:ilvl="0" w:tplc="D8A2796C">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B726552"/>
    <w:multiLevelType w:val="hybridMultilevel"/>
    <w:tmpl w:val="A880E2BC"/>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B756949"/>
    <w:multiLevelType w:val="hybridMultilevel"/>
    <w:tmpl w:val="56CAF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D4F79EE"/>
    <w:multiLevelType w:val="hybridMultilevel"/>
    <w:tmpl w:val="40F2EFEA"/>
    <w:lvl w:ilvl="0" w:tplc="1188D17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5A0299"/>
    <w:multiLevelType w:val="hybridMultilevel"/>
    <w:tmpl w:val="9874200C"/>
    <w:lvl w:ilvl="0" w:tplc="C4C2BDAA">
      <w:start w:val="1"/>
      <w:numFmt w:val="lowerLetter"/>
      <w:lvlText w:val="(%1)"/>
      <w:lvlJc w:val="left"/>
      <w:pPr>
        <w:ind w:left="1140" w:hanging="4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399C6136"/>
    <w:multiLevelType w:val="hybridMultilevel"/>
    <w:tmpl w:val="A2FA00B2"/>
    <w:lvl w:ilvl="0" w:tplc="FB92B69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208A5"/>
    <w:multiLevelType w:val="hybridMultilevel"/>
    <w:tmpl w:val="9506B656"/>
    <w:lvl w:ilvl="0" w:tplc="BEDEC4F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D0302"/>
    <w:multiLevelType w:val="hybridMultilevel"/>
    <w:tmpl w:val="2F5E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D6056D"/>
    <w:multiLevelType w:val="multilevel"/>
    <w:tmpl w:val="8FE605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4D4FB3"/>
    <w:multiLevelType w:val="hybridMultilevel"/>
    <w:tmpl w:val="7F78A2A8"/>
    <w:lvl w:ilvl="0" w:tplc="87FE945C">
      <w:start w:val="1"/>
      <w:numFmt w:val="lowerLetter"/>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87FE945C">
      <w:start w:val="1"/>
      <w:numFmt w:val="lowerLetter"/>
      <w:lvlText w:val="(%3)"/>
      <w:lvlJc w:val="left"/>
      <w:pPr>
        <w:ind w:left="2880" w:hanging="180"/>
      </w:pPr>
      <w:rPr>
        <w:rFonts w:ascii="Times New Roman" w:hAnsi="Times New Roman" w:hint="default"/>
        <w:b w:val="0"/>
        <w:i w:val="0"/>
        <w:sz w:val="24"/>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EAD1829"/>
    <w:multiLevelType w:val="hybridMultilevel"/>
    <w:tmpl w:val="FAA67DE8"/>
    <w:lvl w:ilvl="0" w:tplc="46BAD162">
      <w:start w:val="1"/>
      <w:numFmt w:val="lowerLetter"/>
      <w:lvlText w:val="(%1)"/>
      <w:lvlJc w:val="left"/>
      <w:pPr>
        <w:ind w:left="0" w:hanging="72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4FB33F33"/>
    <w:multiLevelType w:val="hybridMultilevel"/>
    <w:tmpl w:val="E73809BC"/>
    <w:lvl w:ilvl="0" w:tplc="D8A2796C">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1E6304F"/>
    <w:multiLevelType w:val="hybridMultilevel"/>
    <w:tmpl w:val="2DF21776"/>
    <w:lvl w:ilvl="0" w:tplc="0CB4BC74">
      <w:start w:val="8"/>
      <w:numFmt w:val="bullet"/>
      <w:lvlText w:val="-"/>
      <w:lvlJc w:val="left"/>
      <w:pPr>
        <w:ind w:left="1069" w:hanging="360"/>
      </w:pPr>
      <w:rPr>
        <w:rFonts w:ascii="Arial" w:eastAsia="Times New Roman" w:hAnsi="Aria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7" w15:restartNumberingAfterBreak="0">
    <w:nsid w:val="59571CA4"/>
    <w:multiLevelType w:val="hybridMultilevel"/>
    <w:tmpl w:val="F574F0B6"/>
    <w:lvl w:ilvl="0" w:tplc="BDA4E1C6">
      <w:start w:val="14"/>
      <w:numFmt w:val="bullet"/>
      <w:lvlText w:val=""/>
      <w:lvlJc w:val="left"/>
      <w:pPr>
        <w:ind w:left="720" w:hanging="360"/>
      </w:pPr>
      <w:rPr>
        <w:rFonts w:ascii="Symbol" w:eastAsia="MS Mincho" w:hAnsi="Symbol" w:cs="Times New Roman" w:hint="default"/>
        <w:color w:val="5B9BD5" w:themeColor="accen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01B396B"/>
    <w:multiLevelType w:val="hybridMultilevel"/>
    <w:tmpl w:val="14FED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BF4342"/>
    <w:multiLevelType w:val="multilevel"/>
    <w:tmpl w:val="FBE6660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32D05E1"/>
    <w:multiLevelType w:val="hybridMultilevel"/>
    <w:tmpl w:val="82EC1530"/>
    <w:lvl w:ilvl="0" w:tplc="27B2528E">
      <w:start w:val="1"/>
      <w:numFmt w:val="lowerRoman"/>
      <w:lvlText w:val="(%1)"/>
      <w:lvlJc w:val="left"/>
      <w:pPr>
        <w:ind w:left="720" w:hanging="360"/>
      </w:pPr>
      <w:rPr>
        <w:rFonts w:ascii="Times New Roman" w:eastAsiaTheme="minorEastAsia" w:hAnsi="Times New Roman" w:cs="Times New Roman"/>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6191FB2"/>
    <w:multiLevelType w:val="hybridMultilevel"/>
    <w:tmpl w:val="F54AD0C4"/>
    <w:lvl w:ilvl="0" w:tplc="1F869F7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7B67D5F"/>
    <w:multiLevelType w:val="multilevel"/>
    <w:tmpl w:val="C81C72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EAF0F68"/>
    <w:multiLevelType w:val="multilevel"/>
    <w:tmpl w:val="8F6CB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FF9700B"/>
    <w:multiLevelType w:val="hybridMultilevel"/>
    <w:tmpl w:val="F19EF7D6"/>
    <w:lvl w:ilvl="0" w:tplc="37B22468">
      <w:numFmt w:val="bullet"/>
      <w:lvlText w:val="-"/>
      <w:lvlJc w:val="left"/>
      <w:pPr>
        <w:ind w:left="1080" w:hanging="360"/>
      </w:pPr>
      <w:rPr>
        <w:rFonts w:ascii="Calibri" w:eastAsia="Cambr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C974FC"/>
    <w:multiLevelType w:val="hybridMultilevel"/>
    <w:tmpl w:val="ACD86D52"/>
    <w:lvl w:ilvl="0" w:tplc="1188D17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480C56"/>
    <w:multiLevelType w:val="hybridMultilevel"/>
    <w:tmpl w:val="FDEA7E14"/>
    <w:lvl w:ilvl="0" w:tplc="2EDC1F36">
      <w:start w:val="1"/>
      <w:numFmt w:val="decimal"/>
      <w:lvlText w:val="%1."/>
      <w:lvlJc w:val="left"/>
      <w:pPr>
        <w:ind w:left="3780" w:hanging="360"/>
      </w:pPr>
      <w:rPr>
        <w:rFonts w:ascii="Times New Roman" w:hAnsi="Times New Roman" w:cs="Times New Roman"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BD5958"/>
    <w:multiLevelType w:val="multilevel"/>
    <w:tmpl w:val="98DC93F2"/>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B6F2C57"/>
    <w:multiLevelType w:val="hybridMultilevel"/>
    <w:tmpl w:val="5CD03058"/>
    <w:lvl w:ilvl="0" w:tplc="04090001">
      <w:start w:val="1"/>
      <w:numFmt w:val="bullet"/>
      <w:lvlText w:val=""/>
      <w:lvlJc w:val="left"/>
      <w:pPr>
        <w:ind w:left="720" w:hanging="360"/>
      </w:pPr>
      <w:rPr>
        <w:rFonts w:ascii="Symbol" w:hAnsi="Symbol" w:hint="default"/>
      </w:rPr>
    </w:lvl>
    <w:lvl w:ilvl="1" w:tplc="24981EB6">
      <w:start w:val="2012"/>
      <w:numFmt w:val="bullet"/>
      <w:lvlText w:val=""/>
      <w:lvlJc w:val="left"/>
      <w:pPr>
        <w:ind w:left="1440" w:hanging="360"/>
      </w:pPr>
      <w:rPr>
        <w:rFonts w:ascii="Symbol" w:eastAsia="Times New Roman"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F74FB"/>
    <w:multiLevelType w:val="hybridMultilevel"/>
    <w:tmpl w:val="3B104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6E60B3"/>
    <w:multiLevelType w:val="multilevel"/>
    <w:tmpl w:val="1206DC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33"/>
  </w:num>
  <w:num w:numId="3">
    <w:abstractNumId w:val="10"/>
  </w:num>
  <w:num w:numId="4">
    <w:abstractNumId w:val="2"/>
  </w:num>
  <w:num w:numId="5">
    <w:abstractNumId w:val="38"/>
  </w:num>
  <w:num w:numId="6">
    <w:abstractNumId w:val="5"/>
  </w:num>
  <w:num w:numId="7">
    <w:abstractNumId w:val="39"/>
  </w:num>
  <w:num w:numId="8">
    <w:abstractNumId w:val="6"/>
  </w:num>
  <w:num w:numId="9">
    <w:abstractNumId w:val="28"/>
  </w:num>
  <w:num w:numId="10">
    <w:abstractNumId w:val="21"/>
  </w:num>
  <w:num w:numId="11">
    <w:abstractNumId w:val="13"/>
  </w:num>
  <w:num w:numId="12">
    <w:abstractNumId w:val="24"/>
  </w:num>
  <w:num w:numId="13">
    <w:abstractNumId w:val="8"/>
  </w:num>
  <w:num w:numId="14">
    <w:abstractNumId w:val="19"/>
  </w:num>
  <w:num w:numId="15">
    <w:abstractNumId w:val="17"/>
  </w:num>
  <w:num w:numId="16">
    <w:abstractNumId w:val="34"/>
  </w:num>
  <w:num w:numId="17">
    <w:abstractNumId w:val="35"/>
  </w:num>
  <w:num w:numId="18">
    <w:abstractNumId w:val="12"/>
  </w:num>
  <w:num w:numId="19">
    <w:abstractNumId w:val="30"/>
  </w:num>
  <w:num w:numId="20">
    <w:abstractNumId w:val="29"/>
  </w:num>
  <w:num w:numId="21">
    <w:abstractNumId w:val="15"/>
  </w:num>
  <w:num w:numId="22">
    <w:abstractNumId w:val="0"/>
  </w:num>
  <w:num w:numId="23">
    <w:abstractNumId w:val="7"/>
  </w:num>
  <w:num w:numId="24">
    <w:abstractNumId w:val="11"/>
  </w:num>
  <w:num w:numId="25">
    <w:abstractNumId w:val="23"/>
  </w:num>
  <w:num w:numId="26">
    <w:abstractNumId w:val="1"/>
  </w:num>
  <w:num w:numId="27">
    <w:abstractNumId w:val="40"/>
  </w:num>
  <w:num w:numId="28">
    <w:abstractNumId w:val="9"/>
  </w:num>
  <w:num w:numId="29">
    <w:abstractNumId w:val="31"/>
  </w:num>
  <w:num w:numId="30">
    <w:abstractNumId w:val="4"/>
  </w:num>
  <w:num w:numId="31">
    <w:abstractNumId w:val="14"/>
  </w:num>
  <w:num w:numId="32">
    <w:abstractNumId w:val="25"/>
  </w:num>
  <w:num w:numId="33">
    <w:abstractNumId w:val="3"/>
  </w:num>
  <w:num w:numId="34">
    <w:abstractNumId w:val="18"/>
  </w:num>
  <w:num w:numId="35">
    <w:abstractNumId w:val="27"/>
  </w:num>
  <w:num w:numId="36">
    <w:abstractNumId w:val="37"/>
  </w:num>
  <w:num w:numId="37">
    <w:abstractNumId w:val="22"/>
  </w:num>
  <w:num w:numId="38">
    <w:abstractNumId w:val="32"/>
  </w:num>
  <w:num w:numId="39">
    <w:abstractNumId w:val="26"/>
  </w:num>
  <w:num w:numId="40">
    <w:abstractNumId w:val="20"/>
  </w:num>
  <w:num w:numId="41">
    <w:abstractNumId w:val="16"/>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643"/>
    <w:rsid w:val="000017B0"/>
    <w:rsid w:val="00002416"/>
    <w:rsid w:val="00003178"/>
    <w:rsid w:val="000036F9"/>
    <w:rsid w:val="00004091"/>
    <w:rsid w:val="00004FEF"/>
    <w:rsid w:val="0000616D"/>
    <w:rsid w:val="00006294"/>
    <w:rsid w:val="00007AC0"/>
    <w:rsid w:val="00007DD7"/>
    <w:rsid w:val="00007F79"/>
    <w:rsid w:val="0001301A"/>
    <w:rsid w:val="000132AC"/>
    <w:rsid w:val="000141EE"/>
    <w:rsid w:val="000165A6"/>
    <w:rsid w:val="00016784"/>
    <w:rsid w:val="000266FE"/>
    <w:rsid w:val="00027C47"/>
    <w:rsid w:val="00032A50"/>
    <w:rsid w:val="00032D72"/>
    <w:rsid w:val="00034BBA"/>
    <w:rsid w:val="00036565"/>
    <w:rsid w:val="00036687"/>
    <w:rsid w:val="00036A27"/>
    <w:rsid w:val="000372CC"/>
    <w:rsid w:val="00037341"/>
    <w:rsid w:val="00041718"/>
    <w:rsid w:val="00041DA4"/>
    <w:rsid w:val="00041FD6"/>
    <w:rsid w:val="000437CF"/>
    <w:rsid w:val="00043906"/>
    <w:rsid w:val="0004425B"/>
    <w:rsid w:val="00044522"/>
    <w:rsid w:val="0004587B"/>
    <w:rsid w:val="00046447"/>
    <w:rsid w:val="00046DD4"/>
    <w:rsid w:val="00046E71"/>
    <w:rsid w:val="00047A23"/>
    <w:rsid w:val="00050187"/>
    <w:rsid w:val="00051F04"/>
    <w:rsid w:val="0005344A"/>
    <w:rsid w:val="00053B1C"/>
    <w:rsid w:val="00057450"/>
    <w:rsid w:val="00057EEF"/>
    <w:rsid w:val="000604F4"/>
    <w:rsid w:val="00060EF5"/>
    <w:rsid w:val="00060F1C"/>
    <w:rsid w:val="000642D1"/>
    <w:rsid w:val="00065CC3"/>
    <w:rsid w:val="000666A5"/>
    <w:rsid w:val="0006696E"/>
    <w:rsid w:val="0007292A"/>
    <w:rsid w:val="000744DD"/>
    <w:rsid w:val="000746B9"/>
    <w:rsid w:val="00084828"/>
    <w:rsid w:val="00085995"/>
    <w:rsid w:val="00086F9B"/>
    <w:rsid w:val="00086FEB"/>
    <w:rsid w:val="00087207"/>
    <w:rsid w:val="0008752B"/>
    <w:rsid w:val="000914F4"/>
    <w:rsid w:val="000952CC"/>
    <w:rsid w:val="000A1130"/>
    <w:rsid w:val="000A458A"/>
    <w:rsid w:val="000A4A77"/>
    <w:rsid w:val="000A5DF5"/>
    <w:rsid w:val="000A6470"/>
    <w:rsid w:val="000A6686"/>
    <w:rsid w:val="000A7061"/>
    <w:rsid w:val="000A7391"/>
    <w:rsid w:val="000A7E57"/>
    <w:rsid w:val="000B0F29"/>
    <w:rsid w:val="000B1784"/>
    <w:rsid w:val="000B1DEF"/>
    <w:rsid w:val="000B2176"/>
    <w:rsid w:val="000B22CE"/>
    <w:rsid w:val="000B40B3"/>
    <w:rsid w:val="000B679E"/>
    <w:rsid w:val="000C1FFB"/>
    <w:rsid w:val="000C2A45"/>
    <w:rsid w:val="000C3FDE"/>
    <w:rsid w:val="000C5E68"/>
    <w:rsid w:val="000C75E3"/>
    <w:rsid w:val="000D04BA"/>
    <w:rsid w:val="000D12E8"/>
    <w:rsid w:val="000D38C3"/>
    <w:rsid w:val="000D6874"/>
    <w:rsid w:val="000D71B7"/>
    <w:rsid w:val="000E052C"/>
    <w:rsid w:val="000E0EC9"/>
    <w:rsid w:val="000E1251"/>
    <w:rsid w:val="000E1778"/>
    <w:rsid w:val="000E231E"/>
    <w:rsid w:val="000E272B"/>
    <w:rsid w:val="000E2E5C"/>
    <w:rsid w:val="000E42B4"/>
    <w:rsid w:val="000E459E"/>
    <w:rsid w:val="000E611E"/>
    <w:rsid w:val="000F0839"/>
    <w:rsid w:val="000F0A9E"/>
    <w:rsid w:val="000F0B22"/>
    <w:rsid w:val="000F34AE"/>
    <w:rsid w:val="000F3585"/>
    <w:rsid w:val="000F72F8"/>
    <w:rsid w:val="001004BA"/>
    <w:rsid w:val="001021B4"/>
    <w:rsid w:val="00103CE5"/>
    <w:rsid w:val="00104177"/>
    <w:rsid w:val="00104D80"/>
    <w:rsid w:val="0010501D"/>
    <w:rsid w:val="001058AC"/>
    <w:rsid w:val="00106435"/>
    <w:rsid w:val="00111999"/>
    <w:rsid w:val="00111BD5"/>
    <w:rsid w:val="00114346"/>
    <w:rsid w:val="00116A85"/>
    <w:rsid w:val="00121778"/>
    <w:rsid w:val="00122430"/>
    <w:rsid w:val="001237BC"/>
    <w:rsid w:val="00124266"/>
    <w:rsid w:val="001253ED"/>
    <w:rsid w:val="001255CD"/>
    <w:rsid w:val="001258FB"/>
    <w:rsid w:val="00125E15"/>
    <w:rsid w:val="00131351"/>
    <w:rsid w:val="0013186F"/>
    <w:rsid w:val="00132F7D"/>
    <w:rsid w:val="00134553"/>
    <w:rsid w:val="001348A6"/>
    <w:rsid w:val="001351F3"/>
    <w:rsid w:val="001362F6"/>
    <w:rsid w:val="001368F6"/>
    <w:rsid w:val="001375CA"/>
    <w:rsid w:val="001408FB"/>
    <w:rsid w:val="00140BF3"/>
    <w:rsid w:val="00143175"/>
    <w:rsid w:val="00143220"/>
    <w:rsid w:val="001478AC"/>
    <w:rsid w:val="00150C32"/>
    <w:rsid w:val="00150D6C"/>
    <w:rsid w:val="00152D4B"/>
    <w:rsid w:val="00153580"/>
    <w:rsid w:val="00154680"/>
    <w:rsid w:val="001554E7"/>
    <w:rsid w:val="0015749B"/>
    <w:rsid w:val="00163E94"/>
    <w:rsid w:val="001650C4"/>
    <w:rsid w:val="00165A43"/>
    <w:rsid w:val="00166817"/>
    <w:rsid w:val="00167F32"/>
    <w:rsid w:val="00170205"/>
    <w:rsid w:val="00170479"/>
    <w:rsid w:val="0017047A"/>
    <w:rsid w:val="00171A61"/>
    <w:rsid w:val="00171E00"/>
    <w:rsid w:val="00172A4A"/>
    <w:rsid w:val="00172CBE"/>
    <w:rsid w:val="00174B4E"/>
    <w:rsid w:val="00174FAC"/>
    <w:rsid w:val="00182652"/>
    <w:rsid w:val="00182D78"/>
    <w:rsid w:val="00185F4E"/>
    <w:rsid w:val="00187AF7"/>
    <w:rsid w:val="00191945"/>
    <w:rsid w:val="001932BE"/>
    <w:rsid w:val="001967E4"/>
    <w:rsid w:val="001A0795"/>
    <w:rsid w:val="001A092D"/>
    <w:rsid w:val="001A1482"/>
    <w:rsid w:val="001A1823"/>
    <w:rsid w:val="001A4F53"/>
    <w:rsid w:val="001A6791"/>
    <w:rsid w:val="001A6905"/>
    <w:rsid w:val="001A6B76"/>
    <w:rsid w:val="001B12DB"/>
    <w:rsid w:val="001B24EE"/>
    <w:rsid w:val="001B311D"/>
    <w:rsid w:val="001B35A0"/>
    <w:rsid w:val="001B3A66"/>
    <w:rsid w:val="001B422A"/>
    <w:rsid w:val="001B4362"/>
    <w:rsid w:val="001B5638"/>
    <w:rsid w:val="001B6BA8"/>
    <w:rsid w:val="001B7C93"/>
    <w:rsid w:val="001C1E10"/>
    <w:rsid w:val="001C28A5"/>
    <w:rsid w:val="001C5673"/>
    <w:rsid w:val="001C5686"/>
    <w:rsid w:val="001C57A3"/>
    <w:rsid w:val="001C5981"/>
    <w:rsid w:val="001D15D6"/>
    <w:rsid w:val="001D1F99"/>
    <w:rsid w:val="001D24F5"/>
    <w:rsid w:val="001D2AFB"/>
    <w:rsid w:val="001D4F89"/>
    <w:rsid w:val="001D6F88"/>
    <w:rsid w:val="001E0963"/>
    <w:rsid w:val="001E12D4"/>
    <w:rsid w:val="001E3B7E"/>
    <w:rsid w:val="001E3F85"/>
    <w:rsid w:val="001E4000"/>
    <w:rsid w:val="001E405C"/>
    <w:rsid w:val="001E6512"/>
    <w:rsid w:val="001E75CF"/>
    <w:rsid w:val="001E79B0"/>
    <w:rsid w:val="001E7EAF"/>
    <w:rsid w:val="001F0E3B"/>
    <w:rsid w:val="001F1DFA"/>
    <w:rsid w:val="001F1FBC"/>
    <w:rsid w:val="001F2B7A"/>
    <w:rsid w:val="001F4D60"/>
    <w:rsid w:val="001F6161"/>
    <w:rsid w:val="001F6C99"/>
    <w:rsid w:val="002040D0"/>
    <w:rsid w:val="002045F5"/>
    <w:rsid w:val="00204DBF"/>
    <w:rsid w:val="002051BA"/>
    <w:rsid w:val="002068DE"/>
    <w:rsid w:val="00207351"/>
    <w:rsid w:val="002073B3"/>
    <w:rsid w:val="00207D34"/>
    <w:rsid w:val="00210044"/>
    <w:rsid w:val="00210773"/>
    <w:rsid w:val="00210EF8"/>
    <w:rsid w:val="00212647"/>
    <w:rsid w:val="0021428C"/>
    <w:rsid w:val="002174CC"/>
    <w:rsid w:val="00217792"/>
    <w:rsid w:val="002204EF"/>
    <w:rsid w:val="00220C94"/>
    <w:rsid w:val="002212C0"/>
    <w:rsid w:val="00221C3E"/>
    <w:rsid w:val="00221DAD"/>
    <w:rsid w:val="0022264E"/>
    <w:rsid w:val="00223926"/>
    <w:rsid w:val="00224436"/>
    <w:rsid w:val="00225111"/>
    <w:rsid w:val="00226463"/>
    <w:rsid w:val="00226C0A"/>
    <w:rsid w:val="002305FC"/>
    <w:rsid w:val="00230621"/>
    <w:rsid w:val="00233BA0"/>
    <w:rsid w:val="00233DD0"/>
    <w:rsid w:val="002342ED"/>
    <w:rsid w:val="00234F8F"/>
    <w:rsid w:val="00235AB5"/>
    <w:rsid w:val="0024219B"/>
    <w:rsid w:val="002443EF"/>
    <w:rsid w:val="00245A21"/>
    <w:rsid w:val="002475FA"/>
    <w:rsid w:val="00250588"/>
    <w:rsid w:val="002521CA"/>
    <w:rsid w:val="00254017"/>
    <w:rsid w:val="002541C8"/>
    <w:rsid w:val="00257835"/>
    <w:rsid w:val="00262640"/>
    <w:rsid w:val="00262770"/>
    <w:rsid w:val="00265893"/>
    <w:rsid w:val="00265B42"/>
    <w:rsid w:val="00265F22"/>
    <w:rsid w:val="00266C85"/>
    <w:rsid w:val="00267779"/>
    <w:rsid w:val="00276BF6"/>
    <w:rsid w:val="00276CF5"/>
    <w:rsid w:val="002815A4"/>
    <w:rsid w:val="00281F1F"/>
    <w:rsid w:val="002821B5"/>
    <w:rsid w:val="00283FF5"/>
    <w:rsid w:val="002853C4"/>
    <w:rsid w:val="0028642A"/>
    <w:rsid w:val="00286AD7"/>
    <w:rsid w:val="00287027"/>
    <w:rsid w:val="00287990"/>
    <w:rsid w:val="0029215D"/>
    <w:rsid w:val="002922CB"/>
    <w:rsid w:val="0029235F"/>
    <w:rsid w:val="00292ECC"/>
    <w:rsid w:val="00293113"/>
    <w:rsid w:val="002949B9"/>
    <w:rsid w:val="00294C61"/>
    <w:rsid w:val="002956E1"/>
    <w:rsid w:val="00297366"/>
    <w:rsid w:val="002A06D1"/>
    <w:rsid w:val="002A07FD"/>
    <w:rsid w:val="002A085A"/>
    <w:rsid w:val="002A0E02"/>
    <w:rsid w:val="002A1C67"/>
    <w:rsid w:val="002A3F71"/>
    <w:rsid w:val="002A4486"/>
    <w:rsid w:val="002A5DD1"/>
    <w:rsid w:val="002A7C92"/>
    <w:rsid w:val="002B0A0A"/>
    <w:rsid w:val="002B185B"/>
    <w:rsid w:val="002B1915"/>
    <w:rsid w:val="002B1F63"/>
    <w:rsid w:val="002B658A"/>
    <w:rsid w:val="002B6A1B"/>
    <w:rsid w:val="002C0AD2"/>
    <w:rsid w:val="002C45E2"/>
    <w:rsid w:val="002C52F5"/>
    <w:rsid w:val="002C7372"/>
    <w:rsid w:val="002D0325"/>
    <w:rsid w:val="002D06FD"/>
    <w:rsid w:val="002D0D19"/>
    <w:rsid w:val="002D2B0F"/>
    <w:rsid w:val="002D3A66"/>
    <w:rsid w:val="002D4A87"/>
    <w:rsid w:val="002D4F0E"/>
    <w:rsid w:val="002D5FF2"/>
    <w:rsid w:val="002D6F86"/>
    <w:rsid w:val="002E093F"/>
    <w:rsid w:val="002E11EA"/>
    <w:rsid w:val="002E2782"/>
    <w:rsid w:val="002E4033"/>
    <w:rsid w:val="002E4365"/>
    <w:rsid w:val="002E5FD3"/>
    <w:rsid w:val="002E6625"/>
    <w:rsid w:val="002F115F"/>
    <w:rsid w:val="002F1BC4"/>
    <w:rsid w:val="002F3A5B"/>
    <w:rsid w:val="002F4426"/>
    <w:rsid w:val="00300CD1"/>
    <w:rsid w:val="00302697"/>
    <w:rsid w:val="0030360C"/>
    <w:rsid w:val="003056A3"/>
    <w:rsid w:val="00305FFC"/>
    <w:rsid w:val="0030615F"/>
    <w:rsid w:val="00310A54"/>
    <w:rsid w:val="00314D21"/>
    <w:rsid w:val="00315379"/>
    <w:rsid w:val="0031779D"/>
    <w:rsid w:val="00320EE8"/>
    <w:rsid w:val="00323F56"/>
    <w:rsid w:val="00331995"/>
    <w:rsid w:val="003335F9"/>
    <w:rsid w:val="00333FED"/>
    <w:rsid w:val="0033734D"/>
    <w:rsid w:val="003378D4"/>
    <w:rsid w:val="00340342"/>
    <w:rsid w:val="00341E9E"/>
    <w:rsid w:val="0034251E"/>
    <w:rsid w:val="00345F8E"/>
    <w:rsid w:val="00346560"/>
    <w:rsid w:val="00347714"/>
    <w:rsid w:val="003477DF"/>
    <w:rsid w:val="00347EEF"/>
    <w:rsid w:val="00350144"/>
    <w:rsid w:val="0035181D"/>
    <w:rsid w:val="00351C52"/>
    <w:rsid w:val="00352BA9"/>
    <w:rsid w:val="003541C1"/>
    <w:rsid w:val="003573AD"/>
    <w:rsid w:val="00357D9E"/>
    <w:rsid w:val="00361D43"/>
    <w:rsid w:val="003629A5"/>
    <w:rsid w:val="00365AE8"/>
    <w:rsid w:val="00365C2E"/>
    <w:rsid w:val="00370288"/>
    <w:rsid w:val="00370D1F"/>
    <w:rsid w:val="00372ABB"/>
    <w:rsid w:val="00372E13"/>
    <w:rsid w:val="003760B7"/>
    <w:rsid w:val="00382C81"/>
    <w:rsid w:val="00382FD0"/>
    <w:rsid w:val="00390890"/>
    <w:rsid w:val="00390AF7"/>
    <w:rsid w:val="00391EFD"/>
    <w:rsid w:val="003925BE"/>
    <w:rsid w:val="00393317"/>
    <w:rsid w:val="00394102"/>
    <w:rsid w:val="00396287"/>
    <w:rsid w:val="00396310"/>
    <w:rsid w:val="0039719F"/>
    <w:rsid w:val="003A1343"/>
    <w:rsid w:val="003A27A0"/>
    <w:rsid w:val="003A2A2D"/>
    <w:rsid w:val="003A2D7F"/>
    <w:rsid w:val="003A3B56"/>
    <w:rsid w:val="003A3C1C"/>
    <w:rsid w:val="003A5F07"/>
    <w:rsid w:val="003A6AA0"/>
    <w:rsid w:val="003A77EB"/>
    <w:rsid w:val="003A7ED5"/>
    <w:rsid w:val="003B00BC"/>
    <w:rsid w:val="003B0168"/>
    <w:rsid w:val="003B22AD"/>
    <w:rsid w:val="003B2635"/>
    <w:rsid w:val="003B2FF6"/>
    <w:rsid w:val="003B489B"/>
    <w:rsid w:val="003B57CC"/>
    <w:rsid w:val="003C2799"/>
    <w:rsid w:val="003C3342"/>
    <w:rsid w:val="003C36F7"/>
    <w:rsid w:val="003C6859"/>
    <w:rsid w:val="003C74EF"/>
    <w:rsid w:val="003D07EA"/>
    <w:rsid w:val="003D1499"/>
    <w:rsid w:val="003D1BF0"/>
    <w:rsid w:val="003D5555"/>
    <w:rsid w:val="003D6B11"/>
    <w:rsid w:val="003D7743"/>
    <w:rsid w:val="003E0924"/>
    <w:rsid w:val="003E1BE4"/>
    <w:rsid w:val="003E2483"/>
    <w:rsid w:val="003E6986"/>
    <w:rsid w:val="003E75D4"/>
    <w:rsid w:val="003F00AF"/>
    <w:rsid w:val="003F1E3D"/>
    <w:rsid w:val="003F228D"/>
    <w:rsid w:val="003F24F8"/>
    <w:rsid w:val="003F2A1D"/>
    <w:rsid w:val="003F342E"/>
    <w:rsid w:val="003F36F7"/>
    <w:rsid w:val="003F57D4"/>
    <w:rsid w:val="003F60DF"/>
    <w:rsid w:val="003F64BE"/>
    <w:rsid w:val="003F6B22"/>
    <w:rsid w:val="003F78B6"/>
    <w:rsid w:val="00401268"/>
    <w:rsid w:val="00401773"/>
    <w:rsid w:val="00401E72"/>
    <w:rsid w:val="00404773"/>
    <w:rsid w:val="00406570"/>
    <w:rsid w:val="00407650"/>
    <w:rsid w:val="00410580"/>
    <w:rsid w:val="004108C0"/>
    <w:rsid w:val="00413BF7"/>
    <w:rsid w:val="0041500E"/>
    <w:rsid w:val="0042013B"/>
    <w:rsid w:val="00420365"/>
    <w:rsid w:val="00420A20"/>
    <w:rsid w:val="00420F4C"/>
    <w:rsid w:val="00421D8A"/>
    <w:rsid w:val="00423A11"/>
    <w:rsid w:val="004249E5"/>
    <w:rsid w:val="004256AA"/>
    <w:rsid w:val="0042577C"/>
    <w:rsid w:val="004257CF"/>
    <w:rsid w:val="00425B04"/>
    <w:rsid w:val="00430C02"/>
    <w:rsid w:val="004313B1"/>
    <w:rsid w:val="00433AD1"/>
    <w:rsid w:val="00436508"/>
    <w:rsid w:val="00440569"/>
    <w:rsid w:val="00440993"/>
    <w:rsid w:val="00441311"/>
    <w:rsid w:val="004437AD"/>
    <w:rsid w:val="00445C55"/>
    <w:rsid w:val="00447798"/>
    <w:rsid w:val="00450CA0"/>
    <w:rsid w:val="0045105E"/>
    <w:rsid w:val="004515EE"/>
    <w:rsid w:val="0045175E"/>
    <w:rsid w:val="004518BA"/>
    <w:rsid w:val="00452522"/>
    <w:rsid w:val="00453F98"/>
    <w:rsid w:val="0045592E"/>
    <w:rsid w:val="00456005"/>
    <w:rsid w:val="004567FF"/>
    <w:rsid w:val="004615AB"/>
    <w:rsid w:val="00462442"/>
    <w:rsid w:val="00464C04"/>
    <w:rsid w:val="0046673D"/>
    <w:rsid w:val="004705D9"/>
    <w:rsid w:val="00470D97"/>
    <w:rsid w:val="00470E4D"/>
    <w:rsid w:val="00474236"/>
    <w:rsid w:val="004776C9"/>
    <w:rsid w:val="00482428"/>
    <w:rsid w:val="00482735"/>
    <w:rsid w:val="004832D4"/>
    <w:rsid w:val="00483434"/>
    <w:rsid w:val="00487A06"/>
    <w:rsid w:val="00490E21"/>
    <w:rsid w:val="00490F9B"/>
    <w:rsid w:val="00491A24"/>
    <w:rsid w:val="00491E28"/>
    <w:rsid w:val="00491ED9"/>
    <w:rsid w:val="00491FCE"/>
    <w:rsid w:val="0049318F"/>
    <w:rsid w:val="00493719"/>
    <w:rsid w:val="00493CA1"/>
    <w:rsid w:val="0049464D"/>
    <w:rsid w:val="00494B44"/>
    <w:rsid w:val="004953CE"/>
    <w:rsid w:val="00495AD5"/>
    <w:rsid w:val="004967B4"/>
    <w:rsid w:val="004A2B17"/>
    <w:rsid w:val="004A3A62"/>
    <w:rsid w:val="004A43DA"/>
    <w:rsid w:val="004A4BCC"/>
    <w:rsid w:val="004A5FDF"/>
    <w:rsid w:val="004A6C00"/>
    <w:rsid w:val="004B00B8"/>
    <w:rsid w:val="004B012D"/>
    <w:rsid w:val="004B13E3"/>
    <w:rsid w:val="004B1D35"/>
    <w:rsid w:val="004B547A"/>
    <w:rsid w:val="004B5E70"/>
    <w:rsid w:val="004B6AC5"/>
    <w:rsid w:val="004B79F7"/>
    <w:rsid w:val="004C1627"/>
    <w:rsid w:val="004C33D1"/>
    <w:rsid w:val="004C41CC"/>
    <w:rsid w:val="004C44BD"/>
    <w:rsid w:val="004C57CD"/>
    <w:rsid w:val="004C78D4"/>
    <w:rsid w:val="004D0E09"/>
    <w:rsid w:val="004D12B1"/>
    <w:rsid w:val="004D147F"/>
    <w:rsid w:val="004D1F75"/>
    <w:rsid w:val="004D26E8"/>
    <w:rsid w:val="004D353D"/>
    <w:rsid w:val="004D3FD5"/>
    <w:rsid w:val="004D6366"/>
    <w:rsid w:val="004D664C"/>
    <w:rsid w:val="004D6F3A"/>
    <w:rsid w:val="004D79EB"/>
    <w:rsid w:val="004E2393"/>
    <w:rsid w:val="004E5423"/>
    <w:rsid w:val="004F0972"/>
    <w:rsid w:val="004F51DB"/>
    <w:rsid w:val="004F5F23"/>
    <w:rsid w:val="004F6217"/>
    <w:rsid w:val="004F628E"/>
    <w:rsid w:val="004F779C"/>
    <w:rsid w:val="004F7A09"/>
    <w:rsid w:val="00502E14"/>
    <w:rsid w:val="00503102"/>
    <w:rsid w:val="005039FE"/>
    <w:rsid w:val="00504B61"/>
    <w:rsid w:val="00504BAA"/>
    <w:rsid w:val="00504CFB"/>
    <w:rsid w:val="00506B98"/>
    <w:rsid w:val="00506DFD"/>
    <w:rsid w:val="0051637F"/>
    <w:rsid w:val="0051646F"/>
    <w:rsid w:val="00516F2C"/>
    <w:rsid w:val="00522E8E"/>
    <w:rsid w:val="00523FDB"/>
    <w:rsid w:val="00524C28"/>
    <w:rsid w:val="00530DAD"/>
    <w:rsid w:val="00531CAF"/>
    <w:rsid w:val="005325F1"/>
    <w:rsid w:val="00532F06"/>
    <w:rsid w:val="0053330A"/>
    <w:rsid w:val="005335FD"/>
    <w:rsid w:val="00534886"/>
    <w:rsid w:val="00534D38"/>
    <w:rsid w:val="00537E00"/>
    <w:rsid w:val="005409E8"/>
    <w:rsid w:val="0054185E"/>
    <w:rsid w:val="00543105"/>
    <w:rsid w:val="00544089"/>
    <w:rsid w:val="00544EC8"/>
    <w:rsid w:val="00547F55"/>
    <w:rsid w:val="0055199F"/>
    <w:rsid w:val="00552CB1"/>
    <w:rsid w:val="00553882"/>
    <w:rsid w:val="00553B1D"/>
    <w:rsid w:val="00553E32"/>
    <w:rsid w:val="00554584"/>
    <w:rsid w:val="005574A2"/>
    <w:rsid w:val="005625EA"/>
    <w:rsid w:val="00562CF9"/>
    <w:rsid w:val="005651E6"/>
    <w:rsid w:val="00567973"/>
    <w:rsid w:val="005700D8"/>
    <w:rsid w:val="00571621"/>
    <w:rsid w:val="005727F1"/>
    <w:rsid w:val="0057405B"/>
    <w:rsid w:val="005770AE"/>
    <w:rsid w:val="00587ABD"/>
    <w:rsid w:val="00590345"/>
    <w:rsid w:val="005913B2"/>
    <w:rsid w:val="0059244E"/>
    <w:rsid w:val="00593D3B"/>
    <w:rsid w:val="005950F6"/>
    <w:rsid w:val="00597576"/>
    <w:rsid w:val="005A21D5"/>
    <w:rsid w:val="005A2A50"/>
    <w:rsid w:val="005A705E"/>
    <w:rsid w:val="005A70A3"/>
    <w:rsid w:val="005A7355"/>
    <w:rsid w:val="005B05AF"/>
    <w:rsid w:val="005B10E7"/>
    <w:rsid w:val="005B1628"/>
    <w:rsid w:val="005B18BB"/>
    <w:rsid w:val="005B2567"/>
    <w:rsid w:val="005B2A5A"/>
    <w:rsid w:val="005B4876"/>
    <w:rsid w:val="005B5125"/>
    <w:rsid w:val="005C460D"/>
    <w:rsid w:val="005D18AF"/>
    <w:rsid w:val="005D1F11"/>
    <w:rsid w:val="005D1F41"/>
    <w:rsid w:val="005D2397"/>
    <w:rsid w:val="005D2A55"/>
    <w:rsid w:val="005D2AA4"/>
    <w:rsid w:val="005D46A5"/>
    <w:rsid w:val="005E0766"/>
    <w:rsid w:val="005E17FD"/>
    <w:rsid w:val="005E2F50"/>
    <w:rsid w:val="005E46DB"/>
    <w:rsid w:val="005E562F"/>
    <w:rsid w:val="005F0995"/>
    <w:rsid w:val="005F1104"/>
    <w:rsid w:val="005F13A7"/>
    <w:rsid w:val="005F3E7A"/>
    <w:rsid w:val="005F40E9"/>
    <w:rsid w:val="005F4E1D"/>
    <w:rsid w:val="005F4F00"/>
    <w:rsid w:val="005F5F8F"/>
    <w:rsid w:val="005F6AA6"/>
    <w:rsid w:val="005F7903"/>
    <w:rsid w:val="005F7F60"/>
    <w:rsid w:val="00600129"/>
    <w:rsid w:val="0060097E"/>
    <w:rsid w:val="00600992"/>
    <w:rsid w:val="006009A1"/>
    <w:rsid w:val="006009E9"/>
    <w:rsid w:val="00604321"/>
    <w:rsid w:val="00604972"/>
    <w:rsid w:val="006064D6"/>
    <w:rsid w:val="006067CF"/>
    <w:rsid w:val="00606E41"/>
    <w:rsid w:val="006070D4"/>
    <w:rsid w:val="006076C2"/>
    <w:rsid w:val="00610E44"/>
    <w:rsid w:val="006114F3"/>
    <w:rsid w:val="00613A37"/>
    <w:rsid w:val="0061499B"/>
    <w:rsid w:val="006150B5"/>
    <w:rsid w:val="00616F0E"/>
    <w:rsid w:val="00617DBC"/>
    <w:rsid w:val="00620494"/>
    <w:rsid w:val="0062467D"/>
    <w:rsid w:val="00624C8D"/>
    <w:rsid w:val="00625914"/>
    <w:rsid w:val="0062621C"/>
    <w:rsid w:val="006270D5"/>
    <w:rsid w:val="006277A0"/>
    <w:rsid w:val="006278C6"/>
    <w:rsid w:val="00631138"/>
    <w:rsid w:val="00633D13"/>
    <w:rsid w:val="00634495"/>
    <w:rsid w:val="00635647"/>
    <w:rsid w:val="00640DF8"/>
    <w:rsid w:val="00644BA1"/>
    <w:rsid w:val="00645315"/>
    <w:rsid w:val="00646A04"/>
    <w:rsid w:val="0064762F"/>
    <w:rsid w:val="00651815"/>
    <w:rsid w:val="006530D2"/>
    <w:rsid w:val="006547E7"/>
    <w:rsid w:val="006600E8"/>
    <w:rsid w:val="0066369E"/>
    <w:rsid w:val="00663F24"/>
    <w:rsid w:val="00664D2C"/>
    <w:rsid w:val="00664F02"/>
    <w:rsid w:val="00667A5A"/>
    <w:rsid w:val="006716BF"/>
    <w:rsid w:val="00675D9D"/>
    <w:rsid w:val="006766F9"/>
    <w:rsid w:val="006779FD"/>
    <w:rsid w:val="00680061"/>
    <w:rsid w:val="0068122B"/>
    <w:rsid w:val="006816E3"/>
    <w:rsid w:val="0068410E"/>
    <w:rsid w:val="00684B71"/>
    <w:rsid w:val="00684D81"/>
    <w:rsid w:val="00685316"/>
    <w:rsid w:val="00687212"/>
    <w:rsid w:val="00687D71"/>
    <w:rsid w:val="00694DFF"/>
    <w:rsid w:val="006956FB"/>
    <w:rsid w:val="006971C4"/>
    <w:rsid w:val="006A1D41"/>
    <w:rsid w:val="006A4CF0"/>
    <w:rsid w:val="006A7D3A"/>
    <w:rsid w:val="006B1604"/>
    <w:rsid w:val="006B1732"/>
    <w:rsid w:val="006B22DD"/>
    <w:rsid w:val="006B3931"/>
    <w:rsid w:val="006B511D"/>
    <w:rsid w:val="006B5199"/>
    <w:rsid w:val="006B5537"/>
    <w:rsid w:val="006B6BF2"/>
    <w:rsid w:val="006B7C6F"/>
    <w:rsid w:val="006C2C53"/>
    <w:rsid w:val="006C30EB"/>
    <w:rsid w:val="006C574D"/>
    <w:rsid w:val="006C65D2"/>
    <w:rsid w:val="006C6726"/>
    <w:rsid w:val="006C6D70"/>
    <w:rsid w:val="006C6F84"/>
    <w:rsid w:val="006C7BE3"/>
    <w:rsid w:val="006C7F6F"/>
    <w:rsid w:val="006D143F"/>
    <w:rsid w:val="006D18BD"/>
    <w:rsid w:val="006D5FC2"/>
    <w:rsid w:val="006D777E"/>
    <w:rsid w:val="006D7B68"/>
    <w:rsid w:val="006E05B6"/>
    <w:rsid w:val="006E08FF"/>
    <w:rsid w:val="006E1E52"/>
    <w:rsid w:val="006E3593"/>
    <w:rsid w:val="006E37F7"/>
    <w:rsid w:val="006E4A8B"/>
    <w:rsid w:val="006E526A"/>
    <w:rsid w:val="006E5BD4"/>
    <w:rsid w:val="006E79EF"/>
    <w:rsid w:val="006F28F3"/>
    <w:rsid w:val="006F383B"/>
    <w:rsid w:val="006F42F0"/>
    <w:rsid w:val="006F5604"/>
    <w:rsid w:val="006F6670"/>
    <w:rsid w:val="006F6CF1"/>
    <w:rsid w:val="0070020B"/>
    <w:rsid w:val="007022AE"/>
    <w:rsid w:val="007043FA"/>
    <w:rsid w:val="00704B76"/>
    <w:rsid w:val="00705FE7"/>
    <w:rsid w:val="00706E62"/>
    <w:rsid w:val="00710D3E"/>
    <w:rsid w:val="0071177B"/>
    <w:rsid w:val="00713A00"/>
    <w:rsid w:val="007202D3"/>
    <w:rsid w:val="007203C5"/>
    <w:rsid w:val="00721096"/>
    <w:rsid w:val="00721693"/>
    <w:rsid w:val="007239E9"/>
    <w:rsid w:val="007244E3"/>
    <w:rsid w:val="007250A8"/>
    <w:rsid w:val="00725A5C"/>
    <w:rsid w:val="0072726F"/>
    <w:rsid w:val="00731C00"/>
    <w:rsid w:val="007377EA"/>
    <w:rsid w:val="00742B1A"/>
    <w:rsid w:val="00742ED3"/>
    <w:rsid w:val="00744375"/>
    <w:rsid w:val="00744759"/>
    <w:rsid w:val="0074485B"/>
    <w:rsid w:val="00744E3E"/>
    <w:rsid w:val="00745096"/>
    <w:rsid w:val="0074539E"/>
    <w:rsid w:val="00745EC7"/>
    <w:rsid w:val="007464D0"/>
    <w:rsid w:val="007479E2"/>
    <w:rsid w:val="00750E1E"/>
    <w:rsid w:val="007510D9"/>
    <w:rsid w:val="00751304"/>
    <w:rsid w:val="00752C36"/>
    <w:rsid w:val="00754A2D"/>
    <w:rsid w:val="0075722A"/>
    <w:rsid w:val="00757539"/>
    <w:rsid w:val="007606E9"/>
    <w:rsid w:val="00760AFF"/>
    <w:rsid w:val="0076390A"/>
    <w:rsid w:val="00765ADF"/>
    <w:rsid w:val="0076623B"/>
    <w:rsid w:val="0077046F"/>
    <w:rsid w:val="0077361B"/>
    <w:rsid w:val="00774A02"/>
    <w:rsid w:val="0077698D"/>
    <w:rsid w:val="0077710A"/>
    <w:rsid w:val="00777159"/>
    <w:rsid w:val="00777D39"/>
    <w:rsid w:val="00777DA2"/>
    <w:rsid w:val="0078104F"/>
    <w:rsid w:val="00781A32"/>
    <w:rsid w:val="00782333"/>
    <w:rsid w:val="00782B35"/>
    <w:rsid w:val="007841B1"/>
    <w:rsid w:val="00785F82"/>
    <w:rsid w:val="00790519"/>
    <w:rsid w:val="00793C3B"/>
    <w:rsid w:val="007958DD"/>
    <w:rsid w:val="007A0781"/>
    <w:rsid w:val="007A15E8"/>
    <w:rsid w:val="007A2244"/>
    <w:rsid w:val="007A32B8"/>
    <w:rsid w:val="007A3BB4"/>
    <w:rsid w:val="007A684A"/>
    <w:rsid w:val="007A6C9A"/>
    <w:rsid w:val="007B11D6"/>
    <w:rsid w:val="007B2377"/>
    <w:rsid w:val="007B261C"/>
    <w:rsid w:val="007B31A6"/>
    <w:rsid w:val="007C0EA9"/>
    <w:rsid w:val="007C1492"/>
    <w:rsid w:val="007C14B1"/>
    <w:rsid w:val="007C2128"/>
    <w:rsid w:val="007C382F"/>
    <w:rsid w:val="007C51A3"/>
    <w:rsid w:val="007C6917"/>
    <w:rsid w:val="007D0BBD"/>
    <w:rsid w:val="007D1108"/>
    <w:rsid w:val="007D3CBE"/>
    <w:rsid w:val="007D3EA4"/>
    <w:rsid w:val="007D41D4"/>
    <w:rsid w:val="007D4FBE"/>
    <w:rsid w:val="007D74ED"/>
    <w:rsid w:val="007E259D"/>
    <w:rsid w:val="007E2638"/>
    <w:rsid w:val="007E3902"/>
    <w:rsid w:val="007E44D4"/>
    <w:rsid w:val="007E4F1D"/>
    <w:rsid w:val="007E5B47"/>
    <w:rsid w:val="007F7357"/>
    <w:rsid w:val="00801B0F"/>
    <w:rsid w:val="00804D0C"/>
    <w:rsid w:val="008058CF"/>
    <w:rsid w:val="00806D36"/>
    <w:rsid w:val="00811882"/>
    <w:rsid w:val="008136E7"/>
    <w:rsid w:val="00815C27"/>
    <w:rsid w:val="00815D15"/>
    <w:rsid w:val="00817871"/>
    <w:rsid w:val="008201DB"/>
    <w:rsid w:val="008202C9"/>
    <w:rsid w:val="008222B5"/>
    <w:rsid w:val="0082242C"/>
    <w:rsid w:val="008230FC"/>
    <w:rsid w:val="008243E4"/>
    <w:rsid w:val="008246B3"/>
    <w:rsid w:val="008248E0"/>
    <w:rsid w:val="00830428"/>
    <w:rsid w:val="0083105B"/>
    <w:rsid w:val="00835B74"/>
    <w:rsid w:val="00836E28"/>
    <w:rsid w:val="0084082D"/>
    <w:rsid w:val="00842037"/>
    <w:rsid w:val="00842F2B"/>
    <w:rsid w:val="0084369D"/>
    <w:rsid w:val="00844403"/>
    <w:rsid w:val="0084763F"/>
    <w:rsid w:val="00850373"/>
    <w:rsid w:val="00854600"/>
    <w:rsid w:val="00854713"/>
    <w:rsid w:val="008605B9"/>
    <w:rsid w:val="0086153B"/>
    <w:rsid w:val="008628E0"/>
    <w:rsid w:val="0086677A"/>
    <w:rsid w:val="00867B9C"/>
    <w:rsid w:val="008701E4"/>
    <w:rsid w:val="00870876"/>
    <w:rsid w:val="00870896"/>
    <w:rsid w:val="008709FA"/>
    <w:rsid w:val="008712F1"/>
    <w:rsid w:val="0088016A"/>
    <w:rsid w:val="008832A1"/>
    <w:rsid w:val="008839AB"/>
    <w:rsid w:val="00886C46"/>
    <w:rsid w:val="008876F1"/>
    <w:rsid w:val="00887C3E"/>
    <w:rsid w:val="00887C97"/>
    <w:rsid w:val="00890837"/>
    <w:rsid w:val="00895218"/>
    <w:rsid w:val="00895D77"/>
    <w:rsid w:val="008A0653"/>
    <w:rsid w:val="008A2CAC"/>
    <w:rsid w:val="008A4E1A"/>
    <w:rsid w:val="008B208D"/>
    <w:rsid w:val="008B2287"/>
    <w:rsid w:val="008B255B"/>
    <w:rsid w:val="008B416E"/>
    <w:rsid w:val="008B451B"/>
    <w:rsid w:val="008B7C2D"/>
    <w:rsid w:val="008C0134"/>
    <w:rsid w:val="008C072C"/>
    <w:rsid w:val="008C1738"/>
    <w:rsid w:val="008C599A"/>
    <w:rsid w:val="008C672E"/>
    <w:rsid w:val="008D01A6"/>
    <w:rsid w:val="008D07F9"/>
    <w:rsid w:val="008D1D90"/>
    <w:rsid w:val="008D43A1"/>
    <w:rsid w:val="008D5034"/>
    <w:rsid w:val="008D6B54"/>
    <w:rsid w:val="008D70AA"/>
    <w:rsid w:val="008E18F4"/>
    <w:rsid w:val="008E19EF"/>
    <w:rsid w:val="008E4268"/>
    <w:rsid w:val="008E46FE"/>
    <w:rsid w:val="008E4A20"/>
    <w:rsid w:val="008F5135"/>
    <w:rsid w:val="008F6E46"/>
    <w:rsid w:val="008F7C08"/>
    <w:rsid w:val="00900135"/>
    <w:rsid w:val="009016BB"/>
    <w:rsid w:val="009027DE"/>
    <w:rsid w:val="00904A82"/>
    <w:rsid w:val="00910A70"/>
    <w:rsid w:val="009113F1"/>
    <w:rsid w:val="009114F4"/>
    <w:rsid w:val="00914247"/>
    <w:rsid w:val="00915727"/>
    <w:rsid w:val="00915BDB"/>
    <w:rsid w:val="00916F9F"/>
    <w:rsid w:val="009201CD"/>
    <w:rsid w:val="0092074B"/>
    <w:rsid w:val="00923246"/>
    <w:rsid w:val="00933F0F"/>
    <w:rsid w:val="0093453A"/>
    <w:rsid w:val="0094010B"/>
    <w:rsid w:val="009412D2"/>
    <w:rsid w:val="009418FD"/>
    <w:rsid w:val="00943F85"/>
    <w:rsid w:val="009449CA"/>
    <w:rsid w:val="00946E6C"/>
    <w:rsid w:val="009478AF"/>
    <w:rsid w:val="00950240"/>
    <w:rsid w:val="00952DCF"/>
    <w:rsid w:val="00953990"/>
    <w:rsid w:val="00954B51"/>
    <w:rsid w:val="00955AE2"/>
    <w:rsid w:val="00955F52"/>
    <w:rsid w:val="00956649"/>
    <w:rsid w:val="00956AF8"/>
    <w:rsid w:val="009612A4"/>
    <w:rsid w:val="0096242E"/>
    <w:rsid w:val="009626CE"/>
    <w:rsid w:val="00962E3D"/>
    <w:rsid w:val="009643D5"/>
    <w:rsid w:val="00966DB7"/>
    <w:rsid w:val="00967E70"/>
    <w:rsid w:val="00972652"/>
    <w:rsid w:val="00973549"/>
    <w:rsid w:val="00977329"/>
    <w:rsid w:val="0098114D"/>
    <w:rsid w:val="009827E7"/>
    <w:rsid w:val="00983F5C"/>
    <w:rsid w:val="009843E3"/>
    <w:rsid w:val="009851E4"/>
    <w:rsid w:val="0098649A"/>
    <w:rsid w:val="00986C54"/>
    <w:rsid w:val="00987667"/>
    <w:rsid w:val="0099051E"/>
    <w:rsid w:val="00990A8A"/>
    <w:rsid w:val="00991FB7"/>
    <w:rsid w:val="0099311B"/>
    <w:rsid w:val="00995AC5"/>
    <w:rsid w:val="0099604F"/>
    <w:rsid w:val="009968CB"/>
    <w:rsid w:val="009A16C6"/>
    <w:rsid w:val="009A4113"/>
    <w:rsid w:val="009A56DD"/>
    <w:rsid w:val="009B41B1"/>
    <w:rsid w:val="009B4535"/>
    <w:rsid w:val="009B6070"/>
    <w:rsid w:val="009B6B81"/>
    <w:rsid w:val="009C14DB"/>
    <w:rsid w:val="009C1EB9"/>
    <w:rsid w:val="009C208A"/>
    <w:rsid w:val="009C3087"/>
    <w:rsid w:val="009C5362"/>
    <w:rsid w:val="009C723D"/>
    <w:rsid w:val="009D00AA"/>
    <w:rsid w:val="009D064C"/>
    <w:rsid w:val="009D6470"/>
    <w:rsid w:val="009D7559"/>
    <w:rsid w:val="009E2007"/>
    <w:rsid w:val="009E21D3"/>
    <w:rsid w:val="009E4493"/>
    <w:rsid w:val="009E46ED"/>
    <w:rsid w:val="009E4BAF"/>
    <w:rsid w:val="009E53BE"/>
    <w:rsid w:val="009E6534"/>
    <w:rsid w:val="009E6E78"/>
    <w:rsid w:val="009E71A0"/>
    <w:rsid w:val="009F12DB"/>
    <w:rsid w:val="009F1FA5"/>
    <w:rsid w:val="009F2430"/>
    <w:rsid w:val="009F354A"/>
    <w:rsid w:val="009F42B0"/>
    <w:rsid w:val="009F4F45"/>
    <w:rsid w:val="009F64CE"/>
    <w:rsid w:val="009F6F75"/>
    <w:rsid w:val="00A02D71"/>
    <w:rsid w:val="00A0529D"/>
    <w:rsid w:val="00A06354"/>
    <w:rsid w:val="00A063A0"/>
    <w:rsid w:val="00A11676"/>
    <w:rsid w:val="00A13DF9"/>
    <w:rsid w:val="00A14A38"/>
    <w:rsid w:val="00A17E5F"/>
    <w:rsid w:val="00A17F80"/>
    <w:rsid w:val="00A20655"/>
    <w:rsid w:val="00A22B24"/>
    <w:rsid w:val="00A231D4"/>
    <w:rsid w:val="00A26BCA"/>
    <w:rsid w:val="00A272A7"/>
    <w:rsid w:val="00A32BC9"/>
    <w:rsid w:val="00A32CB1"/>
    <w:rsid w:val="00A3496D"/>
    <w:rsid w:val="00A36D62"/>
    <w:rsid w:val="00A37314"/>
    <w:rsid w:val="00A37995"/>
    <w:rsid w:val="00A4143B"/>
    <w:rsid w:val="00A43C80"/>
    <w:rsid w:val="00A44EB1"/>
    <w:rsid w:val="00A454B2"/>
    <w:rsid w:val="00A45C1C"/>
    <w:rsid w:val="00A45E20"/>
    <w:rsid w:val="00A4682F"/>
    <w:rsid w:val="00A46E8E"/>
    <w:rsid w:val="00A511E1"/>
    <w:rsid w:val="00A513D3"/>
    <w:rsid w:val="00A51985"/>
    <w:rsid w:val="00A5214E"/>
    <w:rsid w:val="00A52342"/>
    <w:rsid w:val="00A533CD"/>
    <w:rsid w:val="00A5535E"/>
    <w:rsid w:val="00A564BD"/>
    <w:rsid w:val="00A57630"/>
    <w:rsid w:val="00A60048"/>
    <w:rsid w:val="00A61462"/>
    <w:rsid w:val="00A63720"/>
    <w:rsid w:val="00A6396E"/>
    <w:rsid w:val="00A639C7"/>
    <w:rsid w:val="00A64541"/>
    <w:rsid w:val="00A64764"/>
    <w:rsid w:val="00A649B4"/>
    <w:rsid w:val="00A65169"/>
    <w:rsid w:val="00A664F7"/>
    <w:rsid w:val="00A70ECD"/>
    <w:rsid w:val="00A731EB"/>
    <w:rsid w:val="00A739B2"/>
    <w:rsid w:val="00A74E5C"/>
    <w:rsid w:val="00A75D91"/>
    <w:rsid w:val="00A8113E"/>
    <w:rsid w:val="00A8183C"/>
    <w:rsid w:val="00A818B2"/>
    <w:rsid w:val="00A824B0"/>
    <w:rsid w:val="00A85808"/>
    <w:rsid w:val="00A85817"/>
    <w:rsid w:val="00A86E42"/>
    <w:rsid w:val="00A87724"/>
    <w:rsid w:val="00A9051C"/>
    <w:rsid w:val="00A90E9C"/>
    <w:rsid w:val="00A91CBC"/>
    <w:rsid w:val="00A92C9D"/>
    <w:rsid w:val="00A931F3"/>
    <w:rsid w:val="00A9636C"/>
    <w:rsid w:val="00A9663A"/>
    <w:rsid w:val="00AA07C0"/>
    <w:rsid w:val="00AA07E4"/>
    <w:rsid w:val="00AA29BC"/>
    <w:rsid w:val="00AA2FA1"/>
    <w:rsid w:val="00AA322D"/>
    <w:rsid w:val="00AA47EE"/>
    <w:rsid w:val="00AB27E3"/>
    <w:rsid w:val="00AB6A3F"/>
    <w:rsid w:val="00AC1361"/>
    <w:rsid w:val="00AC13C8"/>
    <w:rsid w:val="00AC18C8"/>
    <w:rsid w:val="00AC537F"/>
    <w:rsid w:val="00AD141A"/>
    <w:rsid w:val="00AD2A08"/>
    <w:rsid w:val="00AD336C"/>
    <w:rsid w:val="00AD6502"/>
    <w:rsid w:val="00AD6595"/>
    <w:rsid w:val="00AD6DA5"/>
    <w:rsid w:val="00AE0869"/>
    <w:rsid w:val="00AE0FBE"/>
    <w:rsid w:val="00AE1DF9"/>
    <w:rsid w:val="00AE25C3"/>
    <w:rsid w:val="00AE29CF"/>
    <w:rsid w:val="00AE3060"/>
    <w:rsid w:val="00AE32B6"/>
    <w:rsid w:val="00AE5015"/>
    <w:rsid w:val="00AE5AD6"/>
    <w:rsid w:val="00AE6358"/>
    <w:rsid w:val="00AF0FC3"/>
    <w:rsid w:val="00AF4CB9"/>
    <w:rsid w:val="00AF4D5A"/>
    <w:rsid w:val="00B00802"/>
    <w:rsid w:val="00B00B39"/>
    <w:rsid w:val="00B02563"/>
    <w:rsid w:val="00B02A6A"/>
    <w:rsid w:val="00B033E5"/>
    <w:rsid w:val="00B048AA"/>
    <w:rsid w:val="00B048B5"/>
    <w:rsid w:val="00B06FD3"/>
    <w:rsid w:val="00B1110F"/>
    <w:rsid w:val="00B1166E"/>
    <w:rsid w:val="00B11692"/>
    <w:rsid w:val="00B13086"/>
    <w:rsid w:val="00B151EE"/>
    <w:rsid w:val="00B2062E"/>
    <w:rsid w:val="00B230A3"/>
    <w:rsid w:val="00B24896"/>
    <w:rsid w:val="00B31000"/>
    <w:rsid w:val="00B31873"/>
    <w:rsid w:val="00B31C96"/>
    <w:rsid w:val="00B32AC8"/>
    <w:rsid w:val="00B3490E"/>
    <w:rsid w:val="00B3544E"/>
    <w:rsid w:val="00B3769F"/>
    <w:rsid w:val="00B37A6D"/>
    <w:rsid w:val="00B41CEC"/>
    <w:rsid w:val="00B429E1"/>
    <w:rsid w:val="00B42D51"/>
    <w:rsid w:val="00B433B0"/>
    <w:rsid w:val="00B44413"/>
    <w:rsid w:val="00B47439"/>
    <w:rsid w:val="00B52B7E"/>
    <w:rsid w:val="00B537E1"/>
    <w:rsid w:val="00B53DD2"/>
    <w:rsid w:val="00B53EBF"/>
    <w:rsid w:val="00B54F48"/>
    <w:rsid w:val="00B567F5"/>
    <w:rsid w:val="00B60A9D"/>
    <w:rsid w:val="00B62F98"/>
    <w:rsid w:val="00B663AE"/>
    <w:rsid w:val="00B66A99"/>
    <w:rsid w:val="00B66CFC"/>
    <w:rsid w:val="00B70B9E"/>
    <w:rsid w:val="00B72761"/>
    <w:rsid w:val="00B72900"/>
    <w:rsid w:val="00B73E72"/>
    <w:rsid w:val="00B76B64"/>
    <w:rsid w:val="00B7724A"/>
    <w:rsid w:val="00B7799D"/>
    <w:rsid w:val="00B8128D"/>
    <w:rsid w:val="00B817E4"/>
    <w:rsid w:val="00B82252"/>
    <w:rsid w:val="00B833CD"/>
    <w:rsid w:val="00B83A33"/>
    <w:rsid w:val="00B85D2F"/>
    <w:rsid w:val="00B86297"/>
    <w:rsid w:val="00B90525"/>
    <w:rsid w:val="00B91E62"/>
    <w:rsid w:val="00B92F66"/>
    <w:rsid w:val="00B945AE"/>
    <w:rsid w:val="00B9782D"/>
    <w:rsid w:val="00BA197F"/>
    <w:rsid w:val="00BA4AEC"/>
    <w:rsid w:val="00BA56F1"/>
    <w:rsid w:val="00BA707B"/>
    <w:rsid w:val="00BA75AA"/>
    <w:rsid w:val="00BB0185"/>
    <w:rsid w:val="00BB1E14"/>
    <w:rsid w:val="00BB42DC"/>
    <w:rsid w:val="00BB592E"/>
    <w:rsid w:val="00BB7B4E"/>
    <w:rsid w:val="00BC0061"/>
    <w:rsid w:val="00BC3B0D"/>
    <w:rsid w:val="00BC4546"/>
    <w:rsid w:val="00BC7256"/>
    <w:rsid w:val="00BC78E5"/>
    <w:rsid w:val="00BD1764"/>
    <w:rsid w:val="00BD3000"/>
    <w:rsid w:val="00BD399C"/>
    <w:rsid w:val="00BD483E"/>
    <w:rsid w:val="00BD53A2"/>
    <w:rsid w:val="00BD71D7"/>
    <w:rsid w:val="00BE0F72"/>
    <w:rsid w:val="00BE2228"/>
    <w:rsid w:val="00BE3817"/>
    <w:rsid w:val="00BE4BA9"/>
    <w:rsid w:val="00BE5598"/>
    <w:rsid w:val="00BE65E3"/>
    <w:rsid w:val="00BE6C92"/>
    <w:rsid w:val="00BF1624"/>
    <w:rsid w:val="00BF1C73"/>
    <w:rsid w:val="00BF21A7"/>
    <w:rsid w:val="00BF22AF"/>
    <w:rsid w:val="00BF3AC3"/>
    <w:rsid w:val="00BF7190"/>
    <w:rsid w:val="00C03D7E"/>
    <w:rsid w:val="00C04B51"/>
    <w:rsid w:val="00C05623"/>
    <w:rsid w:val="00C05AF6"/>
    <w:rsid w:val="00C05F6E"/>
    <w:rsid w:val="00C0647C"/>
    <w:rsid w:val="00C10592"/>
    <w:rsid w:val="00C105B3"/>
    <w:rsid w:val="00C16625"/>
    <w:rsid w:val="00C17E76"/>
    <w:rsid w:val="00C2133F"/>
    <w:rsid w:val="00C22B70"/>
    <w:rsid w:val="00C2335F"/>
    <w:rsid w:val="00C23DFB"/>
    <w:rsid w:val="00C24563"/>
    <w:rsid w:val="00C24B97"/>
    <w:rsid w:val="00C254CC"/>
    <w:rsid w:val="00C26344"/>
    <w:rsid w:val="00C275E0"/>
    <w:rsid w:val="00C27888"/>
    <w:rsid w:val="00C304AA"/>
    <w:rsid w:val="00C31E30"/>
    <w:rsid w:val="00C33E1B"/>
    <w:rsid w:val="00C34B6A"/>
    <w:rsid w:val="00C35CC3"/>
    <w:rsid w:val="00C35F3E"/>
    <w:rsid w:val="00C3635B"/>
    <w:rsid w:val="00C36797"/>
    <w:rsid w:val="00C36E4B"/>
    <w:rsid w:val="00C37320"/>
    <w:rsid w:val="00C374E2"/>
    <w:rsid w:val="00C40735"/>
    <w:rsid w:val="00C4221E"/>
    <w:rsid w:val="00C42374"/>
    <w:rsid w:val="00C436DF"/>
    <w:rsid w:val="00C43A6D"/>
    <w:rsid w:val="00C45BD7"/>
    <w:rsid w:val="00C472DC"/>
    <w:rsid w:val="00C4736F"/>
    <w:rsid w:val="00C47BD3"/>
    <w:rsid w:val="00C47F4C"/>
    <w:rsid w:val="00C5064C"/>
    <w:rsid w:val="00C50A04"/>
    <w:rsid w:val="00C5122A"/>
    <w:rsid w:val="00C523AB"/>
    <w:rsid w:val="00C532EA"/>
    <w:rsid w:val="00C53759"/>
    <w:rsid w:val="00C541D8"/>
    <w:rsid w:val="00C54362"/>
    <w:rsid w:val="00C54C6B"/>
    <w:rsid w:val="00C561E2"/>
    <w:rsid w:val="00C605F4"/>
    <w:rsid w:val="00C62A40"/>
    <w:rsid w:val="00C62D79"/>
    <w:rsid w:val="00C63021"/>
    <w:rsid w:val="00C63406"/>
    <w:rsid w:val="00C63435"/>
    <w:rsid w:val="00C64069"/>
    <w:rsid w:val="00C64CEF"/>
    <w:rsid w:val="00C65457"/>
    <w:rsid w:val="00C660AA"/>
    <w:rsid w:val="00C67DD7"/>
    <w:rsid w:val="00C723C0"/>
    <w:rsid w:val="00C726F4"/>
    <w:rsid w:val="00C72725"/>
    <w:rsid w:val="00C74AA2"/>
    <w:rsid w:val="00C755C0"/>
    <w:rsid w:val="00C75F43"/>
    <w:rsid w:val="00C76CD4"/>
    <w:rsid w:val="00C77869"/>
    <w:rsid w:val="00C801C3"/>
    <w:rsid w:val="00C803FE"/>
    <w:rsid w:val="00C80973"/>
    <w:rsid w:val="00C80998"/>
    <w:rsid w:val="00C8164E"/>
    <w:rsid w:val="00C82857"/>
    <w:rsid w:val="00C82873"/>
    <w:rsid w:val="00C83B63"/>
    <w:rsid w:val="00C84E44"/>
    <w:rsid w:val="00C870D5"/>
    <w:rsid w:val="00C9144F"/>
    <w:rsid w:val="00C91A18"/>
    <w:rsid w:val="00C91ABE"/>
    <w:rsid w:val="00C933D4"/>
    <w:rsid w:val="00C93FD1"/>
    <w:rsid w:val="00C940BA"/>
    <w:rsid w:val="00C94711"/>
    <w:rsid w:val="00C95C77"/>
    <w:rsid w:val="00C966FB"/>
    <w:rsid w:val="00C96F0A"/>
    <w:rsid w:val="00C97C05"/>
    <w:rsid w:val="00CA155B"/>
    <w:rsid w:val="00CA43AF"/>
    <w:rsid w:val="00CA4B96"/>
    <w:rsid w:val="00CA6C04"/>
    <w:rsid w:val="00CB0806"/>
    <w:rsid w:val="00CB1878"/>
    <w:rsid w:val="00CB1F20"/>
    <w:rsid w:val="00CB2D5D"/>
    <w:rsid w:val="00CB7AA2"/>
    <w:rsid w:val="00CC16F9"/>
    <w:rsid w:val="00CC247A"/>
    <w:rsid w:val="00CC38C3"/>
    <w:rsid w:val="00CC4C92"/>
    <w:rsid w:val="00CC4CFC"/>
    <w:rsid w:val="00CC53E5"/>
    <w:rsid w:val="00CC6101"/>
    <w:rsid w:val="00CC6987"/>
    <w:rsid w:val="00CD2FFC"/>
    <w:rsid w:val="00CD5F08"/>
    <w:rsid w:val="00CE13F0"/>
    <w:rsid w:val="00CE1637"/>
    <w:rsid w:val="00CE182D"/>
    <w:rsid w:val="00CE1A93"/>
    <w:rsid w:val="00CE28DA"/>
    <w:rsid w:val="00CE441B"/>
    <w:rsid w:val="00CE4E4F"/>
    <w:rsid w:val="00CE50BF"/>
    <w:rsid w:val="00CE5D6C"/>
    <w:rsid w:val="00CE7B5E"/>
    <w:rsid w:val="00CF0064"/>
    <w:rsid w:val="00CF01D9"/>
    <w:rsid w:val="00CF10E5"/>
    <w:rsid w:val="00CF11AF"/>
    <w:rsid w:val="00CF11E4"/>
    <w:rsid w:val="00CF2322"/>
    <w:rsid w:val="00CF3090"/>
    <w:rsid w:val="00CF4213"/>
    <w:rsid w:val="00CF677E"/>
    <w:rsid w:val="00CF7571"/>
    <w:rsid w:val="00D00BD6"/>
    <w:rsid w:val="00D00F56"/>
    <w:rsid w:val="00D029F1"/>
    <w:rsid w:val="00D04535"/>
    <w:rsid w:val="00D04DA8"/>
    <w:rsid w:val="00D05786"/>
    <w:rsid w:val="00D06495"/>
    <w:rsid w:val="00D0699E"/>
    <w:rsid w:val="00D07520"/>
    <w:rsid w:val="00D076B9"/>
    <w:rsid w:val="00D112D6"/>
    <w:rsid w:val="00D130D4"/>
    <w:rsid w:val="00D140A6"/>
    <w:rsid w:val="00D14773"/>
    <w:rsid w:val="00D149C0"/>
    <w:rsid w:val="00D21EAD"/>
    <w:rsid w:val="00D2438B"/>
    <w:rsid w:val="00D24C25"/>
    <w:rsid w:val="00D30679"/>
    <w:rsid w:val="00D30A68"/>
    <w:rsid w:val="00D32FE0"/>
    <w:rsid w:val="00D33B67"/>
    <w:rsid w:val="00D3425F"/>
    <w:rsid w:val="00D3432A"/>
    <w:rsid w:val="00D35092"/>
    <w:rsid w:val="00D351E8"/>
    <w:rsid w:val="00D35979"/>
    <w:rsid w:val="00D37572"/>
    <w:rsid w:val="00D42476"/>
    <w:rsid w:val="00D43946"/>
    <w:rsid w:val="00D43D80"/>
    <w:rsid w:val="00D44E08"/>
    <w:rsid w:val="00D46C28"/>
    <w:rsid w:val="00D47E8C"/>
    <w:rsid w:val="00D47FFB"/>
    <w:rsid w:val="00D5112C"/>
    <w:rsid w:val="00D5375D"/>
    <w:rsid w:val="00D54FF0"/>
    <w:rsid w:val="00D5589A"/>
    <w:rsid w:val="00D55F97"/>
    <w:rsid w:val="00D62127"/>
    <w:rsid w:val="00D63868"/>
    <w:rsid w:val="00D645EB"/>
    <w:rsid w:val="00D647E3"/>
    <w:rsid w:val="00D72788"/>
    <w:rsid w:val="00D727C1"/>
    <w:rsid w:val="00D73395"/>
    <w:rsid w:val="00D75773"/>
    <w:rsid w:val="00D8056A"/>
    <w:rsid w:val="00D8076A"/>
    <w:rsid w:val="00D812EA"/>
    <w:rsid w:val="00D8178D"/>
    <w:rsid w:val="00D8224E"/>
    <w:rsid w:val="00D841A8"/>
    <w:rsid w:val="00D84B9F"/>
    <w:rsid w:val="00D84DDA"/>
    <w:rsid w:val="00D93CEF"/>
    <w:rsid w:val="00D940C5"/>
    <w:rsid w:val="00D94E6D"/>
    <w:rsid w:val="00D951E5"/>
    <w:rsid w:val="00D966C1"/>
    <w:rsid w:val="00D96AEA"/>
    <w:rsid w:val="00DA0944"/>
    <w:rsid w:val="00DA0AE9"/>
    <w:rsid w:val="00DA11A0"/>
    <w:rsid w:val="00DA1565"/>
    <w:rsid w:val="00DA17D1"/>
    <w:rsid w:val="00DA4399"/>
    <w:rsid w:val="00DA70A2"/>
    <w:rsid w:val="00DA7C31"/>
    <w:rsid w:val="00DB052D"/>
    <w:rsid w:val="00DB15B8"/>
    <w:rsid w:val="00DB19F3"/>
    <w:rsid w:val="00DB2598"/>
    <w:rsid w:val="00DB2D64"/>
    <w:rsid w:val="00DB37C2"/>
    <w:rsid w:val="00DB3E69"/>
    <w:rsid w:val="00DC1A92"/>
    <w:rsid w:val="00DC28F7"/>
    <w:rsid w:val="00DC385E"/>
    <w:rsid w:val="00DC4AF1"/>
    <w:rsid w:val="00DC5B54"/>
    <w:rsid w:val="00DC6B0A"/>
    <w:rsid w:val="00DD146C"/>
    <w:rsid w:val="00DD2453"/>
    <w:rsid w:val="00DD2527"/>
    <w:rsid w:val="00DD4873"/>
    <w:rsid w:val="00DD5008"/>
    <w:rsid w:val="00DD57B6"/>
    <w:rsid w:val="00DE2240"/>
    <w:rsid w:val="00DE4DFF"/>
    <w:rsid w:val="00DE7F85"/>
    <w:rsid w:val="00DF02E6"/>
    <w:rsid w:val="00DF0D19"/>
    <w:rsid w:val="00DF205F"/>
    <w:rsid w:val="00DF223C"/>
    <w:rsid w:val="00DF2DF8"/>
    <w:rsid w:val="00DF2ED3"/>
    <w:rsid w:val="00DF5B2D"/>
    <w:rsid w:val="00DF6023"/>
    <w:rsid w:val="00E00B86"/>
    <w:rsid w:val="00E00F30"/>
    <w:rsid w:val="00E02050"/>
    <w:rsid w:val="00E02916"/>
    <w:rsid w:val="00E07547"/>
    <w:rsid w:val="00E10000"/>
    <w:rsid w:val="00E12649"/>
    <w:rsid w:val="00E12D39"/>
    <w:rsid w:val="00E14C33"/>
    <w:rsid w:val="00E1656B"/>
    <w:rsid w:val="00E2063B"/>
    <w:rsid w:val="00E23552"/>
    <w:rsid w:val="00E23F61"/>
    <w:rsid w:val="00E24145"/>
    <w:rsid w:val="00E26554"/>
    <w:rsid w:val="00E27A73"/>
    <w:rsid w:val="00E3034D"/>
    <w:rsid w:val="00E31B2D"/>
    <w:rsid w:val="00E31CF0"/>
    <w:rsid w:val="00E33774"/>
    <w:rsid w:val="00E404B3"/>
    <w:rsid w:val="00E40AF5"/>
    <w:rsid w:val="00E415D5"/>
    <w:rsid w:val="00E4424A"/>
    <w:rsid w:val="00E4687D"/>
    <w:rsid w:val="00E5047F"/>
    <w:rsid w:val="00E5068E"/>
    <w:rsid w:val="00E51216"/>
    <w:rsid w:val="00E534A2"/>
    <w:rsid w:val="00E534CB"/>
    <w:rsid w:val="00E53743"/>
    <w:rsid w:val="00E54E81"/>
    <w:rsid w:val="00E5612E"/>
    <w:rsid w:val="00E562AF"/>
    <w:rsid w:val="00E6265A"/>
    <w:rsid w:val="00E62899"/>
    <w:rsid w:val="00E70B25"/>
    <w:rsid w:val="00E717BF"/>
    <w:rsid w:val="00E71AA3"/>
    <w:rsid w:val="00E73CA7"/>
    <w:rsid w:val="00E746A9"/>
    <w:rsid w:val="00E7689B"/>
    <w:rsid w:val="00E81C71"/>
    <w:rsid w:val="00E82468"/>
    <w:rsid w:val="00E8328D"/>
    <w:rsid w:val="00E83586"/>
    <w:rsid w:val="00E91D3A"/>
    <w:rsid w:val="00E925C3"/>
    <w:rsid w:val="00E933DA"/>
    <w:rsid w:val="00E94830"/>
    <w:rsid w:val="00E96669"/>
    <w:rsid w:val="00EA059A"/>
    <w:rsid w:val="00EA2A51"/>
    <w:rsid w:val="00EA3474"/>
    <w:rsid w:val="00EA43F8"/>
    <w:rsid w:val="00EA5725"/>
    <w:rsid w:val="00EA5B19"/>
    <w:rsid w:val="00EA5D0F"/>
    <w:rsid w:val="00EB0ED5"/>
    <w:rsid w:val="00EB58CC"/>
    <w:rsid w:val="00EB5F5B"/>
    <w:rsid w:val="00EB6D5F"/>
    <w:rsid w:val="00EC2250"/>
    <w:rsid w:val="00EC3516"/>
    <w:rsid w:val="00EC773C"/>
    <w:rsid w:val="00EC7C76"/>
    <w:rsid w:val="00ED325B"/>
    <w:rsid w:val="00ED447A"/>
    <w:rsid w:val="00ED4535"/>
    <w:rsid w:val="00ED45F0"/>
    <w:rsid w:val="00ED4730"/>
    <w:rsid w:val="00ED6252"/>
    <w:rsid w:val="00ED7676"/>
    <w:rsid w:val="00ED7DE3"/>
    <w:rsid w:val="00EE03AB"/>
    <w:rsid w:val="00EE2698"/>
    <w:rsid w:val="00EE32CB"/>
    <w:rsid w:val="00EE38B6"/>
    <w:rsid w:val="00EE524C"/>
    <w:rsid w:val="00EE5409"/>
    <w:rsid w:val="00EE58B7"/>
    <w:rsid w:val="00EE6F4D"/>
    <w:rsid w:val="00EF03B0"/>
    <w:rsid w:val="00EF1993"/>
    <w:rsid w:val="00EF1BD3"/>
    <w:rsid w:val="00EF1C79"/>
    <w:rsid w:val="00EF33D5"/>
    <w:rsid w:val="00EF5EFD"/>
    <w:rsid w:val="00EF5FFB"/>
    <w:rsid w:val="00EF654B"/>
    <w:rsid w:val="00EF7960"/>
    <w:rsid w:val="00F00C95"/>
    <w:rsid w:val="00F00F76"/>
    <w:rsid w:val="00F021F3"/>
    <w:rsid w:val="00F027A1"/>
    <w:rsid w:val="00F028E1"/>
    <w:rsid w:val="00F03ABE"/>
    <w:rsid w:val="00F05552"/>
    <w:rsid w:val="00F05959"/>
    <w:rsid w:val="00F066A6"/>
    <w:rsid w:val="00F07633"/>
    <w:rsid w:val="00F10111"/>
    <w:rsid w:val="00F1131F"/>
    <w:rsid w:val="00F116A8"/>
    <w:rsid w:val="00F14A1F"/>
    <w:rsid w:val="00F162F9"/>
    <w:rsid w:val="00F20305"/>
    <w:rsid w:val="00F205EA"/>
    <w:rsid w:val="00F2119D"/>
    <w:rsid w:val="00F233D5"/>
    <w:rsid w:val="00F2487F"/>
    <w:rsid w:val="00F24FE9"/>
    <w:rsid w:val="00F257BE"/>
    <w:rsid w:val="00F274DE"/>
    <w:rsid w:val="00F275C4"/>
    <w:rsid w:val="00F306C0"/>
    <w:rsid w:val="00F307EE"/>
    <w:rsid w:val="00F31597"/>
    <w:rsid w:val="00F31599"/>
    <w:rsid w:val="00F3288C"/>
    <w:rsid w:val="00F3302F"/>
    <w:rsid w:val="00F33C85"/>
    <w:rsid w:val="00F34E86"/>
    <w:rsid w:val="00F43278"/>
    <w:rsid w:val="00F44FB7"/>
    <w:rsid w:val="00F45285"/>
    <w:rsid w:val="00F47359"/>
    <w:rsid w:val="00F47413"/>
    <w:rsid w:val="00F51676"/>
    <w:rsid w:val="00F52210"/>
    <w:rsid w:val="00F527F0"/>
    <w:rsid w:val="00F536DF"/>
    <w:rsid w:val="00F55F10"/>
    <w:rsid w:val="00F63FAE"/>
    <w:rsid w:val="00F722E4"/>
    <w:rsid w:val="00F72AB3"/>
    <w:rsid w:val="00F763AE"/>
    <w:rsid w:val="00F76DAA"/>
    <w:rsid w:val="00F77151"/>
    <w:rsid w:val="00F77D30"/>
    <w:rsid w:val="00F80066"/>
    <w:rsid w:val="00F808DF"/>
    <w:rsid w:val="00F82019"/>
    <w:rsid w:val="00F82914"/>
    <w:rsid w:val="00F83D1D"/>
    <w:rsid w:val="00F856DA"/>
    <w:rsid w:val="00F872E7"/>
    <w:rsid w:val="00F90B31"/>
    <w:rsid w:val="00F90B8A"/>
    <w:rsid w:val="00F915DB"/>
    <w:rsid w:val="00F9672F"/>
    <w:rsid w:val="00F96E1D"/>
    <w:rsid w:val="00F9767D"/>
    <w:rsid w:val="00F97BD0"/>
    <w:rsid w:val="00FA23AB"/>
    <w:rsid w:val="00FA3C1B"/>
    <w:rsid w:val="00FA4ABA"/>
    <w:rsid w:val="00FA612D"/>
    <w:rsid w:val="00FA63F1"/>
    <w:rsid w:val="00FA65C0"/>
    <w:rsid w:val="00FA6F9B"/>
    <w:rsid w:val="00FA7F88"/>
    <w:rsid w:val="00FB0AB5"/>
    <w:rsid w:val="00FB0EB6"/>
    <w:rsid w:val="00FB1CB8"/>
    <w:rsid w:val="00FB2258"/>
    <w:rsid w:val="00FB6643"/>
    <w:rsid w:val="00FB77B8"/>
    <w:rsid w:val="00FC0078"/>
    <w:rsid w:val="00FC132D"/>
    <w:rsid w:val="00FC1CF2"/>
    <w:rsid w:val="00FC2156"/>
    <w:rsid w:val="00FC2B83"/>
    <w:rsid w:val="00FC6484"/>
    <w:rsid w:val="00FD00AC"/>
    <w:rsid w:val="00FD11D8"/>
    <w:rsid w:val="00FD1F92"/>
    <w:rsid w:val="00FD2A00"/>
    <w:rsid w:val="00FD2DB0"/>
    <w:rsid w:val="00FD3CF4"/>
    <w:rsid w:val="00FD511C"/>
    <w:rsid w:val="00FD55DA"/>
    <w:rsid w:val="00FD7152"/>
    <w:rsid w:val="00FD7E59"/>
    <w:rsid w:val="00FE16A4"/>
    <w:rsid w:val="00FE4073"/>
    <w:rsid w:val="00FE4165"/>
    <w:rsid w:val="00FE46B2"/>
    <w:rsid w:val="00FE486E"/>
    <w:rsid w:val="00FE56CF"/>
    <w:rsid w:val="00FF30FF"/>
    <w:rsid w:val="00FF38B4"/>
    <w:rsid w:val="00FF518E"/>
    <w:rsid w:val="00FF6CF7"/>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AD7E71"/>
  <w15:docId w15:val="{BE2DDC5B-8B16-4B81-96C2-7B3CF726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643"/>
    <w:pPr>
      <w:spacing w:after="0" w:line="240" w:lineRule="auto"/>
    </w:pPr>
    <w:rPr>
      <w:rFonts w:ascii="Times New Roman" w:eastAsia="MS Mincho" w:hAnsi="Times New Roman" w:cs="Times New Roman"/>
      <w:sz w:val="24"/>
      <w:szCs w:val="24"/>
    </w:rPr>
  </w:style>
  <w:style w:type="paragraph" w:styleId="Heading1">
    <w:name w:val="heading 1"/>
    <w:basedOn w:val="Normal"/>
    <w:link w:val="Heading1Char"/>
    <w:qFormat/>
    <w:rsid w:val="00FB6643"/>
    <w:pPr>
      <w:spacing w:before="100" w:beforeAutospacing="1"/>
      <w:textAlignment w:val="top"/>
      <w:outlineLvl w:val="0"/>
    </w:pPr>
    <w:rPr>
      <w:b/>
      <w:bCs/>
      <w:color w:val="000000"/>
      <w:kern w:val="36"/>
      <w:sz w:val="31"/>
      <w:szCs w:val="31"/>
    </w:rPr>
  </w:style>
  <w:style w:type="paragraph" w:styleId="Heading2">
    <w:name w:val="heading 2"/>
    <w:basedOn w:val="Normal"/>
    <w:link w:val="Heading2Char"/>
    <w:uiPriority w:val="1"/>
    <w:qFormat/>
    <w:rsid w:val="00FB6643"/>
    <w:pPr>
      <w:spacing w:before="100" w:beforeAutospacing="1"/>
      <w:textAlignment w:val="top"/>
      <w:outlineLvl w:val="1"/>
    </w:pPr>
    <w:rPr>
      <w:b/>
      <w:bCs/>
      <w:color w:val="000000"/>
      <w:sz w:val="25"/>
      <w:szCs w:val="25"/>
    </w:rPr>
  </w:style>
  <w:style w:type="paragraph" w:styleId="Heading3">
    <w:name w:val="heading 3"/>
    <w:basedOn w:val="Normal"/>
    <w:link w:val="Heading3Char"/>
    <w:qFormat/>
    <w:rsid w:val="00FB6643"/>
    <w:pPr>
      <w:spacing w:before="100" w:beforeAutospacing="1"/>
      <w:textAlignment w:val="top"/>
      <w:outlineLvl w:val="2"/>
    </w:pPr>
    <w:rPr>
      <w:b/>
      <w:bCs/>
      <w:color w:val="000000"/>
      <w:sz w:val="22"/>
      <w:szCs w:val="22"/>
    </w:rPr>
  </w:style>
  <w:style w:type="paragraph" w:styleId="Heading4">
    <w:name w:val="heading 4"/>
    <w:basedOn w:val="Normal"/>
    <w:link w:val="Heading4Char"/>
    <w:qFormat/>
    <w:rsid w:val="00FB6643"/>
    <w:pPr>
      <w:spacing w:before="100" w:beforeAutospacing="1"/>
      <w:textAlignment w:val="top"/>
      <w:outlineLvl w:val="3"/>
    </w:pPr>
    <w:rPr>
      <w:b/>
      <w:bCs/>
      <w:color w:val="000000"/>
      <w:sz w:val="17"/>
      <w:szCs w:val="17"/>
    </w:rPr>
  </w:style>
  <w:style w:type="paragraph" w:styleId="Heading7">
    <w:name w:val="heading 7"/>
    <w:basedOn w:val="Normal"/>
    <w:next w:val="Normal"/>
    <w:link w:val="Heading7Char"/>
    <w:semiHidden/>
    <w:unhideWhenUsed/>
    <w:qFormat/>
    <w:rsid w:val="00FB6643"/>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D0699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6643"/>
    <w:rPr>
      <w:rFonts w:ascii="Times New Roman" w:eastAsia="MS Mincho" w:hAnsi="Times New Roman" w:cs="Times New Roman"/>
      <w:b/>
      <w:bCs/>
      <w:color w:val="000000"/>
      <w:kern w:val="36"/>
      <w:sz w:val="31"/>
      <w:szCs w:val="31"/>
    </w:rPr>
  </w:style>
  <w:style w:type="character" w:customStyle="1" w:styleId="Heading2Char">
    <w:name w:val="Heading 2 Char"/>
    <w:basedOn w:val="DefaultParagraphFont"/>
    <w:link w:val="Heading2"/>
    <w:uiPriority w:val="1"/>
    <w:rsid w:val="00FB6643"/>
    <w:rPr>
      <w:rFonts w:ascii="Times New Roman" w:eastAsia="MS Mincho" w:hAnsi="Times New Roman" w:cs="Times New Roman"/>
      <w:b/>
      <w:bCs/>
      <w:color w:val="000000"/>
      <w:sz w:val="25"/>
      <w:szCs w:val="25"/>
    </w:rPr>
  </w:style>
  <w:style w:type="character" w:customStyle="1" w:styleId="Heading3Char">
    <w:name w:val="Heading 3 Char"/>
    <w:basedOn w:val="DefaultParagraphFont"/>
    <w:link w:val="Heading3"/>
    <w:rsid w:val="00FB6643"/>
    <w:rPr>
      <w:rFonts w:ascii="Times New Roman" w:eastAsia="MS Mincho" w:hAnsi="Times New Roman" w:cs="Times New Roman"/>
      <w:b/>
      <w:bCs/>
      <w:color w:val="000000"/>
    </w:rPr>
  </w:style>
  <w:style w:type="character" w:customStyle="1" w:styleId="Heading4Char">
    <w:name w:val="Heading 4 Char"/>
    <w:basedOn w:val="DefaultParagraphFont"/>
    <w:link w:val="Heading4"/>
    <w:rsid w:val="00FB6643"/>
    <w:rPr>
      <w:rFonts w:ascii="Times New Roman" w:eastAsia="MS Mincho" w:hAnsi="Times New Roman" w:cs="Times New Roman"/>
      <w:b/>
      <w:bCs/>
      <w:color w:val="000000"/>
      <w:sz w:val="17"/>
      <w:szCs w:val="17"/>
    </w:rPr>
  </w:style>
  <w:style w:type="character" w:customStyle="1" w:styleId="Heading7Char">
    <w:name w:val="Heading 7 Char"/>
    <w:basedOn w:val="DefaultParagraphFont"/>
    <w:link w:val="Heading7"/>
    <w:semiHidden/>
    <w:rsid w:val="00FB6643"/>
    <w:rPr>
      <w:rFonts w:asciiTheme="majorHAnsi" w:eastAsiaTheme="majorEastAsia" w:hAnsiTheme="majorHAnsi" w:cstheme="majorBidi"/>
      <w:i/>
      <w:iCs/>
      <w:color w:val="404040" w:themeColor="text1" w:themeTint="BF"/>
      <w:sz w:val="24"/>
      <w:szCs w:val="24"/>
    </w:rPr>
  </w:style>
  <w:style w:type="character" w:styleId="Hyperlink">
    <w:name w:val="Hyperlink"/>
    <w:basedOn w:val="DefaultParagraphFont"/>
    <w:uiPriority w:val="99"/>
    <w:rsid w:val="00FB6643"/>
    <w:rPr>
      <w:strike w:val="0"/>
      <w:dstrike w:val="0"/>
      <w:color w:val="0000FF"/>
      <w:u w:val="none"/>
      <w:effect w:val="none"/>
    </w:rPr>
  </w:style>
  <w:style w:type="character" w:styleId="FollowedHyperlink">
    <w:name w:val="FollowedHyperlink"/>
    <w:basedOn w:val="DefaultParagraphFont"/>
    <w:rsid w:val="00FB6643"/>
    <w:rPr>
      <w:strike w:val="0"/>
      <w:dstrike w:val="0"/>
      <w:color w:val="0000FF"/>
      <w:u w:val="none"/>
      <w:effect w:val="none"/>
    </w:rPr>
  </w:style>
  <w:style w:type="paragraph" w:customStyle="1" w:styleId="table100per">
    <w:name w:val="table100per"/>
    <w:basedOn w:val="Normal"/>
    <w:rsid w:val="00FB6643"/>
    <w:pPr>
      <w:spacing w:before="100" w:beforeAutospacing="1" w:after="100" w:afterAutospacing="1"/>
    </w:pPr>
  </w:style>
  <w:style w:type="paragraph" w:customStyle="1" w:styleId="tablegridbrdrcolorblackaw">
    <w:name w:val="tablegridbrdrcolorblack_aw"/>
    <w:basedOn w:val="Normal"/>
    <w:rsid w:val="00FB6643"/>
    <w:pPr>
      <w:pBdr>
        <w:top w:val="single" w:sz="4" w:space="1" w:color="B1B1B1"/>
        <w:left w:val="single" w:sz="4" w:space="1" w:color="B1B1B1"/>
        <w:bottom w:val="single" w:sz="4" w:space="1" w:color="B1B1B1"/>
        <w:right w:val="single" w:sz="4" w:space="1" w:color="B1B1B1"/>
      </w:pBdr>
      <w:spacing w:before="100" w:beforeAutospacing="1" w:after="100" w:afterAutospacing="1"/>
    </w:pPr>
  </w:style>
  <w:style w:type="paragraph" w:customStyle="1" w:styleId="tablenogridbrdrcolorblackaw">
    <w:name w:val="tablenogridbrdrcolorblack_aw"/>
    <w:basedOn w:val="Normal"/>
    <w:rsid w:val="00FB6643"/>
    <w:pPr>
      <w:spacing w:before="100" w:beforeAutospacing="1" w:after="100" w:afterAutospacing="1"/>
    </w:pPr>
  </w:style>
  <w:style w:type="paragraph" w:customStyle="1" w:styleId="tablebrdrcolorblackaw">
    <w:name w:val="tablebrdrcolorblack_aw"/>
    <w:basedOn w:val="Normal"/>
    <w:rsid w:val="00FB6643"/>
    <w:pPr>
      <w:pBdr>
        <w:top w:val="single" w:sz="4" w:space="1" w:color="000000"/>
        <w:left w:val="single" w:sz="4" w:space="1" w:color="000000"/>
        <w:bottom w:val="single" w:sz="4" w:space="1" w:color="000000"/>
        <w:right w:val="single" w:sz="4" w:space="1" w:color="000000"/>
      </w:pBdr>
      <w:spacing w:before="100" w:beforeAutospacing="1" w:after="100" w:afterAutospacing="1"/>
    </w:pPr>
  </w:style>
  <w:style w:type="paragraph" w:customStyle="1" w:styleId="tablebrdrblacktopsidesaw">
    <w:name w:val="tablebrdrblacktopsides_aw"/>
    <w:basedOn w:val="Normal"/>
    <w:rsid w:val="00FB6643"/>
    <w:pPr>
      <w:pBdr>
        <w:top w:val="single" w:sz="4" w:space="1" w:color="000000"/>
        <w:left w:val="single" w:sz="4" w:space="1" w:color="000000"/>
        <w:right w:val="single" w:sz="4" w:space="1" w:color="000000"/>
      </w:pBdr>
      <w:spacing w:before="100" w:beforeAutospacing="1" w:after="100" w:afterAutospacing="1"/>
    </w:pPr>
  </w:style>
  <w:style w:type="paragraph" w:customStyle="1" w:styleId="tablebrdrblacktopaw">
    <w:name w:val="tablebrdrblacktop_aw"/>
    <w:basedOn w:val="Normal"/>
    <w:rsid w:val="00FB6643"/>
    <w:pPr>
      <w:pBdr>
        <w:top w:val="single" w:sz="4" w:space="3" w:color="000000"/>
      </w:pBdr>
      <w:spacing w:before="100" w:beforeAutospacing="1" w:after="100" w:afterAutospacing="1"/>
    </w:pPr>
  </w:style>
  <w:style w:type="paragraph" w:customStyle="1" w:styleId="tablebrdrblackbottomaw">
    <w:name w:val="tablebrdrblackbottom_aw"/>
    <w:basedOn w:val="Normal"/>
    <w:rsid w:val="00FB6643"/>
    <w:pPr>
      <w:pBdr>
        <w:bottom w:val="single" w:sz="4" w:space="1" w:color="000000"/>
      </w:pBdr>
      <w:spacing w:before="100" w:beforeAutospacing="1" w:after="100" w:afterAutospacing="1"/>
    </w:pPr>
  </w:style>
  <w:style w:type="paragraph" w:customStyle="1" w:styleId="tablebrdrblackbottomsidesaw">
    <w:name w:val="tablebrdrblackbottomsides_aw"/>
    <w:basedOn w:val="Normal"/>
    <w:rsid w:val="00FB6643"/>
    <w:pPr>
      <w:pBdr>
        <w:left w:val="single" w:sz="4" w:space="1" w:color="000000"/>
        <w:bottom w:val="single" w:sz="4" w:space="1" w:color="000000"/>
        <w:right w:val="single" w:sz="4" w:space="1" w:color="000000"/>
      </w:pBdr>
      <w:spacing w:before="100" w:beforeAutospacing="1" w:after="100" w:afterAutospacing="1"/>
    </w:pPr>
  </w:style>
  <w:style w:type="paragraph" w:customStyle="1" w:styleId="tablebrdrblackbottomrightaw">
    <w:name w:val="tablebrdrblackbottomright_aw"/>
    <w:basedOn w:val="Normal"/>
    <w:rsid w:val="00FB6643"/>
    <w:pPr>
      <w:pBdr>
        <w:bottom w:val="single" w:sz="4" w:space="1" w:color="000000"/>
        <w:right w:val="single" w:sz="4" w:space="1" w:color="000000"/>
      </w:pBdr>
      <w:spacing w:before="100" w:beforeAutospacing="1" w:after="100" w:afterAutospacing="1"/>
    </w:pPr>
  </w:style>
  <w:style w:type="paragraph" w:customStyle="1" w:styleId="contenttimes90per">
    <w:name w:val="contenttimes90per"/>
    <w:basedOn w:val="Normal"/>
    <w:rsid w:val="00FB6643"/>
    <w:pPr>
      <w:spacing w:before="100" w:beforeAutospacing="1" w:after="100" w:afterAutospacing="1"/>
      <w:textAlignment w:val="top"/>
    </w:pPr>
    <w:rPr>
      <w:color w:val="000000"/>
      <w:sz w:val="22"/>
      <w:szCs w:val="22"/>
    </w:rPr>
  </w:style>
  <w:style w:type="paragraph" w:customStyle="1" w:styleId="aligncenter">
    <w:name w:val="aligncenter"/>
    <w:basedOn w:val="Normal"/>
    <w:rsid w:val="00FB6643"/>
    <w:pPr>
      <w:spacing w:before="100" w:beforeAutospacing="1" w:after="100" w:afterAutospacing="1"/>
      <w:jc w:val="center"/>
      <w:textAlignment w:val="top"/>
    </w:pPr>
  </w:style>
  <w:style w:type="paragraph" w:customStyle="1" w:styleId="contenttimesxsmall">
    <w:name w:val="contenttimesxsmall"/>
    <w:basedOn w:val="Normal"/>
    <w:rsid w:val="00FB6643"/>
    <w:pPr>
      <w:spacing w:before="100" w:beforeAutospacing="1" w:after="100" w:afterAutospacing="1" w:line="180" w:lineRule="atLeast"/>
      <w:textAlignment w:val="top"/>
    </w:pPr>
    <w:rPr>
      <w:color w:val="000000"/>
      <w:sz w:val="20"/>
      <w:szCs w:val="20"/>
    </w:rPr>
  </w:style>
  <w:style w:type="paragraph" w:customStyle="1" w:styleId="contenttimesmedium">
    <w:name w:val="contenttimesmedium"/>
    <w:basedOn w:val="Normal"/>
    <w:rsid w:val="00FB6643"/>
    <w:pPr>
      <w:spacing w:before="100" w:beforeAutospacing="1" w:after="100" w:afterAutospacing="1"/>
      <w:textAlignment w:val="center"/>
    </w:pPr>
    <w:rPr>
      <w:color w:val="000000"/>
      <w:sz w:val="27"/>
      <w:szCs w:val="27"/>
    </w:rPr>
  </w:style>
  <w:style w:type="paragraph" w:customStyle="1" w:styleId="contentverdanaxsmall">
    <w:name w:val="contentverdanaxsmall"/>
    <w:basedOn w:val="Normal"/>
    <w:rsid w:val="00FB6643"/>
    <w:pPr>
      <w:spacing w:before="100" w:beforeAutospacing="1" w:after="100" w:afterAutospacing="1" w:line="180" w:lineRule="atLeast"/>
      <w:textAlignment w:val="top"/>
    </w:pPr>
    <w:rPr>
      <w:color w:val="000000"/>
      <w:sz w:val="20"/>
      <w:szCs w:val="20"/>
    </w:rPr>
  </w:style>
  <w:style w:type="paragraph" w:customStyle="1" w:styleId="contentverdanaxxsmall">
    <w:name w:val="contentverdanaxxsmall"/>
    <w:basedOn w:val="Normal"/>
    <w:rsid w:val="00FB6643"/>
    <w:pPr>
      <w:spacing w:before="100" w:beforeAutospacing="1" w:after="100" w:afterAutospacing="1" w:line="180" w:lineRule="atLeast"/>
      <w:textAlignment w:val="top"/>
    </w:pPr>
    <w:rPr>
      <w:color w:val="000000"/>
      <w:sz w:val="15"/>
      <w:szCs w:val="15"/>
    </w:rPr>
  </w:style>
  <w:style w:type="paragraph" w:customStyle="1" w:styleId="contenttreb90per">
    <w:name w:val="contenttreb90per"/>
    <w:basedOn w:val="Normal"/>
    <w:rsid w:val="00FB6643"/>
    <w:pPr>
      <w:spacing w:before="100" w:beforeAutospacing="1" w:after="100" w:afterAutospacing="1" w:line="160" w:lineRule="atLeast"/>
    </w:pPr>
    <w:rPr>
      <w:color w:val="000000"/>
      <w:sz w:val="22"/>
      <w:szCs w:val="22"/>
    </w:rPr>
  </w:style>
  <w:style w:type="paragraph" w:customStyle="1" w:styleId="contenttreb70per">
    <w:name w:val="contenttreb70per"/>
    <w:basedOn w:val="Normal"/>
    <w:rsid w:val="00FB6643"/>
    <w:pPr>
      <w:spacing w:before="100" w:beforeAutospacing="1" w:after="100" w:afterAutospacing="1" w:line="200" w:lineRule="atLeast"/>
    </w:pPr>
    <w:rPr>
      <w:color w:val="000000"/>
      <w:sz w:val="22"/>
      <w:szCs w:val="22"/>
    </w:rPr>
  </w:style>
  <w:style w:type="paragraph" w:customStyle="1" w:styleId="contenttreb70peri">
    <w:name w:val="contenttreb70peri"/>
    <w:basedOn w:val="Normal"/>
    <w:rsid w:val="00FB6643"/>
    <w:pPr>
      <w:spacing w:before="100" w:beforeAutospacing="1" w:after="100" w:afterAutospacing="1" w:line="250" w:lineRule="atLeast"/>
    </w:pPr>
    <w:rPr>
      <w:i/>
      <w:iCs/>
      <w:color w:val="444444"/>
      <w:sz w:val="17"/>
      <w:szCs w:val="17"/>
    </w:rPr>
  </w:style>
  <w:style w:type="paragraph" w:customStyle="1" w:styleId="contentverdana75per">
    <w:name w:val="contentverdana75per"/>
    <w:basedOn w:val="Normal"/>
    <w:rsid w:val="00FB6643"/>
    <w:pPr>
      <w:spacing w:before="100" w:beforeAutospacing="1" w:after="100" w:afterAutospacing="1" w:line="180" w:lineRule="atLeast"/>
    </w:pPr>
    <w:rPr>
      <w:color w:val="000000"/>
      <w:sz w:val="18"/>
      <w:szCs w:val="18"/>
    </w:rPr>
  </w:style>
  <w:style w:type="paragraph" w:customStyle="1" w:styleId="unnamed1">
    <w:name w:val="unnamed1"/>
    <w:basedOn w:val="Normal"/>
    <w:rsid w:val="00FB6643"/>
    <w:pPr>
      <w:spacing w:before="100" w:beforeAutospacing="1" w:after="100" w:afterAutospacing="1"/>
    </w:pPr>
    <w:rPr>
      <w:sz w:val="11"/>
      <w:szCs w:val="11"/>
    </w:rPr>
  </w:style>
  <w:style w:type="paragraph" w:customStyle="1" w:styleId="unnamed2">
    <w:name w:val="unnamed2"/>
    <w:basedOn w:val="Normal"/>
    <w:rsid w:val="00FB6643"/>
    <w:pPr>
      <w:spacing w:before="100" w:beforeAutospacing="1" w:after="100" w:afterAutospacing="1"/>
    </w:pPr>
    <w:rPr>
      <w:sz w:val="17"/>
      <w:szCs w:val="17"/>
    </w:rPr>
  </w:style>
  <w:style w:type="paragraph" w:customStyle="1" w:styleId="contentverdana70per">
    <w:name w:val="contentverdana70per"/>
    <w:basedOn w:val="Normal"/>
    <w:rsid w:val="00FB6643"/>
    <w:pPr>
      <w:spacing w:before="100" w:beforeAutospacing="1" w:after="100" w:afterAutospacing="1"/>
      <w:textAlignment w:val="top"/>
    </w:pPr>
    <w:rPr>
      <w:color w:val="000000"/>
      <w:sz w:val="17"/>
      <w:szCs w:val="17"/>
    </w:rPr>
  </w:style>
  <w:style w:type="paragraph" w:customStyle="1" w:styleId="bg-greycolorlevel1">
    <w:name w:val="bg-greycolorlevel1"/>
    <w:basedOn w:val="Normal"/>
    <w:rsid w:val="00FB6643"/>
    <w:pPr>
      <w:shd w:val="clear" w:color="auto" w:fill="E2E2E2"/>
      <w:spacing w:before="100" w:beforeAutospacing="1" w:after="100" w:afterAutospacing="1"/>
    </w:pPr>
  </w:style>
  <w:style w:type="paragraph" w:customStyle="1" w:styleId="bg-greycolorlevel2">
    <w:name w:val="bg-greycolorlevel2"/>
    <w:basedOn w:val="Normal"/>
    <w:rsid w:val="00FB6643"/>
    <w:pPr>
      <w:shd w:val="clear" w:color="auto" w:fill="F1F1F1"/>
      <w:spacing w:before="100" w:beforeAutospacing="1" w:after="100" w:afterAutospacing="1"/>
    </w:pPr>
  </w:style>
  <w:style w:type="paragraph" w:customStyle="1" w:styleId="bg-greycolorlevel3">
    <w:name w:val="bg-greycolorlevel3"/>
    <w:basedOn w:val="Normal"/>
    <w:rsid w:val="00FB6643"/>
    <w:pPr>
      <w:shd w:val="clear" w:color="auto" w:fill="F8F8F8"/>
      <w:spacing w:before="100" w:beforeAutospacing="1" w:after="100" w:afterAutospacing="1"/>
    </w:pPr>
  </w:style>
  <w:style w:type="paragraph" w:customStyle="1" w:styleId="tableheaderlevel1">
    <w:name w:val="tableheaderlevel1"/>
    <w:basedOn w:val="Normal"/>
    <w:rsid w:val="00FB6643"/>
    <w:pPr>
      <w:shd w:val="clear" w:color="auto" w:fill="CDCCCC"/>
      <w:spacing w:before="100" w:beforeAutospacing="1" w:after="100" w:afterAutospacing="1"/>
    </w:pPr>
    <w:rPr>
      <w:color w:val="000000"/>
    </w:rPr>
  </w:style>
  <w:style w:type="paragraph" w:customStyle="1" w:styleId="contentverdana70perbold">
    <w:name w:val="contentverdana70perbold"/>
    <w:basedOn w:val="Normal"/>
    <w:rsid w:val="00FB6643"/>
    <w:pPr>
      <w:spacing w:before="100" w:beforeAutospacing="1" w:after="100" w:afterAutospacing="1"/>
      <w:textAlignment w:val="top"/>
    </w:pPr>
    <w:rPr>
      <w:b/>
      <w:bCs/>
      <w:color w:val="333333"/>
      <w:sz w:val="17"/>
      <w:szCs w:val="17"/>
    </w:rPr>
  </w:style>
  <w:style w:type="paragraph" w:customStyle="1" w:styleId="contentverdana100per">
    <w:name w:val="contentverdana100per"/>
    <w:basedOn w:val="Normal"/>
    <w:rsid w:val="00FB6643"/>
    <w:pPr>
      <w:spacing w:before="100" w:beforeAutospacing="1" w:after="100" w:afterAutospacing="1"/>
      <w:textAlignment w:val="top"/>
    </w:pPr>
    <w:rPr>
      <w:color w:val="000000"/>
    </w:rPr>
  </w:style>
  <w:style w:type="paragraph" w:customStyle="1" w:styleId="tableheaderlevel3">
    <w:name w:val="tableheaderlevel3"/>
    <w:basedOn w:val="Normal"/>
    <w:rsid w:val="00FB6643"/>
    <w:pPr>
      <w:shd w:val="clear" w:color="auto" w:fill="F1F1F1"/>
      <w:spacing w:before="100" w:beforeAutospacing="1" w:after="100" w:afterAutospacing="1"/>
    </w:pPr>
    <w:rPr>
      <w:b/>
      <w:bCs/>
      <w:color w:val="606060"/>
      <w:sz w:val="22"/>
      <w:szCs w:val="22"/>
    </w:rPr>
  </w:style>
  <w:style w:type="paragraph" w:customStyle="1" w:styleId="tableheaderlevel2">
    <w:name w:val="tableheaderlevel2"/>
    <w:basedOn w:val="Normal"/>
    <w:rsid w:val="00FB6643"/>
    <w:pPr>
      <w:shd w:val="clear" w:color="auto" w:fill="E2E2E2"/>
      <w:spacing w:before="100" w:beforeAutospacing="1" w:after="100" w:afterAutospacing="1"/>
    </w:pPr>
    <w:rPr>
      <w:color w:val="000000"/>
    </w:rPr>
  </w:style>
  <w:style w:type="paragraph" w:customStyle="1" w:styleId="contentverdanasuper">
    <w:name w:val="contentverdanasuper"/>
    <w:basedOn w:val="Normal"/>
    <w:rsid w:val="00FB6643"/>
    <w:pPr>
      <w:spacing w:before="100" w:beforeAutospacing="1" w:after="100" w:afterAutospacing="1"/>
    </w:pPr>
    <w:rPr>
      <w:color w:val="000000"/>
      <w:sz w:val="14"/>
      <w:szCs w:val="14"/>
      <w:vertAlign w:val="superscript"/>
    </w:rPr>
  </w:style>
  <w:style w:type="paragraph" w:customStyle="1" w:styleId="contentverdanah1super">
    <w:name w:val="contentverdanah1super"/>
    <w:basedOn w:val="Normal"/>
    <w:rsid w:val="00FB6643"/>
    <w:pPr>
      <w:spacing w:before="100" w:beforeAutospacing="1" w:after="100" w:afterAutospacing="1"/>
    </w:pPr>
    <w:rPr>
      <w:color w:val="000000"/>
      <w:sz w:val="12"/>
      <w:szCs w:val="12"/>
      <w:vertAlign w:val="superscript"/>
    </w:rPr>
  </w:style>
  <w:style w:type="paragraph" w:customStyle="1" w:styleId="tablebrdrcolorgreyaw">
    <w:name w:val="tablebrdrcolorgrey_aw"/>
    <w:basedOn w:val="Normal"/>
    <w:rsid w:val="00FB6643"/>
    <w:pPr>
      <w:pBdr>
        <w:top w:val="single" w:sz="4" w:space="2" w:color="B1B1B1"/>
        <w:left w:val="single" w:sz="4" w:space="2" w:color="B1B1B1"/>
        <w:bottom w:val="single" w:sz="4" w:space="2" w:color="B1B1B1"/>
        <w:right w:val="single" w:sz="4" w:space="2" w:color="B1B1B1"/>
      </w:pBdr>
      <w:spacing w:before="100" w:beforeAutospacing="1" w:after="100" w:afterAutospacing="1"/>
    </w:pPr>
  </w:style>
  <w:style w:type="paragraph" w:styleId="z-TopofForm">
    <w:name w:val="HTML Top of Form"/>
    <w:basedOn w:val="Normal"/>
    <w:next w:val="Normal"/>
    <w:link w:val="z-TopofFormChar"/>
    <w:hidden/>
    <w:rsid w:val="00FB664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B6643"/>
    <w:rPr>
      <w:rFonts w:ascii="Arial" w:eastAsia="MS Mincho" w:hAnsi="Arial" w:cs="Arial"/>
      <w:vanish/>
      <w:sz w:val="16"/>
      <w:szCs w:val="16"/>
    </w:rPr>
  </w:style>
  <w:style w:type="paragraph" w:styleId="NormalWeb">
    <w:name w:val="Normal (Web)"/>
    <w:basedOn w:val="Normal"/>
    <w:uiPriority w:val="99"/>
    <w:rsid w:val="00FB6643"/>
    <w:pPr>
      <w:spacing w:before="100" w:beforeAutospacing="1" w:after="100" w:afterAutospacing="1"/>
    </w:pPr>
  </w:style>
  <w:style w:type="character" w:styleId="Strong">
    <w:name w:val="Strong"/>
    <w:basedOn w:val="DefaultParagraphFont"/>
    <w:uiPriority w:val="22"/>
    <w:qFormat/>
    <w:rsid w:val="00FB6643"/>
    <w:rPr>
      <w:b/>
      <w:bCs/>
    </w:rPr>
  </w:style>
  <w:style w:type="character" w:customStyle="1" w:styleId="contenttreb70per1">
    <w:name w:val="contenttreb70per1"/>
    <w:basedOn w:val="DefaultParagraphFont"/>
    <w:rsid w:val="00FB6643"/>
    <w:rPr>
      <w:rFonts w:ascii="Times New Roman" w:hAnsi="Times New Roman" w:cs="Times New Roman" w:hint="default"/>
      <w:strike w:val="0"/>
      <w:dstrike w:val="0"/>
      <w:color w:val="000000"/>
      <w:sz w:val="22"/>
      <w:szCs w:val="22"/>
      <w:u w:val="none"/>
      <w:effect w:val="none"/>
    </w:rPr>
  </w:style>
  <w:style w:type="character" w:styleId="Emphasis">
    <w:name w:val="Emphasis"/>
    <w:basedOn w:val="DefaultParagraphFont"/>
    <w:uiPriority w:val="20"/>
    <w:qFormat/>
    <w:rsid w:val="00FB6643"/>
    <w:rPr>
      <w:i/>
      <w:iCs/>
    </w:rPr>
  </w:style>
  <w:style w:type="paragraph" w:customStyle="1" w:styleId="outline">
    <w:name w:val="outline"/>
    <w:basedOn w:val="Normal"/>
    <w:rsid w:val="00FB6643"/>
    <w:pPr>
      <w:spacing w:before="100" w:beforeAutospacing="1" w:after="100" w:afterAutospacing="1"/>
    </w:pPr>
  </w:style>
  <w:style w:type="character" w:customStyle="1" w:styleId="tableheaderlevel21">
    <w:name w:val="tableheaderlevel21"/>
    <w:basedOn w:val="DefaultParagraphFont"/>
    <w:rsid w:val="00FB6643"/>
  </w:style>
  <w:style w:type="paragraph" w:customStyle="1" w:styleId="chapternumber">
    <w:name w:val="chapternumber"/>
    <w:basedOn w:val="Normal"/>
    <w:rsid w:val="00FB6643"/>
    <w:pPr>
      <w:spacing w:before="100" w:beforeAutospacing="1" w:after="100" w:afterAutospacing="1"/>
    </w:pPr>
  </w:style>
  <w:style w:type="paragraph" w:styleId="FootnoteText">
    <w:name w:val="footnote text"/>
    <w:aliases w:val="Geneva 9,Font: Geneva 9,Boston 10,f,single space,fn,Footnote Text Char Char Car,Footnote,text,Texto nota pie Car,Footnote Text Char1,Footnote Text Char1 Char Char,Footnote Text Char Char Char Char,ft,Car,FOOTNOTES,footnote text, Car,Font"/>
    <w:basedOn w:val="Normal"/>
    <w:link w:val="FootnoteTextChar"/>
    <w:uiPriority w:val="99"/>
    <w:qFormat/>
    <w:rsid w:val="00FB6643"/>
    <w:pPr>
      <w:spacing w:before="100" w:beforeAutospacing="1" w:after="100" w:afterAutospacing="1"/>
    </w:pPr>
  </w:style>
  <w:style w:type="character" w:customStyle="1" w:styleId="FootnoteTextChar">
    <w:name w:val="Footnote Text Char"/>
    <w:aliases w:val="Geneva 9 Char,Font: Geneva 9 Char,Boston 10 Char,f Char,single space Char,fn Char,Footnote Text Char Char Car Char,Footnote Char,text Char,Texto nota pie Car Char,Footnote Text Char1 Char,Footnote Text Char1 Char Char Char,ft Char"/>
    <w:basedOn w:val="DefaultParagraphFont"/>
    <w:link w:val="FootnoteText"/>
    <w:uiPriority w:val="99"/>
    <w:rsid w:val="00FB6643"/>
    <w:rPr>
      <w:rFonts w:ascii="Times New Roman" w:eastAsia="MS Mincho" w:hAnsi="Times New Roman" w:cs="Times New Roman"/>
      <w:sz w:val="24"/>
      <w:szCs w:val="24"/>
    </w:rPr>
  </w:style>
  <w:style w:type="character" w:customStyle="1" w:styleId="tableheaderlevel22">
    <w:name w:val="tableheaderlevel22"/>
    <w:basedOn w:val="DefaultParagraphFont"/>
    <w:rsid w:val="00FB6643"/>
    <w:rPr>
      <w:rFonts w:ascii="Times New Roman" w:hAnsi="Times New Roman" w:cs="Times New Roman" w:hint="default"/>
      <w:color w:val="000000"/>
      <w:shd w:val="clear" w:color="auto" w:fill="E2E2E2"/>
    </w:rPr>
  </w:style>
  <w:style w:type="paragraph" w:styleId="z-BottomofForm">
    <w:name w:val="HTML Bottom of Form"/>
    <w:basedOn w:val="Normal"/>
    <w:next w:val="Normal"/>
    <w:link w:val="z-BottomofFormChar"/>
    <w:hidden/>
    <w:rsid w:val="00FB664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B6643"/>
    <w:rPr>
      <w:rFonts w:ascii="Arial" w:eastAsia="MS Mincho" w:hAnsi="Arial" w:cs="Arial"/>
      <w:vanish/>
      <w:sz w:val="16"/>
      <w:szCs w:val="16"/>
    </w:rPr>
  </w:style>
  <w:style w:type="paragraph" w:styleId="Footer">
    <w:name w:val="footer"/>
    <w:basedOn w:val="Normal"/>
    <w:link w:val="FooterChar"/>
    <w:uiPriority w:val="99"/>
    <w:rsid w:val="00FB6643"/>
    <w:pPr>
      <w:tabs>
        <w:tab w:val="center" w:pos="4320"/>
        <w:tab w:val="right" w:pos="8640"/>
      </w:tabs>
    </w:pPr>
  </w:style>
  <w:style w:type="character" w:customStyle="1" w:styleId="FooterChar">
    <w:name w:val="Footer Char"/>
    <w:basedOn w:val="DefaultParagraphFont"/>
    <w:link w:val="Footer"/>
    <w:uiPriority w:val="99"/>
    <w:rsid w:val="00FB6643"/>
    <w:rPr>
      <w:rFonts w:ascii="Times New Roman" w:eastAsia="MS Mincho" w:hAnsi="Times New Roman" w:cs="Times New Roman"/>
      <w:sz w:val="24"/>
      <w:szCs w:val="24"/>
    </w:rPr>
  </w:style>
  <w:style w:type="character" w:styleId="PageNumber">
    <w:name w:val="page number"/>
    <w:basedOn w:val="DefaultParagraphFont"/>
    <w:rsid w:val="00FB6643"/>
  </w:style>
  <w:style w:type="paragraph" w:styleId="Header">
    <w:name w:val="header"/>
    <w:basedOn w:val="Normal"/>
    <w:link w:val="HeaderChar"/>
    <w:uiPriority w:val="99"/>
    <w:rsid w:val="00FB6643"/>
    <w:pPr>
      <w:tabs>
        <w:tab w:val="center" w:pos="4320"/>
        <w:tab w:val="right" w:pos="8640"/>
      </w:tabs>
    </w:pPr>
  </w:style>
  <w:style w:type="character" w:customStyle="1" w:styleId="HeaderChar">
    <w:name w:val="Header Char"/>
    <w:basedOn w:val="DefaultParagraphFont"/>
    <w:link w:val="Header"/>
    <w:uiPriority w:val="99"/>
    <w:rsid w:val="00FB6643"/>
    <w:rPr>
      <w:rFonts w:ascii="Times New Roman" w:eastAsia="MS Mincho" w:hAnsi="Times New Roman" w:cs="Times New Roman"/>
      <w:sz w:val="24"/>
      <w:szCs w:val="24"/>
    </w:rPr>
  </w:style>
  <w:style w:type="paragraph" w:styleId="TOC2">
    <w:name w:val="toc 2"/>
    <w:basedOn w:val="Normal"/>
    <w:next w:val="Normal"/>
    <w:link w:val="TOC2Char"/>
    <w:autoRedefine/>
    <w:uiPriority w:val="39"/>
    <w:rsid w:val="00B537E1"/>
    <w:pPr>
      <w:tabs>
        <w:tab w:val="right" w:leader="dot" w:pos="9360"/>
      </w:tabs>
      <w:spacing w:after="120"/>
    </w:pPr>
    <w:rPr>
      <w:noProof/>
    </w:rPr>
  </w:style>
  <w:style w:type="table" w:styleId="TableGrid">
    <w:name w:val="Table Grid"/>
    <w:basedOn w:val="TableNormal"/>
    <w:uiPriority w:val="39"/>
    <w:rsid w:val="00FB6643"/>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B6643"/>
    <w:pPr>
      <w:ind w:left="480"/>
    </w:pPr>
  </w:style>
  <w:style w:type="paragraph" w:styleId="ListParagraph">
    <w:name w:val="List Paragraph"/>
    <w:basedOn w:val="Normal"/>
    <w:link w:val="ListParagraphChar"/>
    <w:uiPriority w:val="34"/>
    <w:qFormat/>
    <w:rsid w:val="00FB6643"/>
    <w:pPr>
      <w:ind w:left="720"/>
    </w:pPr>
    <w:rPr>
      <w:rFonts w:eastAsia="Times New Roman"/>
      <w:lang w:eastAsia="en-US"/>
    </w:rPr>
  </w:style>
  <w:style w:type="character" w:styleId="FootnoteReference">
    <w:name w:val="footnote reference"/>
    <w:aliases w:val="16 Point,Superscript 6 Point,ftref,Footnote Reference Number,Footnote Reference_LVL6,Footnote Reference_LVL61,Footnote Reference_LVL62,Footnote Reference_LVL63,Footnote Reference_LVL64,Знак сноски-FN,referencia nota al pie,Ref,number"/>
    <w:basedOn w:val="DefaultParagraphFont"/>
    <w:link w:val="FNRefeCharChar"/>
    <w:uiPriority w:val="99"/>
    <w:qFormat/>
    <w:rsid w:val="00FB6643"/>
    <w:rPr>
      <w:rFonts w:cs="Times New Roman"/>
      <w:vertAlign w:val="superscript"/>
    </w:rPr>
  </w:style>
  <w:style w:type="character" w:customStyle="1" w:styleId="apple-converted-space">
    <w:name w:val="apple-converted-space"/>
    <w:basedOn w:val="DefaultParagraphFont"/>
    <w:rsid w:val="00FB6643"/>
  </w:style>
  <w:style w:type="paragraph" w:styleId="BalloonText">
    <w:name w:val="Balloon Text"/>
    <w:basedOn w:val="Normal"/>
    <w:link w:val="BalloonTextChar"/>
    <w:rsid w:val="00FB6643"/>
    <w:rPr>
      <w:rFonts w:ascii="Tahoma" w:hAnsi="Tahoma" w:cs="Tahoma"/>
      <w:sz w:val="16"/>
      <w:szCs w:val="16"/>
    </w:rPr>
  </w:style>
  <w:style w:type="character" w:customStyle="1" w:styleId="BalloonTextChar">
    <w:name w:val="Balloon Text Char"/>
    <w:basedOn w:val="DefaultParagraphFont"/>
    <w:link w:val="BalloonText"/>
    <w:rsid w:val="00FB6643"/>
    <w:rPr>
      <w:rFonts w:ascii="Tahoma" w:eastAsia="MS Mincho" w:hAnsi="Tahoma" w:cs="Tahoma"/>
      <w:sz w:val="16"/>
      <w:szCs w:val="16"/>
    </w:rPr>
  </w:style>
  <w:style w:type="paragraph" w:customStyle="1" w:styleId="Default">
    <w:name w:val="Default"/>
    <w:rsid w:val="00FB6643"/>
    <w:pPr>
      <w:autoSpaceDE w:val="0"/>
      <w:autoSpaceDN w:val="0"/>
      <w:adjustRightInd w:val="0"/>
      <w:spacing w:after="0" w:line="240" w:lineRule="auto"/>
    </w:pPr>
    <w:rPr>
      <w:rFonts w:ascii="Calibri" w:eastAsia="MS Mincho" w:hAnsi="Calibri" w:cs="Calibri"/>
      <w:color w:val="000000"/>
      <w:sz w:val="24"/>
      <w:szCs w:val="24"/>
      <w:lang w:eastAsia="zh-TW"/>
    </w:rPr>
  </w:style>
  <w:style w:type="character" w:customStyle="1" w:styleId="Heading3Char1">
    <w:name w:val="Heading 3 Char1"/>
    <w:basedOn w:val="DefaultParagraphFont"/>
    <w:rsid w:val="00FB6643"/>
    <w:rPr>
      <w:rFonts w:ascii="Times New Roman" w:eastAsia="MS Mincho" w:hAnsi="Times New Roman" w:cs="Times New Roman"/>
      <w:b/>
      <w:bCs/>
      <w:color w:val="000000"/>
      <w:lang w:eastAsia="ja-JP"/>
    </w:rPr>
  </w:style>
  <w:style w:type="character" w:customStyle="1" w:styleId="ListParagraphChar">
    <w:name w:val="List Paragraph Char"/>
    <w:basedOn w:val="DefaultParagraphFont"/>
    <w:link w:val="ListParagraph"/>
    <w:uiPriority w:val="34"/>
    <w:locked/>
    <w:rsid w:val="00FB6643"/>
    <w:rPr>
      <w:rFonts w:ascii="Times New Roman" w:eastAsia="Times New Roman" w:hAnsi="Times New Roman" w:cs="Times New Roman"/>
      <w:sz w:val="24"/>
      <w:szCs w:val="24"/>
      <w:lang w:eastAsia="en-US"/>
    </w:rPr>
  </w:style>
  <w:style w:type="paragraph" w:customStyle="1" w:styleId="ICRTOC">
    <w:name w:val="ICR TOC"/>
    <w:next w:val="Normal"/>
    <w:rsid w:val="00FB6643"/>
    <w:pPr>
      <w:keepNext/>
      <w:spacing w:after="0" w:line="240" w:lineRule="auto"/>
    </w:pPr>
    <w:rPr>
      <w:rFonts w:ascii="Times New Roman" w:eastAsia="MS Mincho" w:hAnsi="Times New Roman" w:cs="Times New Roman"/>
      <w:b/>
      <w:bCs/>
      <w:color w:val="000000"/>
      <w:sz w:val="25"/>
      <w:szCs w:val="25"/>
      <w:lang w:eastAsia="en-US"/>
    </w:rPr>
  </w:style>
  <w:style w:type="character" w:styleId="CommentReference">
    <w:name w:val="annotation reference"/>
    <w:basedOn w:val="DefaultParagraphFont"/>
    <w:rsid w:val="00FB6643"/>
    <w:rPr>
      <w:sz w:val="16"/>
      <w:szCs w:val="16"/>
    </w:rPr>
  </w:style>
  <w:style w:type="paragraph" w:styleId="CommentText">
    <w:name w:val="annotation text"/>
    <w:basedOn w:val="Normal"/>
    <w:link w:val="CommentTextChar"/>
    <w:rsid w:val="00FB6643"/>
    <w:rPr>
      <w:sz w:val="20"/>
      <w:szCs w:val="20"/>
    </w:rPr>
  </w:style>
  <w:style w:type="character" w:customStyle="1" w:styleId="CommentTextChar">
    <w:name w:val="Comment Text Char"/>
    <w:basedOn w:val="DefaultParagraphFont"/>
    <w:link w:val="CommentText"/>
    <w:rsid w:val="00FB664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rsid w:val="00FB6643"/>
    <w:rPr>
      <w:b/>
      <w:bCs/>
    </w:rPr>
  </w:style>
  <w:style w:type="character" w:customStyle="1" w:styleId="CommentSubjectChar">
    <w:name w:val="Comment Subject Char"/>
    <w:basedOn w:val="CommentTextChar"/>
    <w:link w:val="CommentSubject"/>
    <w:rsid w:val="00FB6643"/>
    <w:rPr>
      <w:rFonts w:ascii="Times New Roman" w:eastAsia="MS Mincho" w:hAnsi="Times New Roman" w:cs="Times New Roman"/>
      <w:b/>
      <w:bCs/>
      <w:sz w:val="20"/>
      <w:szCs w:val="20"/>
    </w:rPr>
  </w:style>
  <w:style w:type="paragraph" w:styleId="Revision">
    <w:name w:val="Revision"/>
    <w:hidden/>
    <w:uiPriority w:val="99"/>
    <w:semiHidden/>
    <w:rsid w:val="00FB6643"/>
    <w:pPr>
      <w:spacing w:after="0" w:line="240" w:lineRule="auto"/>
    </w:pPr>
    <w:rPr>
      <w:rFonts w:ascii="Times New Roman" w:eastAsia="MS Mincho" w:hAnsi="Times New Roman" w:cs="Times New Roman"/>
      <w:sz w:val="24"/>
      <w:szCs w:val="24"/>
    </w:rPr>
  </w:style>
  <w:style w:type="paragraph" w:styleId="TOC1">
    <w:name w:val="toc 1"/>
    <w:basedOn w:val="Normal"/>
    <w:next w:val="Normal"/>
    <w:autoRedefine/>
    <w:uiPriority w:val="39"/>
    <w:rsid w:val="00FB6643"/>
    <w:pPr>
      <w:spacing w:after="100"/>
    </w:pPr>
  </w:style>
  <w:style w:type="paragraph" w:customStyle="1" w:styleId="Style1">
    <w:name w:val="Style1"/>
    <w:basedOn w:val="TOC2"/>
    <w:link w:val="Style1Char"/>
    <w:qFormat/>
    <w:rsid w:val="00FB6643"/>
  </w:style>
  <w:style w:type="character" w:customStyle="1" w:styleId="TOC2Char">
    <w:name w:val="TOC 2 Char"/>
    <w:basedOn w:val="DefaultParagraphFont"/>
    <w:link w:val="TOC2"/>
    <w:uiPriority w:val="39"/>
    <w:rsid w:val="00B537E1"/>
    <w:rPr>
      <w:rFonts w:ascii="Times New Roman" w:eastAsia="MS Mincho" w:hAnsi="Times New Roman" w:cs="Times New Roman"/>
      <w:noProof/>
      <w:sz w:val="24"/>
      <w:szCs w:val="24"/>
    </w:rPr>
  </w:style>
  <w:style w:type="character" w:customStyle="1" w:styleId="Style1Char">
    <w:name w:val="Style1 Char"/>
    <w:basedOn w:val="TOC2Char"/>
    <w:link w:val="Style1"/>
    <w:rsid w:val="00FB6643"/>
    <w:rPr>
      <w:rFonts w:ascii="Times New Roman" w:eastAsia="MS Mincho" w:hAnsi="Times New Roman" w:cs="Times New Roman"/>
      <w:noProof/>
      <w:sz w:val="24"/>
      <w:szCs w:val="24"/>
    </w:rPr>
  </w:style>
  <w:style w:type="paragraph" w:customStyle="1" w:styleId="Para">
    <w:name w:val="Para"/>
    <w:basedOn w:val="Normal"/>
    <w:link w:val="ParaChar"/>
    <w:qFormat/>
    <w:rsid w:val="00FB6643"/>
    <w:pPr>
      <w:numPr>
        <w:ilvl w:val="3"/>
        <w:numId w:val="4"/>
      </w:numPr>
      <w:autoSpaceDE w:val="0"/>
      <w:autoSpaceDN w:val="0"/>
      <w:adjustRightInd w:val="0"/>
      <w:spacing w:before="120"/>
      <w:jc w:val="both"/>
    </w:pPr>
    <w:rPr>
      <w:rFonts w:eastAsia="Calibri"/>
      <w:color w:val="000000"/>
      <w:lang w:eastAsia="en-US"/>
    </w:rPr>
  </w:style>
  <w:style w:type="character" w:customStyle="1" w:styleId="ParaChar">
    <w:name w:val="Para Char"/>
    <w:link w:val="Para"/>
    <w:rsid w:val="00FB6643"/>
    <w:rPr>
      <w:rFonts w:ascii="Times New Roman" w:eastAsia="Calibri" w:hAnsi="Times New Roman" w:cs="Times New Roman"/>
      <w:color w:val="000000"/>
      <w:sz w:val="24"/>
      <w:szCs w:val="24"/>
      <w:lang w:eastAsia="en-US"/>
    </w:rPr>
  </w:style>
  <w:style w:type="paragraph" w:styleId="Caption">
    <w:name w:val="caption"/>
    <w:basedOn w:val="Normal"/>
    <w:next w:val="Normal"/>
    <w:uiPriority w:val="35"/>
    <w:unhideWhenUsed/>
    <w:qFormat/>
    <w:rsid w:val="00FB6643"/>
    <w:pPr>
      <w:spacing w:before="240" w:after="120"/>
      <w:jc w:val="center"/>
    </w:pPr>
    <w:rPr>
      <w:b/>
      <w:bCs/>
      <w:sz w:val="22"/>
      <w:szCs w:val="18"/>
    </w:rPr>
  </w:style>
  <w:style w:type="paragraph" w:styleId="BodyText">
    <w:name w:val="Body Text"/>
    <w:basedOn w:val="Normal"/>
    <w:link w:val="BodyTextChar"/>
    <w:uiPriority w:val="1"/>
    <w:qFormat/>
    <w:rsid w:val="00FB6643"/>
    <w:pPr>
      <w:widowControl w:val="0"/>
      <w:ind w:left="117"/>
    </w:pPr>
    <w:rPr>
      <w:rFonts w:eastAsia="Times New Roman" w:cstheme="minorBidi"/>
      <w:sz w:val="22"/>
      <w:szCs w:val="22"/>
      <w:lang w:eastAsia="en-US"/>
    </w:rPr>
  </w:style>
  <w:style w:type="character" w:customStyle="1" w:styleId="BodyTextChar">
    <w:name w:val="Body Text Char"/>
    <w:basedOn w:val="DefaultParagraphFont"/>
    <w:link w:val="BodyText"/>
    <w:uiPriority w:val="1"/>
    <w:rsid w:val="00FB6643"/>
    <w:rPr>
      <w:rFonts w:ascii="Times New Roman" w:eastAsia="Times New Roman" w:hAnsi="Times New Roman"/>
      <w:lang w:eastAsia="en-US"/>
    </w:rPr>
  </w:style>
  <w:style w:type="paragraph" w:customStyle="1" w:styleId="TableParagraph">
    <w:name w:val="Table Paragraph"/>
    <w:basedOn w:val="Normal"/>
    <w:uiPriority w:val="1"/>
    <w:qFormat/>
    <w:rsid w:val="00FB6643"/>
    <w:pPr>
      <w:widowControl w:val="0"/>
    </w:pPr>
    <w:rPr>
      <w:rFonts w:asciiTheme="minorHAnsi" w:eastAsiaTheme="minorHAnsi" w:hAnsiTheme="minorHAnsi" w:cstheme="minorBidi"/>
      <w:sz w:val="22"/>
      <w:szCs w:val="22"/>
      <w:lang w:eastAsia="en-US"/>
    </w:rPr>
  </w:style>
  <w:style w:type="character" w:customStyle="1" w:styleId="m1">
    <w:name w:val="m1"/>
    <w:basedOn w:val="DefaultParagraphFont"/>
    <w:rsid w:val="00FB6643"/>
    <w:rPr>
      <w:color w:val="0000FF"/>
    </w:rPr>
  </w:style>
  <w:style w:type="paragraph" w:styleId="HTMLPreformatted">
    <w:name w:val="HTML Preformatted"/>
    <w:basedOn w:val="Normal"/>
    <w:link w:val="HTMLPreformattedChar"/>
    <w:uiPriority w:val="99"/>
    <w:unhideWhenUsed/>
    <w:rsid w:val="00FB6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6643"/>
    <w:rPr>
      <w:rFonts w:ascii="Courier New" w:eastAsia="Times New Roman" w:hAnsi="Courier New" w:cs="Courier New"/>
      <w:sz w:val="20"/>
      <w:szCs w:val="20"/>
    </w:rPr>
  </w:style>
  <w:style w:type="paragraph" w:customStyle="1" w:styleId="Fuente">
    <w:name w:val="Fuente"/>
    <w:basedOn w:val="Normal"/>
    <w:qFormat/>
    <w:rsid w:val="00FB6643"/>
    <w:pPr>
      <w:spacing w:before="120" w:after="240" w:line="276" w:lineRule="auto"/>
      <w:jc w:val="both"/>
    </w:pPr>
    <w:rPr>
      <w:rFonts w:ascii="Calibri" w:eastAsia="Times New Roman" w:hAnsi="Calibri"/>
      <w:sz w:val="20"/>
      <w:szCs w:val="22"/>
      <w:lang w:val="es-ES_tradnl" w:eastAsia="es-PE"/>
    </w:rPr>
  </w:style>
  <w:style w:type="table" w:customStyle="1" w:styleId="Tablaconcuadrcula2">
    <w:name w:val="Tabla con cuadrícula2"/>
    <w:basedOn w:val="TableNormal"/>
    <w:uiPriority w:val="59"/>
    <w:rsid w:val="00FB6643"/>
    <w:pPr>
      <w:spacing w:after="0" w:line="240" w:lineRule="auto"/>
    </w:pPr>
    <w:rPr>
      <w:rFonts w:eastAsia="Calibr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3">
    <w:name w:val="Medium List 1 Accent 3"/>
    <w:basedOn w:val="TableNormal"/>
    <w:uiPriority w:val="65"/>
    <w:rsid w:val="00FB6643"/>
    <w:pPr>
      <w:spacing w:after="0" w:line="240" w:lineRule="auto"/>
    </w:pPr>
    <w:rPr>
      <w:rFonts w:eastAsiaTheme="minorHAnsi"/>
      <w:color w:val="000000" w:themeColor="text1"/>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styleId="TOCHeading">
    <w:name w:val="TOC Heading"/>
    <w:basedOn w:val="Heading1"/>
    <w:next w:val="Normal"/>
    <w:uiPriority w:val="39"/>
    <w:unhideWhenUsed/>
    <w:qFormat/>
    <w:rsid w:val="00A51985"/>
    <w:pPr>
      <w:keepNext/>
      <w:keepLines/>
      <w:spacing w:before="240" w:beforeAutospacing="0" w:line="259" w:lineRule="auto"/>
      <w:textAlignment w:val="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BodyTextFirstIndent">
    <w:name w:val="Body Text First Indent"/>
    <w:basedOn w:val="BodyText"/>
    <w:link w:val="BodyTextFirstIndentChar"/>
    <w:uiPriority w:val="99"/>
    <w:semiHidden/>
    <w:unhideWhenUsed/>
    <w:rsid w:val="00D0699E"/>
    <w:pPr>
      <w:widowControl/>
      <w:ind w:left="0" w:firstLine="360"/>
    </w:pPr>
    <w:rPr>
      <w:rFonts w:eastAsia="MS Mincho" w:cs="Times New Roman"/>
      <w:sz w:val="24"/>
      <w:szCs w:val="24"/>
      <w:lang w:eastAsia="ja-JP"/>
    </w:rPr>
  </w:style>
  <w:style w:type="character" w:customStyle="1" w:styleId="BodyTextFirstIndentChar">
    <w:name w:val="Body Text First Indent Char"/>
    <w:basedOn w:val="BodyTextChar"/>
    <w:link w:val="BodyTextFirstIndent"/>
    <w:uiPriority w:val="99"/>
    <w:semiHidden/>
    <w:rsid w:val="00D0699E"/>
    <w:rPr>
      <w:rFonts w:ascii="Times New Roman" w:eastAsia="MS Mincho" w:hAnsi="Times New Roman" w:cs="Times New Roman"/>
      <w:sz w:val="24"/>
      <w:szCs w:val="24"/>
      <w:lang w:eastAsia="en-US"/>
    </w:rPr>
  </w:style>
  <w:style w:type="paragraph" w:customStyle="1" w:styleId="Abstracts">
    <w:name w:val="Abstracts"/>
    <w:rsid w:val="00D0699E"/>
    <w:pPr>
      <w:pBdr>
        <w:top w:val="single" w:sz="4" w:space="6" w:color="auto"/>
        <w:bottom w:val="single" w:sz="4" w:space="8" w:color="auto"/>
      </w:pBdr>
      <w:spacing w:before="240" w:after="240" w:line="240" w:lineRule="auto"/>
      <w:ind w:left="360" w:right="360"/>
      <w:jc w:val="both"/>
    </w:pPr>
    <w:rPr>
      <w:rFonts w:ascii="Times New Roman" w:eastAsia="Times New Roman" w:hAnsi="Times New Roman" w:cs="Times New Roman"/>
      <w:i/>
      <w:iCs/>
      <w:color w:val="000000"/>
      <w:lang w:eastAsia="en-US"/>
    </w:rPr>
  </w:style>
  <w:style w:type="paragraph" w:customStyle="1" w:styleId="EST1">
    <w:name w:val="EST1"/>
    <w:basedOn w:val="Heading9"/>
    <w:rsid w:val="00D0699E"/>
    <w:pPr>
      <w:keepNext w:val="0"/>
      <w:keepLines w:val="0"/>
      <w:spacing w:before="240"/>
      <w:jc w:val="both"/>
    </w:pPr>
    <w:rPr>
      <w:rFonts w:ascii="Times New Roman" w:eastAsia="Times New Roman" w:hAnsi="Times New Roman" w:cs="Arial"/>
      <w:i w:val="0"/>
      <w:iCs w:val="0"/>
      <w:color w:val="auto"/>
      <w:sz w:val="22"/>
      <w:szCs w:val="22"/>
      <w:lang w:val="es-PE" w:eastAsia="en-US"/>
    </w:rPr>
  </w:style>
  <w:style w:type="paragraph" w:customStyle="1" w:styleId="EST1numebred">
    <w:name w:val="EST1 numebred"/>
    <w:basedOn w:val="EST1"/>
    <w:next w:val="BodyTextFirstIndent"/>
    <w:rsid w:val="00D0699E"/>
    <w:pPr>
      <w:numPr>
        <w:ilvl w:val="8"/>
      </w:numPr>
      <w:tabs>
        <w:tab w:val="num" w:pos="360"/>
      </w:tabs>
    </w:pPr>
  </w:style>
  <w:style w:type="paragraph" w:customStyle="1" w:styleId="Litteratur">
    <w:name w:val="Litteratur"/>
    <w:basedOn w:val="Normal"/>
    <w:rsid w:val="00D0699E"/>
    <w:pPr>
      <w:spacing w:before="120" w:after="120"/>
      <w:ind w:left="397" w:hanging="397"/>
      <w:jc w:val="both"/>
    </w:pPr>
    <w:rPr>
      <w:rFonts w:eastAsia="Times New Roman"/>
      <w:szCs w:val="20"/>
      <w:lang w:val="nb-NO" w:eastAsia="en-US"/>
    </w:rPr>
  </w:style>
  <w:style w:type="character" w:customStyle="1" w:styleId="Heading9Char">
    <w:name w:val="Heading 9 Char"/>
    <w:basedOn w:val="DefaultParagraphFont"/>
    <w:link w:val="Heading9"/>
    <w:uiPriority w:val="9"/>
    <w:semiHidden/>
    <w:rsid w:val="00D0699E"/>
    <w:rPr>
      <w:rFonts w:asciiTheme="majorHAnsi" w:eastAsiaTheme="majorEastAsia" w:hAnsiTheme="majorHAnsi" w:cstheme="majorBidi"/>
      <w:i/>
      <w:iCs/>
      <w:color w:val="404040" w:themeColor="text1" w:themeTint="BF"/>
      <w:sz w:val="20"/>
      <w:szCs w:val="20"/>
    </w:rPr>
  </w:style>
  <w:style w:type="paragraph" w:customStyle="1" w:styleId="EST1numbered">
    <w:name w:val="EST1 numbered"/>
    <w:basedOn w:val="EST1"/>
    <w:next w:val="BodyTextFirstIndent"/>
    <w:rsid w:val="00DF2DF8"/>
    <w:pPr>
      <w:numPr>
        <w:ilvl w:val="8"/>
      </w:numPr>
      <w:tabs>
        <w:tab w:val="num" w:pos="720"/>
        <w:tab w:val="num" w:pos="5040"/>
      </w:tabs>
      <w:ind w:left="4320"/>
    </w:pPr>
  </w:style>
  <w:style w:type="character" w:customStyle="1" w:styleId="ft5">
    <w:name w:val="ft5"/>
    <w:basedOn w:val="DefaultParagraphFont"/>
    <w:rsid w:val="003A3C1C"/>
  </w:style>
  <w:style w:type="character" w:customStyle="1" w:styleId="ft6">
    <w:name w:val="ft6"/>
    <w:basedOn w:val="DefaultParagraphFont"/>
    <w:rsid w:val="003A3C1C"/>
  </w:style>
  <w:style w:type="character" w:customStyle="1" w:styleId="A6">
    <w:name w:val="A6"/>
    <w:uiPriority w:val="99"/>
    <w:rsid w:val="009C14DB"/>
    <w:rPr>
      <w:rFonts w:cs="SQETX O+ Rockwell Std"/>
      <w:color w:val="000000"/>
      <w:sz w:val="20"/>
      <w:szCs w:val="20"/>
    </w:rPr>
  </w:style>
  <w:style w:type="character" w:customStyle="1" w:styleId="contentlinkshome1">
    <w:name w:val="contentlinkshome1"/>
    <w:basedOn w:val="DefaultParagraphFont"/>
    <w:rsid w:val="00742B1A"/>
    <w:rPr>
      <w:rFonts w:ascii="Arial" w:hAnsi="Arial" w:cs="Arial" w:hint="default"/>
      <w:b/>
      <w:bCs/>
      <w:strike w:val="0"/>
      <w:dstrike w:val="0"/>
      <w:color w:val="204E84"/>
      <w:sz w:val="18"/>
      <w:szCs w:val="18"/>
      <w:u w:val="none"/>
      <w:effect w:val="none"/>
    </w:rPr>
  </w:style>
  <w:style w:type="character" w:customStyle="1" w:styleId="p2">
    <w:name w:val="p2"/>
    <w:basedOn w:val="DefaultParagraphFont"/>
    <w:rsid w:val="00266C85"/>
  </w:style>
  <w:style w:type="paragraph" w:styleId="Title">
    <w:name w:val="Title"/>
    <w:basedOn w:val="Normal"/>
    <w:link w:val="TitleChar1"/>
    <w:qFormat/>
    <w:rsid w:val="00A85808"/>
    <w:pPr>
      <w:jc w:val="center"/>
    </w:pPr>
    <w:rPr>
      <w:rFonts w:eastAsia="Times New Roman"/>
      <w:b/>
      <w:bCs/>
      <w:sz w:val="20"/>
      <w:szCs w:val="20"/>
      <w:lang w:val="es-ES" w:eastAsia="es-ES"/>
    </w:rPr>
  </w:style>
  <w:style w:type="character" w:customStyle="1" w:styleId="TitleChar">
    <w:name w:val="Title Char"/>
    <w:basedOn w:val="DefaultParagraphFont"/>
    <w:uiPriority w:val="10"/>
    <w:rsid w:val="00A85808"/>
    <w:rPr>
      <w:rFonts w:asciiTheme="majorHAnsi" w:eastAsiaTheme="majorEastAsia" w:hAnsiTheme="majorHAnsi" w:cstheme="majorBidi"/>
      <w:spacing w:val="-10"/>
      <w:kern w:val="28"/>
      <w:sz w:val="56"/>
      <w:szCs w:val="56"/>
    </w:rPr>
  </w:style>
  <w:style w:type="character" w:customStyle="1" w:styleId="ParagraphNumberingChar">
    <w:name w:val="Paragraph Numbering Char"/>
    <w:rsid w:val="00A85808"/>
    <w:rPr>
      <w:rFonts w:ascii="Times New Roman" w:eastAsia="Times New Roman" w:hAnsi="Times New Roman" w:cs="Times New Roman"/>
      <w:sz w:val="24"/>
      <w:szCs w:val="24"/>
    </w:rPr>
  </w:style>
  <w:style w:type="paragraph" w:customStyle="1" w:styleId="Prrafodelista2">
    <w:name w:val="Párrafo de lista2"/>
    <w:basedOn w:val="Normal"/>
    <w:rsid w:val="00A85808"/>
    <w:pPr>
      <w:ind w:left="720"/>
    </w:pPr>
    <w:rPr>
      <w:rFonts w:eastAsia="Times New Roman"/>
      <w:sz w:val="20"/>
      <w:szCs w:val="20"/>
      <w:lang w:val="es-PE" w:eastAsia="es-ES"/>
    </w:rPr>
  </w:style>
  <w:style w:type="character" w:customStyle="1" w:styleId="fnChar1">
    <w:name w:val="fn Char1"/>
    <w:aliases w:val="Footnote Text Char2 Char1,Footnote Text Char1 Char1 Char1,Footnote Text Char1 Char Char Char Char1,Footnote Text Char Char Char Char Char Char1,Footnote Text Char1 Char Char Char Char Char Char1,footnote Char,ADB Char"/>
    <w:uiPriority w:val="99"/>
    <w:rsid w:val="00A85808"/>
    <w:rPr>
      <w:lang w:val="es-ES" w:eastAsia="es-ES"/>
    </w:rPr>
  </w:style>
  <w:style w:type="character" w:customStyle="1" w:styleId="TitleChar1">
    <w:name w:val="Title Char1"/>
    <w:link w:val="Title"/>
    <w:rsid w:val="00A85808"/>
    <w:rPr>
      <w:rFonts w:ascii="Times New Roman" w:eastAsia="Times New Roman" w:hAnsi="Times New Roman" w:cs="Times New Roman"/>
      <w:b/>
      <w:bCs/>
      <w:sz w:val="20"/>
      <w:szCs w:val="20"/>
      <w:lang w:val="es-ES" w:eastAsia="es-ES"/>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A85808"/>
    <w:pPr>
      <w:spacing w:after="160" w:line="240" w:lineRule="exact"/>
    </w:pPr>
    <w:rPr>
      <w:rFonts w:asciiTheme="minorHAnsi" w:eastAsiaTheme="minorEastAsia" w:hAnsiTheme="minorHAns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1409">
      <w:bodyDiv w:val="1"/>
      <w:marLeft w:val="0"/>
      <w:marRight w:val="0"/>
      <w:marTop w:val="0"/>
      <w:marBottom w:val="0"/>
      <w:divBdr>
        <w:top w:val="none" w:sz="0" w:space="0" w:color="auto"/>
        <w:left w:val="none" w:sz="0" w:space="0" w:color="auto"/>
        <w:bottom w:val="none" w:sz="0" w:space="0" w:color="auto"/>
        <w:right w:val="none" w:sz="0" w:space="0" w:color="auto"/>
      </w:divBdr>
    </w:div>
    <w:div w:id="55398123">
      <w:bodyDiv w:val="1"/>
      <w:marLeft w:val="0"/>
      <w:marRight w:val="0"/>
      <w:marTop w:val="0"/>
      <w:marBottom w:val="0"/>
      <w:divBdr>
        <w:top w:val="none" w:sz="0" w:space="0" w:color="auto"/>
        <w:left w:val="none" w:sz="0" w:space="0" w:color="auto"/>
        <w:bottom w:val="none" w:sz="0" w:space="0" w:color="auto"/>
        <w:right w:val="none" w:sz="0" w:space="0" w:color="auto"/>
      </w:divBdr>
    </w:div>
    <w:div w:id="65031133">
      <w:bodyDiv w:val="1"/>
      <w:marLeft w:val="0"/>
      <w:marRight w:val="0"/>
      <w:marTop w:val="0"/>
      <w:marBottom w:val="0"/>
      <w:divBdr>
        <w:top w:val="none" w:sz="0" w:space="0" w:color="auto"/>
        <w:left w:val="none" w:sz="0" w:space="0" w:color="auto"/>
        <w:bottom w:val="none" w:sz="0" w:space="0" w:color="auto"/>
        <w:right w:val="none" w:sz="0" w:space="0" w:color="auto"/>
      </w:divBdr>
    </w:div>
    <w:div w:id="74479576">
      <w:bodyDiv w:val="1"/>
      <w:marLeft w:val="0"/>
      <w:marRight w:val="0"/>
      <w:marTop w:val="0"/>
      <w:marBottom w:val="0"/>
      <w:divBdr>
        <w:top w:val="none" w:sz="0" w:space="0" w:color="auto"/>
        <w:left w:val="none" w:sz="0" w:space="0" w:color="auto"/>
        <w:bottom w:val="none" w:sz="0" w:space="0" w:color="auto"/>
        <w:right w:val="none" w:sz="0" w:space="0" w:color="auto"/>
      </w:divBdr>
    </w:div>
    <w:div w:id="266499711">
      <w:bodyDiv w:val="1"/>
      <w:marLeft w:val="0"/>
      <w:marRight w:val="0"/>
      <w:marTop w:val="0"/>
      <w:marBottom w:val="0"/>
      <w:divBdr>
        <w:top w:val="none" w:sz="0" w:space="0" w:color="auto"/>
        <w:left w:val="none" w:sz="0" w:space="0" w:color="auto"/>
        <w:bottom w:val="none" w:sz="0" w:space="0" w:color="auto"/>
        <w:right w:val="none" w:sz="0" w:space="0" w:color="auto"/>
      </w:divBdr>
    </w:div>
    <w:div w:id="341593543">
      <w:bodyDiv w:val="1"/>
      <w:marLeft w:val="0"/>
      <w:marRight w:val="0"/>
      <w:marTop w:val="0"/>
      <w:marBottom w:val="0"/>
      <w:divBdr>
        <w:top w:val="none" w:sz="0" w:space="0" w:color="auto"/>
        <w:left w:val="none" w:sz="0" w:space="0" w:color="auto"/>
        <w:bottom w:val="none" w:sz="0" w:space="0" w:color="auto"/>
        <w:right w:val="none" w:sz="0" w:space="0" w:color="auto"/>
      </w:divBdr>
    </w:div>
    <w:div w:id="415901759">
      <w:bodyDiv w:val="1"/>
      <w:marLeft w:val="0"/>
      <w:marRight w:val="0"/>
      <w:marTop w:val="0"/>
      <w:marBottom w:val="0"/>
      <w:divBdr>
        <w:top w:val="none" w:sz="0" w:space="0" w:color="auto"/>
        <w:left w:val="none" w:sz="0" w:space="0" w:color="auto"/>
        <w:bottom w:val="none" w:sz="0" w:space="0" w:color="auto"/>
        <w:right w:val="none" w:sz="0" w:space="0" w:color="auto"/>
      </w:divBdr>
    </w:div>
    <w:div w:id="426316437">
      <w:bodyDiv w:val="1"/>
      <w:marLeft w:val="0"/>
      <w:marRight w:val="0"/>
      <w:marTop w:val="0"/>
      <w:marBottom w:val="0"/>
      <w:divBdr>
        <w:top w:val="none" w:sz="0" w:space="0" w:color="auto"/>
        <w:left w:val="none" w:sz="0" w:space="0" w:color="auto"/>
        <w:bottom w:val="none" w:sz="0" w:space="0" w:color="auto"/>
        <w:right w:val="none" w:sz="0" w:space="0" w:color="auto"/>
      </w:divBdr>
    </w:div>
    <w:div w:id="529999109">
      <w:bodyDiv w:val="1"/>
      <w:marLeft w:val="0"/>
      <w:marRight w:val="0"/>
      <w:marTop w:val="0"/>
      <w:marBottom w:val="0"/>
      <w:divBdr>
        <w:top w:val="none" w:sz="0" w:space="0" w:color="auto"/>
        <w:left w:val="none" w:sz="0" w:space="0" w:color="auto"/>
        <w:bottom w:val="none" w:sz="0" w:space="0" w:color="auto"/>
        <w:right w:val="none" w:sz="0" w:space="0" w:color="auto"/>
      </w:divBdr>
      <w:divsChild>
        <w:div w:id="1059285023">
          <w:marLeft w:val="0"/>
          <w:marRight w:val="0"/>
          <w:marTop w:val="0"/>
          <w:marBottom w:val="0"/>
          <w:divBdr>
            <w:top w:val="none" w:sz="0" w:space="0" w:color="auto"/>
            <w:left w:val="none" w:sz="0" w:space="0" w:color="auto"/>
            <w:bottom w:val="none" w:sz="0" w:space="0" w:color="auto"/>
            <w:right w:val="none" w:sz="0" w:space="0" w:color="auto"/>
          </w:divBdr>
          <w:divsChild>
            <w:div w:id="1981378827">
              <w:marLeft w:val="0"/>
              <w:marRight w:val="0"/>
              <w:marTop w:val="0"/>
              <w:marBottom w:val="0"/>
              <w:divBdr>
                <w:top w:val="none" w:sz="0" w:space="0" w:color="auto"/>
                <w:left w:val="none" w:sz="0" w:space="0" w:color="auto"/>
                <w:bottom w:val="none" w:sz="0" w:space="0" w:color="auto"/>
                <w:right w:val="none" w:sz="0" w:space="0" w:color="auto"/>
              </w:divBdr>
            </w:div>
            <w:div w:id="1309557301">
              <w:marLeft w:val="0"/>
              <w:marRight w:val="0"/>
              <w:marTop w:val="0"/>
              <w:marBottom w:val="0"/>
              <w:divBdr>
                <w:top w:val="none" w:sz="0" w:space="0" w:color="auto"/>
                <w:left w:val="none" w:sz="0" w:space="0" w:color="auto"/>
                <w:bottom w:val="none" w:sz="0" w:space="0" w:color="auto"/>
                <w:right w:val="none" w:sz="0" w:space="0" w:color="auto"/>
              </w:divBdr>
            </w:div>
            <w:div w:id="2020547181">
              <w:marLeft w:val="0"/>
              <w:marRight w:val="0"/>
              <w:marTop w:val="0"/>
              <w:marBottom w:val="0"/>
              <w:divBdr>
                <w:top w:val="none" w:sz="0" w:space="0" w:color="auto"/>
                <w:left w:val="none" w:sz="0" w:space="0" w:color="auto"/>
                <w:bottom w:val="none" w:sz="0" w:space="0" w:color="auto"/>
                <w:right w:val="none" w:sz="0" w:space="0" w:color="auto"/>
              </w:divBdr>
            </w:div>
            <w:div w:id="1423720396">
              <w:marLeft w:val="0"/>
              <w:marRight w:val="0"/>
              <w:marTop w:val="0"/>
              <w:marBottom w:val="0"/>
              <w:divBdr>
                <w:top w:val="none" w:sz="0" w:space="0" w:color="auto"/>
                <w:left w:val="none" w:sz="0" w:space="0" w:color="auto"/>
                <w:bottom w:val="none" w:sz="0" w:space="0" w:color="auto"/>
                <w:right w:val="none" w:sz="0" w:space="0" w:color="auto"/>
              </w:divBdr>
            </w:div>
            <w:div w:id="457459040">
              <w:marLeft w:val="0"/>
              <w:marRight w:val="0"/>
              <w:marTop w:val="0"/>
              <w:marBottom w:val="0"/>
              <w:divBdr>
                <w:top w:val="none" w:sz="0" w:space="0" w:color="auto"/>
                <w:left w:val="none" w:sz="0" w:space="0" w:color="auto"/>
                <w:bottom w:val="none" w:sz="0" w:space="0" w:color="auto"/>
                <w:right w:val="none" w:sz="0" w:space="0" w:color="auto"/>
              </w:divBdr>
            </w:div>
            <w:div w:id="373047309">
              <w:marLeft w:val="0"/>
              <w:marRight w:val="0"/>
              <w:marTop w:val="0"/>
              <w:marBottom w:val="0"/>
              <w:divBdr>
                <w:top w:val="none" w:sz="0" w:space="0" w:color="auto"/>
                <w:left w:val="none" w:sz="0" w:space="0" w:color="auto"/>
                <w:bottom w:val="none" w:sz="0" w:space="0" w:color="auto"/>
                <w:right w:val="none" w:sz="0" w:space="0" w:color="auto"/>
              </w:divBdr>
            </w:div>
            <w:div w:id="1093628746">
              <w:marLeft w:val="0"/>
              <w:marRight w:val="0"/>
              <w:marTop w:val="0"/>
              <w:marBottom w:val="0"/>
              <w:divBdr>
                <w:top w:val="none" w:sz="0" w:space="0" w:color="auto"/>
                <w:left w:val="none" w:sz="0" w:space="0" w:color="auto"/>
                <w:bottom w:val="none" w:sz="0" w:space="0" w:color="auto"/>
                <w:right w:val="none" w:sz="0" w:space="0" w:color="auto"/>
              </w:divBdr>
            </w:div>
            <w:div w:id="93088920">
              <w:marLeft w:val="0"/>
              <w:marRight w:val="0"/>
              <w:marTop w:val="0"/>
              <w:marBottom w:val="0"/>
              <w:divBdr>
                <w:top w:val="none" w:sz="0" w:space="0" w:color="auto"/>
                <w:left w:val="none" w:sz="0" w:space="0" w:color="auto"/>
                <w:bottom w:val="none" w:sz="0" w:space="0" w:color="auto"/>
                <w:right w:val="none" w:sz="0" w:space="0" w:color="auto"/>
              </w:divBdr>
            </w:div>
            <w:div w:id="423263878">
              <w:marLeft w:val="0"/>
              <w:marRight w:val="0"/>
              <w:marTop w:val="0"/>
              <w:marBottom w:val="0"/>
              <w:divBdr>
                <w:top w:val="none" w:sz="0" w:space="0" w:color="auto"/>
                <w:left w:val="none" w:sz="0" w:space="0" w:color="auto"/>
                <w:bottom w:val="none" w:sz="0" w:space="0" w:color="auto"/>
                <w:right w:val="none" w:sz="0" w:space="0" w:color="auto"/>
              </w:divBdr>
            </w:div>
            <w:div w:id="101189621">
              <w:marLeft w:val="0"/>
              <w:marRight w:val="0"/>
              <w:marTop w:val="0"/>
              <w:marBottom w:val="0"/>
              <w:divBdr>
                <w:top w:val="none" w:sz="0" w:space="0" w:color="auto"/>
                <w:left w:val="none" w:sz="0" w:space="0" w:color="auto"/>
                <w:bottom w:val="none" w:sz="0" w:space="0" w:color="auto"/>
                <w:right w:val="none" w:sz="0" w:space="0" w:color="auto"/>
              </w:divBdr>
            </w:div>
            <w:div w:id="994920633">
              <w:marLeft w:val="0"/>
              <w:marRight w:val="0"/>
              <w:marTop w:val="0"/>
              <w:marBottom w:val="0"/>
              <w:divBdr>
                <w:top w:val="none" w:sz="0" w:space="0" w:color="auto"/>
                <w:left w:val="none" w:sz="0" w:space="0" w:color="auto"/>
                <w:bottom w:val="none" w:sz="0" w:space="0" w:color="auto"/>
                <w:right w:val="none" w:sz="0" w:space="0" w:color="auto"/>
              </w:divBdr>
            </w:div>
            <w:div w:id="1886747025">
              <w:marLeft w:val="0"/>
              <w:marRight w:val="0"/>
              <w:marTop w:val="0"/>
              <w:marBottom w:val="0"/>
              <w:divBdr>
                <w:top w:val="none" w:sz="0" w:space="0" w:color="auto"/>
                <w:left w:val="none" w:sz="0" w:space="0" w:color="auto"/>
                <w:bottom w:val="none" w:sz="0" w:space="0" w:color="auto"/>
                <w:right w:val="none" w:sz="0" w:space="0" w:color="auto"/>
              </w:divBdr>
            </w:div>
            <w:div w:id="1259827283">
              <w:marLeft w:val="0"/>
              <w:marRight w:val="0"/>
              <w:marTop w:val="0"/>
              <w:marBottom w:val="0"/>
              <w:divBdr>
                <w:top w:val="none" w:sz="0" w:space="0" w:color="auto"/>
                <w:left w:val="none" w:sz="0" w:space="0" w:color="auto"/>
                <w:bottom w:val="none" w:sz="0" w:space="0" w:color="auto"/>
                <w:right w:val="none" w:sz="0" w:space="0" w:color="auto"/>
              </w:divBdr>
            </w:div>
            <w:div w:id="980115694">
              <w:marLeft w:val="0"/>
              <w:marRight w:val="0"/>
              <w:marTop w:val="0"/>
              <w:marBottom w:val="0"/>
              <w:divBdr>
                <w:top w:val="none" w:sz="0" w:space="0" w:color="auto"/>
                <w:left w:val="none" w:sz="0" w:space="0" w:color="auto"/>
                <w:bottom w:val="none" w:sz="0" w:space="0" w:color="auto"/>
                <w:right w:val="none" w:sz="0" w:space="0" w:color="auto"/>
              </w:divBdr>
            </w:div>
            <w:div w:id="776407145">
              <w:marLeft w:val="0"/>
              <w:marRight w:val="0"/>
              <w:marTop w:val="0"/>
              <w:marBottom w:val="0"/>
              <w:divBdr>
                <w:top w:val="none" w:sz="0" w:space="0" w:color="auto"/>
                <w:left w:val="none" w:sz="0" w:space="0" w:color="auto"/>
                <w:bottom w:val="none" w:sz="0" w:space="0" w:color="auto"/>
                <w:right w:val="none" w:sz="0" w:space="0" w:color="auto"/>
              </w:divBdr>
            </w:div>
            <w:div w:id="882671489">
              <w:marLeft w:val="0"/>
              <w:marRight w:val="0"/>
              <w:marTop w:val="0"/>
              <w:marBottom w:val="0"/>
              <w:divBdr>
                <w:top w:val="none" w:sz="0" w:space="0" w:color="auto"/>
                <w:left w:val="none" w:sz="0" w:space="0" w:color="auto"/>
                <w:bottom w:val="none" w:sz="0" w:space="0" w:color="auto"/>
                <w:right w:val="none" w:sz="0" w:space="0" w:color="auto"/>
              </w:divBdr>
            </w:div>
            <w:div w:id="6424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00902">
      <w:bodyDiv w:val="1"/>
      <w:marLeft w:val="0"/>
      <w:marRight w:val="0"/>
      <w:marTop w:val="0"/>
      <w:marBottom w:val="0"/>
      <w:divBdr>
        <w:top w:val="none" w:sz="0" w:space="0" w:color="auto"/>
        <w:left w:val="none" w:sz="0" w:space="0" w:color="auto"/>
        <w:bottom w:val="none" w:sz="0" w:space="0" w:color="auto"/>
        <w:right w:val="none" w:sz="0" w:space="0" w:color="auto"/>
      </w:divBdr>
    </w:div>
    <w:div w:id="766771643">
      <w:bodyDiv w:val="1"/>
      <w:marLeft w:val="0"/>
      <w:marRight w:val="0"/>
      <w:marTop w:val="0"/>
      <w:marBottom w:val="0"/>
      <w:divBdr>
        <w:top w:val="none" w:sz="0" w:space="0" w:color="auto"/>
        <w:left w:val="none" w:sz="0" w:space="0" w:color="auto"/>
        <w:bottom w:val="none" w:sz="0" w:space="0" w:color="auto"/>
        <w:right w:val="none" w:sz="0" w:space="0" w:color="auto"/>
      </w:divBdr>
    </w:div>
    <w:div w:id="1088187503">
      <w:bodyDiv w:val="1"/>
      <w:marLeft w:val="0"/>
      <w:marRight w:val="0"/>
      <w:marTop w:val="0"/>
      <w:marBottom w:val="0"/>
      <w:divBdr>
        <w:top w:val="none" w:sz="0" w:space="0" w:color="auto"/>
        <w:left w:val="none" w:sz="0" w:space="0" w:color="auto"/>
        <w:bottom w:val="none" w:sz="0" w:space="0" w:color="auto"/>
        <w:right w:val="none" w:sz="0" w:space="0" w:color="auto"/>
      </w:divBdr>
    </w:div>
    <w:div w:id="1180854119">
      <w:bodyDiv w:val="1"/>
      <w:marLeft w:val="0"/>
      <w:marRight w:val="0"/>
      <w:marTop w:val="0"/>
      <w:marBottom w:val="0"/>
      <w:divBdr>
        <w:top w:val="none" w:sz="0" w:space="0" w:color="auto"/>
        <w:left w:val="none" w:sz="0" w:space="0" w:color="auto"/>
        <w:bottom w:val="none" w:sz="0" w:space="0" w:color="auto"/>
        <w:right w:val="none" w:sz="0" w:space="0" w:color="auto"/>
      </w:divBdr>
    </w:div>
    <w:div w:id="1186557981">
      <w:bodyDiv w:val="1"/>
      <w:marLeft w:val="0"/>
      <w:marRight w:val="0"/>
      <w:marTop w:val="0"/>
      <w:marBottom w:val="0"/>
      <w:divBdr>
        <w:top w:val="none" w:sz="0" w:space="0" w:color="auto"/>
        <w:left w:val="none" w:sz="0" w:space="0" w:color="auto"/>
        <w:bottom w:val="none" w:sz="0" w:space="0" w:color="auto"/>
        <w:right w:val="none" w:sz="0" w:space="0" w:color="auto"/>
      </w:divBdr>
    </w:div>
    <w:div w:id="1234898146">
      <w:bodyDiv w:val="1"/>
      <w:marLeft w:val="0"/>
      <w:marRight w:val="0"/>
      <w:marTop w:val="0"/>
      <w:marBottom w:val="0"/>
      <w:divBdr>
        <w:top w:val="none" w:sz="0" w:space="0" w:color="auto"/>
        <w:left w:val="none" w:sz="0" w:space="0" w:color="auto"/>
        <w:bottom w:val="none" w:sz="0" w:space="0" w:color="auto"/>
        <w:right w:val="none" w:sz="0" w:space="0" w:color="auto"/>
      </w:divBdr>
    </w:div>
    <w:div w:id="1255436518">
      <w:bodyDiv w:val="1"/>
      <w:marLeft w:val="0"/>
      <w:marRight w:val="0"/>
      <w:marTop w:val="0"/>
      <w:marBottom w:val="0"/>
      <w:divBdr>
        <w:top w:val="none" w:sz="0" w:space="0" w:color="auto"/>
        <w:left w:val="none" w:sz="0" w:space="0" w:color="auto"/>
        <w:bottom w:val="none" w:sz="0" w:space="0" w:color="auto"/>
        <w:right w:val="none" w:sz="0" w:space="0" w:color="auto"/>
      </w:divBdr>
    </w:div>
    <w:div w:id="1285039745">
      <w:bodyDiv w:val="1"/>
      <w:marLeft w:val="0"/>
      <w:marRight w:val="0"/>
      <w:marTop w:val="0"/>
      <w:marBottom w:val="0"/>
      <w:divBdr>
        <w:top w:val="none" w:sz="0" w:space="0" w:color="auto"/>
        <w:left w:val="none" w:sz="0" w:space="0" w:color="auto"/>
        <w:bottom w:val="none" w:sz="0" w:space="0" w:color="auto"/>
        <w:right w:val="none" w:sz="0" w:space="0" w:color="auto"/>
      </w:divBdr>
    </w:div>
    <w:div w:id="1292517146">
      <w:bodyDiv w:val="1"/>
      <w:marLeft w:val="0"/>
      <w:marRight w:val="0"/>
      <w:marTop w:val="0"/>
      <w:marBottom w:val="0"/>
      <w:divBdr>
        <w:top w:val="none" w:sz="0" w:space="0" w:color="auto"/>
        <w:left w:val="none" w:sz="0" w:space="0" w:color="auto"/>
        <w:bottom w:val="none" w:sz="0" w:space="0" w:color="auto"/>
        <w:right w:val="none" w:sz="0" w:space="0" w:color="auto"/>
      </w:divBdr>
      <w:divsChild>
        <w:div w:id="1350444383">
          <w:marLeft w:val="0"/>
          <w:marRight w:val="0"/>
          <w:marTop w:val="0"/>
          <w:marBottom w:val="0"/>
          <w:divBdr>
            <w:top w:val="none" w:sz="0" w:space="0" w:color="auto"/>
            <w:left w:val="none" w:sz="0" w:space="0" w:color="auto"/>
            <w:bottom w:val="none" w:sz="0" w:space="0" w:color="auto"/>
            <w:right w:val="none" w:sz="0" w:space="0" w:color="auto"/>
          </w:divBdr>
          <w:divsChild>
            <w:div w:id="569272825">
              <w:marLeft w:val="0"/>
              <w:marRight w:val="0"/>
              <w:marTop w:val="0"/>
              <w:marBottom w:val="0"/>
              <w:divBdr>
                <w:top w:val="none" w:sz="0" w:space="0" w:color="auto"/>
                <w:left w:val="none" w:sz="0" w:space="0" w:color="auto"/>
                <w:bottom w:val="none" w:sz="0" w:space="0" w:color="auto"/>
                <w:right w:val="none" w:sz="0" w:space="0" w:color="auto"/>
              </w:divBdr>
            </w:div>
            <w:div w:id="7032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1674">
      <w:bodyDiv w:val="1"/>
      <w:marLeft w:val="0"/>
      <w:marRight w:val="0"/>
      <w:marTop w:val="0"/>
      <w:marBottom w:val="0"/>
      <w:divBdr>
        <w:top w:val="none" w:sz="0" w:space="0" w:color="auto"/>
        <w:left w:val="none" w:sz="0" w:space="0" w:color="auto"/>
        <w:bottom w:val="none" w:sz="0" w:space="0" w:color="auto"/>
        <w:right w:val="none" w:sz="0" w:space="0" w:color="auto"/>
      </w:divBdr>
    </w:div>
    <w:div w:id="1337342975">
      <w:bodyDiv w:val="1"/>
      <w:marLeft w:val="0"/>
      <w:marRight w:val="0"/>
      <w:marTop w:val="0"/>
      <w:marBottom w:val="0"/>
      <w:divBdr>
        <w:top w:val="none" w:sz="0" w:space="0" w:color="auto"/>
        <w:left w:val="none" w:sz="0" w:space="0" w:color="auto"/>
        <w:bottom w:val="none" w:sz="0" w:space="0" w:color="auto"/>
        <w:right w:val="none" w:sz="0" w:space="0" w:color="auto"/>
      </w:divBdr>
    </w:div>
    <w:div w:id="1343704875">
      <w:bodyDiv w:val="1"/>
      <w:marLeft w:val="0"/>
      <w:marRight w:val="0"/>
      <w:marTop w:val="0"/>
      <w:marBottom w:val="0"/>
      <w:divBdr>
        <w:top w:val="none" w:sz="0" w:space="0" w:color="auto"/>
        <w:left w:val="none" w:sz="0" w:space="0" w:color="auto"/>
        <w:bottom w:val="none" w:sz="0" w:space="0" w:color="auto"/>
        <w:right w:val="none" w:sz="0" w:space="0" w:color="auto"/>
      </w:divBdr>
    </w:div>
    <w:div w:id="1390574370">
      <w:bodyDiv w:val="1"/>
      <w:marLeft w:val="0"/>
      <w:marRight w:val="0"/>
      <w:marTop w:val="0"/>
      <w:marBottom w:val="0"/>
      <w:divBdr>
        <w:top w:val="none" w:sz="0" w:space="0" w:color="auto"/>
        <w:left w:val="none" w:sz="0" w:space="0" w:color="auto"/>
        <w:bottom w:val="none" w:sz="0" w:space="0" w:color="auto"/>
        <w:right w:val="none" w:sz="0" w:space="0" w:color="auto"/>
      </w:divBdr>
    </w:div>
    <w:div w:id="1472599285">
      <w:bodyDiv w:val="1"/>
      <w:marLeft w:val="0"/>
      <w:marRight w:val="0"/>
      <w:marTop w:val="0"/>
      <w:marBottom w:val="0"/>
      <w:divBdr>
        <w:top w:val="none" w:sz="0" w:space="0" w:color="auto"/>
        <w:left w:val="none" w:sz="0" w:space="0" w:color="auto"/>
        <w:bottom w:val="none" w:sz="0" w:space="0" w:color="auto"/>
        <w:right w:val="none" w:sz="0" w:space="0" w:color="auto"/>
      </w:divBdr>
    </w:div>
    <w:div w:id="1550457441">
      <w:bodyDiv w:val="1"/>
      <w:marLeft w:val="0"/>
      <w:marRight w:val="0"/>
      <w:marTop w:val="0"/>
      <w:marBottom w:val="0"/>
      <w:divBdr>
        <w:top w:val="none" w:sz="0" w:space="0" w:color="auto"/>
        <w:left w:val="none" w:sz="0" w:space="0" w:color="auto"/>
        <w:bottom w:val="none" w:sz="0" w:space="0" w:color="auto"/>
        <w:right w:val="none" w:sz="0" w:space="0" w:color="auto"/>
      </w:divBdr>
    </w:div>
    <w:div w:id="1736050194">
      <w:bodyDiv w:val="1"/>
      <w:marLeft w:val="0"/>
      <w:marRight w:val="0"/>
      <w:marTop w:val="0"/>
      <w:marBottom w:val="0"/>
      <w:divBdr>
        <w:top w:val="none" w:sz="0" w:space="0" w:color="auto"/>
        <w:left w:val="none" w:sz="0" w:space="0" w:color="auto"/>
        <w:bottom w:val="none" w:sz="0" w:space="0" w:color="auto"/>
        <w:right w:val="none" w:sz="0" w:space="0" w:color="auto"/>
      </w:divBdr>
    </w:div>
    <w:div w:id="1744570267">
      <w:bodyDiv w:val="1"/>
      <w:marLeft w:val="0"/>
      <w:marRight w:val="0"/>
      <w:marTop w:val="0"/>
      <w:marBottom w:val="0"/>
      <w:divBdr>
        <w:top w:val="none" w:sz="0" w:space="0" w:color="auto"/>
        <w:left w:val="none" w:sz="0" w:space="0" w:color="auto"/>
        <w:bottom w:val="none" w:sz="0" w:space="0" w:color="auto"/>
        <w:right w:val="none" w:sz="0" w:space="0" w:color="auto"/>
      </w:divBdr>
    </w:div>
    <w:div w:id="1804959139">
      <w:bodyDiv w:val="1"/>
      <w:marLeft w:val="0"/>
      <w:marRight w:val="0"/>
      <w:marTop w:val="0"/>
      <w:marBottom w:val="0"/>
      <w:divBdr>
        <w:top w:val="none" w:sz="0" w:space="0" w:color="auto"/>
        <w:left w:val="none" w:sz="0" w:space="0" w:color="auto"/>
        <w:bottom w:val="none" w:sz="0" w:space="0" w:color="auto"/>
        <w:right w:val="none" w:sz="0" w:space="0" w:color="auto"/>
      </w:divBdr>
    </w:div>
    <w:div w:id="1912886766">
      <w:bodyDiv w:val="1"/>
      <w:marLeft w:val="0"/>
      <w:marRight w:val="0"/>
      <w:marTop w:val="0"/>
      <w:marBottom w:val="0"/>
      <w:divBdr>
        <w:top w:val="none" w:sz="0" w:space="0" w:color="auto"/>
        <w:left w:val="none" w:sz="0" w:space="0" w:color="auto"/>
        <w:bottom w:val="none" w:sz="0" w:space="0" w:color="auto"/>
        <w:right w:val="none" w:sz="0" w:space="0" w:color="auto"/>
      </w:divBdr>
    </w:div>
    <w:div w:id="1921256990">
      <w:bodyDiv w:val="1"/>
      <w:marLeft w:val="0"/>
      <w:marRight w:val="0"/>
      <w:marTop w:val="0"/>
      <w:marBottom w:val="0"/>
      <w:divBdr>
        <w:top w:val="none" w:sz="0" w:space="0" w:color="auto"/>
        <w:left w:val="none" w:sz="0" w:space="0" w:color="auto"/>
        <w:bottom w:val="none" w:sz="0" w:space="0" w:color="auto"/>
        <w:right w:val="none" w:sz="0" w:space="0" w:color="auto"/>
      </w:divBdr>
    </w:div>
    <w:div w:id="2070953692">
      <w:bodyDiv w:val="1"/>
      <w:marLeft w:val="0"/>
      <w:marRight w:val="0"/>
      <w:marTop w:val="0"/>
      <w:marBottom w:val="0"/>
      <w:divBdr>
        <w:top w:val="none" w:sz="0" w:space="0" w:color="auto"/>
        <w:left w:val="none" w:sz="0" w:space="0" w:color="auto"/>
        <w:bottom w:val="none" w:sz="0" w:space="0" w:color="auto"/>
        <w:right w:val="none" w:sz="0" w:space="0" w:color="auto"/>
      </w:divBdr>
    </w:div>
    <w:div w:id="2112192474">
      <w:bodyDiv w:val="1"/>
      <w:marLeft w:val="0"/>
      <w:marRight w:val="0"/>
      <w:marTop w:val="0"/>
      <w:marBottom w:val="0"/>
      <w:divBdr>
        <w:top w:val="none" w:sz="0" w:space="0" w:color="auto"/>
        <w:left w:val="none" w:sz="0" w:space="0" w:color="auto"/>
        <w:bottom w:val="none" w:sz="0" w:space="0" w:color="auto"/>
        <w:right w:val="none" w:sz="0" w:space="0" w:color="auto"/>
      </w:divBdr>
    </w:div>
    <w:div w:id="214342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header" Target="header7.xm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rojportal.worldbank.org/servlet/secmain?menuPK=109012&amp;theSitePK=213348&amp;pagePK=112935&amp;piPK=69345&amp;PSPID=P147342" TargetMode="External"/><Relationship Id="rId20" Type="http://schemas.openxmlformats.org/officeDocument/2006/relationships/chart" Target="charts/chart2.xml"/><Relationship Id="rId29" Type="http://schemas.openxmlformats.org/officeDocument/2006/relationships/header" Target="header3.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www.mem.gob.pe"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rnanp.gob.pe"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oefa.gob.pe/publicaciones" TargetMode="External"/><Relationship Id="rId3" Type="http://schemas.openxmlformats.org/officeDocument/2006/relationships/hyperlink" Target="http://www.senamhi.gob.pe/?p=0410" TargetMode="External"/><Relationship Id="rId7" Type="http://schemas.openxmlformats.org/officeDocument/2006/relationships/hyperlink" Target="https://www.oefa.gob.pe/raa-rina" TargetMode="External"/><Relationship Id="rId2" Type="http://schemas.openxmlformats.org/officeDocument/2006/relationships/hyperlink" Target="http://www.sernanp.gob.pe/transparencia" TargetMode="External"/><Relationship Id="rId1" Type="http://schemas.openxmlformats.org/officeDocument/2006/relationships/hyperlink" Target="http://www.minam.gob.pe/transparencia-/planeamiento-y-organizacion/" TargetMode="External"/><Relationship Id="rId6" Type="http://schemas.openxmlformats.org/officeDocument/2006/relationships/hyperlink" Target="http://www.osinergmin.gob.pe/empresas/hidrocarburos/Paginas/RegistroHidrocarburos/RegistrosHidrocarburos.htm" TargetMode="External"/><Relationship Id="rId5" Type="http://schemas.openxmlformats.org/officeDocument/2006/relationships/hyperlink" Target="http://www.minem.gob.pe/_detalle.php?idSector=1&amp;idTitular=5769&amp;idMenu=sub5768&amp;idCateg=961" TargetMode="External"/><Relationship Id="rId10" Type="http://schemas.openxmlformats.org/officeDocument/2006/relationships/hyperlink" Target="http://www.foncopes.com.pe/index.php/foncopes/transparencia/beneficiarios.html" TargetMode="External"/><Relationship Id="rId4" Type="http://schemas.openxmlformats.org/officeDocument/2006/relationships/hyperlink" Target="http://www.digesa.sld.pe/depa/aire_lc/lima_callao.asp" TargetMode="External"/><Relationship Id="rId9" Type="http://schemas.openxmlformats.org/officeDocument/2006/relationships/hyperlink" Target="http://www.produce.gob.pe/index.php/dechi/decreto-legislativo-1084-lm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450672\AppData\Local\Microsoft\Windows\Temporary%20Internet%20Files\Content.Outlook\B6R73E1K\Copia%20de%20Evoluci&#243;n%20ppto%202009-2015%20ok%20(002).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B450672\Documents\PE-EDPL\ICR\DIGESA_Datos_Calidad_Air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B450672\Documents\PE-EDPL\ICR\DIGESA_Datos_Calidad_Air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B450672\Documents\PE-EDPL\ICR\DIGESA_Datos_Calidad_Air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44120343673827"/>
          <c:y val="8.6788932770037103E-2"/>
          <c:w val="0.71624319505152034"/>
          <c:h val="0.66692220076264053"/>
        </c:manualLayout>
      </c:layout>
      <c:lineChart>
        <c:grouping val="standard"/>
        <c:varyColors val="0"/>
        <c:ser>
          <c:idx val="0"/>
          <c:order val="0"/>
          <c:tx>
            <c:strRef>
              <c:f>'Evolución 2009-2015'!$A$6</c:f>
              <c:strCache>
                <c:ptCount val="1"/>
                <c:pt idx="0">
                  <c:v>RO</c:v>
                </c:pt>
              </c:strCache>
            </c:strRef>
          </c:tx>
          <c:cat>
            <c:numRef>
              <c:f>'Evolución 2009-2015'!$B$5:$H$5</c:f>
              <c:numCache>
                <c:formatCode>General</c:formatCode>
                <c:ptCount val="7"/>
                <c:pt idx="0">
                  <c:v>2009</c:v>
                </c:pt>
                <c:pt idx="1">
                  <c:v>2010</c:v>
                </c:pt>
                <c:pt idx="2">
                  <c:v>2011</c:v>
                </c:pt>
                <c:pt idx="3">
                  <c:v>2012</c:v>
                </c:pt>
                <c:pt idx="4">
                  <c:v>2013</c:v>
                </c:pt>
                <c:pt idx="5">
                  <c:v>2014</c:v>
                </c:pt>
                <c:pt idx="6">
                  <c:v>2015</c:v>
                </c:pt>
              </c:numCache>
            </c:numRef>
          </c:cat>
          <c:val>
            <c:numRef>
              <c:f>'Evolución 2009-2015'!$B$6:$H$6</c:f>
              <c:numCache>
                <c:formatCode>#,##0.00</c:formatCode>
                <c:ptCount val="7"/>
                <c:pt idx="0">
                  <c:v>2214138.0299999998</c:v>
                </c:pt>
                <c:pt idx="1">
                  <c:v>11586062.050000001</c:v>
                </c:pt>
                <c:pt idx="2">
                  <c:v>15640424.09</c:v>
                </c:pt>
                <c:pt idx="3">
                  <c:v>13940889.85</c:v>
                </c:pt>
                <c:pt idx="4">
                  <c:v>15306364.109999999</c:v>
                </c:pt>
                <c:pt idx="5">
                  <c:v>14047123.369999999</c:v>
                </c:pt>
                <c:pt idx="6">
                  <c:v>17068112.73</c:v>
                </c:pt>
              </c:numCache>
            </c:numRef>
          </c:val>
          <c:smooth val="0"/>
        </c:ser>
        <c:ser>
          <c:idx val="1"/>
          <c:order val="1"/>
          <c:tx>
            <c:strRef>
              <c:f>'Evolución 2009-2015'!$A$7</c:f>
              <c:strCache>
                <c:ptCount val="1"/>
                <c:pt idx="0">
                  <c:v>RDR</c:v>
                </c:pt>
              </c:strCache>
            </c:strRef>
          </c:tx>
          <c:cat>
            <c:numRef>
              <c:f>'Evolución 2009-2015'!$B$5:$H$5</c:f>
              <c:numCache>
                <c:formatCode>General</c:formatCode>
                <c:ptCount val="7"/>
                <c:pt idx="0">
                  <c:v>2009</c:v>
                </c:pt>
                <c:pt idx="1">
                  <c:v>2010</c:v>
                </c:pt>
                <c:pt idx="2">
                  <c:v>2011</c:v>
                </c:pt>
                <c:pt idx="3">
                  <c:v>2012</c:v>
                </c:pt>
                <c:pt idx="4">
                  <c:v>2013</c:v>
                </c:pt>
                <c:pt idx="5">
                  <c:v>2014</c:v>
                </c:pt>
                <c:pt idx="6">
                  <c:v>2015</c:v>
                </c:pt>
              </c:numCache>
            </c:numRef>
          </c:cat>
          <c:val>
            <c:numRef>
              <c:f>'Evolución 2009-2015'!$B$7:$H$7</c:f>
              <c:numCache>
                <c:formatCode>#,##0.00</c:formatCode>
                <c:ptCount val="7"/>
                <c:pt idx="0">
                  <c:v>3452001.01</c:v>
                </c:pt>
                <c:pt idx="1">
                  <c:v>2997324.71</c:v>
                </c:pt>
                <c:pt idx="2">
                  <c:v>2650024.1</c:v>
                </c:pt>
                <c:pt idx="3">
                  <c:v>3497635.42</c:v>
                </c:pt>
                <c:pt idx="4">
                  <c:v>4229948.1399999997</c:v>
                </c:pt>
                <c:pt idx="5">
                  <c:v>4617295.74</c:v>
                </c:pt>
                <c:pt idx="6">
                  <c:v>4868627.3499999996</c:v>
                </c:pt>
              </c:numCache>
            </c:numRef>
          </c:val>
          <c:smooth val="0"/>
        </c:ser>
        <c:ser>
          <c:idx val="2"/>
          <c:order val="2"/>
          <c:tx>
            <c:strRef>
              <c:f>'Evolución 2009-2015'!$A$8</c:f>
              <c:strCache>
                <c:ptCount val="1"/>
                <c:pt idx="0">
                  <c:v>D y T</c:v>
                </c:pt>
              </c:strCache>
            </c:strRef>
          </c:tx>
          <c:cat>
            <c:numRef>
              <c:f>'Evolución 2009-2015'!$B$5:$H$5</c:f>
              <c:numCache>
                <c:formatCode>General</c:formatCode>
                <c:ptCount val="7"/>
                <c:pt idx="0">
                  <c:v>2009</c:v>
                </c:pt>
                <c:pt idx="1">
                  <c:v>2010</c:v>
                </c:pt>
                <c:pt idx="2">
                  <c:v>2011</c:v>
                </c:pt>
                <c:pt idx="3">
                  <c:v>2012</c:v>
                </c:pt>
                <c:pt idx="4">
                  <c:v>2013</c:v>
                </c:pt>
                <c:pt idx="5">
                  <c:v>2014</c:v>
                </c:pt>
                <c:pt idx="6">
                  <c:v>2015</c:v>
                </c:pt>
              </c:numCache>
            </c:numRef>
          </c:cat>
          <c:val>
            <c:numRef>
              <c:f>'Evolución 2009-2015'!$B$8:$H$8</c:f>
              <c:numCache>
                <c:formatCode>#,##0.00</c:formatCode>
                <c:ptCount val="7"/>
                <c:pt idx="0">
                  <c:v>488630.81</c:v>
                </c:pt>
                <c:pt idx="1">
                  <c:v>730409.69</c:v>
                </c:pt>
                <c:pt idx="2">
                  <c:v>110948.89</c:v>
                </c:pt>
                <c:pt idx="3">
                  <c:v>190763.07</c:v>
                </c:pt>
                <c:pt idx="4">
                  <c:v>252028.15</c:v>
                </c:pt>
                <c:pt idx="5">
                  <c:v>184576.14</c:v>
                </c:pt>
                <c:pt idx="6">
                  <c:v>402599.48</c:v>
                </c:pt>
              </c:numCache>
            </c:numRef>
          </c:val>
          <c:smooth val="0"/>
        </c:ser>
        <c:dLbls>
          <c:showLegendKey val="0"/>
          <c:showVal val="0"/>
          <c:showCatName val="0"/>
          <c:showSerName val="0"/>
          <c:showPercent val="0"/>
          <c:showBubbleSize val="0"/>
        </c:dLbls>
        <c:marker val="1"/>
        <c:smooth val="0"/>
        <c:axId val="362191472"/>
        <c:axId val="362191864"/>
      </c:lineChart>
      <c:catAx>
        <c:axId val="362191472"/>
        <c:scaling>
          <c:orientation val="minMax"/>
        </c:scaling>
        <c:delete val="0"/>
        <c:axPos val="b"/>
        <c:numFmt formatCode="General" sourceLinked="1"/>
        <c:majorTickMark val="none"/>
        <c:minorTickMark val="none"/>
        <c:tickLblPos val="nextTo"/>
        <c:crossAx val="362191864"/>
        <c:crosses val="autoZero"/>
        <c:auto val="1"/>
        <c:lblAlgn val="ctr"/>
        <c:lblOffset val="100"/>
        <c:noMultiLvlLbl val="0"/>
      </c:catAx>
      <c:valAx>
        <c:axId val="362191864"/>
        <c:scaling>
          <c:orientation val="minMax"/>
        </c:scaling>
        <c:delete val="0"/>
        <c:axPos val="l"/>
        <c:majorGridlines/>
        <c:title>
          <c:tx>
            <c:rich>
              <a:bodyPr/>
              <a:lstStyle/>
              <a:p>
                <a:pPr>
                  <a:defRPr/>
                </a:pPr>
                <a:r>
                  <a:rPr lang="en-US"/>
                  <a:t>SERNANP BUDGET (US$) </a:t>
                </a:r>
              </a:p>
            </c:rich>
          </c:tx>
          <c:layout>
            <c:manualLayout>
              <c:xMode val="edge"/>
              <c:yMode val="edge"/>
              <c:x val="3.0582786030553703E-2"/>
              <c:y val="0.2338302340564706"/>
            </c:manualLayout>
          </c:layout>
          <c:overlay val="0"/>
        </c:title>
        <c:numFmt formatCode="#,##0.00" sourceLinked="1"/>
        <c:majorTickMark val="none"/>
        <c:minorTickMark val="none"/>
        <c:tickLblPos val="nextTo"/>
        <c:crossAx val="362191472"/>
        <c:crosses val="autoZero"/>
        <c:crossBetween val="between"/>
      </c:valAx>
      <c:dTable>
        <c:showHorzBorder val="1"/>
        <c:showVertBorder val="1"/>
        <c:showOutline val="1"/>
        <c:showKeys val="1"/>
      </c:dTable>
    </c:plotArea>
    <c:plotVisOnly val="1"/>
    <c:dispBlanksAs val="zero"/>
    <c:showDLblsOverMax val="0"/>
  </c:chart>
  <c:spPr>
    <a:solidFill>
      <a:schemeClr val="accent3">
        <a:lumMod val="60000"/>
        <a:lumOff val="40000"/>
      </a:schemeClr>
    </a:solidFill>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t>PM</a:t>
            </a:r>
            <a:r>
              <a:rPr lang="pt-BR" b="1" baseline="-25000"/>
              <a:t>10</a:t>
            </a:r>
            <a:r>
              <a:rPr lang="pt-BR" b="1"/>
              <a:t> </a:t>
            </a:r>
            <a:r>
              <a:rPr lang="pt-BR" sz="960" b="1" i="0" u="none" strike="noStrike" baseline="0">
                <a:effectLst/>
              </a:rPr>
              <a:t>(ug/m</a:t>
            </a:r>
            <a:r>
              <a:rPr lang="pt-BR" sz="960" b="1" i="0" u="none" strike="noStrike" baseline="30000">
                <a:effectLst/>
              </a:rPr>
              <a:t>3</a:t>
            </a:r>
            <a:r>
              <a:rPr lang="pt-BR" sz="960" b="1" i="0" u="none" strike="noStrike" baseline="0">
                <a:effectLst/>
              </a:rPr>
              <a:t>)</a:t>
            </a:r>
            <a:endParaRPr lang="pt-BR" b="1"/>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Sheet1!$B$13</c:f>
              <c:strCache>
                <c:ptCount val="1"/>
                <c:pt idx="0">
                  <c:v>Callao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Sheet1!$C$12:$J$12</c:f>
              <c:numCache>
                <c:formatCode>General</c:formatCode>
                <c:ptCount val="7"/>
                <c:pt idx="0">
                  <c:v>2008</c:v>
                </c:pt>
                <c:pt idx="1">
                  <c:v>2009</c:v>
                </c:pt>
                <c:pt idx="2">
                  <c:v>2010</c:v>
                </c:pt>
                <c:pt idx="3">
                  <c:v>2011</c:v>
                </c:pt>
                <c:pt idx="4">
                  <c:v>2012</c:v>
                </c:pt>
                <c:pt idx="5">
                  <c:v>2013</c:v>
                </c:pt>
                <c:pt idx="6">
                  <c:v>2014</c:v>
                </c:pt>
              </c:numCache>
            </c:numRef>
          </c:cat>
          <c:val>
            <c:numRef>
              <c:f>Sheet1!$C$13:$J$13</c:f>
              <c:numCache>
                <c:formatCode>0</c:formatCode>
                <c:ptCount val="7"/>
                <c:pt idx="0">
                  <c:v>35.630000000000003</c:v>
                </c:pt>
                <c:pt idx="1">
                  <c:v>34.380000000000003</c:v>
                </c:pt>
                <c:pt idx="2">
                  <c:v>37</c:v>
                </c:pt>
                <c:pt idx="3">
                  <c:v>36</c:v>
                </c:pt>
                <c:pt idx="4">
                  <c:v>43</c:v>
                </c:pt>
                <c:pt idx="5">
                  <c:v>22.84</c:v>
                </c:pt>
                <c:pt idx="6">
                  <c:v>29.67</c:v>
                </c:pt>
              </c:numCache>
            </c:numRef>
          </c:val>
        </c:ser>
        <c:ser>
          <c:idx val="1"/>
          <c:order val="1"/>
          <c:tx>
            <c:strRef>
              <c:f>Sheet1!$B$14</c:f>
              <c:strCache>
                <c:ptCount val="1"/>
                <c:pt idx="0">
                  <c:v>South Lima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Sheet1!$C$12:$J$12</c:f>
              <c:numCache>
                <c:formatCode>General</c:formatCode>
                <c:ptCount val="7"/>
                <c:pt idx="0">
                  <c:v>2008</c:v>
                </c:pt>
                <c:pt idx="1">
                  <c:v>2009</c:v>
                </c:pt>
                <c:pt idx="2">
                  <c:v>2010</c:v>
                </c:pt>
                <c:pt idx="3">
                  <c:v>2011</c:v>
                </c:pt>
                <c:pt idx="4">
                  <c:v>2012</c:v>
                </c:pt>
                <c:pt idx="5">
                  <c:v>2013</c:v>
                </c:pt>
                <c:pt idx="6">
                  <c:v>2014</c:v>
                </c:pt>
              </c:numCache>
            </c:numRef>
          </c:cat>
          <c:val>
            <c:numRef>
              <c:f>Sheet1!$C$14:$J$14</c:f>
              <c:numCache>
                <c:formatCode>0</c:formatCode>
                <c:ptCount val="7"/>
                <c:pt idx="0">
                  <c:v>105</c:v>
                </c:pt>
                <c:pt idx="1">
                  <c:v>78.540000000000006</c:v>
                </c:pt>
                <c:pt idx="2">
                  <c:v>79</c:v>
                </c:pt>
                <c:pt idx="3">
                  <c:v>65</c:v>
                </c:pt>
                <c:pt idx="4">
                  <c:v>51</c:v>
                </c:pt>
                <c:pt idx="5">
                  <c:v>23.03</c:v>
                </c:pt>
                <c:pt idx="6">
                  <c:v>51.8</c:v>
                </c:pt>
              </c:numCache>
            </c:numRef>
          </c:val>
        </c:ser>
        <c:ser>
          <c:idx val="2"/>
          <c:order val="2"/>
          <c:tx>
            <c:strRef>
              <c:f>Sheet1!$B$15</c:f>
              <c:strCache>
                <c:ptCount val="1"/>
                <c:pt idx="0">
                  <c:v>East Lima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Sheet1!$C$12:$J$12</c:f>
              <c:numCache>
                <c:formatCode>General</c:formatCode>
                <c:ptCount val="7"/>
                <c:pt idx="0">
                  <c:v>2008</c:v>
                </c:pt>
                <c:pt idx="1">
                  <c:v>2009</c:v>
                </c:pt>
                <c:pt idx="2">
                  <c:v>2010</c:v>
                </c:pt>
                <c:pt idx="3">
                  <c:v>2011</c:v>
                </c:pt>
                <c:pt idx="4">
                  <c:v>2012</c:v>
                </c:pt>
                <c:pt idx="5">
                  <c:v>2013</c:v>
                </c:pt>
                <c:pt idx="6">
                  <c:v>2014</c:v>
                </c:pt>
              </c:numCache>
            </c:numRef>
          </c:cat>
          <c:val>
            <c:numRef>
              <c:f>Sheet1!$C$15:$J$15</c:f>
              <c:numCache>
                <c:formatCode>0</c:formatCode>
                <c:ptCount val="7"/>
                <c:pt idx="0">
                  <c:v>108.2</c:v>
                </c:pt>
                <c:pt idx="1">
                  <c:v>78.41</c:v>
                </c:pt>
                <c:pt idx="2">
                  <c:v>74</c:v>
                </c:pt>
                <c:pt idx="3">
                  <c:v>52</c:v>
                </c:pt>
                <c:pt idx="4">
                  <c:v>89</c:v>
                </c:pt>
                <c:pt idx="5">
                  <c:v>44.97</c:v>
                </c:pt>
                <c:pt idx="6">
                  <c:v>52.91</c:v>
                </c:pt>
              </c:numCache>
            </c:numRef>
          </c:val>
        </c:ser>
        <c:ser>
          <c:idx val="3"/>
          <c:order val="3"/>
          <c:tx>
            <c:strRef>
              <c:f>Sheet1!$B$16</c:f>
              <c:strCache>
                <c:ptCount val="1"/>
                <c:pt idx="0">
                  <c:v>Downtown Lima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Sheet1!$C$12:$J$12</c:f>
              <c:numCache>
                <c:formatCode>General</c:formatCode>
                <c:ptCount val="7"/>
                <c:pt idx="0">
                  <c:v>2008</c:v>
                </c:pt>
                <c:pt idx="1">
                  <c:v>2009</c:v>
                </c:pt>
                <c:pt idx="2">
                  <c:v>2010</c:v>
                </c:pt>
                <c:pt idx="3">
                  <c:v>2011</c:v>
                </c:pt>
                <c:pt idx="4">
                  <c:v>2012</c:v>
                </c:pt>
                <c:pt idx="5">
                  <c:v>2013</c:v>
                </c:pt>
                <c:pt idx="6">
                  <c:v>2014</c:v>
                </c:pt>
              </c:numCache>
            </c:numRef>
          </c:cat>
          <c:val>
            <c:numRef>
              <c:f>Sheet1!$C$16:$J$16</c:f>
              <c:numCache>
                <c:formatCode>0</c:formatCode>
                <c:ptCount val="7"/>
                <c:pt idx="0">
                  <c:v>125.62</c:v>
                </c:pt>
                <c:pt idx="1">
                  <c:v>113.75</c:v>
                </c:pt>
                <c:pt idx="2">
                  <c:v>69</c:v>
                </c:pt>
                <c:pt idx="3">
                  <c:v>47</c:v>
                </c:pt>
                <c:pt idx="4">
                  <c:v>47</c:v>
                </c:pt>
                <c:pt idx="5">
                  <c:v>42.74</c:v>
                </c:pt>
                <c:pt idx="6">
                  <c:v>42.79</c:v>
                </c:pt>
              </c:numCache>
            </c:numRef>
          </c:val>
        </c:ser>
        <c:ser>
          <c:idx val="4"/>
          <c:order val="4"/>
          <c:tx>
            <c:strRef>
              <c:f>Sheet1!$B$17</c:f>
              <c:strCache>
                <c:ptCount val="1"/>
                <c:pt idx="0">
                  <c:v>North Lima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Sheet1!$C$12:$J$12</c:f>
              <c:numCache>
                <c:formatCode>General</c:formatCode>
                <c:ptCount val="7"/>
                <c:pt idx="0">
                  <c:v>2008</c:v>
                </c:pt>
                <c:pt idx="1">
                  <c:v>2009</c:v>
                </c:pt>
                <c:pt idx="2">
                  <c:v>2010</c:v>
                </c:pt>
                <c:pt idx="3">
                  <c:v>2011</c:v>
                </c:pt>
                <c:pt idx="4">
                  <c:v>2012</c:v>
                </c:pt>
                <c:pt idx="5">
                  <c:v>2013</c:v>
                </c:pt>
                <c:pt idx="6">
                  <c:v>2014</c:v>
                </c:pt>
              </c:numCache>
            </c:numRef>
          </c:cat>
          <c:val>
            <c:numRef>
              <c:f>Sheet1!$C$17:$J$17</c:f>
              <c:numCache>
                <c:formatCode>0</c:formatCode>
                <c:ptCount val="7"/>
                <c:pt idx="0">
                  <c:v>103.49</c:v>
                </c:pt>
                <c:pt idx="1">
                  <c:v>121.1</c:v>
                </c:pt>
                <c:pt idx="2">
                  <c:v>83</c:v>
                </c:pt>
                <c:pt idx="3">
                  <c:v>98</c:v>
                </c:pt>
                <c:pt idx="4">
                  <c:v>52</c:v>
                </c:pt>
                <c:pt idx="5">
                  <c:v>46.31</c:v>
                </c:pt>
                <c:pt idx="6">
                  <c:v>85.39</c:v>
                </c:pt>
              </c:numCache>
            </c:numRef>
          </c:val>
        </c:ser>
        <c:dLbls>
          <c:showLegendKey val="0"/>
          <c:showVal val="0"/>
          <c:showCatName val="0"/>
          <c:showSerName val="0"/>
          <c:showPercent val="0"/>
          <c:showBubbleSize val="0"/>
        </c:dLbls>
        <c:gapWidth val="219"/>
        <c:overlap val="-27"/>
        <c:axId val="361966688"/>
        <c:axId val="361967080"/>
      </c:barChart>
      <c:catAx>
        <c:axId val="3619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1967080"/>
        <c:crosses val="autoZero"/>
        <c:auto val="1"/>
        <c:lblAlgn val="ctr"/>
        <c:lblOffset val="100"/>
        <c:noMultiLvlLbl val="0"/>
      </c:catAx>
      <c:valAx>
        <c:axId val="361967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1966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t>SO</a:t>
            </a:r>
            <a:r>
              <a:rPr lang="pt-BR" b="1" baseline="-25000"/>
              <a:t>2</a:t>
            </a:r>
            <a:r>
              <a:rPr lang="pt-BR" b="1"/>
              <a:t> </a:t>
            </a:r>
            <a:r>
              <a:rPr lang="pt-BR" sz="960" b="1" i="0" u="none" strike="noStrike" baseline="0">
                <a:effectLst/>
              </a:rPr>
              <a:t>(ug/m</a:t>
            </a:r>
            <a:r>
              <a:rPr lang="pt-BR" sz="960" b="1" i="0" u="none" strike="noStrike" baseline="30000">
                <a:effectLst/>
              </a:rPr>
              <a:t>3</a:t>
            </a:r>
            <a:r>
              <a:rPr lang="pt-BR" sz="960" b="1" i="0" u="none" strike="noStrike" baseline="0">
                <a:effectLst/>
              </a:rPr>
              <a:t>)</a:t>
            </a:r>
            <a:endParaRPr lang="pt-BR" b="1"/>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Sheet1!$B$22</c:f>
              <c:strCache>
                <c:ptCount val="1"/>
                <c:pt idx="0">
                  <c:v>Callao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Sheet1!$C$21:$J$21</c:f>
              <c:numCache>
                <c:formatCode>General</c:formatCode>
                <c:ptCount val="7"/>
                <c:pt idx="0">
                  <c:v>2008</c:v>
                </c:pt>
                <c:pt idx="1">
                  <c:v>2009</c:v>
                </c:pt>
                <c:pt idx="2">
                  <c:v>2010</c:v>
                </c:pt>
                <c:pt idx="3">
                  <c:v>2011</c:v>
                </c:pt>
                <c:pt idx="4">
                  <c:v>2012</c:v>
                </c:pt>
                <c:pt idx="5">
                  <c:v>2013</c:v>
                </c:pt>
                <c:pt idx="6">
                  <c:v>2014</c:v>
                </c:pt>
              </c:numCache>
            </c:numRef>
          </c:cat>
          <c:val>
            <c:numRef>
              <c:f>Sheet1!$C$22:$J$22</c:f>
              <c:numCache>
                <c:formatCode>0</c:formatCode>
                <c:ptCount val="7"/>
                <c:pt idx="0">
                  <c:v>9.98</c:v>
                </c:pt>
                <c:pt idx="1">
                  <c:v>7.43</c:v>
                </c:pt>
                <c:pt idx="2">
                  <c:v>8</c:v>
                </c:pt>
                <c:pt idx="3">
                  <c:v>9</c:v>
                </c:pt>
                <c:pt idx="4">
                  <c:v>11</c:v>
                </c:pt>
                <c:pt idx="5">
                  <c:v>7.53</c:v>
                </c:pt>
                <c:pt idx="6">
                  <c:v>6.63</c:v>
                </c:pt>
              </c:numCache>
            </c:numRef>
          </c:val>
        </c:ser>
        <c:ser>
          <c:idx val="1"/>
          <c:order val="1"/>
          <c:tx>
            <c:strRef>
              <c:f>Sheet1!$B$23</c:f>
              <c:strCache>
                <c:ptCount val="1"/>
                <c:pt idx="0">
                  <c:v>South Lima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Sheet1!$C$21:$J$21</c:f>
              <c:numCache>
                <c:formatCode>General</c:formatCode>
                <c:ptCount val="7"/>
                <c:pt idx="0">
                  <c:v>2008</c:v>
                </c:pt>
                <c:pt idx="1">
                  <c:v>2009</c:v>
                </c:pt>
                <c:pt idx="2">
                  <c:v>2010</c:v>
                </c:pt>
                <c:pt idx="3">
                  <c:v>2011</c:v>
                </c:pt>
                <c:pt idx="4">
                  <c:v>2012</c:v>
                </c:pt>
                <c:pt idx="5">
                  <c:v>2013</c:v>
                </c:pt>
                <c:pt idx="6">
                  <c:v>2014</c:v>
                </c:pt>
              </c:numCache>
            </c:numRef>
          </c:cat>
          <c:val>
            <c:numRef>
              <c:f>Sheet1!$C$23:$J$23</c:f>
              <c:numCache>
                <c:formatCode>0</c:formatCode>
                <c:ptCount val="7"/>
                <c:pt idx="0">
                  <c:v>59</c:v>
                </c:pt>
                <c:pt idx="1">
                  <c:v>34.01</c:v>
                </c:pt>
                <c:pt idx="2">
                  <c:v>12</c:v>
                </c:pt>
                <c:pt idx="3">
                  <c:v>11</c:v>
                </c:pt>
                <c:pt idx="4">
                  <c:v>14</c:v>
                </c:pt>
                <c:pt idx="5">
                  <c:v>8.32</c:v>
                </c:pt>
                <c:pt idx="6">
                  <c:v>7.06</c:v>
                </c:pt>
              </c:numCache>
            </c:numRef>
          </c:val>
        </c:ser>
        <c:ser>
          <c:idx val="2"/>
          <c:order val="2"/>
          <c:tx>
            <c:strRef>
              <c:f>Sheet1!$B$24</c:f>
              <c:strCache>
                <c:ptCount val="1"/>
                <c:pt idx="0">
                  <c:v>East Lima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Sheet1!$C$21:$J$21</c:f>
              <c:numCache>
                <c:formatCode>General</c:formatCode>
                <c:ptCount val="7"/>
                <c:pt idx="0">
                  <c:v>2008</c:v>
                </c:pt>
                <c:pt idx="1">
                  <c:v>2009</c:v>
                </c:pt>
                <c:pt idx="2">
                  <c:v>2010</c:v>
                </c:pt>
                <c:pt idx="3">
                  <c:v>2011</c:v>
                </c:pt>
                <c:pt idx="4">
                  <c:v>2012</c:v>
                </c:pt>
                <c:pt idx="5">
                  <c:v>2013</c:v>
                </c:pt>
                <c:pt idx="6">
                  <c:v>2014</c:v>
                </c:pt>
              </c:numCache>
            </c:numRef>
          </c:cat>
          <c:val>
            <c:numRef>
              <c:f>Sheet1!$C$24:$J$24</c:f>
              <c:numCache>
                <c:formatCode>0</c:formatCode>
                <c:ptCount val="7"/>
                <c:pt idx="0">
                  <c:v>15.21</c:v>
                </c:pt>
                <c:pt idx="1">
                  <c:v>9.8699999999999992</c:v>
                </c:pt>
                <c:pt idx="2">
                  <c:v>11</c:v>
                </c:pt>
                <c:pt idx="3">
                  <c:v>8</c:v>
                </c:pt>
                <c:pt idx="4">
                  <c:v>14</c:v>
                </c:pt>
                <c:pt idx="5">
                  <c:v>22.28</c:v>
                </c:pt>
                <c:pt idx="6">
                  <c:v>8.14</c:v>
                </c:pt>
              </c:numCache>
            </c:numRef>
          </c:val>
        </c:ser>
        <c:ser>
          <c:idx val="3"/>
          <c:order val="3"/>
          <c:tx>
            <c:strRef>
              <c:f>Sheet1!$B$25</c:f>
              <c:strCache>
                <c:ptCount val="1"/>
                <c:pt idx="0">
                  <c:v>Downtown Lima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Sheet1!$C$21:$J$21</c:f>
              <c:numCache>
                <c:formatCode>General</c:formatCode>
                <c:ptCount val="7"/>
                <c:pt idx="0">
                  <c:v>2008</c:v>
                </c:pt>
                <c:pt idx="1">
                  <c:v>2009</c:v>
                </c:pt>
                <c:pt idx="2">
                  <c:v>2010</c:v>
                </c:pt>
                <c:pt idx="3">
                  <c:v>2011</c:v>
                </c:pt>
                <c:pt idx="4">
                  <c:v>2012</c:v>
                </c:pt>
                <c:pt idx="5">
                  <c:v>2013</c:v>
                </c:pt>
                <c:pt idx="6">
                  <c:v>2014</c:v>
                </c:pt>
              </c:numCache>
            </c:numRef>
          </c:cat>
          <c:val>
            <c:numRef>
              <c:f>Sheet1!$C$25:$J$25</c:f>
              <c:numCache>
                <c:formatCode>0</c:formatCode>
                <c:ptCount val="7"/>
                <c:pt idx="0">
                  <c:v>39.14</c:v>
                </c:pt>
                <c:pt idx="1">
                  <c:v>20.14</c:v>
                </c:pt>
                <c:pt idx="2">
                  <c:v>18</c:v>
                </c:pt>
                <c:pt idx="3">
                  <c:v>17</c:v>
                </c:pt>
                <c:pt idx="4">
                  <c:v>15</c:v>
                </c:pt>
                <c:pt idx="5">
                  <c:v>9.15</c:v>
                </c:pt>
                <c:pt idx="6">
                  <c:v>8.15</c:v>
                </c:pt>
              </c:numCache>
            </c:numRef>
          </c:val>
        </c:ser>
        <c:ser>
          <c:idx val="4"/>
          <c:order val="4"/>
          <c:tx>
            <c:strRef>
              <c:f>Sheet1!$B$26</c:f>
              <c:strCache>
                <c:ptCount val="1"/>
                <c:pt idx="0">
                  <c:v>North Lima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Sheet1!$C$21:$J$21</c:f>
              <c:numCache>
                <c:formatCode>General</c:formatCode>
                <c:ptCount val="7"/>
                <c:pt idx="0">
                  <c:v>2008</c:v>
                </c:pt>
                <c:pt idx="1">
                  <c:v>2009</c:v>
                </c:pt>
                <c:pt idx="2">
                  <c:v>2010</c:v>
                </c:pt>
                <c:pt idx="3">
                  <c:v>2011</c:v>
                </c:pt>
                <c:pt idx="4">
                  <c:v>2012</c:v>
                </c:pt>
                <c:pt idx="5">
                  <c:v>2013</c:v>
                </c:pt>
                <c:pt idx="6">
                  <c:v>2014</c:v>
                </c:pt>
              </c:numCache>
            </c:numRef>
          </c:cat>
          <c:val>
            <c:numRef>
              <c:f>Sheet1!$C$26:$J$26</c:f>
              <c:numCache>
                <c:formatCode>0</c:formatCode>
                <c:ptCount val="7"/>
                <c:pt idx="0">
                  <c:v>35.74</c:v>
                </c:pt>
                <c:pt idx="1">
                  <c:v>21.68</c:v>
                </c:pt>
                <c:pt idx="2">
                  <c:v>12</c:v>
                </c:pt>
                <c:pt idx="3">
                  <c:v>4</c:v>
                </c:pt>
                <c:pt idx="4">
                  <c:v>5</c:v>
                </c:pt>
                <c:pt idx="5">
                  <c:v>11.58</c:v>
                </c:pt>
                <c:pt idx="6">
                  <c:v>9.81</c:v>
                </c:pt>
              </c:numCache>
            </c:numRef>
          </c:val>
        </c:ser>
        <c:dLbls>
          <c:showLegendKey val="0"/>
          <c:showVal val="0"/>
          <c:showCatName val="0"/>
          <c:showSerName val="0"/>
          <c:showPercent val="0"/>
          <c:showBubbleSize val="0"/>
        </c:dLbls>
        <c:gapWidth val="219"/>
        <c:overlap val="-27"/>
        <c:axId val="460890440"/>
        <c:axId val="460890832"/>
      </c:barChart>
      <c:catAx>
        <c:axId val="46089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90832"/>
        <c:crosses val="autoZero"/>
        <c:auto val="1"/>
        <c:lblAlgn val="ctr"/>
        <c:lblOffset val="100"/>
        <c:noMultiLvlLbl val="0"/>
      </c:catAx>
      <c:valAx>
        <c:axId val="46089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90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6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pt-BR" b="1"/>
              <a:t>NO</a:t>
            </a:r>
            <a:r>
              <a:rPr lang="pt-BR" b="1" baseline="-25000"/>
              <a:t>2</a:t>
            </a:r>
            <a:r>
              <a:rPr lang="pt-BR" b="1"/>
              <a:t> (ug/m3)</a:t>
            </a: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6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Sheet1!$B$31</c:f>
              <c:strCache>
                <c:ptCount val="1"/>
                <c:pt idx="0">
                  <c:v>Callao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Sheet1!$C$30:$J$30</c:f>
              <c:numCache>
                <c:formatCode>General</c:formatCode>
                <c:ptCount val="7"/>
                <c:pt idx="0">
                  <c:v>2008</c:v>
                </c:pt>
                <c:pt idx="1">
                  <c:v>2009</c:v>
                </c:pt>
                <c:pt idx="2">
                  <c:v>2010</c:v>
                </c:pt>
                <c:pt idx="3">
                  <c:v>2011</c:v>
                </c:pt>
                <c:pt idx="4">
                  <c:v>2012</c:v>
                </c:pt>
                <c:pt idx="5">
                  <c:v>2013</c:v>
                </c:pt>
                <c:pt idx="6">
                  <c:v>2014</c:v>
                </c:pt>
              </c:numCache>
            </c:numRef>
          </c:cat>
          <c:val>
            <c:numRef>
              <c:f>Sheet1!$C$31:$J$31</c:f>
              <c:numCache>
                <c:formatCode>0</c:formatCode>
                <c:ptCount val="7"/>
                <c:pt idx="0">
                  <c:v>7.26</c:v>
                </c:pt>
                <c:pt idx="1">
                  <c:v>2.36</c:v>
                </c:pt>
                <c:pt idx="2">
                  <c:v>2</c:v>
                </c:pt>
                <c:pt idx="3">
                  <c:v>5</c:v>
                </c:pt>
                <c:pt idx="4">
                  <c:v>2</c:v>
                </c:pt>
                <c:pt idx="5">
                  <c:v>8.19</c:v>
                </c:pt>
                <c:pt idx="6">
                  <c:v>7.38</c:v>
                </c:pt>
              </c:numCache>
            </c:numRef>
          </c:val>
        </c:ser>
        <c:ser>
          <c:idx val="1"/>
          <c:order val="1"/>
          <c:tx>
            <c:strRef>
              <c:f>Sheet1!$B$32</c:f>
              <c:strCache>
                <c:ptCount val="1"/>
                <c:pt idx="0">
                  <c:v>South Lima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Sheet1!$C$30:$J$30</c:f>
              <c:numCache>
                <c:formatCode>General</c:formatCode>
                <c:ptCount val="7"/>
                <c:pt idx="0">
                  <c:v>2008</c:v>
                </c:pt>
                <c:pt idx="1">
                  <c:v>2009</c:v>
                </c:pt>
                <c:pt idx="2">
                  <c:v>2010</c:v>
                </c:pt>
                <c:pt idx="3">
                  <c:v>2011</c:v>
                </c:pt>
                <c:pt idx="4">
                  <c:v>2012</c:v>
                </c:pt>
                <c:pt idx="5">
                  <c:v>2013</c:v>
                </c:pt>
                <c:pt idx="6">
                  <c:v>2014</c:v>
                </c:pt>
              </c:numCache>
            </c:numRef>
          </c:cat>
          <c:val>
            <c:numRef>
              <c:f>Sheet1!$C$32:$J$32</c:f>
              <c:numCache>
                <c:formatCode>0</c:formatCode>
                <c:ptCount val="7"/>
                <c:pt idx="0">
                  <c:v>17</c:v>
                </c:pt>
                <c:pt idx="1">
                  <c:v>24.75</c:v>
                </c:pt>
                <c:pt idx="2">
                  <c:v>20</c:v>
                </c:pt>
                <c:pt idx="3">
                  <c:v>13</c:v>
                </c:pt>
                <c:pt idx="4">
                  <c:v>45</c:v>
                </c:pt>
                <c:pt idx="5">
                  <c:v>22.27</c:v>
                </c:pt>
                <c:pt idx="6">
                  <c:v>27.96</c:v>
                </c:pt>
              </c:numCache>
            </c:numRef>
          </c:val>
        </c:ser>
        <c:ser>
          <c:idx val="2"/>
          <c:order val="2"/>
          <c:tx>
            <c:strRef>
              <c:f>Sheet1!$B$33</c:f>
              <c:strCache>
                <c:ptCount val="1"/>
                <c:pt idx="0">
                  <c:v>East Lima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Sheet1!$C$30:$J$30</c:f>
              <c:numCache>
                <c:formatCode>General</c:formatCode>
                <c:ptCount val="7"/>
                <c:pt idx="0">
                  <c:v>2008</c:v>
                </c:pt>
                <c:pt idx="1">
                  <c:v>2009</c:v>
                </c:pt>
                <c:pt idx="2">
                  <c:v>2010</c:v>
                </c:pt>
                <c:pt idx="3">
                  <c:v>2011</c:v>
                </c:pt>
                <c:pt idx="4">
                  <c:v>2012</c:v>
                </c:pt>
                <c:pt idx="5">
                  <c:v>2013</c:v>
                </c:pt>
                <c:pt idx="6">
                  <c:v>2014</c:v>
                </c:pt>
              </c:numCache>
            </c:numRef>
          </c:cat>
          <c:val>
            <c:numRef>
              <c:f>Sheet1!$C$33:$J$33</c:f>
              <c:numCache>
                <c:formatCode>0</c:formatCode>
                <c:ptCount val="7"/>
                <c:pt idx="0">
                  <c:v>31.01</c:v>
                </c:pt>
                <c:pt idx="1">
                  <c:v>36.97</c:v>
                </c:pt>
                <c:pt idx="2">
                  <c:v>30</c:v>
                </c:pt>
                <c:pt idx="3">
                  <c:v>22</c:v>
                </c:pt>
                <c:pt idx="4">
                  <c:v>13</c:v>
                </c:pt>
                <c:pt idx="5">
                  <c:v>19.84</c:v>
                </c:pt>
                <c:pt idx="6">
                  <c:v>12.13</c:v>
                </c:pt>
              </c:numCache>
            </c:numRef>
          </c:val>
        </c:ser>
        <c:ser>
          <c:idx val="3"/>
          <c:order val="3"/>
          <c:tx>
            <c:strRef>
              <c:f>Sheet1!$B$34</c:f>
              <c:strCache>
                <c:ptCount val="1"/>
                <c:pt idx="0">
                  <c:v>Downtown Lima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Sheet1!$C$30:$J$30</c:f>
              <c:numCache>
                <c:formatCode>General</c:formatCode>
                <c:ptCount val="7"/>
                <c:pt idx="0">
                  <c:v>2008</c:v>
                </c:pt>
                <c:pt idx="1">
                  <c:v>2009</c:v>
                </c:pt>
                <c:pt idx="2">
                  <c:v>2010</c:v>
                </c:pt>
                <c:pt idx="3">
                  <c:v>2011</c:v>
                </c:pt>
                <c:pt idx="4">
                  <c:v>2012</c:v>
                </c:pt>
                <c:pt idx="5">
                  <c:v>2013</c:v>
                </c:pt>
                <c:pt idx="6">
                  <c:v>2014</c:v>
                </c:pt>
              </c:numCache>
            </c:numRef>
          </c:cat>
          <c:val>
            <c:numRef>
              <c:f>Sheet1!$C$34:$J$34</c:f>
              <c:numCache>
                <c:formatCode>0</c:formatCode>
                <c:ptCount val="7"/>
                <c:pt idx="0">
                  <c:v>73.010000000000005</c:v>
                </c:pt>
                <c:pt idx="1">
                  <c:v>37.380000000000003</c:v>
                </c:pt>
                <c:pt idx="2">
                  <c:v>37</c:v>
                </c:pt>
                <c:pt idx="3">
                  <c:v>35</c:v>
                </c:pt>
                <c:pt idx="4">
                  <c:v>30</c:v>
                </c:pt>
                <c:pt idx="5">
                  <c:v>23.46</c:v>
                </c:pt>
                <c:pt idx="6">
                  <c:v>21.97</c:v>
                </c:pt>
              </c:numCache>
            </c:numRef>
          </c:val>
        </c:ser>
        <c:ser>
          <c:idx val="4"/>
          <c:order val="4"/>
          <c:tx>
            <c:strRef>
              <c:f>Sheet1!$B$35</c:f>
              <c:strCache>
                <c:ptCount val="1"/>
                <c:pt idx="0">
                  <c:v>North Lima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Sheet1!$C$30:$J$30</c:f>
              <c:numCache>
                <c:formatCode>General</c:formatCode>
                <c:ptCount val="7"/>
                <c:pt idx="0">
                  <c:v>2008</c:v>
                </c:pt>
                <c:pt idx="1">
                  <c:v>2009</c:v>
                </c:pt>
                <c:pt idx="2">
                  <c:v>2010</c:v>
                </c:pt>
                <c:pt idx="3">
                  <c:v>2011</c:v>
                </c:pt>
                <c:pt idx="4">
                  <c:v>2012</c:v>
                </c:pt>
                <c:pt idx="5">
                  <c:v>2013</c:v>
                </c:pt>
                <c:pt idx="6">
                  <c:v>2014</c:v>
                </c:pt>
              </c:numCache>
            </c:numRef>
          </c:cat>
          <c:val>
            <c:numRef>
              <c:f>Sheet1!$C$35:$J$35</c:f>
              <c:numCache>
                <c:formatCode>0</c:formatCode>
                <c:ptCount val="7"/>
                <c:pt idx="0">
                  <c:v>17.420000000000002</c:v>
                </c:pt>
                <c:pt idx="1">
                  <c:v>25.74</c:v>
                </c:pt>
                <c:pt idx="2">
                  <c:v>25</c:v>
                </c:pt>
                <c:pt idx="3">
                  <c:v>11</c:v>
                </c:pt>
                <c:pt idx="4">
                  <c:v>7</c:v>
                </c:pt>
                <c:pt idx="5">
                  <c:v>27.37</c:v>
                </c:pt>
                <c:pt idx="6">
                  <c:v>31.15</c:v>
                </c:pt>
              </c:numCache>
            </c:numRef>
          </c:val>
        </c:ser>
        <c:dLbls>
          <c:showLegendKey val="0"/>
          <c:showVal val="0"/>
          <c:showCatName val="0"/>
          <c:showSerName val="0"/>
          <c:showPercent val="0"/>
          <c:showBubbleSize val="0"/>
        </c:dLbls>
        <c:gapWidth val="219"/>
        <c:overlap val="-27"/>
        <c:axId val="460891616"/>
        <c:axId val="460892008"/>
      </c:barChart>
      <c:catAx>
        <c:axId val="46089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92008"/>
        <c:crosses val="autoZero"/>
        <c:auto val="1"/>
        <c:lblAlgn val="ctr"/>
        <c:lblOffset val="100"/>
        <c:noMultiLvlLbl val="0"/>
      </c:catAx>
      <c:valAx>
        <c:axId val="46089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91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0.74689</cdr:x>
      <cdr:y>0.04611</cdr:y>
    </cdr:from>
    <cdr:to>
      <cdr:x>0.98872</cdr:x>
      <cdr:y>0.15509</cdr:y>
    </cdr:to>
    <cdr:sp macro="" textlink="">
      <cdr:nvSpPr>
        <cdr:cNvPr id="2" name="Text Box 1"/>
        <cdr:cNvSpPr txBox="1"/>
      </cdr:nvSpPr>
      <cdr:spPr>
        <a:xfrm xmlns:a="http://schemas.openxmlformats.org/drawingml/2006/main">
          <a:off x="4332022" y="91026"/>
          <a:ext cx="1402631" cy="2151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0.72121</cdr:x>
      <cdr:y>0.0482</cdr:y>
    </cdr:from>
    <cdr:to>
      <cdr:x>0.9773</cdr:x>
      <cdr:y>0.16976</cdr:y>
    </cdr:to>
    <cdr:sp macro="" textlink="">
      <cdr:nvSpPr>
        <cdr:cNvPr id="4" name="Text Box 3"/>
        <cdr:cNvSpPr txBox="1"/>
      </cdr:nvSpPr>
      <cdr:spPr>
        <a:xfrm xmlns:a="http://schemas.openxmlformats.org/drawingml/2006/main">
          <a:off x="4183070" y="95164"/>
          <a:ext cx="1485382" cy="239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ECENTER-17-590</_dlc_DocId>
    <_dlc_DocIdUrl xmlns="abd7fad0-8e9a-4f24-82a0-e4a690a7a66d">
      <Url>https://ispan.worldbank.org/sites/BOS/_layouts/15/DocIdRedir.aspx?ID=ECENTER-17-590</Url>
      <Description>ECENTER-17-590</Description>
    </_dlc_DocIdUrl>
    <DocumentDate xmlns="1e565efc-c76f-4e3a-ad62-733aa42cc28d">2016-12-15T05:00:00+00:00</DocumentDate>
    <unid xmlns="1e565efc-c76f-4e3a-ad62-733aa42cc28d" xsi:nil="true"/>
    <Volume_x0020_Title xmlns="1e565efc-c76f-4e3a-ad62-733aa42cc28d">Peru - First, Second, and Third Environomental Development Policy Loans - Implementation Completion and Results Report</Volume_x0020_Title>
    <Disclosure_x0020_Type xmlns="1e565efc-c76f-4e3a-ad62-733aa42cc28d" xsi:nil="true"/>
    <Unit_x0020_Owning_x0020_or_x0020_Responsible xmlns="1e565efc-c76f-4e3a-ad62-733aa42cc28d">GEN04</Unit_x0020_Owning_x0020_or_x0020_Responsible>
    <RObjectID xmlns="1e565efc-c76f-4e3a-ad62-733aa42cc28d">090224b0847db216</RObjectID>
    <Document_x0020_Type xmlns="1e565efc-c76f-4e3a-ad62-733aa42cc28d">Board Report</Document_x0020_Type>
    <Bank_x0020_Group_x0020_Institution xmlns="1e565efc-c76f-4e3a-ad62-733aa42cc28d">IBRD</Bank_x0020_Group_x0020_Institution>
    <Project_x0020_ID xmlns="1e565efc-c76f-4e3a-ad62-733aa42cc28d">P101471</Project_x0020_ID>
    <Report_x0020_Number xmlns="1e565efc-c76f-4e3a-ad62-733aa42cc28d">ICR00001921</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3ab76e60-8887-e611-9488-005056953af8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Country_x0020_Region xmlns="1e565efc-c76f-4e3a-ad62-733aa42cc28d">Peru</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Language xmlns="1e565efc-c76f-4e3a-ad62-733aa42cc28d">English</Language>
    <Board_x0020_Meeting_x0020_Date xmlns="1e565efc-c76f-4e3a-ad62-733aa42cc28d" xsi:nil="true"/>
    <Archive xmlns="1e565efc-c76f-4e3a-ad62-733aa42cc28d">true</Archive>
    <ArchivedDate xmlns="1e565efc-c76f-4e3a-ad62-733aa42cc28d">2016-12-19T16:03:14+00:00</ArchivedDate>
    <PublicClassificationDecidedby xmlns="1e565efc-c76f-4e3a-ad62-733aa42cc28d">Veronica Yolanda Jarrin</PublicClassificationDecidedby>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1" ma:contentTypeDescription="Create a new document." ma:contentTypeScope="" ma:versionID="75b4cdd1f18822cafd7605444111725a">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49c729e895b4e939852acae82af35e65"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0D015-9A04-41D9-A063-13C0E43BA3F1}"/>
</file>

<file path=customXml/itemProps2.xml><?xml version="1.0" encoding="utf-8"?>
<ds:datastoreItem xmlns:ds="http://schemas.openxmlformats.org/officeDocument/2006/customXml" ds:itemID="{002980A8-BB89-47F8-BB2A-6D3E82FCB30E}"/>
</file>

<file path=customXml/itemProps3.xml><?xml version="1.0" encoding="utf-8"?>
<ds:datastoreItem xmlns:ds="http://schemas.openxmlformats.org/officeDocument/2006/customXml" ds:itemID="{594050F3-0591-4EC6-BFC9-119AE72D0F0B}"/>
</file>

<file path=customXml/itemProps4.xml><?xml version="1.0" encoding="utf-8"?>
<ds:datastoreItem xmlns:ds="http://schemas.openxmlformats.org/officeDocument/2006/customXml" ds:itemID="{09C4D076-0D27-45F8-B760-33679AAA99D4}"/>
</file>

<file path=customXml/itemProps5.xml><?xml version="1.0" encoding="utf-8"?>
<ds:datastoreItem xmlns:ds="http://schemas.openxmlformats.org/officeDocument/2006/customXml" ds:itemID="{A72B9F0A-822C-4B61-8017-DB8DFDC558E5}"/>
</file>

<file path=docProps/app.xml><?xml version="1.0" encoding="utf-8"?>
<Properties xmlns="http://schemas.openxmlformats.org/officeDocument/2006/extended-properties" xmlns:vt="http://schemas.openxmlformats.org/officeDocument/2006/docPropsVTypes">
  <Template>Normal.dotm</Template>
  <TotalTime>2</TotalTime>
  <Pages>68</Pages>
  <Words>25757</Words>
  <Characters>146819</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172232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 - First, Second, and Third Environomental Development Policy Loans - Implementation Completion and Results Report</dc:title>
  <dc:creator>WB70877</dc:creator>
  <cp:lastModifiedBy>Veronica Jarrin</cp:lastModifiedBy>
  <cp:revision>2</cp:revision>
  <cp:lastPrinted>2016-09-30T18:13:00Z</cp:lastPrinted>
  <dcterms:created xsi:type="dcterms:W3CDTF">2016-10-01T03:16:00Z</dcterms:created>
  <dcterms:modified xsi:type="dcterms:W3CDTF">2016-10-01T03:16:00Z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_dlc_DocIdItemGuid">
    <vt:lpwstr>7f41f1d3-40cf-4a22-8a56-14348a809ee6</vt:lpwstr>
  </property>
</Properties>
</file>