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D3" w:rsidRPr="00726561" w:rsidRDefault="004B4AD3" w:rsidP="00DB3228">
      <w:pPr>
        <w:spacing w:before="960" w:after="480"/>
        <w:jc w:val="center"/>
        <w:rPr>
          <w:rFonts w:ascii="Times New Roman" w:hAnsi="Times New Roman" w:cs="Times New Roman"/>
        </w:rPr>
      </w:pPr>
      <w:r w:rsidRPr="00726561">
        <w:rPr>
          <w:rFonts w:ascii="Times New Roman" w:hAnsi="Times New Roman" w:cs="Times New Roman"/>
          <w:b/>
          <w:bCs/>
        </w:rPr>
        <w:t>AIDE MEMOIRE</w:t>
      </w:r>
    </w:p>
    <w:p w:rsidR="004B4AD3" w:rsidRPr="00726561" w:rsidRDefault="001A10CC" w:rsidP="00DB3228">
      <w:pPr>
        <w:spacing w:after="840"/>
        <w:jc w:val="center"/>
        <w:rPr>
          <w:rFonts w:ascii="Times New Roman" w:hAnsi="Times New Roman" w:cs="Times New Roman"/>
        </w:rPr>
      </w:pPr>
      <w:r w:rsidRPr="00726561">
        <w:rPr>
          <w:rFonts w:ascii="Times New Roman" w:hAnsi="Times New Roman" w:cs="Times New Roman"/>
          <w:b/>
          <w:bCs/>
        </w:rPr>
        <w:t>Rwanda</w:t>
      </w:r>
    </w:p>
    <w:p w:rsidR="004B4AD3" w:rsidRPr="00726561" w:rsidRDefault="0040423D" w:rsidP="00E22DD0">
      <w:pPr>
        <w:spacing w:after="240"/>
        <w:jc w:val="center"/>
        <w:rPr>
          <w:rFonts w:ascii="Times New Roman" w:hAnsi="Times New Roman" w:cs="Times New Roman"/>
        </w:rPr>
      </w:pPr>
      <w:r w:rsidRPr="00726561">
        <w:rPr>
          <w:rFonts w:ascii="Times New Roman" w:hAnsi="Times New Roman" w:cs="Times New Roman"/>
          <w:b/>
          <w:bCs/>
        </w:rPr>
        <w:t>Supervision</w:t>
      </w:r>
      <w:r w:rsidR="001A10CC" w:rsidRPr="00726561">
        <w:rPr>
          <w:rFonts w:ascii="Times New Roman" w:hAnsi="Times New Roman" w:cs="Times New Roman"/>
          <w:b/>
          <w:bCs/>
        </w:rPr>
        <w:t xml:space="preserve"> </w:t>
      </w:r>
      <w:r w:rsidR="004B4AD3" w:rsidRPr="00726561">
        <w:rPr>
          <w:rFonts w:ascii="Times New Roman" w:hAnsi="Times New Roman" w:cs="Times New Roman"/>
          <w:b/>
          <w:bCs/>
        </w:rPr>
        <w:t xml:space="preserve">Mission </w:t>
      </w:r>
    </w:p>
    <w:p w:rsidR="001A10CC" w:rsidRPr="00726561" w:rsidRDefault="0040423D" w:rsidP="00E22DD0">
      <w:pPr>
        <w:spacing w:after="240"/>
        <w:jc w:val="center"/>
        <w:rPr>
          <w:rFonts w:ascii="Times New Roman" w:hAnsi="Times New Roman" w:cs="Times New Roman"/>
          <w:b/>
          <w:bCs/>
        </w:rPr>
      </w:pPr>
      <w:r w:rsidRPr="00726561">
        <w:rPr>
          <w:rFonts w:ascii="Times New Roman" w:hAnsi="Times New Roman" w:cs="Times New Roman"/>
          <w:b/>
          <w:bCs/>
        </w:rPr>
        <w:t>Sixth</w:t>
      </w:r>
      <w:r w:rsidR="001A10CC" w:rsidRPr="00726561">
        <w:rPr>
          <w:rFonts w:ascii="Times New Roman" w:hAnsi="Times New Roman" w:cs="Times New Roman"/>
          <w:b/>
          <w:bCs/>
        </w:rPr>
        <w:t xml:space="preserve"> Poverty Reduction Support Grant - P11</w:t>
      </w:r>
      <w:r w:rsidR="00DB3228">
        <w:rPr>
          <w:rFonts w:ascii="Times New Roman" w:hAnsi="Times New Roman" w:cs="Times New Roman"/>
          <w:b/>
          <w:bCs/>
        </w:rPr>
        <w:t>3241</w:t>
      </w:r>
    </w:p>
    <w:p w:rsidR="004B4AD3" w:rsidRPr="00726561" w:rsidRDefault="001A10CC" w:rsidP="00B67D49">
      <w:pPr>
        <w:spacing w:after="1080"/>
        <w:jc w:val="center"/>
        <w:rPr>
          <w:rFonts w:ascii="Times New Roman" w:hAnsi="Times New Roman" w:cs="Times New Roman"/>
        </w:rPr>
      </w:pPr>
      <w:r w:rsidRPr="00726561">
        <w:rPr>
          <w:rFonts w:ascii="Times New Roman" w:hAnsi="Times New Roman" w:cs="Times New Roman"/>
          <w:b/>
          <w:bCs/>
        </w:rPr>
        <w:t xml:space="preserve">January 3 </w:t>
      </w:r>
      <w:r w:rsidR="00995096">
        <w:rPr>
          <w:rFonts w:ascii="Times New Roman" w:hAnsi="Times New Roman" w:cs="Times New Roman"/>
          <w:b/>
          <w:bCs/>
        </w:rPr>
        <w:t>–</w:t>
      </w:r>
      <w:r w:rsidRPr="00726561">
        <w:rPr>
          <w:rFonts w:ascii="Times New Roman" w:hAnsi="Times New Roman" w:cs="Times New Roman"/>
          <w:b/>
          <w:bCs/>
        </w:rPr>
        <w:t xml:space="preserve"> 6</w:t>
      </w:r>
      <w:r w:rsidR="00995096">
        <w:rPr>
          <w:rFonts w:ascii="Times New Roman" w:hAnsi="Times New Roman" w:cs="Times New Roman"/>
          <w:b/>
          <w:bCs/>
        </w:rPr>
        <w:t>, 2011</w:t>
      </w:r>
    </w:p>
    <w:p w:rsidR="004B4AD3" w:rsidRPr="004D2106" w:rsidRDefault="004B4AD3" w:rsidP="00DB3228">
      <w:pPr>
        <w:pStyle w:val="Heading1"/>
        <w:rPr>
          <w:sz w:val="26"/>
          <w:szCs w:val="26"/>
        </w:rPr>
      </w:pPr>
      <w:r w:rsidRPr="004D2106">
        <w:rPr>
          <w:sz w:val="26"/>
          <w:szCs w:val="26"/>
        </w:rPr>
        <w:t xml:space="preserve">1. INTRODUCTION AND ACKNOWLEDGEMENTS </w:t>
      </w:r>
    </w:p>
    <w:p w:rsidR="00F01C36" w:rsidRDefault="00E22DD0" w:rsidP="00DB3228">
      <w:pPr>
        <w:pStyle w:val="MainParanoChapter"/>
        <w:numPr>
          <w:ilvl w:val="0"/>
          <w:numId w:val="11"/>
        </w:numPr>
        <w:spacing w:line="276" w:lineRule="auto"/>
        <w:ind w:left="0" w:firstLine="0"/>
        <w:jc w:val="both"/>
      </w:pPr>
      <w:r w:rsidRPr="00726561">
        <w:t xml:space="preserve">The </w:t>
      </w:r>
      <w:r w:rsidR="00141A0A">
        <w:t xml:space="preserve">Rwanda </w:t>
      </w:r>
      <w:r w:rsidR="00141A0A" w:rsidRPr="00141A0A">
        <w:rPr>
          <w:bCs/>
        </w:rPr>
        <w:t>Poverty Reduction Support Grant</w:t>
      </w:r>
      <w:r w:rsidR="00141A0A" w:rsidRPr="00141A0A">
        <w:rPr>
          <w:b/>
          <w:bCs/>
        </w:rPr>
        <w:t xml:space="preserve"> </w:t>
      </w:r>
      <w:r w:rsidR="00141A0A">
        <w:rPr>
          <w:b/>
          <w:bCs/>
        </w:rPr>
        <w:t>(</w:t>
      </w:r>
      <w:r w:rsidRPr="00726561">
        <w:t>PRSG</w:t>
      </w:r>
      <w:r w:rsidR="00141A0A">
        <w:t xml:space="preserve">) </w:t>
      </w:r>
      <w:r w:rsidRPr="00726561">
        <w:t>6</w:t>
      </w:r>
      <w:r w:rsidR="00DB3228">
        <w:t xml:space="preserve"> (in the amount of U</w:t>
      </w:r>
      <w:r w:rsidR="00D06196">
        <w:t>S</w:t>
      </w:r>
      <w:r w:rsidR="00DB3228">
        <w:t>$115.8 million)</w:t>
      </w:r>
      <w:r w:rsidRPr="00726561">
        <w:t xml:space="preserve"> was approved by the Board </w:t>
      </w:r>
      <w:r w:rsidR="005C2F59">
        <w:t>o</w:t>
      </w:r>
      <w:r w:rsidRPr="00726561">
        <w:t xml:space="preserve">n </w:t>
      </w:r>
      <w:r w:rsidRPr="007266BE">
        <w:t>March</w:t>
      </w:r>
      <w:r w:rsidR="005C2F59" w:rsidRPr="007266BE">
        <w:t xml:space="preserve"> 30, </w:t>
      </w:r>
      <w:r w:rsidRPr="007266BE">
        <w:t>2010</w:t>
      </w:r>
      <w:r w:rsidR="005C2F59" w:rsidRPr="007266BE">
        <w:t xml:space="preserve">. </w:t>
      </w:r>
      <w:r w:rsidR="005C2F59">
        <w:t>The effectiveness dat</w:t>
      </w:r>
      <w:r w:rsidR="00064BFB">
        <w:t>e</w:t>
      </w:r>
      <w:r w:rsidR="005C2F59">
        <w:t xml:space="preserve"> was June 2, 2010 and the closing date is scheduled </w:t>
      </w:r>
      <w:r w:rsidR="007266BE">
        <w:t>for</w:t>
      </w:r>
      <w:r w:rsidR="005C2F59">
        <w:t xml:space="preserve"> June 30, 2011. </w:t>
      </w:r>
      <w:r w:rsidR="00F01C36">
        <w:t xml:space="preserve">This </w:t>
      </w:r>
      <w:r w:rsidR="009327CF">
        <w:t xml:space="preserve">aide memoire covers key finding of the </w:t>
      </w:r>
      <w:r w:rsidR="00F01C36">
        <w:t>first s</w:t>
      </w:r>
      <w:r w:rsidR="0040423D" w:rsidRPr="00726561">
        <w:t xml:space="preserve">upervision </w:t>
      </w:r>
      <w:r w:rsidR="00F01C36">
        <w:t xml:space="preserve">mission, </w:t>
      </w:r>
      <w:r w:rsidR="005C2F59" w:rsidRPr="00726561">
        <w:t>January 3 – 6</w:t>
      </w:r>
      <w:r w:rsidR="00995096">
        <w:t>, 2011</w:t>
      </w:r>
      <w:r w:rsidR="005C2F59" w:rsidRPr="00726561">
        <w:t xml:space="preserve"> in Kigali</w:t>
      </w:r>
      <w:r w:rsidR="009327CF">
        <w:t>, conducted</w:t>
      </w:r>
      <w:r w:rsidR="005C2F59" w:rsidRPr="00726561">
        <w:t xml:space="preserve"> </w:t>
      </w:r>
      <w:r w:rsidR="00F01C36">
        <w:t xml:space="preserve">in </w:t>
      </w:r>
      <w:r w:rsidR="00713EDB">
        <w:t xml:space="preserve">parallel to </w:t>
      </w:r>
      <w:r w:rsidR="0040423D" w:rsidRPr="00726561">
        <w:t xml:space="preserve">the </w:t>
      </w:r>
      <w:r w:rsidR="0073108A" w:rsidRPr="00726561">
        <w:t>PRSG-7</w:t>
      </w:r>
      <w:r w:rsidR="003B4618" w:rsidRPr="00726561">
        <w:t xml:space="preserve"> </w:t>
      </w:r>
      <w:r w:rsidR="00F01C36">
        <w:t>a</w:t>
      </w:r>
      <w:r w:rsidR="0073108A" w:rsidRPr="00726561">
        <w:t>ppraisal</w:t>
      </w:r>
      <w:r w:rsidR="0040423D" w:rsidRPr="00726561">
        <w:t xml:space="preserve"> </w:t>
      </w:r>
      <w:r w:rsidR="00F01C36">
        <w:t>m</w:t>
      </w:r>
      <w:r w:rsidRPr="00726561">
        <w:t>ission</w:t>
      </w:r>
      <w:r w:rsidR="00F01C36">
        <w:t>.</w:t>
      </w:r>
    </w:p>
    <w:p w:rsidR="008D06BA" w:rsidRPr="00726561" w:rsidRDefault="0073108A" w:rsidP="00DB3228">
      <w:pPr>
        <w:pStyle w:val="MainParanoChapter"/>
        <w:numPr>
          <w:ilvl w:val="0"/>
          <w:numId w:val="11"/>
        </w:numPr>
        <w:spacing w:line="276" w:lineRule="auto"/>
        <w:ind w:left="0" w:firstLine="0"/>
        <w:jc w:val="both"/>
      </w:pPr>
      <w:r w:rsidRPr="00726561">
        <w:t xml:space="preserve">Responsibilities of the team mission members were as follows: </w:t>
      </w:r>
      <w:r w:rsidRPr="00F01C36">
        <w:rPr>
          <w:bCs/>
        </w:rPr>
        <w:t>Birgit Hansl</w:t>
      </w:r>
      <w:r w:rsidRPr="00F01C36">
        <w:rPr>
          <w:b/>
          <w:bCs/>
        </w:rPr>
        <w:t xml:space="preserve"> </w:t>
      </w:r>
      <w:r w:rsidRPr="00726561">
        <w:t>(based in Kigali) led the discussions with our counterparts, Peace</w:t>
      </w:r>
      <w:r w:rsidRPr="00F01C36">
        <w:rPr>
          <w:bCs/>
        </w:rPr>
        <w:t xml:space="preserve"> Niyibizi</w:t>
      </w:r>
      <w:r w:rsidRPr="00726561">
        <w:t xml:space="preserve"> (based in Kigali) assisted in the </w:t>
      </w:r>
      <w:r w:rsidR="004D2106">
        <w:t>supervision</w:t>
      </w:r>
      <w:r w:rsidRPr="00726561">
        <w:t xml:space="preserve"> process. </w:t>
      </w:r>
      <w:r w:rsidRPr="00F01C36">
        <w:rPr>
          <w:bCs/>
        </w:rPr>
        <w:t>Valens</w:t>
      </w:r>
      <w:r w:rsidRPr="00726561">
        <w:t xml:space="preserve"> </w:t>
      </w:r>
      <w:r w:rsidRPr="00F01C36">
        <w:rPr>
          <w:bCs/>
        </w:rPr>
        <w:t>Mwumvaneza</w:t>
      </w:r>
      <w:r w:rsidRPr="00726561">
        <w:t xml:space="preserve"> (based in Kigali), supported the team </w:t>
      </w:r>
      <w:r w:rsidR="00F01C36">
        <w:t>for assessing progress in the</w:t>
      </w:r>
      <w:r w:rsidRPr="00726561">
        <w:t xml:space="preserve"> agriculture sector. </w:t>
      </w:r>
      <w:r w:rsidRPr="00F01C36">
        <w:rPr>
          <w:bCs/>
        </w:rPr>
        <w:t>Lewis Kabayiza Murara</w:t>
      </w:r>
      <w:r w:rsidRPr="00726561">
        <w:t xml:space="preserve"> (based in Kigali), assisted on tracking progress </w:t>
      </w:r>
      <w:r w:rsidR="00770993">
        <w:t>in</w:t>
      </w:r>
      <w:r w:rsidRPr="00726561">
        <w:t xml:space="preserve"> PFM and Civil Service Reform. </w:t>
      </w:r>
      <w:r w:rsidRPr="00F01C36">
        <w:rPr>
          <w:bCs/>
        </w:rPr>
        <w:t>Chantal Kajangwe</w:t>
      </w:r>
      <w:r w:rsidRPr="00726561">
        <w:t xml:space="preserve"> (based in Kigali), with support from </w:t>
      </w:r>
      <w:r w:rsidRPr="00F01C36">
        <w:rPr>
          <w:bCs/>
        </w:rPr>
        <w:t>Irina</w:t>
      </w:r>
      <w:r w:rsidRPr="00726561">
        <w:t xml:space="preserve"> </w:t>
      </w:r>
      <w:r w:rsidRPr="00F01C36">
        <w:rPr>
          <w:bCs/>
        </w:rPr>
        <w:t>Luca</w:t>
      </w:r>
      <w:r w:rsidRPr="00726561">
        <w:t xml:space="preserve"> in Washingto</w:t>
      </w:r>
      <w:r w:rsidR="00F01C36">
        <w:t xml:space="preserve">n, supported the team in assessing progress in </w:t>
      </w:r>
      <w:r w:rsidRPr="00726561">
        <w:t xml:space="preserve">procurement. </w:t>
      </w:r>
      <w:r w:rsidRPr="00F01C36">
        <w:rPr>
          <w:bCs/>
        </w:rPr>
        <w:t>Bruno Mwanafunzi</w:t>
      </w:r>
      <w:r w:rsidRPr="00F01C36">
        <w:rPr>
          <w:b/>
          <w:bCs/>
        </w:rPr>
        <w:t xml:space="preserve"> </w:t>
      </w:r>
      <w:r w:rsidRPr="00726561">
        <w:t xml:space="preserve">(based in Kigali), assisted the team on </w:t>
      </w:r>
      <w:r w:rsidR="00F01C36">
        <w:t xml:space="preserve">issues in </w:t>
      </w:r>
      <w:r w:rsidRPr="00726561">
        <w:t xml:space="preserve">the water sector. </w:t>
      </w:r>
      <w:r w:rsidRPr="00F01C36">
        <w:rPr>
          <w:bCs/>
        </w:rPr>
        <w:t>Paul Baringanire</w:t>
      </w:r>
      <w:r w:rsidRPr="00726561">
        <w:t xml:space="preserve"> (based in Kigali), assisted the team on the energy sector. </w:t>
      </w:r>
      <w:r w:rsidR="00770993" w:rsidRPr="00F01C36">
        <w:rPr>
          <w:bCs/>
        </w:rPr>
        <w:t>Alex Kam</w:t>
      </w:r>
      <w:r w:rsidR="00995096">
        <w:rPr>
          <w:bCs/>
        </w:rPr>
        <w:t>u</w:t>
      </w:r>
      <w:r w:rsidR="00770993" w:rsidRPr="00F01C36">
        <w:rPr>
          <w:bCs/>
        </w:rPr>
        <w:t xml:space="preserve">rase </w:t>
      </w:r>
      <w:r w:rsidR="00770993" w:rsidRPr="00726561">
        <w:t xml:space="preserve">(based in Kigali), assisted on the </w:t>
      </w:r>
      <w:r w:rsidR="00F01C36">
        <w:t xml:space="preserve">issues related to </w:t>
      </w:r>
      <w:r w:rsidR="00770993" w:rsidRPr="00726561">
        <w:t>decentralization reforms</w:t>
      </w:r>
      <w:r w:rsidR="00770993">
        <w:t>.</w:t>
      </w:r>
      <w:r w:rsidR="00770993" w:rsidRPr="00726561">
        <w:t xml:space="preserve"> </w:t>
      </w:r>
      <w:r w:rsidRPr="00726561">
        <w:t>From Washington</w:t>
      </w:r>
      <w:r w:rsidR="00995096">
        <w:t xml:space="preserve"> D.C.</w:t>
      </w:r>
      <w:r w:rsidRPr="00726561">
        <w:t xml:space="preserve">, </w:t>
      </w:r>
      <w:r w:rsidRPr="00F01C36">
        <w:rPr>
          <w:bCs/>
        </w:rPr>
        <w:t>Margo Hoftijzer</w:t>
      </w:r>
      <w:r w:rsidRPr="00726561">
        <w:t xml:space="preserve"> assisted on </w:t>
      </w:r>
      <w:r w:rsidR="00F01C36">
        <w:t xml:space="preserve">assessing progress </w:t>
      </w:r>
      <w:r w:rsidRPr="00726561">
        <w:t xml:space="preserve">in the education sector </w:t>
      </w:r>
      <w:r w:rsidR="00770993">
        <w:t>and</w:t>
      </w:r>
      <w:r w:rsidRPr="00726561">
        <w:t xml:space="preserve"> </w:t>
      </w:r>
      <w:r w:rsidR="00DB3228" w:rsidRPr="00F01C36">
        <w:rPr>
          <w:bCs/>
        </w:rPr>
        <w:t xml:space="preserve">Elianne Tchapda </w:t>
      </w:r>
      <w:r w:rsidR="00DB3228" w:rsidRPr="00DB3228">
        <w:t xml:space="preserve">provided </w:t>
      </w:r>
      <w:r w:rsidR="00995096">
        <w:t xml:space="preserve">administrative and logistic </w:t>
      </w:r>
      <w:r w:rsidR="00DB3228" w:rsidRPr="00DB3228">
        <w:t>support to the team.</w:t>
      </w:r>
    </w:p>
    <w:p w:rsidR="007C0017" w:rsidRPr="00726561" w:rsidRDefault="008D06BA" w:rsidP="00DB3228">
      <w:pPr>
        <w:pStyle w:val="MainParanoChapter"/>
        <w:numPr>
          <w:ilvl w:val="0"/>
          <w:numId w:val="11"/>
        </w:numPr>
        <w:spacing w:line="276" w:lineRule="auto"/>
        <w:ind w:left="0" w:firstLine="0"/>
        <w:jc w:val="both"/>
      </w:pPr>
      <w:r w:rsidRPr="00726561">
        <w:t xml:space="preserve">The </w:t>
      </w:r>
      <w:r w:rsidRPr="00726561">
        <w:rPr>
          <w:bCs/>
        </w:rPr>
        <w:t>mission</w:t>
      </w:r>
      <w:r w:rsidRPr="00726561">
        <w:t xml:space="preserve"> would like to thank </w:t>
      </w:r>
      <w:r w:rsidR="00F11D0F" w:rsidRPr="00F11D0F">
        <w:t xml:space="preserve">our counterpart at Government, including MINECOFIN and all line ministries and agencies, </w:t>
      </w:r>
      <w:r w:rsidRPr="00726561">
        <w:t xml:space="preserve">who contributed supporting evidence for the </w:t>
      </w:r>
      <w:r w:rsidR="00DB3228">
        <w:t>triggers</w:t>
      </w:r>
      <w:r w:rsidRPr="00726561">
        <w:t xml:space="preserve"> of the PRSG-</w:t>
      </w:r>
      <w:r w:rsidR="00DB3228">
        <w:t>6</w:t>
      </w:r>
      <w:r w:rsidR="00C81747" w:rsidRPr="00726561">
        <w:t xml:space="preserve">. </w:t>
      </w:r>
    </w:p>
    <w:p w:rsidR="00C81747" w:rsidRPr="004D2106" w:rsidRDefault="00C81747" w:rsidP="00DB3228">
      <w:pPr>
        <w:pStyle w:val="Heading1"/>
        <w:rPr>
          <w:sz w:val="26"/>
          <w:szCs w:val="26"/>
        </w:rPr>
      </w:pPr>
      <w:r w:rsidRPr="004D2106">
        <w:rPr>
          <w:sz w:val="26"/>
          <w:szCs w:val="26"/>
        </w:rPr>
        <w:lastRenderedPageBreak/>
        <w:t xml:space="preserve">2. CONTEXT </w:t>
      </w:r>
    </w:p>
    <w:p w:rsidR="007C0017" w:rsidRPr="00726561" w:rsidRDefault="0040423D" w:rsidP="00B67D49">
      <w:pPr>
        <w:pStyle w:val="MainParanoChapter"/>
        <w:numPr>
          <w:ilvl w:val="0"/>
          <w:numId w:val="11"/>
        </w:numPr>
        <w:spacing w:after="120" w:line="276" w:lineRule="auto"/>
        <w:ind w:left="0" w:firstLine="0"/>
        <w:jc w:val="both"/>
      </w:pPr>
      <w:r w:rsidRPr="00726561">
        <w:t xml:space="preserve">The </w:t>
      </w:r>
      <w:r w:rsidR="00E22DD0" w:rsidRPr="00726561">
        <w:t xml:space="preserve">PRSG-6 </w:t>
      </w:r>
      <w:r w:rsidRPr="00726561">
        <w:t>operation was meant to contribute to the strategic outcomes of the C</w:t>
      </w:r>
      <w:r w:rsidR="002A450C">
        <w:t>ountry Assistance Strategy</w:t>
      </w:r>
      <w:r w:rsidRPr="00726561">
        <w:t xml:space="preserve"> by focusing support on two </w:t>
      </w:r>
      <w:r w:rsidR="002A450C" w:rsidRPr="002A450C">
        <w:t>Economic Development and Poverty Reduction Strategy (EDPRS</w:t>
      </w:r>
      <w:r w:rsidR="00D21AEF" w:rsidRPr="002A450C">
        <w:t>) flagship</w:t>
      </w:r>
      <w:r w:rsidRPr="00726561">
        <w:t xml:space="preserve"> programs–Growth for jobs and Exports, and Governance. It </w:t>
      </w:r>
      <w:r w:rsidRPr="00DB3228">
        <w:t>adopt</w:t>
      </w:r>
      <w:r w:rsidR="005C2F59">
        <w:t xml:space="preserve">s </w:t>
      </w:r>
      <w:r w:rsidRPr="00726561">
        <w:t xml:space="preserve">policies and reforms that support more efficient governance and contribute to broad based growth by easing the key constraints posed by low agriculture productivity, low skills base, and the high cost of infrastructure services in Rwanda. Specifically, it aims at: (i) sustainably raising agricultural production; (ii) increasing access to infrastructure services; (iii) strengthening the framework for post-basic education, to build a skilled workforce and promote science and technology; (iv) deepening the financial sector including capacity building measures to facilitate increased access to finance by micro-enterprises; (v) strengthening the management of public resources at the central and local levels.  It </w:t>
      </w:r>
      <w:r w:rsidR="005C2F59">
        <w:t xml:space="preserve">was </w:t>
      </w:r>
      <w:r w:rsidRPr="00726561">
        <w:t>draw</w:t>
      </w:r>
      <w:r w:rsidR="005C2F59">
        <w:t xml:space="preserve">n </w:t>
      </w:r>
      <w:r w:rsidRPr="00726561">
        <w:t>from the Common Performance Assessment Framework (CPAF) for monitoring the EDPRS, to reduce the transaction costs of Government reporting to donors on the use of aid funds.</w:t>
      </w:r>
    </w:p>
    <w:p w:rsidR="00294FF4" w:rsidRDefault="00294FF4" w:rsidP="00B67D49">
      <w:pPr>
        <w:pStyle w:val="MainParanoChapter"/>
        <w:numPr>
          <w:ilvl w:val="0"/>
          <w:numId w:val="11"/>
        </w:numPr>
        <w:spacing w:after="120" w:line="276" w:lineRule="auto"/>
        <w:ind w:left="0" w:firstLine="0"/>
        <w:jc w:val="both"/>
      </w:pPr>
      <w:r w:rsidRPr="00F01C36">
        <w:rPr>
          <w:b/>
        </w:rPr>
        <w:t>Triggers:</w:t>
      </w:r>
      <w:r w:rsidRPr="00726561">
        <w:t xml:space="preserve"> The PRSG-6 ha</w:t>
      </w:r>
      <w:r w:rsidR="00DB3228">
        <w:t>d</w:t>
      </w:r>
      <w:r w:rsidRPr="00726561">
        <w:t xml:space="preserve"> 11 triggers</w:t>
      </w:r>
      <w:r w:rsidR="007A072E" w:rsidRPr="00726561">
        <w:t xml:space="preserve"> all imbedded in the medium-term government reform program (</w:t>
      </w:r>
      <w:r w:rsidR="00064BFB">
        <w:t>see</w:t>
      </w:r>
      <w:r w:rsidR="007822CB">
        <w:t xml:space="preserve"> Annex 1</w:t>
      </w:r>
      <w:r w:rsidR="00064BFB">
        <w:t>)</w:t>
      </w:r>
      <w:r w:rsidR="007A072E" w:rsidRPr="00726561">
        <w:t>.</w:t>
      </w:r>
      <w:r w:rsidRPr="00726561">
        <w:t xml:space="preserve"> </w:t>
      </w:r>
      <w:r w:rsidR="00F01C36">
        <w:t>During the preparation of PRSG-7 t</w:t>
      </w:r>
      <w:r w:rsidR="007A072E" w:rsidRPr="00726561">
        <w:t xml:space="preserve">wo triggers were </w:t>
      </w:r>
      <w:r w:rsidR="00726561" w:rsidRPr="00726561">
        <w:t>modified</w:t>
      </w:r>
      <w:r w:rsidR="007A072E" w:rsidRPr="00726561">
        <w:t>. The first trigger</w:t>
      </w:r>
      <w:r w:rsidR="00862349" w:rsidRPr="00726561">
        <w:t xml:space="preserve">, </w:t>
      </w:r>
      <w:r w:rsidR="00862349" w:rsidRPr="007822CB">
        <w:rPr>
          <w:i/>
        </w:rPr>
        <w:t xml:space="preserve">the </w:t>
      </w:r>
      <w:r w:rsidR="007A072E" w:rsidRPr="007822CB">
        <w:rPr>
          <w:i/>
        </w:rPr>
        <w:t>Revision of the Long Term Strategic and Financing Framework (LTSFF) and Education Sector Strategic Plan (ESSP) to include greater focus on and  cost of Post Basic Education (PBE) and linkages to the labor market and Science Technology and Innovation (STI)</w:t>
      </w:r>
      <w:r w:rsidR="00862349" w:rsidRPr="00726561">
        <w:t xml:space="preserve">, was amended </w:t>
      </w:r>
      <w:r w:rsidR="007A072E" w:rsidRPr="00726561">
        <w:t xml:space="preserve">and reference to the LTSFF was dropped. The </w:t>
      </w:r>
      <w:r w:rsidR="00862349" w:rsidRPr="00726561">
        <w:t>eleventh</w:t>
      </w:r>
      <w:r w:rsidR="007A072E" w:rsidRPr="00726561">
        <w:t xml:space="preserve"> one</w:t>
      </w:r>
      <w:r w:rsidR="00862349" w:rsidRPr="00726561">
        <w:t>,</w:t>
      </w:r>
      <w:r w:rsidR="007A072E" w:rsidRPr="007822CB">
        <w:rPr>
          <w:sz w:val="20"/>
          <w:szCs w:val="20"/>
        </w:rPr>
        <w:t xml:space="preserve"> </w:t>
      </w:r>
      <w:r w:rsidR="007A072E" w:rsidRPr="00726561">
        <w:t>“</w:t>
      </w:r>
      <w:r w:rsidR="007A072E" w:rsidRPr="007822CB">
        <w:rPr>
          <w:i/>
        </w:rPr>
        <w:t>Pay and remuneration policy drafted and endorsed by key stakeholders on civil service reform and adopted by Cabinet</w:t>
      </w:r>
      <w:r w:rsidR="00726561" w:rsidRPr="00726561">
        <w:t>,</w:t>
      </w:r>
      <w:r w:rsidR="00862349" w:rsidRPr="00726561">
        <w:t xml:space="preserve"> was exchanged</w:t>
      </w:r>
      <w:r w:rsidR="007A072E" w:rsidRPr="00726561">
        <w:t xml:space="preserve"> </w:t>
      </w:r>
      <w:r w:rsidR="007A072E" w:rsidRPr="007822CB">
        <w:rPr>
          <w:rFonts w:eastAsia="Arial Unicode MS"/>
        </w:rPr>
        <w:t xml:space="preserve">with another key action in this area. </w:t>
      </w:r>
      <w:r w:rsidR="00862349" w:rsidRPr="00726561">
        <w:t xml:space="preserve">These triggers </w:t>
      </w:r>
      <w:r w:rsidR="00726561" w:rsidRPr="00726561">
        <w:t>constitute</w:t>
      </w:r>
      <w:r w:rsidRPr="00726561">
        <w:t xml:space="preserve"> the basis for PRSG-7 disbursement. </w:t>
      </w:r>
    </w:p>
    <w:p w:rsidR="00DB3228" w:rsidRPr="00726561" w:rsidRDefault="00DB3228" w:rsidP="00B67D49">
      <w:pPr>
        <w:pStyle w:val="MainParanoChapter"/>
        <w:numPr>
          <w:ilvl w:val="0"/>
          <w:numId w:val="11"/>
        </w:numPr>
        <w:spacing w:after="120" w:line="276" w:lineRule="auto"/>
        <w:ind w:left="0" w:firstLine="0"/>
        <w:jc w:val="both"/>
      </w:pPr>
      <w:r w:rsidRPr="00DB3228">
        <w:rPr>
          <w:b/>
        </w:rPr>
        <w:t>Key outcome indicators</w:t>
      </w:r>
      <w:r w:rsidR="00F01C36">
        <w:rPr>
          <w:b/>
        </w:rPr>
        <w:t>:</w:t>
      </w:r>
      <w:r>
        <w:t xml:space="preserve"> The </w:t>
      </w:r>
      <w:r w:rsidR="00B67D49">
        <w:t>monitoring and evaluation of the PRSG series draw</w:t>
      </w:r>
      <w:r w:rsidR="00F01C36">
        <w:t>s on</w:t>
      </w:r>
      <w:r w:rsidR="00B67D49">
        <w:t xml:space="preserve"> the CPAF</w:t>
      </w:r>
      <w:r w:rsidR="00CF356E">
        <w:t>. The CPAF was</w:t>
      </w:r>
      <w:r w:rsidR="00B67D49">
        <w:t xml:space="preserve"> developed by the Government in 2008, collaboratively with development partners</w:t>
      </w:r>
      <w:r w:rsidR="00CF356E">
        <w:t>, as a monitoring framework of the EDPRS</w:t>
      </w:r>
      <w:r w:rsidR="00CF356E" w:rsidRPr="00CF356E">
        <w:rPr>
          <w:lang w:val="en-GB"/>
        </w:rPr>
        <w:t xml:space="preserve"> </w:t>
      </w:r>
      <w:r w:rsidR="00CF356E" w:rsidRPr="00713EDB">
        <w:rPr>
          <w:lang w:val="en-GB"/>
        </w:rPr>
        <w:t>implementation</w:t>
      </w:r>
      <w:r w:rsidR="00B67D49">
        <w:t xml:space="preserve">. </w:t>
      </w:r>
      <w:r w:rsidR="00B67D49" w:rsidRPr="00B67D49">
        <w:t xml:space="preserve">The Bank monitors selected </w:t>
      </w:r>
      <w:r w:rsidR="00B67D49">
        <w:t xml:space="preserve">12 </w:t>
      </w:r>
      <w:r w:rsidR="00B67D49" w:rsidRPr="00B67D49">
        <w:t>key outcome indicators and the overall CPAF in close collaboration with Government and other budget support donors</w:t>
      </w:r>
      <w:r w:rsidR="00B67D49">
        <w:t>.</w:t>
      </w:r>
      <w:r>
        <w:t xml:space="preserve"> </w:t>
      </w:r>
      <w:r w:rsidR="00F97586">
        <w:t xml:space="preserve">Monitoring </w:t>
      </w:r>
      <w:r w:rsidR="00F01C36">
        <w:t xml:space="preserve">of </w:t>
      </w:r>
      <w:r w:rsidR="00F97586">
        <w:t xml:space="preserve">data </w:t>
      </w:r>
      <w:r w:rsidR="00F01C36">
        <w:t>relies</w:t>
      </w:r>
      <w:r w:rsidR="00F97586">
        <w:t xml:space="preserve"> on the Government data.</w:t>
      </w:r>
    </w:p>
    <w:p w:rsidR="001F3D85" w:rsidRPr="004D2106" w:rsidRDefault="001F3D85" w:rsidP="00B67D49">
      <w:pPr>
        <w:pStyle w:val="Heading1"/>
        <w:spacing w:before="100" w:beforeAutospacing="1"/>
        <w:rPr>
          <w:sz w:val="26"/>
          <w:szCs w:val="26"/>
        </w:rPr>
      </w:pPr>
      <w:r w:rsidRPr="004D2106">
        <w:rPr>
          <w:sz w:val="26"/>
          <w:szCs w:val="26"/>
        </w:rPr>
        <w:t xml:space="preserve">3. KEY FINDINGS/PROGRESS OF </w:t>
      </w:r>
      <w:r w:rsidR="00D54E85" w:rsidRPr="004D2106">
        <w:rPr>
          <w:sz w:val="26"/>
          <w:szCs w:val="26"/>
        </w:rPr>
        <w:t xml:space="preserve">SUPERVISION </w:t>
      </w:r>
    </w:p>
    <w:p w:rsidR="005C2F59" w:rsidRDefault="00F97586" w:rsidP="00B67D49">
      <w:pPr>
        <w:pStyle w:val="MainParanoChapter"/>
        <w:numPr>
          <w:ilvl w:val="0"/>
          <w:numId w:val="11"/>
        </w:numPr>
        <w:spacing w:after="120" w:line="276" w:lineRule="auto"/>
        <w:ind w:left="0" w:firstLine="0"/>
        <w:jc w:val="both"/>
      </w:pPr>
      <w:r>
        <w:t xml:space="preserve">During </w:t>
      </w:r>
      <w:r w:rsidR="00F01C36">
        <w:t>supervision</w:t>
      </w:r>
      <w:r>
        <w:t xml:space="preserve"> the team found that the government has made progress in achieving triggers and key outcome indicators.</w:t>
      </w:r>
      <w:r w:rsidR="00713EDB">
        <w:t xml:space="preserve"> </w:t>
      </w:r>
      <w:r w:rsidR="00064BFB" w:rsidRPr="00726561">
        <w:t xml:space="preserve">Ten </w:t>
      </w:r>
      <w:r w:rsidR="00E23552" w:rsidRPr="00726561">
        <w:t>out</w:t>
      </w:r>
      <w:r w:rsidR="001F3D85" w:rsidRPr="00726561">
        <w:t xml:space="preserve"> of the 11 </w:t>
      </w:r>
      <w:r w:rsidR="00FC5FE0">
        <w:t xml:space="preserve">triggers </w:t>
      </w:r>
      <w:r w:rsidR="001F3D85" w:rsidRPr="00726561">
        <w:t xml:space="preserve">were </w:t>
      </w:r>
      <w:r w:rsidR="001F3D85" w:rsidRPr="00713EDB">
        <w:rPr>
          <w:rFonts w:eastAsia="Calibri"/>
          <w:bCs/>
        </w:rPr>
        <w:t>fulfilled</w:t>
      </w:r>
      <w:r w:rsidR="003A570C" w:rsidRPr="00726561">
        <w:t xml:space="preserve"> (</w:t>
      </w:r>
      <w:r w:rsidR="00D54E85">
        <w:t>Annex 1</w:t>
      </w:r>
      <w:r w:rsidR="003A570C" w:rsidRPr="00726561">
        <w:t>)</w:t>
      </w:r>
      <w:r w:rsidR="00FC5FE0">
        <w:t xml:space="preserve">. </w:t>
      </w:r>
      <w:r w:rsidR="001F3D85" w:rsidRPr="00726561">
        <w:t xml:space="preserve">Only the </w:t>
      </w:r>
      <w:r w:rsidR="00FC5FE0">
        <w:t>trigger</w:t>
      </w:r>
      <w:r w:rsidR="001F3D85" w:rsidRPr="00726561">
        <w:t xml:space="preserve"> 10, the adoption by Cabinet and operationalization of a comprehensive 5-</w:t>
      </w:r>
      <w:r w:rsidR="001F3D85" w:rsidRPr="00713EDB">
        <w:rPr>
          <w:rFonts w:eastAsia="Calibri"/>
          <w:bCs/>
        </w:rPr>
        <w:t>year</w:t>
      </w:r>
      <w:r w:rsidR="001F3D85" w:rsidRPr="00726561">
        <w:t xml:space="preserve"> capacity building strategy for local Government is still pending. </w:t>
      </w:r>
    </w:p>
    <w:p w:rsidR="00A760DD" w:rsidRDefault="00F97586" w:rsidP="00064BFB">
      <w:pPr>
        <w:pStyle w:val="MainParanoChapter"/>
        <w:numPr>
          <w:ilvl w:val="0"/>
          <w:numId w:val="11"/>
        </w:numPr>
        <w:spacing w:line="276" w:lineRule="auto"/>
        <w:ind w:left="0" w:firstLine="0"/>
        <w:jc w:val="both"/>
      </w:pPr>
      <w:r w:rsidRPr="00DB3228">
        <w:t xml:space="preserve">Of the 12 key outcome indicators of the PRSG series for 2009/10, </w:t>
      </w:r>
      <w:r w:rsidR="00D21AEF">
        <w:t xml:space="preserve">eight </w:t>
      </w:r>
      <w:r w:rsidRPr="00DB3228">
        <w:t xml:space="preserve">were fulfilled. Two had no data measurement available and </w:t>
      </w:r>
      <w:r w:rsidRPr="005C2F59">
        <w:rPr>
          <w:bCs/>
        </w:rPr>
        <w:t>t</w:t>
      </w:r>
      <w:r w:rsidR="00D21AEF">
        <w:rPr>
          <w:bCs/>
        </w:rPr>
        <w:t>wo</w:t>
      </w:r>
      <w:r w:rsidRPr="00DB3228">
        <w:t xml:space="preserve"> were slightly underachieved. The indicator (1) on credit to the private sector, suffered from the impact of the global economic downturn.</w:t>
      </w:r>
      <w:r w:rsidR="00726561" w:rsidRPr="00DB3228">
        <w:t xml:space="preserve"> </w:t>
      </w:r>
      <w:r w:rsidR="00A37590">
        <w:fldChar w:fldCharType="begin"/>
      </w:r>
      <w:r w:rsidR="005C2F59">
        <w:instrText xml:space="preserve"> REF _Ref281991492 \h </w:instrText>
      </w:r>
      <w:r w:rsidR="00A37590">
        <w:fldChar w:fldCharType="separate"/>
      </w:r>
      <w:r w:rsidR="001B7E17">
        <w:t xml:space="preserve">Annex </w:t>
      </w:r>
      <w:r w:rsidR="001B7E17">
        <w:rPr>
          <w:noProof/>
        </w:rPr>
        <w:lastRenderedPageBreak/>
        <w:t>2</w:t>
      </w:r>
      <w:r w:rsidR="00A37590">
        <w:fldChar w:fldCharType="end"/>
      </w:r>
      <w:r w:rsidR="00726561" w:rsidRPr="00DB3228">
        <w:t xml:space="preserve"> summarizes the expected outcomes and related indicators and targets and provides the actual achievements for 2009/10. </w:t>
      </w:r>
    </w:p>
    <w:p w:rsidR="00702048" w:rsidRPr="002A450C" w:rsidRDefault="0078605D" w:rsidP="00A760DD">
      <w:pPr>
        <w:pStyle w:val="MainParanoChapter"/>
        <w:numPr>
          <w:ilvl w:val="0"/>
          <w:numId w:val="11"/>
        </w:numPr>
        <w:spacing w:line="276" w:lineRule="auto"/>
        <w:ind w:left="0" w:firstLine="0"/>
        <w:jc w:val="both"/>
        <w:rPr>
          <w:bCs/>
        </w:rPr>
      </w:pPr>
      <w:r w:rsidRPr="002A450C">
        <w:t>Rwanda has made impressive p</w:t>
      </w:r>
      <w:r w:rsidR="00F01C36" w:rsidRPr="002A450C">
        <w:t xml:space="preserve">rogress in regard to </w:t>
      </w:r>
      <w:r w:rsidR="001D65BC" w:rsidRPr="002A450C">
        <w:t xml:space="preserve">the number </w:t>
      </w:r>
      <w:r w:rsidR="001D65BC" w:rsidRPr="002A450C">
        <w:rPr>
          <w:lang w:val="en-GB"/>
        </w:rPr>
        <w:t xml:space="preserve">of EDPRS indicator targets which have been met already, as well as the number of policy actions which have been implemented since </w:t>
      </w:r>
      <w:r w:rsidR="001D65BC" w:rsidRPr="002A450C">
        <w:t>2008</w:t>
      </w:r>
      <w:r w:rsidR="001D65BC" w:rsidRPr="002A450C">
        <w:rPr>
          <w:lang w:val="en-GB"/>
        </w:rPr>
        <w:t xml:space="preserve">. </w:t>
      </w:r>
      <w:r w:rsidR="00702048" w:rsidRPr="002A450C">
        <w:rPr>
          <w:bCs/>
        </w:rPr>
        <w:t>Monitoring of the EDPRS progress takes place in the context of the Joint S</w:t>
      </w:r>
      <w:r w:rsidR="00F01C36" w:rsidRPr="002A450C">
        <w:rPr>
          <w:bCs/>
        </w:rPr>
        <w:t>ector</w:t>
      </w:r>
      <w:r w:rsidR="00702048" w:rsidRPr="002A450C">
        <w:rPr>
          <w:bCs/>
        </w:rPr>
        <w:t xml:space="preserve"> Review</w:t>
      </w:r>
      <w:r w:rsidR="00F01C36" w:rsidRPr="002A450C">
        <w:rPr>
          <w:bCs/>
        </w:rPr>
        <w:t>s</w:t>
      </w:r>
      <w:r w:rsidR="00702048" w:rsidRPr="002A450C">
        <w:rPr>
          <w:bCs/>
        </w:rPr>
        <w:t xml:space="preserve"> (JSR</w:t>
      </w:r>
      <w:r w:rsidR="00F01C36" w:rsidRPr="002A450C">
        <w:rPr>
          <w:bCs/>
        </w:rPr>
        <w:t>s</w:t>
      </w:r>
      <w:r w:rsidR="00702048" w:rsidRPr="002A450C">
        <w:rPr>
          <w:bCs/>
        </w:rPr>
        <w:t>) two times a year and is subsequently validated by the Joint Budget Support Review (JBSR). According to</w:t>
      </w:r>
      <w:r w:rsidR="00702048" w:rsidRPr="002A450C">
        <w:rPr>
          <w:rFonts w:eastAsiaTheme="minorHAnsi"/>
        </w:rPr>
        <w:t xml:space="preserve"> </w:t>
      </w:r>
      <w:r w:rsidR="00702048" w:rsidRPr="002A450C">
        <w:rPr>
          <w:bCs/>
        </w:rPr>
        <w:t>the S</w:t>
      </w:r>
      <w:r w:rsidR="002A450C" w:rsidRPr="002A450C">
        <w:rPr>
          <w:bCs/>
        </w:rPr>
        <w:t xml:space="preserve">ector </w:t>
      </w:r>
      <w:r w:rsidR="00A30B30" w:rsidRPr="002A450C">
        <w:rPr>
          <w:bCs/>
        </w:rPr>
        <w:t>Working</w:t>
      </w:r>
      <w:r w:rsidR="002A450C" w:rsidRPr="002A450C">
        <w:rPr>
          <w:bCs/>
        </w:rPr>
        <w:t xml:space="preserve"> </w:t>
      </w:r>
      <w:r w:rsidR="00702048" w:rsidRPr="002A450C">
        <w:rPr>
          <w:bCs/>
        </w:rPr>
        <w:t>G</w:t>
      </w:r>
      <w:r w:rsidR="002A450C" w:rsidRPr="002A450C">
        <w:rPr>
          <w:bCs/>
        </w:rPr>
        <w:t>roups</w:t>
      </w:r>
      <w:r w:rsidR="00713EDB" w:rsidRPr="002A450C">
        <w:rPr>
          <w:rStyle w:val="FootnoteReference"/>
          <w:bCs/>
        </w:rPr>
        <w:footnoteReference w:id="1"/>
      </w:r>
      <w:r w:rsidR="00702048" w:rsidRPr="002A450C">
        <w:rPr>
          <w:bCs/>
        </w:rPr>
        <w:t xml:space="preserve"> reports of the October 2010 JSRs, m</w:t>
      </w:r>
      <w:r w:rsidR="00A760DD" w:rsidRPr="002A450C">
        <w:rPr>
          <w:lang w:val="en-GB"/>
        </w:rPr>
        <w:t xml:space="preserve">any sectors are now in a position to </w:t>
      </w:r>
      <w:r w:rsidR="00A760DD" w:rsidRPr="002A450C">
        <w:t>systematically</w:t>
      </w:r>
      <w:r w:rsidR="00A760DD" w:rsidRPr="002A450C">
        <w:rPr>
          <w:lang w:val="en-GB"/>
        </w:rPr>
        <w:t xml:space="preserve"> monitor progress towards achieving the EDPRS targets. </w:t>
      </w:r>
      <w:r w:rsidR="004D2106" w:rsidRPr="002A450C">
        <w:rPr>
          <w:lang w:val="en-GB"/>
        </w:rPr>
        <w:t xml:space="preserve">The government plans to revise the Monitoring &amp; Evaluation framework of the EDPRS at its mid-term review in early 2011 </w:t>
      </w:r>
      <w:r w:rsidR="00A47845" w:rsidRPr="002A450C">
        <w:rPr>
          <w:lang w:val="en-GB"/>
        </w:rPr>
        <w:t xml:space="preserve">in order to enable better </w:t>
      </w:r>
      <w:r w:rsidR="004D2106" w:rsidRPr="002A450C">
        <w:rPr>
          <w:lang w:val="en-GB"/>
        </w:rPr>
        <w:t xml:space="preserve">the monitoring </w:t>
      </w:r>
      <w:r w:rsidR="00A47845" w:rsidRPr="002A450C">
        <w:rPr>
          <w:lang w:val="en-GB"/>
        </w:rPr>
        <w:t>of progress</w:t>
      </w:r>
      <w:r w:rsidR="004D2106" w:rsidRPr="002A450C">
        <w:rPr>
          <w:bCs/>
          <w:lang w:val="en-GB"/>
        </w:rPr>
        <w:t>.</w:t>
      </w:r>
    </w:p>
    <w:p w:rsidR="00FC6819" w:rsidRPr="004D2106" w:rsidRDefault="00FC6819" w:rsidP="00DB3228">
      <w:pPr>
        <w:pStyle w:val="Heading1"/>
        <w:rPr>
          <w:sz w:val="26"/>
          <w:szCs w:val="26"/>
        </w:rPr>
      </w:pPr>
      <w:r w:rsidRPr="004D2106">
        <w:rPr>
          <w:sz w:val="26"/>
          <w:szCs w:val="26"/>
        </w:rPr>
        <w:t xml:space="preserve">4. AGREEMENTS REACHED </w:t>
      </w:r>
    </w:p>
    <w:p w:rsidR="00D54E85" w:rsidRDefault="00D54E85" w:rsidP="00B67D49">
      <w:pPr>
        <w:pStyle w:val="MainParanoChapter"/>
        <w:numPr>
          <w:ilvl w:val="0"/>
          <w:numId w:val="11"/>
        </w:numPr>
        <w:spacing w:after="120" w:line="276" w:lineRule="auto"/>
        <w:ind w:left="0" w:firstLine="0"/>
        <w:jc w:val="both"/>
      </w:pPr>
      <w:r w:rsidRPr="00FC6819">
        <w:t xml:space="preserve">Agreement was reached that </w:t>
      </w:r>
      <w:r>
        <w:t>progress in implementing reforms supported by the PRSG-6 was satisfactory. This is also reflected in successfully appraisal conclusion of the parallel appraisal mission of the PRSG-7 (</w:t>
      </w:r>
      <w:r w:rsidR="00C453D7">
        <w:t>s</w:t>
      </w:r>
      <w:r>
        <w:t xml:space="preserve">ee appraisal </w:t>
      </w:r>
      <w:r w:rsidR="00C453D7">
        <w:t>mission aide-m</w:t>
      </w:r>
      <w:r>
        <w:t>emoire).</w:t>
      </w:r>
    </w:p>
    <w:p w:rsidR="00FC6819" w:rsidRPr="004D2106" w:rsidRDefault="00FC6819" w:rsidP="00B67D49">
      <w:pPr>
        <w:pStyle w:val="Heading1"/>
        <w:spacing w:before="240"/>
        <w:rPr>
          <w:sz w:val="26"/>
          <w:szCs w:val="26"/>
        </w:rPr>
      </w:pPr>
      <w:r w:rsidRPr="004D2106">
        <w:rPr>
          <w:sz w:val="26"/>
          <w:szCs w:val="26"/>
        </w:rPr>
        <w:t xml:space="preserve">5. PENDING ACTIONS/NEXT STEPS </w:t>
      </w:r>
    </w:p>
    <w:p w:rsidR="005C2F59" w:rsidRDefault="00FC5FE0" w:rsidP="00B67D49">
      <w:pPr>
        <w:pStyle w:val="MainParanoChapter"/>
        <w:numPr>
          <w:ilvl w:val="0"/>
          <w:numId w:val="11"/>
        </w:numPr>
        <w:spacing w:after="120" w:line="276" w:lineRule="auto"/>
        <w:ind w:left="0" w:firstLine="0"/>
        <w:jc w:val="both"/>
      </w:pPr>
      <w:r w:rsidRPr="00064BFB">
        <w:t>By supervision end,</w:t>
      </w:r>
      <w:r>
        <w:rPr>
          <w:b/>
        </w:rPr>
        <w:t xml:space="preserve"> </w:t>
      </w:r>
      <w:r w:rsidRPr="00FC5FE0">
        <w:t>the trigger 10, the adoption by Cabinet and operationalization of a comprehensive 5-</w:t>
      </w:r>
      <w:r w:rsidRPr="00FC5FE0">
        <w:rPr>
          <w:rFonts w:eastAsia="Calibri"/>
        </w:rPr>
        <w:t>year</w:t>
      </w:r>
      <w:r w:rsidRPr="00FC5FE0">
        <w:t xml:space="preserve"> capacity building strategy for local Government </w:t>
      </w:r>
      <w:r w:rsidR="00C453D7">
        <w:t>was</w:t>
      </w:r>
      <w:r w:rsidRPr="00FC5FE0">
        <w:t xml:space="preserve"> still pending</w:t>
      </w:r>
      <w:r>
        <w:rPr>
          <w:b/>
        </w:rPr>
        <w:t xml:space="preserve">. </w:t>
      </w:r>
      <w:r w:rsidR="005C2F59" w:rsidRPr="00726561">
        <w:t>However, the strategy was completed and submitted to Cabinet for consideration on December 29, 2010. Cabinet is still in its recess</w:t>
      </w:r>
      <w:r w:rsidR="00F11D0F">
        <w:t xml:space="preserve"> and will return in </w:t>
      </w:r>
      <w:r w:rsidR="005C2F59" w:rsidRPr="00726561">
        <w:t xml:space="preserve">January 2011. </w:t>
      </w:r>
    </w:p>
    <w:p w:rsidR="00E61EAC" w:rsidRPr="004D2106" w:rsidRDefault="00E61EAC" w:rsidP="00DB3228">
      <w:pPr>
        <w:pStyle w:val="Heading1"/>
        <w:rPr>
          <w:sz w:val="26"/>
          <w:szCs w:val="26"/>
        </w:rPr>
      </w:pPr>
      <w:r w:rsidRPr="004D2106">
        <w:rPr>
          <w:sz w:val="26"/>
          <w:szCs w:val="26"/>
        </w:rPr>
        <w:t xml:space="preserve">6. DISCLOSURE </w:t>
      </w:r>
    </w:p>
    <w:p w:rsidR="00F11D0F" w:rsidRPr="00F11D0F" w:rsidRDefault="00F11D0F" w:rsidP="00F11D0F">
      <w:pPr>
        <w:pStyle w:val="MainParanoChapter"/>
        <w:numPr>
          <w:ilvl w:val="0"/>
          <w:numId w:val="11"/>
        </w:numPr>
        <w:spacing w:line="276" w:lineRule="auto"/>
        <w:ind w:left="0" w:firstLine="0"/>
        <w:jc w:val="both"/>
      </w:pPr>
      <w:bookmarkStart w:id="0" w:name="_Ref281986278"/>
      <w:r w:rsidRPr="00F11D0F">
        <w:t xml:space="preserve">The team discussed the Bank’s Access to Information Policy introduced on July 1, 2010, in regard to disclosure specifically with our counterparts and reached an agreement during the mission.  The Government of Rwanda agreed to disclosure. </w:t>
      </w:r>
      <w:r w:rsidRPr="00F11D0F">
        <w:rPr>
          <w:i/>
          <w:iCs/>
        </w:rPr>
        <w:t xml:space="preserve">The Bank and the Government of Rwanda confirm their understanding and agreement to publicly disclose this aide memoire. The disclosure of this Aide Memoire was discussed and agreed to with MINECOFIN led by </w:t>
      </w:r>
      <w:r w:rsidRPr="00F11D0F">
        <w:rPr>
          <w:b/>
          <w:i/>
          <w:iCs/>
        </w:rPr>
        <w:t xml:space="preserve">Mr. Ronald Nkusi, Head of Financial Resources Mobilization Unit, MINECOFIN </w:t>
      </w:r>
      <w:r w:rsidRPr="00F11D0F">
        <w:rPr>
          <w:i/>
          <w:iCs/>
        </w:rPr>
        <w:t xml:space="preserve">at the wrap-up meeting that took place on January 6, 2011, in Kigali. </w:t>
      </w:r>
    </w:p>
    <w:p w:rsidR="00F11D0F" w:rsidRPr="00F11D0F" w:rsidRDefault="00F11D0F" w:rsidP="00F11D0F">
      <w:pPr>
        <w:sectPr w:rsidR="00F11D0F" w:rsidRPr="00F11D0F" w:rsidSect="00112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726561" w:rsidRPr="00726561" w:rsidRDefault="00726561" w:rsidP="00726561">
      <w:pPr>
        <w:pStyle w:val="Caption"/>
        <w:rPr>
          <w:rFonts w:ascii="Times New Roman" w:hAnsi="Times New Roman" w:cs="Times New Roman"/>
        </w:rPr>
      </w:pPr>
      <w:r w:rsidRPr="00726561">
        <w:rPr>
          <w:rFonts w:ascii="Times New Roman" w:hAnsi="Times New Roman" w:cs="Times New Roman"/>
        </w:rPr>
        <w:lastRenderedPageBreak/>
        <w:t xml:space="preserve">Annex </w:t>
      </w:r>
      <w:r w:rsidR="00A37590" w:rsidRPr="00726561">
        <w:rPr>
          <w:rFonts w:ascii="Times New Roman" w:hAnsi="Times New Roman" w:cs="Times New Roman"/>
        </w:rPr>
        <w:fldChar w:fldCharType="begin"/>
      </w:r>
      <w:r w:rsidRPr="00726561">
        <w:rPr>
          <w:rFonts w:ascii="Times New Roman" w:hAnsi="Times New Roman" w:cs="Times New Roman"/>
        </w:rPr>
        <w:instrText xml:space="preserve"> SEQ Annex \* ARABIC </w:instrText>
      </w:r>
      <w:r w:rsidR="00A37590" w:rsidRPr="00726561">
        <w:rPr>
          <w:rFonts w:ascii="Times New Roman" w:hAnsi="Times New Roman" w:cs="Times New Roman"/>
        </w:rPr>
        <w:fldChar w:fldCharType="separate"/>
      </w:r>
      <w:r w:rsidR="001B7E17">
        <w:rPr>
          <w:rFonts w:ascii="Times New Roman" w:hAnsi="Times New Roman" w:cs="Times New Roman"/>
          <w:noProof/>
        </w:rPr>
        <w:t>1</w:t>
      </w:r>
      <w:r w:rsidR="00A37590" w:rsidRPr="00726561">
        <w:rPr>
          <w:rFonts w:ascii="Times New Roman" w:hAnsi="Times New Roman" w:cs="Times New Roman"/>
        </w:rPr>
        <w:fldChar w:fldCharType="end"/>
      </w:r>
      <w:bookmarkEnd w:id="0"/>
      <w:r w:rsidRPr="00726561">
        <w:rPr>
          <w:rFonts w:ascii="Times New Roman" w:hAnsi="Times New Roman" w:cs="Times New Roman"/>
        </w:rPr>
        <w:t>-</w:t>
      </w:r>
      <w:bookmarkStart w:id="1" w:name="_Toc280697176"/>
      <w:r w:rsidRPr="00726561">
        <w:rPr>
          <w:rFonts w:ascii="Times New Roman" w:hAnsi="Times New Roman" w:cs="Times New Roman"/>
        </w:rPr>
        <w:t>: Evolution of Triggers of PRSG 6</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0"/>
        <w:gridCol w:w="3754"/>
        <w:gridCol w:w="3744"/>
        <w:gridCol w:w="3752"/>
        <w:gridCol w:w="10"/>
      </w:tblGrid>
      <w:tr w:rsidR="00F8694F" w:rsidRPr="00546AC7" w:rsidTr="00F8694F">
        <w:trPr>
          <w:cantSplit/>
          <w:trHeight w:val="152"/>
          <w:tblHeader/>
          <w:jc w:val="center"/>
        </w:trPr>
        <w:tc>
          <w:tcPr>
            <w:tcW w:w="702" w:type="pct"/>
            <w:tcBorders>
              <w:top w:val="single" w:sz="4" w:space="0" w:color="auto"/>
              <w:left w:val="single" w:sz="4" w:space="0" w:color="auto"/>
              <w:right w:val="single" w:sz="4" w:space="0" w:color="auto"/>
            </w:tcBorders>
            <w:shd w:val="clear" w:color="auto" w:fill="F7F9B9"/>
          </w:tcPr>
          <w:p w:rsidR="00F8694F" w:rsidRPr="00546AC7" w:rsidRDefault="00F8694F" w:rsidP="00F8694F">
            <w:pPr>
              <w:spacing w:after="60" w:line="240" w:lineRule="auto"/>
              <w:jc w:val="center"/>
              <w:rPr>
                <w:rFonts w:ascii="Times New Roman" w:hAnsi="Times New Roman" w:cs="Times New Roman"/>
                <w:b/>
                <w:bCs/>
                <w:sz w:val="20"/>
                <w:szCs w:val="20"/>
              </w:rPr>
            </w:pPr>
            <w:r w:rsidRPr="00546AC7">
              <w:rPr>
                <w:rFonts w:ascii="Times New Roman" w:hAnsi="Times New Roman" w:cs="Times New Roman"/>
                <w:b/>
                <w:bCs/>
                <w:sz w:val="20"/>
                <w:szCs w:val="20"/>
              </w:rPr>
              <w:t>EDPRS Areas of Support</w:t>
            </w:r>
          </w:p>
        </w:tc>
        <w:tc>
          <w:tcPr>
            <w:tcW w:w="4298" w:type="pct"/>
            <w:gridSpan w:val="4"/>
            <w:tcBorders>
              <w:top w:val="single" w:sz="4" w:space="0" w:color="auto"/>
              <w:left w:val="single" w:sz="4" w:space="0" w:color="auto"/>
              <w:right w:val="single" w:sz="4" w:space="0" w:color="auto"/>
            </w:tcBorders>
            <w:shd w:val="clear" w:color="auto" w:fill="F7F9B9"/>
            <w:vAlign w:val="center"/>
          </w:tcPr>
          <w:p w:rsidR="00F8694F" w:rsidRPr="00546AC7" w:rsidRDefault="00F8694F" w:rsidP="00F8694F">
            <w:pPr>
              <w:spacing w:after="60" w:line="240" w:lineRule="auto"/>
              <w:jc w:val="center"/>
              <w:rPr>
                <w:rFonts w:ascii="Times New Roman" w:hAnsi="Times New Roman" w:cs="Times New Roman"/>
                <w:b/>
                <w:sz w:val="20"/>
                <w:szCs w:val="20"/>
              </w:rPr>
            </w:pPr>
            <w:r w:rsidRPr="00546AC7">
              <w:rPr>
                <w:rFonts w:ascii="Times New Roman" w:hAnsi="Times New Roman" w:cs="Times New Roman"/>
                <w:b/>
                <w:sz w:val="20"/>
                <w:szCs w:val="20"/>
              </w:rPr>
              <w:t>Aligned to the CPAF</w:t>
            </w:r>
          </w:p>
        </w:tc>
      </w:tr>
      <w:tr w:rsidR="00F8694F" w:rsidRPr="00546AC7" w:rsidTr="00F8694F">
        <w:trPr>
          <w:gridAfter w:val="1"/>
          <w:wAfter w:w="4" w:type="pct"/>
          <w:cantSplit/>
          <w:trHeight w:val="665"/>
          <w:tblHeader/>
          <w:jc w:val="center"/>
        </w:trPr>
        <w:tc>
          <w:tcPr>
            <w:tcW w:w="702" w:type="pct"/>
            <w:tcBorders>
              <w:left w:val="single" w:sz="4" w:space="0" w:color="auto"/>
            </w:tcBorders>
            <w:shd w:val="clear" w:color="auto" w:fill="F7F9B9"/>
          </w:tcPr>
          <w:p w:rsidR="00F8694F" w:rsidRPr="00546AC7" w:rsidRDefault="00F8694F" w:rsidP="00F8694F">
            <w:pPr>
              <w:spacing w:after="60" w:line="240" w:lineRule="auto"/>
              <w:jc w:val="center"/>
              <w:rPr>
                <w:rFonts w:ascii="Times New Roman" w:hAnsi="Times New Roman" w:cs="Times New Roman"/>
                <w:b/>
                <w:bCs/>
                <w:sz w:val="20"/>
                <w:szCs w:val="20"/>
              </w:rPr>
            </w:pPr>
            <w:r w:rsidRPr="00546AC7">
              <w:rPr>
                <w:rFonts w:ascii="Times New Roman" w:hAnsi="Times New Roman" w:cs="Times New Roman"/>
                <w:b/>
                <w:bCs/>
                <w:sz w:val="20"/>
                <w:szCs w:val="20"/>
              </w:rPr>
              <w:t>PRSG 5 to 7</w:t>
            </w:r>
          </w:p>
          <w:p w:rsidR="00F8694F" w:rsidRPr="00546AC7" w:rsidRDefault="00F8694F" w:rsidP="00F8694F">
            <w:pPr>
              <w:spacing w:after="60" w:line="240" w:lineRule="auto"/>
              <w:jc w:val="center"/>
              <w:rPr>
                <w:rFonts w:ascii="Times New Roman" w:hAnsi="Times New Roman" w:cs="Times New Roman"/>
                <w:b/>
                <w:bCs/>
                <w:sz w:val="20"/>
                <w:szCs w:val="20"/>
              </w:rPr>
            </w:pPr>
            <w:r w:rsidRPr="00546AC7">
              <w:rPr>
                <w:rFonts w:ascii="Times New Roman" w:hAnsi="Times New Roman" w:cs="Times New Roman"/>
                <w:b/>
                <w:bCs/>
                <w:sz w:val="20"/>
                <w:szCs w:val="20"/>
              </w:rPr>
              <w:t>Outcomes to be Monitored</w:t>
            </w:r>
          </w:p>
        </w:tc>
        <w:tc>
          <w:tcPr>
            <w:tcW w:w="1433" w:type="pct"/>
            <w:shd w:val="clear" w:color="auto" w:fill="F7F9B9"/>
          </w:tcPr>
          <w:p w:rsidR="00F8694F" w:rsidRPr="00546AC7" w:rsidRDefault="00F8694F" w:rsidP="00F8694F">
            <w:pPr>
              <w:spacing w:after="60" w:line="240" w:lineRule="auto"/>
              <w:jc w:val="center"/>
              <w:rPr>
                <w:rFonts w:ascii="Times New Roman" w:hAnsi="Times New Roman" w:cs="Times New Roman"/>
                <w:b/>
                <w:bCs/>
                <w:sz w:val="20"/>
                <w:szCs w:val="20"/>
              </w:rPr>
            </w:pPr>
            <w:r w:rsidRPr="00546AC7">
              <w:rPr>
                <w:rFonts w:ascii="Times New Roman" w:hAnsi="Times New Roman" w:cs="Times New Roman"/>
                <w:b/>
                <w:bCs/>
                <w:sz w:val="20"/>
                <w:szCs w:val="20"/>
              </w:rPr>
              <w:t>PRSG-7 Trigger</w:t>
            </w:r>
          </w:p>
          <w:p w:rsidR="00F8694F" w:rsidRPr="00546AC7" w:rsidRDefault="00F8694F" w:rsidP="00F8694F">
            <w:pPr>
              <w:spacing w:after="60" w:line="240" w:lineRule="auto"/>
              <w:jc w:val="center"/>
              <w:rPr>
                <w:rFonts w:ascii="Times New Roman" w:hAnsi="Times New Roman" w:cs="Times New Roman"/>
                <w:sz w:val="20"/>
                <w:szCs w:val="20"/>
              </w:rPr>
            </w:pPr>
            <w:r w:rsidRPr="00546AC7">
              <w:rPr>
                <w:rFonts w:ascii="Times New Roman" w:hAnsi="Times New Roman" w:cs="Times New Roman"/>
                <w:b/>
                <w:bCs/>
                <w:sz w:val="20"/>
                <w:szCs w:val="20"/>
              </w:rPr>
              <w:t>(proposed in the PRSG-6 operation)</w:t>
            </w:r>
          </w:p>
        </w:tc>
        <w:tc>
          <w:tcPr>
            <w:tcW w:w="1429" w:type="pct"/>
            <w:shd w:val="clear" w:color="auto" w:fill="F7F9B9"/>
          </w:tcPr>
          <w:p w:rsidR="00F8694F" w:rsidRPr="00546AC7" w:rsidRDefault="00F8694F" w:rsidP="00F8694F">
            <w:pPr>
              <w:spacing w:after="60" w:line="240" w:lineRule="auto"/>
              <w:jc w:val="center"/>
              <w:rPr>
                <w:rFonts w:ascii="Times New Roman" w:hAnsi="Times New Roman" w:cs="Times New Roman"/>
                <w:b/>
                <w:bCs/>
                <w:sz w:val="20"/>
                <w:szCs w:val="20"/>
              </w:rPr>
            </w:pPr>
            <w:r w:rsidRPr="00546AC7">
              <w:rPr>
                <w:rFonts w:ascii="Times New Roman" w:hAnsi="Times New Roman" w:cs="Times New Roman"/>
                <w:b/>
                <w:bCs/>
                <w:sz w:val="20"/>
                <w:szCs w:val="20"/>
              </w:rPr>
              <w:t>Evolution to PRSG-7 Prior Actions</w:t>
            </w:r>
          </w:p>
        </w:tc>
        <w:tc>
          <w:tcPr>
            <w:tcW w:w="1432" w:type="pct"/>
            <w:tcBorders>
              <w:right w:val="single" w:sz="4" w:space="0" w:color="auto"/>
            </w:tcBorders>
            <w:shd w:val="clear" w:color="auto" w:fill="F7F9B9"/>
          </w:tcPr>
          <w:p w:rsidR="00F8694F" w:rsidRPr="00546AC7" w:rsidRDefault="00F8694F" w:rsidP="00F8694F">
            <w:pPr>
              <w:spacing w:after="60" w:line="240" w:lineRule="auto"/>
              <w:jc w:val="center"/>
              <w:rPr>
                <w:rFonts w:ascii="Times New Roman" w:hAnsi="Times New Roman" w:cs="Times New Roman"/>
                <w:b/>
                <w:bCs/>
                <w:sz w:val="20"/>
                <w:szCs w:val="20"/>
              </w:rPr>
            </w:pPr>
            <w:r w:rsidRPr="00546AC7">
              <w:rPr>
                <w:rFonts w:ascii="Times New Roman" w:hAnsi="Times New Roman" w:cs="Times New Roman"/>
                <w:b/>
                <w:bCs/>
                <w:sz w:val="20"/>
                <w:szCs w:val="20"/>
              </w:rPr>
              <w:t>Status as of January  2011</w:t>
            </w:r>
          </w:p>
        </w:tc>
      </w:tr>
      <w:tr w:rsidR="00F8694F" w:rsidRPr="00546AC7" w:rsidTr="00F8694F">
        <w:trPr>
          <w:gridAfter w:val="1"/>
          <w:wAfter w:w="4" w:type="pct"/>
          <w:cantSplit/>
          <w:trHeight w:val="854"/>
          <w:jc w:val="center"/>
        </w:trPr>
        <w:tc>
          <w:tcPr>
            <w:tcW w:w="702" w:type="pct"/>
            <w:tcBorders>
              <w:left w:val="single" w:sz="4" w:space="0" w:color="auto"/>
            </w:tcBorders>
          </w:tcPr>
          <w:p w:rsidR="00F8694F" w:rsidRPr="00546AC7" w:rsidRDefault="00F8694F" w:rsidP="00F8694F">
            <w:pPr>
              <w:spacing w:after="60" w:line="240" w:lineRule="auto"/>
              <w:rPr>
                <w:rFonts w:ascii="Times New Roman" w:hAnsi="Times New Roman" w:cs="Times New Roman"/>
                <w:sz w:val="20"/>
                <w:szCs w:val="20"/>
                <w:lang w:val="en-GB"/>
              </w:rPr>
            </w:pPr>
            <w:r w:rsidRPr="00546AC7">
              <w:rPr>
                <w:rFonts w:ascii="Times New Roman" w:hAnsi="Times New Roman" w:cs="Times New Roman"/>
                <w:sz w:val="20"/>
                <w:szCs w:val="20"/>
                <w:lang w:val="en-GB"/>
              </w:rPr>
              <w:t>Invest in Human Capital and Skills for Growth  and Promote STI</w:t>
            </w:r>
          </w:p>
        </w:tc>
        <w:tc>
          <w:tcPr>
            <w:tcW w:w="1433" w:type="pct"/>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(1) Revision of the Long Term Strategic and Financing Framework (LTSFF) and Education Sector Strategic Plan (ESSP) to include greater focus on and  cost of Post Basic Education (PBE) and linkages to the labor market and Science Technology and Innovation (STI)</w:t>
            </w:r>
          </w:p>
        </w:tc>
        <w:tc>
          <w:tcPr>
            <w:tcW w:w="1429" w:type="pct"/>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Prior action was amended and reference to the LTSFF was dropped.  The prior action is:</w:t>
            </w:r>
          </w:p>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Revision of the Education Sector Strategic Plan (ESSP) to include greater focus on and cost of Post Basic Education (PBE) and its linkages to the labor market as well as Science Technology and Innovation (STI).</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Rational: A new financing model that has been used for the ESSP can be easily used for longer term projections. A separate LTSFF document was not found a useful exercise by Government, since it becomes outdated too quickly (as policies and content change often).  </w:t>
            </w:r>
          </w:p>
        </w:tc>
        <w:tc>
          <w:tcPr>
            <w:tcW w:w="1432" w:type="pct"/>
            <w:tcBorders>
              <w:right w:val="single" w:sz="4" w:space="0" w:color="auto"/>
            </w:tcBorders>
          </w:tcPr>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 xml:space="preserve">Met.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The ESSP was completed with new financing model.</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The ESSP was assessed and endorsed by a multiple stakeholder group, including donors. </w:t>
            </w:r>
          </w:p>
        </w:tc>
      </w:tr>
      <w:tr w:rsidR="00F8694F" w:rsidRPr="00546AC7" w:rsidTr="00F8694F">
        <w:trPr>
          <w:gridAfter w:val="1"/>
          <w:wAfter w:w="4" w:type="pct"/>
          <w:cantSplit/>
          <w:trHeight w:val="1268"/>
          <w:jc w:val="center"/>
        </w:trPr>
        <w:tc>
          <w:tcPr>
            <w:tcW w:w="702" w:type="pct"/>
            <w:vMerge w:val="restart"/>
            <w:tcBorders>
              <w:left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Improve Economic Infrastructure</w:t>
            </w:r>
          </w:p>
        </w:tc>
        <w:tc>
          <w:tcPr>
            <w:tcW w:w="1433" w:type="pct"/>
            <w:tcBorders>
              <w:bottom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(2) Completion of a tariff study (including revised tariff structure) and its validation by Rwanda Utility Regulations Agency (RURA) and the Ministry of Infrastructure (MININFRA)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(3) Removal of taxes (Import Duty and Value Added Tax) on Liquefied Petroleum Gas (LPG) to promote its use and reduce dependence on charcoal</w:t>
            </w:r>
          </w:p>
        </w:tc>
        <w:tc>
          <w:tcPr>
            <w:tcW w:w="1429" w:type="pct"/>
            <w:tcBorders>
              <w:bottom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Same as trigger. </w:t>
            </w:r>
          </w:p>
          <w:p w:rsidR="00F8694F" w:rsidRPr="00546AC7" w:rsidRDefault="00F8694F" w:rsidP="00F8694F">
            <w:pPr>
              <w:spacing w:after="60" w:line="240" w:lineRule="auto"/>
              <w:rPr>
                <w:rFonts w:ascii="Times New Roman" w:hAnsi="Times New Roman" w:cs="Times New Roman"/>
                <w:sz w:val="20"/>
                <w:szCs w:val="20"/>
              </w:rPr>
            </w:pPr>
          </w:p>
          <w:p w:rsidR="00F8694F" w:rsidRPr="00546AC7" w:rsidRDefault="00F8694F" w:rsidP="00F8694F">
            <w:pPr>
              <w:spacing w:after="60" w:line="240" w:lineRule="auto"/>
              <w:rPr>
                <w:rFonts w:ascii="Times New Roman" w:hAnsi="Times New Roman" w:cs="Times New Roman"/>
                <w:sz w:val="20"/>
                <w:szCs w:val="20"/>
              </w:rPr>
            </w:pPr>
          </w:p>
          <w:p w:rsidR="00F8694F" w:rsidRPr="00546AC7" w:rsidRDefault="00F8694F" w:rsidP="00F8694F">
            <w:pPr>
              <w:spacing w:after="60" w:line="240" w:lineRule="auto"/>
              <w:rPr>
                <w:rFonts w:ascii="Times New Roman" w:hAnsi="Times New Roman" w:cs="Times New Roman"/>
                <w:sz w:val="20"/>
                <w:szCs w:val="20"/>
              </w:rPr>
            </w:pPr>
          </w:p>
          <w:p w:rsidR="00F8694F" w:rsidRPr="00546AC7" w:rsidRDefault="00F8694F" w:rsidP="00F8694F">
            <w:pPr>
              <w:spacing w:after="60" w:line="240" w:lineRule="auto"/>
              <w:rPr>
                <w:rFonts w:ascii="Times New Roman" w:hAnsi="Times New Roman" w:cs="Times New Roman"/>
                <w:sz w:val="20"/>
                <w:szCs w:val="20"/>
              </w:rPr>
            </w:pP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Same as trigger.</w:t>
            </w:r>
          </w:p>
        </w:tc>
        <w:tc>
          <w:tcPr>
            <w:tcW w:w="1432" w:type="pct"/>
            <w:tcBorders>
              <w:bottom w:val="single" w:sz="4" w:space="0" w:color="auto"/>
              <w:right w:val="single" w:sz="4" w:space="0" w:color="auto"/>
            </w:tcBorders>
          </w:tcPr>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 xml:space="preserve">Met.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The electricity tariff study was completed, and subsequently validated by a workshop in October 2010.</w:t>
            </w:r>
          </w:p>
          <w:p w:rsidR="00F8694F" w:rsidRPr="00546AC7" w:rsidRDefault="00F8694F" w:rsidP="00F8694F">
            <w:pPr>
              <w:spacing w:after="60" w:line="240" w:lineRule="auto"/>
              <w:rPr>
                <w:rFonts w:ascii="Times New Roman" w:hAnsi="Times New Roman" w:cs="Times New Roman"/>
                <w:b/>
                <w:sz w:val="20"/>
                <w:szCs w:val="20"/>
              </w:rPr>
            </w:pPr>
          </w:p>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 xml:space="preserve">Met.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The LPG VAT taxe and Import Duty were removed.</w:t>
            </w:r>
          </w:p>
        </w:tc>
      </w:tr>
      <w:tr w:rsidR="00F8694F" w:rsidRPr="00546AC7" w:rsidTr="00F8694F">
        <w:trPr>
          <w:gridAfter w:val="1"/>
          <w:wAfter w:w="4" w:type="pct"/>
          <w:cantSplit/>
          <w:trHeight w:val="20"/>
          <w:jc w:val="center"/>
        </w:trPr>
        <w:tc>
          <w:tcPr>
            <w:tcW w:w="702" w:type="pct"/>
            <w:vMerge/>
            <w:tcBorders>
              <w:left w:val="single" w:sz="4" w:space="0" w:color="auto"/>
              <w:bottom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p>
        </w:tc>
        <w:tc>
          <w:tcPr>
            <w:tcW w:w="1433" w:type="pct"/>
            <w:tcBorders>
              <w:top w:val="single" w:sz="4" w:space="0" w:color="auto"/>
              <w:bottom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(4) Design of a tariff framework for urban water services that promotes efficiency, reliability, equity and sustainability of water resources</w:t>
            </w:r>
          </w:p>
        </w:tc>
        <w:tc>
          <w:tcPr>
            <w:tcW w:w="1429" w:type="pct"/>
            <w:tcBorders>
              <w:top w:val="single" w:sz="4" w:space="0" w:color="auto"/>
              <w:bottom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Same as trigger. </w:t>
            </w:r>
          </w:p>
        </w:tc>
        <w:tc>
          <w:tcPr>
            <w:tcW w:w="1432" w:type="pct"/>
            <w:tcBorders>
              <w:top w:val="single" w:sz="4" w:space="0" w:color="auto"/>
              <w:bottom w:val="single" w:sz="4" w:space="0" w:color="auto"/>
              <w:right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b/>
                <w:sz w:val="20"/>
                <w:szCs w:val="20"/>
              </w:rPr>
              <w:t>Met</w:t>
            </w:r>
            <w:r w:rsidRPr="00546AC7">
              <w:rPr>
                <w:rFonts w:ascii="Times New Roman" w:hAnsi="Times New Roman" w:cs="Times New Roman"/>
                <w:sz w:val="20"/>
                <w:szCs w:val="20"/>
              </w:rPr>
              <w:t xml:space="preserve">.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The tariff framework for urban waters was finalized and validated by a workshop in December 2010. </w:t>
            </w:r>
          </w:p>
        </w:tc>
      </w:tr>
      <w:tr w:rsidR="00F8694F" w:rsidRPr="00546AC7" w:rsidTr="00F8694F">
        <w:trPr>
          <w:gridAfter w:val="1"/>
          <w:wAfter w:w="4" w:type="pct"/>
          <w:cantSplit/>
          <w:trHeight w:val="215"/>
          <w:jc w:val="center"/>
        </w:trPr>
        <w:tc>
          <w:tcPr>
            <w:tcW w:w="702" w:type="pct"/>
            <w:tcBorders>
              <w:left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lastRenderedPageBreak/>
              <w:t>Raise Agricultural Productivity and Value Added Exports</w:t>
            </w:r>
          </w:p>
        </w:tc>
        <w:tc>
          <w:tcPr>
            <w:tcW w:w="1433" w:type="pct"/>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(5) Development, costing and initiation of an action plan for capacity building of private sector agro-dealers in agricultural input procurement and distribution, particularly at decentralized levels</w:t>
            </w:r>
          </w:p>
        </w:tc>
        <w:tc>
          <w:tcPr>
            <w:tcW w:w="1429" w:type="pct"/>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Same as trigger.</w:t>
            </w:r>
          </w:p>
          <w:p w:rsidR="00F8694F" w:rsidRPr="00546AC7" w:rsidRDefault="00F8694F" w:rsidP="00F8694F">
            <w:pPr>
              <w:spacing w:after="60" w:line="240" w:lineRule="auto"/>
              <w:rPr>
                <w:rFonts w:ascii="Times New Roman" w:hAnsi="Times New Roman" w:cs="Times New Roman"/>
                <w:sz w:val="20"/>
                <w:szCs w:val="20"/>
              </w:rPr>
            </w:pPr>
          </w:p>
        </w:tc>
        <w:tc>
          <w:tcPr>
            <w:tcW w:w="1432" w:type="pct"/>
            <w:tcBorders>
              <w:right w:val="single" w:sz="4" w:space="0" w:color="auto"/>
            </w:tcBorders>
          </w:tcPr>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 xml:space="preserve">Met.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The Government provided an action plan, which took into account comments of the World Bank team.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The Government has started to initiate these activities and provided a progress report on these activities as of December 2010.</w:t>
            </w:r>
          </w:p>
        </w:tc>
      </w:tr>
      <w:tr w:rsidR="00F8694F" w:rsidRPr="00546AC7" w:rsidTr="00F8694F">
        <w:trPr>
          <w:gridAfter w:val="1"/>
          <w:wAfter w:w="4" w:type="pct"/>
          <w:cantSplit/>
          <w:trHeight w:val="557"/>
          <w:jc w:val="center"/>
        </w:trPr>
        <w:tc>
          <w:tcPr>
            <w:tcW w:w="702" w:type="pct"/>
            <w:tcBorders>
              <w:left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Broaden and Deepen the Financial Sector</w:t>
            </w:r>
          </w:p>
        </w:tc>
        <w:tc>
          <w:tcPr>
            <w:tcW w:w="1433" w:type="pct"/>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(6) Adoption by Cabinet of a comprehensive framework of support to Small and Medium Enterprises (SMEs) (including consolidation of financing mechanisms)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(7) Gazetting of the Regulation governing Payment Service Providers</w:t>
            </w:r>
          </w:p>
        </w:tc>
        <w:tc>
          <w:tcPr>
            <w:tcW w:w="1429" w:type="pct"/>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Same as trigger.</w:t>
            </w:r>
          </w:p>
          <w:p w:rsidR="00F8694F" w:rsidRPr="00546AC7" w:rsidRDefault="00F8694F" w:rsidP="00F8694F">
            <w:pPr>
              <w:spacing w:after="60" w:line="240" w:lineRule="auto"/>
              <w:rPr>
                <w:rFonts w:ascii="Times New Roman" w:hAnsi="Times New Roman" w:cs="Times New Roman"/>
                <w:sz w:val="20"/>
                <w:szCs w:val="20"/>
              </w:rPr>
            </w:pPr>
          </w:p>
          <w:p w:rsidR="00F8694F" w:rsidRPr="00546AC7" w:rsidRDefault="00F8694F" w:rsidP="00F8694F">
            <w:pPr>
              <w:spacing w:after="60" w:line="240" w:lineRule="auto"/>
              <w:rPr>
                <w:rFonts w:ascii="Times New Roman" w:hAnsi="Times New Roman" w:cs="Times New Roman"/>
                <w:sz w:val="20"/>
                <w:szCs w:val="20"/>
              </w:rPr>
            </w:pPr>
          </w:p>
          <w:p w:rsidR="00F8694F" w:rsidRPr="00546AC7" w:rsidRDefault="00F8694F" w:rsidP="00F8694F">
            <w:pPr>
              <w:spacing w:after="60" w:line="240" w:lineRule="auto"/>
              <w:rPr>
                <w:rFonts w:ascii="Times New Roman" w:hAnsi="Times New Roman" w:cs="Times New Roman"/>
                <w:sz w:val="20"/>
                <w:szCs w:val="20"/>
              </w:rPr>
            </w:pP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Same as trigger.</w:t>
            </w:r>
          </w:p>
        </w:tc>
        <w:tc>
          <w:tcPr>
            <w:tcW w:w="1432" w:type="pct"/>
            <w:tcBorders>
              <w:right w:val="single" w:sz="4" w:space="0" w:color="auto"/>
            </w:tcBorders>
          </w:tcPr>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 xml:space="preserve">Met.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The SMEs development policy was adopted by Cabinet in June 2010. </w:t>
            </w:r>
          </w:p>
          <w:p w:rsidR="00F8694F" w:rsidRPr="00546AC7" w:rsidRDefault="00F8694F" w:rsidP="00F8694F">
            <w:pPr>
              <w:spacing w:after="60" w:line="240" w:lineRule="auto"/>
              <w:rPr>
                <w:rFonts w:ascii="Times New Roman" w:hAnsi="Times New Roman" w:cs="Times New Roman"/>
                <w:sz w:val="20"/>
                <w:szCs w:val="20"/>
              </w:rPr>
            </w:pPr>
          </w:p>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 xml:space="preserve">Met.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The Regulation governing payment service providers was gazetted in March 2010. </w:t>
            </w:r>
          </w:p>
        </w:tc>
      </w:tr>
      <w:tr w:rsidR="00F8694F" w:rsidRPr="00546AC7" w:rsidTr="00F8694F">
        <w:trPr>
          <w:gridAfter w:val="1"/>
          <w:wAfter w:w="4" w:type="pct"/>
          <w:cantSplit/>
          <w:trHeight w:val="737"/>
          <w:jc w:val="center"/>
        </w:trPr>
        <w:tc>
          <w:tcPr>
            <w:tcW w:w="702" w:type="pct"/>
            <w:tcBorders>
              <w:left w:val="single" w:sz="4" w:space="0" w:color="auto"/>
            </w:tcBorders>
          </w:tcPr>
          <w:p w:rsidR="00F8694F" w:rsidRPr="00546AC7" w:rsidRDefault="00F8694F" w:rsidP="00F8694F">
            <w:pPr>
              <w:spacing w:after="60" w:line="240" w:lineRule="auto"/>
              <w:rPr>
                <w:rFonts w:ascii="Times New Roman" w:hAnsi="Times New Roman" w:cs="Times New Roman"/>
                <w:bCs/>
                <w:iCs/>
                <w:sz w:val="20"/>
                <w:szCs w:val="20"/>
              </w:rPr>
            </w:pPr>
            <w:r w:rsidRPr="00546AC7">
              <w:rPr>
                <w:rFonts w:ascii="Times New Roman" w:hAnsi="Times New Roman" w:cs="Times New Roman"/>
                <w:bCs/>
                <w:iCs/>
                <w:sz w:val="20"/>
                <w:szCs w:val="20"/>
              </w:rPr>
              <w:t>Develop and Enhance the Public Financial Management System</w:t>
            </w:r>
          </w:p>
        </w:tc>
        <w:tc>
          <w:tcPr>
            <w:tcW w:w="1433" w:type="pct"/>
          </w:tcPr>
          <w:p w:rsidR="00F8694F" w:rsidRPr="00546AC7" w:rsidRDefault="00F8694F" w:rsidP="00F8694F">
            <w:pPr>
              <w:spacing w:after="60" w:line="240" w:lineRule="auto"/>
              <w:rPr>
                <w:rFonts w:ascii="Times New Roman" w:hAnsi="Times New Roman" w:cs="Times New Roman"/>
                <w:bCs/>
                <w:sz w:val="20"/>
                <w:szCs w:val="20"/>
              </w:rPr>
            </w:pPr>
            <w:r w:rsidRPr="00546AC7">
              <w:rPr>
                <w:rFonts w:ascii="Times New Roman" w:hAnsi="Times New Roman" w:cs="Times New Roman"/>
                <w:bCs/>
                <w:sz w:val="20"/>
                <w:szCs w:val="20"/>
              </w:rPr>
              <w:t>(8) Completion of the piloting of the Integrated Financial Management Information System (IFMIS) in central government, and its integration with the IPPS</w:t>
            </w:r>
          </w:p>
        </w:tc>
        <w:tc>
          <w:tcPr>
            <w:tcW w:w="1429" w:type="pct"/>
          </w:tcPr>
          <w:p w:rsidR="00F8694F" w:rsidRPr="00546AC7" w:rsidRDefault="00F8694F" w:rsidP="00F8694F">
            <w:pPr>
              <w:spacing w:after="60" w:line="240" w:lineRule="auto"/>
              <w:rPr>
                <w:rFonts w:ascii="Times New Roman" w:hAnsi="Times New Roman" w:cs="Times New Roman"/>
                <w:bCs/>
                <w:sz w:val="20"/>
                <w:szCs w:val="20"/>
              </w:rPr>
            </w:pPr>
            <w:r w:rsidRPr="00546AC7">
              <w:rPr>
                <w:rFonts w:ascii="Times New Roman" w:hAnsi="Times New Roman" w:cs="Times New Roman"/>
                <w:bCs/>
                <w:sz w:val="20"/>
                <w:szCs w:val="20"/>
              </w:rPr>
              <w:t>Same as trigger.</w:t>
            </w:r>
          </w:p>
          <w:p w:rsidR="00F8694F" w:rsidRPr="00546AC7" w:rsidRDefault="00F8694F" w:rsidP="00F8694F">
            <w:pPr>
              <w:spacing w:after="60" w:line="240" w:lineRule="auto"/>
              <w:rPr>
                <w:rFonts w:ascii="Times New Roman" w:hAnsi="Times New Roman" w:cs="Times New Roman"/>
                <w:bCs/>
                <w:sz w:val="20"/>
                <w:szCs w:val="20"/>
              </w:rPr>
            </w:pPr>
          </w:p>
        </w:tc>
        <w:tc>
          <w:tcPr>
            <w:tcW w:w="1432" w:type="pct"/>
            <w:tcBorders>
              <w:right w:val="single" w:sz="4" w:space="0" w:color="auto"/>
            </w:tcBorders>
          </w:tcPr>
          <w:p w:rsidR="00F8694F" w:rsidRPr="00546AC7" w:rsidRDefault="00F8694F" w:rsidP="00F8694F">
            <w:pPr>
              <w:spacing w:after="60" w:line="240" w:lineRule="auto"/>
              <w:rPr>
                <w:rFonts w:ascii="Times New Roman" w:hAnsi="Times New Roman" w:cs="Times New Roman"/>
                <w:bCs/>
                <w:sz w:val="20"/>
                <w:szCs w:val="20"/>
              </w:rPr>
            </w:pPr>
            <w:r w:rsidRPr="00546AC7">
              <w:rPr>
                <w:rFonts w:ascii="Times New Roman" w:hAnsi="Times New Roman" w:cs="Times New Roman"/>
                <w:b/>
                <w:bCs/>
                <w:sz w:val="20"/>
                <w:szCs w:val="20"/>
              </w:rPr>
              <w:t>Met</w:t>
            </w:r>
            <w:r w:rsidRPr="00546AC7">
              <w:rPr>
                <w:rFonts w:ascii="Times New Roman" w:hAnsi="Times New Roman" w:cs="Times New Roman"/>
                <w:bCs/>
                <w:sz w:val="20"/>
                <w:szCs w:val="20"/>
              </w:rPr>
              <w:t>.</w:t>
            </w:r>
          </w:p>
          <w:p w:rsidR="00F8694F" w:rsidRPr="00546AC7" w:rsidRDefault="00F8694F" w:rsidP="00F8694F">
            <w:pPr>
              <w:spacing w:after="60" w:line="240" w:lineRule="auto"/>
              <w:rPr>
                <w:rFonts w:ascii="Times New Roman" w:hAnsi="Times New Roman" w:cs="Times New Roman"/>
                <w:bCs/>
                <w:sz w:val="20"/>
                <w:szCs w:val="20"/>
              </w:rPr>
            </w:pPr>
            <w:r w:rsidRPr="00546AC7">
              <w:rPr>
                <w:rFonts w:ascii="Times New Roman" w:hAnsi="Times New Roman" w:cs="Times New Roman"/>
                <w:bCs/>
                <w:sz w:val="20"/>
                <w:szCs w:val="20"/>
              </w:rPr>
              <w:t>IFMIS pilot and roll-out to Central Government agencies is completed and an implementation report was provided.</w:t>
            </w:r>
          </w:p>
          <w:p w:rsidR="00F8694F" w:rsidRPr="00546AC7" w:rsidRDefault="00F8694F" w:rsidP="00F8694F">
            <w:pPr>
              <w:spacing w:after="60" w:line="240" w:lineRule="auto"/>
              <w:rPr>
                <w:rFonts w:ascii="Times New Roman" w:hAnsi="Times New Roman" w:cs="Times New Roman"/>
                <w:bCs/>
                <w:sz w:val="20"/>
                <w:szCs w:val="20"/>
              </w:rPr>
            </w:pPr>
            <w:r w:rsidRPr="00546AC7">
              <w:rPr>
                <w:rFonts w:ascii="Times New Roman" w:hAnsi="Times New Roman" w:cs="Times New Roman"/>
                <w:bCs/>
                <w:sz w:val="20"/>
                <w:szCs w:val="20"/>
              </w:rPr>
              <w:t>IFMIS and IPPS integration was completed and tested in December 2010</w:t>
            </w:r>
          </w:p>
        </w:tc>
      </w:tr>
      <w:tr w:rsidR="00F8694F" w:rsidRPr="00546AC7" w:rsidTr="00F8694F">
        <w:trPr>
          <w:gridAfter w:val="1"/>
          <w:wAfter w:w="4" w:type="pct"/>
          <w:cantSplit/>
          <w:trHeight w:val="710"/>
          <w:jc w:val="center"/>
        </w:trPr>
        <w:tc>
          <w:tcPr>
            <w:tcW w:w="702" w:type="pct"/>
            <w:tcBorders>
              <w:left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Strengthen Capacity and Transparency of Procurement Systems</w:t>
            </w:r>
          </w:p>
        </w:tc>
        <w:tc>
          <w:tcPr>
            <w:tcW w:w="1433" w:type="pct"/>
          </w:tcPr>
          <w:p w:rsidR="00F8694F" w:rsidRPr="00546AC7" w:rsidRDefault="00F8694F" w:rsidP="00F8694F">
            <w:pPr>
              <w:spacing w:after="60" w:line="240" w:lineRule="auto"/>
              <w:rPr>
                <w:rFonts w:ascii="Times New Roman" w:hAnsi="Times New Roman" w:cs="Times New Roman"/>
                <w:bCs/>
                <w:sz w:val="20"/>
                <w:szCs w:val="20"/>
              </w:rPr>
            </w:pPr>
            <w:r w:rsidRPr="00546AC7">
              <w:rPr>
                <w:rFonts w:ascii="Times New Roman" w:hAnsi="Times New Roman" w:cs="Times New Roman"/>
                <w:sz w:val="20"/>
                <w:szCs w:val="20"/>
              </w:rPr>
              <w:t>(9) Cabinet approval of the bill to amend the Procurement Law to increase efficiency and transparency of public procurement</w:t>
            </w:r>
          </w:p>
        </w:tc>
        <w:tc>
          <w:tcPr>
            <w:tcW w:w="1429" w:type="pct"/>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Same as trigger.</w:t>
            </w:r>
          </w:p>
          <w:p w:rsidR="00F8694F" w:rsidRPr="00546AC7" w:rsidRDefault="00F8694F" w:rsidP="00F8694F">
            <w:pPr>
              <w:spacing w:after="60" w:line="240" w:lineRule="auto"/>
              <w:rPr>
                <w:rFonts w:ascii="Times New Roman" w:hAnsi="Times New Roman" w:cs="Times New Roman"/>
                <w:sz w:val="20"/>
                <w:szCs w:val="20"/>
              </w:rPr>
            </w:pPr>
          </w:p>
        </w:tc>
        <w:tc>
          <w:tcPr>
            <w:tcW w:w="1432" w:type="pct"/>
            <w:tcBorders>
              <w:right w:val="single" w:sz="4" w:space="0" w:color="auto"/>
            </w:tcBorders>
          </w:tcPr>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 xml:space="preserve">Met.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The Bill to amend the Procurement Law was approved by Cabinet in on December 15, 2010.</w:t>
            </w:r>
          </w:p>
        </w:tc>
      </w:tr>
      <w:tr w:rsidR="00F8694F" w:rsidRPr="00546AC7" w:rsidTr="00F8694F">
        <w:trPr>
          <w:gridAfter w:val="1"/>
          <w:wAfter w:w="4" w:type="pct"/>
          <w:cantSplit/>
          <w:trHeight w:val="710"/>
          <w:jc w:val="center"/>
        </w:trPr>
        <w:tc>
          <w:tcPr>
            <w:tcW w:w="702" w:type="pct"/>
            <w:tcBorders>
              <w:left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Strengthen Implementation of Budget and Fiscal Decentralization Reforms</w:t>
            </w:r>
          </w:p>
        </w:tc>
        <w:tc>
          <w:tcPr>
            <w:tcW w:w="1433" w:type="pct"/>
          </w:tcPr>
          <w:p w:rsidR="00F8694F" w:rsidRPr="00546AC7" w:rsidRDefault="00F8694F" w:rsidP="00F8694F">
            <w:pPr>
              <w:spacing w:after="60" w:line="240" w:lineRule="auto"/>
              <w:rPr>
                <w:rFonts w:ascii="Times New Roman" w:hAnsi="Times New Roman" w:cs="Times New Roman"/>
                <w:bCs/>
                <w:sz w:val="20"/>
                <w:szCs w:val="20"/>
              </w:rPr>
            </w:pPr>
            <w:r w:rsidRPr="00546AC7">
              <w:rPr>
                <w:rFonts w:ascii="Times New Roman" w:hAnsi="Times New Roman" w:cs="Times New Roman"/>
                <w:sz w:val="20"/>
                <w:szCs w:val="20"/>
              </w:rPr>
              <w:t xml:space="preserve">(10) Adoption by Cabinet  and operationalization of a comprehensive 5-year capacity building strategy for local Government </w:t>
            </w:r>
          </w:p>
        </w:tc>
        <w:tc>
          <w:tcPr>
            <w:tcW w:w="1429" w:type="pct"/>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Same as trigger.</w:t>
            </w:r>
          </w:p>
          <w:p w:rsidR="00F8694F" w:rsidRPr="00546AC7" w:rsidRDefault="00F8694F" w:rsidP="00F8694F">
            <w:pPr>
              <w:spacing w:after="60" w:line="240" w:lineRule="auto"/>
              <w:rPr>
                <w:rFonts w:ascii="Times New Roman" w:hAnsi="Times New Roman" w:cs="Times New Roman"/>
                <w:sz w:val="20"/>
                <w:szCs w:val="20"/>
              </w:rPr>
            </w:pPr>
          </w:p>
        </w:tc>
        <w:tc>
          <w:tcPr>
            <w:tcW w:w="1432" w:type="pct"/>
            <w:tcBorders>
              <w:right w:val="single" w:sz="4" w:space="0" w:color="auto"/>
            </w:tcBorders>
          </w:tcPr>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Not met yet.</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The strategy was finalized and is projected to be adopted by Cabinet in January 2011.  Operationalization of the strategy already commenced and is reflected in a section of the strategy. </w:t>
            </w:r>
          </w:p>
        </w:tc>
      </w:tr>
      <w:tr w:rsidR="00F8694F" w:rsidRPr="00546AC7" w:rsidTr="00F8694F">
        <w:trPr>
          <w:gridAfter w:val="1"/>
          <w:wAfter w:w="4" w:type="pct"/>
          <w:cantSplit/>
          <w:trHeight w:val="710"/>
          <w:jc w:val="center"/>
        </w:trPr>
        <w:tc>
          <w:tcPr>
            <w:tcW w:w="702" w:type="pct"/>
            <w:tcBorders>
              <w:left w:val="single" w:sz="4" w:space="0" w:color="auto"/>
              <w:bottom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lastRenderedPageBreak/>
              <w:t>Adopt Civil Service Reforms to Build Skills, Incentives and Retention</w:t>
            </w:r>
          </w:p>
        </w:tc>
        <w:tc>
          <w:tcPr>
            <w:tcW w:w="1433" w:type="pct"/>
            <w:tcBorders>
              <w:bottom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(11) Pay and remuneration policy drafted and endorsed by key stakeholders on civil service reform and adopted by Cabinet</w:t>
            </w:r>
          </w:p>
        </w:tc>
        <w:tc>
          <w:tcPr>
            <w:tcW w:w="1429" w:type="pct"/>
            <w:tcBorders>
              <w:bottom w:val="single" w:sz="4" w:space="0" w:color="auto"/>
            </w:tcBorders>
          </w:tcPr>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Prior action was amended by exchanging it with another key action in this area. The prior action is: </w:t>
            </w:r>
          </w:p>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Cabinet approval of the General Statutes for the Public Service.</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While this substitute trigger is less comprehensive than the expected Pay and remuneration policy, it is a key step towards the policy and towards increasing retention. The Statutes define the terms of public servant pay depending on performance on the job. The law introduces a bonus system for public servants linked to their annual performance reports.</w:t>
            </w:r>
          </w:p>
        </w:tc>
        <w:tc>
          <w:tcPr>
            <w:tcW w:w="1432" w:type="pct"/>
            <w:tcBorders>
              <w:bottom w:val="single" w:sz="4" w:space="0" w:color="auto"/>
              <w:right w:val="single" w:sz="4" w:space="0" w:color="auto"/>
            </w:tcBorders>
          </w:tcPr>
          <w:p w:rsidR="00F8694F" w:rsidRPr="00546AC7" w:rsidRDefault="00F8694F" w:rsidP="00F8694F">
            <w:pPr>
              <w:spacing w:after="60" w:line="240" w:lineRule="auto"/>
              <w:rPr>
                <w:rFonts w:ascii="Times New Roman" w:hAnsi="Times New Roman" w:cs="Times New Roman"/>
                <w:b/>
                <w:sz w:val="20"/>
                <w:szCs w:val="20"/>
              </w:rPr>
            </w:pPr>
            <w:r w:rsidRPr="00546AC7">
              <w:rPr>
                <w:rFonts w:ascii="Times New Roman" w:hAnsi="Times New Roman" w:cs="Times New Roman"/>
                <w:b/>
                <w:sz w:val="20"/>
                <w:szCs w:val="20"/>
              </w:rPr>
              <w:t xml:space="preserve">Met.  </w:t>
            </w:r>
          </w:p>
          <w:p w:rsidR="00F8694F" w:rsidRPr="00546AC7" w:rsidRDefault="00F8694F" w:rsidP="00F8694F">
            <w:pPr>
              <w:spacing w:after="60" w:line="240" w:lineRule="auto"/>
              <w:rPr>
                <w:rFonts w:ascii="Times New Roman" w:hAnsi="Times New Roman" w:cs="Times New Roman"/>
                <w:sz w:val="20"/>
                <w:szCs w:val="20"/>
              </w:rPr>
            </w:pPr>
            <w:r w:rsidRPr="00546AC7">
              <w:rPr>
                <w:rFonts w:ascii="Times New Roman" w:hAnsi="Times New Roman" w:cs="Times New Roman"/>
                <w:sz w:val="20"/>
                <w:szCs w:val="20"/>
              </w:rPr>
              <w:t xml:space="preserve">Cabinet approved the General Statutes for the Public Service in July 2010.  </w:t>
            </w:r>
          </w:p>
        </w:tc>
      </w:tr>
    </w:tbl>
    <w:p w:rsidR="00F8694F" w:rsidRDefault="00F8694F">
      <w:pPr>
        <w:rPr>
          <w:rFonts w:ascii="Times New Roman" w:hAnsi="Times New Roman" w:cs="Times New Roman"/>
          <w:b/>
        </w:rPr>
      </w:pPr>
    </w:p>
    <w:p w:rsidR="00F8694F" w:rsidRDefault="00F8694F">
      <w:pPr>
        <w:rPr>
          <w:rFonts w:ascii="Times New Roman" w:hAnsi="Times New Roman" w:cs="Times New Roman"/>
          <w:b/>
        </w:rPr>
        <w:sectPr w:rsidR="00F8694F" w:rsidSect="004D2106">
          <w:pgSz w:w="15840" w:h="12240" w:orient="landscape"/>
          <w:pgMar w:top="1440" w:right="1440" w:bottom="1440" w:left="1440" w:header="720" w:footer="720" w:gutter="0"/>
          <w:cols w:space="720"/>
          <w:docGrid w:linePitch="360"/>
        </w:sectPr>
      </w:pPr>
    </w:p>
    <w:p w:rsidR="00726561" w:rsidRDefault="00726561">
      <w:pPr>
        <w:rPr>
          <w:rFonts w:ascii="Times New Roman" w:hAnsi="Times New Roman" w:cs="Times New Roman"/>
          <w:b/>
        </w:rPr>
      </w:pPr>
    </w:p>
    <w:p w:rsidR="0073108A" w:rsidRPr="00726561" w:rsidRDefault="00726561" w:rsidP="00726561">
      <w:pPr>
        <w:pStyle w:val="Caption"/>
        <w:rPr>
          <w:rFonts w:ascii="Times New Roman" w:hAnsi="Times New Roman" w:cs="Times New Roman"/>
          <w:b w:val="0"/>
        </w:rPr>
      </w:pPr>
      <w:bookmarkStart w:id="2" w:name="_Ref281991492"/>
      <w:r>
        <w:t xml:space="preserve">Annex </w:t>
      </w:r>
      <w:fldSimple w:instr=" SEQ Annex \* ARABIC ">
        <w:r w:rsidR="001B7E17">
          <w:rPr>
            <w:noProof/>
          </w:rPr>
          <w:t>2</w:t>
        </w:r>
      </w:fldSimple>
      <w:bookmarkEnd w:id="2"/>
      <w:r w:rsidR="0073108A" w:rsidRPr="00726561">
        <w:rPr>
          <w:rFonts w:ascii="Times New Roman" w:hAnsi="Times New Roman" w:cs="Times New Roman"/>
        </w:rPr>
        <w:t xml:space="preserve">:  </w:t>
      </w:r>
      <w:r w:rsidRPr="00726561">
        <w:rPr>
          <w:rFonts w:ascii="Times New Roman" w:hAnsi="Times New Roman" w:cs="Times New Roman"/>
        </w:rPr>
        <w:t>Overview of Outcome Indicators Monitored Under the PRSG Series</w:t>
      </w:r>
    </w:p>
    <w:tbl>
      <w:tblPr>
        <w:tblW w:w="96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1728"/>
        <w:gridCol w:w="938"/>
        <w:gridCol w:w="938"/>
        <w:gridCol w:w="2304"/>
      </w:tblGrid>
      <w:tr w:rsidR="004A2E79" w:rsidRPr="00726561" w:rsidTr="004A2E79">
        <w:trPr>
          <w:trHeight w:val="54"/>
          <w:tblHeader/>
          <w:jc w:val="center"/>
        </w:trPr>
        <w:tc>
          <w:tcPr>
            <w:tcW w:w="3744" w:type="dxa"/>
            <w:shd w:val="clear" w:color="auto" w:fill="FFFF99"/>
          </w:tcPr>
          <w:p w:rsidR="004A2E79" w:rsidRPr="00726561" w:rsidRDefault="004A2E79" w:rsidP="00726561">
            <w:pPr>
              <w:spacing w:after="0"/>
              <w:rPr>
                <w:rFonts w:ascii="Times New Roman" w:hAnsi="Times New Roman" w:cs="Times New Roman"/>
                <w:b/>
                <w:sz w:val="20"/>
                <w:szCs w:val="20"/>
              </w:rPr>
            </w:pPr>
            <w:r w:rsidRPr="00726561">
              <w:rPr>
                <w:rFonts w:ascii="Times New Roman" w:hAnsi="Times New Roman" w:cs="Times New Roman"/>
                <w:b/>
                <w:sz w:val="20"/>
                <w:szCs w:val="20"/>
              </w:rPr>
              <w:t>Indicator</w:t>
            </w:r>
          </w:p>
        </w:tc>
        <w:tc>
          <w:tcPr>
            <w:tcW w:w="1728" w:type="dxa"/>
            <w:shd w:val="clear" w:color="auto" w:fill="FFFF99"/>
          </w:tcPr>
          <w:p w:rsidR="004A2E79" w:rsidRPr="00726561" w:rsidRDefault="004A2E79" w:rsidP="00726561">
            <w:pPr>
              <w:spacing w:after="0"/>
              <w:jc w:val="center"/>
              <w:rPr>
                <w:rFonts w:ascii="Times New Roman" w:hAnsi="Times New Roman" w:cs="Times New Roman"/>
                <w:b/>
                <w:sz w:val="20"/>
                <w:szCs w:val="20"/>
              </w:rPr>
            </w:pPr>
            <w:r w:rsidRPr="00726561">
              <w:rPr>
                <w:rFonts w:ascii="Times New Roman" w:hAnsi="Times New Roman" w:cs="Times New Roman"/>
                <w:b/>
                <w:sz w:val="20"/>
                <w:szCs w:val="20"/>
              </w:rPr>
              <w:t>Baseline (2006)</w:t>
            </w:r>
          </w:p>
        </w:tc>
        <w:tc>
          <w:tcPr>
            <w:tcW w:w="938" w:type="dxa"/>
            <w:shd w:val="clear" w:color="auto" w:fill="FFFF99"/>
          </w:tcPr>
          <w:p w:rsidR="004A2E79" w:rsidRPr="00726561" w:rsidRDefault="004A2E79" w:rsidP="00726561">
            <w:pPr>
              <w:spacing w:after="0"/>
              <w:jc w:val="center"/>
              <w:rPr>
                <w:rFonts w:ascii="Times New Roman" w:hAnsi="Times New Roman" w:cs="Times New Roman"/>
                <w:b/>
                <w:sz w:val="20"/>
                <w:szCs w:val="20"/>
              </w:rPr>
            </w:pPr>
            <w:r w:rsidRPr="00726561">
              <w:rPr>
                <w:rFonts w:ascii="Times New Roman" w:hAnsi="Times New Roman" w:cs="Times New Roman"/>
                <w:b/>
                <w:sz w:val="20"/>
                <w:szCs w:val="20"/>
              </w:rPr>
              <w:t>Target 2009/10</w:t>
            </w:r>
          </w:p>
        </w:tc>
        <w:tc>
          <w:tcPr>
            <w:tcW w:w="938" w:type="dxa"/>
            <w:tcBorders>
              <w:bottom w:val="single" w:sz="4" w:space="0" w:color="auto"/>
            </w:tcBorders>
            <w:shd w:val="clear" w:color="auto" w:fill="FFFF99"/>
          </w:tcPr>
          <w:p w:rsidR="004A2E79" w:rsidRPr="00726561" w:rsidRDefault="004A2E79" w:rsidP="00726561">
            <w:pPr>
              <w:spacing w:after="0"/>
              <w:jc w:val="center"/>
              <w:rPr>
                <w:rFonts w:ascii="Times New Roman" w:hAnsi="Times New Roman" w:cs="Times New Roman"/>
                <w:b/>
                <w:sz w:val="20"/>
                <w:szCs w:val="20"/>
              </w:rPr>
            </w:pPr>
            <w:r w:rsidRPr="00726561">
              <w:rPr>
                <w:rFonts w:ascii="Times New Roman" w:hAnsi="Times New Roman" w:cs="Times New Roman"/>
                <w:b/>
                <w:sz w:val="20"/>
                <w:szCs w:val="20"/>
              </w:rPr>
              <w:t>Actual</w:t>
            </w:r>
          </w:p>
          <w:p w:rsidR="004A2E79" w:rsidRPr="00726561" w:rsidRDefault="004A2E79" w:rsidP="00726561">
            <w:pPr>
              <w:spacing w:after="0"/>
              <w:jc w:val="center"/>
              <w:rPr>
                <w:rFonts w:ascii="Times New Roman" w:hAnsi="Times New Roman" w:cs="Times New Roman"/>
                <w:b/>
                <w:sz w:val="20"/>
                <w:szCs w:val="20"/>
              </w:rPr>
            </w:pPr>
            <w:r w:rsidRPr="00726561">
              <w:rPr>
                <w:rFonts w:ascii="Times New Roman" w:hAnsi="Times New Roman" w:cs="Times New Roman"/>
                <w:b/>
                <w:sz w:val="20"/>
                <w:szCs w:val="20"/>
              </w:rPr>
              <w:t>2009/10</w:t>
            </w:r>
          </w:p>
        </w:tc>
        <w:tc>
          <w:tcPr>
            <w:tcW w:w="2304" w:type="dxa"/>
            <w:shd w:val="clear" w:color="auto" w:fill="FFFF99"/>
          </w:tcPr>
          <w:p w:rsidR="004A2E79" w:rsidRPr="00726561" w:rsidRDefault="004A2E79" w:rsidP="004A2E79">
            <w:pPr>
              <w:spacing w:after="0" w:line="240" w:lineRule="auto"/>
              <w:rPr>
                <w:rFonts w:ascii="Times New Roman" w:hAnsi="Times New Roman" w:cs="Times New Roman"/>
                <w:b/>
                <w:sz w:val="20"/>
                <w:szCs w:val="20"/>
              </w:rPr>
            </w:pPr>
            <w:r w:rsidRPr="00726561">
              <w:rPr>
                <w:rFonts w:ascii="Times New Roman" w:hAnsi="Times New Roman" w:cs="Times New Roman"/>
                <w:b/>
                <w:sz w:val="20"/>
                <w:szCs w:val="20"/>
              </w:rPr>
              <w:t>Data Source</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(1) Credit to the private sector</w:t>
            </w:r>
          </w:p>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 xml:space="preserve"> (as % of GDP)</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10</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12.2</w:t>
            </w:r>
          </w:p>
        </w:tc>
        <w:tc>
          <w:tcPr>
            <w:tcW w:w="938" w:type="dxa"/>
            <w:shd w:val="clear" w:color="auto" w:fill="E36C0A" w:themeFill="accent6" w:themeFillShade="BF"/>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11.7</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BNR Monetary Survey</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(2) Number of households and firms with access to electricity</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91,332</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139,000</w:t>
            </w:r>
          </w:p>
        </w:tc>
        <w:tc>
          <w:tcPr>
            <w:tcW w:w="938" w:type="dxa"/>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159,516</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MININFRA Report, and ELECTROGAZ Report</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 xml:space="preserve">(3) MW of electricity generated </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45</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80</w:t>
            </w:r>
          </w:p>
        </w:tc>
        <w:tc>
          <w:tcPr>
            <w:tcW w:w="938" w:type="dxa"/>
            <w:tcBorders>
              <w:bottom w:val="single" w:sz="4" w:space="0" w:color="auto"/>
            </w:tcBorders>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84</w:t>
            </w:r>
          </w:p>
        </w:tc>
        <w:tc>
          <w:tcPr>
            <w:tcW w:w="2304" w:type="dxa"/>
          </w:tcPr>
          <w:p w:rsidR="004A2E79" w:rsidRPr="00726561" w:rsidRDefault="004A2E79" w:rsidP="004A2E79">
            <w:pPr>
              <w:spacing w:after="0" w:line="360" w:lineRule="auto"/>
              <w:rPr>
                <w:rFonts w:ascii="Times New Roman" w:hAnsi="Times New Roman" w:cs="Times New Roman"/>
                <w:sz w:val="20"/>
                <w:szCs w:val="20"/>
              </w:rPr>
            </w:pPr>
            <w:r w:rsidRPr="00726561">
              <w:rPr>
                <w:rFonts w:ascii="Times New Roman" w:hAnsi="Times New Roman" w:cs="Times New Roman"/>
                <w:sz w:val="20"/>
                <w:szCs w:val="20"/>
              </w:rPr>
              <w:t>Mininfra</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(4) % Classified District Road Network in Good Condition</w:t>
            </w:r>
          </w:p>
        </w:tc>
        <w:tc>
          <w:tcPr>
            <w:tcW w:w="1728" w:type="dxa"/>
          </w:tcPr>
          <w:p w:rsidR="004A2E79" w:rsidRPr="00726561" w:rsidRDefault="004A2E79" w:rsidP="00D21AEF">
            <w:pPr>
              <w:spacing w:after="0"/>
              <w:jc w:val="center"/>
              <w:rPr>
                <w:rFonts w:ascii="Times New Roman" w:hAnsi="Times New Roman" w:cs="Times New Roman"/>
                <w:sz w:val="20"/>
                <w:szCs w:val="20"/>
              </w:rPr>
            </w:pPr>
            <w:r w:rsidRPr="00726561">
              <w:rPr>
                <w:rFonts w:ascii="Times New Roman" w:hAnsi="Times New Roman" w:cs="Times New Roman"/>
                <w:sz w:val="20"/>
                <w:szCs w:val="20"/>
              </w:rPr>
              <w:t>1</w:t>
            </w:r>
            <w:r>
              <w:rPr>
                <w:rFonts w:ascii="Times New Roman" w:hAnsi="Times New Roman" w:cs="Times New Roman"/>
                <w:sz w:val="20"/>
                <w:szCs w:val="20"/>
              </w:rPr>
              <w:t>1</w:t>
            </w:r>
          </w:p>
        </w:tc>
        <w:tc>
          <w:tcPr>
            <w:tcW w:w="938" w:type="dxa"/>
          </w:tcPr>
          <w:p w:rsidR="004A2E79" w:rsidRPr="00726561" w:rsidRDefault="004A2E79" w:rsidP="00D21AEF">
            <w:pPr>
              <w:spacing w:after="0"/>
              <w:jc w:val="center"/>
              <w:rPr>
                <w:rFonts w:ascii="Times New Roman" w:hAnsi="Times New Roman" w:cs="Times New Roman"/>
                <w:sz w:val="20"/>
                <w:szCs w:val="20"/>
              </w:rPr>
            </w:pPr>
            <w:r>
              <w:rPr>
                <w:rFonts w:ascii="Times New Roman" w:hAnsi="Times New Roman" w:cs="Times New Roman"/>
                <w:sz w:val="20"/>
                <w:szCs w:val="20"/>
              </w:rPr>
              <w:t>19</w:t>
            </w:r>
          </w:p>
        </w:tc>
        <w:tc>
          <w:tcPr>
            <w:tcW w:w="938" w:type="dxa"/>
            <w:shd w:val="clear" w:color="auto" w:fill="F2F2F2" w:themeFill="background1" w:themeFillShade="F2"/>
          </w:tcPr>
          <w:p w:rsidR="004A2E79" w:rsidRPr="00726561" w:rsidRDefault="004A2E79" w:rsidP="00726561">
            <w:pPr>
              <w:spacing w:after="0"/>
              <w:jc w:val="center"/>
              <w:rPr>
                <w:rFonts w:ascii="Times New Roman" w:hAnsi="Times New Roman" w:cs="Times New Roman"/>
                <w:sz w:val="20"/>
                <w:szCs w:val="20"/>
              </w:rPr>
            </w:pPr>
            <w:r>
              <w:rPr>
                <w:rFonts w:ascii="Times New Roman" w:hAnsi="Times New Roman" w:cs="Times New Roman"/>
                <w:sz w:val="20"/>
                <w:szCs w:val="20"/>
              </w:rPr>
              <w:t>53.8</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MININFRA, Districts</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(5) Percent of  population with access to clean drinking water</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64</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75</w:t>
            </w:r>
          </w:p>
        </w:tc>
        <w:tc>
          <w:tcPr>
            <w:tcW w:w="938" w:type="dxa"/>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76.2</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EICV, MINIRENA, Districts, Water utility</w:t>
            </w:r>
          </w:p>
        </w:tc>
      </w:tr>
      <w:tr w:rsidR="004A2E79" w:rsidRPr="00995096"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(6) Percent of population with access to hygienic sanitation</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38</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50</w:t>
            </w:r>
          </w:p>
        </w:tc>
        <w:tc>
          <w:tcPr>
            <w:tcW w:w="938" w:type="dxa"/>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56.3</w:t>
            </w:r>
          </w:p>
        </w:tc>
        <w:tc>
          <w:tcPr>
            <w:tcW w:w="2304" w:type="dxa"/>
          </w:tcPr>
          <w:p w:rsidR="004A2E79" w:rsidRPr="00726561" w:rsidRDefault="004A2E79" w:rsidP="004A2E79">
            <w:pPr>
              <w:spacing w:after="0" w:line="240" w:lineRule="auto"/>
              <w:rPr>
                <w:rFonts w:ascii="Times New Roman" w:hAnsi="Times New Roman" w:cs="Times New Roman"/>
                <w:sz w:val="20"/>
                <w:szCs w:val="20"/>
                <w:lang w:val="fr-FR"/>
              </w:rPr>
            </w:pPr>
            <w:r w:rsidRPr="00726561">
              <w:rPr>
                <w:rFonts w:ascii="Times New Roman" w:hAnsi="Times New Roman" w:cs="Times New Roman"/>
                <w:sz w:val="20"/>
                <w:szCs w:val="20"/>
                <w:lang w:val="fr-FR"/>
              </w:rPr>
              <w:t>Districts, MINISANTE MINIRENA, EICV   DHS</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(7) Proportion of arable land protected against soil erosion</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40</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50</w:t>
            </w:r>
          </w:p>
        </w:tc>
        <w:tc>
          <w:tcPr>
            <w:tcW w:w="938" w:type="dxa"/>
            <w:tcBorders>
              <w:bottom w:val="single" w:sz="4" w:space="0" w:color="auto"/>
            </w:tcBorders>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80.9</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Agriculture Household Survey/Enquete agricole</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(8) Mineral Fertilizer used  (MT)</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14,000</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30,800</w:t>
            </w:r>
          </w:p>
        </w:tc>
        <w:tc>
          <w:tcPr>
            <w:tcW w:w="938" w:type="dxa"/>
            <w:shd w:val="clear" w:color="auto" w:fill="E36C0A" w:themeFill="accent6" w:themeFillShade="BF"/>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27,906</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EICV (benchmark) and BNR and RRA (Customs) for annual statistics</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(9) Transition from basic education (TC) to upper secondary education</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82</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82</w:t>
            </w:r>
          </w:p>
        </w:tc>
        <w:tc>
          <w:tcPr>
            <w:tcW w:w="938" w:type="dxa"/>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90.2</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EMIS &amp; LTSFF</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(10) Percent of employees satisfied with performance of TVET graduates</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n/a</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9</w:t>
            </w:r>
          </w:p>
        </w:tc>
        <w:tc>
          <w:tcPr>
            <w:tcW w:w="938" w:type="dxa"/>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n/a</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LMIS &amp; MINEDUC</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(11) Percent of Districts achieving minimum of 80 percent of their service delivery and development targets for which they are responsible</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60</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65</w:t>
            </w:r>
          </w:p>
        </w:tc>
        <w:tc>
          <w:tcPr>
            <w:tcW w:w="938" w:type="dxa"/>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67</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Annual Imihigo reports</w:t>
            </w:r>
          </w:p>
        </w:tc>
      </w:tr>
      <w:tr w:rsidR="004A2E79" w:rsidRPr="00726561" w:rsidTr="004A2E79">
        <w:trPr>
          <w:trHeight w:val="54"/>
          <w:jc w:val="center"/>
        </w:trPr>
        <w:tc>
          <w:tcPr>
            <w:tcW w:w="3744" w:type="dxa"/>
          </w:tcPr>
          <w:p w:rsidR="004A2E79" w:rsidRPr="00726561" w:rsidRDefault="004A2E79" w:rsidP="00726561">
            <w:pPr>
              <w:spacing w:after="0"/>
              <w:rPr>
                <w:rFonts w:ascii="Times New Roman" w:hAnsi="Times New Roman" w:cs="Times New Roman"/>
                <w:sz w:val="20"/>
                <w:szCs w:val="20"/>
              </w:rPr>
            </w:pPr>
            <w:r w:rsidRPr="00726561">
              <w:rPr>
                <w:rFonts w:ascii="Times New Roman" w:hAnsi="Times New Roman" w:cs="Times New Roman"/>
                <w:sz w:val="20"/>
                <w:szCs w:val="20"/>
              </w:rPr>
              <w:t>(12) Percentage of Performing Budget Agencies</w:t>
            </w:r>
          </w:p>
        </w:tc>
        <w:tc>
          <w:tcPr>
            <w:tcW w:w="172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No baseline coordination unit  in place  late 2008</w:t>
            </w:r>
          </w:p>
        </w:tc>
        <w:tc>
          <w:tcPr>
            <w:tcW w:w="938" w:type="dxa"/>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25</w:t>
            </w:r>
          </w:p>
        </w:tc>
        <w:tc>
          <w:tcPr>
            <w:tcW w:w="938" w:type="dxa"/>
            <w:shd w:val="clear" w:color="auto" w:fill="auto"/>
          </w:tcPr>
          <w:p w:rsidR="004A2E79" w:rsidRPr="00726561" w:rsidRDefault="004A2E79" w:rsidP="00726561">
            <w:pPr>
              <w:spacing w:after="0"/>
              <w:jc w:val="center"/>
              <w:rPr>
                <w:rFonts w:ascii="Times New Roman" w:hAnsi="Times New Roman" w:cs="Times New Roman"/>
                <w:sz w:val="20"/>
                <w:szCs w:val="20"/>
              </w:rPr>
            </w:pPr>
            <w:r w:rsidRPr="00726561">
              <w:rPr>
                <w:rFonts w:ascii="Times New Roman" w:hAnsi="Times New Roman" w:cs="Times New Roman"/>
                <w:sz w:val="20"/>
                <w:szCs w:val="20"/>
              </w:rPr>
              <w:t>n/a</w:t>
            </w:r>
          </w:p>
        </w:tc>
        <w:tc>
          <w:tcPr>
            <w:tcW w:w="2304" w:type="dxa"/>
          </w:tcPr>
          <w:p w:rsidR="004A2E79" w:rsidRPr="00726561" w:rsidRDefault="004A2E79" w:rsidP="004A2E79">
            <w:pPr>
              <w:spacing w:after="0" w:line="240" w:lineRule="auto"/>
              <w:rPr>
                <w:rFonts w:ascii="Times New Roman" w:hAnsi="Times New Roman" w:cs="Times New Roman"/>
                <w:sz w:val="20"/>
                <w:szCs w:val="20"/>
              </w:rPr>
            </w:pPr>
            <w:r w:rsidRPr="00726561">
              <w:rPr>
                <w:rFonts w:ascii="Times New Roman" w:hAnsi="Times New Roman" w:cs="Times New Roman"/>
                <w:sz w:val="20"/>
                <w:szCs w:val="20"/>
              </w:rPr>
              <w:t xml:space="preserve">Coordination Unit (PM office) </w:t>
            </w:r>
          </w:p>
        </w:tc>
      </w:tr>
    </w:tbl>
    <w:p w:rsidR="008D06BA" w:rsidRPr="00726561" w:rsidRDefault="008D06BA" w:rsidP="00E22DD0">
      <w:pPr>
        <w:spacing w:after="240"/>
        <w:rPr>
          <w:rFonts w:ascii="Times New Roman" w:hAnsi="Times New Roman" w:cs="Times New Roman"/>
        </w:rPr>
      </w:pPr>
    </w:p>
    <w:sectPr w:rsidR="008D06BA" w:rsidRPr="00726561" w:rsidSect="00112C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A7" w:rsidRDefault="00844BA7" w:rsidP="005C1981">
      <w:pPr>
        <w:spacing w:after="0" w:line="240" w:lineRule="auto"/>
      </w:pPr>
      <w:r>
        <w:separator/>
      </w:r>
    </w:p>
  </w:endnote>
  <w:endnote w:type="continuationSeparator" w:id="0">
    <w:p w:rsidR="00844BA7" w:rsidRDefault="00844BA7" w:rsidP="005C1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CB" w:rsidRDefault="00D61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0918"/>
      <w:docPartObj>
        <w:docPartGallery w:val="Page Numbers (Bottom of Page)"/>
        <w:docPartUnique/>
      </w:docPartObj>
    </w:sdtPr>
    <w:sdtEndPr>
      <w:rPr>
        <w:color w:val="7F7F7F" w:themeColor="background1" w:themeShade="7F"/>
        <w:spacing w:val="60"/>
      </w:rPr>
    </w:sdtEndPr>
    <w:sdtContent>
      <w:p w:rsidR="004D2106" w:rsidRDefault="00A37590" w:rsidP="00F8694F">
        <w:pPr>
          <w:pStyle w:val="Footer"/>
          <w:pBdr>
            <w:top w:val="single" w:sz="4" w:space="1" w:color="D9D9D9" w:themeColor="background1" w:themeShade="D9"/>
          </w:pBdr>
          <w:jc w:val="right"/>
        </w:pPr>
        <w:fldSimple w:instr=" PAGE   \* MERGEFORMAT ">
          <w:r w:rsidR="001B7E17">
            <w:rPr>
              <w:noProof/>
            </w:rPr>
            <w:t>3</w:t>
          </w:r>
        </w:fldSimple>
        <w:r w:rsidR="004D2106">
          <w:t xml:space="preserve"> | </w:t>
        </w:r>
        <w:r w:rsidR="004D2106">
          <w:rPr>
            <w:color w:val="7F7F7F" w:themeColor="background1" w:themeShade="7F"/>
            <w:spacing w:val="60"/>
          </w:rPr>
          <w:t>Page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CB" w:rsidRDefault="00D61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A7" w:rsidRDefault="00844BA7" w:rsidP="005C1981">
      <w:pPr>
        <w:spacing w:after="0" w:line="240" w:lineRule="auto"/>
      </w:pPr>
      <w:r>
        <w:separator/>
      </w:r>
    </w:p>
  </w:footnote>
  <w:footnote w:type="continuationSeparator" w:id="0">
    <w:p w:rsidR="00844BA7" w:rsidRDefault="00844BA7" w:rsidP="005C1981">
      <w:pPr>
        <w:spacing w:after="0" w:line="240" w:lineRule="auto"/>
      </w:pPr>
      <w:r>
        <w:continuationSeparator/>
      </w:r>
    </w:p>
  </w:footnote>
  <w:footnote w:id="1">
    <w:p w:rsidR="004D2106" w:rsidRDefault="004D2106" w:rsidP="004D2106">
      <w:pPr>
        <w:pStyle w:val="FootnoteText"/>
        <w:spacing w:line="276" w:lineRule="auto"/>
      </w:pPr>
      <w:r>
        <w:rPr>
          <w:rStyle w:val="FootnoteReference"/>
        </w:rPr>
        <w:footnoteRef/>
      </w:r>
      <w:r>
        <w:t xml:space="preserve"> </w:t>
      </w:r>
      <w:r w:rsidRPr="004D2106">
        <w:rPr>
          <w:rFonts w:cs="Times New Roman"/>
        </w:rPr>
        <w:t>SWGs, each chaired by a lead Government institution and co-chaired by a lead donor, monitor and report on their respective sector results and policy matrices. Sectors produce sector performance reports (around EDPRS, CPAF and budget indicators), which are subsequently discussed in Joint Sector Reviews (JSRs). Based on these discussions, summaries of sector performance over the fiscal year are signed by the co-chairs.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CB" w:rsidRDefault="00A375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23242" o:spid="_x0000_s2050" type="#_x0000_t136" style="position:absolute;margin-left:0;margin-top:0;width:377.05pt;height:282.8pt;rotation:315;z-index:-251654144;mso-position-horizontal:center;mso-position-horizontal-relative:margin;mso-position-vertical:center;mso-position-vertical-relative:margin" o:allowincell="f" fillcolor="silver" stroked="f">
          <v:fill opacity=".5"/>
          <v:textpath style="font-family:&quot;Calibri&quot;;font-size:1pt" string="Publi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CB" w:rsidRDefault="00A375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23243" o:spid="_x0000_s2051" type="#_x0000_t136" style="position:absolute;margin-left:0;margin-top:0;width:377.05pt;height:282.8pt;rotation:315;z-index:-251652096;mso-position-horizontal:center;mso-position-horizontal-relative:margin;mso-position-vertical:center;mso-position-vertical-relative:margin" o:allowincell="f" fillcolor="silver" stroked="f">
          <v:fill opacity=".5"/>
          <v:textpath style="font-family:&quot;Calibri&quot;;font-size:1pt" string="Publi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CB" w:rsidRDefault="00A375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23241" o:spid="_x0000_s2049" type="#_x0000_t136" style="position:absolute;margin-left:0;margin-top:0;width:377.05pt;height:282.8pt;rotation:315;z-index:-251656192;mso-position-horizontal:center;mso-position-horizontal-relative:margin;mso-position-vertical:center;mso-position-vertical-relative:margin" o:allowincell="f" fillcolor="silver" stroked="f">
          <v:fill opacity=".5"/>
          <v:textpath style="font-family:&quot;Calibri&quot;;font-size:1pt" string="Publi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C66174"/>
    <w:lvl w:ilvl="0">
      <w:numFmt w:val="bullet"/>
      <w:lvlText w:val="*"/>
      <w:lvlJc w:val="left"/>
    </w:lvl>
  </w:abstractNum>
  <w:abstractNum w:abstractNumId="1">
    <w:nsid w:val="081C509A"/>
    <w:multiLevelType w:val="hybridMultilevel"/>
    <w:tmpl w:val="B3CE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7195"/>
    <w:multiLevelType w:val="hybridMultilevel"/>
    <w:tmpl w:val="373AFF18"/>
    <w:lvl w:ilvl="0" w:tplc="C7D247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62115"/>
    <w:multiLevelType w:val="hybridMultilevel"/>
    <w:tmpl w:val="99002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439E6"/>
    <w:multiLevelType w:val="multilevel"/>
    <w:tmpl w:val="FF98F1C2"/>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9776DE3"/>
    <w:multiLevelType w:val="hybridMultilevel"/>
    <w:tmpl w:val="83FA7088"/>
    <w:lvl w:ilvl="0" w:tplc="816EEF12">
      <w:start w:val="1"/>
      <w:numFmt w:val="decimal"/>
      <w:lvlText w:val="%1."/>
      <w:lvlJc w:val="left"/>
      <w:pPr>
        <w:ind w:left="360" w:hanging="360"/>
      </w:pPr>
      <w:rPr>
        <w:rFonts w:cs="Times New Roman"/>
        <w:b w:val="0"/>
        <w:i w:val="0"/>
        <w:color w:val="00000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215D7C"/>
    <w:multiLevelType w:val="hybridMultilevel"/>
    <w:tmpl w:val="698E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95248"/>
    <w:multiLevelType w:val="hybridMultilevel"/>
    <w:tmpl w:val="04F8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115F2"/>
    <w:multiLevelType w:val="hybridMultilevel"/>
    <w:tmpl w:val="1D6ADA56"/>
    <w:lvl w:ilvl="0" w:tplc="E1E47D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26E9B"/>
    <w:multiLevelType w:val="hybridMultilevel"/>
    <w:tmpl w:val="04F8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7"/>
  </w:num>
  <w:num w:numId="4">
    <w:abstractNumId w:val="8"/>
  </w:num>
  <w:num w:numId="5">
    <w:abstractNumId w:val="6"/>
  </w:num>
  <w:num w:numId="6">
    <w:abstractNumId w:val="3"/>
  </w:num>
  <w:num w:numId="7">
    <w:abstractNumId w:val="4"/>
  </w:num>
  <w:num w:numId="8">
    <w:abstractNumId w:val="5"/>
  </w:num>
  <w:num w:numId="9">
    <w:abstractNumId w:val="4"/>
  </w:num>
  <w:num w:numId="10">
    <w:abstractNumId w:val="4"/>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2"/>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B4AD3"/>
    <w:rsid w:val="00064BFB"/>
    <w:rsid w:val="00112C86"/>
    <w:rsid w:val="00141A0A"/>
    <w:rsid w:val="00173752"/>
    <w:rsid w:val="001A10CC"/>
    <w:rsid w:val="001B7E17"/>
    <w:rsid w:val="001D65BC"/>
    <w:rsid w:val="001D72B2"/>
    <w:rsid w:val="001F3D85"/>
    <w:rsid w:val="001F4999"/>
    <w:rsid w:val="002138AC"/>
    <w:rsid w:val="00294FF4"/>
    <w:rsid w:val="00295EA3"/>
    <w:rsid w:val="002A450C"/>
    <w:rsid w:val="002E66BB"/>
    <w:rsid w:val="003A570C"/>
    <w:rsid w:val="003B4618"/>
    <w:rsid w:val="003C5AAC"/>
    <w:rsid w:val="003E28D8"/>
    <w:rsid w:val="0040423D"/>
    <w:rsid w:val="004A2E79"/>
    <w:rsid w:val="004B4AD3"/>
    <w:rsid w:val="004C2354"/>
    <w:rsid w:val="004D2106"/>
    <w:rsid w:val="004D39F9"/>
    <w:rsid w:val="0052696F"/>
    <w:rsid w:val="00543BA0"/>
    <w:rsid w:val="00546AC7"/>
    <w:rsid w:val="0055585C"/>
    <w:rsid w:val="00577795"/>
    <w:rsid w:val="005C1981"/>
    <w:rsid w:val="005C2F59"/>
    <w:rsid w:val="005D0B4F"/>
    <w:rsid w:val="005F7F2E"/>
    <w:rsid w:val="006149DA"/>
    <w:rsid w:val="006D68F7"/>
    <w:rsid w:val="00702048"/>
    <w:rsid w:val="00713EDB"/>
    <w:rsid w:val="00726561"/>
    <w:rsid w:val="007266BE"/>
    <w:rsid w:val="0073108A"/>
    <w:rsid w:val="00770993"/>
    <w:rsid w:val="007822CB"/>
    <w:rsid w:val="0078605D"/>
    <w:rsid w:val="007A072E"/>
    <w:rsid w:val="007C0017"/>
    <w:rsid w:val="00844BA7"/>
    <w:rsid w:val="00862349"/>
    <w:rsid w:val="00862D2B"/>
    <w:rsid w:val="00863232"/>
    <w:rsid w:val="008C43BB"/>
    <w:rsid w:val="008D06BA"/>
    <w:rsid w:val="008E1E8E"/>
    <w:rsid w:val="009327CF"/>
    <w:rsid w:val="00995096"/>
    <w:rsid w:val="009B6388"/>
    <w:rsid w:val="00A30B30"/>
    <w:rsid w:val="00A37590"/>
    <w:rsid w:val="00A47845"/>
    <w:rsid w:val="00A760DD"/>
    <w:rsid w:val="00AD3285"/>
    <w:rsid w:val="00B20F47"/>
    <w:rsid w:val="00B67D49"/>
    <w:rsid w:val="00BB4A5C"/>
    <w:rsid w:val="00C453D7"/>
    <w:rsid w:val="00C771CA"/>
    <w:rsid w:val="00C81747"/>
    <w:rsid w:val="00CB1B90"/>
    <w:rsid w:val="00CF2C02"/>
    <w:rsid w:val="00CF356E"/>
    <w:rsid w:val="00D06196"/>
    <w:rsid w:val="00D21AEF"/>
    <w:rsid w:val="00D54E85"/>
    <w:rsid w:val="00D61ACB"/>
    <w:rsid w:val="00DA6D5F"/>
    <w:rsid w:val="00DB2B17"/>
    <w:rsid w:val="00DB3228"/>
    <w:rsid w:val="00DE0747"/>
    <w:rsid w:val="00E22DD0"/>
    <w:rsid w:val="00E23552"/>
    <w:rsid w:val="00E61EAC"/>
    <w:rsid w:val="00F01C36"/>
    <w:rsid w:val="00F11D0F"/>
    <w:rsid w:val="00F8694F"/>
    <w:rsid w:val="00F95D1B"/>
    <w:rsid w:val="00F97586"/>
    <w:rsid w:val="00FA2033"/>
    <w:rsid w:val="00FB4E00"/>
    <w:rsid w:val="00FC5FE0"/>
    <w:rsid w:val="00FC6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86"/>
  </w:style>
  <w:style w:type="paragraph" w:styleId="Heading1">
    <w:name w:val="heading 1"/>
    <w:basedOn w:val="Normal"/>
    <w:next w:val="Normal"/>
    <w:link w:val="Heading1Char"/>
    <w:uiPriority w:val="9"/>
    <w:qFormat/>
    <w:rsid w:val="00DB3228"/>
    <w:pPr>
      <w:keepNext/>
      <w:keepLines/>
      <w:spacing w:after="240"/>
      <w:jc w:val="both"/>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3D"/>
    <w:pPr>
      <w:contextualSpacing/>
      <w:jc w:val="both"/>
    </w:pPr>
    <w:rPr>
      <w:rFonts w:ascii="Times New Roman" w:hAnsi="Times New Roman"/>
    </w:rPr>
  </w:style>
  <w:style w:type="paragraph" w:styleId="Header">
    <w:name w:val="header"/>
    <w:basedOn w:val="Normal"/>
    <w:link w:val="HeaderChar"/>
    <w:uiPriority w:val="99"/>
    <w:semiHidden/>
    <w:unhideWhenUsed/>
    <w:rsid w:val="005C19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981"/>
  </w:style>
  <w:style w:type="paragraph" w:styleId="Footer">
    <w:name w:val="footer"/>
    <w:basedOn w:val="Normal"/>
    <w:link w:val="FooterChar"/>
    <w:uiPriority w:val="99"/>
    <w:unhideWhenUsed/>
    <w:rsid w:val="005C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981"/>
  </w:style>
  <w:style w:type="paragraph" w:styleId="Caption">
    <w:name w:val="caption"/>
    <w:basedOn w:val="Normal"/>
    <w:next w:val="Normal"/>
    <w:link w:val="CaptionChar"/>
    <w:autoRedefine/>
    <w:qFormat/>
    <w:rsid w:val="00FC6819"/>
    <w:pPr>
      <w:spacing w:before="240" w:after="120" w:line="240" w:lineRule="auto"/>
      <w:ind w:left="720"/>
      <w:jc w:val="center"/>
    </w:pPr>
    <w:rPr>
      <w:rFonts w:ascii="Arial" w:eastAsia="Times New Roman" w:hAnsi="Arial" w:cs="Arial"/>
      <w:b/>
      <w:bCs/>
      <w:sz w:val="20"/>
      <w:szCs w:val="20"/>
    </w:rPr>
  </w:style>
  <w:style w:type="character" w:customStyle="1" w:styleId="CaptionChar">
    <w:name w:val="Caption Char"/>
    <w:basedOn w:val="DefaultParagraphFont"/>
    <w:link w:val="Caption"/>
    <w:locked/>
    <w:rsid w:val="00FC6819"/>
    <w:rPr>
      <w:rFonts w:ascii="Arial" w:eastAsia="Times New Roman" w:hAnsi="Arial" w:cs="Arial"/>
      <w:b/>
      <w:bCs/>
      <w:sz w:val="20"/>
      <w:szCs w:val="20"/>
    </w:rPr>
  </w:style>
  <w:style w:type="paragraph" w:customStyle="1" w:styleId="TableNormal0">
    <w:name w:val="TableNormal"/>
    <w:basedOn w:val="Normal"/>
    <w:uiPriority w:val="99"/>
    <w:rsid w:val="00CF2C02"/>
    <w:pPr>
      <w:spacing w:after="0" w:line="240" w:lineRule="auto"/>
    </w:pPr>
    <w:rPr>
      <w:rFonts w:ascii="Times New Roman" w:eastAsia="Times New Roman" w:hAnsi="Times New Roman" w:cs="Times New Roman"/>
      <w:sz w:val="18"/>
      <w:szCs w:val="20"/>
    </w:rPr>
  </w:style>
  <w:style w:type="paragraph" w:styleId="BodyText">
    <w:name w:val="Body Text"/>
    <w:aliases w:val="heading3"/>
    <w:basedOn w:val="Normal"/>
    <w:link w:val="BodyTextChar"/>
    <w:uiPriority w:val="99"/>
    <w:rsid w:val="00CF2C02"/>
    <w:pPr>
      <w:spacing w:after="0" w:line="240" w:lineRule="auto"/>
    </w:pPr>
    <w:rPr>
      <w:rFonts w:ascii="Arial" w:eastAsia="Times New Roman" w:hAnsi="Arial" w:cs="Times New Roman"/>
      <w:b/>
      <w:bCs/>
      <w:sz w:val="18"/>
      <w:szCs w:val="18"/>
      <w:lang w:val="en-GB"/>
    </w:rPr>
  </w:style>
  <w:style w:type="character" w:customStyle="1" w:styleId="BodyTextChar">
    <w:name w:val="Body Text Char"/>
    <w:aliases w:val="heading3 Char"/>
    <w:basedOn w:val="DefaultParagraphFont"/>
    <w:link w:val="BodyText"/>
    <w:uiPriority w:val="99"/>
    <w:rsid w:val="00CF2C02"/>
    <w:rPr>
      <w:rFonts w:ascii="Arial" w:eastAsia="Times New Roman" w:hAnsi="Arial" w:cs="Times New Roman"/>
      <w:b/>
      <w:bCs/>
      <w:sz w:val="18"/>
      <w:szCs w:val="18"/>
      <w:lang w:val="en-GB"/>
    </w:rPr>
  </w:style>
  <w:style w:type="paragraph" w:styleId="BodyTextIndent2">
    <w:name w:val="Body Text Indent 2"/>
    <w:basedOn w:val="Normal"/>
    <w:link w:val="BodyTextIndent2Char"/>
    <w:uiPriority w:val="99"/>
    <w:rsid w:val="00CF2C0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F2C02"/>
    <w:rPr>
      <w:rFonts w:ascii="Times New Roman" w:eastAsia="Times New Roman" w:hAnsi="Times New Roman" w:cs="Times New Roman"/>
      <w:sz w:val="24"/>
      <w:szCs w:val="24"/>
    </w:rPr>
  </w:style>
  <w:style w:type="paragraph" w:customStyle="1" w:styleId="xl28">
    <w:name w:val="xl28"/>
    <w:basedOn w:val="Normal"/>
    <w:uiPriority w:val="99"/>
    <w:rsid w:val="00CF2C02"/>
    <w:pPr>
      <w:spacing w:before="100" w:beforeAutospacing="1" w:after="100" w:afterAutospacing="1" w:line="240" w:lineRule="auto"/>
    </w:pPr>
    <w:rPr>
      <w:rFonts w:ascii="Times New Roman" w:eastAsia="Arial Unicode MS" w:hAnsi="Times New Roman" w:cs="Times New Roman"/>
      <w:b/>
      <w:bCs/>
      <w:sz w:val="16"/>
      <w:szCs w:val="16"/>
    </w:rPr>
  </w:style>
  <w:style w:type="paragraph" w:customStyle="1" w:styleId="Letterccbcc">
    <w:name w:val="Letter: cc/bcc"/>
    <w:basedOn w:val="Normal"/>
    <w:rsid w:val="009B6388"/>
    <w:pPr>
      <w:tabs>
        <w:tab w:val="right" w:pos="828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BB"/>
    <w:rPr>
      <w:rFonts w:ascii="Tahoma" w:hAnsi="Tahoma" w:cs="Tahoma"/>
      <w:sz w:val="16"/>
      <w:szCs w:val="16"/>
    </w:rPr>
  </w:style>
  <w:style w:type="paragraph" w:customStyle="1" w:styleId="Heading1a">
    <w:name w:val="Heading 1a"/>
    <w:basedOn w:val="Normal"/>
    <w:next w:val="Normal"/>
    <w:rsid w:val="00726561"/>
    <w:pPr>
      <w:keepNext/>
      <w:keepLines/>
      <w:numPr>
        <w:numId w:val="7"/>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link w:val="MainParanoChapterChar"/>
    <w:uiPriority w:val="99"/>
    <w:rsid w:val="00726561"/>
    <w:pPr>
      <w:numPr>
        <w:ilvl w:val="1"/>
        <w:numId w:val="7"/>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726561"/>
    <w:pPr>
      <w:numPr>
        <w:ilvl w:val="2"/>
        <w:numId w:val="7"/>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726561"/>
    <w:pPr>
      <w:numPr>
        <w:ilvl w:val="3"/>
        <w:numId w:val="7"/>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726561"/>
    <w:pPr>
      <w:numPr>
        <w:ilvl w:val="4"/>
        <w:numId w:val="7"/>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726561"/>
    <w:pPr>
      <w:numPr>
        <w:ilvl w:val="5"/>
        <w:numId w:val="7"/>
      </w:numPr>
      <w:tabs>
        <w:tab w:val="clear" w:pos="2160"/>
      </w:tabs>
      <w:spacing w:after="240" w:line="240" w:lineRule="auto"/>
      <w:ind w:left="3600" w:hanging="720"/>
      <w:outlineLvl w:val="5"/>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uiPriority w:val="99"/>
    <w:locked/>
    <w:rsid w:val="007265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3228"/>
    <w:rPr>
      <w:rFonts w:ascii="Times New Roman" w:eastAsiaTheme="majorEastAsia" w:hAnsi="Times New Roman" w:cstheme="majorBidi"/>
      <w:b/>
      <w:bCs/>
      <w:sz w:val="24"/>
      <w:szCs w:val="28"/>
    </w:rPr>
  </w:style>
  <w:style w:type="paragraph" w:styleId="FootnoteText">
    <w:name w:val="footnote text"/>
    <w:basedOn w:val="Normal"/>
    <w:link w:val="FootnoteTextChar"/>
    <w:uiPriority w:val="99"/>
    <w:semiHidden/>
    <w:unhideWhenUsed/>
    <w:rsid w:val="004D210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D2106"/>
    <w:rPr>
      <w:rFonts w:ascii="Times New Roman" w:hAnsi="Times New Roman"/>
      <w:sz w:val="20"/>
      <w:szCs w:val="20"/>
    </w:rPr>
  </w:style>
  <w:style w:type="character" w:styleId="FootnoteReference">
    <w:name w:val="footnote reference"/>
    <w:basedOn w:val="DefaultParagraphFont"/>
    <w:uiPriority w:val="99"/>
    <w:semiHidden/>
    <w:unhideWhenUsed/>
    <w:rsid w:val="00713E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001C-0360-4E7F-A8D5-F5820DB1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wb273894</dc:creator>
  <cp:lastModifiedBy>wb280600</cp:lastModifiedBy>
  <cp:revision>3</cp:revision>
  <cp:lastPrinted>2011-01-07T12:52:00Z</cp:lastPrinted>
  <dcterms:created xsi:type="dcterms:W3CDTF">2011-01-07T10:33:00Z</dcterms:created>
  <dcterms:modified xsi:type="dcterms:W3CDTF">2011-01-07T13:04:00Z</dcterms:modified>
</cp:coreProperties>
</file>